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sz w:val="28"/>
          <w:szCs w:val="28"/>
        </w:rPr>
      </w:pPr>
    </w:p>
    <w:p>
      <w:pPr>
        <w:ind w:firstLine="0" w:firstLineChars="0"/>
        <w:jc w:val="left"/>
        <w:rPr>
          <w:rFonts w:hint="eastAsia"/>
          <w:sz w:val="28"/>
          <w:szCs w:val="28"/>
        </w:rPr>
      </w:pPr>
    </w:p>
    <w:p>
      <w:pPr>
        <w:ind w:firstLine="0" w:firstLineChars="0"/>
        <w:jc w:val="left"/>
        <w:rPr>
          <w:sz w:val="28"/>
          <w:szCs w:val="28"/>
        </w:rPr>
      </w:pPr>
    </w:p>
    <w:p>
      <w:pPr>
        <w:autoSpaceDE w:val="0"/>
        <w:autoSpaceDN w:val="0"/>
        <w:adjustRightInd w:val="0"/>
        <w:spacing w:line="360" w:lineRule="auto"/>
        <w:ind w:firstLine="2349" w:firstLineChars="450"/>
        <w:rPr>
          <w:rFonts w:hint="eastAsia" w:ascii="方正行楷简体" w:hAnsi="新宋体" w:eastAsia="方正行楷简体"/>
          <w:b/>
          <w:sz w:val="52"/>
          <w:szCs w:val="52"/>
        </w:rPr>
      </w:pPr>
      <w:r>
        <w:rPr>
          <w:rFonts w:hint="eastAsia" w:ascii="方正行楷简体" w:hAnsi="新宋体" w:eastAsia="方正行楷简体" w:cs="华文行楷"/>
          <w:b/>
          <w:sz w:val="52"/>
          <w:szCs w:val="52"/>
          <w:lang w:val="zh-CN"/>
        </w:rPr>
        <w:t>海南州政府采购</w:t>
      </w: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pPr>
        <w:autoSpaceDE w:val="0"/>
        <w:autoSpaceDN w:val="0"/>
        <w:adjustRightInd w:val="0"/>
        <w:spacing w:line="360" w:lineRule="auto"/>
        <w:ind w:firstLine="2101" w:firstLineChars="250"/>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2022-13</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海南州职业技术学校大数据技术专业建设项目（包二：</w:t>
      </w:r>
      <w:r>
        <w:rPr>
          <w:rFonts w:hint="eastAsia" w:ascii="宋体" w:hAnsi="宋体" w:eastAsia="宋体" w:cs="Times New Roman"/>
          <w:b/>
          <w:sz w:val="36"/>
          <w:szCs w:val="36"/>
          <w:lang w:val="en-US" w:eastAsia="zh-CN"/>
        </w:rPr>
        <w:t>大数据</w:t>
      </w:r>
      <w:r>
        <w:rPr>
          <w:rFonts w:hint="eastAsia" w:ascii="宋体" w:hAnsi="宋体" w:eastAsia="宋体" w:cs="Times New Roman"/>
          <w:b/>
          <w:sz w:val="36"/>
          <w:szCs w:val="36"/>
          <w:lang w:eastAsia="zh-CN"/>
        </w:rPr>
        <w:t>智慧教室建设）</w:t>
      </w:r>
    </w:p>
    <w:p>
      <w:pPr>
        <w:autoSpaceDE w:val="0"/>
        <w:autoSpaceDN w:val="0"/>
        <w:adjustRightInd w:val="0"/>
        <w:spacing w:line="360" w:lineRule="auto"/>
        <w:ind w:left="0" w:leftChars="0" w:firstLine="0" w:firstLineChars="0"/>
        <w:jc w:val="both"/>
        <w:rPr>
          <w:rFonts w:hint="eastAsia"/>
          <w:b/>
        </w:rPr>
      </w:pPr>
      <w:r>
        <w:rPr>
          <w:rFonts w:hint="eastAsia"/>
          <w:b/>
          <w:sz w:val="36"/>
          <w:szCs w:val="36"/>
        </w:rPr>
        <w:t>采  购 单 位：</w:t>
      </w:r>
      <w:r>
        <w:rPr>
          <w:rFonts w:hint="eastAsia" w:ascii="宋体" w:hAnsi="宋体" w:eastAsia="宋体" w:cs="Times New Roman"/>
          <w:b/>
          <w:sz w:val="36"/>
          <w:szCs w:val="36"/>
          <w:lang w:eastAsia="zh-CN"/>
        </w:rPr>
        <w:t>海南州职业技术学校</w:t>
      </w:r>
    </w:p>
    <w:p>
      <w:pPr>
        <w:adjustRightInd w:val="0"/>
        <w:spacing w:line="360" w:lineRule="auto"/>
        <w:ind w:firstLine="0" w:firstLineChars="0"/>
        <w:textAlignment w:val="baseline"/>
        <w:rPr>
          <w:rFonts w:hint="eastAsia"/>
          <w:b/>
        </w:rPr>
      </w:pPr>
    </w:p>
    <w:p>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海南州</w:t>
      </w:r>
      <w:r>
        <w:rPr>
          <w:rFonts w:hint="eastAsia" w:ascii="宋体" w:hAnsi="宋体"/>
          <w:b/>
          <w:sz w:val="32"/>
          <w:szCs w:val="32"/>
        </w:rPr>
        <w:t>政府采购中心编制</w:t>
      </w:r>
    </w:p>
    <w:p>
      <w:pPr>
        <w:tabs>
          <w:tab w:val="left" w:pos="1256"/>
          <w:tab w:val="center" w:pos="4479"/>
        </w:tabs>
        <w:adjustRightInd w:val="0"/>
        <w:spacing w:line="360" w:lineRule="auto"/>
        <w:ind w:firstLine="0" w:firstLineChars="0"/>
        <w:jc w:val="left"/>
        <w:textAlignment w:val="baseline"/>
        <w:rPr>
          <w:rFonts w:hint="eastAsia" w:ascii="宋体" w:hAnsi="宋体"/>
          <w:b/>
          <w:sz w:val="40"/>
          <w:szCs w:val="30"/>
        </w:rPr>
      </w:pPr>
      <w:r>
        <w:rPr>
          <w:rFonts w:ascii="宋体" w:hAnsi="宋体"/>
          <w:b/>
          <w:sz w:val="32"/>
          <w:szCs w:val="32"/>
        </w:rPr>
        <w:tab/>
      </w:r>
      <w:r>
        <w:rPr>
          <w:rFonts w:ascii="宋体" w:hAnsi="宋体"/>
          <w:b/>
          <w:sz w:val="32"/>
          <w:szCs w:val="32"/>
        </w:rPr>
        <w:tab/>
      </w: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pPr>
        <w:adjustRightInd w:val="0"/>
        <w:spacing w:line="280" w:lineRule="exact"/>
        <w:ind w:firstLine="0" w:firstLineChars="0"/>
        <w:jc w:val="center"/>
        <w:textAlignment w:val="baseline"/>
        <w:rPr>
          <w:rFonts w:hint="eastAsia" w:ascii="宋体" w:hAnsi="宋体"/>
          <w:b/>
          <w:sz w:val="32"/>
          <w:szCs w:val="32"/>
        </w:rPr>
      </w:pPr>
      <w:r>
        <w:rPr>
          <w:rFonts w:ascii="宋体" w:hAnsi="宋体"/>
          <w:b/>
          <w:sz w:val="40"/>
          <w:szCs w:val="30"/>
        </w:rPr>
        <w:br w:type="page"/>
      </w:r>
      <w:r>
        <w:rPr>
          <w:rFonts w:hint="eastAsia" w:ascii="宋体" w:hAnsi="宋体"/>
          <w:b/>
          <w:sz w:val="32"/>
          <w:szCs w:val="32"/>
        </w:rPr>
        <w:t>目  录</w:t>
      </w:r>
    </w:p>
    <w:p>
      <w:pPr>
        <w:pStyle w:val="12"/>
        <w:tabs>
          <w:tab w:val="right" w:leader="dot" w:pos="8948"/>
        </w:tabs>
        <w:spacing w:line="300" w:lineRule="exact"/>
        <w:ind w:firstLine="480"/>
        <w:rPr>
          <w:rFonts w:ascii="宋体" w:hAnsi="宋体"/>
          <w:b w:val="0"/>
          <w:bCs w:val="0"/>
          <w:caps w:val="0"/>
          <w:sz w:val="24"/>
          <w:szCs w:val="24"/>
        </w:rPr>
      </w:pPr>
      <w:r>
        <w:rPr>
          <w:rFonts w:hint="eastAsia" w:ascii="宋体" w:hAnsi="宋体" w:cs="宋体"/>
          <w:b w:val="0"/>
          <w:bCs w:val="0"/>
          <w:kern w:val="0"/>
          <w:sz w:val="24"/>
          <w:szCs w:val="24"/>
        </w:rPr>
        <w:fldChar w:fldCharType="begin"/>
      </w:r>
      <w:r>
        <w:rPr>
          <w:rStyle w:val="27"/>
          <w:rFonts w:hint="eastAsia" w:ascii="宋体" w:hAnsi="宋体" w:cs="宋体"/>
          <w:b w:val="0"/>
          <w:bCs w:val="0"/>
          <w:kern w:val="0"/>
          <w:sz w:val="24"/>
          <w:szCs w:val="24"/>
        </w:rPr>
        <w:instrText xml:space="preserve"> TOC \o "1-3" \h \z \u </w:instrText>
      </w:r>
      <w:r>
        <w:rPr>
          <w:rFonts w:hint="eastAsia" w:ascii="宋体" w:hAnsi="宋体" w:cs="宋体"/>
          <w:b w:val="0"/>
          <w:bCs w:val="0"/>
          <w:kern w:val="0"/>
          <w:sz w:val="24"/>
          <w:szCs w:val="24"/>
        </w:rPr>
        <w:fldChar w:fldCharType="separate"/>
      </w: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"_Toc67558555"</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rPr>
        <w:t>第一部分</w:t>
      </w:r>
      <w:r>
        <w:rPr>
          <w:rStyle w:val="27"/>
          <w:rFonts w:ascii="宋体" w:hAnsi="宋体"/>
          <w:b w:val="0"/>
          <w:sz w:val="24"/>
          <w:szCs w:val="24"/>
        </w:rPr>
        <w:t xml:space="preserve">  </w:t>
      </w:r>
      <w:r>
        <w:rPr>
          <w:rStyle w:val="27"/>
          <w:rFonts w:hint="eastAsia" w:ascii="宋体" w:hAnsi="宋体"/>
          <w:b w:val="0"/>
          <w:sz w:val="24"/>
          <w:szCs w:val="24"/>
        </w:rPr>
        <w:t>投标人须知前附表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_Toc67558555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"_Toc67558556"</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第二部分</w:t>
      </w:r>
      <w:r>
        <w:rPr>
          <w:rStyle w:val="27"/>
          <w:rFonts w:ascii="宋体" w:hAnsi="宋体"/>
          <w:b w:val="0"/>
          <w:kern w:val="28"/>
          <w:sz w:val="24"/>
          <w:szCs w:val="24"/>
        </w:rPr>
        <w:t xml:space="preserve">  </w:t>
      </w:r>
      <w:r>
        <w:rPr>
          <w:rStyle w:val="27"/>
          <w:rFonts w:hint="eastAsia" w:ascii="宋体" w:hAnsi="宋体"/>
          <w:b w:val="0"/>
          <w:kern w:val="28"/>
          <w:sz w:val="24"/>
          <w:szCs w:val="24"/>
        </w:rPr>
        <w:t>投标人须知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_Toc67558556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"_Toc67558557"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一、说</w:t>
      </w:r>
      <w:r>
        <w:rPr>
          <w:rStyle w:val="27"/>
          <w:rFonts w:ascii="宋体" w:hAnsi="宋体"/>
          <w:bCs/>
          <w:kern w:val="0"/>
          <w:sz w:val="24"/>
          <w:szCs w:val="24"/>
        </w:rPr>
        <w:t xml:space="preserve">  </w:t>
      </w:r>
      <w:r>
        <w:rPr>
          <w:rStyle w:val="27"/>
          <w:rFonts w:hint="eastAsia" w:ascii="宋体" w:hAnsi="宋体"/>
          <w:bCs/>
          <w:kern w:val="0"/>
          <w:sz w:val="24"/>
          <w:szCs w:val="24"/>
        </w:rPr>
        <w:t>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_Toc67558557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适用范围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_Toc67558558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"_Toc67558559"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招标方式、合格的投标人</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_Toc67558559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投标费用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_Toc67558560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二、招标文件说明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_Toc67558561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招标文件的构成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_Toc67558562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招标文件的质疑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_Toc67558563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招标文件的修改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_Toc67558564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"_Toc67558565"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三、投标文件的编制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_Toc67558565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7.</w:t>
      </w:r>
      <w:r>
        <w:rPr>
          <w:rStyle w:val="27"/>
          <w:rFonts w:hint="eastAsia" w:ascii="宋体" w:hAnsi="宋体"/>
          <w:bCs/>
          <w:i w:val="0"/>
          <w:kern w:val="0"/>
          <w:sz w:val="24"/>
          <w:szCs w:val="24"/>
        </w:rPr>
        <w:t>投标文件的语言及度量衡单位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_Toc67558566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8.</w:t>
      </w:r>
      <w:r>
        <w:rPr>
          <w:rStyle w:val="27"/>
          <w:rFonts w:hint="eastAsia" w:ascii="宋体" w:hAnsi="宋体"/>
          <w:bCs/>
          <w:i w:val="0"/>
          <w:kern w:val="0"/>
          <w:sz w:val="24"/>
          <w:szCs w:val="24"/>
        </w:rPr>
        <w:t>投标报价及币种</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_Toc67558567 \h </w:instrText>
      </w:r>
      <w:r>
        <w:rPr>
          <w:rFonts w:ascii="宋体" w:hAnsi="宋体"/>
          <w:i w:val="0"/>
          <w:sz w:val="24"/>
          <w:szCs w:val="24"/>
        </w:rPr>
        <w:fldChar w:fldCharType="separate"/>
      </w:r>
      <w:r>
        <w:rPr>
          <w:rFonts w:ascii="宋体" w:hAnsi="宋体"/>
          <w:i w:val="0"/>
          <w:sz w:val="24"/>
          <w:szCs w:val="24"/>
        </w:rPr>
        <w:t>6</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9.</w:t>
      </w:r>
      <w:r>
        <w:rPr>
          <w:rStyle w:val="27"/>
          <w:rFonts w:hint="eastAsia" w:ascii="宋体" w:hAnsi="宋体"/>
          <w:bCs/>
          <w:i w:val="0"/>
          <w:kern w:val="0"/>
          <w:sz w:val="24"/>
          <w:szCs w:val="24"/>
        </w:rPr>
        <w:t>投标保证金</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_Toc67558568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"_Toc67558569"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10.</w:t>
      </w:r>
      <w:r>
        <w:rPr>
          <w:rStyle w:val="27"/>
          <w:rFonts w:hint="eastAsia" w:ascii="宋体" w:hAnsi="宋体"/>
          <w:bCs/>
          <w:i w:val="0"/>
          <w:kern w:val="0"/>
          <w:sz w:val="24"/>
          <w:szCs w:val="24"/>
        </w:rPr>
        <w:t>投标有效期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_Toc67558569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11.</w:t>
      </w:r>
      <w:r>
        <w:rPr>
          <w:rStyle w:val="27"/>
          <w:rFonts w:hint="eastAsia" w:ascii="宋体" w:hAnsi="宋体"/>
          <w:bCs/>
          <w:i w:val="0"/>
          <w:kern w:val="0"/>
          <w:sz w:val="24"/>
          <w:szCs w:val="24"/>
        </w:rPr>
        <w:t>投标文件构成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_Toc67558570 \h </w:instrText>
      </w:r>
      <w:r>
        <w:rPr>
          <w:rFonts w:ascii="宋体" w:hAnsi="宋体"/>
          <w:i w:val="0"/>
          <w:sz w:val="24"/>
          <w:szCs w:val="24"/>
        </w:rPr>
        <w:fldChar w:fldCharType="separate"/>
      </w:r>
      <w:r>
        <w:rPr>
          <w:rFonts w:ascii="宋体" w:hAnsi="宋体"/>
          <w:i w:val="0"/>
          <w:sz w:val="24"/>
          <w:szCs w:val="24"/>
        </w:rPr>
        <w:t>7</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12. </w:t>
      </w:r>
      <w:r>
        <w:rPr>
          <w:rStyle w:val="27"/>
          <w:rFonts w:hint="eastAsia" w:ascii="宋体" w:hAnsi="宋体"/>
          <w:bCs/>
          <w:i w:val="0"/>
          <w:kern w:val="0"/>
          <w:sz w:val="24"/>
          <w:szCs w:val="24"/>
        </w:rPr>
        <w:t>投标文件的格式及编制要求</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_Toc67558571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四、</w:t>
      </w:r>
      <w:r>
        <w:rPr>
          <w:rStyle w:val="27"/>
          <w:rFonts w:hint="eastAsia" w:ascii="宋体" w:hAnsi="宋体"/>
          <w:bCs/>
          <w:kern w:val="0"/>
          <w:sz w:val="24"/>
          <w:szCs w:val="24"/>
          <w:lang w:eastAsia="zh-CN"/>
        </w:rPr>
        <w:t>现场</w:t>
      </w:r>
      <w:r>
        <w:rPr>
          <w:rStyle w:val="27"/>
          <w:rFonts w:hint="eastAsia" w:ascii="宋体" w:hAnsi="宋体"/>
          <w:bCs/>
          <w:kern w:val="0"/>
          <w:sz w:val="24"/>
          <w:szCs w:val="24"/>
        </w:rPr>
        <w:t>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_Toc67558572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13.</w:t>
      </w:r>
      <w:r>
        <w:rPr>
          <w:rStyle w:val="27"/>
          <w:rFonts w:hint="eastAsia" w:ascii="宋体" w:hAnsi="宋体"/>
          <w:bCs/>
          <w:kern w:val="0"/>
          <w:sz w:val="24"/>
          <w:szCs w:val="24"/>
          <w:lang w:eastAsia="zh-CN"/>
        </w:rPr>
        <w:t>现场</w:t>
      </w:r>
      <w:r>
        <w:rPr>
          <w:rStyle w:val="27"/>
          <w:rFonts w:hint="eastAsia" w:ascii="宋体" w:hAnsi="宋体"/>
          <w:bCs/>
          <w:i w:val="0"/>
          <w:kern w:val="0"/>
          <w:sz w:val="24"/>
          <w:szCs w:val="24"/>
        </w:rPr>
        <w:t>投标</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8</w:t>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14.</w:t>
      </w:r>
      <w:r>
        <w:rPr>
          <w:rStyle w:val="27"/>
          <w:rFonts w:hint="eastAsia" w:ascii="宋体" w:hAnsi="宋体"/>
          <w:bCs/>
          <w:i w:val="0"/>
          <w:kern w:val="0"/>
          <w:sz w:val="24"/>
          <w:szCs w:val="24"/>
        </w:rPr>
        <w:t>投标截止日期</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_Toc67558574 \h </w:instrText>
      </w:r>
      <w:r>
        <w:rPr>
          <w:rFonts w:ascii="宋体" w:hAnsi="宋体"/>
          <w:i w:val="0"/>
          <w:sz w:val="24"/>
          <w:szCs w:val="24"/>
        </w:rPr>
        <w:fldChar w:fldCharType="separate"/>
      </w:r>
      <w:r>
        <w:rPr>
          <w:rFonts w:ascii="宋体" w:hAnsi="宋体"/>
          <w:i w:val="0"/>
          <w:sz w:val="24"/>
          <w:szCs w:val="24"/>
        </w:rPr>
        <w:t>8</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hint="eastAsia" w:ascii="宋体" w:hAnsi="宋体" w:eastAsiaTheme="minorEastAsia"/>
          <w:i w:val="0"/>
          <w:iCs w:val="0"/>
          <w:sz w:val="24"/>
          <w:szCs w:val="24"/>
          <w:lang w:val="en-US" w:eastAsia="zh-CN"/>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15.</w:t>
      </w:r>
      <w:r>
        <w:rPr>
          <w:rStyle w:val="27"/>
          <w:rFonts w:hint="eastAsia" w:ascii="宋体" w:hAnsi="宋体"/>
          <w:bCs/>
          <w:i w:val="0"/>
          <w:kern w:val="0"/>
          <w:sz w:val="24"/>
          <w:szCs w:val="24"/>
        </w:rPr>
        <w:t>投标文件的撤回</w:t>
      </w:r>
      <w:r>
        <w:rPr>
          <w:rFonts w:ascii="宋体" w:hAnsi="宋体"/>
          <w:i w:val="0"/>
          <w:sz w:val="24"/>
          <w:szCs w:val="24"/>
        </w:rPr>
        <w:tab/>
      </w:r>
      <w:r>
        <w:rPr>
          <w:rStyle w:val="27"/>
          <w:rFonts w:ascii="宋体" w:hAnsi="宋体"/>
          <w:i w:val="0"/>
          <w:sz w:val="24"/>
          <w:szCs w:val="24"/>
        </w:rPr>
        <w:fldChar w:fldCharType="end"/>
      </w:r>
      <w:r>
        <w:rPr>
          <w:rStyle w:val="27"/>
          <w:rFonts w:hint="eastAsia" w:ascii="宋体" w:hAnsi="宋体"/>
          <w:i w:val="0"/>
          <w:sz w:val="24"/>
          <w:szCs w:val="24"/>
          <w:lang w:val="en-US" w:eastAsia="zh-CN"/>
        </w:rPr>
        <w:t>9</w:t>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_Toc67558576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16.</w:t>
      </w:r>
      <w:r>
        <w:rPr>
          <w:rStyle w:val="27"/>
          <w:rFonts w:hint="eastAsia" w:ascii="宋体" w:hAnsi="宋体"/>
          <w:bCs/>
          <w:i w:val="0"/>
          <w:kern w:val="0"/>
          <w:sz w:val="24"/>
          <w:szCs w:val="24"/>
        </w:rPr>
        <w:t>开标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_Toc67558577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"_Toc67558578"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六、资格审查程序及方法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_Toc67558578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"_Toc67558579"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17. </w:t>
      </w:r>
      <w:r>
        <w:rPr>
          <w:rStyle w:val="27"/>
          <w:rFonts w:hint="eastAsia" w:ascii="宋体" w:hAnsi="宋体"/>
          <w:bCs/>
          <w:i w:val="0"/>
          <w:kern w:val="0"/>
          <w:sz w:val="24"/>
          <w:szCs w:val="24"/>
        </w:rPr>
        <w:t>资格审查程序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_Toc67558579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18.</w:t>
      </w:r>
      <w:r>
        <w:rPr>
          <w:rStyle w:val="27"/>
          <w:rFonts w:hint="eastAsia" w:ascii="宋体" w:hAnsi="宋体"/>
          <w:bCs/>
          <w:i w:val="0"/>
          <w:kern w:val="0"/>
          <w:sz w:val="24"/>
          <w:szCs w:val="24"/>
        </w:rPr>
        <w:t>资格审查不通过的情形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_Toc67558580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七、评标程序及方法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_Toc67558581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19.</w:t>
      </w:r>
      <w:r>
        <w:rPr>
          <w:rStyle w:val="27"/>
          <w:rFonts w:hint="eastAsia" w:ascii="宋体" w:hAnsi="宋体"/>
          <w:bCs/>
          <w:i w:val="0"/>
          <w:kern w:val="0"/>
          <w:sz w:val="24"/>
          <w:szCs w:val="24"/>
        </w:rPr>
        <w:t>评标委员会</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_Toc67558582 \h </w:instrText>
      </w:r>
      <w:r>
        <w:rPr>
          <w:rFonts w:ascii="宋体" w:hAnsi="宋体"/>
          <w:i w:val="0"/>
          <w:sz w:val="24"/>
          <w:szCs w:val="24"/>
        </w:rPr>
        <w:fldChar w:fldCharType="separate"/>
      </w:r>
      <w:r>
        <w:rPr>
          <w:rFonts w:ascii="宋体" w:hAnsi="宋体"/>
          <w:i w:val="0"/>
          <w:sz w:val="24"/>
          <w:szCs w:val="24"/>
        </w:rPr>
        <w:t>10</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20.</w:t>
      </w:r>
      <w:r>
        <w:rPr>
          <w:rStyle w:val="27"/>
          <w:rFonts w:hint="eastAsia" w:ascii="宋体" w:hAnsi="宋体"/>
          <w:bCs/>
          <w:i w:val="0"/>
          <w:kern w:val="0"/>
          <w:sz w:val="24"/>
          <w:szCs w:val="24"/>
        </w:rPr>
        <w:t>评标工作程序</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_Toc67558583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21.</w:t>
      </w:r>
      <w:r>
        <w:rPr>
          <w:rStyle w:val="27"/>
          <w:rFonts w:hint="eastAsia" w:ascii="宋体" w:hAnsi="宋体"/>
          <w:bCs/>
          <w:i w:val="0"/>
          <w:kern w:val="0"/>
          <w:sz w:val="24"/>
          <w:szCs w:val="24"/>
        </w:rPr>
        <w:t>答疑的方式和情形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_Toc67558584 \h </w:instrText>
      </w:r>
      <w:r>
        <w:rPr>
          <w:rFonts w:ascii="宋体" w:hAnsi="宋体"/>
          <w:i w:val="0"/>
          <w:sz w:val="24"/>
          <w:szCs w:val="24"/>
        </w:rPr>
        <w:fldChar w:fldCharType="separate"/>
      </w:r>
      <w:r>
        <w:rPr>
          <w:rFonts w:ascii="宋体" w:hAnsi="宋体"/>
          <w:i w:val="0"/>
          <w:sz w:val="24"/>
          <w:szCs w:val="24"/>
        </w:rPr>
        <w:t>11</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22.</w:t>
      </w:r>
      <w:r>
        <w:rPr>
          <w:rStyle w:val="27"/>
          <w:rFonts w:hint="eastAsia" w:ascii="宋体" w:hAnsi="宋体"/>
          <w:bCs/>
          <w:i w:val="0"/>
          <w:kern w:val="0"/>
          <w:sz w:val="24"/>
          <w:szCs w:val="24"/>
        </w:rPr>
        <w:t>评标办法</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_Toc67558585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八、定</w:t>
      </w:r>
      <w:r>
        <w:rPr>
          <w:rStyle w:val="27"/>
          <w:rFonts w:ascii="宋体" w:hAnsi="宋体"/>
          <w:bCs/>
          <w:kern w:val="0"/>
          <w:sz w:val="24"/>
          <w:szCs w:val="24"/>
        </w:rPr>
        <w:t xml:space="preserve"> </w:t>
      </w:r>
      <w:r>
        <w:rPr>
          <w:rStyle w:val="27"/>
          <w:rFonts w:hint="eastAsia" w:ascii="宋体" w:hAnsi="宋体"/>
          <w:bCs/>
          <w:kern w:val="0"/>
          <w:sz w:val="24"/>
          <w:szCs w:val="24"/>
        </w:rPr>
        <w:t>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"_Toc67558587"</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23.</w:t>
      </w:r>
      <w:r>
        <w:rPr>
          <w:rStyle w:val="27"/>
          <w:rFonts w:hint="eastAsia" w:ascii="宋体" w:hAnsi="宋体"/>
          <w:bCs/>
          <w:i w:val="0"/>
          <w:kern w:val="0"/>
          <w:sz w:val="24"/>
          <w:szCs w:val="24"/>
        </w:rPr>
        <w:t>推荐并确定中标供应商</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_Toc67558587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"_Toc67558588"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24.</w:t>
      </w:r>
      <w:r>
        <w:rPr>
          <w:rStyle w:val="27"/>
          <w:rFonts w:hint="eastAsia" w:ascii="宋体" w:hAnsi="宋体"/>
          <w:bCs/>
          <w:i w:val="0"/>
          <w:kern w:val="0"/>
          <w:sz w:val="24"/>
          <w:szCs w:val="24"/>
        </w:rPr>
        <w:t>中标通知</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_Toc67558588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"_Toc67558589"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九、授予合同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_Toc67558589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25.</w:t>
      </w:r>
      <w:r>
        <w:rPr>
          <w:rStyle w:val="27"/>
          <w:rFonts w:hint="eastAsia" w:ascii="宋体" w:hAnsi="宋体"/>
          <w:bCs/>
          <w:i w:val="0"/>
          <w:kern w:val="0"/>
          <w:sz w:val="24"/>
          <w:szCs w:val="24"/>
        </w:rPr>
        <w:t>签订合同</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_Toc67558590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十、串通投标的认定及处理办法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_Toc67558591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26.</w:t>
      </w:r>
      <w:r>
        <w:rPr>
          <w:rStyle w:val="27"/>
          <w:rFonts w:hint="eastAsia" w:ascii="宋体" w:hAnsi="宋体"/>
          <w:bCs/>
          <w:i w:val="0"/>
          <w:kern w:val="0"/>
          <w:sz w:val="24"/>
          <w:szCs w:val="24"/>
        </w:rPr>
        <w:t>串通投标的情形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_Toc67558592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十一、废标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 xml:space="preserve">27. </w:t>
      </w:r>
      <w:r>
        <w:rPr>
          <w:rStyle w:val="27"/>
          <w:rFonts w:hint="eastAsia" w:ascii="宋体" w:hAnsi="宋体"/>
          <w:bCs/>
          <w:i w:val="0"/>
          <w:kern w:val="0"/>
          <w:sz w:val="24"/>
          <w:szCs w:val="24"/>
        </w:rPr>
        <w:t>废标情形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_Toc67558594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十二、处罚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"_Toc67558596"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28.</w:t>
      </w:r>
      <w:r>
        <w:rPr>
          <w:rStyle w:val="27"/>
          <w:rFonts w:hint="eastAsia" w:ascii="宋体" w:hAnsi="宋体"/>
          <w:bCs/>
          <w:i w:val="0"/>
          <w:kern w:val="0"/>
          <w:sz w:val="24"/>
          <w:szCs w:val="24"/>
        </w:rPr>
        <w:t>处罚情形</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_Toc67558596 \h </w:instrText>
      </w:r>
      <w:r>
        <w:rPr>
          <w:rFonts w:ascii="宋体" w:hAnsi="宋体"/>
          <w:i w:val="0"/>
          <w:sz w:val="24"/>
          <w:szCs w:val="24"/>
        </w:rPr>
        <w:fldChar w:fldCharType="separate"/>
      </w:r>
      <w:r>
        <w:rPr>
          <w:rFonts w:ascii="宋体" w:hAnsi="宋体"/>
          <w:i w:val="0"/>
          <w:sz w:val="24"/>
          <w:szCs w:val="24"/>
        </w:rPr>
        <w:t>16</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"_Toc67558597"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十三、其他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_Toc67558597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"_Toc67558598"</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sz w:val="24"/>
          <w:szCs w:val="24"/>
          <w:lang w:eastAsia="zh-CN"/>
        </w:rPr>
        <w:t>海南州</w:t>
      </w:r>
      <w:r>
        <w:rPr>
          <w:rStyle w:val="27"/>
          <w:rFonts w:hint="eastAsia" w:ascii="宋体" w:hAnsi="宋体"/>
          <w:b w:val="0"/>
          <w:sz w:val="24"/>
          <w:szCs w:val="24"/>
        </w:rPr>
        <w:t>政府采购项目合同书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_Toc67558598 \h </w:instrText>
      </w:r>
      <w:r>
        <w:rPr>
          <w:rFonts w:ascii="宋体" w:hAnsi="宋体"/>
          <w:b w:val="0"/>
          <w:sz w:val="24"/>
          <w:szCs w:val="24"/>
        </w:rPr>
        <w:fldChar w:fldCharType="separate"/>
      </w:r>
      <w:r>
        <w:rPr>
          <w:b/>
        </w:rPr>
        <w:t>错误！未定义书签。</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"_Toc67558599"</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第四部分</w:t>
      </w:r>
      <w:r>
        <w:rPr>
          <w:rStyle w:val="27"/>
          <w:rFonts w:ascii="宋体" w:hAnsi="宋体"/>
          <w:b w:val="0"/>
          <w:kern w:val="28"/>
          <w:sz w:val="24"/>
          <w:szCs w:val="24"/>
        </w:rPr>
        <w:t xml:space="preserve">  </w:t>
      </w:r>
      <w:r>
        <w:rPr>
          <w:rStyle w:val="27"/>
          <w:rFonts w:hint="eastAsia" w:ascii="宋体" w:hAnsi="宋体"/>
          <w:b w:val="0"/>
          <w:kern w:val="28"/>
          <w:sz w:val="24"/>
          <w:szCs w:val="24"/>
        </w:rPr>
        <w:t>投标文件格式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_Toc67558599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7"/>
          <w:rFonts w:ascii="宋体" w:hAnsi="宋体"/>
          <w:b w:val="0"/>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"_Toc67558600"</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投标文件的组成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_Toc67558600 \h </w:instrText>
      </w:r>
      <w:r>
        <w:rPr>
          <w:rFonts w:ascii="宋体" w:hAnsi="宋体"/>
          <w:b w:val="0"/>
          <w:sz w:val="24"/>
          <w:szCs w:val="24"/>
        </w:rPr>
        <w:fldChar w:fldCharType="separate"/>
      </w:r>
      <w:r>
        <w:rPr>
          <w:rFonts w:ascii="宋体" w:hAnsi="宋体"/>
          <w:b w:val="0"/>
          <w:sz w:val="24"/>
          <w:szCs w:val="24"/>
        </w:rPr>
        <w:t>28</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w:t>
      </w:r>
      <w:r>
        <w:rPr>
          <w:rStyle w:val="27"/>
          <w:rFonts w:hint="eastAsia" w:ascii="宋体" w:hAnsi="宋体"/>
          <w:sz w:val="24"/>
          <w:szCs w:val="24"/>
        </w:rPr>
        <w:t>：投</w:t>
      </w:r>
      <w:r>
        <w:rPr>
          <w:rStyle w:val="27"/>
          <w:rFonts w:ascii="宋体" w:hAnsi="宋体"/>
          <w:sz w:val="24"/>
          <w:szCs w:val="24"/>
        </w:rPr>
        <w:t xml:space="preserve"> </w:t>
      </w:r>
      <w:r>
        <w:rPr>
          <w:rStyle w:val="27"/>
          <w:rFonts w:hint="eastAsia" w:ascii="宋体" w:hAnsi="宋体"/>
          <w:sz w:val="24"/>
          <w:szCs w:val="24"/>
        </w:rPr>
        <w:t>标</w:t>
      </w:r>
      <w:r>
        <w:rPr>
          <w:rStyle w:val="27"/>
          <w:rFonts w:ascii="宋体" w:hAnsi="宋体"/>
          <w:sz w:val="24"/>
          <w:szCs w:val="24"/>
        </w:rPr>
        <w:t xml:space="preserve"> </w:t>
      </w:r>
      <w:r>
        <w:rPr>
          <w:rStyle w:val="27"/>
          <w:rFonts w:hint="eastAsia" w:ascii="宋体" w:hAnsi="宋体"/>
          <w:sz w:val="24"/>
          <w:szCs w:val="24"/>
        </w:rPr>
        <w:t>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_Toc67558602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2</w:t>
      </w:r>
      <w:r>
        <w:rPr>
          <w:rStyle w:val="27"/>
          <w:rFonts w:hint="eastAsia" w:ascii="宋体" w:hAnsi="宋体"/>
          <w:sz w:val="24"/>
          <w:szCs w:val="24"/>
        </w:rPr>
        <w:t>：法定代表人证明书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_Toc67558603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3</w:t>
      </w:r>
      <w:r>
        <w:rPr>
          <w:rStyle w:val="27"/>
          <w:rFonts w:hint="eastAsia" w:ascii="宋体" w:hAnsi="宋体"/>
          <w:sz w:val="24"/>
          <w:szCs w:val="24"/>
        </w:rPr>
        <w:t>：法定代表人授权书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_Toc67558604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4</w:t>
      </w:r>
      <w:r>
        <w:rPr>
          <w:rStyle w:val="27"/>
          <w:rFonts w:hint="eastAsia" w:ascii="宋体" w:hAnsi="宋体"/>
          <w:sz w:val="24"/>
          <w:szCs w:val="24"/>
        </w:rPr>
        <w:t>：投标人承诺函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_Toc67558605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5</w:t>
      </w:r>
      <w:r>
        <w:rPr>
          <w:rStyle w:val="27"/>
          <w:rFonts w:hint="eastAsia" w:ascii="宋体" w:hAnsi="宋体"/>
          <w:sz w:val="24"/>
          <w:szCs w:val="24"/>
        </w:rPr>
        <w:t>：供应商诚信承诺书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_Toc67558606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6</w:t>
      </w:r>
      <w:r>
        <w:rPr>
          <w:rStyle w:val="27"/>
          <w:rFonts w:hint="eastAsia" w:ascii="宋体" w:hAnsi="宋体"/>
          <w:sz w:val="24"/>
          <w:szCs w:val="24"/>
        </w:rPr>
        <w:t>：投标人资格证明文件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_Toc67558607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7</w:t>
      </w:r>
      <w:r>
        <w:rPr>
          <w:rStyle w:val="27"/>
          <w:rFonts w:hint="eastAsia" w:ascii="宋体" w:hAnsi="宋体"/>
          <w:sz w:val="24"/>
          <w:szCs w:val="24"/>
        </w:rPr>
        <w:t>：财务状况、缴纳税收和社会保障资金证明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_Toc67558608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"_Toc67558609"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8</w:t>
      </w:r>
      <w:r>
        <w:rPr>
          <w:rStyle w:val="27"/>
          <w:rFonts w:hint="eastAsia" w:ascii="宋体" w:hAnsi="宋体"/>
          <w:sz w:val="24"/>
          <w:szCs w:val="24"/>
        </w:rPr>
        <w:t>：无重大违法记录声明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_Toc67558609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（投标文件封面）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_Toc67558611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"_Toc67558612"</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9</w:t>
      </w:r>
      <w:r>
        <w:rPr>
          <w:rStyle w:val="27"/>
          <w:rFonts w:hint="eastAsia" w:ascii="宋体" w:hAnsi="宋体"/>
          <w:sz w:val="24"/>
          <w:szCs w:val="24"/>
        </w:rPr>
        <w:t>：报价一览表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_Toc67558612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10</w:t>
      </w:r>
      <w:r>
        <w:rPr>
          <w:rStyle w:val="27"/>
          <w:rFonts w:hint="eastAsia" w:ascii="宋体" w:hAnsi="宋体"/>
          <w:sz w:val="24"/>
          <w:szCs w:val="24"/>
        </w:rPr>
        <w:t>：分项报价表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_Toc67558613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11</w:t>
      </w:r>
      <w:r>
        <w:rPr>
          <w:rStyle w:val="27"/>
          <w:rFonts w:hint="eastAsia" w:ascii="宋体" w:hAnsi="宋体"/>
          <w:sz w:val="24"/>
          <w:szCs w:val="24"/>
        </w:rPr>
        <w:t>：技术规格响应表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_Toc67558614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"_Toc67558615"</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12</w:t>
      </w:r>
      <w:r>
        <w:rPr>
          <w:rStyle w:val="27"/>
          <w:rFonts w:hint="eastAsia" w:ascii="宋体" w:hAnsi="宋体"/>
          <w:sz w:val="24"/>
          <w:szCs w:val="24"/>
        </w:rPr>
        <w:t>：其他资格证明材料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_Toc67558615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"_Toc67558616"</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13</w:t>
      </w:r>
      <w:r>
        <w:rPr>
          <w:rStyle w:val="27"/>
          <w:rFonts w:hint="eastAsia" w:ascii="宋体" w:hAnsi="宋体"/>
          <w:sz w:val="24"/>
          <w:szCs w:val="24"/>
        </w:rPr>
        <w:t>：投标产品相关资料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_Toc67558616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14</w:t>
      </w:r>
      <w:r>
        <w:rPr>
          <w:rStyle w:val="27"/>
          <w:rFonts w:hint="eastAsia" w:ascii="宋体" w:hAnsi="宋体"/>
          <w:sz w:val="24"/>
          <w:szCs w:val="24"/>
        </w:rPr>
        <w:t>：投标人类似业绩证明材料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_Toc67558617 \h </w:instrText>
      </w:r>
      <w:r>
        <w:rPr>
          <w:rFonts w:ascii="宋体" w:hAnsi="宋体"/>
          <w:sz w:val="24"/>
          <w:szCs w:val="24"/>
        </w:rPr>
        <w:fldChar w:fldCharType="separate"/>
      </w:r>
      <w:r>
        <w:rPr>
          <w:rFonts w:ascii="宋体" w:hAnsi="宋体"/>
          <w:sz w:val="24"/>
          <w:szCs w:val="24"/>
        </w:rPr>
        <w:t>45</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"_Toc67558618"</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15</w:t>
      </w:r>
      <w:r>
        <w:rPr>
          <w:rStyle w:val="27"/>
          <w:rFonts w:hint="eastAsia" w:ascii="宋体" w:hAnsi="宋体"/>
          <w:sz w:val="24"/>
          <w:szCs w:val="24"/>
        </w:rPr>
        <w:t>：中小企业声明函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_Toc67558618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"_Toc67558619"</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16</w:t>
      </w:r>
      <w:r>
        <w:rPr>
          <w:rStyle w:val="27"/>
          <w:rFonts w:hint="eastAsia" w:ascii="宋体" w:hAnsi="宋体"/>
          <w:sz w:val="24"/>
          <w:szCs w:val="24"/>
        </w:rPr>
        <w:t>：残疾人福利性单位声明函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_Toc67558619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"_Toc67558620"</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17</w:t>
      </w:r>
      <w:r>
        <w:rPr>
          <w:rStyle w:val="27"/>
          <w:rFonts w:hint="eastAsia" w:ascii="宋体" w:hAnsi="宋体"/>
          <w:sz w:val="24"/>
          <w:szCs w:val="24"/>
        </w:rPr>
        <w:t>：项目管理实施方案及售后服务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_Toc67558620 \h </w:instrText>
      </w:r>
      <w:r>
        <w:rPr>
          <w:rFonts w:ascii="宋体" w:hAnsi="宋体"/>
          <w:sz w:val="24"/>
          <w:szCs w:val="24"/>
        </w:rPr>
        <w:fldChar w:fldCharType="separate"/>
      </w:r>
      <w:r>
        <w:rPr>
          <w:b/>
        </w:rPr>
        <w:t>错误！未定义书签。</w:t>
      </w:r>
      <w:r>
        <w:rPr>
          <w:rFonts w:ascii="宋体" w:hAnsi="宋体"/>
          <w:sz w:val="24"/>
          <w:szCs w:val="24"/>
        </w:rPr>
        <w:fldChar w:fldCharType="end"/>
      </w:r>
      <w:r>
        <w:rPr>
          <w:rStyle w:val="27"/>
          <w:rFonts w:ascii="宋体" w:hAnsi="宋体"/>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"_Toc67558621"</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sz w:val="24"/>
          <w:szCs w:val="24"/>
        </w:rPr>
        <w:t>附件</w:t>
      </w:r>
      <w:r>
        <w:rPr>
          <w:rStyle w:val="27"/>
          <w:rFonts w:ascii="宋体" w:hAnsi="宋体"/>
          <w:sz w:val="24"/>
          <w:szCs w:val="24"/>
        </w:rPr>
        <w:t>18</w:t>
      </w:r>
      <w:r>
        <w:rPr>
          <w:rStyle w:val="27"/>
          <w:rFonts w:hint="eastAsia" w:ascii="宋体" w:hAnsi="宋体"/>
          <w:sz w:val="24"/>
          <w:szCs w:val="24"/>
        </w:rPr>
        <w:t>：投标人认为在其他方面有必要说明的事项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_Toc67558621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Style w:val="27"/>
          <w:rFonts w:ascii="宋体" w:hAnsi="宋体"/>
          <w:sz w:val="24"/>
          <w:szCs w:val="24"/>
        </w:rPr>
        <w:fldChar w:fldCharType="end"/>
      </w:r>
    </w:p>
    <w:p>
      <w:pPr>
        <w:pStyle w:val="12"/>
        <w:tabs>
          <w:tab w:val="right" w:leader="dot" w:pos="8948"/>
        </w:tabs>
        <w:spacing w:line="300" w:lineRule="exact"/>
        <w:ind w:firstLine="480"/>
        <w:rPr>
          <w:rFonts w:ascii="宋体" w:hAnsi="宋体"/>
          <w:b w:val="0"/>
          <w:bCs w:val="0"/>
          <w:caps w:val="0"/>
          <w:sz w:val="24"/>
          <w:szCs w:val="24"/>
        </w:rPr>
      </w:pPr>
      <w:r>
        <w:rPr>
          <w:rStyle w:val="27"/>
          <w:rFonts w:ascii="宋体" w:hAnsi="宋体"/>
          <w:b w:val="0"/>
          <w:sz w:val="24"/>
          <w:szCs w:val="24"/>
        </w:rPr>
        <w:fldChar w:fldCharType="begin"/>
      </w:r>
      <w:r>
        <w:rPr>
          <w:rStyle w:val="27"/>
          <w:rFonts w:ascii="宋体" w:hAnsi="宋体"/>
          <w:b w:val="0"/>
          <w:sz w:val="24"/>
          <w:szCs w:val="24"/>
        </w:rPr>
        <w:instrText xml:space="preserve"> </w:instrText>
      </w:r>
      <w:r>
        <w:rPr>
          <w:rFonts w:ascii="宋体" w:hAnsi="宋体"/>
          <w:b w:val="0"/>
          <w:sz w:val="24"/>
          <w:szCs w:val="24"/>
        </w:rPr>
        <w:instrText xml:space="preserve">HYPERLINK \l "_Toc67558622"</w:instrText>
      </w:r>
      <w:r>
        <w:rPr>
          <w:rStyle w:val="27"/>
          <w:rFonts w:ascii="宋体" w:hAnsi="宋体"/>
          <w:b w:val="0"/>
          <w:sz w:val="24"/>
          <w:szCs w:val="24"/>
        </w:rPr>
        <w:instrText xml:space="preserve"> </w:instrText>
      </w:r>
      <w:r>
        <w:rPr>
          <w:rStyle w:val="27"/>
          <w:rFonts w:ascii="宋体" w:hAnsi="宋体"/>
          <w:b w:val="0"/>
          <w:sz w:val="24"/>
          <w:szCs w:val="24"/>
        </w:rPr>
        <w:fldChar w:fldCharType="separate"/>
      </w:r>
      <w:r>
        <w:rPr>
          <w:rStyle w:val="27"/>
          <w:rFonts w:hint="eastAsia" w:ascii="宋体" w:hAnsi="宋体"/>
          <w:b w:val="0"/>
          <w:kern w:val="28"/>
          <w:sz w:val="24"/>
          <w:szCs w:val="24"/>
        </w:rPr>
        <w:t>第五部分</w:t>
      </w:r>
      <w:r>
        <w:rPr>
          <w:rStyle w:val="27"/>
          <w:rFonts w:ascii="宋体" w:hAnsi="宋体"/>
          <w:b w:val="0"/>
          <w:kern w:val="28"/>
          <w:sz w:val="24"/>
          <w:szCs w:val="24"/>
        </w:rPr>
        <w:t xml:space="preserve">  </w:t>
      </w:r>
      <w:r>
        <w:rPr>
          <w:rStyle w:val="27"/>
          <w:rFonts w:hint="eastAsia" w:ascii="宋体" w:hAnsi="宋体"/>
          <w:b w:val="0"/>
          <w:kern w:val="28"/>
          <w:sz w:val="24"/>
          <w:szCs w:val="24"/>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_Toc67558622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Style w:val="27"/>
          <w:rFonts w:ascii="宋体" w:hAnsi="宋体"/>
          <w:b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"_Toc67558623"</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一、投标要求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_Toc67558623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"_Toc67558624"</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、投标说明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_Toc67558624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"_Toc67558625"</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、报价说明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_Toc67558625 \h </w:instrText>
      </w:r>
      <w:r>
        <w:rPr>
          <w:rFonts w:ascii="宋体" w:hAnsi="宋体"/>
          <w:i w:val="0"/>
          <w:sz w:val="24"/>
          <w:szCs w:val="24"/>
        </w:rPr>
        <w:fldChar w:fldCharType="separate"/>
      </w:r>
      <w:r>
        <w:rPr>
          <w:b/>
        </w:rPr>
        <w:t>错误！未定义书签。</w:t>
      </w:r>
      <w:r>
        <w:rPr>
          <w:rFonts w:ascii="宋体" w:hAnsi="宋体"/>
          <w:i w:val="0"/>
          <w:sz w:val="24"/>
          <w:szCs w:val="24"/>
        </w:rPr>
        <w:fldChar w:fldCharType="end"/>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"_Toc67558626"</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、重要指标</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_Toc67558626 \h </w:instrText>
      </w:r>
      <w:r>
        <w:rPr>
          <w:rFonts w:ascii="宋体" w:hAnsi="宋体"/>
          <w:i w:val="0"/>
          <w:sz w:val="24"/>
          <w:szCs w:val="24"/>
        </w:rPr>
        <w:fldChar w:fldCharType="separate"/>
      </w:r>
      <w:r>
        <w:rPr>
          <w:rFonts w:ascii="宋体" w:hAnsi="宋体"/>
          <w:i w:val="0"/>
          <w:sz w:val="24"/>
          <w:szCs w:val="24"/>
        </w:rPr>
        <w:t>50</w:t>
      </w:r>
      <w:r>
        <w:rPr>
          <w:rFonts w:ascii="宋体" w:hAnsi="宋体"/>
          <w:i w:val="0"/>
          <w:sz w:val="24"/>
          <w:szCs w:val="24"/>
        </w:rPr>
        <w:fldChar w:fldCharType="end"/>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"_Toc67558627"</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二、项目概况及技术参数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_Toc67558627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Style w:val="27"/>
          <w:rFonts w:ascii="宋体" w:hAnsi="宋体"/>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"_Toc67558628"</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1</w:t>
      </w:r>
      <w:r>
        <w:rPr>
          <w:rStyle w:val="27"/>
          <w:rFonts w:hint="eastAsia" w:ascii="宋体" w:hAnsi="宋体"/>
          <w:bCs/>
          <w:i w:val="0"/>
          <w:kern w:val="0"/>
          <w:sz w:val="24"/>
          <w:szCs w:val="24"/>
        </w:rPr>
        <w:t>、项目概况</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"_Toc67558629"</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2</w:t>
      </w:r>
      <w:r>
        <w:rPr>
          <w:rStyle w:val="27"/>
          <w:rFonts w:hint="eastAsia" w:ascii="宋体" w:hAnsi="宋体"/>
          <w:bCs/>
          <w:i w:val="0"/>
          <w:kern w:val="0"/>
          <w:sz w:val="24"/>
          <w:szCs w:val="24"/>
        </w:rPr>
        <w:t>、产品交付说明</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"_Toc67558630"</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3</w:t>
      </w:r>
      <w:r>
        <w:rPr>
          <w:rStyle w:val="27"/>
          <w:rFonts w:hint="eastAsia" w:ascii="宋体" w:hAnsi="宋体"/>
          <w:bCs/>
          <w:i w:val="0"/>
          <w:kern w:val="0"/>
          <w:sz w:val="24"/>
          <w:szCs w:val="24"/>
        </w:rPr>
        <w:t>、产品验收</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"_Toc67558631"</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4</w:t>
      </w:r>
      <w:r>
        <w:rPr>
          <w:rStyle w:val="27"/>
          <w:rFonts w:hint="eastAsia" w:ascii="宋体" w:hAnsi="宋体"/>
          <w:bCs/>
          <w:i w:val="0"/>
          <w:kern w:val="0"/>
          <w:sz w:val="24"/>
          <w:szCs w:val="24"/>
        </w:rPr>
        <w:t>、安装、调试</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"_Toc67558632"</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5</w:t>
      </w:r>
      <w:r>
        <w:rPr>
          <w:rStyle w:val="27"/>
          <w:rFonts w:hint="eastAsia" w:ascii="宋体" w:hAnsi="宋体"/>
          <w:bCs/>
          <w:i w:val="0"/>
          <w:kern w:val="0"/>
          <w:sz w:val="24"/>
          <w:szCs w:val="24"/>
        </w:rPr>
        <w:t>、维护服务和技术支持</w:t>
      </w:r>
      <w:r>
        <w:rPr>
          <w:rFonts w:ascii="宋体" w:hAnsi="宋体"/>
          <w:i w:val="0"/>
          <w:sz w:val="24"/>
          <w:szCs w:val="24"/>
        </w:rPr>
        <w:tab/>
      </w:r>
      <w:r>
        <w:rPr>
          <w:rStyle w:val="27"/>
          <w:rFonts w:ascii="宋体" w:hAnsi="宋体"/>
          <w:i w:val="0"/>
          <w:sz w:val="24"/>
          <w:szCs w:val="24"/>
        </w:rPr>
        <w:fldChar w:fldCharType="end"/>
      </w:r>
    </w:p>
    <w:p>
      <w:pPr>
        <w:pStyle w:val="8"/>
        <w:spacing w:line="300" w:lineRule="exact"/>
        <w:rPr>
          <w:rFonts w:ascii="宋体" w:hAnsi="宋体"/>
          <w:i w:val="0"/>
          <w:iCs w:val="0"/>
          <w:sz w:val="24"/>
          <w:szCs w:val="24"/>
        </w:rPr>
      </w:pPr>
      <w:r>
        <w:rPr>
          <w:rStyle w:val="27"/>
          <w:rFonts w:ascii="宋体" w:hAnsi="宋体"/>
          <w:i w:val="0"/>
          <w:sz w:val="24"/>
          <w:szCs w:val="24"/>
        </w:rPr>
        <w:fldChar w:fldCharType="begin"/>
      </w:r>
      <w:r>
        <w:rPr>
          <w:rStyle w:val="27"/>
          <w:rFonts w:ascii="宋体" w:hAnsi="宋体"/>
          <w:i w:val="0"/>
          <w:sz w:val="24"/>
          <w:szCs w:val="24"/>
        </w:rPr>
        <w:instrText xml:space="preserve"> </w:instrText>
      </w:r>
      <w:r>
        <w:rPr>
          <w:rFonts w:ascii="宋体" w:hAnsi="宋体"/>
          <w:i w:val="0"/>
          <w:sz w:val="24"/>
          <w:szCs w:val="24"/>
        </w:rPr>
        <w:instrText xml:space="preserve">HYPERLINK \l "_Toc67558633"</w:instrText>
      </w:r>
      <w:r>
        <w:rPr>
          <w:rStyle w:val="27"/>
          <w:rFonts w:ascii="宋体" w:hAnsi="宋体"/>
          <w:i w:val="0"/>
          <w:sz w:val="24"/>
          <w:szCs w:val="24"/>
        </w:rPr>
        <w:instrText xml:space="preserve"> </w:instrText>
      </w:r>
      <w:r>
        <w:rPr>
          <w:rStyle w:val="27"/>
          <w:rFonts w:ascii="宋体" w:hAnsi="宋体"/>
          <w:i w:val="0"/>
          <w:sz w:val="24"/>
          <w:szCs w:val="24"/>
        </w:rPr>
        <w:fldChar w:fldCharType="separate"/>
      </w:r>
      <w:r>
        <w:rPr>
          <w:rStyle w:val="27"/>
          <w:rFonts w:ascii="宋体" w:hAnsi="宋体"/>
          <w:bCs/>
          <w:i w:val="0"/>
          <w:kern w:val="0"/>
          <w:sz w:val="24"/>
          <w:szCs w:val="24"/>
        </w:rPr>
        <w:t>6</w:t>
      </w:r>
      <w:r>
        <w:rPr>
          <w:rStyle w:val="27"/>
          <w:rFonts w:hint="eastAsia" w:ascii="宋体" w:hAnsi="宋体"/>
          <w:bCs/>
          <w:i w:val="0"/>
          <w:kern w:val="0"/>
          <w:sz w:val="24"/>
          <w:szCs w:val="24"/>
        </w:rPr>
        <w:t>、其他要求</w:t>
      </w:r>
      <w:r>
        <w:rPr>
          <w:rFonts w:ascii="宋体" w:hAnsi="宋体"/>
          <w:i w:val="0"/>
          <w:sz w:val="24"/>
          <w:szCs w:val="24"/>
        </w:rPr>
        <w:tab/>
      </w:r>
      <w:r>
        <w:rPr>
          <w:rStyle w:val="27"/>
          <w:rFonts w:ascii="宋体" w:hAnsi="宋体"/>
          <w:i w:val="0"/>
          <w:sz w:val="24"/>
          <w:szCs w:val="24"/>
        </w:rPr>
        <w:fldChar w:fldCharType="end"/>
      </w:r>
    </w:p>
    <w:p>
      <w:pPr>
        <w:pStyle w:val="13"/>
        <w:spacing w:line="300" w:lineRule="exact"/>
        <w:rPr>
          <w:rFonts w:ascii="宋体" w:hAnsi="宋体"/>
          <w:smallCaps w:val="0"/>
          <w:sz w:val="24"/>
          <w:szCs w:val="24"/>
        </w:rPr>
      </w:pPr>
      <w:r>
        <w:rPr>
          <w:rStyle w:val="27"/>
          <w:rFonts w:ascii="宋体" w:hAnsi="宋体"/>
          <w:sz w:val="24"/>
          <w:szCs w:val="24"/>
        </w:rPr>
        <w:fldChar w:fldCharType="begin"/>
      </w:r>
      <w:r>
        <w:rPr>
          <w:rStyle w:val="27"/>
          <w:rFonts w:ascii="宋体" w:hAnsi="宋体"/>
          <w:sz w:val="24"/>
          <w:szCs w:val="24"/>
        </w:rPr>
        <w:instrText xml:space="preserve"> </w:instrText>
      </w:r>
      <w:r>
        <w:rPr>
          <w:rFonts w:ascii="宋体" w:hAnsi="宋体"/>
          <w:sz w:val="24"/>
          <w:szCs w:val="24"/>
        </w:rPr>
        <w:instrText xml:space="preserve">HYPERLINK \l "_Toc67558634"</w:instrText>
      </w:r>
      <w:r>
        <w:rPr>
          <w:rStyle w:val="27"/>
          <w:rFonts w:ascii="宋体" w:hAnsi="宋体"/>
          <w:sz w:val="24"/>
          <w:szCs w:val="24"/>
        </w:rPr>
        <w:instrText xml:space="preserve"> </w:instrText>
      </w:r>
      <w:r>
        <w:rPr>
          <w:rStyle w:val="27"/>
          <w:rFonts w:ascii="宋体" w:hAnsi="宋体"/>
          <w:sz w:val="24"/>
          <w:szCs w:val="24"/>
        </w:rPr>
        <w:fldChar w:fldCharType="separate"/>
      </w:r>
      <w:r>
        <w:rPr>
          <w:rStyle w:val="27"/>
          <w:rFonts w:hint="eastAsia" w:ascii="宋体" w:hAnsi="宋体"/>
          <w:bCs/>
          <w:kern w:val="0"/>
          <w:sz w:val="24"/>
          <w:szCs w:val="24"/>
        </w:rPr>
        <w:t>采购一览表及技术参数</w:t>
      </w:r>
      <w:r>
        <w:rPr>
          <w:rFonts w:ascii="宋体" w:hAnsi="宋体"/>
          <w:sz w:val="24"/>
          <w:szCs w:val="24"/>
        </w:rPr>
        <w:tab/>
      </w:r>
      <w:r>
        <w:rPr>
          <w:rStyle w:val="27"/>
          <w:rFonts w:ascii="宋体" w:hAnsi="宋体"/>
          <w:sz w:val="24"/>
          <w:szCs w:val="24"/>
        </w:rPr>
        <w:fldChar w:fldCharType="end"/>
      </w:r>
    </w:p>
    <w:p>
      <w:pPr>
        <w:pStyle w:val="8"/>
        <w:spacing w:line="300" w:lineRule="exact"/>
        <w:rPr>
          <w:rStyle w:val="27"/>
          <w:rFonts w:hint="eastAsia" w:ascii="宋体" w:hAnsi="宋体" w:cs="宋体"/>
          <w:i w:val="0"/>
          <w:iCs w:val="0"/>
          <w:kern w:val="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041" w:left="1474" w:header="1021" w:footer="1021" w:gutter="0"/>
          <w:pgNumType w:start="0"/>
          <w:cols w:space="720" w:num="1"/>
          <w:titlePg/>
          <w:docGrid w:linePitch="312" w:charSpace="0"/>
        </w:sectPr>
      </w:pPr>
      <w:r>
        <w:rPr>
          <w:rFonts w:hint="eastAsia" w:ascii="宋体" w:hAnsi="宋体" w:cs="宋体"/>
          <w:i w:val="0"/>
          <w:iCs w:val="0"/>
          <w:kern w:val="0"/>
          <w:sz w:val="24"/>
          <w:szCs w:val="24"/>
        </w:rPr>
        <w:fldChar w:fldCharType="end"/>
      </w:r>
    </w:p>
    <w:p>
      <w:pPr>
        <w:pStyle w:val="32"/>
        <w:ind w:firstLine="0" w:firstLineChars="0"/>
        <w:rPr>
          <w:rFonts w:hint="eastAsia"/>
        </w:rPr>
      </w:pPr>
      <w:bookmarkStart w:id="0" w:name="_Toc325725996"/>
    </w:p>
    <w:p>
      <w:pPr>
        <w:pStyle w:val="4"/>
        <w:rPr>
          <w:rFonts w:hint="eastAsia"/>
        </w:rPr>
      </w:pPr>
      <w:bookmarkStart w:id="1" w:name="_Toc67558555"/>
      <w:r>
        <w:rPr>
          <w:rFonts w:hint="eastAsia"/>
        </w:rPr>
        <w:t>第一部分  投标人须知前附表</w:t>
      </w:r>
      <w:bookmarkEnd w:id="1"/>
    </w:p>
    <w:bookmarkEnd w:id="0"/>
    <w:tbl>
      <w:tblPr>
        <w:tblStyle w:val="1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采购项目名称</w:t>
            </w:r>
          </w:p>
        </w:tc>
        <w:tc>
          <w:tcPr>
            <w:tcW w:w="7443" w:type="dxa"/>
            <w:noWrap w:val="0"/>
            <w:vAlign w:val="center"/>
          </w:tcPr>
          <w:p>
            <w:pPr>
              <w:widowControl/>
              <w:spacing w:line="340" w:lineRule="exact"/>
              <w:ind w:firstLine="0" w:firstLineChars="0"/>
              <w:rPr>
                <w:rFonts w:hint="eastAsia" w:ascii="宋体" w:hAnsi="宋体"/>
                <w:spacing w:val="-2"/>
                <w:kern w:val="16"/>
                <w:lang w:eastAsia="zh-CN"/>
              </w:rPr>
            </w:pPr>
            <w:r>
              <w:rPr>
                <w:rFonts w:hint="eastAsia" w:ascii="宋体" w:hAnsi="宋体"/>
                <w:spacing w:val="-2"/>
                <w:kern w:val="16"/>
                <w:lang w:eastAsia="zh-CN"/>
              </w:rPr>
              <w:t>海南州职业技术学校大数据技术专业建设项目</w:t>
            </w:r>
          </w:p>
          <w:p>
            <w:pPr>
              <w:widowControl/>
              <w:spacing w:line="340" w:lineRule="exact"/>
              <w:ind w:firstLine="0" w:firstLineChars="0"/>
              <w:rPr>
                <w:rFonts w:hint="eastAsia" w:ascii="宋体" w:hAnsi="宋体" w:eastAsia="宋体" w:cs="宋体"/>
                <w:kern w:val="0"/>
                <w:lang w:val="en-US" w:eastAsia="zh-CN"/>
              </w:rPr>
            </w:pPr>
            <w:r>
              <w:rPr>
                <w:rFonts w:hint="eastAsia" w:ascii="宋体" w:hAnsi="宋体"/>
                <w:spacing w:val="-2"/>
                <w:kern w:val="16"/>
                <w:lang w:eastAsia="zh-CN"/>
              </w:rPr>
              <w:t>（包二：</w:t>
            </w:r>
            <w:r>
              <w:rPr>
                <w:rFonts w:hint="eastAsia" w:ascii="宋体" w:hAnsi="宋体"/>
                <w:spacing w:val="-2"/>
                <w:kern w:val="16"/>
                <w:lang w:val="en-US" w:eastAsia="zh-CN"/>
              </w:rPr>
              <w:t>大数据</w:t>
            </w:r>
            <w:r>
              <w:rPr>
                <w:rFonts w:hint="eastAsia" w:ascii="宋体" w:hAnsi="宋体"/>
                <w:spacing w:val="-2"/>
                <w:kern w:val="16"/>
                <w:lang w:eastAsia="zh-CN"/>
              </w:rPr>
              <w:t>智慧教室建设）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采购项目编号</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spacing w:val="-2"/>
                <w:kern w:val="16"/>
                <w:lang w:eastAsia="zh-CN"/>
              </w:rPr>
              <w:t>南</w:t>
            </w:r>
            <w:r>
              <w:rPr>
                <w:rFonts w:hint="eastAsia" w:ascii="宋体" w:hAnsi="宋体"/>
                <w:spacing w:val="-2"/>
                <w:kern w:val="16"/>
              </w:rPr>
              <w:t>政采公</w:t>
            </w:r>
            <w:r>
              <w:rPr>
                <w:rFonts w:hint="eastAsia" w:ascii="宋体" w:hAnsi="宋体"/>
                <w:spacing w:val="-2"/>
                <w:kern w:val="16"/>
                <w:lang w:eastAsia="zh-CN"/>
              </w:rPr>
              <w:t>招（货物</w:t>
            </w:r>
            <w:r>
              <w:rPr>
                <w:rFonts w:hint="eastAsia" w:ascii="宋体" w:hAnsi="宋体"/>
                <w:spacing w:val="-2"/>
                <w:kern w:val="16"/>
              </w:rPr>
              <w:t>）</w:t>
            </w:r>
            <w:r>
              <w:rPr>
                <w:rFonts w:hint="eastAsia" w:ascii="宋体" w:hAnsi="宋体"/>
                <w:spacing w:val="-2"/>
                <w:kern w:val="16"/>
                <w:lang w:val="en-US" w:eastAsia="zh-CN"/>
              </w:rPr>
              <w:t>2022-13</w:t>
            </w:r>
            <w:r>
              <w:rPr>
                <w:rFonts w:hint="eastAsia" w:ascii="宋体" w:hAnsi="宋体"/>
                <w:spacing w:val="-2"/>
                <w:kern w:val="1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采购方式</w:t>
            </w:r>
          </w:p>
        </w:tc>
        <w:tc>
          <w:tcPr>
            <w:tcW w:w="7443"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采购预算额度</w:t>
            </w:r>
          </w:p>
        </w:tc>
        <w:tc>
          <w:tcPr>
            <w:tcW w:w="7443" w:type="dxa"/>
            <w:noWrap w:val="0"/>
            <w:vAlign w:val="center"/>
          </w:tcPr>
          <w:p>
            <w:pPr>
              <w:widowControl/>
              <w:spacing w:line="340" w:lineRule="exact"/>
              <w:ind w:firstLine="0" w:firstLineChars="0"/>
              <w:rPr>
                <w:rFonts w:hint="eastAsia" w:ascii="宋体" w:hAnsi="宋体" w:cs="宋体"/>
                <w:kern w:val="0"/>
              </w:rPr>
            </w:pPr>
            <w:r>
              <w:rPr>
                <w:rFonts w:hint="eastAsia" w:ascii="宋体" w:hAnsi="宋体" w:cs="宋体"/>
                <w:bCs/>
                <w:lang w:val="en-US" w:eastAsia="zh-CN"/>
              </w:rPr>
              <w:t>300</w:t>
            </w:r>
            <w:r>
              <w:rPr>
                <w:rFonts w:hint="eastAsia" w:ascii="宋体" w:hAnsi="宋体" w:cs="宋体"/>
                <w:szCs w:val="21"/>
              </w:rPr>
              <w:t>万</w:t>
            </w:r>
            <w:r>
              <w:rPr>
                <w:rFonts w:hint="eastAsia" w:ascii="宋体" w:hAnsi="宋体" w:cs="宋体"/>
                <w:kern w:val="0"/>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项目分包个数</w:t>
            </w:r>
          </w:p>
        </w:tc>
        <w:tc>
          <w:tcPr>
            <w:tcW w:w="7443" w:type="dxa"/>
            <w:noWrap w:val="0"/>
            <w:vAlign w:val="center"/>
          </w:tcPr>
          <w:p>
            <w:pPr>
              <w:widowControl/>
              <w:spacing w:line="340" w:lineRule="exact"/>
              <w:ind w:firstLine="0" w:firstLineChars="0"/>
              <w:rPr>
                <w:rFonts w:hint="eastAsia"/>
                <w:lang w:val="en-US" w:eastAsia="zh-CN"/>
              </w:rPr>
            </w:pPr>
            <w:r>
              <w:rPr>
                <w:rFonts w:hint="eastAsia"/>
                <w:lang w:val="en-US" w:eastAsia="zh-CN"/>
              </w:rPr>
              <w:t>2</w:t>
            </w:r>
            <w:r>
              <w:rPr>
                <w:rFonts w:hint="eastAsia"/>
              </w:rPr>
              <w:t>个包</w:t>
            </w:r>
            <w:r>
              <w:rPr>
                <w:rFonts w:hint="eastAsia"/>
                <w:lang w:val="en-US" w:eastAsia="zh-CN"/>
              </w:rPr>
              <w:t xml:space="preserve">  </w:t>
            </w:r>
          </w:p>
          <w:p>
            <w:pPr>
              <w:widowControl/>
              <w:spacing w:line="340" w:lineRule="exact"/>
              <w:ind w:firstLine="0" w:firstLineChars="0"/>
              <w:rPr>
                <w:rFonts w:hint="default"/>
                <w:lang w:val="en-US" w:eastAsia="zh-CN"/>
              </w:rPr>
            </w:pPr>
            <w:r>
              <w:rPr>
                <w:rFonts w:hint="eastAsia"/>
                <w:lang w:val="en-US" w:eastAsia="zh-CN"/>
              </w:rPr>
              <w:t>包二：预算额度：130万元（人民币）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hint="eastAsia" w:ascii="宋体" w:hAnsi="宋体" w:cs="宋体"/>
                <w:kern w:val="0"/>
              </w:rPr>
              <w:t>采购要求</w:t>
            </w:r>
          </w:p>
        </w:tc>
        <w:tc>
          <w:tcPr>
            <w:tcW w:w="7443" w:type="dxa"/>
            <w:noWrap w:val="0"/>
            <w:vAlign w:val="top"/>
          </w:tcPr>
          <w:p>
            <w:pPr>
              <w:pStyle w:val="33"/>
              <w:spacing w:before="156" w:after="156" w:line="340" w:lineRule="exact"/>
              <w:ind w:firstLine="0" w:firstLineChars="0"/>
              <w:jc w:val="both"/>
              <w:rPr>
                <w:kern w:val="16"/>
                <w:lang w:eastAsia="zh-CN"/>
              </w:rPr>
            </w:pPr>
            <w:r>
              <w:rPr>
                <w:rFonts w:hint="eastAsia"/>
                <w:kern w:val="16"/>
                <w:lang w:eastAsia="zh-CN"/>
              </w:rPr>
              <w:t>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供应商资格条件</w:t>
            </w:r>
          </w:p>
        </w:tc>
        <w:tc>
          <w:tcPr>
            <w:tcW w:w="7443" w:type="dxa"/>
            <w:noWrap w:val="0"/>
            <w:vAlign w:val="center"/>
          </w:tcPr>
          <w:p>
            <w:pPr>
              <w:widowControl/>
              <w:spacing w:line="340" w:lineRule="exact"/>
              <w:ind w:firstLine="0" w:firstLineChars="0"/>
              <w:jc w:val="left"/>
              <w:rPr>
                <w:rFonts w:hint="eastAsia" w:ascii="宋体" w:hAnsi="宋体" w:cs="宋体"/>
                <w:kern w:val="0"/>
              </w:rPr>
            </w:pPr>
            <w:r>
              <w:rPr>
                <w:rFonts w:hint="eastAsia" w:ascii="宋体" w:hAnsi="宋体" w:cs="宋体"/>
                <w:kern w:val="0"/>
              </w:rPr>
              <w:t>1、应具备《政府采购法》第22条所规定的条件：</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（1）投标人的营业执照等证明文件，自然人的身份证明；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（2）财务状况报告和依法缴纳税收和社会保障资金的相关材料；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（3）具备履行合同所必须的设备和专业技术能力的证明材料；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（4）参加政府采购活动前3年内在经营活动中没有重大违法记录的书面声明；</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（5）具备法律、行政法规规定的其他条件的证明材料。</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2、经信用中国（www.creditchina.gov.cn）、中国政府采购网（www.ccgp.gov.cn）等渠道查询后，列入失信被执行人、重大税收违法案件当事人名单、政府采购严重违法失信行为记录名单的，取消投标资格。</w:t>
            </w:r>
          </w:p>
          <w:p>
            <w:pPr>
              <w:widowControl/>
              <w:spacing w:line="340" w:lineRule="exact"/>
              <w:ind w:firstLine="0" w:firstLineChars="0"/>
              <w:jc w:val="left"/>
              <w:rPr>
                <w:rFonts w:hint="eastAsia" w:ascii="宋体" w:hAnsi="宋体" w:cs="宋体"/>
                <w:kern w:val="0"/>
              </w:rPr>
            </w:pPr>
            <w:r>
              <w:rPr>
                <w:rFonts w:hint="eastAsia" w:ascii="宋体" w:hAnsi="宋体" w:cs="宋体"/>
                <w:kern w:val="0"/>
              </w:rPr>
              <w:t>3、单位负责人为同一人或者存在直接控股、管理关系的不同供应商，不得参加同一合同项下的政府采购活动。否则，皆取消投标资格。</w:t>
            </w:r>
          </w:p>
          <w:p>
            <w:pPr>
              <w:autoSpaceDE w:val="0"/>
              <w:autoSpaceDN w:val="0"/>
              <w:spacing w:line="360" w:lineRule="auto"/>
              <w:ind w:left="0" w:leftChars="0" w:firstLine="0" w:firstLineChars="0"/>
              <w:jc w:val="left"/>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投标人具有</w:t>
            </w:r>
            <w:r>
              <w:rPr>
                <w:rFonts w:hint="eastAsia" w:ascii="宋体" w:hAnsi="宋体" w:cs="宋体"/>
                <w:kern w:val="0"/>
              </w:rPr>
              <w:t>履行及实施本项目的专业</w:t>
            </w:r>
            <w:r>
              <w:rPr>
                <w:rFonts w:hint="eastAsia" w:ascii="宋体" w:hAnsi="宋体" w:cs="宋体"/>
                <w:kern w:val="0"/>
                <w:lang w:val="zh-CN"/>
              </w:rPr>
              <w:t>人员、设备、资金等方面的能力；</w:t>
            </w:r>
          </w:p>
          <w:p>
            <w:pPr>
              <w:widowControl/>
              <w:spacing w:line="340" w:lineRule="exact"/>
              <w:ind w:firstLine="0" w:firstLineChars="0"/>
              <w:jc w:val="left"/>
              <w:rPr>
                <w:rFonts w:ascii="宋体" w:hAnsi="宋体" w:cs="宋体"/>
                <w:kern w:val="0"/>
              </w:rPr>
            </w:pPr>
            <w:r>
              <w:rPr>
                <w:rFonts w:hint="eastAsia" w:ascii="宋体" w:hAnsi="宋体" w:cs="宋体"/>
                <w:kern w:val="0"/>
              </w:rPr>
              <w:t>5、本项目不接受供应商以联合体方式进行投标。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widowControl/>
              <w:spacing w:line="340" w:lineRule="exact"/>
              <w:ind w:firstLine="0" w:firstLineChars="0"/>
              <w:jc w:val="left"/>
              <w:rPr>
                <w:rFonts w:ascii="宋体" w:hAnsi="宋体" w:cs="宋体"/>
                <w:kern w:val="0"/>
              </w:rPr>
            </w:pPr>
            <w:r>
              <w:rPr>
                <w:rFonts w:ascii="宋体" w:hAnsi="宋体" w:cs="宋体"/>
                <w:kern w:val="0"/>
              </w:rPr>
              <w:t>公告发布时间</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color w:val="FF0000"/>
                <w:kern w:val="0"/>
                <w:lang w:val="en-US" w:eastAsia="zh-CN"/>
              </w:rPr>
              <w:t>2022</w:t>
            </w:r>
            <w:r>
              <w:rPr>
                <w:rFonts w:hint="eastAsia" w:ascii="宋体" w:hAnsi="宋体" w:cs="宋体"/>
                <w:color w:val="FF0000"/>
                <w:kern w:val="0"/>
                <w:lang w:val="zh-CN"/>
              </w:rPr>
              <w:t>年</w:t>
            </w:r>
            <w:r>
              <w:rPr>
                <w:rFonts w:hint="eastAsia" w:ascii="宋体" w:hAnsi="宋体" w:cs="宋体"/>
                <w:color w:val="FF0000"/>
                <w:kern w:val="0"/>
                <w:lang w:val="en-US" w:eastAsia="zh-CN"/>
              </w:rPr>
              <w:t>7</w:t>
            </w:r>
            <w:r>
              <w:rPr>
                <w:rFonts w:hint="eastAsia" w:ascii="宋体" w:hAnsi="宋体" w:cs="宋体"/>
                <w:color w:val="FF0000"/>
                <w:kern w:val="0"/>
                <w:lang w:val="zh-CN"/>
              </w:rPr>
              <w:t>月</w:t>
            </w:r>
            <w:r>
              <w:rPr>
                <w:rFonts w:hint="eastAsia" w:ascii="宋体" w:hAnsi="宋体" w:cs="宋体"/>
                <w:color w:val="FF0000"/>
                <w:kern w:val="0"/>
                <w:lang w:val="en-US" w:eastAsia="zh-CN"/>
              </w:rPr>
              <w:t>14</w:t>
            </w:r>
            <w:r>
              <w:rPr>
                <w:rFonts w:hint="eastAsia" w:ascii="宋体" w:hAnsi="宋体" w:cs="宋体"/>
                <w:color w:val="FF0000"/>
                <w:kern w:val="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获取招标文件的时间期限</w:t>
            </w:r>
          </w:p>
        </w:tc>
        <w:tc>
          <w:tcPr>
            <w:tcW w:w="7443" w:type="dxa"/>
            <w:noWrap w:val="0"/>
            <w:vAlign w:val="center"/>
          </w:tcPr>
          <w:p>
            <w:pPr>
              <w:autoSpaceDE w:val="0"/>
              <w:autoSpaceDN w:val="0"/>
              <w:adjustRightInd w:val="0"/>
              <w:spacing w:line="360" w:lineRule="auto"/>
              <w:ind w:left="0" w:leftChars="0" w:firstLine="0" w:firstLineChars="0"/>
              <w:jc w:val="left"/>
              <w:rPr>
                <w:rFonts w:hint="eastAsia" w:ascii="宋体" w:hAnsi="宋体" w:cs="宋体"/>
                <w:color w:val="FF0000"/>
                <w:kern w:val="0"/>
                <w:lang w:val="zh-CN"/>
              </w:rPr>
            </w:pPr>
            <w:r>
              <w:rPr>
                <w:rFonts w:hint="eastAsia" w:ascii="宋体" w:hAnsi="宋体" w:cs="宋体"/>
                <w:color w:val="FF0000"/>
                <w:kern w:val="0"/>
              </w:rPr>
              <w:t>202</w:t>
            </w:r>
            <w:r>
              <w:rPr>
                <w:rFonts w:hint="eastAsia" w:ascii="宋体" w:hAnsi="宋体" w:cs="宋体"/>
                <w:color w:val="FF0000"/>
                <w:kern w:val="0"/>
                <w:lang w:val="en-US" w:eastAsia="zh-CN"/>
              </w:rPr>
              <w:t>2</w:t>
            </w:r>
            <w:r>
              <w:rPr>
                <w:rFonts w:hint="eastAsia" w:ascii="宋体" w:hAnsi="宋体" w:cs="宋体"/>
                <w:color w:val="FF0000"/>
                <w:kern w:val="0"/>
                <w:lang w:val="zh-CN"/>
              </w:rPr>
              <w:t>年</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月</w:t>
            </w:r>
            <w:r>
              <w:rPr>
                <w:rFonts w:hint="eastAsia" w:ascii="宋体" w:hAnsi="宋体" w:cs="宋体"/>
                <w:color w:val="FF0000"/>
                <w:kern w:val="0"/>
                <w:lang w:val="en-US" w:eastAsia="zh-CN"/>
              </w:rPr>
              <w:t>15</w:t>
            </w:r>
            <w:r>
              <w:rPr>
                <w:rFonts w:hint="eastAsia" w:ascii="宋体" w:hAnsi="宋体" w:cs="宋体"/>
                <w:color w:val="FF0000"/>
                <w:kern w:val="0"/>
                <w:lang w:val="zh-CN"/>
              </w:rPr>
              <w:t>日</w:t>
            </w:r>
            <w:r>
              <w:rPr>
                <w:rFonts w:hint="eastAsia" w:ascii="宋体" w:hAnsi="宋体" w:cs="宋体"/>
                <w:color w:val="FF0000"/>
                <w:kern w:val="0"/>
                <w:u w:val="dashDotHeavy"/>
                <w:lang w:val="zh-CN"/>
              </w:rPr>
              <w:t>至</w:t>
            </w:r>
            <w:r>
              <w:rPr>
                <w:rFonts w:hint="eastAsia" w:ascii="宋体" w:hAnsi="宋体" w:cs="宋体"/>
                <w:color w:val="FF0000"/>
                <w:kern w:val="0"/>
                <w:u w:val="dashDotHeavy"/>
                <w:lang w:val="en-US" w:eastAsia="zh-CN"/>
              </w:rPr>
              <w:t>7</w:t>
            </w:r>
            <w:r>
              <w:rPr>
                <w:rFonts w:hint="eastAsia" w:ascii="宋体" w:hAnsi="宋体" w:cs="宋体"/>
                <w:color w:val="FF0000"/>
                <w:kern w:val="0"/>
                <w:lang w:val="zh-CN"/>
              </w:rPr>
              <w:t>月</w:t>
            </w:r>
            <w:r>
              <w:rPr>
                <w:rFonts w:hint="eastAsia" w:ascii="宋体" w:hAnsi="宋体" w:cs="宋体"/>
                <w:color w:val="FF0000"/>
                <w:kern w:val="0"/>
                <w:u w:val="dashDotHeavy"/>
                <w:lang w:val="en-US" w:eastAsia="zh-CN"/>
              </w:rPr>
              <w:t>21</w:t>
            </w:r>
            <w:r>
              <w:rPr>
                <w:rFonts w:hint="eastAsia" w:ascii="宋体" w:hAnsi="宋体" w:cs="宋体"/>
                <w:color w:val="FF0000"/>
                <w:kern w:val="0"/>
                <w:lang w:val="zh-CN"/>
              </w:rPr>
              <w:t>日，每天上午</w:t>
            </w:r>
            <w:r>
              <w:rPr>
                <w:rFonts w:hint="eastAsia" w:ascii="宋体" w:hAnsi="宋体" w:cs="宋体"/>
                <w:color w:val="FF0000"/>
                <w:kern w:val="0"/>
              </w:rPr>
              <w:t>9</w:t>
            </w:r>
            <w:r>
              <w:rPr>
                <w:rFonts w:hint="eastAsia" w:ascii="宋体" w:hAnsi="宋体" w:cs="宋体"/>
                <w:color w:val="FF0000"/>
                <w:kern w:val="0"/>
                <w:lang w:val="zh-CN"/>
              </w:rPr>
              <w:t>:</w:t>
            </w:r>
            <w:r>
              <w:rPr>
                <w:rFonts w:hint="eastAsia" w:ascii="宋体" w:hAnsi="宋体" w:cs="宋体"/>
                <w:color w:val="FF0000"/>
                <w:kern w:val="0"/>
              </w:rPr>
              <w:t>0</w:t>
            </w:r>
            <w:r>
              <w:rPr>
                <w:rFonts w:hint="eastAsia" w:ascii="宋体" w:hAnsi="宋体" w:cs="宋体"/>
                <w:color w:val="FF0000"/>
                <w:kern w:val="0"/>
                <w:lang w:val="zh-CN"/>
              </w:rPr>
              <w:t>0-12:00,下午2:30-</w:t>
            </w:r>
            <w:r>
              <w:rPr>
                <w:rFonts w:hint="eastAsia" w:ascii="宋体" w:hAnsi="宋体" w:cs="宋体"/>
                <w:color w:val="FF0000"/>
                <w:kern w:val="0"/>
              </w:rPr>
              <w:t>5</w:t>
            </w:r>
            <w:r>
              <w:rPr>
                <w:rFonts w:hint="eastAsia" w:ascii="宋体" w:hAnsi="宋体" w:cs="宋体"/>
                <w:color w:val="FF0000"/>
                <w:kern w:val="0"/>
                <w:lang w:val="zh-CN"/>
              </w:rPr>
              <w:t>:</w:t>
            </w:r>
            <w:r>
              <w:rPr>
                <w:rFonts w:hint="eastAsia" w:ascii="宋体" w:hAnsi="宋体" w:cs="宋体"/>
                <w:color w:val="FF0000"/>
                <w:kern w:val="0"/>
              </w:rPr>
              <w:t>3</w:t>
            </w:r>
            <w:r>
              <w:rPr>
                <w:rFonts w:hint="eastAsia" w:ascii="宋体" w:hAnsi="宋体" w:cs="宋体"/>
                <w:color w:val="FF0000"/>
                <w:kern w:val="0"/>
                <w:lang w:val="zh-CN"/>
              </w:rPr>
              <w:t>0；（节假日除外</w:t>
            </w:r>
            <w:r>
              <w:rPr>
                <w:rFonts w:hint="eastAsia" w:ascii="宋体" w:hAnsi="宋体" w:cs="宋体"/>
                <w:color w:val="FF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ascii="宋体" w:hAnsi="宋体" w:cs="宋体"/>
                <w:kern w:val="0"/>
              </w:rPr>
            </w:pPr>
            <w:r>
              <w:rPr>
                <w:rFonts w:hint="eastAsia" w:ascii="宋体" w:hAnsi="宋体" w:cs="宋体"/>
                <w:color w:val="000000"/>
                <w:kern w:val="0"/>
                <w:lang w:val="zh-CN"/>
              </w:rPr>
              <w:t>获取招标文件方式</w:t>
            </w:r>
          </w:p>
        </w:tc>
        <w:tc>
          <w:tcPr>
            <w:tcW w:w="7443" w:type="dxa"/>
            <w:noWrap w:val="0"/>
            <w:vAlign w:val="center"/>
          </w:tcPr>
          <w:p>
            <w:pPr>
              <w:rPr>
                <w:rFonts w:hint="default"/>
                <w:lang w:val="en-US"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left"/>
              <w:rPr>
                <w:rFonts w:hint="eastAsia" w:ascii="宋体" w:hAnsi="宋体" w:cs="宋体"/>
                <w:kern w:val="0"/>
              </w:rPr>
            </w:pPr>
            <w:r>
              <w:rPr>
                <w:rFonts w:hint="eastAsia" w:ascii="宋体" w:hAnsi="宋体" w:cs="宋体"/>
                <w:color w:val="000000"/>
                <w:kern w:val="0"/>
                <w:lang w:val="zh-CN"/>
              </w:rPr>
              <w:t>招标文件售价</w:t>
            </w:r>
          </w:p>
        </w:tc>
        <w:tc>
          <w:tcPr>
            <w:tcW w:w="7443" w:type="dxa"/>
            <w:noWrap w:val="0"/>
            <w:vAlign w:val="center"/>
          </w:tcPr>
          <w:p>
            <w:pPr>
              <w:pStyle w:val="7"/>
              <w:spacing w:line="360" w:lineRule="auto"/>
              <w:ind w:left="0" w:leftChars="0" w:firstLine="0" w:firstLineChars="0"/>
              <w:jc w:val="left"/>
              <w:rPr>
                <w:rFonts w:ascii="宋体" w:hAnsi="宋体" w:cs="宋体"/>
                <w:kern w:val="0"/>
              </w:rPr>
            </w:pPr>
            <w:r>
              <w:rPr>
                <w:rFonts w:hint="eastAsia" w:ascii="宋体" w:hAnsi="宋体" w:cs="宋体"/>
                <w:color w:val="000000"/>
                <w:kern w:val="0"/>
                <w:u w:val="dashDotHeavy"/>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获取招标文件时应提供材料</w:t>
            </w:r>
          </w:p>
        </w:tc>
        <w:tc>
          <w:tcPr>
            <w:tcW w:w="7443" w:type="dxa"/>
            <w:noWrap w:val="0"/>
            <w:vAlign w:val="center"/>
          </w:tcPr>
          <w:p>
            <w:pPr>
              <w:pStyle w:val="34"/>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1"/>
                <w:szCs w:val="24"/>
                <w:lang w:val="zh-CN" w:eastAsia="zh-CN" w:bidi="ar-SA"/>
              </w:rPr>
              <w:t>营业执照副本复印件（加盖单位公章）、法定代表人证明书、法定代表人授权委托书（参考</w:t>
            </w:r>
            <w:r>
              <w:rPr>
                <w:rFonts w:hint="eastAsia" w:ascii="宋体" w:hAnsi="宋体" w:cs="宋体"/>
                <w:color w:val="auto"/>
                <w:kern w:val="0"/>
                <w:sz w:val="21"/>
                <w:szCs w:val="24"/>
                <w:lang w:val="zh-CN" w:eastAsia="zh-CN" w:bidi="ar-SA"/>
              </w:rPr>
              <w:t>招标</w:t>
            </w:r>
            <w:r>
              <w:rPr>
                <w:rFonts w:hint="eastAsia" w:ascii="宋体" w:hAnsi="宋体" w:eastAsia="宋体" w:cs="宋体"/>
                <w:color w:val="auto"/>
                <w:kern w:val="0"/>
                <w:sz w:val="21"/>
                <w:szCs w:val="24"/>
                <w:lang w:val="zh-CN" w:eastAsia="zh-CN" w:bidi="ar-SA"/>
              </w:rPr>
              <w:t>文件格式（</w:t>
            </w:r>
            <w:r>
              <w:rPr>
                <w:rFonts w:hint="eastAsia" w:ascii="宋体" w:hAnsi="宋体" w:eastAsia="宋体" w:cs="宋体"/>
                <w:color w:val="auto"/>
                <w:kern w:val="0"/>
                <w:sz w:val="21"/>
                <w:szCs w:val="24"/>
                <w:lang w:val="en-US" w:eastAsia="zh-CN" w:bidi="ar-SA"/>
              </w:rPr>
              <w:t>2、3</w:t>
            </w:r>
            <w:r>
              <w:rPr>
                <w:rFonts w:hint="eastAsia" w:ascii="宋体" w:hAnsi="宋体" w:eastAsia="宋体" w:cs="宋体"/>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pStyle w:val="7"/>
              <w:spacing w:line="360" w:lineRule="auto"/>
              <w:ind w:left="0" w:leftChars="0" w:firstLine="0" w:firstLineChars="0"/>
              <w:jc w:val="left"/>
              <w:rPr>
                <w:rFonts w:hint="eastAsia" w:ascii="宋体" w:hAnsi="宋体" w:cs="宋体"/>
                <w:color w:val="000000"/>
                <w:kern w:val="0"/>
                <w:u w:val="dashDotHeavy"/>
              </w:rPr>
            </w:pPr>
            <w:r>
              <w:rPr>
                <w:rFonts w:hint="eastAsia" w:ascii="宋体" w:hAnsi="宋体" w:cs="宋体"/>
                <w:color w:val="auto"/>
                <w:kern w:val="0"/>
                <w:lang w:val="zh-CN"/>
              </w:rPr>
              <w:t>（采购代理机构对以上资料留存备案。）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autoSpaceDE w:val="0"/>
              <w:autoSpaceDN w:val="0"/>
              <w:adjustRightInd w:val="0"/>
              <w:spacing w:line="360" w:lineRule="auto"/>
              <w:ind w:firstLine="420" w:firstLineChars="200"/>
              <w:jc w:val="center"/>
              <w:rPr>
                <w:rFonts w:ascii="宋体" w:hAnsi="宋体" w:cs="宋体"/>
              </w:rPr>
            </w:pPr>
            <w:r>
              <w:rPr>
                <w:rFonts w:hint="eastAsia" w:ascii="宋体" w:hAnsi="宋体" w:eastAsia="宋体" w:cs="宋体"/>
                <w:color w:val="auto"/>
                <w:kern w:val="0"/>
                <w:sz w:val="21"/>
                <w:szCs w:val="24"/>
                <w:lang w:val="zh-CN" w:eastAsia="zh-CN" w:bidi="ar-SA"/>
              </w:rPr>
              <w:t>保证金信息</w:t>
            </w:r>
          </w:p>
        </w:tc>
        <w:tc>
          <w:tcPr>
            <w:tcW w:w="7443" w:type="dxa"/>
            <w:noWrap w:val="0"/>
            <w:vAlign w:val="top"/>
          </w:tcPr>
          <w:p>
            <w:pPr>
              <w:autoSpaceDE w:val="0"/>
              <w:autoSpaceDN w:val="0"/>
              <w:adjustRightInd w:val="0"/>
              <w:spacing w:line="360" w:lineRule="auto"/>
              <w:ind w:left="0" w:leftChars="0" w:firstLine="0" w:firstLineChars="0"/>
              <w:jc w:val="left"/>
              <w:rPr>
                <w:rFonts w:hint="eastAsia"/>
                <w:lang w:val="en-US" w:eastAsia="zh-CN"/>
              </w:rPr>
            </w:pPr>
            <w:r>
              <w:rPr>
                <w:rFonts w:hint="eastAsia"/>
              </w:rPr>
              <w:t>分包编号：南政采公招（</w:t>
            </w:r>
            <w:r>
              <w:rPr>
                <w:rFonts w:hint="eastAsia" w:ascii="宋体" w:hAnsi="宋体"/>
                <w:spacing w:val="-2"/>
                <w:kern w:val="16"/>
                <w:lang w:eastAsia="zh-CN"/>
              </w:rPr>
              <w:t>货物</w:t>
            </w:r>
            <w:r>
              <w:rPr>
                <w:rFonts w:hint="eastAsia"/>
              </w:rPr>
              <w:t>）</w:t>
            </w:r>
            <w:r>
              <w:rPr>
                <w:rFonts w:hint="eastAsia"/>
                <w:lang w:val="en-US" w:eastAsia="zh-CN"/>
              </w:rPr>
              <w:t>2022-13-2</w:t>
            </w:r>
          </w:p>
          <w:p>
            <w:pPr>
              <w:autoSpaceDE w:val="0"/>
              <w:autoSpaceDN w:val="0"/>
              <w:adjustRightInd w:val="0"/>
              <w:spacing w:line="360" w:lineRule="auto"/>
              <w:ind w:left="0" w:leftChars="0" w:firstLine="0" w:firstLineChars="0"/>
              <w:jc w:val="left"/>
              <w:rPr>
                <w:rFonts w:hint="eastAsia" w:ascii="宋体" w:hAnsi="宋体"/>
                <w:spacing w:val="-2"/>
                <w:kern w:val="16"/>
                <w:lang w:eastAsia="zh-CN"/>
              </w:rPr>
            </w:pPr>
            <w:r>
              <w:t>名称</w:t>
            </w:r>
            <w:r>
              <w:rPr>
                <w:rFonts w:hint="eastAsia"/>
              </w:rPr>
              <w:t>：</w:t>
            </w:r>
            <w:r>
              <w:rPr>
                <w:rFonts w:hint="eastAsia" w:ascii="宋体" w:hAnsi="宋体"/>
                <w:spacing w:val="-2"/>
                <w:kern w:val="16"/>
                <w:lang w:eastAsia="zh-CN"/>
              </w:rPr>
              <w:t>海南州职业技术学校校园信息化建设项目（包二：</w:t>
            </w:r>
            <w:r>
              <w:rPr>
                <w:rFonts w:hint="eastAsia" w:ascii="宋体" w:hAnsi="宋体"/>
                <w:spacing w:val="-2"/>
                <w:kern w:val="16"/>
                <w:lang w:val="en-US" w:eastAsia="zh-CN"/>
              </w:rPr>
              <w:t>大数据</w:t>
            </w:r>
            <w:r>
              <w:rPr>
                <w:rFonts w:hint="eastAsia" w:ascii="宋体" w:hAnsi="宋体"/>
                <w:spacing w:val="-2"/>
                <w:kern w:val="16"/>
                <w:lang w:eastAsia="zh-CN"/>
              </w:rPr>
              <w:t>智慧教室建设）分包一</w:t>
            </w:r>
          </w:p>
          <w:p>
            <w:pPr>
              <w:autoSpaceDE w:val="0"/>
              <w:autoSpaceDN w:val="0"/>
              <w:adjustRightInd w:val="0"/>
              <w:spacing w:line="360" w:lineRule="auto"/>
              <w:ind w:left="0" w:leftChars="0" w:firstLine="0" w:firstLineChars="0"/>
              <w:jc w:val="left"/>
            </w:pPr>
            <w:r>
              <w:t>保证金子账号：</w:t>
            </w:r>
          </w:p>
          <w:p>
            <w:pPr>
              <w:autoSpaceDE w:val="0"/>
              <w:autoSpaceDN w:val="0"/>
              <w:adjustRightInd w:val="0"/>
              <w:spacing w:line="360" w:lineRule="auto"/>
              <w:ind w:left="0" w:leftChars="0" w:firstLine="0" w:firstLineChars="0"/>
              <w:jc w:val="left"/>
            </w:pPr>
            <w:r>
              <w:t>[户名：海南州公共资源交易</w:t>
            </w:r>
            <w:r>
              <w:rPr>
                <w:rFonts w:hint="eastAsia"/>
                <w:lang w:eastAsia="zh-CN"/>
              </w:rPr>
              <w:t>有限责任公司</w:t>
            </w:r>
            <w:r>
              <w:t>保证金专户；</w:t>
            </w:r>
          </w:p>
          <w:p>
            <w:pPr>
              <w:autoSpaceDE w:val="0"/>
              <w:autoSpaceDN w:val="0"/>
              <w:adjustRightInd w:val="0"/>
              <w:spacing w:line="360" w:lineRule="auto"/>
              <w:ind w:left="0" w:leftChars="0" w:firstLine="0" w:firstLineChars="0"/>
              <w:jc w:val="left"/>
            </w:pPr>
            <w:r>
              <w:t>开户行：青海银行海南州分行；</w:t>
            </w:r>
          </w:p>
          <w:p>
            <w:pPr>
              <w:autoSpaceDE w:val="0"/>
              <w:autoSpaceDN w:val="0"/>
              <w:adjustRightInd w:val="0"/>
              <w:spacing w:line="360" w:lineRule="auto"/>
              <w:ind w:left="0" w:leftChars="0" w:firstLine="0" w:firstLineChars="0"/>
              <w:jc w:val="left"/>
            </w:pPr>
            <w:r>
              <w:t>子账号：</w:t>
            </w:r>
            <w:r>
              <w:rPr>
                <w:b/>
                <w:bCs/>
              </w:rPr>
              <w:t>7779905201000437695</w:t>
            </w:r>
          </w:p>
          <w:p>
            <w:pPr>
              <w:autoSpaceDE w:val="0"/>
              <w:autoSpaceDN w:val="0"/>
              <w:adjustRightInd w:val="0"/>
              <w:spacing w:line="360" w:lineRule="auto"/>
              <w:ind w:left="0" w:leftChars="0" w:firstLine="0" w:firstLineChars="0"/>
              <w:jc w:val="left"/>
              <w:rPr>
                <w:rFonts w:hint="eastAsia"/>
              </w:rPr>
            </w:pPr>
            <w:r>
              <w:rPr>
                <w:rFonts w:hint="eastAsia"/>
              </w:rPr>
              <w:t>金额：</w:t>
            </w:r>
            <w:r>
              <w:rPr>
                <w:rFonts w:hint="eastAsia"/>
                <w:lang w:val="en-US" w:eastAsia="zh-CN"/>
              </w:rPr>
              <w:t>26000</w:t>
            </w:r>
            <w:bookmarkStart w:id="199" w:name="_GoBack"/>
            <w:bookmarkEnd w:id="199"/>
            <w:r>
              <w:rPr>
                <w:rFonts w:hint="eastAsia"/>
                <w:lang w:val="en-US" w:eastAsia="zh-CN"/>
              </w:rPr>
              <w:t>（贰万陆</w:t>
            </w:r>
            <w:r>
              <w:rPr>
                <w:rFonts w:hint="eastAsia"/>
                <w:lang w:eastAsia="zh-CN"/>
              </w:rPr>
              <w:t>仟元整</w:t>
            </w:r>
            <w:r>
              <w:rPr>
                <w:rFonts w:hint="eastAsia"/>
              </w:rPr>
              <w:t>）</w:t>
            </w:r>
          </w:p>
          <w:p>
            <w:pPr>
              <w:autoSpaceDE w:val="0"/>
              <w:autoSpaceDN w:val="0"/>
              <w:adjustRightInd w:val="0"/>
              <w:spacing w:line="360" w:lineRule="auto"/>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38" w:type="dxa"/>
            <w:noWrap w:val="0"/>
            <w:vAlign w:val="center"/>
          </w:tcPr>
          <w:p>
            <w:pPr>
              <w:widowControl/>
              <w:spacing w:line="340" w:lineRule="exact"/>
              <w:ind w:firstLine="0" w:firstLineChars="0"/>
              <w:rPr>
                <w:rFonts w:hint="eastAsia"/>
                <w:color w:val="0000FF"/>
              </w:rPr>
            </w:pPr>
            <w:r>
              <w:rPr>
                <w:rFonts w:hint="eastAsia" w:ascii="宋体" w:hAnsi="宋体"/>
              </w:rPr>
              <w:t>答疑方式</w:t>
            </w:r>
          </w:p>
        </w:tc>
        <w:tc>
          <w:tcPr>
            <w:tcW w:w="7443" w:type="dxa"/>
            <w:noWrap w:val="0"/>
            <w:vAlign w:val="top"/>
          </w:tcPr>
          <w:p>
            <w:pPr>
              <w:widowControl/>
              <w:spacing w:line="340" w:lineRule="exact"/>
              <w:ind w:firstLine="0" w:firstLineChars="0"/>
              <w:jc w:val="left"/>
              <w:rPr>
                <w:rFonts w:hint="eastAsia"/>
                <w:color w:val="0000FF"/>
              </w:rPr>
            </w:pPr>
            <w:r>
              <w:rPr>
                <w:rFonts w:hint="eastAsia" w:ascii="宋体" w:hAnsi="宋体"/>
              </w:rPr>
              <w:t>评标委员会根据投标情况确定答疑时间，答疑或澄清采用</w:t>
            </w:r>
            <w:r>
              <w:rPr>
                <w:rFonts w:hint="eastAsia" w:ascii="宋体" w:hAnsi="宋体"/>
                <w:lang w:eastAsia="zh-CN"/>
              </w:rPr>
              <w:t>电话或现场答疑</w:t>
            </w:r>
            <w:r>
              <w:rPr>
                <w:rFonts w:hint="eastAsia" w:ascii="宋体" w:hAnsi="宋体"/>
              </w:rPr>
              <w:t>，如</w:t>
            </w:r>
            <w:r>
              <w:rPr>
                <w:rFonts w:hint="eastAsia" w:ascii="宋体" w:hAnsi="宋体" w:cs="宋体"/>
                <w:lang w:val="zh-CN"/>
              </w:rPr>
              <w:t>在规定的时间内联系无果，无法进行电话或答疑者，</w:t>
            </w:r>
            <w:r>
              <w:rPr>
                <w:rFonts w:hint="eastAsia" w:ascii="宋体" w:hAnsi="宋体"/>
              </w:rPr>
              <w:t>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rPr>
              <w:t>提交投标文件及投标方式</w:t>
            </w:r>
          </w:p>
        </w:tc>
        <w:tc>
          <w:tcPr>
            <w:tcW w:w="7443" w:type="dxa"/>
            <w:noWrap w:val="0"/>
            <w:vAlign w:val="top"/>
          </w:tcPr>
          <w:p>
            <w:pPr>
              <w:ind w:left="0" w:leftChars="0" w:firstLine="0" w:firstLine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7443" w:type="dxa"/>
            <w:noWrap w:val="0"/>
            <w:vAlign w:val="center"/>
          </w:tcPr>
          <w:p>
            <w:pPr>
              <w:widowControl/>
              <w:spacing w:line="340" w:lineRule="exact"/>
              <w:ind w:firstLine="0" w:firstLine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color w:val="FF0000"/>
                <w:kern w:val="2"/>
                <w:sz w:val="21"/>
                <w:szCs w:val="24"/>
                <w:lang w:val="en-US" w:eastAsia="zh-CN" w:bidi="ar-SA"/>
              </w:rPr>
              <w:t>2022</w:t>
            </w:r>
            <w:r>
              <w:rPr>
                <w:rFonts w:hint="eastAsia" w:ascii="宋体" w:hAnsi="宋体" w:eastAsiaTheme="minorEastAsia" w:cstheme="minorBidi"/>
                <w:color w:val="FF0000"/>
                <w:kern w:val="2"/>
                <w:sz w:val="21"/>
                <w:szCs w:val="24"/>
                <w:lang w:val="zh-CN" w:eastAsia="zh-CN" w:bidi="ar-SA"/>
              </w:rPr>
              <w:t>年</w:t>
            </w:r>
            <w:r>
              <w:rPr>
                <w:rFonts w:hint="eastAsia" w:ascii="宋体" w:hAnsi="宋体" w:cstheme="minorBidi"/>
                <w:color w:val="FF0000"/>
                <w:kern w:val="2"/>
                <w:sz w:val="21"/>
                <w:szCs w:val="24"/>
                <w:lang w:val="en-US" w:eastAsia="zh-CN" w:bidi="ar-SA"/>
              </w:rPr>
              <w:t>8</w:t>
            </w:r>
            <w:r>
              <w:rPr>
                <w:rFonts w:hint="eastAsia" w:ascii="宋体" w:hAnsi="宋体" w:eastAsiaTheme="minorEastAsia" w:cstheme="minorBidi"/>
                <w:color w:val="FF0000"/>
                <w:kern w:val="2"/>
                <w:sz w:val="21"/>
                <w:szCs w:val="24"/>
                <w:lang w:val="zh-CN" w:eastAsia="zh-CN" w:bidi="ar-SA"/>
              </w:rPr>
              <w:t>月</w:t>
            </w:r>
            <w:r>
              <w:rPr>
                <w:rFonts w:hint="eastAsia" w:ascii="宋体" w:hAnsi="宋体" w:cstheme="minorBidi"/>
                <w:color w:val="FF0000"/>
                <w:kern w:val="2"/>
                <w:sz w:val="21"/>
                <w:szCs w:val="24"/>
                <w:lang w:val="en-US" w:eastAsia="zh-CN" w:bidi="ar-SA"/>
              </w:rPr>
              <w:t>4</w:t>
            </w:r>
            <w:r>
              <w:rPr>
                <w:rFonts w:hint="eastAsia" w:ascii="宋体" w:hAnsi="宋体" w:eastAsiaTheme="minorEastAsia" w:cstheme="minorBidi"/>
                <w:color w:val="FF0000"/>
                <w:kern w:val="2"/>
                <w:sz w:val="21"/>
                <w:szCs w:val="24"/>
                <w:lang w:val="zh-CN" w:eastAsia="zh-CN" w:bidi="ar-SA"/>
              </w:rPr>
              <w:t>日</w:t>
            </w:r>
            <w:r>
              <w:rPr>
                <w:rFonts w:hint="eastAsia" w:ascii="宋体" w:hAnsi="宋体" w:eastAsiaTheme="minorEastAsia" w:cstheme="minorBidi"/>
                <w:color w:val="FF0000"/>
                <w:kern w:val="2"/>
                <w:sz w:val="21"/>
                <w:szCs w:val="24"/>
                <w:lang w:val="en-US" w:eastAsia="zh-CN" w:bidi="ar-SA"/>
              </w:rPr>
              <w:t>14</w:t>
            </w:r>
            <w:r>
              <w:rPr>
                <w:rFonts w:hint="eastAsia" w:ascii="宋体" w:hAnsi="宋体" w:eastAsiaTheme="minorEastAsia" w:cstheme="minorBidi"/>
                <w:color w:val="FF0000"/>
                <w:kern w:val="2"/>
                <w:sz w:val="21"/>
                <w:szCs w:val="24"/>
                <w:lang w:val="zh-CN" w:eastAsia="zh-CN" w:bidi="ar-SA"/>
              </w:rPr>
              <w:t>时</w:t>
            </w:r>
            <w:r>
              <w:rPr>
                <w:rFonts w:hint="eastAsia" w:ascii="宋体" w:hAnsi="宋体" w:eastAsiaTheme="minorEastAsia" w:cstheme="minorBidi"/>
                <w:color w:val="FF0000"/>
                <w:kern w:val="2"/>
                <w:sz w:val="21"/>
                <w:szCs w:val="24"/>
                <w:lang w:val="en-US" w:eastAsia="zh-CN" w:bidi="ar-SA"/>
              </w:rPr>
              <w:t>30</w:t>
            </w:r>
            <w:r>
              <w:rPr>
                <w:rFonts w:hint="eastAsia" w:ascii="宋体" w:hAnsi="宋体" w:eastAsiaTheme="minorEastAsia" w:cstheme="minorBidi"/>
                <w:color w:val="FF0000"/>
                <w:kern w:val="2"/>
                <w:sz w:val="21"/>
                <w:szCs w:val="24"/>
                <w:lang w:val="zh-CN" w:eastAsia="zh-CN" w:bidi="ar-SA"/>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38" w:type="dxa"/>
            <w:noWrap w:val="0"/>
            <w:vAlign w:val="center"/>
          </w:tcPr>
          <w:p>
            <w:pPr>
              <w:autoSpaceDE w:val="0"/>
              <w:autoSpaceDN w:val="0"/>
              <w:adjustRightInd w:val="0"/>
              <w:spacing w:line="360" w:lineRule="auto"/>
              <w:ind w:left="0" w:leftChars="0" w:firstLine="0" w:firstLineChars="0"/>
              <w:jc w:val="both"/>
              <w:rPr>
                <w:rFonts w:ascii="宋体" w:hAnsi="宋体" w:cs="宋体"/>
                <w:kern w:val="0"/>
              </w:rPr>
            </w:pPr>
            <w:r>
              <w:rPr>
                <w:rFonts w:hint="eastAsia" w:ascii="宋体" w:hAnsi="宋体" w:cs="宋体"/>
                <w:color w:val="000000"/>
                <w:kern w:val="0"/>
                <w:lang w:val="zh-CN"/>
              </w:rPr>
              <w:t>投标及开标地点</w:t>
            </w:r>
          </w:p>
        </w:tc>
        <w:tc>
          <w:tcPr>
            <w:tcW w:w="7443" w:type="dxa"/>
            <w:noWrap w:val="0"/>
            <w:vAlign w:val="center"/>
          </w:tcPr>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开标地点</w:t>
            </w:r>
          </w:p>
        </w:tc>
        <w:tc>
          <w:tcPr>
            <w:tcW w:w="7443" w:type="dxa"/>
            <w:noWrap w:val="0"/>
            <w:vAlign w:val="top"/>
          </w:tcPr>
          <w:p>
            <w:pPr>
              <w:pStyle w:val="14"/>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线上：政采云平台https://www.zcygov.cn/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其他事项</w:t>
            </w:r>
          </w:p>
        </w:tc>
        <w:tc>
          <w:tcPr>
            <w:tcW w:w="7443" w:type="dxa"/>
            <w:noWrap w:val="0"/>
            <w:vAlign w:val="top"/>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1.本次招标采用线上提交投标文件的方式进行采购，线上投标文件必须在投标文件递交截止时间前上传平台。</w:t>
            </w:r>
          </w:p>
          <w:p>
            <w:pPr>
              <w:widowControl/>
              <w:spacing w:line="340" w:lineRule="exact"/>
              <w:ind w:firstLine="0" w:firstLineChars="0"/>
              <w:jc w:val="left"/>
              <w:rPr>
                <w:rFonts w:hint="eastAsia" w:ascii="宋体" w:hAnsi="宋体" w:cs="宋体"/>
                <w:b/>
                <w:bCs/>
                <w:lang w:val="zh-CN" w:eastAsia="zh-CN"/>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7443" w:type="dxa"/>
            <w:noWrap w:val="0"/>
            <w:vAlign w:val="center"/>
          </w:tcPr>
          <w:p>
            <w:pPr>
              <w:autoSpaceDE w:val="0"/>
              <w:autoSpaceDN w:val="0"/>
              <w:adjustRightInd w:val="0"/>
              <w:spacing w:line="360" w:lineRule="auto"/>
              <w:ind w:left="0" w:leftChars="0" w:firstLine="0" w:firstLineChars="0"/>
              <w:rPr>
                <w:rFonts w:hint="default"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eastAsia="宋体" w:cs="宋体"/>
                <w:color w:val="000000"/>
                <w:kern w:val="0"/>
                <w:lang w:val="zh-CN"/>
              </w:rPr>
              <w:t>郑</w:t>
            </w:r>
            <w:r>
              <w:rPr>
                <w:rFonts w:hint="eastAsia" w:ascii="宋体" w:hAnsi="宋体" w:cs="宋体"/>
                <w:color w:val="000000"/>
                <w:kern w:val="0"/>
                <w:lang w:val="zh-CN" w:eastAsia="zh-CN"/>
              </w:rPr>
              <w:t>先生</w:t>
            </w:r>
            <w:r>
              <w:rPr>
                <w:rFonts w:hint="eastAsia" w:ascii="宋体" w:hAnsi="宋体" w:cs="宋体"/>
                <w:color w:val="000000"/>
                <w:kern w:val="0"/>
                <w:u w:val="dashDotHeavy"/>
              </w:rPr>
              <w:t xml:space="preserve">   </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18997346735</w:t>
            </w:r>
          </w:p>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联系地址：</w:t>
            </w:r>
            <w:r>
              <w:rPr>
                <w:rFonts w:hint="eastAsia" w:ascii="宋体" w:hAnsi="宋体"/>
                <w:spacing w:val="-2"/>
                <w:kern w:val="16"/>
                <w:lang w:eastAsia="zh-CN"/>
              </w:rPr>
              <w:t>海南州职业技术学校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autoSpaceDE w:val="0"/>
              <w:autoSpaceDN w:val="0"/>
              <w:adjustRightInd w:val="0"/>
              <w:spacing w:line="360" w:lineRule="auto"/>
              <w:ind w:left="0" w:leftChars="0" w:firstLine="0" w:firstLineChars="0"/>
              <w:rPr>
                <w:rFonts w:ascii="宋体" w:hAnsi="宋体" w:cs="宋体"/>
                <w:kern w:val="0"/>
              </w:rPr>
            </w:pPr>
            <w:r>
              <w:rPr>
                <w:rFonts w:hint="eastAsia" w:ascii="宋体" w:hAnsi="宋体" w:cs="宋体"/>
                <w:color w:val="000000"/>
                <w:kern w:val="0"/>
                <w:lang w:val="zh-CN"/>
              </w:rPr>
              <w:t>集中采购机构联系人</w:t>
            </w:r>
          </w:p>
        </w:tc>
        <w:tc>
          <w:tcPr>
            <w:tcW w:w="7443" w:type="dxa"/>
            <w:noWrap w:val="0"/>
            <w:vAlign w:val="center"/>
          </w:tcPr>
          <w:p>
            <w:pPr>
              <w:pStyle w:val="7"/>
              <w:spacing w:line="360" w:lineRule="auto"/>
              <w:ind w:left="0" w:leftChars="0" w:firstLine="0" w:firstLineChars="0"/>
              <w:jc w:val="both"/>
              <w:rPr>
                <w:rFonts w:hint="eastAsia" w:ascii="宋体" w:hAnsi="宋体" w:cs="宋体"/>
                <w:color w:val="000000"/>
                <w:kern w:val="0"/>
                <w:lang w:val="zh-CN"/>
              </w:rPr>
            </w:pPr>
            <w:r>
              <w:rPr>
                <w:rFonts w:hint="eastAsia" w:ascii="宋体" w:hAnsi="宋体" w:cs="宋体"/>
                <w:color w:val="000000"/>
                <w:kern w:val="0"/>
                <w:lang w:val="zh-CN"/>
              </w:rPr>
              <w:t>联系人：</w:t>
            </w:r>
            <w:r>
              <w:rPr>
                <w:rFonts w:hint="eastAsia" w:ascii="宋体" w:hAnsi="宋体" w:cs="宋体"/>
                <w:color w:val="000000"/>
                <w:kern w:val="0"/>
                <w:u w:val="dashDotHeavy"/>
              </w:rPr>
              <w:t xml:space="preserve">李女士   </w:t>
            </w:r>
            <w:r>
              <w:rPr>
                <w:rFonts w:hint="eastAsia" w:ascii="宋体" w:hAnsi="宋体" w:cs="宋体"/>
                <w:color w:val="000000"/>
                <w:kern w:val="0"/>
              </w:rPr>
              <w:t xml:space="preserve">    电话</w:t>
            </w:r>
            <w:r>
              <w:rPr>
                <w:rFonts w:hint="eastAsia" w:ascii="宋体" w:hAnsi="宋体" w:cs="宋体"/>
                <w:color w:val="000000"/>
                <w:kern w:val="0"/>
                <w:lang w:val="zh-CN"/>
              </w:rPr>
              <w:t>：</w:t>
            </w:r>
            <w:r>
              <w:rPr>
                <w:rFonts w:hint="eastAsia" w:ascii="宋体" w:hAnsi="宋体" w:cs="宋体"/>
                <w:color w:val="000000"/>
                <w:kern w:val="0"/>
                <w:u w:val="dashDotHeavy"/>
              </w:rPr>
              <w:t>0974-755333</w:t>
            </w:r>
            <w:r>
              <w:rPr>
                <w:rFonts w:hint="eastAsia" w:ascii="宋体" w:hAnsi="宋体" w:cs="宋体"/>
                <w:color w:val="000000"/>
                <w:kern w:val="0"/>
                <w:u w:val="dashDotHeavy"/>
                <w:lang w:val="en-US" w:eastAsia="zh-CN"/>
              </w:rPr>
              <w:t>4</w:t>
            </w:r>
            <w:r>
              <w:rPr>
                <w:rFonts w:hint="eastAsia" w:ascii="宋体" w:hAnsi="宋体" w:cs="宋体"/>
                <w:color w:val="000000"/>
                <w:kern w:val="0"/>
                <w:lang w:val="zh-CN"/>
              </w:rPr>
              <w:t>，</w:t>
            </w:r>
          </w:p>
          <w:p>
            <w:pPr>
              <w:pStyle w:val="7"/>
              <w:spacing w:line="360" w:lineRule="auto"/>
              <w:ind w:left="0" w:leftChars="0" w:firstLine="0" w:firstLineChars="0"/>
              <w:jc w:val="both"/>
              <w:rPr>
                <w:rFonts w:ascii="宋体" w:hAnsi="宋体"/>
                <w:kern w:val="16"/>
              </w:rPr>
            </w:pPr>
            <w:r>
              <w:rPr>
                <w:rFonts w:hint="eastAsia" w:ascii="宋体" w:hAnsi="宋体" w:cs="宋体"/>
                <w:color w:val="000000"/>
                <w:kern w:val="0"/>
                <w:lang w:val="zh-CN"/>
              </w:rPr>
              <w:t>联系地址：</w:t>
            </w:r>
            <w:r>
              <w:rPr>
                <w:rFonts w:hint="eastAsia" w:cstheme="minorBidi"/>
                <w:b w:val="0"/>
                <w:bCs w:val="0"/>
                <w:kern w:val="2"/>
                <w:sz w:val="21"/>
                <w:szCs w:val="24"/>
                <w:lang w:val="en-US" w:eastAsia="zh-CN" w:bidi="ar-SA"/>
              </w:rPr>
              <w:t>海南州政府采购中心（海南州共和县城北新区和谐路12号海南州公共资源交易有限责任公司5楼509）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38" w:type="dxa"/>
            <w:noWrap w:val="0"/>
            <w:vAlign w:val="center"/>
          </w:tcPr>
          <w:p>
            <w:pPr>
              <w:widowControl/>
              <w:spacing w:line="340" w:lineRule="exact"/>
              <w:ind w:firstLine="0" w:firstLineChars="0"/>
              <w:rPr>
                <w:rFonts w:hint="eastAsia" w:ascii="宋体" w:hAnsi="宋体" w:eastAsia="宋体" w:cs="宋体"/>
                <w:color w:val="FF0000"/>
                <w:kern w:val="0"/>
                <w:lang w:eastAsia="zh-CN"/>
              </w:rPr>
            </w:pPr>
            <w:r>
              <w:rPr>
                <w:rFonts w:hint="eastAsia" w:ascii="宋体" w:hAnsi="宋体" w:cs="宋体" w:eastAsiaTheme="minorEastAsia"/>
                <w:color w:val="FF0000"/>
                <w:kern w:val="0"/>
                <w:sz w:val="21"/>
                <w:szCs w:val="24"/>
                <w:lang w:val="en-US" w:eastAsia="zh-CN" w:bidi="ar"/>
              </w:rPr>
              <w:t>交货期</w:t>
            </w:r>
          </w:p>
        </w:tc>
        <w:tc>
          <w:tcPr>
            <w:tcW w:w="7443" w:type="dxa"/>
            <w:noWrap w:val="0"/>
            <w:vAlign w:val="top"/>
          </w:tcPr>
          <w:p>
            <w:pPr>
              <w:widowControl/>
              <w:spacing w:line="340" w:lineRule="exact"/>
              <w:ind w:firstLine="0" w:firstLineChars="0"/>
              <w:jc w:val="left"/>
              <w:rPr>
                <w:rFonts w:hint="eastAsia" w:ascii="宋体" w:hAnsi="宋体" w:eastAsia="宋体" w:cs="宋体"/>
                <w:color w:val="FF0000"/>
                <w:kern w:val="0"/>
                <w:lang w:eastAsia="zh-CN"/>
              </w:rPr>
            </w:pPr>
            <w:r>
              <w:rPr>
                <w:rFonts w:hint="eastAsia" w:ascii="宋体" w:hAnsi="宋体" w:cs="宋体"/>
                <w:color w:val="FF0000"/>
                <w:kern w:val="0"/>
                <w:lang w:eastAsia="zh-CN"/>
              </w:rPr>
              <w:t>签订合同后三个月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noWrap w:val="0"/>
            <w:vAlign w:val="center"/>
          </w:tcPr>
          <w:p>
            <w:pPr>
              <w:widowControl/>
              <w:spacing w:line="340" w:lineRule="exact"/>
              <w:ind w:firstLine="0" w:firstLineChars="0"/>
              <w:rPr>
                <w:rFonts w:ascii="宋体" w:hAnsi="宋体" w:cs="宋体"/>
                <w:kern w:val="0"/>
              </w:rPr>
            </w:pPr>
            <w:r>
              <w:rPr>
                <w:rFonts w:ascii="宋体" w:hAnsi="宋体" w:cs="宋体"/>
                <w:kern w:val="0"/>
              </w:rPr>
              <w:t>财政</w:t>
            </w:r>
            <w:r>
              <w:rPr>
                <w:rFonts w:hint="eastAsia" w:ascii="宋体" w:hAnsi="宋体" w:cs="宋体"/>
                <w:kern w:val="0"/>
              </w:rPr>
              <w:t>监管</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7443" w:type="dxa"/>
            <w:noWrap w:val="0"/>
            <w:vAlign w:val="center"/>
          </w:tcPr>
          <w:p>
            <w:pPr>
              <w:widowControl/>
              <w:spacing w:line="340" w:lineRule="exact"/>
              <w:ind w:firstLine="0" w:firstLineChars="0"/>
              <w:rPr>
                <w:rFonts w:ascii="宋体" w:hAnsi="宋体" w:cs="宋体"/>
                <w:kern w:val="0"/>
              </w:rPr>
            </w:pPr>
            <w:r>
              <w:rPr>
                <w:rFonts w:hint="eastAsia" w:ascii="宋体" w:hAnsi="宋体" w:cs="宋体"/>
                <w:kern w:val="0"/>
                <w:lang w:eastAsia="zh-CN"/>
              </w:rPr>
              <w:t>海南州财政局</w:t>
            </w:r>
            <w:r>
              <w:rPr>
                <w:rFonts w:hint="eastAsia" w:ascii="宋体" w:hAnsi="宋体" w:cs="宋体"/>
                <w:kern w:val="0"/>
              </w:rPr>
              <w:t xml:space="preserve">   联系电话：</w:t>
            </w:r>
            <w:r>
              <w:rPr>
                <w:rFonts w:hint="eastAsia" w:ascii="宋体" w:cs="宋体"/>
                <w:kern w:val="0"/>
                <w:lang w:val="zh-CN"/>
              </w:rPr>
              <w:t>0974-85</w:t>
            </w:r>
            <w:r>
              <w:rPr>
                <w:rFonts w:hint="eastAsia" w:ascii="宋体" w:cs="宋体"/>
                <w:kern w:val="0"/>
                <w:lang w:val="en-US" w:eastAsia="zh-CN"/>
              </w:rPr>
              <w:t>20297</w:t>
            </w:r>
          </w:p>
        </w:tc>
      </w:tr>
    </w:tbl>
    <w:p>
      <w:pPr>
        <w:ind w:firstLine="0" w:firstLineChars="0"/>
        <w:rPr>
          <w:rFonts w:hint="eastAsia" w:ascii="宋体" w:hAnsi="宋体"/>
          <w:sz w:val="18"/>
          <w:szCs w:val="18"/>
        </w:rPr>
      </w:pPr>
    </w:p>
    <w:p>
      <w:pPr>
        <w:keepNext/>
        <w:keepLines/>
        <w:widowControl/>
        <w:snapToGrid w:val="0"/>
        <w:spacing w:line="400" w:lineRule="atLeast"/>
        <w:ind w:firstLine="0" w:firstLineChars="0"/>
        <w:jc w:val="center"/>
        <w:outlineLvl w:val="0"/>
        <w:rPr>
          <w:rFonts w:hint="eastAsia" w:ascii="宋体" w:hAnsi="宋体"/>
          <w:sz w:val="18"/>
          <w:szCs w:val="18"/>
        </w:rPr>
      </w:pPr>
      <w:bookmarkStart w:id="2" w:name="_Toc376936727"/>
      <w:r>
        <w:rPr>
          <w:rFonts w:ascii="宋体" w:hAnsi="宋体"/>
          <w:sz w:val="18"/>
          <w:szCs w:val="18"/>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67558556"/>
      <w:r>
        <w:rPr>
          <w:rFonts w:hint="eastAsia" w:ascii="宋体"/>
          <w:b/>
          <w:kern w:val="28"/>
          <w:sz w:val="36"/>
          <w:szCs w:val="20"/>
        </w:rPr>
        <w:t>第二部分  投标人须知</w:t>
      </w:r>
      <w:bookmarkEnd w:id="2"/>
      <w:bookmarkEnd w:id="3"/>
      <w:bookmarkStart w:id="4" w:name="_Toc325725997"/>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67558557"/>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67558558"/>
      <w:bookmarkStart w:id="9" w:name="_Toc376936729"/>
      <w:r>
        <w:rPr>
          <w:rFonts w:hint="eastAsia" w:ascii="宋体" w:hAnsi="宋体"/>
          <w:b/>
          <w:bCs/>
          <w:kern w:val="0"/>
          <w:sz w:val="27"/>
          <w:szCs w:val="27"/>
        </w:rPr>
        <w:t>1.适用范围</w:t>
      </w:r>
      <w:bookmarkEnd w:id="7"/>
      <w:bookmarkEnd w:id="8"/>
      <w:bookmarkEnd w:id="9"/>
    </w:p>
    <w:p>
      <w:pPr>
        <w:tabs>
          <w:tab w:val="left" w:pos="840"/>
        </w:tabs>
        <w:ind w:firstLine="315" w:firstLineChars="15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海南州财政局</w:t>
      </w:r>
      <w:r>
        <w:rPr>
          <w:rFonts w:hint="eastAsia" w:ascii="宋体" w:hAnsi="宋体"/>
          <w:color w:val="000000"/>
        </w:rPr>
        <w:t>下达的采购计划，仅适用于本招标文件中所叙述的项目。</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67558559"/>
      <w:bookmarkStart w:id="11" w:name="_Toc325725999"/>
      <w:bookmarkStart w:id="12" w:name="_Toc376936730"/>
      <w:r>
        <w:rPr>
          <w:rFonts w:hint="eastAsia" w:ascii="宋体" w:hAnsi="宋体"/>
          <w:b/>
          <w:bCs/>
          <w:kern w:val="0"/>
          <w:sz w:val="27"/>
          <w:szCs w:val="27"/>
        </w:rPr>
        <w:t>2.招标方式、合格的投标人</w:t>
      </w:r>
      <w:bookmarkEnd w:id="10"/>
      <w:bookmarkEnd w:id="11"/>
      <w:bookmarkEnd w:id="12"/>
    </w:p>
    <w:p>
      <w:pPr>
        <w:tabs>
          <w:tab w:val="left" w:pos="840"/>
        </w:tabs>
        <w:ind w:firstLine="315" w:firstLineChars="150"/>
        <w:rPr>
          <w:rFonts w:hint="eastAsia" w:ascii="宋体" w:hAnsi="宋体"/>
          <w:color w:val="000000"/>
        </w:rPr>
      </w:pPr>
      <w:r>
        <w:rPr>
          <w:rFonts w:hint="eastAsia" w:ascii="宋体" w:hAnsi="宋体"/>
          <w:color w:val="000000"/>
        </w:rPr>
        <w:t>2.1本次招标采取公开招标方式。</w:t>
      </w:r>
    </w:p>
    <w:p>
      <w:pPr>
        <w:tabs>
          <w:tab w:val="left" w:pos="840"/>
        </w:tabs>
        <w:ind w:firstLine="315" w:firstLineChars="15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ascii="宋体" w:hAnsi="宋体" w:cs="宋体"/>
          <w:kern w:val="0"/>
        </w:rPr>
        <w:t>供应商资格条件</w:t>
      </w:r>
      <w:r>
        <w:rPr>
          <w:rFonts w:hint="eastAsia" w:ascii="宋体" w:hAnsi="宋体"/>
          <w:color w:val="000000"/>
        </w:rPr>
        <w:t>”。</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376936731"/>
      <w:bookmarkStart w:id="14" w:name="_Toc325726000"/>
      <w:bookmarkStart w:id="15" w:name="_Toc67558560"/>
      <w:r>
        <w:rPr>
          <w:rFonts w:hint="eastAsia" w:ascii="宋体" w:hAnsi="宋体"/>
          <w:b/>
          <w:bCs/>
          <w:kern w:val="0"/>
          <w:sz w:val="27"/>
          <w:szCs w:val="27"/>
        </w:rPr>
        <w:t>3.投标费用</w:t>
      </w:r>
      <w:bookmarkEnd w:id="13"/>
      <w:bookmarkEnd w:id="14"/>
      <w:bookmarkEnd w:id="15"/>
    </w:p>
    <w:p>
      <w:pPr>
        <w:tabs>
          <w:tab w:val="left" w:pos="840"/>
        </w:tabs>
        <w:ind w:firstLine="315" w:firstLineChars="150"/>
        <w:rPr>
          <w:rFonts w:hint="eastAsia" w:ascii="宋体" w:hAnsi="宋体"/>
          <w:color w:val="000000"/>
        </w:rPr>
      </w:pPr>
      <w:r>
        <w:rPr>
          <w:rFonts w:hint="eastAsia" w:ascii="宋体" w:hAnsi="宋体"/>
          <w:color w:val="000000"/>
        </w:rPr>
        <w:t>投标人应承担准备和参加本次投标有关的所有费用。集中采购机构对投标人发生的费用均不承担任何责任。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325726001"/>
      <w:bookmarkStart w:id="18" w:name="_Toc67558561"/>
      <w:r>
        <w:rPr>
          <w:rFonts w:hint="eastAsia" w:ascii="宋体" w:hAnsi="宋体"/>
          <w:b/>
          <w:bCs/>
          <w:kern w:val="0"/>
          <w:sz w:val="36"/>
          <w:szCs w:val="36"/>
        </w:rPr>
        <w:t>二、招标文件说明</w:t>
      </w:r>
      <w:bookmarkEnd w:id="16"/>
      <w:bookmarkEnd w:id="17"/>
      <w:bookmarkEnd w:id="18"/>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67558562"/>
      <w:bookmarkStart w:id="21" w:name="_Toc325726002"/>
      <w:r>
        <w:rPr>
          <w:rFonts w:hint="eastAsia" w:ascii="宋体" w:hAnsi="宋体"/>
          <w:b/>
          <w:bCs/>
          <w:kern w:val="0"/>
          <w:sz w:val="27"/>
          <w:szCs w:val="27"/>
        </w:rPr>
        <w:t>4.招标文件的构成</w:t>
      </w:r>
      <w:bookmarkEnd w:id="19"/>
      <w:bookmarkEnd w:id="20"/>
      <w:bookmarkEnd w:id="21"/>
    </w:p>
    <w:p>
      <w:pPr>
        <w:autoSpaceDE w:val="0"/>
        <w:autoSpaceDN w:val="0"/>
        <w:spacing w:line="360" w:lineRule="auto"/>
        <w:ind w:firstLine="315"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ind w:firstLine="480"/>
        <w:rPr>
          <w:rFonts w:hint="eastAsia" w:ascii="宋体" w:hAnsi="宋体"/>
        </w:rPr>
      </w:pPr>
      <w:r>
        <w:rPr>
          <w:rFonts w:hint="eastAsia" w:ascii="宋体" w:hAnsi="宋体"/>
        </w:rPr>
        <w:t>（1）投标人须知前附表</w:t>
      </w:r>
    </w:p>
    <w:p>
      <w:pPr>
        <w:ind w:firstLine="480"/>
        <w:rPr>
          <w:rFonts w:hint="eastAsia" w:ascii="宋体" w:hAnsi="宋体"/>
        </w:rPr>
      </w:pPr>
      <w:r>
        <w:rPr>
          <w:rFonts w:hint="eastAsia" w:ascii="宋体" w:hAnsi="宋体"/>
        </w:rPr>
        <w:t>（2）投标人须知</w:t>
      </w:r>
    </w:p>
    <w:p>
      <w:pPr>
        <w:ind w:firstLine="480"/>
        <w:rPr>
          <w:rFonts w:hint="eastAsia" w:ascii="宋体" w:hAnsi="宋体"/>
        </w:rPr>
      </w:pPr>
      <w:r>
        <w:rPr>
          <w:rFonts w:hint="eastAsia" w:ascii="宋体" w:hAnsi="宋体"/>
        </w:rPr>
        <w:t>（3）政府采购项目合同书范本</w:t>
      </w:r>
    </w:p>
    <w:p>
      <w:pPr>
        <w:ind w:firstLine="480"/>
        <w:rPr>
          <w:rFonts w:hint="eastAsia" w:ascii="宋体" w:hAnsi="宋体"/>
        </w:rPr>
      </w:pPr>
      <w:r>
        <w:rPr>
          <w:rFonts w:hint="eastAsia" w:ascii="宋体" w:hAnsi="宋体"/>
        </w:rPr>
        <w:t>（4）投标文件格式（相关附件）</w:t>
      </w:r>
    </w:p>
    <w:p>
      <w:pPr>
        <w:ind w:firstLine="480"/>
        <w:rPr>
          <w:rFonts w:hint="eastAsia" w:ascii="宋体" w:hAnsi="宋体"/>
        </w:rPr>
      </w:pPr>
      <w:r>
        <w:rPr>
          <w:rFonts w:hint="eastAsia" w:ascii="宋体" w:hAnsi="宋体"/>
        </w:rPr>
        <w:t>（5）采购项目要求及技术参数</w:t>
      </w:r>
    </w:p>
    <w:p>
      <w:pPr>
        <w:ind w:firstLine="480"/>
        <w:rPr>
          <w:rFonts w:hint="eastAsia" w:ascii="宋体" w:hAnsi="宋体"/>
        </w:rPr>
      </w:pPr>
      <w:r>
        <w:rPr>
          <w:rFonts w:hint="eastAsia" w:ascii="宋体" w:hAnsi="宋体"/>
        </w:rPr>
        <w:t>（6）采购过程中发生的澄清、变更和补充文件</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ind w:firstLine="480"/>
        <w:rPr>
          <w:rFonts w:ascii="宋体" w:hAnsi="宋体"/>
        </w:rPr>
      </w:pPr>
      <w:r>
        <w:rPr>
          <w:rFonts w:hint="eastAsia" w:ascii="宋体" w:hAnsi="宋体"/>
        </w:rPr>
        <w:t>（1）投标一览表</w:t>
      </w:r>
    </w:p>
    <w:p>
      <w:pPr>
        <w:ind w:firstLine="480"/>
        <w:rPr>
          <w:rFonts w:ascii="宋体" w:hAnsi="宋体"/>
        </w:rPr>
      </w:pPr>
      <w:r>
        <w:rPr>
          <w:rFonts w:hint="eastAsia" w:ascii="宋体" w:hAnsi="宋体"/>
        </w:rPr>
        <w:t>（2）分项报价表</w:t>
      </w:r>
    </w:p>
    <w:p>
      <w:pPr>
        <w:ind w:firstLine="480"/>
        <w:rPr>
          <w:rFonts w:ascii="宋体" w:hAnsi="宋体"/>
        </w:rPr>
      </w:pPr>
      <w:r>
        <w:rPr>
          <w:rFonts w:hint="eastAsia" w:ascii="宋体" w:hAnsi="宋体"/>
        </w:rPr>
        <w:t>（3）评审对照表</w:t>
      </w:r>
    </w:p>
    <w:p>
      <w:pPr>
        <w:ind w:firstLine="480"/>
        <w:rPr>
          <w:rFonts w:hint="eastAsia" w:ascii="宋体" w:hAnsi="宋体"/>
        </w:rPr>
      </w:pPr>
      <w:r>
        <w:rPr>
          <w:rFonts w:hint="eastAsia" w:ascii="宋体" w:hAnsi="宋体"/>
        </w:rPr>
        <w:t>（4）评分对照表（如有）</w:t>
      </w:r>
    </w:p>
    <w:p>
      <w:pPr>
        <w:ind w:firstLine="480"/>
        <w:rPr>
          <w:rFonts w:hint="eastAsia" w:ascii="宋体" w:hAnsi="宋体"/>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67558563"/>
      <w:r>
        <w:rPr>
          <w:rFonts w:hint="eastAsia" w:ascii="宋体" w:hAnsi="宋体"/>
          <w:b/>
          <w:bCs/>
          <w:kern w:val="0"/>
          <w:sz w:val="27"/>
          <w:szCs w:val="27"/>
        </w:rPr>
        <w:t>5.招标文件的</w:t>
      </w:r>
      <w:bookmarkEnd w:id="22"/>
      <w:bookmarkEnd w:id="23"/>
      <w:r>
        <w:rPr>
          <w:rFonts w:hint="eastAsia" w:ascii="宋体" w:hAnsi="宋体"/>
          <w:b/>
          <w:bCs/>
          <w:kern w:val="0"/>
          <w:sz w:val="27"/>
          <w:szCs w:val="27"/>
        </w:rPr>
        <w:t>质疑</w:t>
      </w:r>
      <w:bookmarkEnd w:id="24"/>
    </w:p>
    <w:p>
      <w:pPr>
        <w:ind w:firstLine="480"/>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内以书面形式提出质疑（不接受匿名质疑），供应商须在法定质疑期内一次性提出针对同一采购程序环节的质疑。</w:t>
      </w:r>
      <w:bookmarkStart w:id="25" w:name="_Toc325726004"/>
      <w:bookmarkStart w:id="26" w:name="_Toc376936735"/>
      <w:r>
        <w:rPr>
          <w:rFonts w:hint="eastAsia" w:ascii="宋体" w:hAnsi="宋体"/>
        </w:rPr>
        <w:t>采购人、集中采购机构在收到供应商的书面质疑后7个工作日内予以答复，并将变更事宜在青海政府采购信息网上发布公告，告知本项目的所有潜在投标人。</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67558564"/>
      <w:r>
        <w:rPr>
          <w:rFonts w:hint="eastAsia" w:ascii="宋体" w:hAnsi="宋体"/>
          <w:b/>
          <w:bCs/>
          <w:kern w:val="0"/>
          <w:sz w:val="27"/>
          <w:szCs w:val="27"/>
        </w:rPr>
        <w:t>6.招标文件的修改</w:t>
      </w:r>
      <w:bookmarkEnd w:id="25"/>
      <w:bookmarkEnd w:id="26"/>
      <w:bookmarkEnd w:id="27"/>
    </w:p>
    <w:p>
      <w:pPr>
        <w:ind w:firstLine="480"/>
        <w:rPr>
          <w:rFonts w:hint="eastAsia" w:ascii="宋体" w:hAnsi="宋体"/>
        </w:rPr>
      </w:pPr>
      <w:r>
        <w:rPr>
          <w:rFonts w:hint="eastAsia" w:ascii="宋体" w:hAnsi="宋体"/>
        </w:rPr>
        <w:t>6.1 在投标截止期前，采购人、</w:t>
      </w:r>
      <w:r>
        <w:rPr>
          <w:rFonts w:hint="eastAsia" w:ascii="宋体" w:hAnsi="宋体"/>
          <w:color w:val="000000"/>
        </w:rPr>
        <w:t>集中采购机构</w:t>
      </w:r>
      <w:r>
        <w:rPr>
          <w:rFonts w:hint="eastAsia" w:ascii="宋体" w:hAnsi="宋体"/>
        </w:rPr>
        <w:t>可以对招标文件进行必要的修改或者澄清。</w:t>
      </w:r>
    </w:p>
    <w:p>
      <w:pPr>
        <w:ind w:firstLine="480"/>
        <w:rPr>
          <w:rFonts w:hint="eastAsia" w:ascii="宋体" w:hAnsi="宋体"/>
        </w:rPr>
      </w:pPr>
      <w:r>
        <w:rPr>
          <w:rFonts w:hint="eastAsia" w:ascii="宋体" w:hAnsi="宋体"/>
        </w:rPr>
        <w:t>6.2采购人、</w:t>
      </w:r>
      <w:r>
        <w:rPr>
          <w:rFonts w:hint="eastAsia" w:ascii="宋体" w:hAnsi="宋体"/>
          <w:color w:val="000000"/>
        </w:rPr>
        <w:t>集中采购机构</w:t>
      </w:r>
      <w:r>
        <w:rPr>
          <w:rFonts w:hint="eastAsia" w:ascii="宋体" w:hAnsi="宋体"/>
        </w:rPr>
        <w:t>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pPr>
        <w:ind w:firstLine="480"/>
        <w:rPr>
          <w:rFonts w:hint="eastAsia" w:ascii="宋体" w:hAnsi="宋体"/>
        </w:rPr>
      </w:pPr>
      <w:r>
        <w:rPr>
          <w:rFonts w:hint="eastAsia" w:ascii="宋体" w:hAnsi="宋体"/>
        </w:rPr>
        <w:t>6.3 在投标截止时间前，采购人、集中采购机构可以视采购具体情况，延长投标截止时间和开标时间，并在招标文件中要求的投标截止时间和开标时间的3日前，将变更公告发布在青海省政府采购信息网上。</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28" w:name="_Toc67558565"/>
      <w:bookmarkStart w:id="29" w:name="_Toc376936736"/>
      <w:bookmarkStart w:id="30" w:name="_Toc325726005"/>
      <w:r>
        <w:rPr>
          <w:rFonts w:hint="eastAsia" w:ascii="宋体" w:hAnsi="宋体"/>
          <w:b/>
          <w:bCs/>
          <w:kern w:val="0"/>
          <w:sz w:val="36"/>
          <w:szCs w:val="36"/>
        </w:rPr>
        <w:t>三、投标文件的编制</w:t>
      </w:r>
      <w:bookmarkEnd w:id="28"/>
      <w:bookmarkEnd w:id="29"/>
      <w:bookmarkEnd w:id="3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67558566"/>
      <w:bookmarkStart w:id="33" w:name="_Toc325726006"/>
      <w:r>
        <w:rPr>
          <w:rFonts w:hint="eastAsia" w:ascii="宋体" w:hAnsi="宋体"/>
          <w:b/>
          <w:bCs/>
          <w:kern w:val="0"/>
          <w:sz w:val="27"/>
          <w:szCs w:val="27"/>
        </w:rPr>
        <w:t>7.投标文件的语言及度量衡单位</w:t>
      </w:r>
      <w:bookmarkEnd w:id="31"/>
      <w:bookmarkEnd w:id="32"/>
      <w:bookmarkEnd w:id="33"/>
    </w:p>
    <w:p>
      <w:pPr>
        <w:ind w:firstLine="480"/>
        <w:rPr>
          <w:rFonts w:hint="eastAsia" w:ascii="宋体" w:hAnsi="宋体"/>
        </w:rPr>
      </w:pPr>
      <w:r>
        <w:rPr>
          <w:rFonts w:hint="eastAsia" w:ascii="宋体" w:hAnsi="宋体"/>
        </w:rPr>
        <w:t>7.1投标人提交的投标文件以及投标人与</w:t>
      </w:r>
      <w:r>
        <w:rPr>
          <w:rFonts w:hint="eastAsia" w:ascii="宋体" w:hAnsi="宋体"/>
          <w:color w:val="000000"/>
        </w:rPr>
        <w:t>集中采购机构</w:t>
      </w:r>
      <w:r>
        <w:rPr>
          <w:rFonts w:hint="eastAsia" w:ascii="宋体" w:hAnsi="宋体"/>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ind w:firstLine="480"/>
        <w:rPr>
          <w:rFonts w:hint="eastAsia" w:ascii="宋体" w:hAnsi="宋体"/>
        </w:rPr>
      </w:pPr>
      <w:r>
        <w:rPr>
          <w:rFonts w:hint="eastAsia" w:ascii="宋体" w:hAnsi="宋体"/>
        </w:rPr>
        <w:t>7.2 除招标文件中另有规定外，投标文件所使用的度量衡单位，均须采用国家法定计量单位。</w:t>
      </w:r>
    </w:p>
    <w:p>
      <w:pPr>
        <w:ind w:firstLine="480"/>
        <w:rPr>
          <w:rFonts w:hint="eastAsia" w:ascii="宋体" w:hAnsi="宋体"/>
        </w:rPr>
      </w:pPr>
      <w:r>
        <w:rPr>
          <w:rFonts w:hint="eastAsia" w:ascii="宋体" w:hAnsi="宋体"/>
        </w:rPr>
        <w:t>7.3 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67558567"/>
      <w:bookmarkStart w:id="35" w:name="_Toc325726007"/>
      <w:bookmarkStart w:id="36" w:name="_Toc376936738"/>
      <w:r>
        <w:rPr>
          <w:rFonts w:hint="eastAsia" w:ascii="宋体" w:hAnsi="宋体"/>
          <w:b/>
          <w:bCs/>
          <w:kern w:val="0"/>
          <w:sz w:val="27"/>
          <w:szCs w:val="27"/>
        </w:rPr>
        <w:t>8.投标报价及币种</w:t>
      </w:r>
      <w:bookmarkEnd w:id="34"/>
      <w:bookmarkEnd w:id="35"/>
      <w:bookmarkEnd w:id="36"/>
    </w:p>
    <w:p>
      <w:pPr>
        <w:ind w:firstLine="480"/>
        <w:rPr>
          <w:rFonts w:hint="eastAsia" w:ascii="宋体" w:hAnsi="宋体"/>
        </w:rPr>
      </w:pPr>
      <w:r>
        <w:rPr>
          <w:rFonts w:hint="eastAsia" w:ascii="宋体" w:hAnsi="宋体"/>
        </w:rPr>
        <w:t>8.l 投标总报价必须包括：产品费、检验费、手续费、包装费、运输费、保险费、安装调试费、税金及不可预见费等全部费用。投标人须按“投标报价一览表”格式填写投标总报价，不得出现两个或两个以上的报价方案。</w:t>
      </w:r>
    </w:p>
    <w:p>
      <w:pPr>
        <w:ind w:firstLine="480"/>
        <w:rPr>
          <w:rFonts w:hint="eastAsia" w:ascii="宋体" w:hAnsi="宋体"/>
        </w:rPr>
      </w:pPr>
      <w:r>
        <w:rPr>
          <w:rFonts w:hint="eastAsia" w:ascii="宋体" w:hAnsi="宋体"/>
        </w:rPr>
        <w:t>8.2 投标函中应注明投标有效期。</w:t>
      </w:r>
    </w:p>
    <w:p>
      <w:pPr>
        <w:ind w:firstLine="480"/>
        <w:rPr>
          <w:rFonts w:hint="eastAsia" w:ascii="宋体" w:hAnsi="宋体" w:cs="宋体"/>
          <w:color w:val="000000"/>
          <w:kern w:val="0"/>
          <w:shd w:val="pct10" w:color="auto" w:fill="FFFFFF"/>
        </w:rPr>
      </w:pPr>
      <w:r>
        <w:rPr>
          <w:rFonts w:hint="eastAsia" w:ascii="宋体" w:hAnsi="宋体"/>
        </w:rPr>
        <w:t>8.3 投标人应根据招标文件规定的格式完整填写所有内容，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hint="eastAsia" w:ascii="宋体" w:hAnsi="宋体"/>
        </w:rPr>
      </w:pPr>
      <w:r>
        <w:rPr>
          <w:rFonts w:hint="eastAsia" w:ascii="宋体" w:hAnsi="宋体"/>
        </w:rPr>
        <w:t>8.4 投标报价为闭口价，即中标后在合同有效期内价格不变。</w:t>
      </w:r>
    </w:p>
    <w:p>
      <w:pPr>
        <w:ind w:firstLine="480"/>
        <w:rPr>
          <w:rFonts w:hint="eastAsia" w:ascii="宋体" w:hAnsi="宋体"/>
        </w:rPr>
      </w:pPr>
      <w:r>
        <w:rPr>
          <w:rFonts w:hint="eastAsia" w:ascii="宋体" w:hAnsi="宋体"/>
        </w:rPr>
        <w:t>8.5 投标币种为人民币。</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76936743"/>
      <w:bookmarkStart w:id="38" w:name="_Toc67558568"/>
      <w:bookmarkStart w:id="39" w:name="_Toc325726012"/>
      <w:r>
        <w:rPr>
          <w:rFonts w:hint="eastAsia" w:ascii="宋体" w:hAnsi="宋体"/>
          <w:b/>
          <w:bCs/>
          <w:kern w:val="0"/>
          <w:sz w:val="27"/>
          <w:szCs w:val="27"/>
        </w:rPr>
        <w:t>9.投标保证金</w:t>
      </w:r>
      <w:bookmarkEnd w:id="37"/>
      <w:bookmarkEnd w:id="38"/>
      <w:bookmarkEnd w:id="39"/>
    </w:p>
    <w:p>
      <w:pPr>
        <w:autoSpaceDE w:val="0"/>
        <w:autoSpaceDN w:val="0"/>
        <w:adjustRightInd w:val="0"/>
        <w:ind w:firstLine="464" w:firstLineChars="221"/>
        <w:rPr>
          <w:rFonts w:hint="eastAsia" w:ascii="宋体" w:hAnsi="宋体" w:cs="宋体"/>
          <w:color w:val="000000"/>
          <w:lang w:val="zh-CN"/>
        </w:rPr>
      </w:pPr>
      <w:r>
        <w:rPr>
          <w:rFonts w:hint="eastAsia" w:ascii="宋体" w:hAnsi="宋体" w:cs="宋体"/>
          <w:lang w:val="zh-CN"/>
        </w:rPr>
        <w:t>9.1 投标人须在投标截止期前按采购预算额度的2%缴纳投标保证金（具体数额以招标文件中确定的数额为准）。本次采购活动中未中标且投标人未发生违规行为的，</w:t>
      </w:r>
      <w:r>
        <w:rPr>
          <w:rFonts w:hint="eastAsia" w:ascii="宋体" w:hAnsi="宋体"/>
          <w:szCs w:val="20"/>
        </w:rPr>
        <w:t>由</w:t>
      </w:r>
      <w:r>
        <w:rPr>
          <w:rFonts w:hint="eastAsia" w:ascii="宋体" w:hAnsi="宋体" w:cs="宋体"/>
          <w:lang w:val="zh-CN"/>
        </w:rPr>
        <w:t>集中采购机构在规定的时间内退还投标保证金；</w:t>
      </w:r>
      <w:r>
        <w:rPr>
          <w:rFonts w:hint="eastAsia" w:ascii="宋体" w:hAnsi="宋体"/>
          <w:szCs w:val="20"/>
        </w:rPr>
        <w:t>中标供应商</w:t>
      </w:r>
      <w:r>
        <w:rPr>
          <w:rFonts w:hint="eastAsia" w:ascii="宋体" w:hAnsi="宋体"/>
          <w:color w:val="000000"/>
          <w:szCs w:val="20"/>
        </w:rPr>
        <w:t>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76936744"/>
      <w:bookmarkStart w:id="41" w:name="_Toc67558569"/>
      <w:bookmarkStart w:id="42" w:name="_Toc325726013"/>
      <w:r>
        <w:rPr>
          <w:rFonts w:hint="eastAsia" w:ascii="宋体" w:hAnsi="宋体"/>
          <w:b/>
          <w:bCs/>
          <w:kern w:val="0"/>
          <w:sz w:val="27"/>
          <w:szCs w:val="27"/>
        </w:rPr>
        <w:t>10.投标有效期</w:t>
      </w:r>
      <w:bookmarkEnd w:id="40"/>
      <w:bookmarkEnd w:id="41"/>
      <w:bookmarkEnd w:id="42"/>
    </w:p>
    <w:p>
      <w:pPr>
        <w:ind w:firstLine="480"/>
        <w:rPr>
          <w:rFonts w:hint="eastAsia" w:ascii="宋体" w:hAnsi="宋体"/>
        </w:rPr>
      </w:pPr>
      <w:r>
        <w:rPr>
          <w:rFonts w:hint="eastAsia" w:ascii="宋体" w:hAnsi="宋体"/>
        </w:rPr>
        <w:t>投标有效期为自开标之日起60天。</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67558570"/>
      <w:bookmarkStart w:id="44" w:name="_Toc376936739"/>
      <w:bookmarkStart w:id="45" w:name="_Toc325726008"/>
      <w:r>
        <w:rPr>
          <w:rFonts w:hint="eastAsia" w:ascii="宋体" w:hAnsi="宋体"/>
          <w:b/>
          <w:bCs/>
          <w:kern w:val="0"/>
          <w:sz w:val="27"/>
          <w:szCs w:val="27"/>
        </w:rPr>
        <w:t>11.投标文件构成</w:t>
      </w:r>
      <w:bookmarkEnd w:id="43"/>
      <w:bookmarkEnd w:id="44"/>
      <w:bookmarkEnd w:id="45"/>
    </w:p>
    <w:p>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投标人应提交相关证明材料，作为其参加投标和中标后有能力履行合同的证明。编写的投标文件须包括以下内容（格式详见招标文件第四部分内容）：</w:t>
      </w:r>
    </w:p>
    <w:p>
      <w:pPr>
        <w:ind w:left="2" w:firstLine="369" w:firstLineChars="176"/>
        <w:rPr>
          <w:rFonts w:hint="eastAsia" w:ascii="宋体" w:hAnsi="宋体"/>
        </w:rPr>
      </w:pPr>
      <w:r>
        <w:rPr>
          <w:rFonts w:hint="eastAsia" w:ascii="宋体" w:hAnsi="宋体"/>
        </w:rPr>
        <w:t>11.1.1资格审查部分</w:t>
      </w:r>
    </w:p>
    <w:p>
      <w:pPr>
        <w:ind w:left="2" w:firstLine="369" w:firstLineChars="176"/>
        <w:rPr>
          <w:rFonts w:hint="eastAsia" w:ascii="宋体" w:hAnsi="宋体"/>
        </w:rPr>
      </w:pPr>
      <w:r>
        <w:rPr>
          <w:rFonts w:hint="eastAsia" w:ascii="宋体" w:hAnsi="宋体"/>
        </w:rPr>
        <w:t>（1）投标函</w:t>
      </w:r>
    </w:p>
    <w:p>
      <w:pPr>
        <w:ind w:left="2" w:firstLine="369" w:firstLineChars="176"/>
        <w:rPr>
          <w:rFonts w:hint="eastAsia" w:ascii="宋体" w:hAnsi="宋体"/>
        </w:rPr>
      </w:pPr>
      <w:r>
        <w:rPr>
          <w:rFonts w:hint="eastAsia" w:ascii="宋体" w:hAnsi="宋体"/>
        </w:rPr>
        <w:t>（2）法定代表人证明书</w:t>
      </w:r>
    </w:p>
    <w:p>
      <w:pPr>
        <w:ind w:left="2" w:firstLine="369" w:firstLineChars="176"/>
        <w:rPr>
          <w:rFonts w:hint="eastAsia" w:ascii="宋体" w:hAnsi="宋体"/>
        </w:rPr>
      </w:pPr>
      <w:r>
        <w:rPr>
          <w:rFonts w:hint="eastAsia" w:ascii="宋体" w:hAnsi="宋体"/>
        </w:rPr>
        <w:t>（3）法定代表人授权书</w:t>
      </w:r>
    </w:p>
    <w:p>
      <w:pPr>
        <w:ind w:left="2" w:firstLine="369" w:firstLineChars="176"/>
        <w:rPr>
          <w:rFonts w:hint="eastAsia" w:ascii="宋体" w:hAnsi="宋体"/>
        </w:rPr>
      </w:pPr>
      <w:r>
        <w:rPr>
          <w:rFonts w:hint="eastAsia" w:ascii="宋体" w:hAnsi="宋体"/>
        </w:rPr>
        <w:t>（4）投标人承诺函</w:t>
      </w:r>
    </w:p>
    <w:p>
      <w:pPr>
        <w:ind w:left="2" w:firstLine="369" w:firstLineChars="176"/>
        <w:rPr>
          <w:rFonts w:hint="eastAsia" w:ascii="宋体" w:hAnsi="宋体"/>
        </w:rPr>
      </w:pPr>
      <w:r>
        <w:rPr>
          <w:rFonts w:hint="eastAsia" w:ascii="宋体" w:hAnsi="宋体"/>
        </w:rPr>
        <w:t>（5）供应商诚信承诺书</w:t>
      </w:r>
    </w:p>
    <w:p>
      <w:pPr>
        <w:ind w:left="2" w:firstLine="369" w:firstLineChars="176"/>
        <w:rPr>
          <w:rFonts w:hint="eastAsia" w:ascii="宋体" w:hAnsi="宋体"/>
        </w:rPr>
      </w:pPr>
      <w:r>
        <w:rPr>
          <w:rFonts w:hint="eastAsia" w:ascii="宋体" w:hAnsi="宋体"/>
        </w:rPr>
        <w:t>（6）投标人资格证明文件</w:t>
      </w:r>
    </w:p>
    <w:p>
      <w:pPr>
        <w:ind w:left="2" w:firstLine="369" w:firstLineChars="176"/>
        <w:rPr>
          <w:rFonts w:hint="eastAsia" w:ascii="宋体" w:hAnsi="宋体"/>
        </w:rPr>
      </w:pPr>
      <w:r>
        <w:rPr>
          <w:rFonts w:hint="eastAsia" w:ascii="宋体" w:hAnsi="宋体"/>
        </w:rPr>
        <w:t>（7）财务状况、缴纳税收和社会保障资金证明</w:t>
      </w:r>
    </w:p>
    <w:p>
      <w:pPr>
        <w:ind w:left="2" w:firstLine="369" w:firstLineChars="176"/>
        <w:rPr>
          <w:rFonts w:hint="eastAsia" w:ascii="宋体" w:hAnsi="宋体"/>
        </w:rPr>
      </w:pPr>
      <w:r>
        <w:rPr>
          <w:rFonts w:hint="eastAsia" w:ascii="宋体" w:hAnsi="宋体"/>
        </w:rPr>
        <w:t>（8）无重大违法记录声明</w:t>
      </w:r>
    </w:p>
    <w:p>
      <w:pPr>
        <w:ind w:left="2" w:firstLine="369" w:firstLineChars="176"/>
        <w:rPr>
          <w:rFonts w:hint="eastAsia" w:ascii="宋体" w:hAnsi="宋体"/>
        </w:rPr>
      </w:pPr>
      <w:r>
        <w:rPr>
          <w:rFonts w:hint="eastAsia" w:ascii="宋体" w:hAnsi="宋体"/>
        </w:rPr>
        <w:t>11.1.2符合性审查部分</w:t>
      </w:r>
    </w:p>
    <w:p>
      <w:pPr>
        <w:ind w:left="2" w:firstLine="369" w:firstLineChars="176"/>
        <w:rPr>
          <w:rFonts w:hint="eastAsia" w:ascii="宋体" w:hAnsi="宋体"/>
        </w:rPr>
      </w:pPr>
      <w:r>
        <w:rPr>
          <w:rFonts w:hint="eastAsia" w:ascii="宋体" w:hAnsi="宋体"/>
        </w:rPr>
        <w:t>（9）投标报价一览表</w:t>
      </w:r>
    </w:p>
    <w:p>
      <w:pPr>
        <w:ind w:left="2" w:firstLine="369" w:firstLineChars="176"/>
        <w:rPr>
          <w:rFonts w:hint="eastAsia" w:ascii="宋体" w:hAnsi="宋体"/>
        </w:rPr>
      </w:pPr>
      <w:r>
        <w:rPr>
          <w:rFonts w:hint="eastAsia" w:ascii="宋体" w:hAnsi="宋体"/>
        </w:rPr>
        <w:t>（10）分项报价表</w:t>
      </w:r>
    </w:p>
    <w:p>
      <w:pPr>
        <w:ind w:left="2" w:firstLine="369" w:firstLineChars="176"/>
        <w:rPr>
          <w:rFonts w:hint="eastAsia" w:ascii="宋体" w:hAnsi="宋体"/>
        </w:rPr>
      </w:pPr>
      <w:r>
        <w:rPr>
          <w:rFonts w:hint="eastAsia" w:ascii="宋体" w:hAnsi="宋体"/>
        </w:rPr>
        <w:t>（11）技术规格响应表</w:t>
      </w:r>
    </w:p>
    <w:p>
      <w:pPr>
        <w:ind w:left="2" w:firstLine="369" w:firstLineChars="176"/>
        <w:rPr>
          <w:rFonts w:hint="eastAsia" w:ascii="宋体" w:hAnsi="宋体"/>
        </w:rPr>
      </w:pPr>
      <w:r>
        <w:rPr>
          <w:rFonts w:hint="eastAsia" w:ascii="宋体" w:hAnsi="宋体"/>
        </w:rPr>
        <w:t>（12）其他资格证明材料</w:t>
      </w:r>
    </w:p>
    <w:p>
      <w:pPr>
        <w:ind w:left="2" w:firstLine="369" w:firstLineChars="176"/>
        <w:rPr>
          <w:rFonts w:hint="eastAsia" w:ascii="宋体" w:hAnsi="宋体"/>
        </w:rPr>
      </w:pPr>
      <w:r>
        <w:rPr>
          <w:rFonts w:hint="eastAsia" w:ascii="宋体" w:hAnsi="宋体"/>
        </w:rPr>
        <w:t>（13）投标产品相关资料</w:t>
      </w:r>
    </w:p>
    <w:p>
      <w:pPr>
        <w:ind w:left="2" w:firstLine="369" w:firstLineChars="176"/>
        <w:rPr>
          <w:rFonts w:hint="eastAsia" w:ascii="宋体" w:hAnsi="宋体"/>
        </w:rPr>
      </w:pPr>
      <w:r>
        <w:rPr>
          <w:rFonts w:hint="eastAsia" w:ascii="宋体" w:hAnsi="宋体"/>
        </w:rPr>
        <w:t>（14）投标人类似业绩证明材料</w:t>
      </w:r>
    </w:p>
    <w:p>
      <w:pPr>
        <w:ind w:left="2" w:firstLine="369" w:firstLineChars="176"/>
        <w:rPr>
          <w:rFonts w:hint="eastAsia" w:ascii="宋体" w:hAnsi="宋体" w:eastAsiaTheme="minorEastAsia"/>
          <w:lang w:val="en-US" w:eastAsia="zh-CN"/>
        </w:rPr>
      </w:pPr>
      <w:r>
        <w:rPr>
          <w:rFonts w:hint="eastAsia" w:ascii="宋体" w:hAnsi="宋体"/>
        </w:rPr>
        <w:t>（15）中小企业声明函</w:t>
      </w:r>
      <w:r>
        <w:rPr>
          <w:rFonts w:hint="eastAsia" w:ascii="宋体" w:hAnsi="宋体"/>
          <w:lang w:val="en-US" w:eastAsia="zh-CN"/>
        </w:rPr>
        <w:t xml:space="preserve"> </w:t>
      </w:r>
    </w:p>
    <w:p>
      <w:pPr>
        <w:ind w:left="2" w:firstLine="369" w:firstLineChars="176"/>
        <w:rPr>
          <w:rFonts w:hint="eastAsia" w:ascii="宋体" w:hAnsi="宋体"/>
        </w:rPr>
      </w:pPr>
      <w:r>
        <w:rPr>
          <w:rFonts w:hint="eastAsia" w:ascii="宋体" w:hAnsi="宋体"/>
        </w:rPr>
        <w:t>（16）残疾人福利性单位声明函</w:t>
      </w:r>
    </w:p>
    <w:p>
      <w:pPr>
        <w:ind w:left="2" w:firstLine="369" w:firstLineChars="176"/>
        <w:rPr>
          <w:rFonts w:hint="eastAsia" w:ascii="宋体" w:hAnsi="宋体"/>
          <w:color w:val="000000"/>
        </w:rPr>
      </w:pPr>
      <w:r>
        <w:rPr>
          <w:rFonts w:hint="eastAsia" w:ascii="宋体" w:hAnsi="宋体"/>
          <w:color w:val="000000"/>
        </w:rPr>
        <w:t>（17）项目管理实施方案及售后服务</w:t>
      </w:r>
    </w:p>
    <w:p>
      <w:pPr>
        <w:ind w:left="2" w:firstLine="369" w:firstLineChars="176"/>
        <w:rPr>
          <w:rFonts w:hint="eastAsia" w:ascii="宋体" w:hAnsi="宋体"/>
          <w:color w:val="000000"/>
        </w:rPr>
      </w:pPr>
      <w:r>
        <w:rPr>
          <w:rFonts w:hint="eastAsia" w:ascii="宋体" w:hAnsi="宋体"/>
          <w:color w:val="000000"/>
        </w:rPr>
        <w:t>（18）投标人在其他方面有必要说明的事项</w:t>
      </w:r>
    </w:p>
    <w:p>
      <w:pPr>
        <w:ind w:left="2" w:firstLine="369" w:firstLineChars="176"/>
        <w:rPr>
          <w:rFonts w:hint="eastAsia" w:ascii="宋体" w:hAnsi="宋体"/>
          <w:color w:val="000000"/>
        </w:rPr>
      </w:pPr>
      <w:r>
        <w:rPr>
          <w:rFonts w:hint="eastAsia" w:ascii="宋体" w:hAnsi="宋体"/>
          <w:color w:val="000000"/>
        </w:rPr>
        <w:t>注：投标人须按上述内容、顺序和第12项“投标文件的格式及编制要求”格式编</w:t>
      </w:r>
      <w:r>
        <w:rPr>
          <w:rFonts w:hint="eastAsia" w:ascii="宋体" w:hAnsi="宋体"/>
        </w:rPr>
        <w:t>制。</w:t>
      </w:r>
    </w:p>
    <w:p>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46" w:name="_Toc325726014"/>
      <w:bookmarkStart w:id="47" w:name="_Toc67558571"/>
      <w:bookmarkStart w:id="48" w:name="_Toc376936745"/>
      <w:r>
        <w:rPr>
          <w:rFonts w:hint="eastAsia" w:ascii="宋体" w:hAnsi="宋体"/>
          <w:b/>
          <w:bCs/>
          <w:color w:val="000000"/>
          <w:kern w:val="0"/>
          <w:sz w:val="27"/>
          <w:szCs w:val="27"/>
        </w:rPr>
        <w:t>12.</w:t>
      </w:r>
      <w:bookmarkEnd w:id="46"/>
      <w:bookmarkStart w:id="49" w:name="_Toc325726015"/>
      <w:r>
        <w:rPr>
          <w:rFonts w:hint="eastAsia" w:ascii="宋体" w:hAnsi="宋体"/>
          <w:b/>
          <w:bCs/>
          <w:color w:val="000000"/>
          <w:kern w:val="0"/>
          <w:sz w:val="27"/>
          <w:szCs w:val="27"/>
        </w:rPr>
        <w:t xml:space="preserve"> 投标文件的格式及编制要求</w:t>
      </w:r>
      <w:bookmarkEnd w:id="47"/>
      <w:bookmarkEnd w:id="48"/>
    </w:p>
    <w:bookmarkEnd w:id="49"/>
    <w:p>
      <w:pPr>
        <w:widowControl/>
        <w:spacing w:line="360" w:lineRule="exact"/>
        <w:ind w:firstLine="420" w:firstLineChars="200"/>
        <w:jc w:val="left"/>
        <w:rPr>
          <w:rFonts w:hint="eastAsia" w:ascii="宋体" w:hAnsi="宋体" w:cs="宋体"/>
          <w:color w:val="000000"/>
          <w:kern w:val="0"/>
          <w:lang w:val="zh-CN"/>
        </w:rPr>
      </w:pPr>
      <w:bookmarkStart w:id="50" w:name="_Toc371090027"/>
      <w:bookmarkStart w:id="51" w:name="_Toc376936746"/>
      <w:bookmarkStart w:id="52" w:name="_Toc67558572"/>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rPr>
        <w:t>投标文件编制格式为word系统签章保存后转换为pdf格式上传，格式须按招标文件第四部分“投标文件格式”要求制作，且目录索引定位到内容。</w:t>
      </w:r>
    </w:p>
    <w:p>
      <w:pPr>
        <w:widowControl/>
        <w:spacing w:line="360" w:lineRule="exact"/>
        <w:ind w:firstLine="420" w:firstLineChars="200"/>
        <w:jc w:val="left"/>
        <w:rPr>
          <w:rFonts w:ascii="宋体" w:hAnsi="宋体" w:cs="宋体"/>
        </w:rPr>
      </w:pPr>
      <w:r>
        <w:rPr>
          <w:rFonts w:hint="eastAsia" w:ascii="宋体" w:hAnsi="宋体" w:cs="宋体"/>
          <w:color w:val="000000"/>
          <w:kern w:val="0"/>
          <w:lang w:val="zh-CN"/>
        </w:rPr>
        <w:t>12.2</w:t>
      </w:r>
      <w:r>
        <w:rPr>
          <w:rFonts w:hint="eastAsia" w:ascii="宋体" w:hAnsi="宋体" w:cs="宋体"/>
        </w:rPr>
        <w:t>投标文件中的扫描或复印件内容应清晰可辨，且要求正向放置。</w:t>
      </w:r>
    </w:p>
    <w:p>
      <w:pPr>
        <w:widowControl/>
        <w:spacing w:line="360" w:lineRule="exact"/>
        <w:ind w:firstLine="420" w:firstLineChars="200"/>
        <w:jc w:val="left"/>
        <w:rPr>
          <w:rFonts w:ascii="宋体" w:hAnsi="宋体" w:cs="宋体"/>
        </w:rPr>
      </w:pPr>
      <w:r>
        <w:rPr>
          <w:rFonts w:hint="eastAsia" w:ascii="宋体" w:hAnsi="宋体" w:cs="宋体"/>
          <w:lang w:val="en-US" w:eastAsia="zh-CN"/>
        </w:rPr>
        <w:t>12.3</w:t>
      </w:r>
      <w:r>
        <w:rPr>
          <w:rFonts w:hint="eastAsia" w:ascii="宋体" w:hAnsi="宋体"/>
        </w:rPr>
        <w:t>招标文件要求签字、盖章的地方必须由投标人的法定代表人或委托代理人按要求签字、盖章。</w:t>
      </w:r>
    </w:p>
    <w:p>
      <w:pPr>
        <w:autoSpaceDE w:val="0"/>
        <w:autoSpaceDN w:val="0"/>
        <w:spacing w:line="360" w:lineRule="auto"/>
        <w:ind w:firstLine="420" w:firstLineChars="200"/>
        <w:rPr>
          <w:rFonts w:hint="eastAsia" w:ascii="宋体" w:hAnsi="宋体" w:cs="宋体"/>
        </w:rPr>
      </w:pPr>
      <w:r>
        <w:rPr>
          <w:rFonts w:hint="eastAsia" w:ascii="宋体" w:hAnsi="宋体" w:cs="宋体"/>
          <w:lang w:val="en-US" w:eastAsia="zh-CN"/>
        </w:rPr>
        <w:t>12.4</w:t>
      </w:r>
      <w:r>
        <w:rPr>
          <w:rFonts w:hint="eastAsia" w:ascii="宋体" w:hAnsi="宋体" w:cs="宋体"/>
        </w:rPr>
        <w:t>投标人应在投标截止期前上传投标文件。因目录格式不准确、不能索引定位到内容、文件过大、未提交全部文件内容或文件内容错误、上传效果差等原因导致无法评审的，有可能判定为无效投标。</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lang w:val="en-US" w:eastAsia="zh-CN"/>
        </w:rPr>
        <w:t>5</w:t>
      </w:r>
      <w:r>
        <w:rPr>
          <w:rFonts w:hint="eastAsia" w:ascii="宋体" w:hAnsi="宋体" w:cs="宋体"/>
          <w:color w:val="000000"/>
          <w:kern w:val="0"/>
          <w:lang w:val="zh-CN"/>
        </w:rPr>
        <w:t>投标文件中不得行间插字、涂改或增删，如有修改错漏处，须由投标人法定代表人或其委托代理人签字、加盖公章。</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四、</w:t>
      </w:r>
      <w:r>
        <w:rPr>
          <w:rFonts w:hint="eastAsia" w:ascii="宋体" w:hAnsi="宋体" w:eastAsia="宋体" w:cs="Times New Roman"/>
          <w:b/>
          <w:bCs/>
          <w:kern w:val="0"/>
          <w:sz w:val="36"/>
          <w:szCs w:val="36"/>
        </w:rPr>
        <w:t xml:space="preserve"> </w:t>
      </w:r>
      <w:bookmarkEnd w:id="50"/>
      <w:bookmarkEnd w:id="51"/>
      <w:bookmarkEnd w:id="52"/>
      <w:r>
        <w:rPr>
          <w:rFonts w:hint="eastAsia" w:ascii="宋体" w:hAnsi="宋体"/>
          <w:b/>
          <w:bCs/>
          <w:kern w:val="0"/>
          <w:sz w:val="36"/>
          <w:szCs w:val="36"/>
        </w:rPr>
        <w:t>网上投标</w:t>
      </w:r>
    </w:p>
    <w:p>
      <w:pPr>
        <w:pStyle w:val="15"/>
        <w:spacing w:before="0" w:after="0" w:line="360" w:lineRule="auto"/>
        <w:ind w:firstLine="562" w:firstLineChars="200"/>
        <w:jc w:val="left"/>
        <w:rPr>
          <w:rFonts w:hint="eastAsia" w:ascii="宋体" w:hAnsi="宋体" w:cs="宋体"/>
          <w:color w:val="000000"/>
          <w:lang w:val="zh-CN"/>
        </w:rPr>
      </w:pPr>
      <w:bookmarkStart w:id="53" w:name="_Toc515908185"/>
      <w:bookmarkStart w:id="54" w:name="_Toc67558574"/>
      <w:bookmarkStart w:id="55" w:name="_Toc376936748"/>
      <w:bookmarkStart w:id="56" w:name="_Toc371090029"/>
      <w:r>
        <w:rPr>
          <w:rFonts w:hint="eastAsia" w:ascii="宋体" w:hAnsi="宋体" w:cs="宋体"/>
          <w:color w:val="000000"/>
          <w:sz w:val="28"/>
          <w:szCs w:val="28"/>
          <w:lang w:val="zh-CN"/>
        </w:rPr>
        <w:t>13.</w:t>
      </w:r>
      <w:bookmarkEnd w:id="53"/>
      <w:r>
        <w:rPr>
          <w:rFonts w:hint="eastAsia" w:ascii="宋体" w:hAnsi="宋体" w:eastAsia="宋体" w:cs="Times New Roman"/>
          <w:b/>
          <w:bCs/>
          <w:kern w:val="0"/>
          <w:sz w:val="36"/>
          <w:szCs w:val="36"/>
        </w:rPr>
        <w:t xml:space="preserve"> </w:t>
      </w:r>
      <w:r>
        <w:rPr>
          <w:rFonts w:hint="eastAsia" w:ascii="宋体" w:hAnsi="宋体" w:eastAsiaTheme="minorEastAsia" w:cstheme="minorBidi"/>
          <w:b/>
          <w:bCs/>
          <w:smallCaps w:val="0"/>
          <w:kern w:val="0"/>
          <w:sz w:val="27"/>
          <w:szCs w:val="27"/>
          <w:lang w:val="en-US" w:eastAsia="zh-CN" w:bidi="ar-SA"/>
        </w:rPr>
        <w:t>网上投标</w:t>
      </w:r>
    </w:p>
    <w:p>
      <w:pPr>
        <w:ind w:firstLine="480"/>
        <w:rPr>
          <w:rFonts w:ascii="宋体" w:hAnsi="宋体"/>
        </w:rPr>
      </w:pPr>
      <w:r>
        <w:rPr>
          <w:rFonts w:hint="eastAsia" w:ascii="宋体" w:hAnsi="宋体"/>
        </w:rPr>
        <w:t>13.1 投标人应在青海省政府采购</w:t>
      </w:r>
      <w:r>
        <w:rPr>
          <w:rFonts w:hint="eastAsia" w:ascii="宋体" w:hAnsi="宋体"/>
          <w:lang w:eastAsia="zh-CN"/>
        </w:rPr>
        <w:t>网政采云</w:t>
      </w:r>
      <w:r>
        <w:rPr>
          <w:rFonts w:hint="eastAsia" w:ascii="宋体" w:hAnsi="宋体"/>
        </w:rPr>
        <w:t>电子化平台上报价并上传电子投标文件。</w:t>
      </w:r>
    </w:p>
    <w:p>
      <w:pPr>
        <w:ind w:firstLine="480"/>
        <w:rPr>
          <w:rFonts w:ascii="宋体" w:hAnsi="宋体"/>
          <w:color w:val="000000"/>
        </w:rPr>
      </w:pPr>
      <w:r>
        <w:rPr>
          <w:rFonts w:hint="eastAsia" w:ascii="宋体" w:hAnsi="宋体"/>
        </w:rPr>
        <w:t>13.2</w:t>
      </w:r>
      <w:r>
        <w:rPr>
          <w:rFonts w:hint="eastAsia" w:ascii="宋体" w:hAnsi="宋体"/>
          <w:color w:val="000000"/>
        </w:rPr>
        <w:t>投标人应按所投包报价，填写交货期。</w:t>
      </w:r>
    </w:p>
    <w:p>
      <w:pPr>
        <w:ind w:firstLine="480"/>
        <w:rPr>
          <w:rFonts w:ascii="宋体" w:hAnsi="宋体"/>
        </w:rPr>
      </w:pPr>
      <w:r>
        <w:rPr>
          <w:rFonts w:hint="eastAsia" w:ascii="宋体" w:hAnsi="宋体"/>
        </w:rPr>
        <w:t>13.3 开标时的“开标一览表”由各投标人网上报价生成。</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14.投标截止日期</w:t>
      </w:r>
      <w:bookmarkEnd w:id="54"/>
      <w:bookmarkEnd w:id="55"/>
      <w:bookmarkEnd w:id="56"/>
    </w:p>
    <w:p>
      <w:pPr>
        <w:ind w:firstLine="480"/>
        <w:rPr>
          <w:rFonts w:hint="eastAsia" w:ascii="宋体" w:hAnsi="宋体"/>
        </w:rPr>
      </w:pPr>
      <w:r>
        <w:rPr>
          <w:rFonts w:hint="eastAsia" w:ascii="宋体" w:hAnsi="宋体"/>
        </w:rPr>
        <w:t>14.1 若采购人、集中采购机构推迟投标截止期，采购人、集中采购机构和投标人受投标截止期约束的所有权利和义务均延长至新的投标截止期。</w:t>
      </w:r>
    </w:p>
    <w:p>
      <w:pPr>
        <w:ind w:firstLine="480"/>
        <w:rPr>
          <w:rFonts w:hint="eastAsia" w:ascii="宋体" w:hAnsi="宋体"/>
        </w:rPr>
      </w:pPr>
      <w:r>
        <w:rPr>
          <w:rFonts w:hint="eastAsia" w:ascii="宋体" w:hAnsi="宋体"/>
        </w:rPr>
        <w:t>14.2 采购人、集中采购机构按照“投标人须知”第6条规定，通过修改招标文件延长投标截止日期，在此情况下，采购人、集中采购机构、投标人受投标截止时间制约的所有权利和义务均延长至新的截止日期。</w:t>
      </w:r>
    </w:p>
    <w:p>
      <w:pPr>
        <w:pStyle w:val="15"/>
        <w:spacing w:before="0" w:after="0" w:line="360" w:lineRule="auto"/>
        <w:jc w:val="left"/>
        <w:rPr>
          <w:rFonts w:hint="eastAsia" w:ascii="宋体" w:hAnsi="宋体" w:cs="宋体"/>
          <w:color w:val="000000"/>
          <w:lang w:val="zh-CN"/>
        </w:rPr>
      </w:pPr>
      <w:bookmarkStart w:id="57" w:name="_Toc515908187"/>
      <w:bookmarkStart w:id="58" w:name="_Toc67558576"/>
      <w:bookmarkStart w:id="59" w:name="_Toc325726019"/>
      <w:bookmarkStart w:id="60" w:name="_Toc376936750"/>
      <w:r>
        <w:rPr>
          <w:rFonts w:hint="eastAsia" w:ascii="宋体" w:hAnsi="宋体" w:cs="宋体"/>
          <w:color w:val="000000"/>
          <w:sz w:val="28"/>
          <w:szCs w:val="28"/>
          <w:lang w:val="zh-CN"/>
        </w:rPr>
        <w:t>15.投标文件的补充、修改或者撤回</w:t>
      </w:r>
      <w:bookmarkEnd w:id="57"/>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五、开标</w:t>
      </w:r>
      <w:bookmarkEnd w:id="58"/>
      <w:bookmarkEnd w:id="59"/>
      <w:bookmarkEnd w:id="60"/>
    </w:p>
    <w:p>
      <w:pPr>
        <w:pStyle w:val="15"/>
        <w:spacing w:before="0" w:after="0" w:line="360" w:lineRule="auto"/>
        <w:jc w:val="left"/>
        <w:rPr>
          <w:rFonts w:hint="eastAsia" w:ascii="宋体" w:hAnsi="宋体" w:cs="宋体"/>
          <w:color w:val="000000"/>
          <w:lang w:val="zh-CN"/>
        </w:rPr>
      </w:pPr>
      <w:bookmarkStart w:id="61" w:name="_Toc515908189"/>
      <w:bookmarkStart w:id="62" w:name="_Toc67558578"/>
      <w:bookmarkStart w:id="63" w:name="_Toc325726021"/>
      <w:bookmarkStart w:id="64" w:name="_Toc376936752"/>
      <w:r>
        <w:rPr>
          <w:rFonts w:hint="eastAsia" w:ascii="宋体" w:hAnsi="宋体" w:cs="宋体"/>
          <w:color w:val="000000"/>
          <w:sz w:val="28"/>
          <w:szCs w:val="28"/>
          <w:lang w:val="zh-CN"/>
        </w:rPr>
        <w:t>16.开标</w:t>
      </w:r>
      <w:bookmarkEnd w:id="61"/>
    </w:p>
    <w:p>
      <w:pPr>
        <w:ind w:firstLine="480"/>
        <w:rPr>
          <w:rFonts w:ascii="宋体" w:hAnsi="宋体"/>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rPr>
        <w:t>采购人、集中采购机构在青海省政府采购</w:t>
      </w:r>
      <w:r>
        <w:rPr>
          <w:rFonts w:hint="eastAsia" w:ascii="宋体" w:hAnsi="宋体"/>
          <w:lang w:eastAsia="zh-CN"/>
        </w:rPr>
        <w:t>网政采云</w:t>
      </w:r>
      <w:r>
        <w:rPr>
          <w:rFonts w:hint="eastAsia" w:ascii="宋体" w:hAnsi="宋体"/>
        </w:rPr>
        <w:t>电子化平台上组织开标、评标活动，时间和地点以本招标文件中确定的为准。</w:t>
      </w:r>
    </w:p>
    <w:p>
      <w:pPr>
        <w:ind w:firstLine="480"/>
        <w:rPr>
          <w:rFonts w:ascii="宋体" w:hAnsi="宋体"/>
        </w:rPr>
      </w:pPr>
      <w:r>
        <w:rPr>
          <w:rFonts w:hint="eastAsia" w:ascii="宋体" w:hAnsi="宋体"/>
        </w:rPr>
        <w:t>16.2 投标截止时间投标人不足三家的，不得开标。</w:t>
      </w:r>
    </w:p>
    <w:p>
      <w:pPr>
        <w:ind w:firstLine="480"/>
        <w:rPr>
          <w:rFonts w:ascii="宋体" w:hAnsi="宋体"/>
        </w:rPr>
      </w:pPr>
      <w:r>
        <w:rPr>
          <w:rFonts w:hint="eastAsia" w:ascii="宋体" w:hAnsi="宋体"/>
        </w:rPr>
        <w:t>16.3开标时，潜在投标人未在青海省政府采购</w:t>
      </w:r>
      <w:r>
        <w:rPr>
          <w:rFonts w:hint="eastAsia" w:ascii="宋体" w:hAnsi="宋体"/>
          <w:lang w:eastAsia="zh-CN"/>
        </w:rPr>
        <w:t>网政采云</w:t>
      </w:r>
      <w:r>
        <w:rPr>
          <w:rFonts w:hint="eastAsia" w:ascii="宋体" w:hAnsi="宋体"/>
        </w:rPr>
        <w:t>电子化平台上报价的，视同未参与投标。</w:t>
      </w:r>
    </w:p>
    <w:p>
      <w:pPr>
        <w:ind w:firstLine="480"/>
        <w:rPr>
          <w:rFonts w:ascii="宋体" w:hAnsi="宋体"/>
        </w:rPr>
      </w:pPr>
      <w:r>
        <w:rPr>
          <w:rFonts w:hint="eastAsia" w:ascii="宋体" w:hAnsi="宋体"/>
        </w:rPr>
        <w:t>16.4开标后，投标人在青海省政府采购</w:t>
      </w:r>
      <w:r>
        <w:rPr>
          <w:rFonts w:hint="eastAsia" w:ascii="宋体" w:hAnsi="宋体"/>
          <w:lang w:eastAsia="zh-CN"/>
        </w:rPr>
        <w:t>网政采云</w:t>
      </w:r>
      <w:r>
        <w:rPr>
          <w:rFonts w:hint="eastAsia" w:ascii="宋体" w:hAnsi="宋体"/>
        </w:rPr>
        <w:t>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pPr>
        <w:ind w:firstLine="480"/>
        <w:rPr>
          <w:rFonts w:ascii="宋体" w:hAnsi="宋体"/>
        </w:rPr>
      </w:pPr>
      <w:r>
        <w:rPr>
          <w:rFonts w:hint="eastAsia" w:ascii="宋体" w:hAnsi="宋体"/>
        </w:rPr>
        <w:t>16.5开标工作由集中采购机构组织，采购人、采购管理、纪检监察等有关方面代表可根据采购项目的具体情况列席，并对开标过程签字确认。评标委员会成员不得参加开标活动。</w:t>
      </w:r>
    </w:p>
    <w:p>
      <w:pPr>
        <w:ind w:firstLine="480"/>
        <w:rPr>
          <w:rFonts w:ascii="宋体" w:hAnsi="宋体"/>
        </w:rPr>
      </w:pPr>
      <w:r>
        <w:rPr>
          <w:rFonts w:hint="eastAsia" w:ascii="宋体" w:hAnsi="宋体"/>
        </w:rPr>
        <w:t>16.</w:t>
      </w:r>
      <w:r>
        <w:rPr>
          <w:rFonts w:hint="eastAsia" w:ascii="宋体" w:hAnsi="宋体"/>
          <w:lang w:val="en-US" w:eastAsia="zh-CN"/>
        </w:rPr>
        <w:t>6</w:t>
      </w:r>
      <w:r>
        <w:rPr>
          <w:rFonts w:hint="eastAsia" w:ascii="宋体" w:hAnsi="宋体"/>
        </w:rPr>
        <w:t xml:space="preserve"> 开标后投标人必须在规定的时间内解密文件，因投标人未能按时完成解密或上传的投标文件损坏无法正常打开的，将会被视为无效投标。</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六、资格审查程序及方法</w:t>
      </w:r>
      <w:bookmarkEnd w:id="62"/>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5" w:name="_Toc67558579"/>
      <w:r>
        <w:rPr>
          <w:rFonts w:hint="eastAsia" w:ascii="宋体" w:hAnsi="宋体"/>
          <w:b/>
          <w:bCs/>
          <w:kern w:val="0"/>
          <w:sz w:val="27"/>
          <w:szCs w:val="27"/>
        </w:rPr>
        <w:t>17. 资格审查程序</w:t>
      </w:r>
      <w:bookmarkEnd w:id="65"/>
    </w:p>
    <w:p>
      <w:pPr>
        <w:ind w:firstLine="480"/>
        <w:rPr>
          <w:rFonts w:hint="eastAsia" w:ascii="宋体" w:hAnsi="宋体"/>
        </w:rPr>
      </w:pPr>
      <w:r>
        <w:rPr>
          <w:rFonts w:hint="eastAsia" w:ascii="宋体" w:hAnsi="宋体"/>
        </w:rPr>
        <w:t>17.1 开标结束后，由采购人、集中采购机构依法对投标人的资格进行审查。</w:t>
      </w:r>
    </w:p>
    <w:p>
      <w:pPr>
        <w:ind w:firstLine="480"/>
        <w:rPr>
          <w:rFonts w:hint="eastAsia" w:ascii="Arial" w:hAnsi="Arial" w:cs="Arial"/>
          <w:kern w:val="0"/>
        </w:rPr>
      </w:pPr>
      <w:r>
        <w:rPr>
          <w:rFonts w:hint="eastAsia" w:ascii="宋体" w:hAnsi="宋体"/>
        </w:rPr>
        <w:t xml:space="preserve">17.2 </w:t>
      </w:r>
      <w:r>
        <w:rPr>
          <w:rFonts w:ascii="Arial" w:hAnsi="Arial" w:cs="Arial"/>
          <w:kern w:val="0"/>
        </w:rPr>
        <w:t>合格投标人不足</w:t>
      </w:r>
      <w:r>
        <w:rPr>
          <w:rFonts w:hint="eastAsia" w:ascii="Arial" w:hAnsi="Arial" w:cs="Arial"/>
          <w:kern w:val="0"/>
        </w:rPr>
        <w:t>3</w:t>
      </w:r>
      <w:r>
        <w:rPr>
          <w:rFonts w:ascii="Arial" w:hAnsi="Arial" w:cs="Arial"/>
          <w:kern w:val="0"/>
        </w:rPr>
        <w:t>家的，不得评标。</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6" w:name="_Toc67558580"/>
      <w:r>
        <w:rPr>
          <w:rFonts w:hint="eastAsia" w:ascii="宋体" w:hAnsi="宋体"/>
          <w:b/>
          <w:bCs/>
          <w:kern w:val="0"/>
          <w:sz w:val="27"/>
          <w:szCs w:val="27"/>
        </w:rPr>
        <w:t>18.资格审查不通过的情形</w:t>
      </w:r>
      <w:bookmarkEnd w:id="66"/>
    </w:p>
    <w:p>
      <w:pPr>
        <w:ind w:firstLine="480"/>
        <w:jc w:val="left"/>
        <w:rPr>
          <w:rFonts w:hint="eastAsia" w:ascii="宋体" w:hAnsi="宋体"/>
        </w:rPr>
      </w:pPr>
      <w:r>
        <w:rPr>
          <w:rFonts w:hint="eastAsia" w:ascii="宋体" w:hAnsi="宋体"/>
        </w:rPr>
        <w:t>资格审查时，投标人存在下列情况之一的，按无效投标处理：</w:t>
      </w:r>
    </w:p>
    <w:p>
      <w:pPr>
        <w:ind w:firstLine="480"/>
        <w:jc w:val="left"/>
        <w:rPr>
          <w:rFonts w:hint="eastAsia" w:ascii="宋体" w:hAnsi="宋体"/>
        </w:rPr>
      </w:pPr>
      <w:r>
        <w:rPr>
          <w:rFonts w:hint="eastAsia" w:ascii="宋体" w:hAnsi="宋体"/>
        </w:rPr>
        <w:t>18.1 不符合招标文件第一部分投标人须知前附表“供应商资格条件”的；</w:t>
      </w:r>
    </w:p>
    <w:p>
      <w:pPr>
        <w:ind w:firstLine="480"/>
        <w:jc w:val="left"/>
        <w:rPr>
          <w:rFonts w:hint="eastAsia" w:ascii="宋体" w:hAnsi="宋体"/>
        </w:rPr>
      </w:pPr>
      <w:r>
        <w:rPr>
          <w:rFonts w:hint="eastAsia" w:ascii="宋体" w:hAnsi="宋体"/>
        </w:rPr>
        <w:t>18.2 未按招标文件要求缴纳或未足额缴纳投标保证金的；</w:t>
      </w:r>
    </w:p>
    <w:p>
      <w:pPr>
        <w:ind w:firstLine="480"/>
        <w:jc w:val="left"/>
        <w:rPr>
          <w:rFonts w:hint="eastAsia" w:ascii="宋体" w:hAnsi="宋体"/>
        </w:rPr>
      </w:pPr>
      <w:r>
        <w:rPr>
          <w:rFonts w:hint="eastAsia" w:ascii="宋体" w:hAnsi="宋体"/>
        </w:rPr>
        <w:t>18.3 未按第11.1.1款（1）-（8）要求提供相关资料的；</w:t>
      </w:r>
    </w:p>
    <w:p>
      <w:pPr>
        <w:ind w:firstLine="480"/>
        <w:jc w:val="left"/>
        <w:rPr>
          <w:rFonts w:hint="eastAsia" w:ascii="宋体" w:hAnsi="宋体"/>
        </w:rPr>
      </w:pPr>
      <w:r>
        <w:rPr>
          <w:rFonts w:hint="eastAsia" w:ascii="宋体" w:hAnsi="宋体"/>
        </w:rPr>
        <w:t>18.4 资格性审查部分没有按招标文件规定和要求签字、盖章的；</w:t>
      </w:r>
    </w:p>
    <w:p>
      <w:pPr>
        <w:ind w:firstLine="480"/>
        <w:jc w:val="left"/>
        <w:rPr>
          <w:rFonts w:hint="eastAsia" w:ascii="宋体" w:hAnsi="宋体"/>
        </w:rPr>
      </w:pPr>
      <w:r>
        <w:rPr>
          <w:rFonts w:hint="eastAsia" w:ascii="宋体" w:hAnsi="宋体"/>
        </w:rPr>
        <w:t>18.5 擅自修改招标文件规定的投标文件格式以及编制要求的。</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67" w:name="_Toc67558581"/>
      <w:r>
        <w:rPr>
          <w:rFonts w:hint="eastAsia" w:ascii="宋体" w:hAnsi="宋体"/>
          <w:b/>
          <w:bCs/>
          <w:kern w:val="0"/>
          <w:sz w:val="36"/>
          <w:szCs w:val="36"/>
        </w:rPr>
        <w:t>七、评标程序及方法</w:t>
      </w:r>
      <w:bookmarkEnd w:id="63"/>
      <w:bookmarkEnd w:id="64"/>
      <w:bookmarkEnd w:id="6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67558582"/>
      <w:bookmarkStart w:id="69" w:name="_Toc376936753"/>
      <w:bookmarkStart w:id="70" w:name="_Toc325726022"/>
      <w:r>
        <w:rPr>
          <w:rFonts w:hint="eastAsia" w:ascii="宋体" w:hAnsi="宋体"/>
          <w:b/>
          <w:bCs/>
          <w:kern w:val="0"/>
          <w:sz w:val="27"/>
          <w:szCs w:val="27"/>
        </w:rPr>
        <w:t>19.评标委员会</w:t>
      </w:r>
      <w:bookmarkEnd w:id="68"/>
      <w:bookmarkEnd w:id="69"/>
      <w:bookmarkEnd w:id="70"/>
    </w:p>
    <w:p>
      <w:pPr>
        <w:ind w:firstLine="480"/>
        <w:jc w:val="left"/>
        <w:rPr>
          <w:rFonts w:hint="eastAsia" w:ascii="宋体" w:hAnsi="宋体"/>
        </w:rPr>
      </w:pPr>
      <w:r>
        <w:rPr>
          <w:rFonts w:hint="eastAsia" w:ascii="宋体" w:hAnsi="宋体"/>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pPr>
        <w:ind w:firstLine="480"/>
        <w:jc w:val="left"/>
        <w:rPr>
          <w:rFonts w:hint="eastAsia" w:ascii="宋体" w:hAnsi="宋体"/>
        </w:rPr>
      </w:pPr>
      <w:r>
        <w:rPr>
          <w:rFonts w:hint="eastAsia" w:ascii="宋体" w:hAnsi="宋体"/>
        </w:rPr>
        <w:t>19.2评标由采购人、集中采购机构负责组织，具体评标事务由依法组建的评标委员会负责，并独立履行下列职责：</w:t>
      </w:r>
    </w:p>
    <w:p>
      <w:pPr>
        <w:ind w:firstLine="480"/>
        <w:jc w:val="left"/>
        <w:rPr>
          <w:rFonts w:hint="eastAsia" w:ascii="宋体" w:hAnsi="宋体"/>
        </w:rPr>
      </w:pPr>
      <w:r>
        <w:rPr>
          <w:rFonts w:hint="eastAsia" w:ascii="宋体" w:hAnsi="宋体"/>
        </w:rPr>
        <w:t>（1）审查、评价投标文件是否符合招标文件的商务、技术等实质性要求；</w:t>
      </w:r>
    </w:p>
    <w:p>
      <w:pPr>
        <w:ind w:firstLine="480"/>
        <w:jc w:val="left"/>
        <w:rPr>
          <w:rFonts w:hint="eastAsia" w:ascii="宋体" w:hAnsi="宋体"/>
        </w:rPr>
      </w:pPr>
      <w:r>
        <w:rPr>
          <w:rFonts w:hint="eastAsia" w:ascii="宋体" w:hAnsi="宋体"/>
        </w:rPr>
        <w:t>（2）要求投标人对投标文件有关事项作出澄清或者说明；</w:t>
      </w:r>
    </w:p>
    <w:p>
      <w:pPr>
        <w:ind w:firstLine="480"/>
        <w:jc w:val="left"/>
        <w:rPr>
          <w:rFonts w:hint="eastAsia" w:ascii="宋体" w:hAnsi="宋体"/>
        </w:rPr>
      </w:pPr>
      <w:r>
        <w:rPr>
          <w:rFonts w:hint="eastAsia" w:ascii="宋体" w:hAnsi="宋体"/>
        </w:rPr>
        <w:t>（3）对投标文件进行比较和评价；</w:t>
      </w:r>
    </w:p>
    <w:p>
      <w:pPr>
        <w:ind w:firstLine="480"/>
        <w:jc w:val="left"/>
        <w:rPr>
          <w:rFonts w:hint="eastAsia" w:ascii="宋体" w:hAnsi="宋体"/>
        </w:rPr>
      </w:pPr>
      <w:r>
        <w:rPr>
          <w:rFonts w:hint="eastAsia" w:ascii="宋体" w:hAnsi="宋体"/>
        </w:rPr>
        <w:t>（4）确定中标候选人名单，以及根据采购人委托直接确定中标人；</w:t>
      </w:r>
    </w:p>
    <w:p>
      <w:pPr>
        <w:ind w:firstLine="480"/>
        <w:jc w:val="left"/>
        <w:rPr>
          <w:rFonts w:hint="eastAsia" w:ascii="宋体" w:hAnsi="宋体"/>
        </w:rPr>
      </w:pPr>
      <w:r>
        <w:rPr>
          <w:rFonts w:hint="eastAsia" w:ascii="宋体" w:hAnsi="宋体"/>
        </w:rPr>
        <w:t>（5）向采购人、集中采购机构或者有关部门报告评标中发现的违法行为。</w:t>
      </w:r>
    </w:p>
    <w:p>
      <w:pPr>
        <w:ind w:firstLine="480"/>
        <w:jc w:val="left"/>
        <w:rPr>
          <w:rFonts w:hint="eastAsia" w:ascii="宋体" w:hAnsi="宋体"/>
        </w:rPr>
      </w:pPr>
      <w:r>
        <w:rPr>
          <w:rFonts w:hint="eastAsia" w:ascii="宋体" w:hAnsi="宋体"/>
        </w:rPr>
        <w:t>19.3评标委员会应遵守并履行下列义务：</w:t>
      </w:r>
    </w:p>
    <w:p>
      <w:pPr>
        <w:ind w:firstLine="480"/>
        <w:jc w:val="left"/>
        <w:rPr>
          <w:rFonts w:hint="eastAsia" w:ascii="宋体" w:hAnsi="宋体"/>
        </w:rPr>
      </w:pPr>
      <w:r>
        <w:rPr>
          <w:rFonts w:hint="eastAsia" w:ascii="宋体" w:hAnsi="宋体"/>
        </w:rPr>
        <w:t>（1）遵纪守法，客观、公正、廉洁地履行职责；</w:t>
      </w:r>
    </w:p>
    <w:p>
      <w:pPr>
        <w:ind w:firstLine="480"/>
        <w:jc w:val="left"/>
        <w:rPr>
          <w:rFonts w:hint="eastAsia" w:ascii="宋体" w:hAnsi="宋体"/>
        </w:rPr>
      </w:pPr>
      <w:r>
        <w:rPr>
          <w:rFonts w:hint="eastAsia" w:ascii="宋体" w:hAnsi="宋体"/>
        </w:rPr>
        <w:t>（2）按照招标文件规定的评标方法和评标标准进行评审，对评审意见承担评标委员会成员责任；</w:t>
      </w:r>
    </w:p>
    <w:p>
      <w:pPr>
        <w:ind w:firstLine="480"/>
        <w:jc w:val="left"/>
        <w:rPr>
          <w:rFonts w:hint="eastAsia" w:ascii="宋体" w:hAnsi="宋体"/>
        </w:rPr>
      </w:pPr>
      <w:r>
        <w:rPr>
          <w:rFonts w:hint="eastAsia" w:ascii="宋体" w:hAnsi="宋体"/>
        </w:rPr>
        <w:t>（3）对评标文件、评标情况和评标中获悉的商业秘密保密；</w:t>
      </w:r>
    </w:p>
    <w:p>
      <w:pPr>
        <w:ind w:firstLine="480"/>
        <w:jc w:val="left"/>
        <w:rPr>
          <w:rFonts w:hint="eastAsia" w:ascii="宋体" w:hAnsi="宋体"/>
        </w:rPr>
      </w:pPr>
      <w:r>
        <w:rPr>
          <w:rFonts w:hint="eastAsia" w:ascii="宋体" w:hAnsi="宋体"/>
        </w:rPr>
        <w:t>（4）参与评标报告的起草；</w:t>
      </w:r>
    </w:p>
    <w:p>
      <w:pPr>
        <w:ind w:firstLine="480"/>
        <w:jc w:val="left"/>
        <w:rPr>
          <w:rFonts w:hint="eastAsia" w:ascii="宋体" w:hAnsi="宋体"/>
        </w:rPr>
      </w:pPr>
      <w:r>
        <w:rPr>
          <w:rFonts w:hint="eastAsia" w:ascii="宋体" w:hAnsi="宋体"/>
        </w:rPr>
        <w:t>（5）解答投标供应商及有关方面的质疑；</w:t>
      </w:r>
    </w:p>
    <w:p>
      <w:pPr>
        <w:ind w:firstLine="480"/>
        <w:jc w:val="left"/>
        <w:rPr>
          <w:rFonts w:hint="eastAsia" w:ascii="宋体" w:hAnsi="宋体"/>
        </w:rPr>
      </w:pPr>
      <w:r>
        <w:rPr>
          <w:rFonts w:hint="eastAsia" w:ascii="宋体" w:hAnsi="宋体"/>
        </w:rPr>
        <w:t>（6）配合监管部门进行投诉处理工作。</w:t>
      </w:r>
    </w:p>
    <w:p>
      <w:pPr>
        <w:ind w:firstLine="480"/>
        <w:jc w:val="left"/>
        <w:rPr>
          <w:rFonts w:hint="eastAsia" w:ascii="宋体" w:hAnsi="宋体"/>
        </w:rPr>
      </w:pPr>
      <w:r>
        <w:rPr>
          <w:rFonts w:hint="eastAsia" w:ascii="宋体" w:hAnsi="宋体"/>
        </w:rPr>
        <w:t>19.4评标工作在有关部门的监督下依法开展，任何单位和个人不得非法干预、影响评标工作和评标结果。</w:t>
      </w:r>
    </w:p>
    <w:p>
      <w:pPr>
        <w:autoSpaceDE w:val="0"/>
        <w:autoSpaceDN w:val="0"/>
        <w:adjustRightInd w:val="0"/>
        <w:ind w:firstLine="480"/>
        <w:jc w:val="left"/>
        <w:rPr>
          <w:rFonts w:hint="eastAsia" w:ascii="宋体" w:hAnsi="宋体"/>
          <w:color w:val="000000"/>
        </w:rPr>
      </w:pPr>
      <w:r>
        <w:rPr>
          <w:rFonts w:hint="eastAsia" w:ascii="宋体" w:hAnsi="宋体"/>
          <w:color w:val="000000"/>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adjustRightInd w:val="0"/>
        <w:ind w:firstLine="480"/>
        <w:jc w:val="left"/>
        <w:rPr>
          <w:rFonts w:ascii="宋体" w:hAnsi="宋体"/>
          <w:color w:val="000000"/>
        </w:rPr>
      </w:pPr>
      <w:r>
        <w:rPr>
          <w:rFonts w:hint="eastAsia" w:ascii="宋体" w:hAnsi="宋体" w:cs="宋体"/>
          <w:color w:val="000000"/>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25726023"/>
      <w:bookmarkStart w:id="72" w:name="_Toc376936754"/>
      <w:bookmarkStart w:id="73" w:name="_Toc67558583"/>
      <w:r>
        <w:rPr>
          <w:rFonts w:hint="eastAsia" w:ascii="宋体" w:hAnsi="宋体"/>
          <w:b/>
          <w:bCs/>
          <w:kern w:val="0"/>
          <w:sz w:val="27"/>
          <w:szCs w:val="27"/>
        </w:rPr>
        <w:t>20.评标工作程序</w:t>
      </w:r>
      <w:bookmarkEnd w:id="71"/>
      <w:bookmarkEnd w:id="72"/>
      <w:bookmarkEnd w:id="73"/>
    </w:p>
    <w:p>
      <w:pPr>
        <w:ind w:firstLine="480"/>
        <w:jc w:val="left"/>
        <w:rPr>
          <w:rFonts w:hint="eastAsia" w:ascii="宋体" w:hAnsi="宋体"/>
          <w:color w:val="000000"/>
        </w:rPr>
      </w:pPr>
      <w:r>
        <w:rPr>
          <w:rFonts w:hint="eastAsia" w:ascii="宋体" w:hAnsi="Courier New"/>
          <w:szCs w:val="20"/>
        </w:rPr>
        <w:t>20.1</w:t>
      </w:r>
      <w:r>
        <w:rPr>
          <w:rFonts w:hint="eastAsia" w:ascii="宋体" w:hAnsi="宋体"/>
          <w:color w:val="000000"/>
        </w:rPr>
        <w:t>进入符合性评标阶段后，由评标委员会独立开展评标工作，负责审议资格性审查通过的所有投标文件，并对投标文件进行评审、评分。</w:t>
      </w:r>
    </w:p>
    <w:p>
      <w:pPr>
        <w:ind w:firstLine="480"/>
        <w:jc w:val="left"/>
        <w:rPr>
          <w:rFonts w:hint="eastAsia" w:ascii="宋体" w:hAnsi="宋体"/>
          <w:color w:val="000000"/>
          <w:highlight w:val="yellow"/>
        </w:rPr>
      </w:pPr>
      <w:r>
        <w:rPr>
          <w:rFonts w:hint="eastAsia" w:ascii="宋体" w:hAnsi="宋体"/>
          <w:color w:val="000000"/>
        </w:rPr>
        <w:t>20.2 符合性审查时，存在下列情况之一的，按无效投标处理：</w:t>
      </w:r>
    </w:p>
    <w:p>
      <w:pPr>
        <w:ind w:firstLine="480"/>
        <w:jc w:val="left"/>
        <w:rPr>
          <w:rFonts w:hint="eastAsia" w:ascii="宋体" w:hAnsi="宋体"/>
          <w:color w:val="000000"/>
        </w:rPr>
      </w:pPr>
      <w:r>
        <w:rPr>
          <w:rFonts w:hint="eastAsia" w:ascii="宋体" w:hAnsi="宋体"/>
          <w:color w:val="000000"/>
        </w:rPr>
        <w:t>（1）</w:t>
      </w:r>
      <w:r>
        <w:rPr>
          <w:rFonts w:hint="eastAsia" w:ascii="宋体" w:hAnsi="宋体" w:cs="楷体_GB2312"/>
          <w:color w:val="000000"/>
          <w:lang w:val="zh-CN"/>
        </w:rPr>
        <w:t>未按第11</w:t>
      </w:r>
      <w:r>
        <w:rPr>
          <w:rFonts w:hint="eastAsia" w:ascii="宋体" w:hAnsi="宋体"/>
          <w:color w:val="000000"/>
        </w:rPr>
        <w:t>.</w:t>
      </w:r>
      <w:r>
        <w:rPr>
          <w:rFonts w:hint="eastAsia" w:ascii="宋体" w:hAnsi="宋体" w:cs="楷体_GB2312"/>
          <w:color w:val="000000"/>
          <w:lang w:val="zh-CN"/>
        </w:rPr>
        <w:t>1.2款（9）-（13）要求提供相关资料的；</w:t>
      </w:r>
    </w:p>
    <w:p>
      <w:pPr>
        <w:ind w:firstLine="480"/>
        <w:jc w:val="left"/>
        <w:rPr>
          <w:rFonts w:hint="eastAsia" w:ascii="宋体" w:hAnsi="宋体"/>
          <w:color w:val="000000"/>
        </w:rPr>
      </w:pPr>
      <w:r>
        <w:rPr>
          <w:rFonts w:hint="eastAsia" w:ascii="宋体" w:hAnsi="宋体"/>
          <w:color w:val="000000"/>
        </w:rPr>
        <w:t>（2）符合性审查部分没有按招标文件规定和要求签字、盖章的；</w:t>
      </w:r>
    </w:p>
    <w:p>
      <w:pPr>
        <w:ind w:firstLine="480"/>
        <w:jc w:val="left"/>
        <w:rPr>
          <w:rFonts w:hint="eastAsia" w:ascii="宋体" w:hAnsi="宋体"/>
          <w:color w:val="000000"/>
        </w:rPr>
      </w:pPr>
      <w:r>
        <w:rPr>
          <w:rFonts w:hint="eastAsia" w:ascii="宋体" w:hAnsi="宋体"/>
          <w:color w:val="000000"/>
        </w:rPr>
        <w:t>（3）投标人</w:t>
      </w:r>
      <w:r>
        <w:rPr>
          <w:rFonts w:hint="eastAsia" w:ascii="宋体" w:hAnsi="宋体"/>
          <w:color w:val="000000"/>
          <w:lang w:eastAsia="zh-CN"/>
        </w:rPr>
        <w:t>报价一栏标</w:t>
      </w:r>
      <w:r>
        <w:rPr>
          <w:rFonts w:hint="eastAsia" w:ascii="宋体" w:hAnsi="宋体"/>
          <w:color w:val="000000"/>
        </w:rPr>
        <w:t>与投标文件报价不一致的；或出现两个或两个以上报价方案的；</w:t>
      </w:r>
    </w:p>
    <w:p>
      <w:pPr>
        <w:ind w:firstLine="480"/>
        <w:jc w:val="left"/>
        <w:rPr>
          <w:rFonts w:hint="eastAsia" w:ascii="宋体" w:hAnsi="宋体"/>
          <w:color w:val="000000"/>
        </w:rPr>
      </w:pPr>
      <w:r>
        <w:rPr>
          <w:rFonts w:hint="eastAsia" w:ascii="宋体" w:hAnsi="宋体"/>
          <w:color w:val="000000"/>
        </w:rPr>
        <w:t>（4）产品交货期、质保期、投标有效期不能满足招标文件要求的；</w:t>
      </w:r>
    </w:p>
    <w:p>
      <w:pPr>
        <w:ind w:firstLine="480"/>
        <w:jc w:val="left"/>
        <w:rPr>
          <w:rFonts w:hint="eastAsia" w:ascii="宋体" w:hAnsi="宋体"/>
          <w:color w:val="000000"/>
          <w:szCs w:val="20"/>
        </w:rPr>
      </w:pPr>
      <w:r>
        <w:rPr>
          <w:rFonts w:hint="eastAsia" w:ascii="宋体" w:hAnsi="宋体"/>
          <w:color w:val="000000"/>
          <w:szCs w:val="20"/>
        </w:rPr>
        <w:t>（5）</w:t>
      </w:r>
      <w:r>
        <w:rPr>
          <w:rFonts w:hint="eastAsia" w:ascii="宋体" w:hAnsi="宋体"/>
          <w:color w:val="000000"/>
        </w:rPr>
        <w:t>投标总报价超过招标文件规定的采购预算额度或者最高限价的；</w:t>
      </w:r>
    </w:p>
    <w:p>
      <w:pPr>
        <w:ind w:firstLine="480"/>
        <w:jc w:val="left"/>
        <w:rPr>
          <w:rFonts w:hint="eastAsia" w:ascii="宋体" w:hAnsi="宋体"/>
          <w:color w:val="000000"/>
        </w:rPr>
      </w:pPr>
      <w:r>
        <w:rPr>
          <w:rFonts w:hint="eastAsia" w:ascii="宋体" w:hAnsi="宋体"/>
          <w:color w:val="000000"/>
        </w:rPr>
        <w:t>（6）投标产品的技术规格、技术标准明显不符合采购项目要求的；</w:t>
      </w:r>
    </w:p>
    <w:p>
      <w:pPr>
        <w:ind w:firstLine="480"/>
        <w:jc w:val="left"/>
        <w:rPr>
          <w:rFonts w:hint="eastAsia" w:ascii="宋体" w:hAnsi="宋体"/>
          <w:color w:val="000000"/>
        </w:rPr>
      </w:pPr>
      <w:r>
        <w:rPr>
          <w:rFonts w:hint="eastAsia" w:ascii="宋体" w:hAnsi="宋体"/>
          <w:color w:val="000000"/>
        </w:rPr>
        <w:t>（7）投标产品未完全满足招标文件确定的重要技术指标、参数的；</w:t>
      </w:r>
    </w:p>
    <w:p>
      <w:pPr>
        <w:ind w:firstLine="480"/>
        <w:rPr>
          <w:rFonts w:hint="eastAsia" w:ascii="宋体" w:hAnsi="宋体"/>
          <w:color w:val="000000"/>
        </w:rPr>
      </w:pPr>
      <w:r>
        <w:rPr>
          <w:rFonts w:hint="eastAsia" w:ascii="宋体" w:hAnsi="宋体"/>
          <w:color w:val="000000"/>
        </w:rPr>
        <w:t>（8）</w:t>
      </w:r>
      <w:r>
        <w:rPr>
          <w:rFonts w:hint="eastAsia" w:ascii="宋体" w:hAnsi="宋体"/>
          <w:color w:val="000000"/>
          <w:szCs w:val="20"/>
        </w:rPr>
        <w:t>投标文件含有采购人不能接受的附加条件的；</w:t>
      </w:r>
    </w:p>
    <w:p>
      <w:pPr>
        <w:ind w:firstLine="480"/>
        <w:rPr>
          <w:rFonts w:hint="eastAsia" w:ascii="宋体" w:hAnsi="宋体"/>
          <w:color w:val="000000"/>
        </w:rPr>
      </w:pPr>
      <w:r>
        <w:rPr>
          <w:rFonts w:hint="eastAsia" w:ascii="宋体" w:hAnsi="宋体"/>
          <w:color w:val="000000"/>
        </w:rPr>
        <w:t>（9）评标委员会认为应按无效投标处理的其他情况；</w:t>
      </w:r>
    </w:p>
    <w:p>
      <w:pPr>
        <w:ind w:firstLine="480"/>
        <w:rPr>
          <w:rFonts w:hint="eastAsia" w:ascii="宋体" w:hAnsi="宋体"/>
          <w:color w:val="000000"/>
        </w:rPr>
      </w:pPr>
      <w:r>
        <w:rPr>
          <w:rFonts w:hint="eastAsia" w:ascii="宋体" w:hAnsi="宋体"/>
          <w:color w:val="000000"/>
        </w:rPr>
        <w:t>（10）法律、法规规定的其他情形。</w:t>
      </w:r>
    </w:p>
    <w:p>
      <w:pPr>
        <w:autoSpaceDE w:val="0"/>
        <w:autoSpaceDN w:val="0"/>
        <w:adjustRightInd w:val="0"/>
        <w:ind w:firstLine="480"/>
        <w:jc w:val="left"/>
        <w:rPr>
          <w:rFonts w:hint="eastAsia" w:ascii="宋体" w:hAnsi="宋体"/>
          <w:color w:val="000000"/>
        </w:rPr>
      </w:pPr>
      <w:r>
        <w:rPr>
          <w:rFonts w:hint="eastAsia" w:ascii="宋体" w:hAnsi="宋体"/>
          <w:color w:val="000000"/>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jc w:val="left"/>
        <w:rPr>
          <w:rFonts w:hint="eastAsia" w:ascii="Arial"/>
        </w:rPr>
      </w:pPr>
      <w:r>
        <w:rPr>
          <w:rFonts w:hint="eastAsia" w:ascii="宋体" w:hAnsi="宋体"/>
          <w:color w:val="000000"/>
        </w:rPr>
        <w:t>20.4 在项目评标时，单一产品采购项目，</w:t>
      </w:r>
      <w:r>
        <w:rPr>
          <w:rFonts w:ascii="Arial"/>
        </w:rPr>
        <w:t>提供相同品牌产品且通过资格审查、符合性审查的不同投标人参加同一合同项</w:t>
      </w:r>
      <w:r>
        <w:rPr>
          <w:rFonts w:hint="eastAsia" w:ascii="Arial"/>
        </w:rPr>
        <w:t>(或同一包)</w:t>
      </w:r>
      <w:r>
        <w:rPr>
          <w:rFonts w:ascii="Arial"/>
        </w:rPr>
        <w:t>下投标的，按一家投标人计算，评审后得分最高的同品牌投标人获得中标人推荐资格；评审得分相同的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定，其他同品牌投标人不作为中标候选人。</w:t>
      </w:r>
    </w:p>
    <w:p>
      <w:pPr>
        <w:ind w:firstLine="480"/>
        <w:jc w:val="left"/>
        <w:rPr>
          <w:rFonts w:hint="eastAsia" w:ascii="Arial"/>
        </w:rPr>
      </w:pPr>
      <w:r>
        <w:rPr>
          <w:rFonts w:ascii="Arial"/>
        </w:rPr>
        <w:t>非单一产品采购项目，采购人根据采购项目技术构成、产品价格比重等合理确定核心产品</w:t>
      </w:r>
      <w:r>
        <w:rPr>
          <w:rFonts w:hint="eastAsia" w:ascii="Arial"/>
        </w:rPr>
        <w:t>（具体内容详见“采购一览表及技术参数”中规定的核心产品），提供</w:t>
      </w:r>
      <w:r>
        <w:rPr>
          <w:rFonts w:ascii="Arial"/>
        </w:rPr>
        <w:t>核心产品品牌相同且通过资格审查、符合性审查的不同投标人参加同一合同项</w:t>
      </w:r>
      <w:r>
        <w:rPr>
          <w:rFonts w:hint="eastAsia" w:ascii="Arial"/>
        </w:rPr>
        <w:t>(或同一包)</w:t>
      </w:r>
      <w:r>
        <w:rPr>
          <w:rFonts w:ascii="Arial"/>
        </w:rPr>
        <w:t>下投标的，</w:t>
      </w:r>
      <w:r>
        <w:rPr>
          <w:rFonts w:hint="eastAsia" w:ascii="Arial"/>
        </w:rPr>
        <w:t>按一家投标人计算</w:t>
      </w:r>
      <w:r>
        <w:rPr>
          <w:rFonts w:hint="eastAsia" w:ascii="宋体" w:hAnsi="宋体"/>
          <w:color w:val="000000"/>
        </w:rPr>
        <w:t xml:space="preserve"> ，</w:t>
      </w:r>
      <w:r>
        <w:rPr>
          <w:rFonts w:ascii="Arial"/>
        </w:rPr>
        <w:t>评审后得分最高的同核心产品投标人获得中标人推荐资格；评审得分相同的</w:t>
      </w:r>
      <w:r>
        <w:rPr>
          <w:rFonts w:hint="eastAsia" w:ascii="Arial"/>
        </w:rPr>
        <w:t>，</w:t>
      </w:r>
      <w:r>
        <w:rPr>
          <w:rFonts w:ascii="Arial"/>
        </w:rPr>
        <w:t>采取</w:t>
      </w:r>
      <w:r>
        <w:rPr>
          <w:rFonts w:hint="eastAsia" w:ascii="Arial"/>
        </w:rPr>
        <w:t>评标委员会</w:t>
      </w:r>
      <w:r>
        <w:rPr>
          <w:rFonts w:ascii="Arial"/>
        </w:rPr>
        <w:t>随机抽取</w:t>
      </w:r>
      <w:r>
        <w:rPr>
          <w:rFonts w:hint="eastAsia" w:ascii="Arial"/>
        </w:rPr>
        <w:t>或推荐的方式确</w:t>
      </w:r>
      <w:r>
        <w:rPr>
          <w:rFonts w:ascii="Arial"/>
        </w:rPr>
        <w:t>定，其他</w:t>
      </w:r>
      <w:r>
        <w:rPr>
          <w:rFonts w:hint="eastAsia" w:ascii="Arial"/>
        </w:rPr>
        <w:t>核心产品品牌相同的</w:t>
      </w:r>
      <w:r>
        <w:rPr>
          <w:rFonts w:ascii="Arial"/>
        </w:rPr>
        <w:t>投标人不作为中标候选人</w:t>
      </w:r>
      <w:r>
        <w:rPr>
          <w:rFonts w:hint="eastAsia" w:ascii="Arial"/>
        </w:rPr>
        <w:t>。</w:t>
      </w:r>
    </w:p>
    <w:p>
      <w:pPr>
        <w:ind w:firstLine="0" w:firstLineChars="0"/>
        <w:jc w:val="left"/>
        <w:rPr>
          <w:rFonts w:hint="eastAsia" w:ascii="宋体" w:hAnsi="宋体"/>
          <w:color w:val="000000"/>
        </w:rPr>
      </w:pP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67558584"/>
      <w:r>
        <w:rPr>
          <w:rFonts w:hint="eastAsia" w:ascii="宋体" w:hAnsi="宋体"/>
          <w:b/>
          <w:bCs/>
          <w:kern w:val="0"/>
          <w:sz w:val="27"/>
          <w:szCs w:val="27"/>
        </w:rPr>
        <w:t>21.答疑的方式和情形</w:t>
      </w:r>
      <w:bookmarkEnd w:id="74"/>
    </w:p>
    <w:p>
      <w:pPr>
        <w:ind w:firstLine="480"/>
        <w:jc w:val="left"/>
        <w:rPr>
          <w:rFonts w:hint="eastAsia" w:ascii="宋体" w:hAnsi="宋体"/>
          <w:color w:val="000000"/>
        </w:rPr>
      </w:pPr>
      <w:r>
        <w:rPr>
          <w:rFonts w:hint="eastAsia" w:ascii="宋体" w:hAnsi="宋体"/>
        </w:rPr>
        <w:t xml:space="preserve">21.1 </w:t>
      </w:r>
      <w:r>
        <w:rPr>
          <w:rFonts w:hint="eastAsia" w:ascii="宋体" w:hAnsi="宋体"/>
          <w:color w:val="000000"/>
        </w:rPr>
        <w:t>答疑方式：详见第一部分投标人须知前附表“答疑方式”。</w:t>
      </w:r>
    </w:p>
    <w:p>
      <w:pPr>
        <w:ind w:firstLine="480"/>
        <w:jc w:val="left"/>
        <w:rPr>
          <w:rFonts w:hint="eastAsia" w:ascii="宋体" w:hAnsi="宋体"/>
          <w:color w:val="000000"/>
        </w:rPr>
      </w:pPr>
      <w:r>
        <w:rPr>
          <w:rFonts w:hint="eastAsia" w:ascii="宋体" w:hAnsi="宋体"/>
          <w:color w:val="000000"/>
        </w:rPr>
        <w:t xml:space="preserve">21.2 </w:t>
      </w:r>
      <w:r>
        <w:rPr>
          <w:rFonts w:ascii="宋体" w:hAnsi="宋体"/>
        </w:rPr>
        <w:t>对</w:t>
      </w:r>
      <w:r>
        <w:rPr>
          <w:rFonts w:ascii="Arial" w:hAnsi="Arial" w:cs="Arial"/>
          <w:kern w:val="0"/>
        </w:rPr>
        <w:t>于投标文件中含义不明确、同类问题表述不一致或者有明显文字和计算错误的内容，评标委员会</w:t>
      </w:r>
      <w:r>
        <w:rPr>
          <w:rFonts w:hint="eastAsia" w:ascii="Arial" w:hAnsi="Arial" w:cs="Arial"/>
          <w:kern w:val="0"/>
        </w:rPr>
        <w:t>应当</w:t>
      </w:r>
      <w:r>
        <w:rPr>
          <w:rFonts w:ascii="Arial" w:hAnsi="Arial" w:cs="Arial"/>
          <w:kern w:val="0"/>
        </w:rPr>
        <w:t>要求投标人作出必要的澄清、说明或者补正。投标人的澄清、说明或者补正</w:t>
      </w:r>
      <w:r>
        <w:rPr>
          <w:rFonts w:hint="eastAsia" w:ascii="宋体" w:hAnsi="宋体"/>
          <w:color w:val="000000"/>
        </w:rPr>
        <w:t>不得超出投标文件的范围或者改变投标文件的实质性内容，并作为投标文件的组成部分。</w:t>
      </w:r>
    </w:p>
    <w:p>
      <w:pPr>
        <w:ind w:firstLine="480"/>
        <w:jc w:val="left"/>
        <w:rPr>
          <w:rFonts w:hint="eastAsia" w:ascii="宋体" w:hAnsi="宋体"/>
          <w:color w:val="000000"/>
        </w:rPr>
      </w:pPr>
      <w:r>
        <w:rPr>
          <w:rFonts w:hint="eastAsia" w:ascii="宋体" w:hAnsi="宋体"/>
          <w:color w:val="000000"/>
        </w:rPr>
        <w:t>21.3 答疑期间，投标人存在以下情况的，</w:t>
      </w:r>
      <w:r>
        <w:rPr>
          <w:rFonts w:ascii="宋体" w:hAnsi="宋体"/>
          <w:color w:val="000000"/>
        </w:rPr>
        <w:t>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的内容将不予接受，评标委员会将按照招标文件的要求对现有的投标资料做出评审意见：</w:t>
      </w:r>
    </w:p>
    <w:p>
      <w:pPr>
        <w:ind w:firstLine="480"/>
        <w:jc w:val="left"/>
        <w:rPr>
          <w:rFonts w:hint="eastAsia" w:ascii="宋体" w:hAnsi="宋体"/>
          <w:color w:val="000000"/>
        </w:rPr>
      </w:pPr>
      <w:r>
        <w:rPr>
          <w:rFonts w:hint="eastAsia" w:ascii="宋体" w:hAnsi="宋体"/>
          <w:color w:val="000000"/>
        </w:rPr>
        <w:t>（1）拒绝或在规定的时间内未做出澄清、说明；</w:t>
      </w:r>
    </w:p>
    <w:p>
      <w:pPr>
        <w:ind w:firstLine="480"/>
        <w:jc w:val="left"/>
        <w:rPr>
          <w:rFonts w:hint="eastAsia" w:ascii="宋体" w:hAnsi="宋体"/>
          <w:color w:val="000000"/>
        </w:rPr>
      </w:pPr>
      <w:r>
        <w:rPr>
          <w:rFonts w:hint="eastAsia" w:ascii="宋体" w:hAnsi="宋体"/>
          <w:color w:val="000000"/>
        </w:rPr>
        <w:t>（2）</w:t>
      </w:r>
      <w:r>
        <w:rPr>
          <w:rFonts w:ascii="Arial" w:hAnsi="Arial" w:cs="Arial"/>
          <w:kern w:val="0"/>
        </w:rPr>
        <w:t>投标人的澄清、说明或者补正</w:t>
      </w:r>
      <w:r>
        <w:rPr>
          <w:rFonts w:hint="eastAsia" w:ascii="宋体" w:hAnsi="宋体"/>
          <w:color w:val="000000"/>
        </w:rPr>
        <w:t>超出投标文件的范围或者改变投标文件的实质性内容；</w:t>
      </w:r>
    </w:p>
    <w:p>
      <w:pPr>
        <w:ind w:firstLine="480"/>
        <w:jc w:val="left"/>
        <w:rPr>
          <w:rFonts w:hint="eastAsia" w:ascii="宋体" w:hAnsi="宋体"/>
          <w:color w:val="000000"/>
        </w:rPr>
      </w:pPr>
      <w:r>
        <w:rPr>
          <w:rFonts w:hint="eastAsia" w:ascii="宋体" w:hAnsi="宋体"/>
          <w:color w:val="000000"/>
        </w:rPr>
        <w:t>（3）澄清、说明的内容仍不能说明问题的；</w:t>
      </w:r>
    </w:p>
    <w:p>
      <w:pPr>
        <w:ind w:firstLine="480"/>
        <w:jc w:val="left"/>
        <w:rPr>
          <w:rFonts w:hint="eastAsia" w:ascii="宋体" w:hAnsi="宋体"/>
          <w:color w:val="000000"/>
        </w:rPr>
      </w:pPr>
      <w:r>
        <w:rPr>
          <w:rFonts w:hint="eastAsia" w:ascii="宋体" w:hAnsi="宋体"/>
          <w:color w:val="000000"/>
        </w:rPr>
        <w:t>（4）</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w:t>
      </w:r>
    </w:p>
    <w:p>
      <w:pPr>
        <w:ind w:firstLine="480"/>
        <w:jc w:val="left"/>
        <w:rPr>
          <w:rFonts w:hint="eastAsia" w:ascii="宋体" w:hAnsi="宋体"/>
          <w:color w:val="000000"/>
        </w:rPr>
      </w:pPr>
      <w:r>
        <w:rPr>
          <w:rFonts w:hint="eastAsia" w:ascii="宋体" w:hAnsi="宋体"/>
          <w:color w:val="000000"/>
        </w:rPr>
        <w:t>（5）评标委员会认为应不予接受的其他情况。</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5" w:name="_Toc376936755"/>
      <w:bookmarkStart w:id="76" w:name="_Toc325726024"/>
      <w:bookmarkStart w:id="77" w:name="_Toc67558585"/>
      <w:r>
        <w:rPr>
          <w:rFonts w:hint="eastAsia" w:ascii="宋体" w:hAnsi="宋体"/>
          <w:b/>
          <w:bCs/>
          <w:kern w:val="0"/>
          <w:sz w:val="27"/>
          <w:szCs w:val="27"/>
        </w:rPr>
        <w:t>22.评标办法</w:t>
      </w:r>
      <w:bookmarkEnd w:id="75"/>
      <w:bookmarkEnd w:id="76"/>
      <w:bookmarkEnd w:id="77"/>
    </w:p>
    <w:p>
      <w:pPr>
        <w:ind w:firstLine="480"/>
        <w:jc w:val="left"/>
        <w:rPr>
          <w:rFonts w:hint="eastAsia" w:ascii="宋体" w:hAnsi="宋体"/>
        </w:rPr>
      </w:pPr>
      <w:r>
        <w:rPr>
          <w:rFonts w:hint="eastAsia" w:ascii="宋体" w:hAnsi="宋体"/>
          <w:color w:val="000000"/>
        </w:rPr>
        <w:t>22.1依照《中华人民共和国政府采购法》、《中华人民共和国政府采购法实施条例》、财政部《政府采购货物和服务招标投标管理办法》的规定，结合该项目的特点制定本评标办法，</w:t>
      </w:r>
      <w:r>
        <w:rPr>
          <w:rFonts w:hint="eastAsia" w:ascii="宋体" w:hAnsi="宋体"/>
        </w:rPr>
        <w:t>本次评标采用综合评分法。</w:t>
      </w:r>
    </w:p>
    <w:p>
      <w:pPr>
        <w:ind w:firstLine="480"/>
        <w:jc w:val="left"/>
        <w:rPr>
          <w:rFonts w:hint="eastAsia" w:ascii="宋体" w:hAnsi="宋体"/>
          <w:b/>
          <w:color w:val="000000"/>
        </w:rPr>
      </w:pPr>
      <w:r>
        <w:rPr>
          <w:rFonts w:hint="eastAsia" w:ascii="宋体" w:hAnsi="宋体"/>
          <w:color w:val="000000"/>
        </w:rPr>
        <w:t>本次综合评分的主要因素是：投标报价、技术水平、履约及售后服务能力等。评标过程中，在同等条件下，优先采购具有环境标志、节能、自主创新的产品。</w:t>
      </w:r>
    </w:p>
    <w:p>
      <w:pPr>
        <w:ind w:firstLine="480"/>
        <w:jc w:val="left"/>
        <w:rPr>
          <w:rFonts w:hint="eastAsia" w:ascii="宋体" w:hAnsi="宋体"/>
          <w:b/>
          <w:color w:val="000000"/>
        </w:rPr>
      </w:pPr>
      <w:r>
        <w:rPr>
          <w:rFonts w:hint="eastAsia" w:ascii="宋体" w:hAnsi="宋体"/>
          <w:color w:val="000000"/>
        </w:rPr>
        <w:t>根据《政府采购促进中小企业发展管理办法》，属中小企业制造的货物（产品），投标人须提供《中小企业声明函》（详见附件15），其划型标准严格按照国家工信部、国家统计局、国家发改委、财政部出台的《中小企业划型标准规定》（工信部联企业[2011]300号）执行。</w:t>
      </w:r>
      <w:r>
        <w:rPr>
          <w:rFonts w:hint="eastAsia" w:ascii="宋体" w:hAnsi="宋体"/>
          <w:b/>
          <w:color w:val="000000"/>
        </w:rPr>
        <w:t>投标人提供的《中小企业声明函》资料必须真实</w:t>
      </w:r>
      <w:r>
        <w:rPr>
          <w:rFonts w:hint="eastAsia" w:ascii="宋体" w:hAnsi="宋体"/>
          <w:b/>
        </w:rPr>
        <w:t>，如有虚假，将依法承担相应责任。</w:t>
      </w:r>
    </w:p>
    <w:p>
      <w:pPr>
        <w:ind w:firstLine="480"/>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微型企业，享受预留份额、评标中价格扣除等促进中小企业发展的政府采购政策。向残疾人福利性单位采购的金额，计入面向中小企业采购的统计数据。</w:t>
      </w:r>
      <w:r>
        <w:rPr>
          <w:rFonts w:hint="eastAsia" w:ascii="宋体" w:hAnsi="宋体"/>
          <w:b/>
          <w:color w:val="000000"/>
        </w:rPr>
        <w:t>投标人提供的《残疾人福利性单位声明函》资料必须真实，</w:t>
      </w:r>
      <w:r>
        <w:rPr>
          <w:rFonts w:hint="eastAsia" w:ascii="宋体" w:hAnsi="宋体"/>
          <w:b/>
        </w:rPr>
        <w:t>如有虚假，将依法承担相应责任。</w:t>
      </w:r>
    </w:p>
    <w:p>
      <w:pPr>
        <w:ind w:firstLine="480"/>
        <w:jc w:val="left"/>
        <w:rPr>
          <w:rFonts w:hint="eastAsia" w:ascii="宋体" w:hAnsi="宋体"/>
          <w:color w:val="000000"/>
        </w:rPr>
      </w:pPr>
      <w:r>
        <w:rPr>
          <w:rFonts w:hint="eastAsia" w:ascii="宋体" w:hAnsi="宋体" w:cs="宋体"/>
          <w:color w:val="000000"/>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pPr>
        <w:ind w:firstLine="480"/>
        <w:jc w:val="left"/>
        <w:rPr>
          <w:rFonts w:hint="eastAsia" w:ascii="宋体" w:hAnsi="宋体" w:cs="宋体"/>
          <w:color w:val="000000"/>
        </w:rPr>
      </w:pPr>
      <w:r>
        <w:rPr>
          <w:rFonts w:hint="eastAsia" w:ascii="宋体" w:hAnsi="宋体" w:cs="宋体"/>
          <w:color w:val="000000"/>
        </w:rPr>
        <w:t>评标标准和分值分配：</w:t>
      </w:r>
    </w:p>
    <w:p>
      <w:pPr>
        <w:pStyle w:val="42"/>
      </w:pPr>
      <w:bookmarkStart w:id="78" w:name="_Toc325726025"/>
      <w:bookmarkStart w:id="79" w:name="_Toc376936756"/>
      <w:bookmarkStart w:id="80" w:name="_Toc67558586"/>
      <w:r>
        <w:rPr>
          <w:rFonts w:hint="eastAsia"/>
        </w:rPr>
        <w:t>一、评标方法和标准</w:t>
      </w:r>
    </w:p>
    <w:tbl>
      <w:tblPr>
        <w:tblStyle w:val="16"/>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51"/>
        <w:gridCol w:w="850"/>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 w:type="dxa"/>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类别</w:t>
            </w:r>
          </w:p>
        </w:tc>
        <w:tc>
          <w:tcPr>
            <w:tcW w:w="851" w:type="dxa"/>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项目</w:t>
            </w:r>
          </w:p>
        </w:tc>
        <w:tc>
          <w:tcPr>
            <w:tcW w:w="850" w:type="dxa"/>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满分</w:t>
            </w:r>
          </w:p>
          <w:p>
            <w:pPr>
              <w:jc w:val="center"/>
              <w:rPr>
                <w:rFonts w:ascii="宋体" w:hAnsi="宋体" w:eastAsia="宋体" w:cs="宋体"/>
                <w:b/>
                <w:color w:val="000000"/>
                <w:sz w:val="18"/>
                <w:szCs w:val="18"/>
              </w:rPr>
            </w:pPr>
            <w:r>
              <w:rPr>
                <w:rFonts w:hint="eastAsia" w:ascii="宋体" w:hAnsi="宋体" w:eastAsia="宋体" w:cs="宋体"/>
                <w:b/>
                <w:color w:val="000000"/>
                <w:sz w:val="18"/>
                <w:szCs w:val="18"/>
              </w:rPr>
              <w:t>分值</w:t>
            </w:r>
          </w:p>
        </w:tc>
        <w:tc>
          <w:tcPr>
            <w:tcW w:w="5939" w:type="dxa"/>
            <w:vAlign w:val="center"/>
          </w:tcPr>
          <w:p>
            <w:pPr>
              <w:ind w:firstLine="480"/>
              <w:jc w:val="center"/>
              <w:rPr>
                <w:rFonts w:ascii="宋体" w:hAnsi="宋体" w:eastAsia="宋体" w:cs="宋体"/>
                <w:b/>
                <w:color w:val="000000"/>
                <w:sz w:val="18"/>
                <w:szCs w:val="18"/>
              </w:rPr>
            </w:pPr>
            <w:r>
              <w:rPr>
                <w:rFonts w:hint="eastAsia" w:ascii="宋体" w:hAnsi="宋体" w:eastAsia="宋体" w:cs="宋体"/>
                <w:b/>
                <w:color w:val="000000"/>
                <w:sz w:val="18"/>
                <w:szCs w:val="18"/>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7"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投标报价</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30分</w:t>
            </w:r>
          </w:p>
        </w:tc>
        <w:tc>
          <w:tcPr>
            <w:tcW w:w="85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报价分</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5939" w:type="dxa"/>
            <w:vAlign w:val="center"/>
          </w:tcPr>
          <w:p>
            <w:pPr>
              <w:jc w:val="left"/>
              <w:rPr>
                <w:rFonts w:ascii="宋体" w:hAnsi="宋体" w:eastAsia="宋体" w:cs="宋体"/>
                <w:color w:val="000000"/>
                <w:sz w:val="18"/>
                <w:szCs w:val="18"/>
                <w:lang w:val="zh-CN"/>
              </w:rPr>
            </w:pPr>
            <w:r>
              <w:rPr>
                <w:rFonts w:hint="eastAsia" w:ascii="宋体" w:hAnsi="宋体" w:eastAsia="宋体" w:cs="宋体"/>
                <w:color w:val="000000"/>
                <w:sz w:val="18"/>
                <w:szCs w:val="18"/>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jc w:val="left"/>
              <w:rPr>
                <w:rFonts w:ascii="宋体" w:hAnsi="宋体" w:eastAsia="宋体" w:cs="宋体"/>
                <w:color w:val="000000"/>
                <w:sz w:val="18"/>
                <w:szCs w:val="18"/>
              </w:rPr>
            </w:pPr>
            <w:r>
              <w:rPr>
                <w:rFonts w:hint="eastAsia" w:ascii="宋体" w:hAnsi="宋体" w:eastAsia="宋体" w:cs="宋体"/>
                <w:color w:val="000000"/>
                <w:sz w:val="18"/>
                <w:szCs w:val="18"/>
                <w:lang w:val="zh-CN"/>
              </w:rPr>
              <w:t>注：根据《政府采购促进中小企业发展暂行办法》的相关规定，对小型和微型企业制造（生产）产品的价格给予6%的扣除，用扣除后的价格参与评审。</w:t>
            </w:r>
            <w:r>
              <w:rPr>
                <w:rFonts w:hint="eastAsia" w:ascii="宋体" w:hAnsi="宋体" w:eastAsia="宋体" w:cs="宋体"/>
                <w:color w:val="000000"/>
                <w:sz w:val="18"/>
                <w:szCs w:val="18"/>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7"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技术水平</w:t>
            </w:r>
          </w:p>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45</w:t>
            </w:r>
            <w:r>
              <w:rPr>
                <w:rFonts w:hint="eastAsia" w:ascii="宋体" w:hAnsi="宋体" w:eastAsia="宋体" w:cs="宋体"/>
                <w:color w:val="000000"/>
                <w:sz w:val="18"/>
                <w:szCs w:val="18"/>
              </w:rPr>
              <w:t>分</w:t>
            </w:r>
          </w:p>
        </w:tc>
        <w:tc>
          <w:tcPr>
            <w:tcW w:w="851" w:type="dxa"/>
            <w:vAlign w:val="center"/>
          </w:tcPr>
          <w:p>
            <w:pPr>
              <w:jc w:val="center"/>
              <w:rPr>
                <w:rFonts w:ascii="宋体" w:hAnsi="宋体" w:eastAsia="宋体" w:cs="宋体"/>
                <w:color w:val="000000"/>
                <w:sz w:val="18"/>
                <w:szCs w:val="18"/>
              </w:rPr>
            </w:pPr>
            <w:r>
              <w:rPr>
                <w:rFonts w:hint="eastAsia" w:ascii="宋体" w:hAnsi="宋体" w:eastAsia="宋体" w:cs="仿宋"/>
                <w:sz w:val="18"/>
                <w:szCs w:val="18"/>
              </w:rPr>
              <w:t>投标产品的技术响应情况</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35</w:t>
            </w:r>
          </w:p>
        </w:tc>
        <w:tc>
          <w:tcPr>
            <w:tcW w:w="5939" w:type="dxa"/>
            <w:vAlign w:val="center"/>
          </w:tcPr>
          <w:p>
            <w:pPr>
              <w:autoSpaceDE w:val="0"/>
              <w:autoSpaceDN w:val="0"/>
              <w:rPr>
                <w:rFonts w:ascii="宋体" w:hAnsi="宋体" w:eastAsia="宋体" w:cs="宋体"/>
                <w:color w:val="000000"/>
                <w:sz w:val="18"/>
                <w:szCs w:val="18"/>
              </w:rPr>
            </w:pPr>
            <w:r>
              <w:rPr>
                <w:rFonts w:hint="eastAsia" w:ascii="宋体" w:hAnsi="宋体" w:eastAsia="宋体" w:cs="仿宋"/>
                <w:sz w:val="18"/>
                <w:szCs w:val="18"/>
              </w:rPr>
              <w:t>1.投标产品技术参数和配置完全满足或高于招标文件要求的，得35</w:t>
            </w:r>
            <w:r>
              <w:rPr>
                <w:rFonts w:ascii="宋体" w:hAnsi="宋体" w:eastAsia="宋体" w:cs="仿宋"/>
                <w:sz w:val="18"/>
                <w:szCs w:val="18"/>
              </w:rPr>
              <w:t>分；每有一项负偏离扣</w:t>
            </w:r>
            <w:r>
              <w:rPr>
                <w:rFonts w:hint="eastAsia" w:ascii="宋体" w:hAnsi="宋体" w:eastAsia="宋体" w:cs="仿宋"/>
                <w:sz w:val="18"/>
                <w:szCs w:val="18"/>
              </w:rPr>
              <w:t>3</w:t>
            </w:r>
            <w:r>
              <w:rPr>
                <w:rFonts w:ascii="宋体" w:hAnsi="宋体" w:eastAsia="宋体" w:cs="仿宋"/>
                <w:sz w:val="18"/>
                <w:szCs w:val="18"/>
              </w:rPr>
              <w:t>分，扣完为止；</w:t>
            </w:r>
            <w:r>
              <w:rPr>
                <w:rFonts w:hint="eastAsia" w:ascii="宋体" w:hAnsi="宋体" w:eastAsia="宋体" w:cs="仿宋"/>
                <w:sz w:val="18"/>
                <w:szCs w:val="18"/>
              </w:rPr>
              <w:t>(此项评分以提供的证明文件、产品彩页、截图和检验报告、技术偏离表为依据）。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57" w:type="dxa"/>
            <w:vMerge w:val="continue"/>
            <w:vAlign w:val="center"/>
          </w:tcPr>
          <w:p>
            <w:pPr>
              <w:ind w:firstLine="480"/>
              <w:jc w:val="center"/>
              <w:rPr>
                <w:rFonts w:ascii="宋体" w:hAnsi="宋体" w:eastAsia="宋体" w:cs="宋体"/>
                <w:color w:val="000000"/>
                <w:sz w:val="18"/>
                <w:szCs w:val="18"/>
                <w:lang w:val="zh-CN"/>
              </w:rPr>
            </w:pPr>
          </w:p>
        </w:tc>
        <w:tc>
          <w:tcPr>
            <w:tcW w:w="85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节能和环保</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5939" w:type="dxa"/>
            <w:vAlign w:val="center"/>
          </w:tcPr>
          <w:p>
            <w:pPr>
              <w:jc w:val="left"/>
              <w:rPr>
                <w:rFonts w:ascii="宋体" w:hAnsi="宋体" w:eastAsia="宋体" w:cs="宋体"/>
                <w:color w:val="000000"/>
                <w:sz w:val="18"/>
                <w:szCs w:val="18"/>
                <w:lang w:val="zh-CN"/>
              </w:rPr>
            </w:pPr>
            <w:r>
              <w:rPr>
                <w:rFonts w:hint="eastAsia" w:ascii="宋体" w:hAnsi="宋体" w:eastAsia="宋体" w:cs="宋体"/>
                <w:color w:val="000000"/>
                <w:sz w:val="18"/>
                <w:szCs w:val="18"/>
              </w:rPr>
              <w:t>投标产品为节能产品得1.5分；投标产品为环保产品得1.5分，未提供不得分。该项得分的认定以《国家节能产品认证证书》、《中国环境标志产品认证证书》。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continue"/>
            <w:vAlign w:val="center"/>
          </w:tcPr>
          <w:p>
            <w:pPr>
              <w:ind w:firstLine="480"/>
              <w:jc w:val="center"/>
              <w:rPr>
                <w:rFonts w:ascii="宋体" w:hAnsi="宋体" w:eastAsia="宋体" w:cs="宋体"/>
                <w:color w:val="000000"/>
                <w:sz w:val="18"/>
                <w:szCs w:val="18"/>
                <w:lang w:val="zh-CN"/>
              </w:rPr>
            </w:pPr>
          </w:p>
        </w:tc>
        <w:tc>
          <w:tcPr>
            <w:tcW w:w="85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自主创新产品</w:t>
            </w:r>
          </w:p>
        </w:tc>
        <w:tc>
          <w:tcPr>
            <w:tcW w:w="850" w:type="dxa"/>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5939" w:type="dxa"/>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1、为保证产品兼容性，所投产品制造商交互式智能平板及智慧讲台（显示终端）需为同一品牌，提供交互式智能平板及智慧讲台CCC证书复印件的得 4分，未提供不得分。</w:t>
            </w:r>
          </w:p>
          <w:p>
            <w:pPr>
              <w:jc w:val="left"/>
              <w:rPr>
                <w:rFonts w:ascii="宋体" w:hAnsi="宋体" w:eastAsia="宋体" w:cs="宋体"/>
                <w:color w:val="000000"/>
                <w:sz w:val="18"/>
                <w:szCs w:val="18"/>
                <w:lang w:val="zh-CN"/>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为保证软硬件兼容性，要求智慧黑板配套白板软件、移动授课助手软件、智慧校园云平台均与智慧黑板为同一品牌，并提供相关软件著作权登记证书得3分，未提供不得分。（须提供相关证书复印件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vMerge w:val="restart"/>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履约及售后服务</w:t>
            </w:r>
          </w:p>
          <w:p>
            <w:pPr>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25</w:t>
            </w:r>
            <w:r>
              <w:rPr>
                <w:rFonts w:hint="eastAsia" w:ascii="宋体" w:hAnsi="宋体" w:eastAsia="宋体" w:cs="宋体"/>
                <w:color w:val="000000"/>
                <w:sz w:val="18"/>
                <w:szCs w:val="18"/>
              </w:rPr>
              <w:t>分</w:t>
            </w:r>
          </w:p>
          <w:p>
            <w:pPr>
              <w:ind w:firstLine="480"/>
              <w:jc w:val="center"/>
              <w:rPr>
                <w:rFonts w:ascii="宋体" w:hAnsi="宋体" w:eastAsia="宋体" w:cs="宋体"/>
                <w:color w:val="000000"/>
                <w:sz w:val="18"/>
                <w:szCs w:val="18"/>
              </w:rPr>
            </w:pPr>
          </w:p>
        </w:tc>
        <w:tc>
          <w:tcPr>
            <w:tcW w:w="85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类似业绩情况</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5939" w:type="dxa"/>
            <w:vAlign w:val="center"/>
          </w:tcPr>
          <w:p>
            <w:pPr>
              <w:jc w:val="left"/>
              <w:rPr>
                <w:rFonts w:ascii="宋体" w:hAnsi="宋体" w:eastAsia="宋体" w:cs="宋体"/>
                <w:color w:val="000000"/>
                <w:sz w:val="18"/>
                <w:szCs w:val="18"/>
              </w:rPr>
            </w:pPr>
            <w:r>
              <w:rPr>
                <w:rFonts w:hint="eastAsia" w:ascii="宋体" w:hAnsi="宋体" w:eastAsia="宋体" w:cs="仿宋"/>
                <w:bCs/>
                <w:sz w:val="18"/>
                <w:szCs w:val="18"/>
              </w:rPr>
              <w:t>投标人需提供2019年1月1日以来（以合同签订日期为准）</w:t>
            </w:r>
            <w:r>
              <w:rPr>
                <w:rFonts w:hint="eastAsia" w:ascii="宋体" w:hAnsi="宋体" w:eastAsia="宋体" w:cs="仿宋"/>
                <w:sz w:val="18"/>
                <w:szCs w:val="18"/>
              </w:rPr>
              <w:t>类似项目业绩</w:t>
            </w:r>
            <w:r>
              <w:rPr>
                <w:rFonts w:hint="eastAsia" w:ascii="宋体" w:hAnsi="宋体" w:eastAsia="宋体" w:cs="仿宋"/>
                <w:bCs/>
                <w:sz w:val="18"/>
                <w:szCs w:val="18"/>
              </w:rPr>
              <w:t>，投标文件中需提供体现合同主要内容的清晰复印件并加盖公章(至少包含封面、首页、合同标的（完整的）页、签字盖章页)。每提供一个类似</w:t>
            </w:r>
            <w:r>
              <w:rPr>
                <w:rFonts w:hint="eastAsia" w:ascii="宋体" w:hAnsi="宋体" w:eastAsia="宋体" w:cs="仿宋"/>
                <w:kern w:val="0"/>
                <w:sz w:val="18"/>
                <w:szCs w:val="18"/>
              </w:rPr>
              <w:t>业绩加1分，本款最多得3分。</w:t>
            </w:r>
            <w:r>
              <w:rPr>
                <w:rFonts w:hint="eastAsia" w:ascii="宋体" w:hAnsi="宋体" w:eastAsia="宋体" w:cs="仿宋"/>
                <w:sz w:val="18"/>
                <w:szCs w:val="18"/>
              </w:rPr>
              <w:t>未提供或者投标人提供的合同关键页不全或不清晰的，不得分。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57" w:type="dxa"/>
            <w:vMerge w:val="continue"/>
            <w:vAlign w:val="center"/>
          </w:tcPr>
          <w:p>
            <w:pPr>
              <w:ind w:firstLine="480"/>
              <w:jc w:val="center"/>
              <w:rPr>
                <w:rFonts w:ascii="宋体" w:hAnsi="宋体" w:eastAsia="宋体" w:cs="宋体"/>
                <w:color w:val="000000"/>
                <w:sz w:val="18"/>
                <w:szCs w:val="18"/>
                <w:lang w:val="zh-CN"/>
              </w:rPr>
            </w:pPr>
          </w:p>
        </w:tc>
        <w:tc>
          <w:tcPr>
            <w:tcW w:w="851" w:type="dxa"/>
            <w:vAlign w:val="center"/>
          </w:tcPr>
          <w:p>
            <w:pPr>
              <w:jc w:val="center"/>
              <w:rPr>
                <w:rFonts w:ascii="宋体" w:hAnsi="宋体" w:eastAsia="宋体" w:cs="宋体"/>
                <w:color w:val="000000"/>
                <w:sz w:val="18"/>
                <w:szCs w:val="18"/>
                <w:lang w:val="zh-CN"/>
              </w:rPr>
            </w:pPr>
            <w:r>
              <w:rPr>
                <w:rFonts w:hint="eastAsia" w:ascii="宋体" w:hAnsi="宋体" w:eastAsia="宋体" w:cs="宋体"/>
                <w:color w:val="000000"/>
                <w:sz w:val="18"/>
                <w:szCs w:val="18"/>
              </w:rPr>
              <w:t>项目管理及实施方案</w:t>
            </w:r>
          </w:p>
        </w:tc>
        <w:tc>
          <w:tcPr>
            <w:tcW w:w="850" w:type="dxa"/>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5939" w:type="dxa"/>
            <w:vAlign w:val="center"/>
          </w:tcPr>
          <w:p>
            <w:pPr>
              <w:jc w:val="left"/>
              <w:rPr>
                <w:rFonts w:ascii="宋体" w:hAnsi="宋体" w:eastAsia="宋体" w:cs="宋体"/>
                <w:color w:val="000000"/>
                <w:sz w:val="18"/>
                <w:szCs w:val="18"/>
                <w:lang w:val="zh-CN"/>
              </w:rPr>
            </w:pPr>
            <w:r>
              <w:rPr>
                <w:rFonts w:hint="eastAsia" w:ascii="宋体" w:hAnsi="宋体" w:eastAsia="宋体" w:cs="宋体"/>
                <w:color w:val="000000"/>
                <w:sz w:val="18"/>
                <w:szCs w:val="18"/>
              </w:rPr>
              <w:t>设置了项目管理机构，并且有科学、具体的项目管理措施。包含：①实施计划②实施团队③实施进度④质量控制措施⑤安全保障措施。根据供应商提供的实施方案进行横向比对，其中优秀的得</w:t>
            </w:r>
            <w:r>
              <w:rPr>
                <w:rFonts w:hint="eastAsia" w:ascii="宋体" w:hAnsi="宋体" w:eastAsia="宋体" w:cs="宋体"/>
                <w:color w:val="000000"/>
                <w:sz w:val="18"/>
                <w:szCs w:val="18"/>
                <w:lang w:val="en-US" w:eastAsia="zh-CN"/>
              </w:rPr>
              <w:t>13</w:t>
            </w:r>
            <w:r>
              <w:rPr>
                <w:rFonts w:hint="eastAsia" w:ascii="宋体" w:hAnsi="宋体" w:eastAsia="宋体" w:cs="宋体"/>
                <w:color w:val="000000"/>
                <w:sz w:val="18"/>
                <w:szCs w:val="18"/>
              </w:rPr>
              <w:t>分，一般的得</w:t>
            </w:r>
            <w:r>
              <w:rPr>
                <w:rFonts w:hint="eastAsia" w:ascii="宋体" w:hAnsi="宋体" w:eastAsia="宋体" w:cs="宋体"/>
                <w:color w:val="000000"/>
                <w:sz w:val="18"/>
                <w:szCs w:val="18"/>
                <w:lang w:val="en-US" w:eastAsia="zh-CN"/>
              </w:rPr>
              <w:t>9</w:t>
            </w:r>
            <w:r>
              <w:rPr>
                <w:rFonts w:hint="eastAsia" w:ascii="宋体" w:hAnsi="宋体" w:eastAsia="宋体" w:cs="宋体"/>
                <w:color w:val="000000"/>
                <w:sz w:val="18"/>
                <w:szCs w:val="18"/>
              </w:rPr>
              <w:t>分，较差的得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分，未实施性响应或未提供不得分。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57" w:type="dxa"/>
            <w:vMerge w:val="continue"/>
            <w:vAlign w:val="center"/>
          </w:tcPr>
          <w:p>
            <w:pPr>
              <w:ind w:firstLine="480"/>
              <w:jc w:val="center"/>
              <w:rPr>
                <w:rFonts w:ascii="宋体" w:hAnsi="宋体" w:eastAsia="宋体" w:cs="宋体"/>
                <w:color w:val="000000"/>
                <w:sz w:val="18"/>
                <w:szCs w:val="18"/>
                <w:lang w:val="zh-CN"/>
              </w:rPr>
            </w:pPr>
          </w:p>
        </w:tc>
        <w:tc>
          <w:tcPr>
            <w:tcW w:w="851" w:type="dxa"/>
            <w:vAlign w:val="center"/>
          </w:tcPr>
          <w:p>
            <w:pPr>
              <w:jc w:val="center"/>
              <w:rPr>
                <w:rFonts w:ascii="宋体" w:hAnsi="宋体" w:eastAsia="宋体" w:cs="宋体"/>
                <w:color w:val="000000"/>
                <w:sz w:val="18"/>
                <w:szCs w:val="18"/>
              </w:rPr>
            </w:pPr>
            <w:r>
              <w:rPr>
                <w:rFonts w:hint="eastAsia" w:ascii="宋体" w:hAnsi="宋体" w:eastAsia="宋体" w:cs="仿宋"/>
                <w:sz w:val="18"/>
                <w:szCs w:val="18"/>
              </w:rPr>
              <w:t>培训方案</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5939" w:type="dxa"/>
            <w:vAlign w:val="center"/>
          </w:tcPr>
          <w:p>
            <w:pPr>
              <w:jc w:val="left"/>
              <w:rPr>
                <w:rFonts w:ascii="宋体" w:hAnsi="宋体" w:eastAsia="宋体" w:cs="仿宋"/>
                <w:sz w:val="18"/>
                <w:szCs w:val="18"/>
              </w:rPr>
            </w:pPr>
            <w:r>
              <w:rPr>
                <w:rFonts w:hint="eastAsia" w:ascii="宋体" w:hAnsi="宋体" w:eastAsia="宋体" w:cs="仿宋"/>
                <w:sz w:val="18"/>
                <w:szCs w:val="18"/>
              </w:rPr>
              <w:t>提供详细的培训方案，包括培训内容、培训人数、课程时间、授课讲师专业程度、培训地点等内容。</w:t>
            </w:r>
          </w:p>
          <w:p>
            <w:pPr>
              <w:jc w:val="left"/>
              <w:rPr>
                <w:rFonts w:ascii="宋体" w:hAnsi="宋体" w:eastAsia="宋体" w:cs="宋体"/>
                <w:color w:val="000000"/>
                <w:sz w:val="18"/>
                <w:szCs w:val="18"/>
              </w:rPr>
            </w:pPr>
            <w:r>
              <w:rPr>
                <w:rFonts w:hint="eastAsia" w:ascii="宋体" w:hAnsi="宋体" w:eastAsia="宋体" w:cs="仿宋"/>
                <w:sz w:val="18"/>
                <w:szCs w:val="18"/>
              </w:rPr>
              <w:t>培训方案内容全面，满足本项目培训要求的得</w:t>
            </w:r>
            <w:r>
              <w:rPr>
                <w:rFonts w:hint="eastAsia" w:ascii="宋体" w:hAnsi="宋体" w:eastAsia="宋体" w:cs="仿宋"/>
                <w:sz w:val="18"/>
                <w:szCs w:val="18"/>
                <w:lang w:val="en-US" w:eastAsia="zh-CN"/>
              </w:rPr>
              <w:t>5</w:t>
            </w:r>
            <w:r>
              <w:rPr>
                <w:rFonts w:hint="eastAsia" w:ascii="宋体" w:hAnsi="宋体" w:eastAsia="宋体" w:cs="仿宋"/>
                <w:sz w:val="18"/>
                <w:szCs w:val="18"/>
              </w:rPr>
              <w:t>分；培训方案较全面，基本满足培训要求的得</w:t>
            </w:r>
            <w:r>
              <w:rPr>
                <w:rFonts w:hint="eastAsia" w:ascii="宋体" w:hAnsi="宋体" w:eastAsia="宋体" w:cs="仿宋"/>
                <w:sz w:val="18"/>
                <w:szCs w:val="18"/>
                <w:lang w:val="en-US" w:eastAsia="zh-CN"/>
              </w:rPr>
              <w:t>3</w:t>
            </w:r>
            <w:r>
              <w:rPr>
                <w:rFonts w:hint="eastAsia" w:ascii="宋体" w:hAnsi="宋体" w:eastAsia="宋体" w:cs="仿宋"/>
                <w:sz w:val="18"/>
                <w:szCs w:val="18"/>
              </w:rPr>
              <w:t>分；培训方案一般的得1分；未提供的不得分。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57" w:type="dxa"/>
            <w:vMerge w:val="continue"/>
            <w:vAlign w:val="center"/>
          </w:tcPr>
          <w:p>
            <w:pPr>
              <w:ind w:firstLine="480"/>
              <w:jc w:val="center"/>
              <w:rPr>
                <w:rFonts w:ascii="宋体" w:hAnsi="宋体" w:eastAsia="宋体" w:cs="宋体"/>
                <w:color w:val="000000"/>
                <w:sz w:val="18"/>
                <w:szCs w:val="18"/>
                <w:lang w:val="zh-CN"/>
              </w:rPr>
            </w:pPr>
          </w:p>
        </w:tc>
        <w:tc>
          <w:tcPr>
            <w:tcW w:w="851" w:type="dxa"/>
            <w:vAlign w:val="center"/>
          </w:tcPr>
          <w:p>
            <w:pPr>
              <w:jc w:val="center"/>
              <w:rPr>
                <w:rFonts w:ascii="宋体" w:hAnsi="宋体" w:eastAsia="宋体" w:cs="宋体"/>
                <w:color w:val="000000"/>
                <w:sz w:val="18"/>
                <w:szCs w:val="18"/>
                <w:lang w:val="zh-CN"/>
              </w:rPr>
            </w:pPr>
            <w:r>
              <w:rPr>
                <w:rFonts w:hint="eastAsia" w:ascii="宋体" w:hAnsi="宋体" w:eastAsia="宋体" w:cs="宋体"/>
                <w:color w:val="000000"/>
                <w:sz w:val="18"/>
                <w:szCs w:val="18"/>
              </w:rPr>
              <w:t>售后服务及相关承诺</w:t>
            </w:r>
          </w:p>
        </w:tc>
        <w:tc>
          <w:tcPr>
            <w:tcW w:w="850"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5939" w:type="dxa"/>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针对该项目须有完善的售后服务体系。包含：①售后服务机构和人员②售后服务内容和流程③售后服务响应时间和质量④售后服务方式和特色。其中优秀的得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分，一般的得</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分，较差的</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分，未实质性响应或未提供不得分。根据供应商提供的售后服务体系进行横向比对。</w:t>
            </w:r>
          </w:p>
        </w:tc>
      </w:tr>
    </w:tbl>
    <w:p>
      <w:pPr>
        <w:spacing w:line="360" w:lineRule="auto"/>
        <w:contextualSpacing/>
        <w:rPr>
          <w:rFonts w:ascii="宋体" w:hAnsi="宋体" w:eastAsia="宋体" w:cs="仿宋"/>
          <w:b/>
          <w:szCs w:val="21"/>
        </w:rPr>
      </w:pPr>
    </w:p>
    <w:p>
      <w:pPr>
        <w:spacing w:line="360" w:lineRule="auto"/>
        <w:contextualSpacing/>
        <w:rPr>
          <w:rFonts w:ascii="宋体" w:hAnsi="宋体" w:eastAsia="宋体" w:cs="仿宋"/>
          <w:b/>
          <w:szCs w:val="21"/>
        </w:rPr>
      </w:pPr>
    </w:p>
    <w:p>
      <w:pPr>
        <w:spacing w:line="360" w:lineRule="auto"/>
        <w:contextualSpacing/>
        <w:rPr>
          <w:rFonts w:ascii="宋体" w:hAnsi="宋体" w:eastAsia="宋体" w:cs="仿宋"/>
          <w:b/>
          <w:szCs w:val="21"/>
        </w:rPr>
      </w:pPr>
    </w:p>
    <w:p>
      <w:pPr>
        <w:widowControl/>
        <w:spacing w:before="624" w:beforeLines="200" w:after="624" w:afterLines="200" w:line="240" w:lineRule="auto"/>
        <w:ind w:firstLine="3253" w:firstLineChars="900"/>
        <w:jc w:val="both"/>
        <w:outlineLvl w:val="1"/>
        <w:rPr>
          <w:rFonts w:hint="eastAsia" w:ascii="宋体" w:hAnsi="宋体"/>
          <w:b/>
          <w:bCs/>
          <w:kern w:val="0"/>
          <w:sz w:val="36"/>
          <w:szCs w:val="36"/>
        </w:rPr>
      </w:pPr>
      <w:r>
        <w:rPr>
          <w:rFonts w:hint="eastAsia" w:ascii="宋体" w:hAnsi="宋体"/>
          <w:b/>
          <w:bCs/>
          <w:kern w:val="0"/>
          <w:sz w:val="36"/>
          <w:szCs w:val="36"/>
        </w:rPr>
        <w:t>八、定 标</w:t>
      </w:r>
      <w:bookmarkEnd w:id="78"/>
      <w:bookmarkEnd w:id="79"/>
      <w:bookmarkEnd w:id="80"/>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7"/>
      <w:bookmarkStart w:id="82" w:name="_Toc325726026"/>
      <w:bookmarkStart w:id="83" w:name="_Toc67558587"/>
      <w:r>
        <w:rPr>
          <w:rFonts w:hint="eastAsia" w:ascii="宋体" w:hAnsi="宋体"/>
          <w:b/>
          <w:bCs/>
          <w:kern w:val="0"/>
          <w:sz w:val="27"/>
          <w:szCs w:val="27"/>
        </w:rPr>
        <w:t>23.推荐并确定中标</w:t>
      </w:r>
      <w:bookmarkEnd w:id="81"/>
      <w:bookmarkEnd w:id="82"/>
      <w:r>
        <w:rPr>
          <w:rFonts w:hint="eastAsia" w:ascii="宋体" w:hAnsi="宋体"/>
          <w:b/>
          <w:bCs/>
          <w:kern w:val="0"/>
          <w:sz w:val="27"/>
          <w:szCs w:val="27"/>
        </w:rPr>
        <w:t>供应商</w:t>
      </w:r>
      <w:bookmarkEnd w:id="83"/>
    </w:p>
    <w:p>
      <w:pPr>
        <w:ind w:firstLine="480"/>
        <w:jc w:val="left"/>
        <w:rPr>
          <w:rFonts w:hint="eastAsia" w:ascii="宋体" w:hAnsi="宋体"/>
        </w:rPr>
      </w:pPr>
      <w:r>
        <w:rPr>
          <w:rFonts w:hint="eastAsia" w:ascii="宋体" w:hAnsi="宋体"/>
        </w:rPr>
        <w:t>23.1评标委员会根据</w:t>
      </w:r>
      <w:r>
        <w:rPr>
          <w:rFonts w:hint="eastAsia" w:ascii="宋体" w:hAnsi="宋体" w:cs="宋体"/>
          <w:color w:val="000000"/>
        </w:rPr>
        <w:t>评标总得分由高到低排序推荐预中标候选人，并由采购人按顺序确定中标供应商</w:t>
      </w:r>
      <w:r>
        <w:rPr>
          <w:rFonts w:hint="eastAsia" w:ascii="宋体" w:hAnsi="宋体"/>
        </w:rPr>
        <w:t>。</w:t>
      </w:r>
    </w:p>
    <w:p>
      <w:pPr>
        <w:ind w:firstLine="480"/>
        <w:jc w:val="left"/>
        <w:rPr>
          <w:rFonts w:hint="eastAsia" w:ascii="宋体" w:hAnsi="宋体"/>
        </w:rPr>
      </w:pPr>
      <w:r>
        <w:rPr>
          <w:rFonts w:hint="eastAsia" w:ascii="宋体" w:hAnsi="宋体"/>
        </w:rPr>
        <w:t>23.2中标</w:t>
      </w:r>
      <w:r>
        <w:rPr>
          <w:rFonts w:hint="eastAsia" w:ascii="宋体" w:hAnsi="宋体" w:cs="宋体"/>
          <w:color w:val="000000"/>
        </w:rPr>
        <w:t>供应商</w:t>
      </w:r>
      <w:r>
        <w:rPr>
          <w:rFonts w:hint="eastAsia" w:ascii="宋体" w:hAnsi="宋体"/>
        </w:rPr>
        <w:t>因不可抗力或自身原因不能履行合同时，采购人可以按照评审报告推荐的预中标候选人名单排序，确定下一候选人为中标</w:t>
      </w:r>
      <w:r>
        <w:rPr>
          <w:rFonts w:hint="eastAsia" w:ascii="宋体" w:hAnsi="宋体" w:cs="宋体"/>
          <w:color w:val="000000"/>
        </w:rPr>
        <w:t>供应商</w:t>
      </w:r>
      <w:r>
        <w:rPr>
          <w:rFonts w:hint="eastAsia" w:ascii="宋体" w:hAnsi="宋体"/>
        </w:rPr>
        <w:t>，也可重新开展政府采购活动。</w:t>
      </w:r>
      <w:bookmarkStart w:id="84" w:name="_Toc32572602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5" w:name="_Toc67558588"/>
      <w:bookmarkStart w:id="86" w:name="_Toc376936759"/>
      <w:bookmarkStart w:id="87" w:name="_Toc325726028"/>
      <w:r>
        <w:rPr>
          <w:rFonts w:hint="eastAsia" w:ascii="宋体" w:hAnsi="宋体"/>
          <w:b/>
          <w:bCs/>
          <w:kern w:val="0"/>
          <w:sz w:val="27"/>
          <w:szCs w:val="27"/>
        </w:rPr>
        <w:t>24.中标通知</w:t>
      </w:r>
      <w:bookmarkEnd w:id="85"/>
      <w:bookmarkEnd w:id="86"/>
      <w:bookmarkEnd w:id="87"/>
    </w:p>
    <w:p>
      <w:pPr>
        <w:ind w:firstLine="480"/>
        <w:jc w:val="left"/>
        <w:rPr>
          <w:rFonts w:hint="eastAsia" w:ascii="宋体" w:hAnsi="宋体"/>
          <w:shd w:val="pct10" w:color="auto" w:fill="FFFFFF"/>
        </w:rPr>
      </w:pPr>
      <w:r>
        <w:rPr>
          <w:rFonts w:hint="eastAsia" w:ascii="宋体" w:hAnsi="宋体"/>
        </w:rPr>
        <w:t>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w:t>
      </w:r>
      <w:r>
        <w:rPr>
          <w:rFonts w:hint="eastAsia" w:ascii="宋体" w:hAnsi="宋体" w:cs="宋体"/>
          <w:kern w:val="0"/>
        </w:rPr>
        <w:t>青海省政府采购电子化平台上查询</w:t>
      </w:r>
      <w:r>
        <w:rPr>
          <w:rFonts w:hint="eastAsia" w:ascii="宋体" w:hAnsi="宋体"/>
        </w:rPr>
        <w:t>本人的评审得分与排序，如有疑问，可致电097</w:t>
      </w:r>
      <w:r>
        <w:rPr>
          <w:rFonts w:hint="eastAsia" w:ascii="宋体" w:hAnsi="宋体"/>
          <w:lang w:val="en-US" w:eastAsia="zh-CN"/>
        </w:rPr>
        <w:t>4</w:t>
      </w:r>
      <w:r>
        <w:rPr>
          <w:rFonts w:hint="eastAsia" w:ascii="宋体" w:hAnsi="宋体"/>
        </w:rPr>
        <w:t>-</w:t>
      </w:r>
      <w:r>
        <w:rPr>
          <w:rFonts w:hint="eastAsia" w:ascii="宋体" w:hAnsi="宋体"/>
          <w:lang w:val="en-US" w:eastAsia="zh-CN"/>
        </w:rPr>
        <w:t>7553334</w:t>
      </w:r>
      <w:r>
        <w:rPr>
          <w:rFonts w:hint="eastAsia" w:ascii="宋体" w:hAnsi="宋体"/>
        </w:rPr>
        <w:t xml:space="preserve">。  </w:t>
      </w:r>
    </w:p>
    <w:p>
      <w:pPr>
        <w:ind w:firstLine="480"/>
        <w:jc w:val="left"/>
        <w:rPr>
          <w:rFonts w:hint="eastAsia" w:ascii="宋体" w:hAnsi="宋体"/>
        </w:rPr>
      </w:pPr>
      <w:r>
        <w:rPr>
          <w:rFonts w:hint="eastAsia" w:ascii="宋体" w:hAnsi="宋体"/>
        </w:rPr>
        <w:t>24.2《中标通知书》发出后，采购人改变中标结果的，或者中标供应商无正当理由放弃中标项目的，依法承担法律责任。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88" w:name="_Toc376936758"/>
      <w:bookmarkStart w:id="89" w:name="_Toc67558589"/>
      <w:r>
        <w:rPr>
          <w:rFonts w:hint="eastAsia" w:ascii="宋体" w:hAnsi="宋体"/>
          <w:b/>
          <w:bCs/>
          <w:kern w:val="0"/>
          <w:sz w:val="36"/>
          <w:szCs w:val="36"/>
        </w:rPr>
        <w:t>九、授予合同</w:t>
      </w:r>
      <w:bookmarkEnd w:id="84"/>
      <w:bookmarkEnd w:id="88"/>
      <w:bookmarkEnd w:id="89"/>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0" w:name="_Toc325726029"/>
      <w:bookmarkStart w:id="91" w:name="_Toc376936760"/>
      <w:bookmarkStart w:id="92" w:name="_Toc67558590"/>
      <w:r>
        <w:rPr>
          <w:rFonts w:hint="eastAsia" w:ascii="宋体" w:hAnsi="宋体"/>
          <w:b/>
          <w:bCs/>
          <w:kern w:val="0"/>
          <w:sz w:val="27"/>
          <w:szCs w:val="27"/>
        </w:rPr>
        <w:t>25.签订合同</w:t>
      </w:r>
      <w:bookmarkEnd w:id="90"/>
      <w:bookmarkEnd w:id="91"/>
      <w:bookmarkEnd w:id="92"/>
    </w:p>
    <w:p>
      <w:pPr>
        <w:ind w:firstLine="480"/>
        <w:jc w:val="left"/>
        <w:rPr>
          <w:rFonts w:hint="eastAsia" w:ascii="宋体" w:hAnsi="宋体"/>
        </w:rPr>
      </w:pPr>
      <w:r>
        <w:rPr>
          <w:rFonts w:hint="eastAsia" w:ascii="宋体" w:hAnsi="宋体"/>
        </w:rPr>
        <w:t>25.1采购人与中标供应商双方应当自《中标通知书》发出之日起30日内，按照招标文件确定的合同文本以及采购标的、规格型号、采购金额、采购数量、技术和服务要求等事项签订采购合同，并报</w:t>
      </w:r>
      <w:r>
        <w:rPr>
          <w:rFonts w:hint="eastAsia" w:ascii="宋体" w:hAnsi="宋体"/>
          <w:lang w:eastAsia="zh-CN"/>
        </w:rPr>
        <w:t>海南州</w:t>
      </w:r>
      <w:r>
        <w:rPr>
          <w:rFonts w:hint="eastAsia" w:ascii="宋体" w:hAnsi="宋体"/>
        </w:rPr>
        <w:t>政府采购中心审核备案。</w:t>
      </w:r>
    </w:p>
    <w:p>
      <w:pPr>
        <w:ind w:firstLine="480"/>
        <w:rPr>
          <w:rFonts w:hint="eastAsia" w:ascii="宋体" w:hAnsi="宋体"/>
          <w:szCs w:val="20"/>
        </w:rPr>
      </w:pPr>
      <w:r>
        <w:rPr>
          <w:rFonts w:hint="eastAsia" w:ascii="宋体" w:hAnsi="宋体"/>
        </w:rPr>
        <w:t>25.2</w:t>
      </w:r>
      <w:r>
        <w:rPr>
          <w:rFonts w:hint="eastAsia" w:ascii="宋体" w:hAnsi="宋体"/>
          <w:szCs w:val="20"/>
        </w:rPr>
        <w:t>签订合同时，中标供应商应按规定向采购人提交履约保证金</w:t>
      </w:r>
      <w:r>
        <w:rPr>
          <w:rFonts w:hint="eastAsia" w:ascii="宋体" w:hAnsi="宋体" w:cs="宋体"/>
          <w:lang w:val="zh-CN"/>
        </w:rPr>
        <w:t>（履约保证金的数额由采购人与中标供应商商定，但数额不得超出采购合同总金额的10%）</w:t>
      </w:r>
      <w:r>
        <w:rPr>
          <w:rFonts w:hint="eastAsia" w:ascii="宋体" w:hAnsi="宋体"/>
          <w:szCs w:val="20"/>
        </w:rPr>
        <w:t>，履约保证金须缴纳到采购人指定的账户。</w:t>
      </w:r>
    </w:p>
    <w:p>
      <w:pPr>
        <w:ind w:firstLine="480"/>
        <w:jc w:val="left"/>
        <w:rPr>
          <w:rFonts w:hint="eastAsia" w:ascii="宋体" w:hAnsi="宋体"/>
        </w:rPr>
      </w:pPr>
      <w:r>
        <w:rPr>
          <w:rFonts w:hint="eastAsia" w:ascii="宋体" w:hAnsi="宋体"/>
        </w:rPr>
        <w:t>25.3中标供应商在法定期限内无正当理由拒签合同的，按违约处理。同时，集中采购机构和采购人可依评标排序重新确定中标供应商，并协调双方签订采购合同。</w:t>
      </w:r>
    </w:p>
    <w:p>
      <w:pPr>
        <w:ind w:firstLine="480"/>
        <w:jc w:val="left"/>
        <w:rPr>
          <w:rFonts w:hint="eastAsia" w:ascii="宋体" w:hAnsi="宋体"/>
        </w:rPr>
      </w:pPr>
      <w:r>
        <w:rPr>
          <w:rFonts w:hint="eastAsia" w:ascii="宋体" w:hAnsi="宋体"/>
        </w:rPr>
        <w:t>25.4采购人不得向中标供应商提出任何不合理的要求作为订立合同的条件，采购人和中标供应商不得私下订立背离合同实质性内容的协议。</w:t>
      </w:r>
    </w:p>
    <w:p>
      <w:pPr>
        <w:ind w:firstLine="480"/>
        <w:jc w:val="left"/>
        <w:rPr>
          <w:rFonts w:hint="eastAsia" w:ascii="宋体" w:hAnsi="宋体"/>
        </w:rPr>
      </w:pPr>
      <w:r>
        <w:rPr>
          <w:rFonts w:hint="eastAsia" w:ascii="宋体" w:hAnsi="宋体"/>
        </w:rPr>
        <w:t>25.5招标文件、中标供应商的投标文件、《中标通知书》及其澄清、说明文件等，均为签订采购合同的依据。</w:t>
      </w:r>
      <w:bookmarkStart w:id="93" w:name="_Toc325726030"/>
      <w:bookmarkStart w:id="94" w:name="_Toc376936761"/>
    </w:p>
    <w:p>
      <w:pPr>
        <w:ind w:firstLine="480"/>
        <w:jc w:val="left"/>
        <w:rPr>
          <w:rFonts w:hint="eastAsia" w:ascii="宋体" w:hAnsi="宋体"/>
        </w:rPr>
      </w:pPr>
      <w:r>
        <w:rPr>
          <w:rFonts w:hint="eastAsia" w:ascii="宋体" w:hAnsi="宋体"/>
        </w:rPr>
        <w:t>25.6采购人或集中采购机构应当自采购合同签订之日起2个工作日内，将采购合同在青海政府采购信息网上公告，但政府采购合同中涉及国家秘密、商业秘密的内容除外。</w:t>
      </w:r>
    </w:p>
    <w:p>
      <w:pPr>
        <w:ind w:firstLine="480"/>
        <w:jc w:val="left"/>
        <w:rPr>
          <w:rFonts w:hint="eastAsia" w:ascii="宋体" w:hAnsi="宋体"/>
        </w:rPr>
      </w:pPr>
      <w:r>
        <w:rPr>
          <w:rFonts w:hint="eastAsia" w:ascii="宋体" w:hAnsi="宋体"/>
        </w:rPr>
        <w:t>25.7采购人与中标人应当根据合同的约定依法履行合同义务。政府采购合同的履行、违约责任和解决争议的方法等适用《中华人民共和国民法典》。</w:t>
      </w:r>
    </w:p>
    <w:p>
      <w:pPr>
        <w:ind w:firstLine="480"/>
        <w:jc w:val="left"/>
        <w:rPr>
          <w:rFonts w:hint="eastAsia" w:ascii="宋体" w:hAnsi="宋体"/>
        </w:rPr>
      </w:pPr>
      <w:r>
        <w:rPr>
          <w:rFonts w:hint="eastAsia" w:ascii="宋体" w:hAnsi="宋体"/>
        </w:rPr>
        <w:t>25.8</w:t>
      </w:r>
      <w:r>
        <w:rPr>
          <w:rFonts w:ascii="宋体" w:hAnsi="宋体"/>
        </w:rPr>
        <w:t xml:space="preserve"> </w:t>
      </w:r>
      <w:r>
        <w:rPr>
          <w:rFonts w:hint="eastAsia" w:ascii="宋体" w:hAnsi="宋体"/>
        </w:rPr>
        <w:t>采购人应当按照政府采购合同规定的技术、服务、安全标准组织对供应商履约情况进行验收，并出具验收书。验收书应当包括每一项技术、服务、安全标准的履约情况。</w:t>
      </w:r>
    </w:p>
    <w:p>
      <w:pPr>
        <w:autoSpaceDE w:val="0"/>
        <w:autoSpaceDN w:val="0"/>
        <w:ind w:firstLine="480"/>
        <w:rPr>
          <w:rFonts w:ascii="宋体" w:hAnsi="宋体"/>
        </w:rPr>
      </w:pPr>
      <w:r>
        <w:rPr>
          <w:rFonts w:hint="eastAsia" w:ascii="宋体" w:hAnsi="宋体"/>
        </w:rPr>
        <w:t>25.9</w:t>
      </w:r>
      <w:r>
        <w:rPr>
          <w:rFonts w:ascii="宋体" w:hAnsi="宋体"/>
        </w:rPr>
        <w:t xml:space="preserve"> </w:t>
      </w:r>
      <w:r>
        <w:rPr>
          <w:rFonts w:hint="eastAsia" w:ascii="宋体" w:hAnsi="宋体"/>
        </w:rPr>
        <w:t>采购人应当加强对中标人的履约管理，并按照采购合同约定，及时向中标人支付采购资金。对于中标人违反采购合同约定的行为，采购人应当及时处理，依法追究其违约责任。</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5" w:name="_Toc67558591"/>
      <w:r>
        <w:rPr>
          <w:rFonts w:hint="eastAsia" w:ascii="宋体" w:hAnsi="宋体"/>
          <w:b/>
          <w:bCs/>
          <w:kern w:val="0"/>
          <w:sz w:val="36"/>
          <w:szCs w:val="36"/>
        </w:rPr>
        <w:t>十、串通投标的认定及处理办法</w:t>
      </w:r>
      <w:bookmarkEnd w:id="95"/>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6" w:name="_Toc67558592"/>
      <w:r>
        <w:rPr>
          <w:rFonts w:hint="eastAsia" w:ascii="宋体" w:hAnsi="宋体"/>
          <w:b/>
          <w:bCs/>
          <w:kern w:val="0"/>
          <w:sz w:val="27"/>
          <w:szCs w:val="27"/>
        </w:rPr>
        <w:t>26.串通投标的情形</w:t>
      </w:r>
      <w:bookmarkEnd w:id="96"/>
    </w:p>
    <w:p>
      <w:pPr>
        <w:ind w:firstLine="480"/>
        <w:jc w:val="left"/>
        <w:rPr>
          <w:rFonts w:ascii="宋体" w:hAnsi="宋体"/>
        </w:rPr>
      </w:pPr>
      <w:r>
        <w:rPr>
          <w:rFonts w:hint="eastAsia" w:ascii="宋体" w:hAnsi="宋体"/>
        </w:rPr>
        <w:t>26.1</w:t>
      </w:r>
      <w:r>
        <w:rPr>
          <w:rFonts w:ascii="宋体" w:hAnsi="宋体"/>
        </w:rPr>
        <w:t>投标人应当遵循公平竞争的原则，不得恶意串通，不得妨碍其他投标人的竞争行为，不得损害采购人或者其他投标人的合法权益。</w:t>
      </w:r>
    </w:p>
    <w:p>
      <w:pPr>
        <w:ind w:firstLine="480"/>
        <w:jc w:val="left"/>
        <w:rPr>
          <w:rFonts w:ascii="宋体" w:hAnsi="宋体"/>
        </w:rPr>
      </w:pPr>
      <w:r>
        <w:rPr>
          <w:rFonts w:hint="eastAsia" w:ascii="宋体" w:hAnsi="宋体"/>
        </w:rPr>
        <w:t xml:space="preserve">26.2 </w:t>
      </w:r>
      <w:r>
        <w:rPr>
          <w:rFonts w:ascii="宋体" w:hAnsi="宋体"/>
        </w:rPr>
        <w:t>有下列情形之一的，视为投标人串通投标，其投标无效：</w:t>
      </w:r>
    </w:p>
    <w:p>
      <w:pPr>
        <w:ind w:firstLine="480"/>
        <w:jc w:val="left"/>
        <w:rPr>
          <w:rFonts w:ascii="宋体" w:hAnsi="宋体"/>
        </w:rPr>
      </w:pPr>
      <w:r>
        <w:rPr>
          <w:rFonts w:hint="eastAsia" w:ascii="宋体" w:hAnsi="宋体"/>
        </w:rPr>
        <w:t>（1）</w:t>
      </w:r>
      <w:r>
        <w:rPr>
          <w:rFonts w:ascii="宋体" w:hAnsi="宋体"/>
        </w:rPr>
        <w:t>不同投标人的投标文件由同一单位或者个人编制；</w:t>
      </w:r>
    </w:p>
    <w:p>
      <w:pPr>
        <w:ind w:firstLine="480"/>
        <w:jc w:val="left"/>
        <w:rPr>
          <w:rFonts w:ascii="宋体" w:hAnsi="宋体"/>
        </w:rPr>
      </w:pPr>
      <w:r>
        <w:rPr>
          <w:rFonts w:hint="eastAsia" w:ascii="宋体" w:hAnsi="宋体"/>
        </w:rPr>
        <w:t>（2）</w:t>
      </w:r>
      <w:r>
        <w:rPr>
          <w:rFonts w:ascii="宋体" w:hAnsi="宋体"/>
        </w:rPr>
        <w:t>不同投标人委托同一单位或者个人办理投标事宜；</w:t>
      </w:r>
    </w:p>
    <w:p>
      <w:pPr>
        <w:ind w:firstLine="480"/>
        <w:jc w:val="left"/>
        <w:rPr>
          <w:rFonts w:ascii="宋体" w:hAnsi="宋体"/>
        </w:rPr>
      </w:pPr>
      <w:r>
        <w:rPr>
          <w:rFonts w:hint="eastAsia" w:ascii="宋体" w:hAnsi="宋体"/>
        </w:rPr>
        <w:t>（3）</w:t>
      </w:r>
      <w:r>
        <w:rPr>
          <w:rFonts w:ascii="宋体" w:hAnsi="宋体"/>
        </w:rPr>
        <w:t>不同投标人的投标文件载明的项目管理成员或者联系人员为同一人；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不同投标人的投标文件异常一致或者投标报价呈规律性差异；</w:t>
      </w:r>
    </w:p>
    <w:p>
      <w:pPr>
        <w:ind w:firstLine="480"/>
        <w:jc w:val="left"/>
        <w:rPr>
          <w:rFonts w:ascii="宋体" w:hAnsi="宋体"/>
        </w:rPr>
      </w:pPr>
      <w:r>
        <w:rPr>
          <w:rFonts w:hint="eastAsia" w:ascii="宋体" w:hAnsi="宋体"/>
        </w:rPr>
        <w:t>（5）</w:t>
      </w:r>
      <w:r>
        <w:rPr>
          <w:rFonts w:ascii="宋体" w:hAnsi="宋体"/>
        </w:rPr>
        <w:t>不同投标人的投标文件相互混装；</w:t>
      </w:r>
    </w:p>
    <w:p>
      <w:pPr>
        <w:ind w:firstLine="480"/>
        <w:jc w:val="left"/>
        <w:rPr>
          <w:rFonts w:ascii="宋体" w:hAnsi="宋体"/>
        </w:rPr>
      </w:pPr>
      <w:r>
        <w:rPr>
          <w:rFonts w:hint="eastAsia" w:ascii="宋体" w:hAnsi="宋体"/>
        </w:rPr>
        <w:t>（6）</w:t>
      </w:r>
      <w:r>
        <w:rPr>
          <w:rFonts w:ascii="宋体" w:hAnsi="宋体"/>
        </w:rPr>
        <w:t>不同投标人的投标保证金从同一单位或者个人的账户转出。</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97" w:name="_Toc67558593"/>
      <w:r>
        <w:rPr>
          <w:rFonts w:hint="eastAsia" w:ascii="宋体" w:hAnsi="宋体"/>
          <w:b/>
          <w:bCs/>
          <w:kern w:val="0"/>
          <w:sz w:val="36"/>
          <w:szCs w:val="36"/>
        </w:rPr>
        <w:t>十一、废标</w:t>
      </w:r>
      <w:bookmarkEnd w:id="93"/>
      <w:bookmarkEnd w:id="94"/>
      <w:bookmarkEnd w:id="97"/>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8" w:name="_Toc67558594"/>
      <w:bookmarkStart w:id="99" w:name="_Toc376936762"/>
      <w:bookmarkStart w:id="100" w:name="_Toc325726031"/>
      <w:r>
        <w:rPr>
          <w:rFonts w:hint="eastAsia" w:ascii="宋体" w:hAnsi="宋体"/>
          <w:b/>
          <w:bCs/>
          <w:kern w:val="0"/>
          <w:sz w:val="27"/>
          <w:szCs w:val="27"/>
        </w:rPr>
        <w:t>27. 废标情形</w:t>
      </w:r>
      <w:bookmarkEnd w:id="98"/>
    </w:p>
    <w:p>
      <w:pPr>
        <w:ind w:firstLine="480"/>
        <w:jc w:val="left"/>
        <w:rPr>
          <w:rFonts w:hint="eastAsia" w:ascii="宋体" w:hAnsi="宋体"/>
        </w:rPr>
      </w:pPr>
      <w:r>
        <w:rPr>
          <w:rFonts w:hint="eastAsia" w:ascii="宋体" w:hAnsi="宋体"/>
        </w:rPr>
        <w:t>27.1在招标采购中，出现下列情形之一的，应予废标：</w:t>
      </w:r>
      <w:bookmarkEnd w:id="99"/>
      <w:bookmarkEnd w:id="100"/>
    </w:p>
    <w:p>
      <w:pPr>
        <w:ind w:firstLine="480"/>
        <w:jc w:val="left"/>
        <w:rPr>
          <w:rFonts w:hint="eastAsia" w:ascii="宋体" w:hAnsi="宋体"/>
        </w:rPr>
      </w:pPr>
      <w:r>
        <w:rPr>
          <w:rFonts w:hint="eastAsia" w:ascii="宋体" w:hAnsi="宋体"/>
        </w:rPr>
        <w:t>（1）符合投标条件的供应商或者对招标文件作实质响应的供应商不足三家的；</w:t>
      </w:r>
    </w:p>
    <w:p>
      <w:pPr>
        <w:ind w:firstLine="480"/>
        <w:jc w:val="left"/>
        <w:rPr>
          <w:rFonts w:hint="eastAsia" w:ascii="宋体" w:hAnsi="宋体"/>
        </w:rPr>
      </w:pPr>
      <w:r>
        <w:rPr>
          <w:rFonts w:hint="eastAsia" w:ascii="宋体" w:hAnsi="宋体"/>
        </w:rPr>
        <w:t>（2）出现影响采购活动正常推进的违法、违规行为的；</w:t>
      </w:r>
    </w:p>
    <w:p>
      <w:pPr>
        <w:ind w:firstLine="480"/>
        <w:jc w:val="left"/>
        <w:rPr>
          <w:rFonts w:hint="eastAsia" w:ascii="宋体" w:hAnsi="宋体"/>
        </w:rPr>
      </w:pPr>
      <w:r>
        <w:rPr>
          <w:rFonts w:hint="eastAsia" w:ascii="宋体" w:hAnsi="宋体"/>
        </w:rPr>
        <w:t>（3）投标人的报价均超出采购预算额度，采购人不能支付的；</w:t>
      </w:r>
    </w:p>
    <w:p>
      <w:pPr>
        <w:ind w:firstLine="480"/>
        <w:jc w:val="left"/>
        <w:rPr>
          <w:rFonts w:hint="eastAsia" w:ascii="宋体" w:hAnsi="宋体"/>
        </w:rPr>
      </w:pPr>
      <w:r>
        <w:rPr>
          <w:rFonts w:hint="eastAsia" w:ascii="宋体" w:hAnsi="宋体"/>
        </w:rPr>
        <w:t>（4）因重大变故，采购任务取消的。</w:t>
      </w:r>
    </w:p>
    <w:p>
      <w:pPr>
        <w:ind w:firstLine="480"/>
        <w:rPr>
          <w:rFonts w:hint="eastAsia" w:ascii="宋体" w:hAnsi="Courier New"/>
          <w:szCs w:val="20"/>
        </w:rPr>
      </w:pPr>
      <w:r>
        <w:rPr>
          <w:rFonts w:hint="eastAsia" w:ascii="宋体" w:hAnsi="宋体"/>
        </w:rPr>
        <w:t>27.2</w:t>
      </w:r>
      <w:r>
        <w:rPr>
          <w:rFonts w:hint="eastAsia" w:ascii="宋体" w:hAnsi="Courier New"/>
          <w:szCs w:val="20"/>
        </w:rPr>
        <w:t>废标后，由</w:t>
      </w:r>
      <w:r>
        <w:rPr>
          <w:rFonts w:hint="eastAsia" w:ascii="宋体" w:hAnsi="宋体"/>
        </w:rPr>
        <w:t>集中采购机构</w:t>
      </w:r>
      <w:r>
        <w:rPr>
          <w:rFonts w:hint="eastAsia" w:ascii="宋体" w:hAnsi="Courier New" w:cs="宋体"/>
          <w:szCs w:val="20"/>
        </w:rPr>
        <w:t>发布废标公告</w:t>
      </w:r>
      <w:r>
        <w:rPr>
          <w:rFonts w:hint="eastAsia" w:ascii="宋体" w:hAnsi="Courier New"/>
          <w:szCs w:val="20"/>
        </w:rPr>
        <w:t>。</w:t>
      </w:r>
      <w:bookmarkStart w:id="101" w:name="_Toc325726032"/>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2" w:name="_Toc67558595"/>
      <w:bookmarkStart w:id="103" w:name="_Toc376936763"/>
      <w:r>
        <w:rPr>
          <w:rFonts w:hint="eastAsia" w:ascii="宋体" w:hAnsi="宋体"/>
          <w:b/>
          <w:bCs/>
          <w:kern w:val="0"/>
          <w:sz w:val="36"/>
          <w:szCs w:val="36"/>
        </w:rPr>
        <w:t>十二、处罚</w:t>
      </w:r>
      <w:bookmarkEnd w:id="101"/>
      <w:bookmarkEnd w:id="102"/>
      <w:bookmarkEnd w:id="103"/>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25726033"/>
      <w:bookmarkStart w:id="105" w:name="_Toc67558596"/>
      <w:bookmarkStart w:id="106" w:name="_Toc376936764"/>
      <w:r>
        <w:rPr>
          <w:rFonts w:hint="eastAsia" w:ascii="宋体" w:hAnsi="宋体"/>
          <w:b/>
          <w:bCs/>
          <w:kern w:val="0"/>
          <w:sz w:val="27"/>
          <w:szCs w:val="27"/>
        </w:rPr>
        <w:t>28.处罚情形</w:t>
      </w:r>
      <w:bookmarkEnd w:id="104"/>
      <w:bookmarkEnd w:id="105"/>
      <w:bookmarkEnd w:id="106"/>
    </w:p>
    <w:p>
      <w:pPr>
        <w:ind w:firstLine="480"/>
        <w:jc w:val="left"/>
        <w:rPr>
          <w:rFonts w:hint="eastAsia" w:ascii="宋体" w:hAnsi="宋体"/>
        </w:rPr>
      </w:pPr>
      <w:r>
        <w:rPr>
          <w:rFonts w:hint="eastAsia" w:ascii="宋体" w:hAnsi="宋体"/>
        </w:rPr>
        <w:t>28.1有下列情形之一的，投标人的投标保证金不予退还；中标供应商的中标结果无效，履约保证金不予退还。</w:t>
      </w:r>
    </w:p>
    <w:p>
      <w:pPr>
        <w:ind w:firstLine="480"/>
        <w:jc w:val="left"/>
        <w:rPr>
          <w:rFonts w:hint="eastAsia" w:ascii="宋体" w:hAnsi="宋体"/>
        </w:rPr>
      </w:pPr>
      <w:r>
        <w:rPr>
          <w:rFonts w:hint="eastAsia" w:ascii="宋体" w:hAnsi="宋体"/>
        </w:rPr>
        <w:t>（1）投标人在投标截止期后撤回其投标的；</w:t>
      </w:r>
    </w:p>
    <w:p>
      <w:pPr>
        <w:ind w:firstLine="480"/>
        <w:jc w:val="left"/>
        <w:rPr>
          <w:rFonts w:hint="eastAsia" w:ascii="宋体" w:hAnsi="宋体"/>
        </w:rPr>
      </w:pPr>
      <w:r>
        <w:rPr>
          <w:rFonts w:hint="eastAsia" w:ascii="宋体" w:hAnsi="宋体"/>
        </w:rPr>
        <w:t>（2）提供虚假材料谋取中标的；</w:t>
      </w:r>
    </w:p>
    <w:p>
      <w:pPr>
        <w:ind w:firstLine="480"/>
        <w:jc w:val="left"/>
        <w:rPr>
          <w:rFonts w:hint="eastAsia" w:ascii="宋体" w:hAnsi="宋体"/>
        </w:rPr>
      </w:pPr>
      <w:r>
        <w:rPr>
          <w:rFonts w:hint="eastAsia" w:ascii="宋体" w:hAnsi="宋体"/>
        </w:rPr>
        <w:t>（3）采取不正当手段诋毁、排挤其他供应商的；</w:t>
      </w:r>
    </w:p>
    <w:p>
      <w:pPr>
        <w:ind w:firstLine="384" w:firstLineChars="183"/>
        <w:jc w:val="left"/>
        <w:rPr>
          <w:rFonts w:hint="eastAsia" w:ascii="宋体" w:hAnsi="宋体"/>
        </w:rPr>
      </w:pPr>
      <w:r>
        <w:rPr>
          <w:rFonts w:hint="eastAsia" w:ascii="宋体" w:hAnsi="宋体"/>
        </w:rPr>
        <w:t>（4）有恶意串通等不正当竞争行为的；</w:t>
      </w:r>
    </w:p>
    <w:p>
      <w:pPr>
        <w:ind w:firstLine="480"/>
        <w:jc w:val="left"/>
        <w:rPr>
          <w:rFonts w:hint="eastAsia" w:ascii="宋体" w:hAnsi="宋体"/>
        </w:rPr>
      </w:pPr>
      <w:r>
        <w:rPr>
          <w:rFonts w:hint="eastAsia" w:ascii="宋体" w:hAnsi="宋体"/>
        </w:rPr>
        <w:t>（5）中标后无正当理由拒不与采购人签订采购合同的；</w:t>
      </w:r>
    </w:p>
    <w:p>
      <w:pPr>
        <w:ind w:firstLine="480"/>
        <w:jc w:val="left"/>
        <w:rPr>
          <w:rFonts w:hint="eastAsia" w:ascii="宋体" w:hAnsi="宋体"/>
        </w:rPr>
      </w:pPr>
      <w:r>
        <w:rPr>
          <w:rFonts w:hint="eastAsia" w:ascii="宋体" w:hAnsi="宋体"/>
        </w:rPr>
        <w:t>（6）未按照招、投标文件确定的事项签订采购合同的；</w:t>
      </w:r>
    </w:p>
    <w:p>
      <w:pPr>
        <w:ind w:firstLine="480"/>
        <w:jc w:val="left"/>
        <w:rPr>
          <w:rFonts w:hint="eastAsia" w:ascii="宋体" w:hAnsi="宋体"/>
        </w:rPr>
      </w:pPr>
      <w:r>
        <w:rPr>
          <w:rFonts w:hint="eastAsia" w:ascii="宋体" w:hAnsi="宋体"/>
        </w:rPr>
        <w:t>（7）将采购合同转包的；</w:t>
      </w:r>
    </w:p>
    <w:p>
      <w:pPr>
        <w:ind w:firstLine="480"/>
        <w:jc w:val="left"/>
        <w:rPr>
          <w:rFonts w:hint="eastAsia" w:ascii="宋体" w:hAnsi="宋体"/>
        </w:rPr>
      </w:pPr>
      <w:r>
        <w:rPr>
          <w:rFonts w:hint="eastAsia" w:ascii="宋体" w:hAnsi="宋体"/>
        </w:rPr>
        <w:t>（8）提供假冒伪劣产品的；</w:t>
      </w:r>
    </w:p>
    <w:p>
      <w:pPr>
        <w:ind w:firstLine="480"/>
        <w:jc w:val="left"/>
        <w:rPr>
          <w:rFonts w:hint="eastAsia" w:ascii="宋体" w:hAnsi="宋体"/>
        </w:rPr>
      </w:pPr>
      <w:r>
        <w:rPr>
          <w:rFonts w:hint="eastAsia" w:ascii="宋体" w:hAnsi="宋体"/>
        </w:rPr>
        <w:t>（9）擅自变更、中止或者终止政府采购合同的；</w:t>
      </w:r>
    </w:p>
    <w:p>
      <w:pPr>
        <w:ind w:firstLine="480"/>
        <w:jc w:val="left"/>
        <w:rPr>
          <w:rFonts w:hint="eastAsia" w:ascii="宋体" w:hAnsi="宋体"/>
        </w:rPr>
      </w:pPr>
      <w:r>
        <w:rPr>
          <w:rFonts w:hint="eastAsia" w:ascii="宋体" w:hAnsi="宋体"/>
        </w:rPr>
        <w:t>（10）中标供应商签订合同后，因种种原因不能履约或无故拖延履约期的；</w:t>
      </w:r>
    </w:p>
    <w:p>
      <w:pPr>
        <w:ind w:firstLine="480"/>
        <w:jc w:val="left"/>
        <w:rPr>
          <w:rFonts w:hint="eastAsia" w:ascii="宋体" w:hAnsi="宋体"/>
        </w:rPr>
      </w:pPr>
      <w:r>
        <w:rPr>
          <w:rFonts w:hint="eastAsia" w:ascii="宋体" w:hAnsi="宋体"/>
        </w:rPr>
        <w:t>（11）法律、法规规定的其他情形的。</w:t>
      </w:r>
    </w:p>
    <w:p>
      <w:pPr>
        <w:ind w:firstLine="480"/>
        <w:jc w:val="left"/>
        <w:rPr>
          <w:rFonts w:hint="eastAsia" w:ascii="宋体" w:hAnsi="宋体"/>
        </w:rPr>
      </w:pPr>
      <w:r>
        <w:rPr>
          <w:rFonts w:hint="eastAsia" w:ascii="宋体" w:hAnsi="宋体"/>
        </w:rPr>
        <w:t>28.2出现上述情况，情节严重的，报省财政厅依法进行处理。</w:t>
      </w:r>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07" w:name="_Toc376936765"/>
      <w:bookmarkStart w:id="108" w:name="_Toc67558597"/>
      <w:bookmarkStart w:id="109" w:name="_Toc325726034"/>
      <w:r>
        <w:rPr>
          <w:rFonts w:hint="eastAsia" w:ascii="宋体" w:hAnsi="宋体"/>
          <w:b/>
          <w:bCs/>
          <w:kern w:val="0"/>
          <w:sz w:val="36"/>
          <w:szCs w:val="36"/>
        </w:rPr>
        <w:t>十三、其他</w:t>
      </w:r>
      <w:bookmarkEnd w:id="107"/>
      <w:bookmarkEnd w:id="108"/>
      <w:bookmarkEnd w:id="109"/>
    </w:p>
    <w:p>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等法律法规及中华人民共和国财政部《政府采购货物和服务招标投标管理办法》的有关条款执行。</w:t>
      </w:r>
    </w:p>
    <w:p>
      <w:pPr>
        <w:ind w:firstLine="0" w:firstLineChars="0"/>
        <w:jc w:val="center"/>
        <w:rPr>
          <w:rFonts w:hint="eastAsia" w:ascii="宋体"/>
          <w:b/>
          <w:kern w:val="28"/>
          <w:sz w:val="36"/>
          <w:szCs w:val="20"/>
        </w:rPr>
      </w:pPr>
      <w:bookmarkStart w:id="110" w:name="_Toc376936766"/>
      <w:r>
        <w:rPr>
          <w:rFonts w:ascii="宋体"/>
          <w:b/>
          <w:kern w:val="28"/>
          <w:sz w:val="36"/>
          <w:szCs w:val="20"/>
        </w:rPr>
        <w:br w:type="page"/>
      </w:r>
      <w:bookmarkEnd w:id="110"/>
      <w:r>
        <w:rPr>
          <w:rFonts w:hint="eastAsia" w:ascii="宋体"/>
          <w:b/>
          <w:kern w:val="28"/>
          <w:sz w:val="36"/>
          <w:szCs w:val="20"/>
        </w:rPr>
        <w:t xml:space="preserve">第三部分 </w:t>
      </w:r>
      <w:r>
        <w:rPr>
          <w:rFonts w:hint="eastAsia" w:ascii="宋体"/>
          <w:b/>
          <w:kern w:val="28"/>
          <w:sz w:val="36"/>
          <w:szCs w:val="20"/>
          <w:lang w:eastAsia="zh-CN"/>
        </w:rPr>
        <w:t>海南州</w:t>
      </w:r>
      <w:r>
        <w:rPr>
          <w:rFonts w:hint="eastAsia" w:ascii="宋体"/>
          <w:b/>
          <w:kern w:val="28"/>
          <w:sz w:val="36"/>
          <w:szCs w:val="20"/>
        </w:rPr>
        <w:t>政府采购项目合同书范本（货物类）</w:t>
      </w:r>
    </w:p>
    <w:p>
      <w:pPr>
        <w:ind w:firstLine="0" w:firstLineChars="0"/>
        <w:rPr>
          <w:rFonts w:hint="eastAsia"/>
        </w:rPr>
      </w:pPr>
      <w:bookmarkStart w:id="111" w:name="_Toc373936315"/>
      <w:bookmarkStart w:id="112" w:name="_Toc373954603"/>
      <w:bookmarkStart w:id="113" w:name="_Toc375576842"/>
    </w:p>
    <w:p>
      <w:pPr>
        <w:pStyle w:val="4"/>
        <w:ind w:firstLine="686" w:firstLineChars="286"/>
        <w:jc w:val="both"/>
        <w:rPr>
          <w:rFonts w:hint="eastAsia" w:ascii="Times New Roman"/>
          <w:b w:val="0"/>
          <w:kern w:val="2"/>
          <w:sz w:val="24"/>
          <w:szCs w:val="24"/>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ind w:firstLine="1378" w:firstLineChars="286"/>
        <w:jc w:val="both"/>
        <w:rPr>
          <w:rFonts w:hint="eastAsia"/>
          <w:sz w:val="48"/>
          <w:szCs w:val="48"/>
        </w:rPr>
      </w:pPr>
      <w:bookmarkStart w:id="114" w:name="_Toc82441621"/>
      <w:r>
        <w:rPr>
          <w:rFonts w:hint="eastAsia"/>
          <w:sz w:val="48"/>
          <w:szCs w:val="48"/>
          <w:lang w:eastAsia="zh-CN"/>
        </w:rPr>
        <w:t>海南州</w:t>
      </w:r>
      <w:r>
        <w:rPr>
          <w:rFonts w:hint="eastAsia"/>
          <w:sz w:val="48"/>
          <w:szCs w:val="48"/>
        </w:rPr>
        <w:t>政府采购项目合同</w:t>
      </w:r>
      <w:bookmarkEnd w:id="111"/>
      <w:bookmarkEnd w:id="112"/>
      <w:bookmarkEnd w:id="113"/>
      <w:r>
        <w:rPr>
          <w:rFonts w:hint="eastAsia"/>
          <w:sz w:val="48"/>
          <w:szCs w:val="48"/>
        </w:rPr>
        <w:t>书</w:t>
      </w:r>
      <w:bookmarkEnd w:id="114"/>
    </w:p>
    <w:p>
      <w:pPr>
        <w:ind w:firstLine="0" w:firstLineChars="0"/>
        <w:rPr>
          <w:rFonts w:hint="eastAsia"/>
        </w:rPr>
      </w:pPr>
    </w:p>
    <w:p>
      <w:pPr>
        <w:ind w:firstLine="0" w:firstLineChars="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rFonts w:hint="eastAsia"/>
          <w:b/>
          <w:sz w:val="30"/>
          <w:szCs w:val="30"/>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Cs/>
          <w:sz w:val="22"/>
          <w:szCs w:val="22"/>
          <w:u w:val="thick"/>
        </w:rPr>
      </w:pPr>
      <w:r>
        <w:rPr>
          <w:rFonts w:hint="eastAsia"/>
          <w:b/>
          <w:sz w:val="30"/>
          <w:szCs w:val="30"/>
        </w:rPr>
        <w:t>采购合同编号：</w:t>
      </w:r>
      <w:r>
        <w:rPr>
          <w:rFonts w:hint="eastAsia"/>
          <w:b/>
          <w:sz w:val="30"/>
          <w:szCs w:val="30"/>
          <w:u w:val="single"/>
        </w:rPr>
        <w:t xml:space="preserve">      2022-（货物）</w:t>
      </w:r>
      <w:r>
        <w:rPr>
          <w:rFonts w:hint="eastAsia"/>
          <w:b/>
          <w:sz w:val="30"/>
          <w:szCs w:val="30"/>
          <w:u w:val="single"/>
          <w:lang w:val="en-US" w:eastAsia="zh-CN"/>
        </w:rPr>
        <w:t>13</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0" w:firstLineChars="0"/>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p>
    <w:p>
      <w:pPr>
        <w:ind w:firstLine="482"/>
        <w:rPr>
          <w:rFonts w:hint="eastAsia" w:ascii="宋体" w:hAnsi="宋体"/>
          <w:b/>
          <w:bCs/>
        </w:rPr>
      </w:pPr>
      <w:r>
        <w:rPr>
          <w:rFonts w:hint="eastAsia" w:ascii="宋体" w:hAnsi="宋体"/>
          <w:b/>
          <w:bCs/>
        </w:rPr>
        <w:t>采 购 人（以下简称甲方）：</w:t>
      </w:r>
    </w:p>
    <w:p>
      <w:pPr>
        <w:ind w:firstLine="482"/>
        <w:rPr>
          <w:rFonts w:hint="eastAsia" w:ascii="宋体" w:hAnsi="宋体"/>
          <w:bCs/>
        </w:rPr>
      </w:pPr>
      <w:r>
        <w:rPr>
          <w:rFonts w:hint="eastAsia" w:ascii="宋体" w:hAnsi="宋体"/>
          <w:b/>
          <w:bCs/>
        </w:rPr>
        <w:t>供 应 商（以下简称乙方）：</w:t>
      </w:r>
    </w:p>
    <w:p>
      <w:pPr>
        <w:ind w:firstLine="630" w:firstLineChars="300"/>
        <w:rPr>
          <w:rFonts w:hint="eastAsia" w:ascii="宋体" w:hAnsi="宋体"/>
          <w:bCs/>
        </w:rPr>
      </w:pPr>
      <w:r>
        <w:rPr>
          <w:rFonts w:hint="eastAsia" w:ascii="宋体" w:hAnsi="宋体"/>
          <w:bCs/>
        </w:rPr>
        <w:t>甲、乙双方根据2022年*月*日</w:t>
      </w:r>
      <w:r>
        <w:rPr>
          <w:rFonts w:hint="eastAsia" w:ascii="宋体" w:hAnsi="宋体"/>
          <w:bCs/>
          <w:u w:val="single"/>
        </w:rPr>
        <w:t xml:space="preserve">             </w:t>
      </w:r>
      <w:r>
        <w:rPr>
          <w:rFonts w:hint="eastAsia" w:ascii="宋体" w:hAnsi="宋体"/>
          <w:bCs/>
        </w:rPr>
        <w:t>项目（</w:t>
      </w:r>
      <w:r>
        <w:rPr>
          <w:rFonts w:hint="eastAsia" w:ascii="宋体" w:hAnsi="宋体"/>
          <w:bCs/>
          <w:lang w:eastAsia="zh-CN"/>
        </w:rPr>
        <w:t>南</w:t>
      </w:r>
      <w:r>
        <w:rPr>
          <w:rFonts w:hint="eastAsia" w:ascii="宋体" w:hAnsi="宋体"/>
          <w:bCs/>
        </w:rPr>
        <w:t>政采公招（货物）2022-</w:t>
      </w:r>
      <w:r>
        <w:rPr>
          <w:rFonts w:hint="eastAsia" w:ascii="宋体" w:hAnsi="宋体"/>
          <w:bCs/>
          <w:lang w:val="en-US" w:eastAsia="zh-CN"/>
        </w:rPr>
        <w:t>13</w:t>
      </w:r>
      <w:r>
        <w:rPr>
          <w:rFonts w:hint="eastAsia" w:ascii="宋体" w:hAnsi="宋体"/>
          <w:bCs/>
        </w:rPr>
        <w:t>号）的招标文件要求和采购机构出具的《中标通知书》，并经双方协商一致，达成合同总价款为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ascii="宋体" w:hAnsi="Calibri" w:cs="宋体"/>
          <w:kern w:val="0"/>
          <w:lang w:val="zh-CN"/>
        </w:rPr>
      </w:pPr>
      <w:r>
        <w:rPr>
          <w:rFonts w:hint="eastAsia" w:ascii="宋体" w:hAnsi="Calibri" w:cs="宋体"/>
          <w:kern w:val="0"/>
        </w:rPr>
        <w:t>7.</w:t>
      </w:r>
      <w:r>
        <w:rPr>
          <w:rFonts w:ascii="宋体" w:hAnsi="Calibri" w:cs="宋体"/>
          <w:kern w:val="0"/>
          <w:lang w:val="zh-CN"/>
        </w:rPr>
        <w:t>省级预算单位政府采购计划备案表</w:t>
      </w:r>
      <w:r>
        <w:rPr>
          <w:rFonts w:hint="eastAsia" w:ascii="宋体" w:hAnsi="Calibri" w:cs="宋体"/>
          <w:kern w:val="0"/>
          <w:lang w:val="zh-CN"/>
        </w:rPr>
        <w:t>。</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6"/>
        <w:tblW w:w="89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927"/>
        <w:gridCol w:w="910"/>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hint="eastAsia" w:ascii="宋体" w:hAnsi="宋体"/>
              </w:rPr>
            </w:pPr>
            <w:r>
              <w:rPr>
                <w:rFonts w:hint="eastAsia" w:ascii="宋体" w:hAnsi="宋体"/>
              </w:rPr>
              <w:t>序号</w:t>
            </w:r>
          </w:p>
        </w:tc>
        <w:tc>
          <w:tcPr>
            <w:tcW w:w="1704" w:type="dxa"/>
            <w:vAlign w:val="center"/>
          </w:tcPr>
          <w:p>
            <w:pPr>
              <w:ind w:firstLine="0" w:firstLineChars="0"/>
              <w:jc w:val="center"/>
              <w:rPr>
                <w:rFonts w:hint="eastAsia" w:ascii="宋体" w:hAnsi="宋体"/>
              </w:rPr>
            </w:pPr>
            <w:r>
              <w:rPr>
                <w:rFonts w:hint="eastAsia" w:ascii="宋体" w:hAnsi="宋体"/>
              </w:rPr>
              <w:t>产品名称</w:t>
            </w:r>
          </w:p>
        </w:tc>
        <w:tc>
          <w:tcPr>
            <w:tcW w:w="927" w:type="dxa"/>
            <w:vAlign w:val="center"/>
          </w:tcPr>
          <w:p>
            <w:pPr>
              <w:ind w:firstLine="0" w:firstLineChars="0"/>
              <w:jc w:val="center"/>
              <w:rPr>
                <w:rFonts w:hint="eastAsia" w:ascii="宋体" w:hAnsi="宋体"/>
              </w:rPr>
            </w:pPr>
            <w:r>
              <w:rPr>
                <w:rFonts w:hint="eastAsia" w:ascii="宋体" w:hAnsi="宋体"/>
              </w:rPr>
              <w:t>品牌</w:t>
            </w:r>
          </w:p>
        </w:tc>
        <w:tc>
          <w:tcPr>
            <w:tcW w:w="910" w:type="dxa"/>
            <w:vAlign w:val="center"/>
          </w:tcPr>
          <w:p>
            <w:pPr>
              <w:ind w:firstLine="0" w:firstLineChars="0"/>
              <w:jc w:val="center"/>
              <w:rPr>
                <w:rFonts w:hint="eastAsia" w:ascii="宋体" w:hAnsi="宋体"/>
                <w:color w:val="FF0000"/>
              </w:rPr>
            </w:pPr>
            <w:r>
              <w:rPr>
                <w:rFonts w:hint="eastAsia" w:ascii="宋体" w:hAnsi="宋体"/>
              </w:rPr>
              <w:t>规格或型号</w:t>
            </w:r>
          </w:p>
        </w:tc>
        <w:tc>
          <w:tcPr>
            <w:tcW w:w="1356" w:type="dxa"/>
            <w:vAlign w:val="center"/>
          </w:tcPr>
          <w:p>
            <w:pPr>
              <w:ind w:firstLine="0" w:firstLineChars="0"/>
              <w:jc w:val="center"/>
              <w:rPr>
                <w:rFonts w:hint="eastAsia" w:ascii="宋体" w:hAnsi="宋体"/>
              </w:rPr>
            </w:pPr>
            <w:r>
              <w:rPr>
                <w:rFonts w:hint="eastAsia" w:ascii="宋体" w:hAnsi="宋体"/>
              </w:rPr>
              <w:t>生产厂家</w:t>
            </w:r>
          </w:p>
        </w:tc>
        <w:tc>
          <w:tcPr>
            <w:tcW w:w="953" w:type="dxa"/>
            <w:vAlign w:val="center"/>
          </w:tcPr>
          <w:p>
            <w:pPr>
              <w:ind w:firstLine="0" w:firstLineChars="0"/>
              <w:jc w:val="center"/>
              <w:rPr>
                <w:rFonts w:hint="eastAsia" w:ascii="宋体" w:hAnsi="宋体"/>
              </w:rPr>
            </w:pPr>
            <w:r>
              <w:rPr>
                <w:rFonts w:hint="eastAsia" w:ascii="宋体" w:hAnsi="宋体"/>
              </w:rPr>
              <w:t>数量及单位</w:t>
            </w:r>
          </w:p>
        </w:tc>
        <w:tc>
          <w:tcPr>
            <w:tcW w:w="710" w:type="dxa"/>
            <w:vAlign w:val="center"/>
          </w:tcPr>
          <w:p>
            <w:pPr>
              <w:ind w:firstLine="0" w:firstLineChars="0"/>
              <w:jc w:val="center"/>
              <w:rPr>
                <w:rFonts w:hint="eastAsia" w:ascii="宋体" w:hAnsi="宋体"/>
              </w:rPr>
            </w:pPr>
            <w:r>
              <w:rPr>
                <w:rFonts w:hint="eastAsia" w:ascii="宋体" w:hAnsi="宋体"/>
              </w:rPr>
              <w:t>单价</w:t>
            </w:r>
          </w:p>
        </w:tc>
        <w:tc>
          <w:tcPr>
            <w:tcW w:w="851" w:type="dxa"/>
            <w:vAlign w:val="center"/>
          </w:tcPr>
          <w:p>
            <w:pPr>
              <w:ind w:firstLine="0" w:firstLineChars="0"/>
              <w:jc w:val="center"/>
              <w:rPr>
                <w:rFonts w:hint="eastAsia" w:ascii="宋体" w:hAnsi="宋体"/>
              </w:rPr>
            </w:pPr>
            <w:r>
              <w:rPr>
                <w:rFonts w:hint="eastAsia" w:ascii="宋体" w:hAnsi="宋体"/>
              </w:rPr>
              <w:t>总价</w:t>
            </w:r>
          </w:p>
        </w:tc>
        <w:tc>
          <w:tcPr>
            <w:tcW w:w="850" w:type="dxa"/>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1</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2</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3</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hint="eastAsia" w:ascii="宋体" w:hAnsi="宋体"/>
              </w:rPr>
              <w:t>4</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hint="eastAsia" w:ascii="宋体" w:hAnsi="宋体"/>
              </w:rPr>
            </w:pPr>
            <w:r>
              <w:rPr>
                <w:rFonts w:ascii="宋体" w:hAnsi="宋体"/>
              </w:rPr>
              <w:t>…</w:t>
            </w:r>
          </w:p>
        </w:tc>
        <w:tc>
          <w:tcPr>
            <w:tcW w:w="1704" w:type="dxa"/>
            <w:vAlign w:val="center"/>
          </w:tcPr>
          <w:p>
            <w:pPr>
              <w:ind w:firstLine="480"/>
              <w:jc w:val="center"/>
              <w:rPr>
                <w:rFonts w:hint="eastAsia" w:ascii="宋体" w:hAnsi="宋体"/>
              </w:rPr>
            </w:pPr>
          </w:p>
        </w:tc>
        <w:tc>
          <w:tcPr>
            <w:tcW w:w="927" w:type="dxa"/>
            <w:vAlign w:val="center"/>
          </w:tcPr>
          <w:p>
            <w:pPr>
              <w:ind w:firstLine="480"/>
              <w:jc w:val="center"/>
              <w:rPr>
                <w:rFonts w:hint="eastAsia" w:ascii="宋体" w:hAnsi="宋体"/>
              </w:rPr>
            </w:pPr>
          </w:p>
        </w:tc>
        <w:tc>
          <w:tcPr>
            <w:tcW w:w="910" w:type="dxa"/>
            <w:vAlign w:val="center"/>
          </w:tcPr>
          <w:p>
            <w:pPr>
              <w:ind w:firstLine="480"/>
              <w:jc w:val="center"/>
              <w:rPr>
                <w:rFonts w:hint="eastAsia" w:ascii="宋体" w:hAnsi="宋体"/>
              </w:rPr>
            </w:pPr>
          </w:p>
        </w:tc>
        <w:tc>
          <w:tcPr>
            <w:tcW w:w="1356" w:type="dxa"/>
            <w:vAlign w:val="center"/>
          </w:tcPr>
          <w:p>
            <w:pPr>
              <w:ind w:firstLine="480"/>
              <w:jc w:val="center"/>
              <w:rPr>
                <w:rFonts w:hint="eastAsia" w:ascii="宋体" w:hAnsi="宋体"/>
              </w:rPr>
            </w:pPr>
          </w:p>
        </w:tc>
        <w:tc>
          <w:tcPr>
            <w:tcW w:w="953" w:type="dxa"/>
            <w:vAlign w:val="center"/>
          </w:tcPr>
          <w:p>
            <w:pPr>
              <w:ind w:firstLine="480"/>
              <w:jc w:val="center"/>
              <w:rPr>
                <w:rFonts w:hint="eastAsia" w:ascii="宋体" w:hAnsi="宋体"/>
              </w:rPr>
            </w:pPr>
          </w:p>
        </w:tc>
        <w:tc>
          <w:tcPr>
            <w:tcW w:w="710" w:type="dxa"/>
            <w:vAlign w:val="center"/>
          </w:tcPr>
          <w:p>
            <w:pPr>
              <w:ind w:firstLine="480"/>
              <w:jc w:val="center"/>
              <w:rPr>
                <w:rFonts w:hint="eastAsia" w:ascii="宋体" w:hAnsi="宋体"/>
              </w:rPr>
            </w:pPr>
          </w:p>
        </w:tc>
        <w:tc>
          <w:tcPr>
            <w:tcW w:w="851" w:type="dxa"/>
            <w:vAlign w:val="center"/>
          </w:tcPr>
          <w:p>
            <w:pPr>
              <w:ind w:firstLine="480"/>
              <w:jc w:val="center"/>
              <w:rPr>
                <w:rFonts w:hint="eastAsia" w:ascii="宋体" w:hAnsi="宋体"/>
              </w:rPr>
            </w:pPr>
          </w:p>
        </w:tc>
        <w:tc>
          <w:tcPr>
            <w:tcW w:w="850" w:type="dxa"/>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本合同以人民币进行结算，合同总价包括：产品费、检验费、手续费、包装费、运输费、保险费、安装调试费、税金及不可预见费等全部费用。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个工作日交付使用；交货地点：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乙方提供不符合招投标文件和本合同规定的产品，甲方有权拒绝接受。</w:t>
      </w:r>
    </w:p>
    <w:p>
      <w:pPr>
        <w:autoSpaceDE w:val="0"/>
        <w:autoSpaceDN w:val="0"/>
        <w:adjustRightInd w:val="0"/>
        <w:ind w:firstLine="480"/>
        <w:rPr>
          <w:rFonts w:ascii="Calibri" w:hAnsi="Calibri" w:cs="Calibri"/>
          <w:kern w:val="0"/>
        </w:rPr>
      </w:pP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w:t>
      </w:r>
      <w:r>
        <w:rPr>
          <w:rFonts w:hint="eastAsia" w:ascii="宋体" w:hAnsi="Calibri" w:cs="宋体"/>
          <w:kern w:val="0"/>
          <w:lang w:val="zh-CN"/>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乙方所交付的产品由甲方验收，验收合格后由甲方申请资金拨付，按合同金额向乙方支付合同总价款的100%（付款方式及金额由采购人根据项目情况确定），即人民币（大写）：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签订合同时间：  年  月  日</w:t>
      </w:r>
    </w:p>
    <w:p>
      <w:pPr>
        <w:ind w:firstLine="0" w:firstLineChars="0"/>
        <w:rPr>
          <w:rFonts w:hint="eastAsia"/>
          <w:b/>
        </w:rPr>
      </w:pPr>
    </w:p>
    <w:p>
      <w:pPr>
        <w:ind w:firstLine="482"/>
        <w:rPr>
          <w:rFonts w:hint="eastAsia"/>
          <w:b/>
        </w:rPr>
      </w:pPr>
      <w:r>
        <w:rPr>
          <w:rFonts w:hint="eastAsia"/>
          <w:b/>
        </w:rPr>
        <w:t>合同备案部门：</w:t>
      </w:r>
      <w:r>
        <w:rPr>
          <w:rFonts w:hint="eastAsia"/>
          <w:b/>
          <w:lang w:eastAsia="zh-CN"/>
        </w:rPr>
        <w:t>海南州</w:t>
      </w:r>
      <w:r>
        <w:rPr>
          <w:rFonts w:hint="eastAsia"/>
          <w:b/>
        </w:rPr>
        <w:t xml:space="preserve">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b/>
        </w:rPr>
      </w:pP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ind w:firstLine="3253" w:firstLineChars="90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0" w:firstLineChars="0"/>
        <w:rPr>
          <w:rFonts w:hint="eastAsia" w:ascii="宋体" w:hAnsi="宋体"/>
          <w:b/>
          <w:sz w:val="36"/>
          <w:szCs w:val="36"/>
        </w:rPr>
      </w:pPr>
    </w:p>
    <w:p>
      <w:pPr>
        <w:ind w:firstLine="3253"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宋体" w:hAnsi="宋体"/>
        </w:rPr>
      </w:pPr>
      <w:r>
        <w:rPr>
          <w:rFonts w:hint="eastAsia" w:ascii="宋体" w:hAnsi="宋体"/>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6.2.2任何对方的技术措施、技术方案、软件应用及开发，硬件设备的品种、质量、数量、品牌等；</w:t>
      </w:r>
    </w:p>
    <w:p>
      <w:pPr>
        <w:spacing w:line="360" w:lineRule="auto"/>
        <w:ind w:firstLine="480"/>
        <w:rPr>
          <w:rFonts w:ascii="宋体" w:hAnsi="宋体"/>
        </w:rPr>
      </w:pPr>
      <w:r>
        <w:rPr>
          <w:rFonts w:hint="eastAsia" w:ascii="宋体" w:hAnsi="宋体"/>
        </w:rPr>
        <w:t>6.2.3任何对方的技术秘密或专有知识、文件 、报告、数据、客户软件、流程图、数据库、发明、知识、贸易秘密。</w:t>
      </w:r>
    </w:p>
    <w:p>
      <w:pPr>
        <w:spacing w:line="360" w:lineRule="auto"/>
        <w:ind w:firstLine="480"/>
        <w:rPr>
          <w:rFonts w:ascii="宋体" w:hAnsi="宋体"/>
        </w:rPr>
      </w:pPr>
      <w:r>
        <w:rPr>
          <w:rFonts w:hint="eastAsia" w:ascii="宋体" w:hAnsi="宋体"/>
        </w:rPr>
        <w:t>6.3乙方应根据甲方的要求签署相应的保密协议，保密协议与本条款存在不一致的，以保密协议为准。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hint="eastAsia"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方须保证所提供的货物经正确安装、正常运转和保养，在其使用寿命期内须具有符合质量要求和产品说明书的性能。在货物质量保证期之内，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方须对由于设计、工艺或材料的缺陷而发生的任何不足或故障负责</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0"/>
        <w:rPr>
          <w:rFonts w:hint="eastAsia" w:ascii="宋体" w:hAnsi="宋体"/>
        </w:rPr>
      </w:pPr>
      <w:r>
        <w:rPr>
          <w:rFonts w:hint="eastAsia" w:ascii="宋体" w:hAnsi="宋体"/>
        </w:rPr>
        <w:t>7.2辅助服务质量保证</w:t>
      </w:r>
    </w:p>
    <w:p>
      <w:pPr>
        <w:spacing w:line="360" w:lineRule="auto"/>
        <w:ind w:firstLine="480"/>
        <w:rPr>
          <w:rFonts w:ascii="宋体" w:hAnsi="宋体"/>
        </w:rPr>
      </w:pPr>
      <w:r>
        <w:rPr>
          <w:rFonts w:hint="eastAsia" w:ascii="宋体" w:hAnsi="宋体"/>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ascii="宋体" w:hAnsi="宋体"/>
        </w:rPr>
      </w:pPr>
      <w:r>
        <w:rPr>
          <w:rFonts w:hint="eastAsia" w:ascii="宋体" w:hAnsi="宋体"/>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hint="eastAsia" w:ascii="宋体" w:hAnsi="宋体"/>
        </w:rPr>
      </w:pPr>
      <w:r>
        <w:rPr>
          <w:rFonts w:hint="eastAsia" w:ascii="宋体" w:hAnsi="宋体"/>
        </w:rPr>
        <w:t>8.4 乙方所提供货物必须附有</w:t>
      </w:r>
      <w:r>
        <w:rPr>
          <w:rFonts w:hint="eastAsia" w:ascii="宋体" w:hAnsi="宋体" w:cs="宋体"/>
        </w:rPr>
        <w:t>质量合格证，</w:t>
      </w:r>
      <w:r>
        <w:rPr>
          <w:rFonts w:hint="eastAsia" w:ascii="宋体" w:hAnsi="宋体"/>
        </w:rPr>
        <w:t>装箱清单，主机、附件、各种零部件和消耗品，有清楚的与装箱单相对应的名称和编号。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hint="eastAsia" w:ascii="宋体" w:hAnsi="宋体"/>
        </w:rPr>
      </w:pPr>
      <w:r>
        <w:rPr>
          <w:rFonts w:hint="eastAsia" w:ascii="宋体" w:hAnsi="宋体"/>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hint="eastAsia" w:ascii="宋体" w:hAnsi="宋体"/>
        </w:rPr>
      </w:pPr>
      <w:r>
        <w:rPr>
          <w:rFonts w:hint="eastAsia" w:ascii="宋体" w:hAnsi="宋体"/>
        </w:rPr>
        <w:t xml:space="preserve">9.3检验费用 </w:t>
      </w:r>
    </w:p>
    <w:p>
      <w:pPr>
        <w:spacing w:line="360" w:lineRule="auto"/>
        <w:ind w:firstLine="480"/>
        <w:rPr>
          <w:rFonts w:hint="eastAsia" w:ascii="宋体" w:hAnsi="宋体"/>
        </w:rPr>
      </w:pPr>
      <w:r>
        <w:rPr>
          <w:rFonts w:hint="eastAsia" w:ascii="宋体" w:hAnsi="宋体"/>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rPr>
      </w:pPr>
      <w:r>
        <w:rPr>
          <w:rFonts w:hint="eastAsia" w:ascii="宋体" w:hAnsi="宋体"/>
        </w:rPr>
        <w:t>11.2  检验验收</w:t>
      </w:r>
    </w:p>
    <w:p>
      <w:pPr>
        <w:spacing w:line="360" w:lineRule="auto"/>
        <w:ind w:firstLine="480"/>
        <w:rPr>
          <w:rFonts w:hint="eastAsia" w:ascii="宋体" w:hAnsi="宋体"/>
        </w:rPr>
      </w:pPr>
      <w:r>
        <w:rPr>
          <w:rFonts w:hint="eastAsia" w:ascii="宋体" w:hAnsi="宋体"/>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宋体" w:hAnsi="宋体"/>
        </w:rPr>
      </w:pPr>
      <w:r>
        <w:rPr>
          <w:rFonts w:hint="eastAsia" w:ascii="宋体" w:hAnsi="宋体"/>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hint="eastAsia" w:ascii="宋体" w:hAnsi="宋体"/>
        </w:rPr>
      </w:pPr>
      <w:r>
        <w:rPr>
          <w:rFonts w:hint="eastAsia" w:ascii="宋体" w:hAnsi="宋体"/>
        </w:rPr>
        <w:t>b.要求乙方对货物进行免费更换，然后重新测试直至合格为止；</w:t>
      </w:r>
    </w:p>
    <w:p>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hint="eastAsia" w:ascii="宋体" w:hAnsi="宋体"/>
        </w:rPr>
      </w:pPr>
      <w:r>
        <w:rPr>
          <w:rFonts w:hint="eastAsia" w:ascii="宋体" w:hAnsi="宋体"/>
        </w:rPr>
        <w:t>11.3  使用过程检验</w:t>
      </w:r>
    </w:p>
    <w:p>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（招标文件中另有约定的除外）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支票、汇票、本票或者金融机构、担保机构出具的保函等非现金形式提交。</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spacing w:line="360" w:lineRule="auto"/>
        <w:ind w:firstLine="480"/>
        <w:rPr>
          <w:rFonts w:hint="eastAsia" w:ascii="宋体"/>
          <w:b/>
          <w:kern w:val="28"/>
          <w:sz w:val="36"/>
          <w:szCs w:val="20"/>
        </w:rPr>
      </w:pPr>
      <w:r>
        <w:rPr>
          <w:rFonts w:ascii="宋体" w:hAnsi="宋体"/>
        </w:rPr>
        <w:br w:type="page"/>
      </w:r>
      <w:bookmarkStart w:id="115" w:name="_Toc376936767"/>
      <w:bookmarkStart w:id="116" w:name="_Toc325726036"/>
    </w:p>
    <w:p>
      <w:pPr>
        <w:keepNext/>
        <w:keepLines/>
        <w:widowControl/>
        <w:snapToGrid w:val="0"/>
        <w:spacing w:line="400" w:lineRule="atLeast"/>
        <w:ind w:firstLine="2187" w:firstLineChars="605"/>
        <w:outlineLvl w:val="0"/>
        <w:rPr>
          <w:rFonts w:hint="eastAsia" w:ascii="宋体"/>
          <w:b/>
          <w:kern w:val="28"/>
          <w:sz w:val="36"/>
          <w:szCs w:val="20"/>
        </w:rPr>
      </w:pPr>
      <w:bookmarkStart w:id="117" w:name="_Toc67558599"/>
      <w:r>
        <w:rPr>
          <w:rFonts w:hint="eastAsia" w:ascii="宋体"/>
          <w:b/>
          <w:kern w:val="28"/>
          <w:sz w:val="36"/>
          <w:szCs w:val="20"/>
        </w:rPr>
        <w:t>第四部分</w:t>
      </w:r>
      <w:r>
        <w:rPr>
          <w:rFonts w:ascii="宋体"/>
          <w:b/>
          <w:kern w:val="28"/>
          <w:sz w:val="36"/>
          <w:szCs w:val="20"/>
        </w:rPr>
        <w:t xml:space="preserve">  </w:t>
      </w:r>
      <w:bookmarkEnd w:id="115"/>
      <w:bookmarkEnd w:id="116"/>
      <w:r>
        <w:rPr>
          <w:rFonts w:hint="eastAsia" w:ascii="宋体"/>
          <w:b/>
          <w:kern w:val="28"/>
          <w:sz w:val="36"/>
          <w:szCs w:val="20"/>
        </w:rPr>
        <w:t>投标文件格式</w:t>
      </w:r>
      <w:bookmarkEnd w:id="117"/>
    </w:p>
    <w:p>
      <w:pPr>
        <w:keepNext/>
        <w:keepLines/>
        <w:widowControl/>
        <w:snapToGrid w:val="0"/>
        <w:spacing w:line="400" w:lineRule="atLeast"/>
        <w:ind w:firstLine="0" w:firstLineChars="0"/>
        <w:outlineLvl w:val="0"/>
        <w:rPr>
          <w:rFonts w:hint="eastAsia" w:ascii="宋体"/>
          <w:b/>
          <w:kern w:val="28"/>
          <w:sz w:val="36"/>
          <w:szCs w:val="20"/>
        </w:rPr>
      </w:pPr>
    </w:p>
    <w:p>
      <w:pPr>
        <w:keepNext/>
        <w:keepLines/>
        <w:widowControl/>
        <w:snapToGrid w:val="0"/>
        <w:spacing w:line="400" w:lineRule="atLeast"/>
        <w:ind w:firstLine="0" w:firstLineChars="0"/>
        <w:jc w:val="center"/>
        <w:outlineLvl w:val="0"/>
        <w:rPr>
          <w:rFonts w:hint="eastAsia" w:ascii="宋体"/>
          <w:b/>
          <w:kern w:val="28"/>
          <w:sz w:val="36"/>
          <w:szCs w:val="20"/>
        </w:rPr>
      </w:pPr>
      <w:bookmarkStart w:id="118" w:name="_Toc67558600"/>
      <w:r>
        <w:rPr>
          <w:rFonts w:hint="eastAsia" w:ascii="宋体"/>
          <w:b/>
          <w:kern w:val="28"/>
          <w:sz w:val="36"/>
          <w:szCs w:val="20"/>
        </w:rPr>
        <w:t>投标文件的组成</w:t>
      </w:r>
      <w:bookmarkEnd w:id="118"/>
    </w:p>
    <w:p>
      <w:pPr>
        <w:spacing w:line="500" w:lineRule="exact"/>
        <w:ind w:firstLine="480"/>
        <w:rPr>
          <w:rFonts w:hint="eastAsia" w:ascii="宋体" w:hAnsi="宋体"/>
        </w:rPr>
      </w:pPr>
      <w:r>
        <w:rPr>
          <w:rFonts w:hint="eastAsia" w:ascii="宋体" w:hAnsi="宋体"/>
        </w:rPr>
        <w:t>（一）资格审查部分</w:t>
      </w:r>
    </w:p>
    <w:p>
      <w:pPr>
        <w:spacing w:line="500" w:lineRule="exact"/>
        <w:ind w:firstLine="480"/>
        <w:rPr>
          <w:rFonts w:hint="eastAsia" w:ascii="宋体" w:hAnsi="宋体"/>
        </w:rPr>
      </w:pPr>
      <w:r>
        <w:rPr>
          <w:rFonts w:hint="eastAsia" w:ascii="宋体" w:hAnsi="宋体"/>
        </w:rPr>
        <w:t>1、投标函……………………………………………………………（附件1）</w:t>
      </w:r>
    </w:p>
    <w:p>
      <w:pPr>
        <w:spacing w:line="500" w:lineRule="exact"/>
        <w:ind w:firstLine="480"/>
        <w:rPr>
          <w:rFonts w:hint="eastAsia" w:ascii="宋体" w:hAnsi="宋体"/>
        </w:rPr>
      </w:pPr>
      <w:r>
        <w:rPr>
          <w:rFonts w:hint="eastAsia" w:ascii="宋体" w:hAnsi="宋体"/>
        </w:rPr>
        <w:t>2、法定代表人证明书………………………………………………（附件2）</w:t>
      </w:r>
    </w:p>
    <w:p>
      <w:pPr>
        <w:spacing w:line="500" w:lineRule="exact"/>
        <w:ind w:firstLine="480"/>
        <w:rPr>
          <w:rFonts w:hint="eastAsia" w:ascii="宋体" w:hAnsi="宋体"/>
        </w:rPr>
      </w:pPr>
      <w:r>
        <w:rPr>
          <w:rFonts w:hint="eastAsia" w:ascii="宋体" w:hAnsi="宋体"/>
        </w:rPr>
        <w:t>3、法定代表人授权书………………………………………………（附件3）</w:t>
      </w:r>
    </w:p>
    <w:p>
      <w:pPr>
        <w:spacing w:line="500" w:lineRule="exact"/>
        <w:ind w:firstLine="480"/>
        <w:rPr>
          <w:rFonts w:hint="eastAsia" w:ascii="宋体" w:hAnsi="宋体"/>
        </w:rPr>
      </w:pPr>
      <w:r>
        <w:rPr>
          <w:rFonts w:hint="eastAsia" w:ascii="宋体" w:hAnsi="宋体"/>
        </w:rPr>
        <w:t>4、投标人承诺函……………………………………………………（附件4）</w:t>
      </w:r>
    </w:p>
    <w:p>
      <w:pPr>
        <w:spacing w:line="500" w:lineRule="exact"/>
        <w:ind w:firstLine="480"/>
        <w:rPr>
          <w:rFonts w:hint="eastAsia" w:ascii="宋体" w:hAnsi="宋体"/>
        </w:rPr>
      </w:pPr>
      <w:r>
        <w:rPr>
          <w:rFonts w:hint="eastAsia" w:ascii="宋体" w:hAnsi="宋体"/>
        </w:rPr>
        <w:t>5、供应商诚信承诺书………………………………………………（附件5）</w:t>
      </w:r>
    </w:p>
    <w:p>
      <w:pPr>
        <w:spacing w:line="500" w:lineRule="exact"/>
        <w:ind w:firstLine="480"/>
        <w:rPr>
          <w:rFonts w:hint="eastAsia" w:ascii="宋体" w:hAnsi="宋体"/>
        </w:rPr>
      </w:pPr>
      <w:r>
        <w:rPr>
          <w:rFonts w:hint="eastAsia" w:ascii="宋体" w:hAnsi="宋体"/>
        </w:rPr>
        <w:t>6、投标人资格证明文件……………………………………………（附件6）</w:t>
      </w:r>
    </w:p>
    <w:p>
      <w:pPr>
        <w:spacing w:line="500" w:lineRule="exact"/>
        <w:ind w:firstLine="480"/>
        <w:rPr>
          <w:rFonts w:hint="eastAsia" w:ascii="宋体" w:hAnsi="宋体"/>
        </w:rPr>
      </w:pPr>
      <w:r>
        <w:rPr>
          <w:rFonts w:hint="eastAsia" w:ascii="宋体" w:hAnsi="宋体"/>
        </w:rPr>
        <w:t>7、财务状况、缴纳税收和社会保障资金证明……………………（附件7）</w:t>
      </w:r>
    </w:p>
    <w:p>
      <w:pPr>
        <w:spacing w:line="500" w:lineRule="exact"/>
        <w:ind w:firstLine="480"/>
        <w:rPr>
          <w:rFonts w:hint="eastAsia" w:ascii="宋体" w:hAnsi="宋体"/>
        </w:rPr>
      </w:pPr>
      <w:r>
        <w:rPr>
          <w:rFonts w:hint="eastAsia" w:ascii="宋体" w:hAnsi="宋体"/>
        </w:rPr>
        <w:t>8、无重大违法记录声明……………………………………………（附件8）</w:t>
      </w:r>
    </w:p>
    <w:p>
      <w:pPr>
        <w:spacing w:line="500" w:lineRule="exact"/>
        <w:ind w:firstLine="480"/>
        <w:rPr>
          <w:rFonts w:hint="eastAsia" w:ascii="宋体" w:hAnsi="宋体"/>
        </w:rPr>
      </w:pPr>
      <w:r>
        <w:rPr>
          <w:rFonts w:hint="eastAsia" w:ascii="宋体" w:hAnsi="宋体"/>
        </w:rPr>
        <w:t>9、投标保证金证明…………………………………………………（附件9）</w:t>
      </w:r>
    </w:p>
    <w:p>
      <w:pPr>
        <w:spacing w:line="500" w:lineRule="exact"/>
        <w:ind w:firstLine="480"/>
        <w:rPr>
          <w:rFonts w:hint="eastAsia" w:ascii="宋体" w:hAnsi="宋体"/>
        </w:rPr>
      </w:pPr>
      <w:r>
        <w:rPr>
          <w:rFonts w:hint="eastAsia" w:ascii="宋体" w:hAnsi="宋体"/>
        </w:rPr>
        <w:t>（二）符合性审查部分</w:t>
      </w:r>
    </w:p>
    <w:p>
      <w:pPr>
        <w:spacing w:line="500" w:lineRule="exact"/>
        <w:ind w:firstLine="480"/>
        <w:rPr>
          <w:rFonts w:hint="eastAsia" w:ascii="宋体" w:hAnsi="宋体"/>
        </w:rPr>
      </w:pPr>
      <w:r>
        <w:rPr>
          <w:rFonts w:hint="eastAsia" w:ascii="宋体" w:hAnsi="宋体"/>
        </w:rPr>
        <w:t>1、投标报价一览表…………………………………………………（附件10）</w:t>
      </w:r>
    </w:p>
    <w:p>
      <w:pPr>
        <w:spacing w:line="500" w:lineRule="exact"/>
        <w:ind w:firstLine="480"/>
        <w:rPr>
          <w:rFonts w:hint="eastAsia" w:ascii="宋体" w:hAnsi="宋体"/>
        </w:rPr>
      </w:pPr>
      <w:r>
        <w:rPr>
          <w:rFonts w:hint="eastAsia" w:ascii="宋体" w:hAnsi="宋体"/>
        </w:rPr>
        <w:t>2、分项报价表………………………………………………………（附件11）</w:t>
      </w:r>
    </w:p>
    <w:p>
      <w:pPr>
        <w:spacing w:line="500" w:lineRule="exact"/>
        <w:ind w:firstLine="480"/>
        <w:rPr>
          <w:rFonts w:hint="eastAsia" w:ascii="宋体" w:hAnsi="宋体"/>
        </w:rPr>
      </w:pPr>
      <w:r>
        <w:rPr>
          <w:rFonts w:hint="eastAsia" w:ascii="宋体" w:hAnsi="宋体"/>
        </w:rPr>
        <w:t>3、技术规格响应表…………………………………………………（附件12）</w:t>
      </w:r>
    </w:p>
    <w:p>
      <w:pPr>
        <w:spacing w:line="500" w:lineRule="exact"/>
        <w:ind w:firstLine="480"/>
        <w:rPr>
          <w:rFonts w:hint="eastAsia" w:ascii="宋体" w:hAnsi="宋体"/>
        </w:rPr>
      </w:pPr>
      <w:r>
        <w:rPr>
          <w:rFonts w:hint="eastAsia" w:ascii="宋体" w:hAnsi="宋体"/>
        </w:rPr>
        <w:t>4、其他资格证明材料………………………………………………（附件13）</w:t>
      </w:r>
    </w:p>
    <w:p>
      <w:pPr>
        <w:spacing w:line="500" w:lineRule="exact"/>
        <w:ind w:firstLine="480"/>
        <w:rPr>
          <w:rFonts w:hint="eastAsia" w:ascii="宋体" w:hAnsi="宋体"/>
        </w:rPr>
      </w:pPr>
      <w:r>
        <w:rPr>
          <w:rFonts w:hint="eastAsia" w:ascii="宋体" w:hAnsi="宋体"/>
        </w:rPr>
        <w:t>5、投标产品相关资料………………………………………………（附件14）</w:t>
      </w:r>
    </w:p>
    <w:p>
      <w:pPr>
        <w:spacing w:line="500" w:lineRule="exact"/>
        <w:ind w:firstLine="480"/>
        <w:rPr>
          <w:rFonts w:hint="eastAsia" w:ascii="宋体" w:hAnsi="宋体"/>
        </w:rPr>
      </w:pPr>
      <w:r>
        <w:rPr>
          <w:rFonts w:hint="eastAsia" w:ascii="宋体" w:hAnsi="宋体"/>
        </w:rPr>
        <w:t>6、投标人类似业绩证明材料………………………………………（附件15）</w:t>
      </w:r>
    </w:p>
    <w:p>
      <w:pPr>
        <w:spacing w:line="500" w:lineRule="exact"/>
        <w:ind w:firstLine="480"/>
        <w:rPr>
          <w:rFonts w:hint="eastAsia" w:ascii="宋体" w:hAnsi="宋体"/>
        </w:rPr>
      </w:pPr>
      <w:r>
        <w:rPr>
          <w:rFonts w:hint="eastAsia" w:ascii="宋体" w:hAnsi="宋体"/>
        </w:rPr>
        <w:t>7、中小企业声明函…………………………………………………（附件16）</w:t>
      </w:r>
    </w:p>
    <w:p>
      <w:pPr>
        <w:spacing w:line="500" w:lineRule="exact"/>
        <w:ind w:firstLine="480"/>
        <w:rPr>
          <w:rFonts w:hint="eastAsia" w:ascii="宋体" w:hAnsi="宋体"/>
        </w:rPr>
      </w:pPr>
      <w:r>
        <w:rPr>
          <w:rFonts w:hint="eastAsia" w:ascii="宋体" w:hAnsi="宋体"/>
        </w:rPr>
        <w:t>8、残疾人福利性单位声明函………………………………………（附件17）</w:t>
      </w:r>
    </w:p>
    <w:p>
      <w:pPr>
        <w:spacing w:line="500" w:lineRule="exact"/>
        <w:ind w:firstLine="480"/>
        <w:rPr>
          <w:rFonts w:hint="eastAsia" w:ascii="宋体" w:hAnsi="宋体"/>
        </w:rPr>
      </w:pPr>
      <w:r>
        <w:rPr>
          <w:rFonts w:hint="eastAsia" w:ascii="宋体" w:hAnsi="宋体"/>
        </w:rPr>
        <w:t>9、项目管理实施方案及售后服务…………………………………（附件18）</w:t>
      </w:r>
    </w:p>
    <w:p>
      <w:pPr>
        <w:spacing w:line="500" w:lineRule="exact"/>
        <w:ind w:firstLine="480"/>
        <w:rPr>
          <w:rFonts w:hint="eastAsia" w:ascii="宋体" w:hAnsi="宋体"/>
        </w:rPr>
      </w:pPr>
      <w:r>
        <w:rPr>
          <w:rFonts w:hint="eastAsia" w:ascii="宋体" w:hAnsi="宋体"/>
        </w:rPr>
        <w:t>10、投标人认为在其他方面有必要说明的事项……………………（附件19）</w:t>
      </w:r>
    </w:p>
    <w:p>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19" w:name="_Toc67558601"/>
      <w:r>
        <w:rPr>
          <w:rFonts w:hint="eastAsia" w:ascii="宋体"/>
          <w:b/>
          <w:sz w:val="28"/>
          <w:szCs w:val="28"/>
        </w:rPr>
        <w:t>（投标文件封面）</w:t>
      </w:r>
      <w:bookmarkEnd w:id="119"/>
    </w:p>
    <w:p>
      <w:pPr>
        <w:spacing w:line="360" w:lineRule="auto"/>
        <w:ind w:firstLine="2088" w:firstLineChars="400"/>
        <w:rPr>
          <w:rFonts w:hint="eastAsia" w:ascii="仿宋_GB2312" w:hAnsi="宋体" w:eastAsia="仿宋_GB2312"/>
          <w:b/>
          <w:sz w:val="52"/>
          <w:szCs w:val="52"/>
        </w:rPr>
      </w:pPr>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pPr>
        <w:adjustRightInd w:val="0"/>
        <w:spacing w:line="360" w:lineRule="auto"/>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left="34" w:leftChars="-118" w:hanging="282" w:hangingChars="78"/>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2022-13</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海南州职业技术学校大数据技术专业建设项目（包二：大数据智慧教室建设）</w:t>
      </w:r>
    </w:p>
    <w:p>
      <w:pPr>
        <w:autoSpaceDE w:val="0"/>
        <w:autoSpaceDN w:val="0"/>
        <w:adjustRightInd w:val="0"/>
        <w:spacing w:line="360" w:lineRule="auto"/>
        <w:ind w:left="2512" w:hanging="2512" w:hangingChars="695"/>
        <w:jc w:val="center"/>
        <w:rPr>
          <w:rFonts w:hint="eastAsia" w:ascii="宋体" w:hAnsi="宋体"/>
          <w:b/>
          <w:sz w:val="36"/>
          <w:szCs w:val="36"/>
        </w:rPr>
      </w:pPr>
    </w:p>
    <w:p>
      <w:pPr>
        <w:pStyle w:val="5"/>
        <w:rPr>
          <w:rFonts w:hint="eastAsia"/>
        </w:rPr>
      </w:pPr>
      <w:r>
        <w:rPr>
          <w:rFonts w:hint="eastAsia" w:ascii="宋体" w:hAnsi="宋体" w:eastAsia="宋体" w:cs="Times New Roman"/>
          <w:b/>
          <w:sz w:val="36"/>
          <w:szCs w:val="36"/>
          <w:lang w:val="en-US" w:eastAsia="zh-CN"/>
        </w:rPr>
        <w:t>包号：</w:t>
      </w:r>
    </w:p>
    <w:p>
      <w:pPr>
        <w:adjustRightInd w:val="0"/>
        <w:spacing w:line="360" w:lineRule="auto"/>
        <w:ind w:left="2293" w:leftChars="-68" w:hanging="2436" w:hangingChars="674"/>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90" w:firstLineChars="962"/>
        <w:rPr>
          <w:rFonts w:hint="eastAsia" w:ascii="宋体" w:hAnsi="宋体"/>
          <w:b/>
          <w:sz w:val="32"/>
        </w:rPr>
      </w:pPr>
      <w:r>
        <w:rPr>
          <w:rFonts w:hint="eastAsia" w:ascii="宋体" w:hAnsi="宋体"/>
          <w:b/>
          <w:sz w:val="32"/>
        </w:rPr>
        <w:t>年  月  日</w:t>
      </w:r>
    </w:p>
    <w:p>
      <w:pPr>
        <w:spacing w:line="360" w:lineRule="auto"/>
        <w:ind w:firstLine="3534" w:firstLineChars="1100"/>
        <w:rPr>
          <w:rFonts w:hint="eastAsia" w:ascii="宋体" w:hAnsi="宋体"/>
          <w:b/>
          <w:sz w:val="32"/>
        </w:rPr>
      </w:pPr>
    </w:p>
    <w:p>
      <w:pPr>
        <w:widowControl/>
        <w:snapToGrid w:val="0"/>
        <w:spacing w:line="360" w:lineRule="auto"/>
        <w:ind w:firstLine="0" w:firstLineChars="0"/>
        <w:jc w:val="left"/>
        <w:outlineLvl w:val="1"/>
        <w:rPr>
          <w:rFonts w:hint="eastAsia" w:ascii="宋体"/>
          <w:b/>
          <w:sz w:val="28"/>
          <w:szCs w:val="28"/>
        </w:rPr>
      </w:pPr>
      <w:bookmarkStart w:id="120" w:name="_Toc67558602"/>
    </w:p>
    <w:p>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1" w:name="_Toc325726037"/>
      <w:bookmarkStart w:id="122" w:name="_Toc376936768"/>
      <w:r>
        <w:rPr>
          <w:rFonts w:hint="eastAsia" w:ascii="宋体"/>
          <w:b/>
          <w:sz w:val="28"/>
          <w:szCs w:val="28"/>
        </w:rPr>
        <w:t>1：投 标 函</w:t>
      </w:r>
      <w:bookmarkEnd w:id="120"/>
      <w:bookmarkEnd w:id="121"/>
      <w:bookmarkEnd w:id="122"/>
    </w:p>
    <w:p>
      <w:pPr>
        <w:ind w:firstLine="3813" w:firstLineChars="1055"/>
        <w:rPr>
          <w:rFonts w:hint="eastAsia" w:ascii="宋体" w:hAnsi="宋体"/>
          <w:b/>
          <w:sz w:val="36"/>
          <w:szCs w:val="36"/>
        </w:rPr>
      </w:pPr>
    </w:p>
    <w:p>
      <w:pPr>
        <w:ind w:firstLine="3813" w:firstLineChars="1055"/>
        <w:rPr>
          <w:rFonts w:hint="eastAsia" w:ascii="宋体" w:hAnsi="宋体"/>
          <w:b/>
          <w:sz w:val="36"/>
          <w:szCs w:val="36"/>
        </w:rPr>
      </w:pPr>
      <w:r>
        <w:rPr>
          <w:rFonts w:hint="eastAsia" w:ascii="宋体" w:hAnsi="宋体"/>
          <w:b/>
          <w:sz w:val="36"/>
          <w:szCs w:val="36"/>
        </w:rPr>
        <w:t>投标函</w:t>
      </w:r>
    </w:p>
    <w:p>
      <w:pPr>
        <w:adjustRightInd w:val="0"/>
        <w:ind w:firstLine="0" w:firstLineChars="0"/>
        <w:textAlignment w:val="baseline"/>
        <w:rPr>
          <w:rFonts w:hint="eastAsia" w:ascii="宋体" w:hAnsi="宋体"/>
          <w:b/>
        </w:rPr>
      </w:pPr>
      <w:r>
        <w:rPr>
          <w:rFonts w:hint="eastAsia" w:ascii="宋体" w:hAnsi="宋体"/>
          <w:b/>
        </w:rPr>
        <w:t>致：</w:t>
      </w:r>
      <w:r>
        <w:rPr>
          <w:rFonts w:hint="eastAsia" w:ascii="宋体" w:hAnsi="宋体"/>
          <w:b/>
          <w:lang w:eastAsia="zh-CN"/>
        </w:rPr>
        <w:t>海南州</w:t>
      </w:r>
      <w:r>
        <w:rPr>
          <w:rFonts w:hint="eastAsia" w:ascii="宋体" w:hAnsi="宋体"/>
          <w:b/>
        </w:rPr>
        <w:t>政府采购中心</w:t>
      </w: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r>
        <w:rPr>
          <w:rFonts w:hint="eastAsia" w:ascii="宋体" w:hAnsi="宋体"/>
        </w:rPr>
        <w:t>我们收到</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2022-13</w:t>
      </w:r>
      <w:r>
        <w:rPr>
          <w:rFonts w:hint="eastAsia" w:ascii="宋体" w:hAnsi="宋体"/>
        </w:rPr>
        <w:t xml:space="preserve">号招标文件，经研究，法定代表人（姓名、职务）正式授权（委托代理人姓名、职务）代表投标人（投标人名称、地址）提交投标文件。    </w:t>
      </w:r>
    </w:p>
    <w:p>
      <w:pPr>
        <w:adjustRightInd w:val="0"/>
        <w:ind w:firstLine="371" w:firstLineChars="177"/>
        <w:textAlignment w:val="baseline"/>
        <w:rPr>
          <w:rFonts w:hint="eastAsia" w:ascii="宋体" w:hAnsi="宋体"/>
        </w:rPr>
      </w:pPr>
      <w:r>
        <w:rPr>
          <w:rFonts w:hint="eastAsia" w:ascii="宋体" w:hAnsi="宋体"/>
        </w:rPr>
        <w:t>据此函，签字代表宣布同意如下：</w:t>
      </w:r>
    </w:p>
    <w:p>
      <w:pPr>
        <w:adjustRightInd w:val="0"/>
        <w:ind w:firstLine="371" w:firstLineChars="177"/>
        <w:textAlignment w:val="baseline"/>
        <w:rPr>
          <w:rFonts w:hint="eastAsia" w:ascii="宋体" w:hAnsi="宋体"/>
        </w:rPr>
      </w:pPr>
      <w:r>
        <w:rPr>
          <w:rFonts w:hint="eastAsia" w:ascii="宋体" w:hAnsi="宋体"/>
        </w:rPr>
        <w:t>1、我方已详阅招标文件的全部内容，包括澄清、修改条款等有关附件，承诺对其完全理解并接受。</w:t>
      </w:r>
    </w:p>
    <w:p>
      <w:pPr>
        <w:adjustRightInd w:val="0"/>
        <w:ind w:firstLine="371" w:firstLineChars="177"/>
        <w:textAlignment w:val="baseline"/>
        <w:rPr>
          <w:rFonts w:hint="eastAsia" w:ascii="宋体" w:hAnsi="宋体"/>
        </w:rPr>
      </w:pPr>
      <w:r>
        <w:rPr>
          <w:rFonts w:hint="eastAsia" w:ascii="宋体" w:hAnsi="宋体"/>
        </w:rPr>
        <w:t>2、投标有效期自开标之日起60天内有效。如果在规定的开标时间后，我方在投标有效期内撤回投标或中标后不签订合同时的，投标保证金将被贵方没收。</w:t>
      </w:r>
    </w:p>
    <w:p>
      <w:pPr>
        <w:adjustRightInd w:val="0"/>
        <w:ind w:firstLine="371" w:firstLineChars="177"/>
        <w:textAlignment w:val="baseline"/>
        <w:rPr>
          <w:rFonts w:hint="eastAsia" w:ascii="宋体" w:hAnsi="宋体"/>
        </w:rPr>
      </w:pPr>
      <w:r>
        <w:rPr>
          <w:rFonts w:hint="eastAsia" w:ascii="宋体" w:hAnsi="宋体"/>
        </w:rPr>
        <w:t>3、我方同意按照贵方要求提供与投标有关的一切数据或资料，理解并接受贵方制定的评标办法。</w:t>
      </w:r>
    </w:p>
    <w:p>
      <w:pPr>
        <w:adjustRightInd w:val="0"/>
        <w:ind w:firstLine="371" w:firstLineChars="177"/>
        <w:textAlignment w:val="baseline"/>
        <w:rPr>
          <w:rFonts w:hint="eastAsia" w:ascii="宋体" w:hAnsi="宋体"/>
        </w:rPr>
      </w:pPr>
      <w:r>
        <w:rPr>
          <w:rFonts w:hint="eastAsia" w:ascii="宋体" w:hAnsi="宋体"/>
        </w:rPr>
        <w:t>4、与本投标有关的一切正式往来通讯请寄：</w:t>
      </w:r>
    </w:p>
    <w:p>
      <w:pPr>
        <w:adjustRightInd w:val="0"/>
        <w:ind w:firstLine="371" w:firstLineChars="177"/>
        <w:textAlignment w:val="baseline"/>
        <w:rPr>
          <w:rFonts w:hint="eastAsia" w:ascii="宋体" w:hAnsi="宋体"/>
        </w:rPr>
      </w:pPr>
      <w:r>
        <w:rPr>
          <w:rFonts w:hint="eastAsia" w:ascii="宋体" w:hAnsi="宋体"/>
        </w:rPr>
        <w:t>地址：_______________   邮编：______________</w:t>
      </w:r>
    </w:p>
    <w:p>
      <w:pPr>
        <w:adjustRightInd w:val="0"/>
        <w:ind w:firstLine="371" w:firstLineChars="177"/>
        <w:textAlignment w:val="baseline"/>
        <w:rPr>
          <w:rFonts w:hint="eastAsia" w:ascii="宋体" w:hAnsi="宋体"/>
        </w:rPr>
      </w:pPr>
      <w:r>
        <w:rPr>
          <w:rFonts w:hint="eastAsia" w:ascii="宋体" w:hAnsi="宋体"/>
        </w:rPr>
        <w:t>电话：_______________   传真：______________</w:t>
      </w:r>
    </w:p>
    <w:p>
      <w:pPr>
        <w:adjustRightInd w:val="0"/>
        <w:ind w:firstLine="371" w:firstLineChars="177"/>
        <w:textAlignment w:val="baseline"/>
        <w:rPr>
          <w:rFonts w:hint="eastAsia" w:ascii="宋体" w:hAnsi="宋体"/>
        </w:rPr>
      </w:pPr>
      <w:r>
        <w:rPr>
          <w:rFonts w:hint="eastAsia" w:ascii="宋体" w:hAnsi="宋体"/>
        </w:rPr>
        <w:t>法定代表人姓名： ___________ 职务：____________</w:t>
      </w:r>
    </w:p>
    <w:p>
      <w:pPr>
        <w:adjustRightInd w:val="0"/>
        <w:ind w:firstLine="480"/>
        <w:textAlignment w:val="baseline"/>
        <w:rPr>
          <w:rFonts w:hint="eastAsia" w:ascii="宋体" w:hAnsi="宋体"/>
        </w:rPr>
      </w:pPr>
    </w:p>
    <w:p>
      <w:pPr>
        <w:ind w:firstLine="480"/>
        <w:rPr>
          <w:rFonts w:hint="eastAsia" w:ascii="宋体" w:hAnsi="宋体"/>
        </w:rPr>
      </w:pPr>
    </w:p>
    <w:p>
      <w:pPr>
        <w:ind w:firstLine="480"/>
        <w:rPr>
          <w:rFonts w:hint="eastAsia" w:ascii="宋体" w:hAnsi="宋体"/>
        </w:rPr>
      </w:pPr>
    </w:p>
    <w:p>
      <w:pPr>
        <w:ind w:firstLine="560"/>
        <w:rPr>
          <w:rFonts w:hint="eastAsia" w:ascii="宋体" w:hAnsi="宋体"/>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56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adjustRightInd w:val="0"/>
        <w:ind w:firstLine="0" w:firstLineChars="0"/>
        <w:textAlignment w:val="baseline"/>
        <w:rPr>
          <w:rFonts w:hint="eastAsia" w:ascii="仿宋_GB2312" w:hAnsi="宋体" w:eastAsia="仿宋_GB2312"/>
          <w:sz w:val="28"/>
          <w:szCs w:val="28"/>
        </w:rPr>
      </w:pPr>
    </w:p>
    <w:p>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right="1200" w:firstLine="482"/>
        <w:jc w:val="right"/>
        <w:rPr>
          <w:rFonts w:hint="eastAsia"/>
          <w:b/>
        </w:rPr>
      </w:pPr>
      <w:r>
        <w:rPr>
          <w:rFonts w:hint="eastAsia"/>
          <w:b/>
        </w:rPr>
        <w:t>年  月  日</w:t>
      </w:r>
    </w:p>
    <w:p>
      <w:pPr>
        <w:ind w:firstLine="482"/>
        <w:jc w:val="center"/>
        <w:rPr>
          <w:rFonts w:hint="eastAsia" w:ascii="宋体" w:hAnsi="宋体"/>
          <w:b/>
        </w:rPr>
      </w:pP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bookmarkStart w:id="123" w:name="_Toc67558603"/>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4" w:name="_Toc325726043"/>
      <w:bookmarkStart w:id="125" w:name="_Toc376936774"/>
      <w:bookmarkStart w:id="126" w:name="_Toc376936773"/>
      <w:bookmarkStart w:id="127" w:name="_Toc325726042"/>
      <w:r>
        <w:rPr>
          <w:rFonts w:hint="eastAsia" w:ascii="宋体"/>
          <w:b/>
          <w:sz w:val="28"/>
          <w:szCs w:val="28"/>
        </w:rPr>
        <w:t>2：法定代表人证明书</w:t>
      </w:r>
      <w:bookmarkEnd w:id="123"/>
      <w:bookmarkEnd w:id="124"/>
      <w:bookmarkEnd w:id="125"/>
    </w:p>
    <w:p>
      <w:pPr>
        <w:ind w:firstLine="723"/>
        <w:jc w:val="center"/>
        <w:rPr>
          <w:rFonts w:hint="eastAsia" w:ascii="宋体" w:hAnsi="宋体"/>
          <w:b/>
          <w:bCs/>
          <w:sz w:val="36"/>
          <w:szCs w:val="36"/>
        </w:rPr>
      </w:pPr>
    </w:p>
    <w:p>
      <w:pPr>
        <w:ind w:firstLine="723"/>
        <w:jc w:val="center"/>
        <w:rPr>
          <w:rFonts w:hint="eastAsia" w:ascii="宋体" w:hAnsi="宋体"/>
          <w:b/>
          <w:bCs/>
          <w:sz w:val="36"/>
          <w:szCs w:val="36"/>
        </w:rPr>
      </w:pPr>
      <w:r>
        <w:rPr>
          <w:rFonts w:hint="eastAsia" w:ascii="宋体" w:hAnsi="宋体"/>
          <w:b/>
          <w:bCs/>
          <w:sz w:val="36"/>
          <w:szCs w:val="36"/>
        </w:rPr>
        <w:t>法定代表人证明书</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hint="eastAsia" w:ascii="宋体" w:hAnsi="宋体"/>
        </w:rPr>
      </w:pPr>
    </w:p>
    <w:p>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480"/>
        <w:jc w:val="left"/>
        <w:rPr>
          <w:rFonts w:hint="eastAsia" w:ascii="宋体" w:hAnsi="宋体" w:cs="宋体"/>
          <w:kern w:val="0"/>
        </w:rPr>
      </w:pPr>
    </w:p>
    <w:p>
      <w:pPr>
        <w:autoSpaceDE w:val="0"/>
        <w:autoSpaceDN w:val="0"/>
        <w:adjustRightInd w:val="0"/>
        <w:ind w:firstLine="0" w:firstLineChars="0"/>
        <w:jc w:val="left"/>
        <w:rPr>
          <w:rFonts w:hint="eastAsia" w:ascii="宋体" w:hAnsi="宋体" w:cs="宋体"/>
          <w:kern w:val="0"/>
        </w:rPr>
      </w:pPr>
    </w:p>
    <w:p>
      <w:pPr>
        <w:ind w:right="240" w:firstLine="3162"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left"/>
        <w:rPr>
          <w:rFonts w:hint="eastAsia" w:ascii="宋体" w:hAnsi="宋体"/>
          <w:b/>
        </w:rPr>
      </w:pPr>
    </w:p>
    <w:bookmarkEnd w:id="126"/>
    <w:bookmarkEnd w:id="127"/>
    <w:p>
      <w:pPr>
        <w:ind w:right="1200" w:firstLine="482"/>
        <w:jc w:val="right"/>
        <w:rPr>
          <w:rFonts w:hint="eastAsia"/>
          <w:b/>
        </w:rPr>
      </w:pPr>
      <w:r>
        <w:rPr>
          <w:rFonts w:hint="eastAsia"/>
          <w:b/>
        </w:rPr>
        <w:t>年  月  日</w:t>
      </w:r>
    </w:p>
    <w:p>
      <w:pPr>
        <w:ind w:firstLine="0" w:firstLineChars="0"/>
        <w:rPr>
          <w:rFonts w:hint="eastAsia" w:ascii="宋体"/>
          <w:b/>
          <w:sz w:val="36"/>
          <w:szCs w:val="36"/>
        </w:rPr>
      </w:pPr>
    </w:p>
    <w:p>
      <w:pPr>
        <w:ind w:firstLine="0" w:firstLineChars="0"/>
        <w:rPr>
          <w:rFonts w:hint="eastAsia" w:ascii="宋体" w:hAnsi="宋体"/>
          <w:b/>
          <w:bCs/>
        </w:rPr>
      </w:pPr>
    </w:p>
    <w:p>
      <w:pPr>
        <w:widowControl/>
        <w:snapToGrid w:val="0"/>
        <w:spacing w:line="360" w:lineRule="auto"/>
        <w:ind w:firstLine="0" w:firstLineChars="0"/>
        <w:outlineLvl w:val="1"/>
        <w:rPr>
          <w:rFonts w:hint="eastAsia" w:ascii="宋体"/>
          <w:b/>
          <w:sz w:val="28"/>
          <w:szCs w:val="28"/>
        </w:rPr>
      </w:pPr>
      <w:bookmarkStart w:id="128" w:name="_Toc324756736"/>
      <w:bookmarkStart w:id="129" w:name="_Toc201287639"/>
      <w:bookmarkStart w:id="130" w:name="_Toc6755860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8"/>
      <w:bookmarkEnd w:id="129"/>
      <w:r>
        <w:rPr>
          <w:rFonts w:hint="eastAsia" w:ascii="宋体"/>
          <w:b/>
          <w:sz w:val="28"/>
          <w:szCs w:val="28"/>
        </w:rPr>
        <w:t>3：法定代表人授权书</w:t>
      </w:r>
      <w:bookmarkEnd w:id="130"/>
    </w:p>
    <w:p>
      <w:pPr>
        <w:ind w:firstLine="3813" w:firstLineChars="105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法定代表人授权书</w:t>
      </w:r>
    </w:p>
    <w:p>
      <w:pPr>
        <w:ind w:firstLine="173" w:firstLineChars="82"/>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u w:val="single"/>
        </w:rPr>
      </w:pPr>
    </w:p>
    <w:p>
      <w:pPr>
        <w:spacing w:line="360" w:lineRule="auto"/>
        <w:ind w:firstLine="480"/>
        <w:rPr>
          <w:rFonts w:hint="eastAsia"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hint="eastAsia" w:ascii="宋体" w:hAnsi="宋体"/>
        </w:rPr>
      </w:pPr>
      <w:r>
        <w:rPr>
          <w:rFonts w:hint="eastAsia" w:ascii="宋体" w:hAnsi="宋体"/>
        </w:rPr>
        <w:t>我单位对被授权人的签名负全部责任。</w:t>
      </w:r>
    </w:p>
    <w:p>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hint="eastAsia" w:ascii="宋体" w:hAnsi="宋体"/>
        </w:rPr>
      </w:pPr>
    </w:p>
    <w:p>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hint="eastAsia" w:ascii="宋体" w:hAnsi="宋体"/>
        </w:rPr>
      </w:pPr>
    </w:p>
    <w:p>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ind w:firstLine="480"/>
        <w:rPr>
          <w:rFonts w:hint="eastAsia" w:ascii="宋体" w:hAnsi="宋体"/>
        </w:rPr>
      </w:pPr>
      <w:r>
        <w:rPr>
          <w:rFonts w:hint="eastAsia" w:ascii="宋体" w:hAnsi="宋体"/>
        </w:rPr>
        <w:t xml:space="preserve">                   </w:t>
      </w:r>
    </w:p>
    <w:p>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pPr>
        <w:ind w:firstLine="480"/>
        <w:jc w:val="center"/>
        <w:rPr>
          <w:rFonts w:hint="eastAsia" w:ascii="宋体" w:hAnsi="宋体"/>
        </w:rPr>
      </w:pPr>
    </w:p>
    <w:p>
      <w:pPr>
        <w:ind w:firstLine="480"/>
        <w:jc w:val="center"/>
        <w:rPr>
          <w:rFonts w:hint="eastAsia" w:ascii="宋体" w:hAnsi="宋体"/>
        </w:rPr>
      </w:pPr>
    </w:p>
    <w:p>
      <w:pPr>
        <w:ind w:firstLine="480"/>
        <w:rPr>
          <w:rFonts w:hint="eastAsia" w:ascii="宋体" w:hAnsi="宋体"/>
        </w:rPr>
      </w:pPr>
    </w:p>
    <w:p>
      <w:pPr>
        <w:ind w:firstLine="0" w:firstLineChars="0"/>
        <w:rPr>
          <w:rFonts w:hint="eastAsia" w:ascii="宋体" w:hAnsi="宋体"/>
        </w:rPr>
      </w:pPr>
    </w:p>
    <w:p>
      <w:pPr>
        <w:ind w:firstLine="3662" w:firstLineChars="17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hint="eastAsia" w:ascii="宋体" w:hAnsi="宋体"/>
          <w:b/>
        </w:rPr>
      </w:pP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31" w:name="_Toc67558605"/>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附件4：投标人承诺函</w:t>
      </w:r>
      <w:bookmarkEnd w:id="131"/>
    </w:p>
    <w:p>
      <w:pPr>
        <w:ind w:firstLine="723"/>
        <w:jc w:val="center"/>
        <w:rPr>
          <w:rFonts w:hint="eastAsia" w:ascii="宋体" w:hAnsi="宋体"/>
          <w:b/>
          <w:bCs/>
          <w:sz w:val="36"/>
          <w:szCs w:val="36"/>
        </w:rPr>
      </w:pPr>
    </w:p>
    <w:p>
      <w:pPr>
        <w:ind w:firstLine="3253" w:firstLineChars="900"/>
        <w:rPr>
          <w:rFonts w:hint="eastAsia" w:ascii="宋体" w:hAnsi="宋体"/>
          <w:b/>
          <w:bCs/>
          <w:sz w:val="36"/>
          <w:szCs w:val="36"/>
        </w:rPr>
      </w:pPr>
      <w:r>
        <w:rPr>
          <w:rFonts w:hint="eastAsia" w:ascii="宋体" w:hAnsi="宋体"/>
          <w:b/>
          <w:bCs/>
          <w:sz w:val="36"/>
          <w:szCs w:val="36"/>
        </w:rPr>
        <w:t>投标人承诺函</w:t>
      </w:r>
    </w:p>
    <w:p>
      <w:pPr>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政采公招（</w:t>
      </w:r>
      <w:r>
        <w:rPr>
          <w:rFonts w:hint="eastAsia" w:ascii="宋体" w:hAnsi="宋体"/>
          <w:lang w:eastAsia="zh-CN"/>
        </w:rPr>
        <w:t>货物</w:t>
      </w:r>
      <w:r>
        <w:rPr>
          <w:rFonts w:hint="eastAsia" w:ascii="宋体" w:hAnsi="宋体"/>
        </w:rPr>
        <w:t>）</w:t>
      </w:r>
      <w:r>
        <w:rPr>
          <w:rFonts w:hint="eastAsia" w:ascii="宋体" w:hAnsi="宋体"/>
          <w:lang w:val="en-US" w:eastAsia="zh-CN"/>
        </w:rPr>
        <w:t>2022-13</w:t>
      </w:r>
      <w:r>
        <w:rPr>
          <w:rFonts w:hint="eastAsia" w:ascii="宋体" w:hAnsi="宋体"/>
        </w:rPr>
        <w:t>号采购项目，本签字人愿意参加投标，提供采购一览表中要求的所有产品，并证实提交的所有资料是准确的和真实的。同时，我代表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hint="eastAsia" w:ascii="宋体" w:hAnsi="宋体"/>
        </w:rPr>
      </w:pPr>
      <w:r>
        <w:rPr>
          <w:rFonts w:hint="eastAsia" w:ascii="宋体" w:hAnsi="宋体"/>
        </w:rPr>
        <w:t xml:space="preserve">  1、完全理解和接受招标文件的一切规定和要求；</w:t>
      </w:r>
    </w:p>
    <w:p>
      <w:pPr>
        <w:ind w:firstLine="480"/>
        <w:rPr>
          <w:rFonts w:hint="eastAsia" w:ascii="宋体" w:hAnsi="宋体"/>
        </w:rPr>
      </w:pPr>
      <w:r>
        <w:rPr>
          <w:rFonts w:hint="eastAsia" w:ascii="宋体" w:hAnsi="宋体"/>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ind w:firstLine="630" w:firstLineChars="300"/>
        <w:rPr>
          <w:rFonts w:hint="eastAsia" w:ascii="宋体" w:hAnsi="宋体"/>
          <w:color w:val="000000"/>
        </w:rPr>
      </w:pPr>
      <w:r>
        <w:rPr>
          <w:rFonts w:hint="eastAsia" w:ascii="宋体" w:hAnsi="宋体"/>
        </w:rPr>
        <w:t>3、我方保证甲方在使用该产品或其任何一部分时，不受第三方提出的侵犯专利权、著作权、商标权和工业设计权等知识产权的起诉，若有违犯，愿承担相应的一切责</w:t>
      </w:r>
      <w:r>
        <w:rPr>
          <w:rFonts w:hint="eastAsia" w:ascii="宋体" w:hAnsi="宋体"/>
          <w:color w:val="000000"/>
        </w:rPr>
        <w:t>任。</w:t>
      </w:r>
    </w:p>
    <w:p>
      <w:pPr>
        <w:ind w:firstLine="630" w:firstLineChars="300"/>
        <w:rPr>
          <w:rFonts w:hint="eastAsia" w:ascii="宋体" w:hAnsi="宋体"/>
          <w:color w:val="000000"/>
        </w:rPr>
      </w:pPr>
      <w:r>
        <w:rPr>
          <w:rFonts w:hint="eastAsia" w:ascii="宋体" w:hAnsi="宋体"/>
          <w:color w:val="000000"/>
        </w:rPr>
        <w:t>4、我方承诺，除招标文件中规定的优质产品外，所投的产品均为国产产品，且均符合国家强制性标准。若有不实，愿承担相应的责任。</w:t>
      </w:r>
    </w:p>
    <w:p>
      <w:pPr>
        <w:ind w:firstLine="480"/>
        <w:rPr>
          <w:rFonts w:hint="eastAsia" w:ascii="宋体" w:hAnsi="宋体"/>
          <w:color w:val="000000"/>
        </w:rPr>
      </w:pPr>
      <w:r>
        <w:rPr>
          <w:rFonts w:hint="eastAsia" w:ascii="宋体" w:hAnsi="宋体"/>
          <w:color w:val="000000"/>
        </w:rPr>
        <w:t xml:space="preserve">  5、在整个招标过程中我方若有违规行为，贵方可按招标文件之规定给予处罚，我方完全接受。</w:t>
      </w:r>
    </w:p>
    <w:p>
      <w:pPr>
        <w:ind w:firstLine="630" w:firstLineChars="300"/>
        <w:rPr>
          <w:rFonts w:hint="eastAsia" w:ascii="宋体" w:hAnsi="宋体"/>
        </w:rPr>
      </w:pPr>
      <w:r>
        <w:rPr>
          <w:rFonts w:hint="eastAsia" w:ascii="宋体" w:hAnsi="宋体"/>
          <w:color w:val="000000"/>
        </w:rPr>
        <w:t>6、若中标，本承诺将成为合同</w:t>
      </w:r>
      <w:r>
        <w:rPr>
          <w:rFonts w:hint="eastAsia" w:ascii="宋体" w:hAnsi="宋体"/>
        </w:rPr>
        <w:t>不可分割的一部分，与合同具有同等的法律效力。</w:t>
      </w: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80"/>
        <w:rPr>
          <w:rFonts w:hint="eastAsia" w:ascii="宋体" w:hAnsi="宋体"/>
        </w:rPr>
      </w:pPr>
    </w:p>
    <w:p>
      <w:pPr>
        <w:ind w:firstLine="4189"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2" w:name="_Toc67558606"/>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3" w:name="_Toc365019584"/>
      <w:bookmarkStart w:id="134" w:name="_Toc351475542"/>
      <w:bookmarkStart w:id="135" w:name="_Toc376936779"/>
      <w:r>
        <w:rPr>
          <w:rFonts w:hint="eastAsia" w:ascii="宋体"/>
          <w:b/>
          <w:sz w:val="28"/>
          <w:szCs w:val="28"/>
        </w:rPr>
        <w:t>5：供应商诚信承诺书</w:t>
      </w:r>
      <w:bookmarkEnd w:id="132"/>
      <w:bookmarkEnd w:id="133"/>
      <w:bookmarkEnd w:id="134"/>
      <w:bookmarkEnd w:id="135"/>
    </w:p>
    <w:p>
      <w:pPr>
        <w:widowControl/>
        <w:snapToGrid w:val="0"/>
        <w:spacing w:line="360" w:lineRule="auto"/>
        <w:ind w:firstLine="0" w:firstLineChars="0"/>
        <w:outlineLvl w:val="1"/>
        <w:rPr>
          <w:rFonts w:hint="eastAsia" w:ascii="宋体"/>
          <w:b/>
          <w:sz w:val="28"/>
          <w:szCs w:val="28"/>
        </w:rPr>
      </w:pPr>
    </w:p>
    <w:p>
      <w:pPr>
        <w:ind w:firstLine="2729" w:firstLineChars="755"/>
        <w:rPr>
          <w:rFonts w:hint="eastAsia" w:ascii="宋体" w:hAnsi="宋体"/>
          <w:b/>
          <w:sz w:val="36"/>
          <w:szCs w:val="36"/>
        </w:rPr>
      </w:pPr>
      <w:r>
        <w:rPr>
          <w:rFonts w:hint="eastAsia" w:ascii="宋体" w:hAnsi="宋体"/>
          <w:b/>
          <w:sz w:val="36"/>
          <w:szCs w:val="36"/>
        </w:rPr>
        <w:t>供应商诚信承诺书</w:t>
      </w:r>
    </w:p>
    <w:p>
      <w:pPr>
        <w:spacing w:after="156" w:afterLines="50"/>
        <w:ind w:firstLine="0" w:firstLineChars="0"/>
        <w:rPr>
          <w:rFonts w:hint="eastAsia" w:ascii="宋体" w:hAnsi="宋体"/>
          <w:b/>
          <w:bCs/>
        </w:rPr>
      </w:pPr>
      <w:r>
        <w:rPr>
          <w:rFonts w:hint="eastAsia" w:ascii="宋体" w:hAnsi="宋体"/>
          <w:b/>
          <w:bCs/>
        </w:rPr>
        <w:t>致：</w:t>
      </w:r>
      <w:r>
        <w:rPr>
          <w:rFonts w:hint="eastAsia" w:ascii="宋体" w:hAnsi="宋体"/>
          <w:b/>
          <w:lang w:eastAsia="zh-CN"/>
        </w:rPr>
        <w:t>海南州</w:t>
      </w:r>
      <w:r>
        <w:rPr>
          <w:rFonts w:hint="eastAsia" w:ascii="宋体" w:hAnsi="宋体"/>
          <w:b/>
        </w:rPr>
        <w:t>政府采购中心</w:t>
      </w:r>
    </w:p>
    <w:p>
      <w:pPr>
        <w:ind w:firstLine="480"/>
        <w:rPr>
          <w:rFonts w:hint="eastAsia" w:ascii="宋体" w:hAnsi="宋体"/>
        </w:rPr>
      </w:pPr>
    </w:p>
    <w:p>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hint="eastAsia"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政府采购中心组织的政府采购活动时，严格按照招标文件的规定和要求提供所需的相关材料，并对所提供的各类资料的真实性负责，不虚假应标，不虚列业绩。</w:t>
      </w:r>
    </w:p>
    <w:p>
      <w:pPr>
        <w:ind w:firstLine="480"/>
        <w:rPr>
          <w:rFonts w:hint="eastAsia" w:ascii="宋体" w:hAnsi="宋体"/>
        </w:rPr>
      </w:pPr>
      <w:r>
        <w:rPr>
          <w:rFonts w:hint="eastAsia" w:ascii="宋体" w:hAnsi="宋体"/>
        </w:rPr>
        <w:t>三、尊重参与政府采购活动各相关方的合法行为，接受政府采购活动依法形成的意见、结果。</w:t>
      </w:r>
    </w:p>
    <w:p>
      <w:pPr>
        <w:ind w:firstLine="480"/>
        <w:rPr>
          <w:rFonts w:hint="eastAsia" w:ascii="宋体" w:hAnsi="宋体"/>
        </w:rPr>
      </w:pPr>
      <w:r>
        <w:rPr>
          <w:rFonts w:hint="eastAsia" w:ascii="宋体" w:hAnsi="宋体"/>
        </w:rPr>
        <w:t>四、依法参加政府采购活动，不围标、串标，维护市场秩序，不提供“三无”产品、以次充好。</w:t>
      </w:r>
    </w:p>
    <w:p>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rPr>
      </w:pPr>
      <w:r>
        <w:rPr>
          <w:rFonts w:hint="eastAsia" w:ascii="宋体" w:hAnsi="宋体"/>
        </w:rPr>
        <w:t>六、认真履行中标供应商应承担的责任和义务，全面执行采购合同规定的各项内容，保质保量地按时提供采购物品。</w:t>
      </w:r>
    </w:p>
    <w:p>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hint="eastAsia" w:ascii="宋体" w:hAnsi="宋体"/>
        </w:rPr>
      </w:pPr>
      <w:r>
        <w:rPr>
          <w:rFonts w:hint="eastAsia" w:ascii="宋体" w:hAnsi="宋体"/>
        </w:rPr>
        <w:t>本承诺是采购项目投标文件的组成部分。</w:t>
      </w:r>
    </w:p>
    <w:p>
      <w:pPr>
        <w:spacing w:before="312" w:beforeLines="100"/>
        <w:ind w:firstLine="0" w:firstLineChars="0"/>
        <w:jc w:val="left"/>
        <w:rPr>
          <w:rFonts w:hint="eastAsia" w:ascii="宋体" w:hAnsi="宋体"/>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p>
    <w:p>
      <w:pPr>
        <w:spacing w:line="360" w:lineRule="auto"/>
        <w:ind w:firstLine="3268"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4400" w:firstLineChars="2087"/>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sz w:val="28"/>
          <w:szCs w:val="28"/>
        </w:rPr>
      </w:pPr>
      <w:bookmarkStart w:id="136" w:name="_Toc67558607"/>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附件6：投标人资格证明文件</w:t>
      </w:r>
      <w:bookmarkEnd w:id="136"/>
    </w:p>
    <w:p>
      <w:pPr>
        <w:widowControl/>
        <w:snapToGrid w:val="0"/>
        <w:spacing w:line="360" w:lineRule="auto"/>
        <w:ind w:firstLine="0" w:firstLineChars="0"/>
        <w:outlineLvl w:val="1"/>
        <w:rPr>
          <w:rFonts w:hint="eastAsia" w:ascii="宋体"/>
          <w:b/>
          <w:sz w:val="28"/>
          <w:szCs w:val="28"/>
        </w:rPr>
      </w:pPr>
    </w:p>
    <w:p>
      <w:pPr>
        <w:ind w:firstLine="0" w:firstLineChars="0"/>
        <w:jc w:val="center"/>
        <w:rPr>
          <w:rFonts w:hint="eastAsia" w:ascii="宋体" w:hAnsi="宋体"/>
          <w:b/>
          <w:sz w:val="36"/>
          <w:szCs w:val="36"/>
        </w:rPr>
      </w:pPr>
      <w:r>
        <w:rPr>
          <w:rFonts w:hint="eastAsia" w:ascii="宋体" w:hAnsi="宋体"/>
          <w:b/>
          <w:sz w:val="36"/>
          <w:szCs w:val="36"/>
        </w:rPr>
        <w:t>投标人资格证明文件</w:t>
      </w:r>
    </w:p>
    <w:p>
      <w:pPr>
        <w:ind w:firstLine="480"/>
        <w:rPr>
          <w:rFonts w:hint="eastAsia" w:ascii="宋体" w:hAnsi="宋体"/>
        </w:rPr>
      </w:pPr>
    </w:p>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hint="eastAsia" w:ascii="宋体" w:hAnsi="宋体"/>
        </w:rPr>
      </w:pPr>
      <w:r>
        <w:rPr>
          <w:rFonts w:hint="eastAsia" w:ascii="宋体" w:hAnsi="宋体"/>
        </w:rPr>
        <w:t>2、根据采购项目内容，提供投标人的相关资质证书、许可证书、认证等。</w:t>
      </w:r>
    </w:p>
    <w:p>
      <w:pPr>
        <w:widowControl/>
        <w:snapToGrid w:val="0"/>
        <w:spacing w:line="360" w:lineRule="auto"/>
        <w:ind w:firstLine="0" w:firstLineChars="0"/>
        <w:outlineLvl w:val="1"/>
        <w:rPr>
          <w:rFonts w:hint="eastAsia" w:ascii="宋体"/>
          <w:b/>
          <w:sz w:val="28"/>
          <w:szCs w:val="28"/>
        </w:rPr>
      </w:pPr>
      <w:r>
        <w:rPr>
          <w:rFonts w:ascii="宋体" w:hAnsi="宋体"/>
        </w:rPr>
        <w:br w:type="page"/>
      </w:r>
      <w:bookmarkStart w:id="137" w:name="_Toc67558608"/>
      <w:r>
        <w:rPr>
          <w:rFonts w:hint="eastAsia" w:ascii="宋体"/>
          <w:b/>
          <w:sz w:val="28"/>
          <w:szCs w:val="28"/>
        </w:rPr>
        <w:t>附件7：财务状况、缴纳税收和社会保障资金证明</w:t>
      </w:r>
      <w:bookmarkEnd w:id="137"/>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hint="eastAsia" w:ascii="宋体" w:hAnsi="宋体"/>
          <w:b/>
          <w:sz w:val="36"/>
          <w:szCs w:val="36"/>
        </w:rPr>
      </w:pPr>
    </w:p>
    <w:p>
      <w:pPr>
        <w:autoSpaceDE w:val="0"/>
        <w:autoSpaceDN w:val="0"/>
        <w:adjustRightInd w:val="0"/>
        <w:ind w:firstLine="525" w:firstLineChars="250"/>
        <w:jc w:val="left"/>
        <w:rPr>
          <w:rFonts w:hint="eastAsia" w:ascii="宋体" w:hAnsi="宋体"/>
        </w:rPr>
      </w:pPr>
      <w:r>
        <w:rPr>
          <w:rFonts w:hint="eastAsia" w:ascii="宋体" w:hAnsi="宋体"/>
        </w:rPr>
        <w:t>按照《政府采购法》第22条规定提供以下相关材料：</w:t>
      </w:r>
    </w:p>
    <w:p>
      <w:pPr>
        <w:autoSpaceDE w:val="0"/>
        <w:autoSpaceDN w:val="0"/>
        <w:adjustRightInd w:val="0"/>
        <w:ind w:firstLine="525" w:firstLineChars="250"/>
        <w:jc w:val="left"/>
        <w:rPr>
          <w:rFonts w:hint="eastAsia" w:ascii="宋体" w:hAnsi="宋体"/>
        </w:rPr>
      </w:pPr>
      <w:r>
        <w:rPr>
          <w:rFonts w:hint="eastAsia" w:ascii="宋体" w:hAnsi="宋体"/>
        </w:rPr>
        <w:t>1、投标人是法人的，提供</w:t>
      </w:r>
      <w:r>
        <w:rPr>
          <w:rFonts w:hint="eastAsia" w:ascii="宋体" w:hAnsi="宋体"/>
          <w:lang w:eastAsia="zh-CN"/>
        </w:rPr>
        <w:t>上一</w:t>
      </w:r>
      <w:r>
        <w:rPr>
          <w:rFonts w:hint="eastAsia" w:ascii="宋体" w:hAnsi="宋体"/>
        </w:rPr>
        <w:t>年度经审计的财务状况报告，包括资产负债表、利润表、现金流量表及其附注</w:t>
      </w:r>
      <w:r>
        <w:rPr>
          <w:rFonts w:hint="eastAsia" w:ascii="宋体" w:hAnsi="宋体"/>
          <w:lang w:eastAsia="zh-CN"/>
        </w:rPr>
        <w:t>，</w:t>
      </w:r>
      <w:r>
        <w:rPr>
          <w:rFonts w:hint="eastAsia" w:ascii="宋体" w:hAnsi="宋体"/>
        </w:rPr>
        <w:t>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pPr>
        <w:tabs>
          <w:tab w:val="left" w:pos="168"/>
        </w:tabs>
        <w:adjustRightInd w:val="0"/>
        <w:ind w:firstLine="480"/>
        <w:textAlignment w:val="baseline"/>
        <w:rPr>
          <w:rFonts w:hint="eastAsia" w:ascii="宋体" w:hAnsi="宋体"/>
          <w:color w:val="000000"/>
        </w:rPr>
      </w:pPr>
      <w:r>
        <w:rPr>
          <w:rFonts w:hint="eastAsia" w:ascii="宋体" w:hAnsi="宋体"/>
        </w:rPr>
        <w:t>2、近三个月</w:t>
      </w:r>
      <w:r>
        <w:rPr>
          <w:rFonts w:hint="eastAsia" w:ascii="宋体" w:hAnsi="宋体"/>
          <w:lang w:eastAsia="zh-CN"/>
        </w:rPr>
        <w:t>内</w:t>
      </w:r>
      <w:r>
        <w:rPr>
          <w:rFonts w:hint="eastAsia" w:ascii="宋体" w:hAnsi="宋体"/>
        </w:rPr>
        <w:t>依法缴纳税收和社会保障资金记录的证明材料。依法免税或不需要缴纳社会保障资金的投标人，应提供相应文件证明其依法免税或不需要缴纳社会保障资金。</w:t>
      </w:r>
    </w:p>
    <w:p>
      <w:pPr>
        <w:widowControl/>
        <w:snapToGrid w:val="0"/>
        <w:spacing w:line="360" w:lineRule="auto"/>
        <w:ind w:firstLine="0" w:firstLineChars="0"/>
        <w:outlineLvl w:val="1"/>
        <w:rPr>
          <w:rFonts w:hint="eastAsia" w:ascii="宋体"/>
          <w:b/>
          <w:sz w:val="28"/>
          <w:szCs w:val="28"/>
        </w:rPr>
      </w:pPr>
      <w:r>
        <w:rPr>
          <w:rFonts w:ascii="宋体" w:hAnsi="宋体"/>
          <w:color w:val="000000"/>
        </w:rPr>
        <w:br w:type="page"/>
      </w:r>
      <w:bookmarkStart w:id="138" w:name="_Toc67558609"/>
      <w:r>
        <w:rPr>
          <w:rFonts w:hint="eastAsia" w:ascii="宋体"/>
          <w:b/>
          <w:sz w:val="28"/>
          <w:szCs w:val="28"/>
        </w:rPr>
        <w:t>附件8：无重大违法记录声明</w:t>
      </w:r>
      <w:bookmarkEnd w:id="138"/>
    </w:p>
    <w:p>
      <w:pPr>
        <w:ind w:firstLine="2909" w:firstLineChars="805"/>
        <w:rPr>
          <w:rFonts w:hint="eastAsia" w:ascii="宋体" w:hAnsi="宋体"/>
          <w:b/>
          <w:sz w:val="36"/>
          <w:szCs w:val="36"/>
        </w:rPr>
      </w:pPr>
    </w:p>
    <w:p>
      <w:pPr>
        <w:ind w:firstLine="2909" w:firstLineChars="805"/>
        <w:rPr>
          <w:rFonts w:hint="eastAsia"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hint="eastAsia" w:ascii="宋体"/>
          <w:b/>
          <w:sz w:val="36"/>
          <w:szCs w:val="36"/>
        </w:rPr>
      </w:pPr>
    </w:p>
    <w:p>
      <w:pPr>
        <w:widowControl/>
        <w:snapToGrid w:val="0"/>
        <w:spacing w:line="360" w:lineRule="auto"/>
        <w:ind w:firstLine="0" w:firstLineChars="0"/>
        <w:outlineLvl w:val="1"/>
        <w:rPr>
          <w:rFonts w:hint="eastAsia" w:ascii="宋体"/>
          <w:b/>
          <w:sz w:val="28"/>
          <w:szCs w:val="28"/>
        </w:rPr>
      </w:pPr>
      <w:bookmarkStart w:id="139" w:name="_Toc36569325"/>
      <w:bookmarkStart w:id="140" w:name="_Toc36567478"/>
      <w:bookmarkStart w:id="141" w:name="_Toc37147848"/>
      <w:bookmarkStart w:id="142" w:name="_Toc67558610"/>
      <w:r>
        <w:rPr>
          <w:rFonts w:hint="eastAsia" w:ascii="宋体" w:hAnsi="宋体"/>
        </w:rPr>
        <w:t>提供参加政府采购活动前3年内在经营活动中没有重大违法记录的书面声明（格式可自定）。</w:t>
      </w:r>
      <w:r>
        <w:rPr>
          <w:rFonts w:ascii="宋体" w:hAnsi="宋体"/>
          <w:b/>
          <w:bCs/>
        </w:rPr>
        <w:br w:type="page"/>
      </w:r>
      <w:r>
        <w:rPr>
          <w:rFonts w:hint="eastAsia" w:ascii="宋体"/>
          <w:b/>
          <w:sz w:val="28"/>
          <w:szCs w:val="28"/>
        </w:rPr>
        <w:t xml:space="preserve">  </w:t>
      </w:r>
      <w:bookmarkStart w:id="143" w:name="_Toc82527709"/>
      <w:bookmarkStart w:id="144" w:name="_Toc82441634"/>
      <w:bookmarkStart w:id="145" w:name="_Toc67558611"/>
      <w:r>
        <w:rPr>
          <w:rFonts w:hint="eastAsia" w:ascii="宋体"/>
          <w:b/>
          <w:sz w:val="28"/>
          <w:szCs w:val="28"/>
        </w:rPr>
        <w:t>附件9：投标保证金证明</w:t>
      </w:r>
      <w:bookmarkEnd w:id="143"/>
      <w:bookmarkEnd w:id="144"/>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jc w:val="center"/>
        <w:outlineLvl w:val="1"/>
        <w:rPr>
          <w:rFonts w:hint="eastAsia" w:ascii="宋体" w:hAnsi="宋体"/>
          <w:b/>
          <w:sz w:val="36"/>
          <w:szCs w:val="36"/>
        </w:rPr>
      </w:pPr>
      <w:bookmarkStart w:id="146" w:name="_Toc82527237"/>
      <w:bookmarkStart w:id="147" w:name="_Toc82527710"/>
      <w:bookmarkStart w:id="148" w:name="_Toc82441635"/>
      <w:bookmarkStart w:id="149" w:name="_Toc82441345"/>
      <w:r>
        <w:rPr>
          <w:rFonts w:hint="eastAsia" w:ascii="宋体" w:hAnsi="宋体"/>
          <w:b/>
          <w:sz w:val="36"/>
          <w:szCs w:val="36"/>
        </w:rPr>
        <w:t>投标保证金证明</w:t>
      </w:r>
      <w:bookmarkEnd w:id="146"/>
      <w:bookmarkEnd w:id="147"/>
      <w:bookmarkEnd w:id="148"/>
      <w:bookmarkEnd w:id="149"/>
    </w:p>
    <w:p>
      <w:pPr>
        <w:spacing w:after="120" w:afterLines="50"/>
        <w:ind w:firstLine="0" w:firstLineChars="0"/>
        <w:rPr>
          <w:rFonts w:hint="eastAsia" w:ascii="宋体" w:hAnsi="宋体"/>
          <w:b/>
          <w:bCs/>
        </w:rPr>
      </w:pPr>
    </w:p>
    <w:p>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widowControl/>
        <w:snapToGrid w:val="0"/>
        <w:ind w:firstLine="465" w:firstLineChars="0"/>
        <w:jc w:val="left"/>
        <w:outlineLvl w:val="1"/>
        <w:rPr>
          <w:rFonts w:hint="eastAsia" w:ascii="宋体" w:hAnsi="宋体"/>
        </w:rPr>
      </w:pPr>
      <w:bookmarkStart w:id="150" w:name="_Toc82527711"/>
      <w:bookmarkStart w:id="151" w:name="_Toc82527238"/>
      <w:bookmarkStart w:id="152" w:name="_Toc82441636"/>
      <w:bookmarkStart w:id="153" w:name="_Toc82441346"/>
      <w:r>
        <w:rPr>
          <w:rFonts w:hint="eastAsia" w:ascii="宋体" w:hAnsi="宋体"/>
        </w:rPr>
        <w:t>我方为项目名称</w:t>
      </w:r>
      <w:r>
        <w:rPr>
          <w:rFonts w:hint="eastAsia" w:ascii="宋体" w:hAnsi="宋体"/>
          <w:u w:val="single"/>
        </w:rPr>
        <w:t xml:space="preserve">                             </w:t>
      </w:r>
      <w:r>
        <w:rPr>
          <w:rFonts w:hint="eastAsia" w:ascii="宋体" w:hAnsi="宋体"/>
        </w:rPr>
        <w:t>（招标文件编号：</w:t>
      </w:r>
      <w:r>
        <w:rPr>
          <w:rFonts w:hint="eastAsia" w:ascii="宋体" w:hAnsi="宋体"/>
          <w:u w:val="single"/>
          <w:lang w:eastAsia="zh-CN"/>
        </w:rPr>
        <w:t>南</w:t>
      </w:r>
      <w:r>
        <w:rPr>
          <w:rFonts w:hint="eastAsia" w:ascii="宋体" w:hAnsi="宋体"/>
          <w:u w:val="single"/>
        </w:rPr>
        <w:t>政采公招（</w:t>
      </w:r>
      <w:r>
        <w:rPr>
          <w:rFonts w:hint="eastAsia" w:ascii="宋体" w:hAnsi="宋体"/>
          <w:u w:val="single"/>
          <w:lang w:eastAsia="zh-CN"/>
        </w:rPr>
        <w:t>货物</w:t>
      </w:r>
      <w:r>
        <w:rPr>
          <w:rFonts w:hint="eastAsia" w:ascii="宋体" w:hAnsi="宋体"/>
          <w:u w:val="single"/>
        </w:rPr>
        <w:t>）2022-</w:t>
      </w:r>
      <w:r>
        <w:rPr>
          <w:rFonts w:hint="eastAsia" w:ascii="宋体" w:hAnsi="宋体"/>
          <w:u w:val="single"/>
          <w:lang w:val="en-US" w:eastAsia="zh-CN"/>
        </w:rPr>
        <w:t>13</w:t>
      </w:r>
      <w:r>
        <w:rPr>
          <w:rFonts w:hint="eastAsia" w:ascii="宋体" w:hAnsi="宋体"/>
          <w:u w:val="single"/>
        </w:rPr>
        <w:t>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，已按招标文件要求于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w:t>
      </w:r>
      <w:bookmarkEnd w:id="150"/>
      <w:bookmarkEnd w:id="151"/>
      <w:bookmarkEnd w:id="152"/>
      <w:bookmarkEnd w:id="153"/>
    </w:p>
    <w:p>
      <w:pPr>
        <w:widowControl/>
        <w:snapToGrid w:val="0"/>
        <w:ind w:firstLine="465" w:firstLineChars="0"/>
        <w:jc w:val="left"/>
        <w:outlineLvl w:val="1"/>
        <w:rPr>
          <w:rFonts w:hint="eastAsia" w:ascii="宋体" w:hAnsi="宋体"/>
          <w:b/>
          <w:bCs/>
        </w:rPr>
      </w:pPr>
    </w:p>
    <w:tbl>
      <w:tblPr>
        <w:tblStyle w:val="16"/>
        <w:tblpPr w:leftFromText="180" w:rightFromText="180" w:vertAnchor="text" w:horzAnchor="margin" w:tblpY="1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4" w:hRule="atLeast"/>
        </w:trPr>
        <w:tc>
          <w:tcPr>
            <w:tcW w:w="8868" w:type="dxa"/>
            <w:noWrap w:val="0"/>
            <w:vAlign w:val="top"/>
          </w:tcPr>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0" w:firstLineChars="0"/>
              <w:jc w:val="left"/>
              <w:outlineLvl w:val="1"/>
              <w:rPr>
                <w:rFonts w:hint="eastAsia" w:ascii="宋体" w:hAnsi="宋体"/>
                <w:bCs/>
              </w:rPr>
            </w:pPr>
          </w:p>
          <w:p>
            <w:pPr>
              <w:widowControl/>
              <w:snapToGrid w:val="0"/>
              <w:spacing w:line="360" w:lineRule="auto"/>
              <w:ind w:firstLine="2205" w:firstLineChars="1050"/>
              <w:jc w:val="left"/>
              <w:outlineLvl w:val="1"/>
              <w:rPr>
                <w:rFonts w:ascii="宋体" w:hAnsi="宋体"/>
                <w:b/>
                <w:bCs/>
              </w:rPr>
            </w:pPr>
            <w:bookmarkStart w:id="154" w:name="_Toc82615512"/>
            <w:bookmarkStart w:id="155" w:name="_Toc82615811"/>
            <w:r>
              <w:rPr>
                <w:rFonts w:hint="eastAsia" w:ascii="宋体" w:hAnsi="宋体"/>
                <w:bCs/>
              </w:rPr>
              <w:t>投标保证金缴款证明（</w:t>
            </w:r>
            <w:r>
              <w:rPr>
                <w:rFonts w:hint="eastAsia" w:ascii="新宋体" w:hAnsi="新宋体" w:eastAsia="新宋体" w:cs="新宋体"/>
                <w:color w:val="000000"/>
                <w:kern w:val="0"/>
                <w:lang w:val="zh-CN"/>
              </w:rPr>
              <w:t>加盖公章）</w:t>
            </w:r>
            <w:bookmarkEnd w:id="154"/>
            <w:bookmarkEnd w:id="155"/>
          </w:p>
          <w:p>
            <w:pPr>
              <w:widowControl/>
              <w:snapToGrid w:val="0"/>
              <w:spacing w:line="360" w:lineRule="auto"/>
              <w:ind w:firstLine="0" w:firstLineChars="0"/>
              <w:jc w:val="left"/>
              <w:outlineLvl w:val="1"/>
              <w:rPr>
                <w:rFonts w:hint="eastAsia" w:ascii="宋体" w:hAnsi="宋体"/>
                <w:b/>
                <w:bCs/>
              </w:rPr>
            </w:pPr>
          </w:p>
        </w:tc>
      </w:tr>
    </w:tbl>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ind w:firstLine="465" w:firstLineChars="0"/>
        <w:jc w:val="left"/>
        <w:outlineLvl w:val="1"/>
        <w:rPr>
          <w:rFonts w:hint="eastAsia" w:ascii="宋体" w:hAnsi="宋体"/>
          <w:b/>
          <w:bCs/>
        </w:rPr>
      </w:pPr>
    </w:p>
    <w:p>
      <w:pPr>
        <w:widowControl/>
        <w:snapToGrid w:val="0"/>
        <w:spacing w:line="360" w:lineRule="auto"/>
        <w:ind w:firstLine="0" w:firstLineChars="0"/>
        <w:jc w:val="left"/>
        <w:outlineLvl w:val="1"/>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p>
    <w:p>
      <w:pPr>
        <w:widowControl/>
        <w:snapToGrid w:val="0"/>
        <w:spacing w:line="360" w:lineRule="auto"/>
        <w:outlineLvl w:val="1"/>
        <w:rPr>
          <w:rFonts w:hint="eastAsia" w:ascii="宋体"/>
          <w:b/>
          <w:sz w:val="28"/>
          <w:szCs w:val="28"/>
        </w:rPr>
      </w:pPr>
    </w:p>
    <w:p>
      <w:pPr>
        <w:widowControl/>
        <w:snapToGrid w:val="0"/>
        <w:spacing w:line="360" w:lineRule="auto"/>
        <w:ind w:firstLine="480"/>
        <w:outlineLvl w:val="1"/>
        <w:rPr>
          <w:rFonts w:hint="eastAsia" w:ascii="宋体"/>
          <w:b/>
          <w:sz w:val="28"/>
          <w:szCs w:val="28"/>
        </w:rPr>
      </w:pPr>
      <w:r>
        <w:rPr>
          <w:rFonts w:hint="eastAsia" w:ascii="宋体"/>
          <w:b/>
          <w:sz w:val="28"/>
          <w:szCs w:val="28"/>
        </w:rPr>
        <w:t>（投标文件封面）</w:t>
      </w:r>
      <w:bookmarkEnd w:id="139"/>
      <w:bookmarkEnd w:id="140"/>
      <w:bookmarkEnd w:id="141"/>
      <w:bookmarkEnd w:id="142"/>
      <w:bookmarkEnd w:id="145"/>
    </w:p>
    <w:p>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pPr>
        <w:spacing w:line="360" w:lineRule="auto"/>
        <w:ind w:firstLine="2833" w:firstLineChars="392"/>
        <w:rPr>
          <w:rFonts w:hint="eastAsia" w:ascii="宋体" w:hAnsi="宋体"/>
          <w:b/>
          <w:sz w:val="72"/>
          <w:szCs w:val="72"/>
        </w:rPr>
      </w:pPr>
    </w:p>
    <w:p>
      <w:pPr>
        <w:spacing w:line="360" w:lineRule="auto"/>
        <w:ind w:firstLine="2364" w:firstLineChars="327"/>
        <w:rPr>
          <w:rFonts w:hint="eastAsia" w:ascii="宋体" w:hAnsi="宋体"/>
          <w:sz w:val="72"/>
          <w:szCs w:val="72"/>
        </w:rPr>
      </w:pPr>
      <w:r>
        <w:rPr>
          <w:rFonts w:hint="eastAsia" w:ascii="宋体" w:hAnsi="宋体"/>
          <w:b/>
          <w:sz w:val="72"/>
          <w:szCs w:val="72"/>
        </w:rPr>
        <w:t>投 标 文 件</w:t>
      </w:r>
    </w:p>
    <w:p>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（符合性审查部分）</w:t>
      </w: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b/>
          <w:bCs/>
          <w:sz w:val="32"/>
        </w:rPr>
      </w:pPr>
    </w:p>
    <w:p>
      <w:pPr>
        <w:adjustRightInd w:val="0"/>
        <w:spacing w:line="360" w:lineRule="auto"/>
        <w:ind w:firstLine="0" w:firstLineChars="0"/>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南</w:t>
      </w:r>
      <w:r>
        <w:rPr>
          <w:rFonts w:hint="eastAsia" w:ascii="宋体" w:hAnsi="宋体"/>
          <w:b/>
          <w:sz w:val="36"/>
          <w:szCs w:val="36"/>
        </w:rPr>
        <w:t>政采公招（</w:t>
      </w:r>
      <w:r>
        <w:rPr>
          <w:rFonts w:hint="eastAsia" w:ascii="宋体" w:hAnsi="宋体"/>
          <w:b/>
          <w:sz w:val="36"/>
          <w:szCs w:val="36"/>
          <w:lang w:eastAsia="zh-CN"/>
        </w:rPr>
        <w:t>货物</w:t>
      </w:r>
      <w:r>
        <w:rPr>
          <w:rFonts w:hint="eastAsia" w:ascii="宋体" w:hAnsi="宋体"/>
          <w:b/>
          <w:sz w:val="36"/>
          <w:szCs w:val="36"/>
        </w:rPr>
        <w:t>）</w:t>
      </w:r>
      <w:r>
        <w:rPr>
          <w:rFonts w:hint="eastAsia" w:ascii="宋体" w:hAnsi="宋体"/>
          <w:b/>
          <w:sz w:val="36"/>
          <w:szCs w:val="36"/>
          <w:lang w:val="en-US" w:eastAsia="zh-CN"/>
        </w:rPr>
        <w:t>2022-13</w:t>
      </w:r>
      <w:r>
        <w:rPr>
          <w:rFonts w:hint="eastAsia" w:ascii="宋体" w:hAnsi="宋体"/>
          <w:b/>
          <w:sz w:val="36"/>
          <w:szCs w:val="36"/>
        </w:rPr>
        <w:t>号</w:t>
      </w:r>
    </w:p>
    <w:p>
      <w:pPr>
        <w:autoSpaceDE w:val="0"/>
        <w:autoSpaceDN w:val="0"/>
        <w:adjustRightInd w:val="0"/>
        <w:spacing w:line="360" w:lineRule="auto"/>
        <w:ind w:left="2512" w:hanging="2512" w:hangingChars="695"/>
        <w:jc w:val="center"/>
        <w:rPr>
          <w:rFonts w:hint="eastAsia" w:ascii="宋体" w:hAnsi="宋体"/>
          <w:b/>
          <w:sz w:val="36"/>
          <w:szCs w:val="36"/>
        </w:rPr>
      </w:pPr>
      <w:r>
        <w:rPr>
          <w:rFonts w:hint="eastAsia" w:ascii="宋体" w:hAnsi="宋体"/>
          <w:b/>
          <w:sz w:val="36"/>
          <w:szCs w:val="36"/>
        </w:rPr>
        <w:t>采购项目名称：</w:t>
      </w:r>
      <w:r>
        <w:rPr>
          <w:rFonts w:hint="eastAsia" w:ascii="宋体" w:hAnsi="宋体" w:eastAsia="宋体" w:cs="Times New Roman"/>
          <w:b/>
          <w:sz w:val="36"/>
          <w:szCs w:val="36"/>
          <w:lang w:eastAsia="zh-CN"/>
        </w:rPr>
        <w:t>海南州职业技术学校大数据技术专业建设项目（包二：大数据智慧教室建设）</w:t>
      </w:r>
    </w:p>
    <w:p>
      <w:pPr>
        <w:autoSpaceDE w:val="0"/>
        <w:autoSpaceDN w:val="0"/>
        <w:adjustRightInd w:val="0"/>
        <w:spacing w:line="360" w:lineRule="auto"/>
        <w:ind w:left="2512" w:hanging="2512" w:hangingChars="695"/>
        <w:jc w:val="center"/>
        <w:rPr>
          <w:rFonts w:hint="eastAsia" w:ascii="宋体" w:hAnsi="宋体"/>
          <w:b/>
          <w:sz w:val="36"/>
          <w:szCs w:val="36"/>
        </w:rPr>
      </w:pPr>
    </w:p>
    <w:p>
      <w:pPr>
        <w:pStyle w:val="5"/>
        <w:rPr>
          <w:rFonts w:hint="eastAsia" w:eastAsia="宋体"/>
          <w:lang w:eastAsia="zh-CN"/>
        </w:rPr>
      </w:pPr>
      <w:r>
        <w:rPr>
          <w:rFonts w:hint="eastAsia" w:ascii="宋体" w:hAnsi="宋体" w:eastAsia="宋体" w:cs="Times New Roman"/>
          <w:b/>
          <w:sz w:val="36"/>
          <w:szCs w:val="36"/>
          <w:lang w:eastAsia="zh-CN"/>
        </w:rPr>
        <w:t>包号：</w:t>
      </w:r>
    </w:p>
    <w:p>
      <w:pPr>
        <w:adjustRightInd w:val="0"/>
        <w:spacing w:line="360" w:lineRule="auto"/>
        <w:ind w:left="2183" w:leftChars="-68" w:hanging="2326" w:hangingChars="724"/>
        <w:textAlignment w:val="baseline"/>
        <w:rPr>
          <w:rFonts w:hint="eastAsia" w:ascii="宋体" w:hAnsi="宋体"/>
          <w:b/>
          <w:sz w:val="32"/>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firstLine="0" w:firstLineChars="0"/>
        <w:textAlignment w:val="baseline"/>
        <w:rPr>
          <w:rFonts w:hint="eastAsia" w:ascii="宋体" w:hAnsi="宋体"/>
          <w:b/>
          <w:bCs/>
          <w:sz w:val="36"/>
          <w:szCs w:val="36"/>
        </w:rPr>
      </w:pPr>
    </w:p>
    <w:p>
      <w:pPr>
        <w:adjustRightInd w:val="0"/>
        <w:spacing w:line="360" w:lineRule="auto"/>
        <w:ind w:left="-248" w:leftChars="-118" w:firstLine="1"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052" w:firstLineChars="950"/>
        <w:rPr>
          <w:rFonts w:hint="eastAsia" w:ascii="宋体" w:hAnsi="宋体"/>
          <w:b/>
          <w:sz w:val="32"/>
        </w:rPr>
      </w:pPr>
      <w:r>
        <w:rPr>
          <w:rFonts w:hint="eastAsia" w:ascii="宋体" w:hAnsi="宋体"/>
          <w:b/>
          <w:sz w:val="32"/>
        </w:rPr>
        <w:t>年  月  日</w:t>
      </w: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6" w:name="_Toc82527713"/>
      <w:bookmarkStart w:id="157" w:name="_Toc67558614"/>
      <w:r>
        <w:rPr>
          <w:rFonts w:hint="eastAsia" w:ascii="宋体"/>
          <w:b/>
          <w:sz w:val="28"/>
          <w:szCs w:val="28"/>
        </w:rPr>
        <w:t>附件</w:t>
      </w:r>
      <w:bookmarkStart w:id="158" w:name="_Toc325726038"/>
      <w:bookmarkStart w:id="159" w:name="_Toc376936769"/>
      <w:r>
        <w:rPr>
          <w:rFonts w:hint="eastAsia" w:ascii="宋体"/>
          <w:b/>
          <w:sz w:val="28"/>
          <w:szCs w:val="28"/>
        </w:rPr>
        <w:t>10：报价一览表</w:t>
      </w:r>
      <w:bookmarkEnd w:id="156"/>
      <w:bookmarkEnd w:id="158"/>
      <w:bookmarkEnd w:id="159"/>
    </w:p>
    <w:p>
      <w:pPr>
        <w:widowControl/>
        <w:snapToGrid w:val="0"/>
        <w:spacing w:line="360" w:lineRule="auto"/>
        <w:ind w:firstLine="0" w:firstLineChars="0"/>
        <w:jc w:val="center"/>
        <w:outlineLvl w:val="1"/>
        <w:rPr>
          <w:rFonts w:hint="eastAsia" w:ascii="宋体"/>
          <w:b/>
          <w:sz w:val="36"/>
          <w:szCs w:val="36"/>
        </w:rPr>
      </w:pPr>
    </w:p>
    <w:p>
      <w:pPr>
        <w:ind w:firstLine="199" w:firstLineChars="55"/>
        <w:jc w:val="center"/>
        <w:rPr>
          <w:rFonts w:hint="eastAsia" w:ascii="宋体" w:hAnsi="宋体"/>
          <w:b/>
          <w:sz w:val="36"/>
          <w:szCs w:val="36"/>
        </w:rPr>
      </w:pPr>
      <w:r>
        <w:rPr>
          <w:rFonts w:hint="eastAsia" w:ascii="宋体" w:hAnsi="宋体"/>
          <w:b/>
          <w:sz w:val="36"/>
          <w:szCs w:val="36"/>
        </w:rPr>
        <w:t>投投标报价一览表</w:t>
      </w:r>
    </w:p>
    <w:p>
      <w:pPr>
        <w:ind w:firstLine="0" w:firstLineChars="0"/>
        <w:rPr>
          <w:rFonts w:hint="eastAsia" w:ascii="宋体" w:hAnsi="宋体"/>
          <w:b/>
          <w:bCs/>
        </w:rPr>
      </w:pPr>
      <w:r>
        <w:rPr>
          <w:rFonts w:hint="eastAsia" w:ascii="宋体" w:hAnsi="宋体"/>
          <w:b/>
        </w:rPr>
        <w:t>投标单位名称：</w:t>
      </w:r>
    </w:p>
    <w:p>
      <w:pPr>
        <w:ind w:firstLine="0" w:firstLineChars="0"/>
        <w:jc w:val="right"/>
        <w:rPr>
          <w:rFonts w:hint="eastAsia" w:ascii="宋体" w:hAnsi="宋体"/>
          <w:b/>
        </w:rPr>
      </w:pPr>
      <w:r>
        <w:rPr>
          <w:rFonts w:hint="eastAsia" w:ascii="宋体" w:hAnsi="宋体"/>
        </w:rPr>
        <w:t>单位：</w:t>
      </w:r>
      <w:r>
        <w:rPr>
          <w:rFonts w:hint="eastAsia" w:ascii="宋体" w:hAnsi="宋体"/>
          <w:bCs/>
        </w:rPr>
        <w:t>人民币(元)</w:t>
      </w:r>
    </w:p>
    <w:tbl>
      <w:tblPr>
        <w:tblStyle w:val="16"/>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0" w:firstLineChars="0"/>
              <w:jc w:val="center"/>
              <w:textAlignment w:val="baseline"/>
              <w:rPr>
                <w:rFonts w:hint="eastAsia" w:ascii="宋体" w:hAnsi="宋体"/>
                <w:b/>
              </w:rPr>
            </w:pPr>
            <w:r>
              <w:rPr>
                <w:rFonts w:hint="eastAsia" w:ascii="宋体" w:hAnsi="宋体"/>
                <w:b/>
              </w:rPr>
              <w:t>项目名称</w:t>
            </w:r>
          </w:p>
        </w:tc>
        <w:tc>
          <w:tcPr>
            <w:tcW w:w="3827" w:type="dxa"/>
            <w:vAlign w:val="center"/>
          </w:tcPr>
          <w:p>
            <w:pPr>
              <w:adjustRightInd w:val="0"/>
              <w:ind w:firstLine="482"/>
              <w:jc w:val="center"/>
              <w:textAlignment w:val="baseline"/>
              <w:rPr>
                <w:rFonts w:hint="eastAsia" w:ascii="宋体" w:hAnsi="宋体"/>
                <w:b/>
              </w:rPr>
            </w:pPr>
            <w:r>
              <w:rPr>
                <w:rFonts w:hint="eastAsia" w:ascii="宋体" w:hAnsi="宋体"/>
                <w:b/>
              </w:rPr>
              <w:t>投标总报价</w:t>
            </w:r>
          </w:p>
        </w:tc>
        <w:tc>
          <w:tcPr>
            <w:tcW w:w="1560" w:type="dxa"/>
            <w:vAlign w:val="center"/>
          </w:tcPr>
          <w:p>
            <w:pPr>
              <w:adjustRightInd w:val="0"/>
              <w:ind w:firstLine="105" w:firstLineChars="50"/>
              <w:textAlignment w:val="baseline"/>
              <w:rPr>
                <w:rFonts w:hint="eastAsia" w:ascii="宋体" w:hAnsi="宋体"/>
                <w:b/>
              </w:rPr>
            </w:pPr>
            <w:r>
              <w:rPr>
                <w:rFonts w:hint="eastAsia" w:ascii="宋体" w:hAnsi="宋体"/>
                <w:b/>
              </w:rPr>
              <w:t>交 货 期</w:t>
            </w:r>
          </w:p>
        </w:tc>
        <w:tc>
          <w:tcPr>
            <w:tcW w:w="1560" w:type="dxa"/>
            <w:vAlign w:val="center"/>
          </w:tcPr>
          <w:p>
            <w:pPr>
              <w:adjustRightInd w:val="0"/>
              <w:ind w:left="245" w:leftChars="16" w:hanging="211" w:hangingChars="100"/>
              <w:jc w:val="center"/>
              <w:textAlignment w:val="baseline"/>
              <w:rPr>
                <w:rFonts w:hint="eastAsia"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大写：</w:t>
            </w:r>
          </w:p>
        </w:tc>
        <w:tc>
          <w:tcPr>
            <w:tcW w:w="1560" w:type="dxa"/>
            <w:vMerge w:val="restart"/>
          </w:tcPr>
          <w:p>
            <w:pPr>
              <w:adjustRightInd w:val="0"/>
              <w:ind w:firstLine="173" w:firstLineChars="82"/>
              <w:textAlignment w:val="baseline"/>
              <w:rPr>
                <w:rFonts w:hint="eastAsia" w:ascii="宋体" w:hAnsi="宋体"/>
                <w:b/>
              </w:rPr>
            </w:pPr>
          </w:p>
        </w:tc>
        <w:tc>
          <w:tcPr>
            <w:tcW w:w="1560" w:type="dxa"/>
            <w:vMerge w:val="restart"/>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adjustRightInd w:val="0"/>
              <w:ind w:firstLine="482"/>
              <w:textAlignment w:val="baseline"/>
              <w:rPr>
                <w:rFonts w:hint="eastAsia" w:ascii="宋体" w:hAnsi="宋体"/>
                <w:b/>
                <w:bCs/>
              </w:rPr>
            </w:pPr>
          </w:p>
        </w:tc>
        <w:tc>
          <w:tcPr>
            <w:tcW w:w="3827" w:type="dxa"/>
          </w:tcPr>
          <w:p>
            <w:pPr>
              <w:adjustRightInd w:val="0"/>
              <w:ind w:firstLine="0" w:firstLineChars="0"/>
              <w:textAlignment w:val="baseline"/>
              <w:rPr>
                <w:rFonts w:hint="eastAsia" w:ascii="宋体" w:hAnsi="宋体"/>
                <w:b/>
              </w:rPr>
            </w:pPr>
            <w:r>
              <w:rPr>
                <w:rFonts w:hint="eastAsia" w:ascii="宋体" w:hAnsi="宋体"/>
                <w:b/>
              </w:rPr>
              <w:t>小写：</w:t>
            </w:r>
          </w:p>
        </w:tc>
        <w:tc>
          <w:tcPr>
            <w:tcW w:w="1560" w:type="dxa"/>
            <w:vMerge w:val="continue"/>
          </w:tcPr>
          <w:p>
            <w:pPr>
              <w:adjustRightInd w:val="0"/>
              <w:ind w:firstLine="482"/>
              <w:textAlignment w:val="baseline"/>
              <w:rPr>
                <w:rFonts w:hint="eastAsia" w:ascii="宋体" w:hAnsi="宋体"/>
                <w:b/>
              </w:rPr>
            </w:pPr>
          </w:p>
        </w:tc>
        <w:tc>
          <w:tcPr>
            <w:tcW w:w="1560" w:type="dxa"/>
            <w:vMerge w:val="continue"/>
          </w:tcPr>
          <w:p>
            <w:pPr>
              <w:adjustRightInd w:val="0"/>
              <w:ind w:firstLine="0" w:firstLineChars="0"/>
              <w:textAlignment w:val="baseline"/>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pPr>
        <w:adjustRightInd w:val="0"/>
        <w:spacing w:line="276" w:lineRule="auto"/>
        <w:ind w:firstLine="0" w:firstLineChars="0"/>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pPr>
        <w:adjustRightInd w:val="0"/>
        <w:spacing w:line="276" w:lineRule="auto"/>
        <w:ind w:firstLine="480"/>
        <w:textAlignment w:val="baseline"/>
        <w:rPr>
          <w:rFonts w:hint="eastAsia" w:ascii="宋体" w:hAnsi="宋体"/>
        </w:rPr>
      </w:pPr>
      <w:r>
        <w:rPr>
          <w:rFonts w:hint="eastAsia" w:ascii="宋体" w:hAnsi="宋体"/>
        </w:rPr>
        <w:t>2、投标总报价包括产品费、检验费、手续费、包装费、运输费、保险费、安装调试费、税金及不可预见费等全部费用。</w:t>
      </w:r>
    </w:p>
    <w:p>
      <w:pPr>
        <w:adjustRightInd w:val="0"/>
        <w:spacing w:line="276" w:lineRule="auto"/>
        <w:ind w:firstLine="480"/>
        <w:textAlignment w:val="baseline"/>
        <w:rPr>
          <w:rFonts w:hint="eastAsia" w:ascii="宋体" w:hAnsi="宋体"/>
        </w:rPr>
      </w:pPr>
      <w:r>
        <w:rPr>
          <w:rFonts w:hint="eastAsia" w:ascii="宋体" w:hAnsi="宋体"/>
        </w:rPr>
        <w:t>3、“交货期”是指产品能够交付使用的具体时间。</w:t>
      </w:r>
    </w:p>
    <w:p>
      <w:pPr>
        <w:adjustRightInd w:val="0"/>
        <w:spacing w:line="276" w:lineRule="auto"/>
        <w:ind w:firstLine="480"/>
        <w:textAlignment w:val="baseline"/>
        <w:rPr>
          <w:rFonts w:hint="eastAsia" w:ascii="宋体" w:hAnsi="宋体"/>
        </w:rPr>
      </w:pPr>
      <w:r>
        <w:rPr>
          <w:rFonts w:hint="eastAsia" w:ascii="宋体" w:hAnsi="宋体"/>
        </w:rPr>
        <w:t>4、除在投标文件中编制此表以外，投标人应在青海省政府采购电子化平台中进行网上报价，网上报价应和此表报价一致，否则以网上报价为准，不接受者投标无效。</w:t>
      </w:r>
    </w:p>
    <w:p>
      <w:pPr>
        <w:adjustRightInd w:val="0"/>
        <w:spacing w:line="276" w:lineRule="auto"/>
        <w:ind w:firstLine="480"/>
        <w:textAlignment w:val="baseline"/>
        <w:rPr>
          <w:rFonts w:hint="eastAsia" w:ascii="宋体" w:hAnsi="宋体"/>
        </w:rPr>
      </w:pPr>
      <w:r>
        <w:rPr>
          <w:rFonts w:hint="eastAsia" w:ascii="宋体" w:hAnsi="宋体"/>
        </w:rPr>
        <w:t>5、投标总报价不能有两个或两个以上的报价方案，否则，投标无效。</w:t>
      </w:r>
    </w:p>
    <w:p>
      <w:pPr>
        <w:adjustRightInd w:val="0"/>
        <w:spacing w:line="276" w:lineRule="auto"/>
        <w:ind w:firstLine="480"/>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pPr>
        <w:adjustRightInd w:val="0"/>
        <w:ind w:firstLine="0" w:firstLineChars="0"/>
        <w:textAlignment w:val="baseline"/>
        <w:rPr>
          <w:rFonts w:hint="eastAsia" w:ascii="宋体" w:hAnsi="宋体"/>
        </w:rPr>
      </w:pPr>
    </w:p>
    <w:p>
      <w:pPr>
        <w:adjustRightInd w:val="0"/>
        <w:spacing w:line="276" w:lineRule="auto"/>
        <w:ind w:firstLine="480"/>
        <w:textAlignment w:val="baseline"/>
        <w:rPr>
          <w:rFonts w:hint="eastAsia" w:ascii="宋体" w:hAnsi="宋体"/>
          <w:color w:val="000000"/>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adjustRightInd w:val="0"/>
        <w:ind w:firstLine="0" w:firstLineChars="0"/>
        <w:textAlignment w:val="baseline"/>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480"/>
        <w:jc w:val="center"/>
        <w:rPr>
          <w:rFonts w:hint="eastAsia" w:ascii="宋体" w:hAnsi="宋体"/>
        </w:rPr>
      </w:pPr>
    </w:p>
    <w:p>
      <w:pPr>
        <w:ind w:firstLine="2215" w:firstLineChars="1055"/>
        <w:rPr>
          <w:rFonts w:hint="eastAsia" w:ascii="宋体" w:hAnsi="宋体"/>
        </w:rPr>
      </w:pPr>
    </w:p>
    <w:p>
      <w:pPr>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hint="eastAsia"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bookmarkStart w:id="160" w:name="_Toc82527714"/>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61" w:name="_Toc376936770"/>
      <w:bookmarkStart w:id="162" w:name="_Toc325726039"/>
      <w:r>
        <w:rPr>
          <w:rFonts w:hint="eastAsia" w:ascii="宋体"/>
          <w:b/>
          <w:sz w:val="28"/>
          <w:szCs w:val="28"/>
        </w:rPr>
        <w:t>11：分项报价表</w:t>
      </w:r>
      <w:bookmarkEnd w:id="160"/>
      <w:bookmarkEnd w:id="161"/>
      <w:bookmarkEnd w:id="162"/>
    </w:p>
    <w:p>
      <w:pPr>
        <w:widowControl/>
        <w:snapToGrid w:val="0"/>
        <w:spacing w:line="360" w:lineRule="auto"/>
        <w:ind w:firstLine="0" w:firstLineChars="0"/>
        <w:jc w:val="center"/>
        <w:outlineLvl w:val="1"/>
        <w:rPr>
          <w:rFonts w:hint="eastAsia" w:ascii="宋体"/>
          <w:b/>
          <w:sz w:val="36"/>
          <w:szCs w:val="36"/>
        </w:rPr>
      </w:pPr>
    </w:p>
    <w:p>
      <w:pPr>
        <w:ind w:firstLine="3813" w:firstLineChars="1055"/>
        <w:rPr>
          <w:rFonts w:hint="eastAsia" w:ascii="宋体" w:hAnsi="宋体"/>
          <w:b/>
          <w:sz w:val="36"/>
          <w:szCs w:val="36"/>
        </w:rPr>
      </w:pPr>
      <w:r>
        <w:rPr>
          <w:rFonts w:hint="eastAsia" w:ascii="宋体" w:hAnsi="宋体"/>
          <w:b/>
          <w:sz w:val="36"/>
          <w:szCs w:val="36"/>
        </w:rPr>
        <w:t>分项报价表</w:t>
      </w:r>
    </w:p>
    <w:p>
      <w:pPr>
        <w:ind w:firstLine="0" w:firstLineChars="0"/>
        <w:rPr>
          <w:rFonts w:hint="eastAsia" w:ascii="宋体" w:hAnsi="宋体"/>
          <w:b/>
        </w:rPr>
      </w:pPr>
      <w:r>
        <w:rPr>
          <w:rFonts w:hint="eastAsia" w:ascii="宋体" w:hAnsi="宋体"/>
          <w:b/>
        </w:rPr>
        <w:t>投标单位名称:</w:t>
      </w:r>
    </w:p>
    <w:p>
      <w:pPr>
        <w:ind w:firstLine="0" w:firstLineChars="0"/>
        <w:jc w:val="right"/>
        <w:rPr>
          <w:rFonts w:hint="eastAsia" w:ascii="宋体" w:hAnsi="宋体"/>
        </w:rPr>
      </w:pPr>
      <w:r>
        <w:rPr>
          <w:rFonts w:hint="eastAsia" w:ascii="宋体" w:hAnsi="宋体"/>
        </w:rPr>
        <w:t>单位：人民币（元）</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1704" w:type="dxa"/>
            <w:noWrap w:val="0"/>
            <w:vAlign w:val="center"/>
          </w:tcPr>
          <w:p>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pPr>
              <w:ind w:firstLine="0" w:firstLineChars="0"/>
              <w:jc w:val="center"/>
              <w:rPr>
                <w:rFonts w:hint="eastAsia" w:ascii="宋体" w:hAnsi="宋体"/>
              </w:rPr>
            </w:pPr>
            <w:r>
              <w:rPr>
                <w:rFonts w:hint="eastAsia" w:ascii="宋体" w:hAnsi="宋体"/>
              </w:rPr>
              <w:t>品牌</w:t>
            </w:r>
          </w:p>
        </w:tc>
        <w:tc>
          <w:tcPr>
            <w:tcW w:w="756" w:type="dxa"/>
            <w:noWrap w:val="0"/>
            <w:vAlign w:val="center"/>
          </w:tcPr>
          <w:p>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pPr>
              <w:ind w:firstLine="0" w:firstLineChars="0"/>
              <w:jc w:val="center"/>
              <w:rPr>
                <w:rFonts w:hint="eastAsia" w:ascii="宋体" w:hAnsi="宋体"/>
              </w:rPr>
            </w:pPr>
            <w:r>
              <w:rPr>
                <w:rFonts w:hint="eastAsia" w:ascii="宋体" w:hAnsi="宋体"/>
              </w:rPr>
              <w:t>生产厂家</w:t>
            </w:r>
          </w:p>
        </w:tc>
        <w:tc>
          <w:tcPr>
            <w:tcW w:w="953" w:type="dxa"/>
            <w:noWrap w:val="0"/>
            <w:vAlign w:val="center"/>
          </w:tcPr>
          <w:p>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pPr>
              <w:ind w:firstLine="0" w:firstLineChars="0"/>
              <w:jc w:val="center"/>
              <w:rPr>
                <w:rFonts w:hint="eastAsia" w:ascii="宋体" w:hAnsi="宋体"/>
              </w:rPr>
            </w:pPr>
            <w:r>
              <w:rPr>
                <w:rFonts w:hint="eastAsia" w:ascii="宋体" w:hAnsi="宋体"/>
              </w:rPr>
              <w:t>单价</w:t>
            </w:r>
          </w:p>
        </w:tc>
        <w:tc>
          <w:tcPr>
            <w:tcW w:w="851" w:type="dxa"/>
            <w:noWrap w:val="0"/>
            <w:vAlign w:val="center"/>
          </w:tcPr>
          <w:p>
            <w:pPr>
              <w:ind w:firstLine="0" w:firstLineChars="0"/>
              <w:jc w:val="center"/>
              <w:rPr>
                <w:rFonts w:hint="eastAsia" w:ascii="宋体" w:hAnsi="宋体"/>
              </w:rPr>
            </w:pPr>
            <w:r>
              <w:rPr>
                <w:rFonts w:hint="eastAsia" w:ascii="宋体" w:hAnsi="宋体"/>
              </w:rPr>
              <w:t>合计</w:t>
            </w:r>
          </w:p>
        </w:tc>
        <w:tc>
          <w:tcPr>
            <w:tcW w:w="850"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1704" w:type="dxa"/>
            <w:noWrap w:val="0"/>
            <w:vAlign w:val="center"/>
          </w:tcPr>
          <w:p>
            <w:pPr>
              <w:ind w:firstLine="480"/>
              <w:jc w:val="center"/>
              <w:rPr>
                <w:rFonts w:hint="eastAsia" w:ascii="宋体" w:hAnsi="宋体"/>
              </w:rPr>
            </w:pPr>
          </w:p>
        </w:tc>
        <w:tc>
          <w:tcPr>
            <w:tcW w:w="1081" w:type="dxa"/>
            <w:noWrap w:val="0"/>
            <w:vAlign w:val="center"/>
          </w:tcPr>
          <w:p>
            <w:pPr>
              <w:ind w:firstLine="480"/>
              <w:jc w:val="center"/>
              <w:rPr>
                <w:rFonts w:hint="eastAsia" w:ascii="宋体" w:hAnsi="宋体"/>
              </w:rPr>
            </w:pPr>
          </w:p>
        </w:tc>
        <w:tc>
          <w:tcPr>
            <w:tcW w:w="756" w:type="dxa"/>
            <w:noWrap w:val="0"/>
            <w:vAlign w:val="center"/>
          </w:tcPr>
          <w:p>
            <w:pPr>
              <w:ind w:firstLine="480"/>
              <w:jc w:val="center"/>
              <w:rPr>
                <w:rFonts w:hint="eastAsia" w:ascii="宋体" w:hAnsi="宋体"/>
              </w:rPr>
            </w:pPr>
          </w:p>
        </w:tc>
        <w:tc>
          <w:tcPr>
            <w:tcW w:w="1356" w:type="dxa"/>
            <w:noWrap w:val="0"/>
            <w:vAlign w:val="center"/>
          </w:tcPr>
          <w:p>
            <w:pPr>
              <w:ind w:firstLine="480"/>
              <w:jc w:val="center"/>
              <w:rPr>
                <w:rFonts w:hint="eastAsia" w:ascii="宋体" w:hAnsi="宋体"/>
              </w:rPr>
            </w:pPr>
          </w:p>
        </w:tc>
        <w:tc>
          <w:tcPr>
            <w:tcW w:w="953" w:type="dxa"/>
            <w:noWrap w:val="0"/>
            <w:vAlign w:val="center"/>
          </w:tcPr>
          <w:p>
            <w:pPr>
              <w:ind w:firstLine="480"/>
              <w:jc w:val="center"/>
              <w:rPr>
                <w:rFonts w:hint="eastAsia" w:ascii="宋体" w:hAnsi="宋体"/>
              </w:rPr>
            </w:pPr>
          </w:p>
        </w:tc>
        <w:tc>
          <w:tcPr>
            <w:tcW w:w="710" w:type="dxa"/>
            <w:noWrap w:val="0"/>
            <w:vAlign w:val="center"/>
          </w:tcPr>
          <w:p>
            <w:pPr>
              <w:ind w:firstLine="480"/>
              <w:jc w:val="center"/>
              <w:rPr>
                <w:rFonts w:hint="eastAsia" w:ascii="宋体" w:hAnsi="宋体"/>
              </w:rPr>
            </w:pPr>
          </w:p>
        </w:tc>
        <w:tc>
          <w:tcPr>
            <w:tcW w:w="851" w:type="dxa"/>
            <w:noWrap w:val="0"/>
            <w:vAlign w:val="center"/>
          </w:tcPr>
          <w:p>
            <w:pPr>
              <w:ind w:firstLine="480"/>
              <w:jc w:val="center"/>
              <w:rPr>
                <w:rFonts w:hint="eastAsia" w:ascii="宋体" w:hAnsi="宋体"/>
              </w:rPr>
            </w:pPr>
          </w:p>
        </w:tc>
        <w:tc>
          <w:tcPr>
            <w:tcW w:w="850" w:type="dxa"/>
            <w:noWrap w:val="0"/>
            <w:vAlign w:val="center"/>
          </w:tcPr>
          <w:p>
            <w:pPr>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noWrap w:val="0"/>
            <w:vAlign w:val="center"/>
          </w:tcPr>
          <w:p>
            <w:pPr>
              <w:ind w:firstLine="0" w:firstLineChars="0"/>
              <w:rPr>
                <w:rFonts w:hint="eastAsia" w:ascii="宋体" w:hAnsi="宋体"/>
              </w:rPr>
            </w:pPr>
            <w:r>
              <w:rPr>
                <w:rFonts w:hint="eastAsia" w:ascii="宋体" w:hAnsi="宋体"/>
                <w:b/>
              </w:rPr>
              <w:t>其他承诺及需要说明的事项：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7"/>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308" w:firstLineChars="147"/>
        <w:rPr>
          <w:rFonts w:hint="eastAsia" w:ascii="宋体" w:hAnsi="宋体"/>
          <w:color w:val="000000"/>
        </w:rPr>
      </w:pPr>
      <w:r>
        <w:rPr>
          <w:rFonts w:hint="eastAsia" w:ascii="宋体" w:hAnsi="宋体"/>
        </w:rPr>
        <w:t>注：本表应依照采购一览表中的</w:t>
      </w:r>
      <w:r>
        <w:rPr>
          <w:rFonts w:hint="eastAsia" w:ascii="宋体" w:hAnsi="宋体"/>
          <w:color w:val="000000"/>
        </w:rPr>
        <w:t>产品序号按顺序逐项填写，不得遗漏，否则</w:t>
      </w:r>
      <w:r>
        <w:rPr>
          <w:rFonts w:hint="eastAsia" w:ascii="宋体" w:hAnsi="宋体"/>
          <w:color w:val="000000"/>
          <w:kern w:val="0"/>
          <w:szCs w:val="20"/>
        </w:rPr>
        <w:t>，按无效投标处理</w:t>
      </w:r>
      <w:r>
        <w:rPr>
          <w:rFonts w:hint="eastAsia" w:ascii="宋体" w:hAnsi="宋体"/>
          <w:color w:val="000000"/>
        </w:rPr>
        <w:t>。</w:t>
      </w:r>
    </w:p>
    <w:p>
      <w:pPr>
        <w:adjustRightInd w:val="0"/>
        <w:ind w:firstLine="480"/>
        <w:textAlignment w:val="baseline"/>
        <w:rPr>
          <w:rFonts w:hint="eastAsia" w:ascii="宋体" w:hAnsi="宋体"/>
          <w:color w:val="000000"/>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adjustRightInd w:val="0"/>
        <w:ind w:firstLine="480"/>
        <w:textAlignment w:val="baseline"/>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174" w:firstLineChars="83"/>
        <w:rPr>
          <w:rFonts w:hint="eastAsia" w:ascii="宋体" w:hAnsi="宋体"/>
        </w:rPr>
      </w:pPr>
    </w:p>
    <w:p>
      <w:pPr>
        <w:ind w:firstLine="3995"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pPr>
        <w:ind w:right="480" w:firstLine="4849" w:firstLineChars="2300"/>
        <w:rPr>
          <w:rFonts w:hint="eastAsia"/>
          <w:b/>
        </w:rPr>
      </w:pPr>
      <w:r>
        <w:rPr>
          <w:rFonts w:hint="eastAsia"/>
          <w:b/>
        </w:rPr>
        <w:t>年  月  日</w:t>
      </w:r>
    </w:p>
    <w:p>
      <w:pPr>
        <w:ind w:firstLine="482"/>
        <w:jc w:val="center"/>
        <w:rPr>
          <w:rFonts w:hint="eastAsia" w:ascii="宋体" w:hAnsi="宋体"/>
          <w:b/>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End w:id="157"/>
      <w:bookmarkStart w:id="163" w:name="_Toc67558615"/>
    </w:p>
    <w:p>
      <w:pPr>
        <w:widowControl/>
        <w:snapToGrid w:val="0"/>
        <w:spacing w:line="360" w:lineRule="auto"/>
        <w:ind w:firstLine="0" w:firstLineChars="0"/>
        <w:outlineLvl w:val="1"/>
        <w:rPr>
          <w:rFonts w:hint="eastAsia" w:ascii="宋体"/>
          <w:b/>
          <w:sz w:val="28"/>
          <w:szCs w:val="28"/>
        </w:rPr>
      </w:pPr>
      <w:bookmarkStart w:id="164" w:name="_Toc82441640"/>
      <w:r>
        <w:rPr>
          <w:rFonts w:hint="eastAsia" w:ascii="宋体"/>
          <w:b/>
          <w:sz w:val="28"/>
          <w:szCs w:val="28"/>
        </w:rPr>
        <w:t>附件</w:t>
      </w:r>
      <w:bookmarkStart w:id="165" w:name="_Toc376936771"/>
      <w:bookmarkStart w:id="166" w:name="_Toc325726040"/>
      <w:r>
        <w:rPr>
          <w:rFonts w:hint="eastAsia" w:ascii="宋体"/>
          <w:b/>
          <w:sz w:val="28"/>
          <w:szCs w:val="28"/>
        </w:rPr>
        <w:t>12：技术规格响应表</w:t>
      </w:r>
      <w:bookmarkEnd w:id="164"/>
      <w:bookmarkEnd w:id="165"/>
      <w:bookmarkEnd w:id="166"/>
    </w:p>
    <w:p>
      <w:pPr>
        <w:ind w:firstLine="0" w:firstLineChars="0"/>
        <w:jc w:val="center"/>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技术规格响应表</w:t>
      </w:r>
    </w:p>
    <w:p>
      <w:pPr>
        <w:ind w:firstLine="0" w:firstLineChars="0"/>
        <w:rPr>
          <w:rFonts w:hint="eastAsia" w:ascii="宋体" w:hAnsi="宋体"/>
          <w:b/>
        </w:rPr>
      </w:pPr>
      <w:r>
        <w:rPr>
          <w:rFonts w:hint="eastAsia" w:ascii="宋体" w:hAnsi="宋体"/>
          <w:b/>
        </w:rPr>
        <w:t>投标单位名称:</w:t>
      </w:r>
    </w:p>
    <w:p>
      <w:pPr>
        <w:ind w:firstLine="0" w:firstLineChars="0"/>
        <w:rPr>
          <w:rFonts w:hint="eastAsia" w:ascii="宋体" w:hAnsi="宋体"/>
          <w:b/>
        </w:rPr>
      </w:pPr>
    </w:p>
    <w:tbl>
      <w:tblPr>
        <w:tblStyle w:val="16"/>
        <w:tblW w:w="89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667"/>
        <w:gridCol w:w="2551"/>
        <w:gridCol w:w="650"/>
        <w:gridCol w:w="1335"/>
        <w:gridCol w:w="2551"/>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hint="eastAsia" w:ascii="宋体" w:hAnsi="宋体"/>
              </w:rPr>
            </w:pPr>
            <w:r>
              <w:rPr>
                <w:rFonts w:hint="eastAsia" w:ascii="宋体" w:hAnsi="宋体"/>
              </w:rPr>
              <w:t xml:space="preserve">  </w:t>
            </w:r>
          </w:p>
        </w:tc>
        <w:tc>
          <w:tcPr>
            <w:tcW w:w="3218" w:type="dxa"/>
            <w:gridSpan w:val="2"/>
          </w:tcPr>
          <w:p>
            <w:pPr>
              <w:spacing w:before="40" w:after="40"/>
              <w:ind w:firstLine="105" w:firstLineChars="50"/>
              <w:rPr>
                <w:rFonts w:hint="eastAsia" w:ascii="宋体" w:hAnsi="宋体"/>
              </w:rPr>
            </w:pPr>
            <w:r>
              <w:rPr>
                <w:rFonts w:hint="eastAsia" w:ascii="宋体" w:hAnsi="宋体"/>
              </w:rPr>
              <w:t>采购需求技术参数、指标</w:t>
            </w:r>
          </w:p>
        </w:tc>
        <w:tc>
          <w:tcPr>
            <w:tcW w:w="4536" w:type="dxa"/>
            <w:gridSpan w:val="3"/>
          </w:tcPr>
          <w:p>
            <w:pPr>
              <w:spacing w:before="40" w:after="40"/>
              <w:ind w:firstLine="480"/>
              <w:rPr>
                <w:rFonts w:hint="eastAsia" w:ascii="宋体" w:hAnsi="宋体"/>
              </w:rPr>
            </w:pPr>
            <w:r>
              <w:rPr>
                <w:rFonts w:hint="eastAsia" w:ascii="宋体" w:hAnsi="宋体"/>
              </w:rPr>
              <w:t>投标产品技术参数、指标</w:t>
            </w:r>
          </w:p>
        </w:tc>
        <w:tc>
          <w:tcPr>
            <w:tcW w:w="567" w:type="dxa"/>
            <w:vAlign w:val="center"/>
          </w:tcPr>
          <w:p>
            <w:pPr>
              <w:spacing w:before="40" w:after="40"/>
              <w:ind w:firstLine="0" w:firstLineChars="0"/>
              <w:jc w:val="center"/>
              <w:rPr>
                <w:rFonts w:hint="eastAsia" w:ascii="宋体" w:hAnsi="宋体"/>
              </w:rPr>
            </w:pPr>
            <w:r>
              <w:rPr>
                <w:rFonts w:hint="eastAsia" w:ascii="宋体" w:hAnsi="宋体"/>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hint="eastAsia" w:ascii="宋体" w:hAnsi="宋体"/>
              </w:rPr>
            </w:pPr>
            <w:r>
              <w:rPr>
                <w:rFonts w:hint="eastAsia" w:ascii="宋体" w:hAnsi="宋体"/>
              </w:rPr>
              <w:t>序号</w:t>
            </w:r>
          </w:p>
        </w:tc>
        <w:tc>
          <w:tcPr>
            <w:tcW w:w="667" w:type="dxa"/>
            <w:vAlign w:val="center"/>
          </w:tcPr>
          <w:p>
            <w:pPr>
              <w:spacing w:before="40" w:after="40"/>
              <w:ind w:firstLine="0" w:firstLineChars="0"/>
              <w:rPr>
                <w:rFonts w:hint="eastAsia" w:ascii="宋体" w:hAnsi="宋体"/>
              </w:rPr>
            </w:pPr>
            <w:r>
              <w:rPr>
                <w:rFonts w:hint="eastAsia" w:ascii="宋体" w:hAnsi="宋体"/>
              </w:rPr>
              <w:t>名称</w:t>
            </w:r>
          </w:p>
        </w:tc>
        <w:tc>
          <w:tcPr>
            <w:tcW w:w="2551" w:type="dxa"/>
            <w:vAlign w:val="center"/>
          </w:tcPr>
          <w:p>
            <w:pPr>
              <w:spacing w:before="40" w:after="40"/>
              <w:ind w:firstLine="0" w:firstLineChars="0"/>
              <w:rPr>
                <w:rFonts w:ascii="宋体" w:hAnsi="宋体"/>
              </w:rPr>
            </w:pPr>
            <w:r>
              <w:rPr>
                <w:rFonts w:hint="eastAsia" w:ascii="宋体" w:hAnsi="宋体"/>
              </w:rPr>
              <w:t>技术参数、指标及配置</w:t>
            </w:r>
          </w:p>
        </w:tc>
        <w:tc>
          <w:tcPr>
            <w:tcW w:w="650" w:type="dxa"/>
            <w:vAlign w:val="center"/>
          </w:tcPr>
          <w:p>
            <w:pPr>
              <w:spacing w:before="40" w:after="40"/>
              <w:ind w:firstLine="0" w:firstLineChars="0"/>
              <w:rPr>
                <w:rFonts w:hint="eastAsia" w:ascii="宋体" w:hAnsi="宋体"/>
              </w:rPr>
            </w:pPr>
            <w:r>
              <w:rPr>
                <w:rFonts w:hint="eastAsia" w:ascii="宋体" w:hAnsi="宋体"/>
              </w:rPr>
              <w:t>名称</w:t>
            </w:r>
          </w:p>
        </w:tc>
        <w:tc>
          <w:tcPr>
            <w:tcW w:w="1335" w:type="dxa"/>
            <w:vAlign w:val="center"/>
          </w:tcPr>
          <w:p>
            <w:pPr>
              <w:spacing w:before="40" w:after="40"/>
              <w:ind w:firstLine="0" w:firstLineChars="0"/>
              <w:jc w:val="center"/>
              <w:rPr>
                <w:rFonts w:hint="eastAsia" w:ascii="宋体" w:hAnsi="宋体"/>
                <w:color w:val="FF0000"/>
              </w:rPr>
            </w:pPr>
            <w:r>
              <w:rPr>
                <w:rFonts w:hint="eastAsia" w:ascii="宋体" w:hAnsi="宋体"/>
              </w:rPr>
              <w:t>规格或型号</w:t>
            </w:r>
          </w:p>
        </w:tc>
        <w:tc>
          <w:tcPr>
            <w:tcW w:w="2551" w:type="dxa"/>
            <w:vAlign w:val="center"/>
          </w:tcPr>
          <w:p>
            <w:pPr>
              <w:spacing w:before="40" w:after="40"/>
              <w:ind w:left="94" w:firstLine="0" w:firstLineChars="0"/>
              <w:jc w:val="center"/>
              <w:rPr>
                <w:rFonts w:ascii="宋体" w:hAnsi="宋体"/>
              </w:rPr>
            </w:pPr>
            <w:r>
              <w:rPr>
                <w:rFonts w:hint="eastAsia" w:ascii="宋体" w:hAnsi="宋体"/>
              </w:rPr>
              <w:t>技术参数、指标及配置</w:t>
            </w: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1</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2</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3</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hint="eastAsia" w:ascii="宋体" w:hAnsi="宋体"/>
              </w:rPr>
              <w:t>4</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vAlign w:val="center"/>
          </w:tcPr>
          <w:p>
            <w:pPr>
              <w:spacing w:before="40" w:after="40"/>
              <w:ind w:firstLine="174" w:firstLineChars="83"/>
              <w:jc w:val="center"/>
              <w:rPr>
                <w:rFonts w:hint="eastAsia" w:ascii="宋体" w:hAnsi="宋体"/>
              </w:rPr>
            </w:pPr>
            <w:r>
              <w:rPr>
                <w:rFonts w:ascii="宋体" w:hAnsi="宋体"/>
              </w:rPr>
              <w:t>…</w:t>
            </w:r>
          </w:p>
        </w:tc>
        <w:tc>
          <w:tcPr>
            <w:tcW w:w="667"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650" w:type="dxa"/>
          </w:tcPr>
          <w:p>
            <w:pPr>
              <w:spacing w:before="40" w:after="40"/>
              <w:ind w:firstLine="480"/>
              <w:jc w:val="center"/>
              <w:rPr>
                <w:rFonts w:hint="eastAsia" w:ascii="宋体" w:hAnsi="宋体"/>
              </w:rPr>
            </w:pPr>
          </w:p>
        </w:tc>
        <w:tc>
          <w:tcPr>
            <w:tcW w:w="1335" w:type="dxa"/>
          </w:tcPr>
          <w:p>
            <w:pPr>
              <w:spacing w:before="40" w:after="40"/>
              <w:ind w:firstLine="480"/>
              <w:jc w:val="center"/>
              <w:rPr>
                <w:rFonts w:hint="eastAsia" w:ascii="宋体" w:hAnsi="宋体"/>
              </w:rPr>
            </w:pPr>
          </w:p>
        </w:tc>
        <w:tc>
          <w:tcPr>
            <w:tcW w:w="2551" w:type="dxa"/>
          </w:tcPr>
          <w:p>
            <w:pPr>
              <w:spacing w:before="40" w:after="40"/>
              <w:ind w:firstLine="480"/>
              <w:jc w:val="center"/>
              <w:rPr>
                <w:rFonts w:hint="eastAsia" w:ascii="宋体" w:hAnsi="宋体"/>
              </w:rPr>
            </w:pPr>
          </w:p>
        </w:tc>
        <w:tc>
          <w:tcPr>
            <w:tcW w:w="567" w:type="dxa"/>
          </w:tcPr>
          <w:p>
            <w:pPr>
              <w:spacing w:before="40" w:after="40"/>
              <w:ind w:firstLine="480"/>
              <w:jc w:val="center"/>
              <w:rPr>
                <w:rFonts w:hint="eastAsia" w:ascii="宋体" w:hAnsi="宋体"/>
              </w:rPr>
            </w:pPr>
          </w:p>
        </w:tc>
      </w:tr>
    </w:tbl>
    <w:p>
      <w:pPr>
        <w:spacing w:line="360" w:lineRule="exact"/>
        <w:ind w:firstLine="308"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pPr>
        <w:widowControl/>
        <w:numPr>
          <w:ilvl w:val="0"/>
          <w:numId w:val="2"/>
        </w:numPr>
        <w:spacing w:line="360" w:lineRule="exact"/>
        <w:ind w:firstLine="735" w:firstLineChars="350"/>
        <w:jc w:val="left"/>
        <w:rPr>
          <w:rFonts w:hint="eastAsia" w:ascii="宋体" w:hAnsi="宋体" w:cs="宋体"/>
          <w:color w:val="000000"/>
          <w:kern w:val="0"/>
          <w:lang w:val="zh-CN"/>
        </w:rPr>
      </w:pPr>
      <w:r>
        <w:rPr>
          <w:rFonts w:hint="eastAsia" w:ascii="宋体" w:hAnsi="宋体"/>
          <w:color w:val="000000"/>
          <w:kern w:val="0"/>
          <w:szCs w:val="20"/>
        </w:rPr>
        <w:t>“投标产品技术参数、指标”必</w:t>
      </w:r>
      <w:r>
        <w:rPr>
          <w:rFonts w:hint="eastAsia" w:ascii="宋体" w:hAnsi="宋体"/>
          <w:kern w:val="0"/>
          <w:szCs w:val="20"/>
        </w:rPr>
        <w:t>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Pr>
          <w:rFonts w:hint="eastAsia" w:ascii="宋体" w:hAnsi="宋体"/>
        </w:rPr>
        <w:t>采购需求技术参数、指标</w:t>
      </w:r>
      <w:r>
        <w:rPr>
          <w:rFonts w:hint="eastAsia" w:ascii="宋体" w:hAnsi="宋体"/>
          <w:kern w:val="0"/>
          <w:szCs w:val="20"/>
        </w:rPr>
        <w:t>”内容的，按无效投标处理。</w:t>
      </w:r>
    </w:p>
    <w:p>
      <w:pPr>
        <w:widowControl/>
        <w:numPr>
          <w:ilvl w:val="0"/>
          <w:numId w:val="2"/>
        </w:numPr>
        <w:spacing w:line="360" w:lineRule="exact"/>
        <w:ind w:firstLine="735" w:firstLineChars="350"/>
        <w:jc w:val="left"/>
        <w:rPr>
          <w:rFonts w:hint="eastAsia" w:ascii="宋体" w:hAnsi="宋体"/>
        </w:rPr>
      </w:pPr>
      <w:r>
        <w:rPr>
          <w:rFonts w:hint="eastAsia" w:ascii="宋体" w:hAnsi="宋体" w:cs="宋体"/>
          <w:color w:val="000000"/>
          <w:kern w:val="0"/>
          <w:lang w:val="zh-CN"/>
        </w:rPr>
        <w:t>填写此表时以招标项目参数要求为基本投标要求，满足招标项目参数要求的指标需在“偏离”中列出“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”；超出、不满足招标项目参数要求的指标需在“偏离”中列出“+”、“-”偏差，并做出详细说明；如果只注明“+”、“-”或未填写，将视为该项指标不响应。</w:t>
      </w: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63"/>
    </w:p>
    <w:p>
      <w:pPr>
        <w:ind w:firstLine="2909" w:firstLineChars="805"/>
        <w:rPr>
          <w:rFonts w:hint="eastAsia" w:ascii="宋体"/>
          <w:b/>
          <w:sz w:val="36"/>
          <w:szCs w:val="36"/>
        </w:rPr>
      </w:pPr>
    </w:p>
    <w:p>
      <w:pPr>
        <w:ind w:firstLine="2909" w:firstLineChars="805"/>
        <w:rPr>
          <w:rFonts w:hint="eastAsia" w:ascii="宋体" w:hAnsi="宋体"/>
          <w:b/>
          <w:sz w:val="36"/>
          <w:szCs w:val="36"/>
        </w:rPr>
      </w:pPr>
      <w:r>
        <w:rPr>
          <w:rFonts w:hint="eastAsia" w:ascii="宋体" w:hAnsi="宋体"/>
          <w:b/>
          <w:sz w:val="36"/>
          <w:szCs w:val="36"/>
        </w:rPr>
        <w:t>其他资格证明材料</w:t>
      </w:r>
    </w:p>
    <w:p>
      <w:pPr>
        <w:ind w:firstLine="411" w:firstLineChars="196"/>
        <w:rPr>
          <w:rFonts w:hint="eastAsia" w:ascii="宋体" w:hAnsi="宋体"/>
          <w:bCs/>
        </w:rPr>
      </w:pPr>
    </w:p>
    <w:p>
      <w:pPr>
        <w:ind w:firstLine="480"/>
        <w:rPr>
          <w:rFonts w:hint="eastAsia" w:ascii="宋体" w:hAnsi="宋体"/>
        </w:rPr>
      </w:pPr>
      <w:r>
        <w:rPr>
          <w:rFonts w:hint="eastAsia" w:ascii="宋体" w:hAnsi="宋体"/>
          <w:bCs/>
        </w:rPr>
        <w:t>根据采购项目内容，投标时按招标文件要求提供</w:t>
      </w:r>
      <w:r>
        <w:rPr>
          <w:rFonts w:hint="eastAsia" w:ascii="宋体" w:hAnsi="宋体"/>
        </w:rPr>
        <w:t>服务提供商的相关资质、相关认证和投标人认为有必要提供的其他资格证明文件等材料。</w:t>
      </w:r>
    </w:p>
    <w:p>
      <w:pPr>
        <w:tabs>
          <w:tab w:val="left" w:pos="168"/>
        </w:tabs>
        <w:adjustRightInd w:val="0"/>
        <w:ind w:firstLine="480"/>
        <w:textAlignment w:val="baseline"/>
        <w:rPr>
          <w:rFonts w:hint="eastAsia" w:ascii="宋体" w:hAnsi="宋体"/>
          <w:color w:val="000000"/>
        </w:rPr>
      </w:pPr>
    </w:p>
    <w:p>
      <w:pPr>
        <w:ind w:firstLine="0" w:firstLineChars="0"/>
        <w:rPr>
          <w:rFonts w:hint="eastAsia" w:ascii="宋体" w:hAnsi="宋体"/>
          <w:bCs/>
        </w:rPr>
      </w:pPr>
    </w:p>
    <w:p>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67" w:name="_Toc82527716"/>
      <w:bookmarkStart w:id="168" w:name="_Toc500754532"/>
      <w:bookmarkStart w:id="169" w:name="_Toc376936780"/>
      <w:bookmarkStart w:id="170" w:name="_Toc325726045"/>
      <w:bookmarkStart w:id="171" w:name="_Toc365019586"/>
      <w:r>
        <w:rPr>
          <w:rFonts w:hint="eastAsia" w:ascii="宋体"/>
          <w:b/>
          <w:sz w:val="28"/>
          <w:szCs w:val="28"/>
        </w:rPr>
        <w:t>附件</w:t>
      </w:r>
      <w:r>
        <w:rPr>
          <w:rFonts w:hint="eastAsia" w:ascii="宋体"/>
          <w:b/>
          <w:sz w:val="28"/>
          <w:szCs w:val="28"/>
          <w:lang w:val="en-US" w:eastAsia="zh-CN"/>
        </w:rPr>
        <w:t>14</w:t>
      </w:r>
      <w:r>
        <w:rPr>
          <w:rFonts w:hint="eastAsia" w:ascii="宋体"/>
          <w:b/>
          <w:sz w:val="28"/>
          <w:szCs w:val="28"/>
        </w:rPr>
        <w:t>：</w:t>
      </w:r>
      <w:bookmarkEnd w:id="167"/>
      <w:bookmarkEnd w:id="168"/>
      <w:r>
        <w:rPr>
          <w:rFonts w:hint="eastAsia" w:ascii="宋体"/>
          <w:b/>
          <w:sz w:val="28"/>
          <w:szCs w:val="28"/>
        </w:rPr>
        <w:t>投标产品相关资料</w:t>
      </w:r>
    </w:p>
    <w:p>
      <w:pPr>
        <w:ind w:firstLine="723"/>
        <w:jc w:val="center"/>
        <w:rPr>
          <w:rFonts w:hint="eastAsia" w:ascii="宋体" w:hAnsi="宋体"/>
          <w:b/>
          <w:sz w:val="36"/>
          <w:szCs w:val="36"/>
        </w:rPr>
      </w:pPr>
      <w:r>
        <w:rPr>
          <w:rFonts w:hint="eastAsia" w:ascii="宋体" w:hAnsi="宋体"/>
          <w:b/>
          <w:sz w:val="36"/>
          <w:szCs w:val="36"/>
        </w:rPr>
        <w:t xml:space="preserve">  </w:t>
      </w:r>
    </w:p>
    <w:bookmarkEnd w:id="169"/>
    <w:bookmarkEnd w:id="170"/>
    <w:bookmarkEnd w:id="171"/>
    <w:p>
      <w:pPr>
        <w:ind w:firstLine="2909" w:firstLineChars="805"/>
        <w:rPr>
          <w:rFonts w:hint="eastAsia" w:ascii="宋体" w:hAnsi="宋体"/>
          <w:b/>
          <w:sz w:val="36"/>
          <w:szCs w:val="36"/>
        </w:rPr>
      </w:pPr>
      <w:r>
        <w:rPr>
          <w:rFonts w:hint="eastAsia" w:ascii="宋体" w:hAnsi="宋体"/>
          <w:b/>
          <w:sz w:val="36"/>
          <w:szCs w:val="36"/>
        </w:rPr>
        <w:t>投标产品相关资料</w:t>
      </w:r>
    </w:p>
    <w:p>
      <w:pPr>
        <w:ind w:firstLine="411" w:firstLineChars="196"/>
        <w:rPr>
          <w:rFonts w:hint="eastAsia" w:ascii="宋体" w:hAnsi="宋体"/>
          <w:bCs/>
        </w:rPr>
      </w:pPr>
    </w:p>
    <w:p>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w:t>
      </w:r>
      <w:r>
        <w:rPr>
          <w:rFonts w:hint="eastAsia" w:ascii="宋体" w:hAnsi="宋体"/>
          <w:kern w:val="0"/>
          <w:szCs w:val="20"/>
        </w:rPr>
        <w:t>(测试报告)</w:t>
      </w:r>
      <w:r>
        <w:rPr>
          <w:rFonts w:hint="eastAsia" w:ascii="宋体" w:hAnsi="宋体"/>
          <w:bCs/>
        </w:rPr>
        <w:t>，或提供能够证明技术参数响应的产品</w:t>
      </w:r>
      <w:r>
        <w:rPr>
          <w:rFonts w:hint="eastAsia" w:ascii="宋体" w:hAnsi="宋体"/>
          <w:kern w:val="0"/>
          <w:szCs w:val="20"/>
        </w:rPr>
        <w:t>彩页</w:t>
      </w:r>
      <w:r>
        <w:rPr>
          <w:rFonts w:hint="eastAsia" w:ascii="宋体" w:hAnsi="宋体"/>
          <w:bCs/>
        </w:rPr>
        <w:t>（生产</w:t>
      </w:r>
      <w:r>
        <w:rPr>
          <w:rFonts w:hint="eastAsia" w:ascii="宋体" w:hAnsi="宋体" w:cs="宋体"/>
          <w:color w:val="000000"/>
          <w:kern w:val="0"/>
          <w:lang w:val="zh-CN"/>
        </w:rPr>
        <w:t>厂家公开发布的资料参数</w:t>
      </w:r>
      <w:r>
        <w:rPr>
          <w:rFonts w:hint="eastAsia" w:ascii="宋体" w:hAnsi="宋体"/>
          <w:bCs/>
        </w:rPr>
        <w:t>）等相关资料。</w:t>
      </w:r>
    </w:p>
    <w:p>
      <w:pPr>
        <w:rPr>
          <w:rFonts w:hint="eastAsia" w:ascii="宋体"/>
          <w:b/>
          <w:sz w:val="28"/>
          <w:szCs w:val="28"/>
        </w:rPr>
      </w:pPr>
      <w:r>
        <w:rPr>
          <w:rFonts w:ascii="宋体" w:hAnsi="宋体"/>
        </w:rPr>
        <w:br w:type="page"/>
      </w:r>
      <w:bookmarkStart w:id="172" w:name="_Toc67558617"/>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：投标人类似业绩证明材料</w:t>
      </w:r>
      <w:bookmarkEnd w:id="172"/>
    </w:p>
    <w:p>
      <w:pPr>
        <w:ind w:firstLine="2909" w:firstLineChars="805"/>
        <w:rPr>
          <w:rFonts w:hint="eastAsia" w:ascii="宋体" w:hAns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投标人类似业绩证明材料</w:t>
      </w:r>
    </w:p>
    <w:p>
      <w:pPr>
        <w:tabs>
          <w:tab w:val="left" w:pos="168"/>
        </w:tabs>
        <w:adjustRightInd w:val="0"/>
        <w:ind w:firstLine="2530" w:firstLineChars="700"/>
        <w:textAlignment w:val="baseline"/>
        <w:rPr>
          <w:rFonts w:hint="eastAsia" w:ascii="宋体"/>
          <w:b/>
          <w:sz w:val="36"/>
          <w:szCs w:val="36"/>
        </w:rPr>
      </w:pPr>
    </w:p>
    <w:p>
      <w:pPr>
        <w:tabs>
          <w:tab w:val="left" w:pos="168"/>
        </w:tabs>
        <w:adjustRightInd w:val="0"/>
        <w:ind w:firstLine="480"/>
        <w:textAlignment w:val="baseline"/>
        <w:rPr>
          <w:rFonts w:hint="eastAsia" w:ascii="宋体" w:hAnsi="宋体"/>
          <w:color w:val="000000"/>
        </w:rPr>
      </w:pPr>
      <w:r>
        <w:rPr>
          <w:rFonts w:hint="eastAsia" w:ascii="宋体" w:hAnsi="宋体"/>
          <w:color w:val="000000"/>
        </w:rPr>
        <w:t>提供</w:t>
      </w:r>
      <w:r>
        <w:rPr>
          <w:rFonts w:hint="eastAsia" w:ascii="宋体" w:hAnsi="宋体" w:eastAsia="宋体" w:cs="Times New Roman"/>
          <w:color w:val="000000"/>
        </w:rPr>
        <w:t>自20</w:t>
      </w:r>
      <w:r>
        <w:rPr>
          <w:rFonts w:hint="eastAsia" w:ascii="宋体" w:hAnsi="宋体" w:eastAsia="宋体" w:cs="Times New Roman"/>
          <w:color w:val="000000"/>
          <w:lang w:val="en-US" w:eastAsia="zh-CN"/>
        </w:rPr>
        <w:t>19</w:t>
      </w:r>
      <w:r>
        <w:rPr>
          <w:rFonts w:hint="eastAsia" w:ascii="宋体" w:hAnsi="宋体"/>
          <w:color w:val="000000"/>
        </w:rPr>
        <w:t>年以来的类似业绩证明材料。类似业绩是指与采购项目在产品类型、使用功能、合同规模等方面相同或相近的项目。需提供包含合同首页、标的及金额所在页、供货合同签字盖章页的扫描（或复印）件。</w:t>
      </w:r>
    </w:p>
    <w:p>
      <w:pPr>
        <w:widowControl/>
        <w:snapToGrid w:val="0"/>
        <w:spacing w:line="360" w:lineRule="auto"/>
        <w:ind w:firstLine="0" w:firstLineChars="0"/>
        <w:outlineLvl w:val="1"/>
        <w:rPr>
          <w:rFonts w:hint="eastAsia" w:ascii="宋体" w:hAnsi="宋体"/>
          <w:b/>
        </w:rPr>
      </w:pPr>
      <w:r>
        <w:rPr>
          <w:rFonts w:ascii="宋体" w:hAnsi="宋体"/>
          <w:b/>
        </w:rPr>
        <w:br w:type="page"/>
      </w:r>
      <w:bookmarkStart w:id="173" w:name="_Toc67558618"/>
      <w:bookmarkStart w:id="174" w:name="_Toc474913501"/>
      <w:bookmarkStart w:id="175" w:name="_Toc460486440"/>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：中小企业声明函</w:t>
      </w:r>
      <w:bookmarkEnd w:id="173"/>
    </w:p>
    <w:p>
      <w:pPr>
        <w:ind w:firstLine="2367" w:firstLineChars="655"/>
        <w:rPr>
          <w:rFonts w:hint="eastAsia" w:ascii="宋体"/>
          <w:b/>
          <w:sz w:val="36"/>
          <w:szCs w:val="36"/>
        </w:rPr>
      </w:pPr>
    </w:p>
    <w:p>
      <w:pPr>
        <w:ind w:firstLine="0" w:firstLineChars="0"/>
        <w:jc w:val="center"/>
        <w:rPr>
          <w:rFonts w:hint="eastAsia" w:ascii="宋体" w:hAnsi="宋体"/>
          <w:b/>
          <w:sz w:val="36"/>
          <w:szCs w:val="36"/>
        </w:rPr>
      </w:pPr>
      <w:r>
        <w:rPr>
          <w:rFonts w:hint="eastAsia" w:ascii="宋体" w:hAnsi="宋体"/>
          <w:b/>
          <w:sz w:val="36"/>
          <w:szCs w:val="36"/>
        </w:rPr>
        <w:t>中小企业声明函（货物）</w:t>
      </w:r>
    </w:p>
    <w:p>
      <w:pPr>
        <w:ind w:firstLine="2367" w:firstLineChars="655"/>
        <w:rPr>
          <w:rFonts w:hint="eastAsia" w:ascii="宋体" w:hAnsi="宋体"/>
          <w:b/>
          <w:sz w:val="36"/>
          <w:szCs w:val="36"/>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0" w:firstLineChars="0"/>
        <w:rPr>
          <w:rFonts w:hint="eastAsia"/>
        </w:rPr>
      </w:pPr>
    </w:p>
    <w:p>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pPr>
        <w:spacing w:line="360" w:lineRule="auto"/>
        <w:ind w:firstLine="480"/>
        <w:rPr>
          <w:rFonts w:hint="eastAsia"/>
        </w:rPr>
      </w:pPr>
      <w:r>
        <w:rPr>
          <w:rFonts w:hint="eastAsia"/>
        </w:rPr>
        <w:t>……</w:t>
      </w:r>
    </w:p>
    <w:p>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pPr>
        <w:spacing w:line="360" w:lineRule="auto"/>
        <w:ind w:firstLine="480"/>
        <w:rPr>
          <w:rFonts w:hint="eastAsia"/>
        </w:rPr>
      </w:pPr>
      <w:r>
        <w:rPr>
          <w:rFonts w:hint="eastAsia"/>
        </w:rPr>
        <w:t>本企业对上述声明内容的真实性负责。 如有虚假， 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b/>
          <w:color w:val="000000"/>
          <w:sz w:val="28"/>
          <w:szCs w:val="28"/>
        </w:rPr>
      </w:pPr>
    </w:p>
    <w:p>
      <w:pPr>
        <w:widowControl/>
        <w:snapToGrid w:val="0"/>
        <w:spacing w:line="360" w:lineRule="auto"/>
        <w:ind w:firstLine="0" w:firstLineChars="0"/>
        <w:outlineLvl w:val="1"/>
        <w:rPr>
          <w:rFonts w:hint="eastAsia" w:ascii="宋体"/>
          <w:b/>
          <w:sz w:val="28"/>
          <w:szCs w:val="28"/>
        </w:rPr>
      </w:pPr>
      <w:bookmarkStart w:id="176" w:name="_Toc67558619"/>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：残疾人福利性单位声明函</w:t>
      </w:r>
      <w:bookmarkEnd w:id="176"/>
    </w:p>
    <w:p>
      <w:pPr>
        <w:ind w:firstLine="0" w:firstLineChars="0"/>
        <w:jc w:val="center"/>
        <w:rPr>
          <w:rFonts w:hint="eastAsia" w:ascii="宋体" w:hAnsi="宋体"/>
          <w:b/>
          <w:sz w:val="36"/>
          <w:szCs w:val="36"/>
        </w:rPr>
      </w:pPr>
      <w:bookmarkStart w:id="177" w:name="OLE_LINK13"/>
      <w:bookmarkStart w:id="178" w:name="OLE_LINK14"/>
    </w:p>
    <w:p>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7"/>
    <w:bookmarkEnd w:id="178"/>
    <w:p>
      <w:pPr>
        <w:spacing w:after="156" w:afterLines="50"/>
        <w:ind w:firstLine="0" w:firstLineChars="0"/>
        <w:rPr>
          <w:rFonts w:hint="eastAsia" w:ascii="宋体" w:hAnsi="宋体"/>
          <w:bCs/>
        </w:rPr>
      </w:pPr>
    </w:p>
    <w:p>
      <w:pPr>
        <w:spacing w:after="156"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w:t>
      </w:r>
      <w:r>
        <w:rPr>
          <w:rFonts w:hint="eastAsia" w:ascii="宋体" w:hAnsi="宋体"/>
          <w:b/>
          <w:bCs/>
        </w:rPr>
        <w:t>政府采购中心</w:t>
      </w:r>
    </w:p>
    <w:p>
      <w:pPr>
        <w:spacing w:line="360" w:lineRule="auto"/>
        <w:ind w:firstLine="480"/>
        <w:rPr>
          <w:rFonts w:hint="eastAsia"/>
        </w:rPr>
      </w:pPr>
    </w:p>
    <w:p>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pPr>
      <w:r>
        <w:rPr>
          <w:rFonts w:hint="eastAsia"/>
        </w:rPr>
        <w:t>本公司对上述声明的真实性负责。如有虚假，将依法承担相应责任。</w:t>
      </w:r>
    </w:p>
    <w:p>
      <w:pPr>
        <w:spacing w:line="360" w:lineRule="auto"/>
        <w:ind w:firstLine="480"/>
        <w:rPr>
          <w:rFonts w:hint="eastAsia"/>
        </w:rPr>
      </w:pPr>
    </w:p>
    <w:p>
      <w:pPr>
        <w:spacing w:line="360" w:lineRule="auto"/>
        <w:ind w:firstLine="0" w:firstLineChars="0"/>
        <w:rPr>
          <w:rFonts w:hint="eastAsia"/>
        </w:rPr>
      </w:pPr>
      <w:r>
        <w:rPr>
          <w:rFonts w:hint="eastAsia"/>
        </w:rPr>
        <w:t>注：</w:t>
      </w:r>
      <w:r>
        <w:rPr>
          <w:rFonts w:hint="eastAsia" w:ascii="宋体" w:hAnsi="宋体"/>
        </w:rPr>
        <w:t>若无此项内容，可不提供此函。</w:t>
      </w: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480"/>
        <w:rPr>
          <w:rFonts w:hint="eastAsia"/>
        </w:rPr>
      </w:pPr>
    </w:p>
    <w:p>
      <w:pPr>
        <w:spacing w:line="360" w:lineRule="auto"/>
        <w:ind w:firstLine="0" w:firstLineChars="0"/>
      </w:pPr>
    </w:p>
    <w:p>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1080" w:firstLine="482"/>
        <w:jc w:val="right"/>
        <w:rPr>
          <w:rFonts w:hint="eastAsia" w:ascii="宋体" w:hAnsi="宋体"/>
          <w:b/>
        </w:rPr>
      </w:pPr>
      <w:r>
        <w:rPr>
          <w:rFonts w:hint="eastAsia" w:ascii="宋体" w:hAnsi="宋体"/>
          <w:b/>
        </w:rPr>
        <w:t>年  月  日</w:t>
      </w:r>
    </w:p>
    <w:p>
      <w:pPr>
        <w:widowControl/>
        <w:snapToGrid w:val="0"/>
        <w:spacing w:line="360" w:lineRule="auto"/>
        <w:ind w:firstLine="0" w:firstLineChars="0"/>
        <w:outlineLvl w:val="1"/>
        <w:rPr>
          <w:rFonts w:hint="eastAsia" w:ascii="宋体" w:hAnsi="宋体"/>
          <w:color w:val="000000"/>
        </w:rPr>
      </w:pPr>
      <w:r>
        <w:rPr>
          <w:rFonts w:ascii="宋体"/>
          <w:b/>
          <w:color w:val="000000"/>
          <w:sz w:val="28"/>
          <w:szCs w:val="28"/>
        </w:rPr>
        <w:br w:type="page"/>
      </w:r>
      <w:bookmarkEnd w:id="174"/>
    </w:p>
    <w:p>
      <w:pPr>
        <w:widowControl/>
        <w:snapToGrid w:val="0"/>
        <w:spacing w:line="360" w:lineRule="auto"/>
        <w:ind w:firstLine="0" w:firstLineChars="0"/>
        <w:outlineLvl w:val="1"/>
        <w:rPr>
          <w:rFonts w:hint="eastAsia" w:ascii="宋体"/>
          <w:b/>
          <w:color w:val="000000"/>
          <w:sz w:val="28"/>
          <w:szCs w:val="28"/>
        </w:rPr>
      </w:pPr>
      <w:bookmarkStart w:id="179" w:name="_Toc82441646"/>
      <w:r>
        <w:rPr>
          <w:rFonts w:hint="eastAsia" w:ascii="宋体"/>
          <w:b/>
          <w:color w:val="000000"/>
          <w:sz w:val="28"/>
          <w:szCs w:val="28"/>
        </w:rPr>
        <w:t>附件18：项目管理实施方案及售后服务</w:t>
      </w:r>
      <w:bookmarkEnd w:id="179"/>
    </w:p>
    <w:p>
      <w:pPr>
        <w:ind w:firstLine="723"/>
        <w:jc w:val="center"/>
        <w:rPr>
          <w:rFonts w:hint="eastAsia" w:ascii="宋体" w:hAnsi="宋体"/>
          <w:b/>
          <w:color w:val="000000"/>
          <w:sz w:val="36"/>
          <w:szCs w:val="36"/>
        </w:rPr>
      </w:pPr>
    </w:p>
    <w:p>
      <w:pPr>
        <w:ind w:firstLine="723"/>
        <w:jc w:val="center"/>
        <w:rPr>
          <w:rFonts w:hint="eastAsia" w:ascii="宋体" w:hAnsi="宋体"/>
          <w:b/>
          <w:sz w:val="36"/>
          <w:szCs w:val="36"/>
        </w:rPr>
      </w:pPr>
      <w:r>
        <w:rPr>
          <w:rFonts w:hint="eastAsia" w:ascii="宋体" w:hAnsi="宋体"/>
          <w:b/>
          <w:sz w:val="36"/>
          <w:szCs w:val="36"/>
        </w:rPr>
        <w:t>项目管理实施方案及售后服务</w:t>
      </w:r>
    </w:p>
    <w:p>
      <w:pPr>
        <w:ind w:firstLine="480"/>
        <w:rPr>
          <w:rFonts w:hint="eastAsia" w:ascii="宋体" w:hAnsi="宋体"/>
          <w:color w:val="000000"/>
        </w:rPr>
      </w:pPr>
    </w:p>
    <w:p>
      <w:pPr>
        <w:ind w:firstLine="480"/>
        <w:rPr>
          <w:rFonts w:hint="eastAsia" w:ascii="宋体" w:hAnsi="宋体"/>
          <w:color w:val="000000"/>
        </w:rPr>
      </w:pPr>
      <w:r>
        <w:rPr>
          <w:rFonts w:hint="eastAsia" w:ascii="宋体" w:hAnsi="宋体"/>
          <w:color w:val="000000"/>
        </w:rPr>
        <w:t>按照招标文件评标标准中的相关要求，提供：</w:t>
      </w:r>
    </w:p>
    <w:p>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pPr>
        <w:ind w:firstLine="480"/>
        <w:rPr>
          <w:rFonts w:hint="eastAsia" w:ascii="宋体" w:hAnsi="宋体"/>
          <w:color w:val="000000"/>
        </w:rPr>
      </w:pPr>
      <w:r>
        <w:rPr>
          <w:rFonts w:hint="eastAsia" w:ascii="宋体" w:hAnsi="宋体"/>
          <w:color w:val="000000"/>
        </w:rPr>
        <w:t>3、售后服务相关承诺。</w:t>
      </w:r>
    </w:p>
    <w:p>
      <w:pPr>
        <w:ind w:firstLine="0" w:firstLineChars="0"/>
        <w:rPr>
          <w:rFonts w:hint="eastAsia" w:ascii="宋体" w:hAnsi="宋体"/>
          <w:color w:val="000000"/>
        </w:rPr>
      </w:pPr>
    </w:p>
    <w:p>
      <w:pPr>
        <w:widowControl/>
        <w:snapToGrid w:val="0"/>
        <w:spacing w:line="360" w:lineRule="auto"/>
        <w:ind w:firstLine="0" w:firstLineChars="0"/>
        <w:outlineLvl w:val="1"/>
        <w:rPr>
          <w:rFonts w:ascii="宋体" w:hAnsi="宋体"/>
          <w:color w:val="000000"/>
        </w:rPr>
      </w:pPr>
      <w:r>
        <w:rPr>
          <w:rFonts w:ascii="宋体" w:hAnsi="宋体"/>
          <w:color w:val="000000"/>
        </w:rPr>
        <w:br w:type="page"/>
      </w:r>
      <w:bookmarkStart w:id="180" w:name="_Toc67558621"/>
    </w:p>
    <w:p>
      <w:pPr>
        <w:widowControl/>
        <w:snapToGrid w:val="0"/>
        <w:spacing w:line="360" w:lineRule="auto"/>
        <w:ind w:firstLine="0" w:firstLineChars="0"/>
        <w:outlineLvl w:val="1"/>
        <w:rPr>
          <w:rFonts w:ascii="宋体" w:hAnsi="宋体"/>
          <w:color w:val="000000"/>
        </w:rPr>
      </w:pPr>
    </w:p>
    <w:p>
      <w:pPr>
        <w:widowControl/>
        <w:snapToGrid w:val="0"/>
        <w:spacing w:line="360" w:lineRule="auto"/>
        <w:ind w:firstLine="0" w:firstLineChars="0"/>
        <w:outlineLvl w:val="1"/>
        <w:rPr>
          <w:rFonts w:hint="eastAsia" w:ascii="宋体"/>
          <w:b/>
          <w:color w:val="000000"/>
          <w:sz w:val="28"/>
          <w:szCs w:val="28"/>
        </w:rPr>
      </w:pPr>
      <w:r>
        <w:rPr>
          <w:rFonts w:hint="eastAsia" w:ascii="宋体"/>
          <w:b/>
          <w:color w:val="000000"/>
          <w:sz w:val="28"/>
          <w:szCs w:val="28"/>
        </w:rPr>
        <w:t>附件</w:t>
      </w:r>
      <w:r>
        <w:rPr>
          <w:rFonts w:hint="eastAsia" w:ascii="宋体"/>
          <w:b/>
          <w:color w:val="000000"/>
          <w:sz w:val="28"/>
          <w:szCs w:val="28"/>
          <w:lang w:val="en-US" w:eastAsia="zh-CN"/>
        </w:rPr>
        <w:t>19</w:t>
      </w:r>
      <w:r>
        <w:rPr>
          <w:rFonts w:hint="eastAsia" w:ascii="宋体"/>
          <w:b/>
          <w:color w:val="000000"/>
          <w:sz w:val="28"/>
          <w:szCs w:val="28"/>
        </w:rPr>
        <w:t>：投标人认为在其他方面有必要说明的事项</w:t>
      </w:r>
      <w:bookmarkEnd w:id="180"/>
    </w:p>
    <w:p>
      <w:pPr>
        <w:ind w:firstLine="723"/>
        <w:jc w:val="center"/>
        <w:rPr>
          <w:rFonts w:hint="eastAsia" w:ascii="宋体" w:hAnsi="宋体"/>
          <w:b/>
          <w:color w:val="000000"/>
          <w:sz w:val="36"/>
          <w:szCs w:val="36"/>
        </w:rPr>
      </w:pPr>
    </w:p>
    <w:p>
      <w:pPr>
        <w:ind w:firstLine="723"/>
        <w:jc w:val="center"/>
        <w:rPr>
          <w:rFonts w:hint="eastAsia" w:ascii="宋体" w:hAnsi="宋体"/>
          <w:b/>
          <w:color w:val="000000"/>
          <w:sz w:val="36"/>
          <w:szCs w:val="36"/>
        </w:rPr>
      </w:pPr>
      <w:r>
        <w:rPr>
          <w:rFonts w:hint="eastAsia" w:ascii="宋体" w:hAnsi="宋体"/>
          <w:b/>
          <w:color w:val="000000"/>
          <w:sz w:val="36"/>
          <w:szCs w:val="36"/>
        </w:rPr>
        <w:t>投标人认为在其他方面有必要说明的事项</w:t>
      </w:r>
    </w:p>
    <w:p>
      <w:pPr>
        <w:ind w:firstLine="723"/>
        <w:jc w:val="center"/>
        <w:rPr>
          <w:rFonts w:hint="eastAsia" w:ascii="宋体" w:hAnsi="宋体"/>
          <w:b/>
          <w:color w:val="000000"/>
          <w:sz w:val="36"/>
          <w:szCs w:val="36"/>
        </w:rPr>
      </w:pPr>
      <w:r>
        <w:rPr>
          <w:rFonts w:hint="eastAsia" w:ascii="宋体" w:hAnsi="宋体"/>
          <w:b/>
          <w:color w:val="000000"/>
          <w:sz w:val="36"/>
          <w:szCs w:val="36"/>
        </w:rPr>
        <w:t>（格式自定）</w:t>
      </w:r>
    </w:p>
    <w:p>
      <w:pPr>
        <w:widowControl/>
        <w:snapToGrid w:val="0"/>
        <w:spacing w:line="360" w:lineRule="auto"/>
        <w:ind w:firstLine="0" w:firstLineChars="0"/>
        <w:outlineLvl w:val="1"/>
        <w:rPr>
          <w:rFonts w:hint="eastAsia" w:ascii="宋体" w:hAnsi="宋体"/>
          <w:b/>
        </w:rPr>
      </w:pPr>
    </w:p>
    <w:bookmarkEnd w:id="175"/>
    <w:p>
      <w:pPr>
        <w:widowControl/>
        <w:snapToGrid w:val="0"/>
        <w:spacing w:line="360" w:lineRule="auto"/>
        <w:ind w:firstLine="0" w:firstLineChars="0"/>
        <w:outlineLvl w:val="1"/>
        <w:rPr>
          <w:rFonts w:hint="eastAsia" w:ascii="宋体" w:hAnsi="宋体"/>
          <w:b/>
          <w:bCs/>
        </w:rPr>
      </w:pPr>
      <w:r>
        <w:rPr>
          <w:rFonts w:ascii="宋体" w:hAnsi="宋体"/>
          <w:b/>
        </w:rPr>
        <w:br w:type="page"/>
      </w:r>
    </w:p>
    <w:p>
      <w:pPr>
        <w:keepNext/>
        <w:keepLines/>
        <w:widowControl/>
        <w:snapToGrid w:val="0"/>
        <w:spacing w:line="400" w:lineRule="atLeast"/>
        <w:ind w:firstLine="0" w:firstLineChars="0"/>
        <w:jc w:val="center"/>
        <w:outlineLvl w:val="0"/>
        <w:rPr>
          <w:rFonts w:hint="eastAsia" w:ascii="宋体"/>
          <w:b/>
          <w:kern w:val="28"/>
          <w:sz w:val="36"/>
          <w:szCs w:val="20"/>
        </w:rPr>
      </w:pPr>
      <w:bookmarkStart w:id="181" w:name="_Toc376936782"/>
      <w:bookmarkStart w:id="182" w:name="_Toc325726051"/>
      <w:bookmarkStart w:id="183" w:name="_Toc67558622"/>
      <w:r>
        <w:rPr>
          <w:rFonts w:hint="eastAsia" w:ascii="宋体"/>
          <w:b/>
          <w:kern w:val="28"/>
          <w:sz w:val="36"/>
          <w:szCs w:val="20"/>
        </w:rPr>
        <w:t>第五部分  采购项目要求及技术参数</w:t>
      </w:r>
      <w:bookmarkEnd w:id="181"/>
      <w:bookmarkEnd w:id="182"/>
      <w:bookmarkEnd w:id="183"/>
    </w:p>
    <w:p>
      <w:pPr>
        <w:widowControl/>
        <w:spacing w:before="624" w:beforeLines="200" w:after="624" w:afterLines="200" w:line="240" w:lineRule="auto"/>
        <w:ind w:firstLine="0" w:firstLineChars="0"/>
        <w:jc w:val="center"/>
        <w:outlineLvl w:val="1"/>
        <w:rPr>
          <w:rFonts w:hint="eastAsia" w:ascii="宋体" w:hAnsi="宋体"/>
          <w:b/>
          <w:bCs/>
          <w:kern w:val="0"/>
          <w:sz w:val="36"/>
          <w:szCs w:val="36"/>
        </w:rPr>
      </w:pPr>
      <w:bookmarkStart w:id="184" w:name="_Toc376936783"/>
      <w:bookmarkStart w:id="185" w:name="_Toc325726052"/>
      <w:bookmarkStart w:id="186" w:name="_Toc67558623"/>
      <w:r>
        <w:rPr>
          <w:rFonts w:hint="eastAsia" w:ascii="宋体" w:hAnsi="宋体"/>
          <w:b/>
          <w:bCs/>
          <w:kern w:val="0"/>
          <w:sz w:val="36"/>
          <w:szCs w:val="36"/>
        </w:rPr>
        <w:t>一、投标要求</w:t>
      </w:r>
      <w:bookmarkEnd w:id="184"/>
      <w:bookmarkEnd w:id="185"/>
      <w:bookmarkEnd w:id="186"/>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87" w:name="_Toc376936784"/>
      <w:bookmarkStart w:id="188" w:name="_Toc82527724"/>
      <w:bookmarkStart w:id="189" w:name="_Toc325726053"/>
      <w:bookmarkStart w:id="190" w:name="_Toc325726054"/>
      <w:bookmarkStart w:id="191" w:name="_Toc67558626"/>
      <w:bookmarkStart w:id="192" w:name="_Toc376936786"/>
      <w:r>
        <w:rPr>
          <w:rFonts w:hint="eastAsia" w:ascii="宋体" w:hAnsi="宋体"/>
          <w:b/>
          <w:bCs/>
          <w:kern w:val="0"/>
          <w:sz w:val="27"/>
          <w:szCs w:val="27"/>
        </w:rPr>
        <w:t>1、投标说明</w:t>
      </w:r>
      <w:bookmarkEnd w:id="187"/>
      <w:bookmarkEnd w:id="188"/>
      <w:bookmarkEnd w:id="189"/>
    </w:p>
    <w:p>
      <w:pPr>
        <w:ind w:firstLine="411" w:firstLineChars="196"/>
        <w:rPr>
          <w:rFonts w:hint="eastAsia"/>
        </w:rPr>
      </w:pPr>
      <w:r>
        <w:rPr>
          <w:rFonts w:hint="eastAsia" w:ascii="宋体" w:hAnsi="宋体"/>
        </w:rPr>
        <w:t>1.1</w:t>
      </w:r>
      <w:r>
        <w:rPr>
          <w:rFonts w:hint="eastAsia"/>
        </w:rPr>
        <w:t>投标人必须对招标文件服务要求中所有内容作为一个整体进行投标，不能拆分或少报。否则，投标无效。</w:t>
      </w:r>
    </w:p>
    <w:p>
      <w:pPr>
        <w:ind w:firstLine="411" w:firstLineChars="196"/>
        <w:rPr>
          <w:rFonts w:ascii="宋体" w:hAnsi="宋体"/>
        </w:rPr>
      </w:pPr>
      <w:r>
        <w:rPr>
          <w:rFonts w:hint="eastAsia" w:ascii="宋体" w:hAnsi="宋体"/>
        </w:rPr>
        <w:t>1.2投标报价为投标总价。包括服务费、人员差旅费、税费及不可预见费等全部费用。若投标报价不能完全包括上述内容，该投标将被认为非实质性响应。</w:t>
      </w:r>
    </w:p>
    <w:p>
      <w:pPr>
        <w:ind w:firstLine="411" w:firstLineChars="196"/>
        <w:rPr>
          <w:rFonts w:hint="eastAsia" w:ascii="宋体" w:hAnsi="宋体"/>
        </w:rPr>
      </w:pPr>
      <w:r>
        <w:rPr>
          <w:rFonts w:hint="eastAsia" w:ascii="宋体" w:hAnsi="宋体"/>
        </w:rPr>
        <w:t>1.3所投产品或其任何一部分不得侵犯专利权、著作权、商标权和工业设计权等知识产权。</w:t>
      </w:r>
    </w:p>
    <w:p>
      <w:pPr>
        <w:ind w:firstLine="411" w:firstLineChars="196"/>
        <w:rPr>
          <w:rFonts w:hint="eastAsia" w:ascii="宋体" w:hAnsi="宋体"/>
        </w:rPr>
      </w:pPr>
      <w:r>
        <w:rPr>
          <w:rFonts w:hint="eastAsia" w:ascii="宋体" w:hAnsi="宋体"/>
        </w:rPr>
        <w:t>1.4服务时间、地点：按采购人指定的时间、地点提供相关服务。</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3" w:name="_Toc376936785"/>
      <w:bookmarkStart w:id="194" w:name="_Toc82527725"/>
      <w:r>
        <w:rPr>
          <w:rFonts w:hint="eastAsia" w:ascii="宋体" w:hAnsi="宋体"/>
          <w:b/>
          <w:bCs/>
          <w:kern w:val="0"/>
          <w:sz w:val="27"/>
          <w:szCs w:val="27"/>
        </w:rPr>
        <w:t>2、报价说明</w:t>
      </w:r>
      <w:bookmarkEnd w:id="193"/>
      <w:bookmarkEnd w:id="194"/>
    </w:p>
    <w:p>
      <w:pPr>
        <w:ind w:firstLine="411" w:firstLineChars="196"/>
        <w:rPr>
          <w:rFonts w:hint="eastAsia" w:ascii="宋体" w:hAnsi="宋体"/>
        </w:rPr>
      </w:pPr>
      <w:r>
        <w:rPr>
          <w:rFonts w:hint="eastAsia" w:ascii="宋体" w:hAnsi="宋体"/>
        </w:rPr>
        <w:t>本次招标文件中规定的采购预算额度为招标最高限价，投标单位的投标报价不得超出此额度。否则，投标无效。</w:t>
      </w:r>
    </w:p>
    <w:p>
      <w:pPr>
        <w:widowControl/>
        <w:spacing w:before="100" w:beforeAutospacing="1" w:after="100" w:afterAutospacing="1" w:line="240" w:lineRule="auto"/>
        <w:ind w:firstLine="542"/>
        <w:jc w:val="left"/>
        <w:outlineLvl w:val="2"/>
        <w:rPr>
          <w:rFonts w:hint="eastAsia" w:ascii="宋体" w:hAnsi="宋体"/>
          <w:b/>
          <w:bCs/>
          <w:kern w:val="0"/>
          <w:sz w:val="27"/>
          <w:szCs w:val="27"/>
        </w:rPr>
      </w:pPr>
      <w:r>
        <w:rPr>
          <w:rFonts w:hint="eastAsia" w:ascii="宋体" w:hAnsi="宋体"/>
          <w:b/>
          <w:bCs/>
          <w:kern w:val="0"/>
          <w:sz w:val="27"/>
          <w:szCs w:val="27"/>
        </w:rPr>
        <w:t>3、重要指标</w:t>
      </w:r>
      <w:bookmarkEnd w:id="190"/>
      <w:bookmarkEnd w:id="191"/>
      <w:bookmarkEnd w:id="192"/>
    </w:p>
    <w:p>
      <w:pPr>
        <w:ind w:firstLine="480"/>
        <w:rPr>
          <w:rFonts w:hint="eastAsia" w:ascii="宋体" w:hAnsi="宋体"/>
          <w:b/>
          <w:bCs/>
          <w:kern w:val="0"/>
          <w:sz w:val="36"/>
          <w:szCs w:val="36"/>
        </w:rPr>
      </w:pPr>
      <w:r>
        <w:rPr>
          <w:rFonts w:hint="eastAsia" w:ascii="宋体" w:hAnsi="宋体"/>
        </w:rPr>
        <w:t>招标文件中凡需与原有设备、系统并机、兼容、匹配、对接等要求的，请主动和采购人联系，取得原有设备、系统相关资料。若有招标文件未提及或变更内容的，请及时与集中采购机构联系。</w:t>
      </w:r>
      <w:bookmarkStart w:id="195" w:name="_Toc325726061"/>
      <w:bookmarkStart w:id="196" w:name="_Toc376936787"/>
      <w:bookmarkStart w:id="197" w:name="_Toc67558627"/>
    </w:p>
    <w:bookmarkEnd w:id="195"/>
    <w:bookmarkEnd w:id="196"/>
    <w:bookmarkEnd w:id="197"/>
    <w:p>
      <w:pPr>
        <w:jc w:val="center"/>
        <w:rPr>
          <w:rFonts w:hint="eastAsia"/>
        </w:rPr>
      </w:pPr>
      <w:bookmarkStart w:id="198" w:name="_Toc493512670"/>
    </w:p>
    <w:p>
      <w:pPr>
        <w:pStyle w:val="42"/>
      </w:pPr>
      <w:r>
        <w:rPr>
          <w:rFonts w:ascii="宋体" w:hAnsi="宋体"/>
          <w:b/>
          <w:bCs/>
          <w:kern w:val="0"/>
          <w:sz w:val="36"/>
          <w:szCs w:val="36"/>
        </w:rPr>
        <w:br w:type="page"/>
      </w:r>
      <w:bookmarkEnd w:id="198"/>
      <w:r>
        <w:rPr>
          <w:rFonts w:hint="eastAsia"/>
        </w:rPr>
        <w:t>二、智慧教室建设功能及技术需求</w:t>
      </w:r>
    </w:p>
    <w:p>
      <w:pPr>
        <w:jc w:val="right"/>
        <w:rPr>
          <w:rFonts w:ascii="仿宋" w:hAnsi="仿宋" w:eastAsia="仿宋" w:cs="仿宋"/>
          <w:b/>
          <w:bCs/>
          <w:kern w:val="0"/>
          <w:sz w:val="22"/>
          <w:lang w:bidi="ar"/>
        </w:rPr>
      </w:pPr>
      <w:r>
        <w:rPr>
          <w:rFonts w:hint="eastAsia" w:ascii="仿宋" w:hAnsi="仿宋" w:eastAsia="仿宋" w:cs="仿宋"/>
          <w:b/>
          <w:bCs/>
          <w:kern w:val="0"/>
          <w:sz w:val="22"/>
          <w:lang w:bidi="ar"/>
        </w:rPr>
        <w:t>预算：130万</w:t>
      </w:r>
    </w:p>
    <w:p>
      <w:pPr>
        <w:jc w:val="left"/>
        <w:rPr>
          <w:rFonts w:ascii="仿宋" w:hAnsi="仿宋" w:eastAsia="仿宋" w:cs="仿宋"/>
          <w:b/>
          <w:bCs/>
          <w:kern w:val="0"/>
          <w:sz w:val="22"/>
          <w:lang w:bidi="ar"/>
        </w:rPr>
      </w:pPr>
    </w:p>
    <w:tbl>
      <w:tblPr>
        <w:tblStyle w:val="16"/>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746"/>
        <w:gridCol w:w="7256"/>
        <w:gridCol w:w="645"/>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46"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设备名称</w:t>
            </w:r>
          </w:p>
        </w:tc>
        <w:tc>
          <w:tcPr>
            <w:tcW w:w="7256"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技术参数</w:t>
            </w:r>
          </w:p>
        </w:tc>
        <w:tc>
          <w:tcPr>
            <w:tcW w:w="645"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数量</w:t>
            </w:r>
          </w:p>
        </w:tc>
        <w:tc>
          <w:tcPr>
            <w:tcW w:w="462"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22" w:type="dxa"/>
            <w:gridSpan w:val="3"/>
            <w:shd w:val="clear" w:color="000000" w:fill="FFFFFF"/>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一、智慧教室　</w:t>
            </w:r>
          </w:p>
        </w:tc>
        <w:tc>
          <w:tcPr>
            <w:tcW w:w="645"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62"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智慧教学交互显示系统（含教学软件）</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一、整机设计要求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1.智慧黑板采用三拼接平面一体化设计，整机屏幕采用86英寸 UHD超高清LED 液晶屛，显示比例16:9，外观简洁，无推拉式结构及外露连接线。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2.为了更好的显示效果和使用体验，智慧黑板屏幕图像分辨率3840*2160，亮度≥500cd/㎡，可视角度≥178°，对比度≥5500:1，色域值≥sRGB130%。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3.屏幕采用钢化玻璃，防滑防撞，表面硬度≥9H，在实际检测中，使用10H硬度材质测试时，钢化玻璃表面无划痕；提供具有CMA或CNAS标识的第三方权威机构出具的检测报告复印件并加盖制造商公章。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4.全域书写，智慧黑板全域均支持普通粉笔、液体粉笔、水溶性粉笔等直接书写。为便于放置粉笔、触控笔及整体美观度，智慧黑板下边缘设置全包围同种金属材质笔槽。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5.侧边书写板采用复合微晶石板，不反光、不掉色，坚硬耐磨，具有磁吸功能，可以吸附触控笔、板擦等，方便用户使用。考虑教学应用中书写打滑、反光、安全性等问题。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6.为满足不同设备接入需求，智慧黑板提供多种接口，整机前置接口：HDMI≥1，Touch USB≥1，TYPE-C≥1，USB3.0≥3（双系统共享）；整机后置接口：RJ45≥1, RS232≥1, VGA≥1, AUDIO IN≥1，MINI AV IN≥1, USB2.0≥1, EARPHONE OUT≥1, HDMI≥1，TV≥1；内置ops电脑接口：VGA≥1 、DP≥1 、HDMI≥1、USB3.0≥3，USB2.0≥3，LINE-OUT≥ 1，MIC-IN≥1。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要求智慧黑板采用全贴合电容触控技术，玻璃与液晶显示屏之间无间隙，避免灰尘与水汽聚集到屏幕与玻璃之间，表面有灰尘和水迹时，不会影响触控效果。Windows系统下触控点数≥20点，安卓系统下触控点数≥10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整机要求前置物理按键不少于6个，包含返回主页、电源、音量加减、信号源切换、节能功能，并支持将除电源键外任意物理按键功能自定义设置成屏幕下移、锁屏、一键录屏、图像比例、护眼模式；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9.智慧黑板具备手势、遥控器按钮、实体按键三种方式关闭屏幕背光功能，其中手势息屏可根据需求自行开启或关闭，在传统书写和屏幕显示之间极速切换，满足不同教学环境下对屏幕的操作需求，方便快捷。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10.在嵌入式安卓系统状态下，可对外部存储设备的内容进行自动分类、归档，方便老师快速查找所需要的文件。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当U盘等外部存储设备插入USB接口时，存储设备自动切换到Windows或者安卓系统下：屏幕显示Windows画面，U盘等存储设备自动切换到Windows下；屏幕显示安卓画面，则U盘等存储设备自动切换到安卓界面下使用；一根网线实现Windows和安卓系统两个系统同时上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12.智慧黑板支持双系统（安卓系统与windows系统）教学使用，双系统互为备份，可任意切换进行授课教学。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要求智慧黑板安卓和Windows两个系统支持共享一个账号，同步不同系统资料，可同步编辑、同步更新（安卓系统编辑步骤保存后，可在windows系统下同步最新修改步骤）；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14.要求智慧黑板前置type-c接口支持50W快充功能，可以给教学平板、教学笔记本、手机等进行快速充电；前置面板所有 USB 接口即可同步至笔记本，当作笔记本扩展接口使用，可同步实现点对点触摸功能，无需增加专用触控线材；提供具有CMA或CNAS标识的第三方权威机构出具的检测报告复印件并加盖制造商公章。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15.智慧黑板能感应并自动调节屏幕亮度来达到在不同光照条件下的不同亮度显示效果，适应不同的使用场景，此功能可根据需求自行开启或关闭。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16.智慧黑板内置无线传屏接收端，无需外接接收部件，支持无线传屏设备与整机匹配后实现传屏功能，将外部电脑的屏幕画面通过无线方式传输到整机上显示。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17.为保证教室声场环境清晰、均衡、无回声、无混音，智慧黑板内置2.0声道音响，前朝向15W高保真扬声器2个，额定总功率30W。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整机屏幕左右两侧具有侧边栏悬浮触控菜单，可呼出或隐藏，默认支持返回、主页、批注、快捷白板、多任务、设置、信号源切换功能；支持将侧边栏功能自定义设置为：调出Windows白板、内置电脑、type-c、截图、屏幕下移、锁屏等功能；支持一键恢复默认设置；同时支持悬浮球方式呈现，并可根据需求开启或关闭；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二、内置ops电脑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1.智慧黑板采用插拔式模块电脑架构，插入结构稳固具有防震功能，接口严格遵循Intel®的OPS-C相关规范,针脚数为80Pin,智慧黑板与插拔式电脑无单独接线。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2.电脑配置：处理器不低于Intel Core i5 9400，内存:≥8G DDR4 ;硬盘:≥256G SSD固态硬盘。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3.有线网络：RJ45≥1（10/100/1000M）。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4.无线网络：WIFI≥1，支持802.11a/b/g/n/ac。</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三、教学白板软件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1.主工具条：显示常用的选择、画笔、板擦、漫游、撤销、录屏、翻页和新建页等功能，并具有调出软件菜单和最小化功能。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2.背景颜色：提供五线谱、三线格、田字格、米字格等多种背景模板，并支持自定义图片背景。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3.书写工具:至少提供铅笔、毛笔、马克笔、印章笔、纹理笔等多种书写工具;可自由调节书写粗细、颜色、线型，方便板书及批注。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4.粉笔书写：为还原真实粉笔板书体验，要求白板软件具有粉笔书写功能，不仅能模拟粉笔笔迹，同时带有粉尘下落效果；提供具有CMA或CNAS标识的第三方权威机构出具的检测报告复印件并加盖制造商公章。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5.擦除功能：手势擦除功能，可通过手掌或手背直接调出板擦工具；五指擦除功能，在白板软件内通过五指手势调出板擦工具。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6.云课件：白板软件具有账号登录功能，为每个账号提供云端存储空间，支持将课件同步至云端保存。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7.同步保存：支持设置课件自动保存至云端，同时可设定间隔时间为1分钟、3分钟、5分钟。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8.漫游：可扩大屏幕板书区域，并且通过缩略图导航，可快速定位，方便查询。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9.录屏：通过软件主页快速启动录屏，可将屏幕中的课件、音频内容与老师人声同时录制。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10.页面管理：支持新建页面，页面切换、页面预览；支持在预览模式下选择页面进行二分屏、四分屏对比讲解；支持在对比模式下批注、擦除，并可将对比页面以图片的形式保存。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四、移动授课助手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1.移动助手采用C/S构架，支持win7 sp1 x64及以上操作系统，支持安卓6.0及以上操作系统，支持iOS10.4及以上操作系统。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2.移动助手支持局域网设备搜索。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3.支持扫码连接。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4.支持手机投屏，可以将手机的桌面发送到整机端，并支持批注与擦除。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5.支持手机摄像头麦克风直播，支持直播时拍照编辑发送，可对图片进行裁剪旋转等操作。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6.支持课件控制，支持在手机端对服务端PPT进行播放，退出，翻页，批注，擦除等多种操作，手机端可以对PPT进行缩略图预览。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五、智慧校园云平台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1.智慧校园云平台集中控制系统是采用B/S架构的混合云管理系统，无需本地化部署，即可实现对教学信息化设备进行远程管理控制， 以及设备状态监控。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2.智慧校园云平台集中控制系统可支持windows、Linux、Android、IOS 等多操作系统通过网页浏览器登录操作。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智慧校园云平台集中控制系统微信小程序端支持远程控制智慧黑板的息屏、亮屏、重启、关机等功能；同时还可以通过微信小程序进行扫描设备主页二维码进行故障报修，并支持故障图片上传、查看报修记录；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4.智慧校园云平台集中控制系统支持网盘功能，便于用户存储数据。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5.智慧校园云平台集中控制系统后续支持对所有校园信息化教学设备的管理控制。支持与白板软件互通协议，实现备授课模式的老师端资源管理以及资源分享，可实现资源的实时分享。</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6.智慧校园云平台集中控制系统可远程对选定的智能交互设备推送公告消息，并在终端进行滚动播放，并可实现全信号通道轮播。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7.智慧校园云平台集中控制系统支持远程对选定的在智能交互设备推送文件，方便老师教育教学过程中的文件传输。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8.智慧校园云平台集中控制系统支持获取安卓、Windows及其他信号源通道下桌面，回传至管理端；提供具有CMA或CNAS标识的第三方权威机构出具的检测报告复印件并加盖制造商公章。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9.智慧校园云平台集中控制系统要求支持远程对软件的远程OTA在线升级，便于后期功能迭代，以及智慧终端管理的横向扩展。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10.智慧校园云平台集中控制系统支持接入平台终端设备的数据分析与展示，包括设备安装总数、实时在线终端数、故障终端数、用户数量、设备在线活跃度、使用时长排名、在线时长排名、设备状态评分排名等。</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视频展台</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整机自带LED补光灯，可触摸式三级灯光调节。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展台对焦方式采用自动+触摸对焦，也可通过实时演示画面直接控制对焦，减少老师来回走动。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像素：800万像素，A4幅面。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箱体外侧内嵌2个USB扩展口，可外接U盘或无线键鼠的接收器。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箱体采用ABS环保材质，轻便耐腐蚀，箱内无可见连接线，整机圆边设计，安全防碰伤。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 具备1个5V 2A电源接口，在超5米远距离传输时可选用电源适配器辅助供电，确保高清数据和供电传输的稳定性。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采用三折叠式开合托板，非气压杆联动，平稳无故障。</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智能交互显示系统</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1.整机屏幕采用≥86英寸超高清LED 液晶屛，屏幕图像分辨率 3840*2160。全金属外壳一体设计，无外露连接线，外观简洁。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采用红外触控技术，满足20人同时书写，响应时间≤2ms，触摸精度为1mm；为了更好的显示效果和观看体验，整机屏幕表面钢化玻璃厚度≤4mm，图像分辨率3840*2160，亮度≥500cd/㎡，可视角度≥178°，对比度≥4000:1，色域值≥120%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3.为满足不同设备接入需求，整机提供多种接口，前置接口：HDMI≥1,Touch USB≥1，USB3.0≥3，TYPE-C≥1,后置接口：RJ45≥1、USB≥1、HDMI≥1、VGA_IN≥1、VGA-AUDIO≥1、EARPHONE≥1、RS232≥1。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整机要求前置物理按键不少于6个，包含常用的返回主页、电源、音量加减、信号源切换、节能等常用功能，并支持将除电源键外任意物理按键功能自定义设置成屏幕下移、锁屏、一键录屏、图像比例、护眼模式；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整机具有安卓和Windows系统双系统，共享一个账号，可同步不同系统资料，进行检索、下载、查看；并可同步编辑、同步更新。（安卓系统下编辑后保存，在Windows系统下可查看最新状态）；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6.整机具有手势息屏功能，通过五指按压屏幕实现关闭屏幕背光功能，此功能可根据需求开启或停用。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7.整机支持双系统（安卓系统与windows系统）教学使用，双系统互为备份，可任意切换进行授课教学。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整机具有多种智慧护眼模式，护眼模式：一键调节屏幕亮度进入护眼模式；护眼光控：能感应并自动调节屏幕亮度来达到在不同光照条件下的不同亮度显示效果；护眼书写：在系统自带书写软件中书写时屏幕亮度自动调节至护眼模式。适应不同的使用场景，可根据需求自行开启或关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9.整机具备不少于 3 路前置双系统 USB3.0 接口, USB3.0 接口支持 Android 系统、Windows 系统读取外接移动存储设备，即插即用无需区分接口对应系统。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10.在内置安卓系统状态下，可对外部存储设备的内容进行自动分类、归档，方便老师快速查找所需要的文件。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11.整机内置无线网络模块，支持双频2.4G和5G WiFi无线上网连接和AP无线热点发射，安卓主板带有ops电脑专用WiFi模块，无需跟随系统切换；提供具有CMA或CNAS标识的第三方权威机构出具的检测报告复印件并加盖制造商公章。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整机具备前置全功能type-c接口，最高支持45W快充，可以给平板、笔记本、移动授课终端等进行充电。笔记本与Type-C接口连接时，前置面板所有USB接口支持同步至笔记本，当作笔记本扩展接口使用；还可以实现对外接笔记本电脑点对点触摸功能；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13.支持无线传屏设备与整机匹配后实现传屏功能，将外部电脑的屏幕画面通过无线方式传输到整机上显示。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整机屏幕左右两侧具有侧边栏悬浮触控菜单，可呼出或隐藏，默认支持返回、主页、批注、快捷白板、多任务、设置、信号源切换功能，在设置中支持将侧边栏功能自定义设置为调出Windows白板、内置电脑、type-c、截图、屏幕下移、锁屏等功能，并支持一键恢复默认设置；同时支持悬浮球方式呈现，可根据需求开启或关闭；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15.为保证教室声场环境清晰、均衡、无回声、无混音，整机内置2.0声道音响，前朝向功率不低于15W高保真扬声器2个，额定总功率≥30W。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16.整机配备高清摄像头，拍摄像素≥800万，对角视场角≥120°，拾音角度≥180°，整机配备全向拾音麦克风，最大可达≥10 米。</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智慧教室音频设备</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一、数字音频功放处理器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1、具备内置一路三模合一无线教学话筒接收模块；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2、能同时使用一支三模合一无线教学话筒；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3、具备≥2路MIC平衡信号专用输入凤凰接口；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4、每路MIC信号接口独立提供6V供电；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5、具备≥1组立体声LINE信号输入凤凰接口；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6、具备≥1组立体声MUSIC信号输入凤凰接口；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7、具备≥1组立体声录音信号输出RCA接口；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8、所有输入输出接口均具备独立音量调节功能；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9、LINE和MUSIC总音量前面板可调，且不能影响其他输入信号；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10、前面板除总混合输出音量调节旋钮外，其他调节旋钮均为暗藏式旋钮，防止误触碰；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11、具备录音输出电平高低调节功能；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12、具备开关机自动延时管理功能，保护设备受冲击损坏。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13、前面板具备MIC信号3段音调调节；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14、前面板具备LINE/MUSIC信号3段音调调节；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15、具备远程开关机控制接口；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16、具备接地选择开关；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17、具备软件控制音量RS232接口；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18、具备独立两通道≥2x100W功率输出；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19、具备每通道功率输出大小可调；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20、≥1.5U高19英寸标准机柜面板。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21、提供数字功放应用管理系统软件著作权复印件并加盖制造商公章。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22、提供具有CMA或CNAS标识的第三方权威机构出具的数字功放检测报告复印件复印件并加盖制造商公章。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二、数字无线教学话筒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1、具备2.4G、UHF、IR红外三种无线传输模式，无缝融合使用；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2、具备处理受干扰、易串频、音质差、和维护管理困难的有效技术；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3、具备全数字化传输、DSP信号处理、数字调试和智能管理的性能；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4、具备2.4G、IR红外两种自动对频方式，无缝转换，适应任何恶劣环境使用；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5、具备开机自动检测工作环境，自动选择最优工作信道；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6、具备使用过程中语音信道受到干扰时，自动进行信道选择切换的功能，不需人工干预；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7、要求使用过程中管理信道受到干扰时，不影响语音信道的正常工作；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8、具备专业级话筒音质，48K,16bit，30~20KHz宽频响，无法感知延时；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9、支持无线充电，放下充电，拿起讲话；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10、内置锂电1000mA或以上，全智能充电管理，具备无线充电功能，长续航，零维护；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11、集成智能传感器，放下静音，拿起说话；超时不用，自动待机；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12、具备支持接入学校管理平台的接口，能够联网智能管理所有话筒；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13、具备智能辨别手持使用状态和挂在胸前使用状态的功能；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14、集话筒、激光教鞭和无线PPT翻页三种使用功能一身；</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15、在使用状态下，可以同时进行充电；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16、关机状态下，充电完成屏幕自动熄灭；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17、具备同时支持外接头戴麦；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18、具备OLED显示屏，清晰显示系统状态及参数；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19、具备自动静音功能，自动语音快速恢复，嘈杂环境，正常使用；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20、具备Type C 充电和数据接口；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21、具备内置DSP数字防啸叫功能；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22、具备内置7段麦克风均衡器；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23、具备多功能无线充电底座，可桌面放置或挂墙插置充电；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24、拾音器结构及功能特殊设计，防喷、防风噪，声音通透自然，没有喷麦的爆破音。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三、充电底座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1、具备多功能，同一底座，可桌面平置安放，也可以挂墙插置充电；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2、具备IR红外发射功能；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3、具备底部出线和尾部出线两种出线方式可选，方便安装；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4、具备双色充电指示灯；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5、U型槽式结构，防止话筒滚动。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四、教学吊麦拾音器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1、类型：背极电容式；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2、指向性：超强指向；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3、频率响应：40Hz~16.5KHz；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4、灵敏度：-34dB±3dB(0dB=1V/Pa at 1KHz)；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5、输出阻抗：250Ω平衡输出；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6、使用电压：11-52V幻像电源；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7、尺寸：Φ22×220mm。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五、壁挂式音箱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3、灵敏度：≥85 dB；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4、额定：≥80W；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5、高保真6.5”低音 + 3”双磁高音；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6、15mm厚度实木板材专业箱体结构；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7、倒梯形箱体特殊设计，贴合墙面简单吊挂，即可获得理想覆盖角度；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8、高档磨砂环保喷漆工艺，防潮耐用易维护；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9、自带双保险挂片，兼容专业支架安装；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10、提供具有CMA或CNAS标识的第三方权威机构出具的专业音箱检测报告复印件复印件并加盖制造商公章。</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移动式讲台</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1.钢木结合设计，1.2mm-1.5mm厚的冷轧钢板桌体，老师接触位置为木质桌面，桌面防静电。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2.讲台桌面环抱式设计，外观尺寸：长×宽×高≥1200mm*1000mm*600mm，中控屏幕距离讲台桌面右边缘≥500mm，桌面下方设有两个高度≥100mm 收纳柜；提供具有CMA或CNAS标识的第三方权威机构出具的检测报告复印件并加盖制造商公章。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3.讲台桌面平整，全封闭设计，整体外观流线型设计，无菱角处理。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讲台中控屏幕采用至少21.5寸电容触摸屏幕，内置安卓系统，支持不少于10点同时触摸，屏幕采用3mm钢化玻璃覆盖，保护屏幕安全。讲台中控屏幕右侧USB接口不少于4个，可供给智慧平板当作扩展坞使用，接口均为内嵌式设计（防积灰、防溅水）。同时侧面设有220V标准供电模块；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5.讲台采用模块化设计，中控屏幕可单独拆装。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6.讲台中控系统具有呼出、隐藏式菜单，具有环境监测数据、课堂模式切换、物联设备控制、录播设备控制等功能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7.讲台中控系统具备课堂模式切换功能，支持上课、下课、自习、理科、文科、PPT 等模模式切换。随着模式切换，当前教室里的灯光、窗帘等设备的状态也自动随之切换等；提供具有CMA或CNAS标识的第三方权威机构出具的检测报告复印件并加盖制造商公章。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8.讲台中控屏幕支持与智能平板同步显示、同步触摸，智能平板和讲台中控屏幕均可显示最佳分辨率，分辨率分别为 4K 和 1080P。下方设有锁屏、电源键、音量+、音量-、HOME键、一键护眼、自定义等不少于7个触摸式按键，可对智能平板进行快捷控制。其中自定义按键支持自定义设置成智能平板开机、调出Windows白板、截图、屏幕上下移等功能；提供具有CMA或CNAS标识的第三方权威机构出具的检测报告复印件并加盖制造商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9.中控屏幕电源键具有三合一功能，支持单独关闭讲台中控屏幕、单独关闭智能平板、同时关闭讲台中控屏幕及智能平板；提供具有CMA或CNAS标识的第三方权威机构出具的检测报告复印件并加盖制造商公章。</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便携式录播通道</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原校内便携录播连接通道升级</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教室桌椅</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学习桌：1.六边形多功能组合拼接桌、多种组合方式、用六张单桌拼接而成，也可单桌独立使用，规格¢1600*750mm、2.桌面材质：三聚氰胺板：板材厚度：≥25㎜；表面平整、板材双面膨胀系数相同，表面耐磨、耐腐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3.挡板：采用三聚氰胺挡板，厚度：≥18mm ；书网管：使用铝制型材管；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4.横梁：采用≥1.2㎜壁厚圆管，冷扎管；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5.人字形支架：采用椎管工艺≥1.5㎜壁厚，冷轧管；具有较强的耐蚀性及承重性，可折叠存放；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6.脚轮：PA尼龙骨架+PU软胶滚轮，PA保证结构强度，PU软胶实现静音滚动，可调节高低;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7.桌子两侧设置旋钮开关，任何一侧，一扭便可折叠；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8.脚轮旋钮可高低调节≥1.5厘米，确保拼接平整；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9.颜色：台面与挡板颜色可选；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学习椅：1. 整体尺寸：≥855*610*470（椅高*座宽*座深）；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椅架：采用≥1.5mm厚精喷涂钢架，带活动扶手面，配铝合金托高档旋转写字板；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连接配件：铝合金压铸；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靠背：采用全新尼龙工程塑料加固框扪优质单网布，颜色可选；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座板：采用≥10厘厚优质多层实木夹板；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 座垫：采用≥45以上高密度发泡PU定型棉扪优质弹性绒布，配全新PP塑料防尘底壳。</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教室环境改造</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一.装修设计要求：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原教室墙面的窗台，暖气，柱子外包，墙裙，踢脚线等等均使得房间的墙面非平整化状态，为了保证声学墙面的顺利安装和实施，必须对原墙面进行平整化的拆除和修补处理。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1.物理环境：通风、隔热、采光及人工照明合理，为师生提供舒适学习环境；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2.设计特色：根据教室内不同功能区进行定制设计，风格统一，突出科技现代化风格特点；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3.造型效果：立意新颖、独特，能够有较强的前瞻性，实用性强。色彩搭配及效果：色彩搭配协调，材料运用合理；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4.材料要求：符合国家防火、防潮、环保标准；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二.装修技术要求：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1、墙面吸音板基础 优质防火龙骨打底，软包框架；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2、智慧教室各墙面进行吸音及软包：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3.国标优质塑胶地板；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4.室内开关插座线管电料，国标；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5.吊顶 定制格栅吊顶；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6.遮光窗帘 包括窗帘盒、轨道安装，遮光窗帘。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7.窗台台面 人造大理石台面；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8.改包暖气 教室暖气包裹装饰；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9.系统施工安装 垃圾清运、设备搬运、安装等；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10设备辅材 符合国家安全、环保标准；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11.灯光：LED光源，无眩光，透光率佳。</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台式电脑</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1、CPU:lntel i7-10700处理器或以上(主频≥3.0GHz缓存≥12MB)。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2、芯片组：英特尔≥B365,(不接受H系列主板)。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3、内存：≥16GB DDR4 2666MHz，≥2个DIMM插槽。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4、硬盘：≥256G M.2 SSD固态硬盘+1TB SATA硬盘，DVDRW光驱。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5、显卡：≥4G独立显卡，HDMI+VGA或以上接口。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6、网卡：集成10/100/1000M自适应网卡。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7、接口：≥8个USB接口，且USB3.1≥4个，前置1个耳机插孔，1个麦克风插孔。</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8、扩展槽:1个或以上PCI-E*16及PCI-E*1扩展槽位。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10、同品牌键盘/鼠标：抗菌防水键盘；抗菌光电鼠标。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11、显示器：≥23吋宽屏窄边16:9 LED背光IPS液晶显示器，VGA，HDMI两接口以上，分辨率：1920*1080。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12、预装正版Windows10 64位专业版操作系统。</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打印机</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1、功能：A4幅面彩色激光打印机、内存：标配/最大：128 MB。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2、打印分辨率：黑白(最佳模式)：高达1,200x1,200dpi；黑白(正常模式)：600x600dpi、打印速度：黑白(正常模式，A4)：高达18页/分钟、彩色(正常模式，A4)：高达4页/分钟、首次打印时间：黑白(A4，就绪模式)：仅8.3秒；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3、接口：高速USB 2.0端口、快速以太网10/100Base-TX端口、无线802.11 b/g/n。</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多功能一体机</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1、功能：打印；复印；扫描黑白打印一体机、内存：标配/最大：128 MB、A4幅面；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2、打印分辨率：黑白(最佳模式)：高达1,200x1,200dpi；黑白(正常模式)：600x600dpi、打印速度：黑白(正常模式，A4)：高达20页/分钟、首次打印时间：黑白(A4，就绪模式)：仅8.3秒；黑白(A4，睡眠模式)：最快18秒；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3、复印功能：平板式、最大复印页数：最多99份、复印比例：25%～400%、首次复印时间：黑白(A4)：仅8.9秒；黑白(A4，睡眠模式)：最快17秒、复印速度：黑白(正常模式，A4)：高达20份/分钟；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4、接口：高速USB 2.0端口、快速以太网10/100Base-TX端口、 无线802.11 b/g/n；</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5、支持纸张尺寸：A4、A5、A5(LEF)、B5(JIS)、Oficio、信封(DL、C5)；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6、系统参数：Windows®：7(32/64位)，2008 Server R2,8(32/64位)，8.1(32/64位)，10(32/64位)，2012 Server，2016 Server等；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7、电源类型：内置电源；电源要求：220伏输入电压：220～240伏交流电，50/60赫兹。功耗7：打印：300W，就绪：38W，睡眠：1.9W；手动关机：0.2W； 自动关机/手动开机：0.2W；典型用电量(TEC)8：0.876KWH/周(BA)，0.924KWH/周(ES)；</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8、扫描分辨率：光学分辨率：高达600x600dpi；增强：高达4,800x4,800dpi、扫描类型：平板式、灰阶：256。</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单反镜头</w:t>
            </w:r>
          </w:p>
        </w:tc>
        <w:tc>
          <w:tcPr>
            <w:tcW w:w="7256"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EF 70-200mm f/2.8L IS III USM 单反镜头</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手持稳定器 </w:t>
            </w:r>
          </w:p>
        </w:tc>
        <w:tc>
          <w:tcPr>
            <w:tcW w:w="7256"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产品类型：手机稳定器；云台类型：三轴云台；使用方式：手持，桌面；≥承重：4.5 kg（手持）；云台充电接口：Type-C。</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读卡器</w:t>
            </w:r>
          </w:p>
        </w:tc>
        <w:tc>
          <w:tcPr>
            <w:tcW w:w="7256"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SD读卡器（USB3.0）</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音箱</w:t>
            </w:r>
          </w:p>
        </w:tc>
        <w:tc>
          <w:tcPr>
            <w:tcW w:w="7256"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有源无源：有源；声道系统：2.0声道；调节方式：旋钮+遥控；频响范围：≥30Hz-20KHz；失真度：≥0.5% 1W 1KHz；信噪比：≥85dB；额定功率(W)：≥60W。</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移动存储</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128GB USB3.2极速固态U盘,读速高达420MB/s 写380MB/s </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网络安装检修工具</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光钎通信网络安装检修工具组套装切割刀寻线仪红光笔网线钳25件套工具箱</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常规工具</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工具箱套装组套108件（蓝色） 琢美通用豪华附件套装110件/套，木工铣刀30件/套</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电池</w:t>
            </w:r>
          </w:p>
        </w:tc>
        <w:tc>
          <w:tcPr>
            <w:tcW w:w="7256"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电池类型：锂电池；电池容量：4280mAh；其他性能：工作环境温度：-10°C-40°C；其它特点：最大充电功率：180W。</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存储卡</w:t>
            </w:r>
          </w:p>
        </w:tc>
        <w:tc>
          <w:tcPr>
            <w:tcW w:w="7256" w:type="dxa"/>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128G TF存储卡</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3"/>
            <w:shd w:val="clear" w:color="000000" w:fill="FFFFFF"/>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二、教学研讨室1</w:t>
            </w:r>
          </w:p>
        </w:tc>
        <w:tc>
          <w:tcPr>
            <w:tcW w:w="645"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62"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室内全彩LED屏</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1.LED显示屏灯珠选用表贴三合一铜线封装，LED封装形式：SMD1515黑灯，提供原厂封装证明文件并加盖制造商公章。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LED显示屏采用≤1.86mm点间距，像素点密度≥288906点/m²，模组尺寸宽320mm*高160mm，模组分辨率172*86点，模组重量≤0.36kg/张，白平衡亮度200～600CD/m²，峰值功耗：≤500W/m²，平均功耗：≤168W/m²；提供第三方检测机构出具的带</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LED显示屏像素中心距相对偏差≤1%，对比度≥10000:1，像素失控率≤1/100000，水平/垂直视角≥175°，平整度≤0.1mm，刷新率≥3840Hz，色温1000K-20000K连续可调，亮度均匀性≥99%，色度均匀性±0.001Cx，Cy之内，波长误差在±2nm之内，屏前1米噪音值＜2dB；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LED显示屏采用磁吸前维护，可正面拆卸模组、接收卡、电源，支持模组、接收卡等低压器件多次带电热插拔测试后都能正常工作，使用寿命≥100000h，平均无故障时间≥20000h，平均故障恢复时间（MTTR）≤2分钟；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5.LED显示屏为保证使用的安全性隐患，采用GB/T 5169.16-2017标准，PCB板、线材、电源、连接件阻燃等级达到V-0等级；LED显示屏为防止金属离子迁移、线路短路现象，PCB采用FR-4 四层板同等级或更高材料，PCB导线更宽、导线间距和过孔间距更大，能更好的杜绝模块黑屏、显示异常、灯珠缺色、毛毛虫等现象，表面沉金处理，板厚≥1.6mm，铜厚≥1盎司，TG≥150，具备防潮/防尘/防静电/抗氧化/防霉等级≤1级，LED显示屏具备旋转式灯板设计，弱化跨板耦合效应；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6.LED显示屏具备旋转式灯板设计，弱化跨板耦合效应，保证更优质的显示效果；提供第三方检测机构出具的带有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标志的检测报告并加盖原厂公章。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7.LED显示屏具备现场屏体开关机次数及使用时长记录，对现场温湿度的监测，并形成数据保存周期为100天，并可在控制软件端提取数据，实时了解现场屏体及使用环境情况。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8.LED显示屏具备VICO指数测试值在0≤VICO＜1间，属于1级基本无疲劳感舒适度，产品视觉健康舒适度A＋级。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9.LED显示屏符合 IEC 60990:1999 安全检验标准，安全电路内导体和地之间的电压不应超过 42.4V 交流峰值或 60V 直流值。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LED显示屏具备测试12个循环，每个循环8小时，测试总时长96小时，每个循环测试包括4小时的紫外线照射（UV-A,340nm，60℃）及4小时的水分曝光（50℃）。测试后样品零部件应该是未破损没有任何变形及无可见的腐蚀或氧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11.LED显示屏符合 IEC 62471:2006 标准的光生物安全及蓝光危害评估检测的无危害类要求（豁免级），具备防蓝光护眼模式。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12.LED显示屏实验按GB 4943.1-2011《信息技术设备安全第1部分：通用要求》相关跌落试验规范要求。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13.投标产品制造商具有CNCA全国认证认可信息公共服务平台可查证，提供第三方权威认证机构颁发的证书复印件并加盖制造商公章。</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6.2 </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控制电脑</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1、CPU:lntel i5-10500处理器或以上。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2、14英寸IPS屏幕，宽屏16：9，支持1920*1080分辨率。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3、内存：≥16GB DDR4 2666MHz。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4、硬盘：≥512G M.2 SSD固态硬盘。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5、显卡：集成显卡。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6、网卡：集成10/100/1000M自适应网卡。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7、预装正版Windows10 64位专业版操作系统。</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视频处理器</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1.支持窗口位置、大小调整及窗口截取功能。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2.支持输入源一键切换。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3.支持外置独立音频。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4.支持DVI、HDMI的输入分辨率预设及自定义调节。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5.支持画面一键全屏缩放、点对点显示、自定义缩放三种缩放模式。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6.支持快捷点屏，简单操作即可完成屏体配置。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7.支持4个网口输出，</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带载260万像素，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宽度3840像素，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高度1920像素。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8.支持创建6个以上用户场景作为模板保存，可直接调用，方便使用。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9.支持屏体参数调整。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10.前面板直观的LCD显示界面。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11.输入接口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1）HDMI*1：HDMI1.3标准，最大支持1920*1080@60Hz分辨率视频源输入，向下兼容；支持HDCP 1.4和内置EDID 1.4；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2）DVI-D*1：VESA标准，最大支持1920*1080@60Hz输入视频源输入，向下兼容；支持HDCP 1.4和内置EDID 1.4；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3）VGA*1：最大支持1920*1080@60Hz分辨率视频源输入，向下兼容；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4）CVBS*1：PAL/NTSC 标准视频输入；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5）USB*1：2.0接口，连接U盘，支持1080p@30fps视频文件；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6）AUDIO*1：音频输入。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12.输出接口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1）Port*2：RJ45，4路千兆网口输出，4个网口可上下左右任意拼接控制接口；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2）AUDIO*1：音频输出。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13.控制接口：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1）网口（RS232）*1：连接中控设备；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2）USB(Type B)*1：程序升级。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显示屏控制设备嵌入式软件</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1.LED显示屏控制设备嵌入式软件，软件提供视频切换功能、分区特效、三维特效动画等功能。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2.支持视频、音频、图像、文字、Flash、Gif等形式的媒体文件播放；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3.支持Microsoft office的Word、Excel、PPT显示；支持多页面多分区节目编辑；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4.支持时钟、计时、网页、表格、数据库、天气预报显示；支持外部视频、环境信息、体育比分、桌面拷贝播放；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5.支持对LED大屏幕的手工校正，兼容其它专业校正设备采集的校正数据。</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配电柜</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1.额定功率：≥10KW，输出路数：≥3路。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2.配电柜输入电压为交流380V±15%，工频50Hz。具有过压、浪涌、短路、过流、过载、漏电等保护功能。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3.内置避雷器，具有避雷防雷功能。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4.配电柜含多功能卡控制，具有远程控制功能。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5.支持通过LED显示屏智慧控制系统软件实现远程开关电箱、远程通讯、电源监视、温度监控、消防监控等操作。</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无线传屏器</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1.支持usb无线传屏，支持windows和mac电脑，仅通过usb口，同时完成传输和供电，无线传屏至接收端。支持对usb传屏器所插电脑的触摸反控。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2.支持无线接收Android系统、IOS系统、Mac OS系统、Windows7/8/10系统的镜像视频流。支持Mac OS系统、Windows系统反向显示主机端的内容。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3.Android镜像传屏支持传声音同时播放在线视频支持传声音。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4.支持白板书写及批注功能，并支持将白板内容扫码下载保存。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5.支持指定某台安卓手机/苹果手机设备为锁定模式，即独占模式。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6.接收端双网络结构，支持本机与外网wifi连接，移动端投屏时能够访问外网。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7.支持屏幕显示模式设置，支持等分模式及镜像预览模式。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8.支持定时开关机功能，支持周期性设置开关机时间。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9.支持色度参数调节功能、支持显示区域的宽高比调节功能。</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专业功放</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两声道功放有三档输入灵敏度选择（支持0.775V/1V/1.44V），可接纳宽幅度范围信号源输入，提供产品接口界面截图并加盖制造商公章。输入座接地脚接地和悬浮控制，提供国家权威检验机构出具的检测报告（呈现相应功能）复印件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2.采用强制散热设计；具有安全保护措施和工作状态指示（短路、过载、直流和过热保护，变压器过热保护），提供国家权威检验机构出具的检测报告（呈现相应功能）复印件并加盖制造商公章。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3.输出功率:立体声/并联8Ω:≥350W*2.立体声/并联4Ω:≥530W*2.桥接8Ω:≥1060W。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4、采用标准XLR+TRS1/4"复合多功能输入接口。智能削峰限幅器，控制功率模块及扬声器系统在安全范围内工作。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5.提供计算机软件著作权登记证书复印件、软件测试报告复印件并加盖制造商公章。</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专业音箱</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1.阻抗：8Ω；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2.频响：65Hz~20KHz；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3.额定功率：≥150W；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4.灵敏度：≥95dB/W/M；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5.水平覆盖角：≥80°，垂直覆盖角：≥60°；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6.高音：3"锥形高音单元×2；</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7.低音：8"低音×1。</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支架</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1、固定面板孔位尺寸（长*宽）：≥140mm*65mm；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2、箱体固定面板孔位尺寸（长*宽）：≥128mm*70mm；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3、设备面板尺寸：≥160mm*90mm。</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音频处理器</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1.输入每通道：≥2路平衡式线路输入，采用标准卡侬接口，平衡接法；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2.输出每通道：≥6路平衡式线路输出，采用标准卡侬接口，平衡接法；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3.支持FIR滤波器；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4.内置数字音频处理算法：增益、延迟、EQ、混音矩阵、压缩器、分配和限幅器；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5.支持断电自动保护记忆功能；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6.支持通道联控功能；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7.支持USB和RJ45两种连接方式，实现PC软件控制，支持RS232控制，提供第三方控制协议，用于对接中控系统。</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无线话筒</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1.采用先进PLL频率合成锁相环技术，微电脑集成中央处理器CPU总线控制系统。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2.兼容手动选频和红外自动对频锁定频道， 杂讯锁定静噪控制及音码锁定静噪控制。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3.V/A显示屏在任何角度观察字体清晰同时显示信道号与工作频率。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4.带8级射频电平显示，8级音频电平显示，频道菜单显示，静音显示。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5.使用640-830MHZ频段，每台接收机拥有≥200个可调频率。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6.支持平衡和非平衡两种选择输出端口。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7.系统包括有一台主机+四台桌面式无线麦克风。</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抑制器</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1.48kHz采样频率，32-bit DPS处理器（300兆主频），24-bitA/D及D/A转换。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2.5档全自动移频模式选择，适用于各种场景及麦克风类型，提供国家权威检验机构出具的检测报告（呈现相应功能）复印件并加盖制造商公章。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3.采用≥2英寸显示屏，分辨率320*240。支持中/英文菜单显示。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4.48个陷波器状态LED指示灯实时显示，每通道12个静态+12个动态陷波器。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5.采用单键飞梭快捷操作，快速实现模式、直通、锁定及中英文选择功能。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6.移频器±10Hz可调（1Hz步进），陷波器增益、Q值、数量可调。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7.独立每通道增益、噪声门、压限器、移频、陷波、高低通、7段PEQ等功能设置。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8.提供USB和RS-485通讯接口，连接PC上位机及中控设备。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9.通过PC上位机可任意编辑5档以上预设模式，支持模式存档及EQ存档导入导出，提供国家权威检验机构出具的检测报告（呈现相应功能）复印件并加盖制造商公章。</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电源管理器</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1.支持不小于8通道电源时序打开/关闭，每路动作延时时间：1秒，支持远程控制（上电+24V直流信号）8通道电源时序打开/关闭—当电源开关锁处于off位置时有效。支持配置CH1和CH2通道为受控或不受控状态。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2.当远程控制有效时同时控制后板ALARM（报警）端口导通以起到级联控制ALARM（报警）功能。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3.单个通道最大负载功率2200W，所有通道负载总功率不小于6000W。输出连接器：多用途电源插座。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4.具有一路及以上USB输出接口。</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实木会议桌</w:t>
            </w:r>
          </w:p>
        </w:tc>
        <w:tc>
          <w:tcPr>
            <w:tcW w:w="7256" w:type="dxa"/>
            <w:shd w:val="clear" w:color="auto" w:fill="auto"/>
            <w:vAlign w:val="center"/>
          </w:tcPr>
          <w:p>
            <w:pPr>
              <w:rPr>
                <w:sz w:val="18"/>
                <w:szCs w:val="18"/>
              </w:rPr>
            </w:pPr>
            <w:r>
              <w:rPr>
                <w:rFonts w:hint="eastAsia"/>
                <w:sz w:val="18"/>
                <w:szCs w:val="18"/>
              </w:rPr>
              <w:t>1、面材：饰面选用AAA级优质木皮，木皮厚度≥0.6mm厚，无节疤、腐朽、裂纹、虫眼、夹皮、变色等缺陷经过防虫防腐处理，耐磨性好。</w:t>
            </w:r>
          </w:p>
          <w:p>
            <w:pPr>
              <w:rPr>
                <w:sz w:val="18"/>
                <w:szCs w:val="18"/>
              </w:rPr>
            </w:pPr>
            <w:r>
              <w:rPr>
                <w:rFonts w:hint="eastAsia"/>
                <w:sz w:val="18"/>
                <w:szCs w:val="18"/>
              </w:rPr>
              <w:t>2、尺寸：</w:t>
            </w:r>
            <w:r>
              <w:rPr>
                <w:rFonts w:hint="eastAsia" w:asciiTheme="minorEastAsia" w:hAnsiTheme="minorEastAsia"/>
                <w:sz w:val="18"/>
                <w:szCs w:val="18"/>
              </w:rPr>
              <w:t>≥6000*1600*760mm。</w:t>
            </w:r>
          </w:p>
          <w:p>
            <w:pPr>
              <w:rPr>
                <w:sz w:val="18"/>
                <w:szCs w:val="18"/>
              </w:rPr>
            </w:pPr>
            <w:r>
              <w:rPr>
                <w:rFonts w:hint="eastAsia"/>
                <w:sz w:val="18"/>
                <w:szCs w:val="18"/>
              </w:rPr>
              <w:t>3、基材：采用符合E0级环保标准，中纤板或刨花板，强度高，不变形、承重性强，甲醛释放量≤1.5mg/L，木材含水率应在11%±1%之间，符合GB/T3324的要求。</w:t>
            </w:r>
          </w:p>
          <w:p>
            <w:pPr>
              <w:rPr>
                <w:rFonts w:ascii="宋体" w:hAnsi="宋体" w:eastAsia="宋体" w:cs="宋体"/>
                <w:sz w:val="18"/>
                <w:szCs w:val="18"/>
              </w:rPr>
            </w:pPr>
            <w:r>
              <w:rPr>
                <w:rFonts w:hint="eastAsia"/>
                <w:sz w:val="18"/>
                <w:szCs w:val="18"/>
              </w:rPr>
              <w:t>4、油漆：采用环保油漆，符合GB18581-2001标准，封闭底着色油漆工艺，严格按照五底三面程序工艺，清晰体现实木质感，色泽美观、不变色、光滑耐磨、手感好。</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会议椅</w:t>
            </w:r>
          </w:p>
        </w:tc>
        <w:tc>
          <w:tcPr>
            <w:tcW w:w="7256" w:type="dxa"/>
            <w:shd w:val="clear" w:color="auto" w:fill="auto"/>
            <w:vAlign w:val="center"/>
          </w:tcPr>
          <w:p>
            <w:pPr>
              <w:rPr>
                <w:rFonts w:ascii="宋体" w:hAnsi="宋体" w:eastAsia="宋体" w:cs="宋体"/>
                <w:sz w:val="18"/>
                <w:szCs w:val="18"/>
              </w:rPr>
            </w:pPr>
            <w:r>
              <w:rPr>
                <w:rFonts w:hint="eastAsia"/>
                <w:sz w:val="18"/>
                <w:szCs w:val="18"/>
              </w:rPr>
              <w:t>1、面料：采用优质西皮，厚度≥1.9mm，经防虫、防腐、分层、鞣制等数十道专业工序处理，耐磨性强、透气性好，手感柔软、细腻、有韧性，富有弹性。</w:t>
            </w:r>
            <w:r>
              <w:rPr>
                <w:rFonts w:hint="eastAsia"/>
                <w:sz w:val="18"/>
                <w:szCs w:val="18"/>
              </w:rPr>
              <w:br w:type="textWrapping"/>
            </w:r>
            <w:r>
              <w:rPr>
                <w:rFonts w:hint="eastAsia"/>
                <w:sz w:val="18"/>
                <w:szCs w:val="18"/>
              </w:rPr>
              <w:t>2、海棉：采用一体成型优质泡棉，密度≥35 kg/m³，高回弹性，耐用度高、厚实、弹性好，表面涂防止老化变形的保护膜，确保10年内不会出现弹不起现象。</w:t>
            </w:r>
            <w:r>
              <w:rPr>
                <w:rFonts w:hint="eastAsia"/>
                <w:sz w:val="18"/>
                <w:szCs w:val="18"/>
              </w:rPr>
              <w:br w:type="textWrapping"/>
            </w:r>
            <w:r>
              <w:rPr>
                <w:rFonts w:hint="eastAsia"/>
                <w:sz w:val="18"/>
                <w:szCs w:val="18"/>
              </w:rPr>
              <w:t>3、曲木板：靠背、座垫为12mm多层曲木板热压成型，按照人体工程学设计，坐感舒适，不易疲劳，曲木板材承压可达200公斤，并经防潮、防腐、防虫等化学处理。</w:t>
            </w:r>
            <w:r>
              <w:rPr>
                <w:rFonts w:hint="eastAsia"/>
                <w:sz w:val="18"/>
                <w:szCs w:val="18"/>
              </w:rPr>
              <w:br w:type="textWrapping"/>
            </w:r>
            <w:r>
              <w:rPr>
                <w:rFonts w:hint="eastAsia"/>
                <w:sz w:val="18"/>
                <w:szCs w:val="18"/>
              </w:rPr>
              <w:t>4、支架：采用产冷轧高频光亮管，壁厚1.2~1.8mm钢管经专业模具折弯成型，表面除油、除锈、磷化、电镀处理。</w:t>
            </w:r>
            <w:r>
              <w:rPr>
                <w:rFonts w:hint="eastAsia"/>
                <w:sz w:val="18"/>
                <w:szCs w:val="18"/>
              </w:rPr>
              <w:br w:type="textWrapping"/>
            </w:r>
            <w:r>
              <w:rPr>
                <w:rFonts w:hint="eastAsia"/>
                <w:sz w:val="18"/>
                <w:szCs w:val="18"/>
              </w:rPr>
              <w:t>5、结构部件之间采用优质金属连接件。</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屏体安装材料</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1.安装支撑屏体的结构及装饰；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2.包边要求：采用铝塑板，不锈钢进行包边。</w:t>
            </w:r>
          </w:p>
        </w:tc>
        <w:tc>
          <w:tcPr>
            <w:tcW w:w="645"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 </w:t>
            </w:r>
          </w:p>
        </w:tc>
        <w:tc>
          <w:tcPr>
            <w:tcW w:w="462"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音频连接线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1.8米音频连接线：卡侬头（母）-卡侬头（公）</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音频连接线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1.8米音频连接线：6.35话筒插头-卡侬头（公）</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音频连接线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1.8米音频连接线：3.5（耳机插头）-双6.35话筒插头</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音频线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RVVP2*0.5，200米/卷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音箱线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HIFI音响线音频线喇叭线带神经线主音箱线300芯蓝色透明100米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视频线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HDMI线材质: 纯铜长度:15米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视频线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HDMI线材质: 纯铜长度:2米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六类网线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六类千兆网线【0.57无氧铜芯】305米</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水晶头</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六类水晶头工程级50U镀金100个装 RJ45千兆网线接头 CAT6</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电源线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电源线RVVP电线电缆 国标纯铜环保 RVV3*2.5 200米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管材</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DN=25mm，厚度：2.0mm，每支钢管通常定尺长度为6000mm</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标准机柜</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1.22U静音机柜；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2.材质：SPCC优质冷轧钢板，方孔条敷铝锌板；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3.厚度：立柱2.0mm，整体1.0mm。</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天花吊顶工程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600*600*12mm优质矿棉板穿孔吸音板，烤漆龙骨安装。具有装饰、隔音、防火阻燃、隔冷绝热、节能绝缘等性能，基材：矿棉纤维及ATTA合成，强度高；表面涂料：丙烯酸乳胶漆，耐擦洗；反光度高达0.87。</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墙面装饰工程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采用槽条木质吸音板，厚度为12mm，密度880KG/m。饰面：三聚氰胺、木皮饰面；安装: 板条长边设计为90度角的凸口和凹口来拼接安装。吸音板背面粘贴黑色具有防火、环保、加强吸音功能的吸音棉。所有材料符合国家环保标准E1级，产品还具有天然木质的芳香。具有木质最高的防火等级B1。</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地面地板工程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PVC塑胶地板，规格：2.0mm厚，由UV表面处理层、高强透明层、彩色印刷层、玻璃纤维层、高弹性发泡层组成，经过特殊工艺处理，具有耐热、耐潮不变形、抗衰老、抗菌、静音、耐磨、防火阻燃等优点。</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强电灯光工程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1.名称:60*60嵌入式LED灯。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2.照明电气配线要求:PC20管内穿BV铜芯线缆，型号：2.5㎡。</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木工工程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靠墙做一排展柜，用以放置模型。要求：长宽按实际需求定制，至少两层隔板。</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窗帘</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一级环保加厚遮光面料，面积1:2,纳米塑料轨道</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1、窗户保护膜全面覆盖；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2、垃圾清理干净，运送至指定位置；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3、板材、胶类、五金、涂料符合国家环保标准；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4、符合机电标准、劳务安全作业施工标准；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5、总体环境，简洁明亮，氛围突出，健康环保。</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22" w:type="dxa"/>
            <w:gridSpan w:val="3"/>
            <w:shd w:val="clear" w:color="000000" w:fill="FFFFFF"/>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三、教学研讨室2</w:t>
            </w:r>
          </w:p>
        </w:tc>
        <w:tc>
          <w:tcPr>
            <w:tcW w:w="645"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462" w:type="dxa"/>
            <w:shd w:val="clear" w:color="000000" w:fill="FFFFFF"/>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室内全彩LED屏</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1.LED显示屏灯珠选用表贴三合一铜线封装，LED封装形式：SMD1515黑灯，提供原厂封装证明文件并加盖制造商公章。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LED显示屏采用≤1.86mm点间距，像素点密度≥288906点/m²，模组尺寸宽320mm*高160mm，模组分辨率172*86点，模组重量≤0.36kg/张，白平衡亮度200～600CD/m²，峰值功耗：≤500W/m²，平均功耗：≤168W/m²；提供第三方检测机构出具的带</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LED显示屏像素中心距相对偏差≤1%，对比度≥10000:1，像素失控率≤1/100000，水平/垂直视角≥175°，平整度≤0.1mm，刷新率≥3840Hz，色温1000K-20000K连续可调，亮度均匀性≥99%，色度均匀性±0.001Cx，Cy之内，波长误差在±2nm之内，屏前1米噪音值＜2dB；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LED显示屏采用磁吸前维护，可正面拆卸模组、接收卡、电源，支持模组、接收卡等低压器件多次带电热插拔测试后都能正常工作，使用寿命≥100000h，平均无故障时间≥20000h，平均故障恢复时间（MTTR）≤2分钟；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5.LED显示屏为保证使用的安全性隐患，采用GB/T 5169.16-2017标准，PCB板、线材、电源、连接件阻燃等级达到V-0等级；LED显示屏为防止金属离子迁移、线路短路现象，PCB采用FR-4 四层板同等级或更高材料，PCB导线更宽、导线间距和过孔间距更大，能更好的杜绝模块黑屏、显示异常、灯珠缺色、毛毛虫等现象，表面沉金处理，板厚≥1.6mm，铜厚≥1盎司，TG≥150，具备防潮/防尘/防静电/抗氧化/防霉等级≤1级，LED显示屏具备旋转式灯板设计，弱化跨板耦合效应；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6.LED显示屏具备旋转式灯板设计，弱化跨板耦合效应，保证更优质的显示效果；提供第三方检测机构出具的带有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标志的检测报告并加盖原厂公章。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7.LED显示屏具备现场屏体开关机次数及使用时长记录，对现场温湿度的监测，并形成数据保存周期为100天，并可在控制软件端提取数据，实时了解现场屏体及使用环境情况。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8.LED显示屏具备VICO指数测试值在0≤VICO＜1间，属于1级基本无疲劳感舒适度，产品视觉健康舒适度A＋级。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9.LED显示屏符合 IEC 60990:1999 安全检验标准，安全电路内导体和地之间的电压不应超过 42.4V 交流峰值或 60V 直流值。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LED显示屏具备测试12个循环，每个循环8小时，测试总时长96小时，每个循环测试包括4小时的紫外线照射（UV-A,340nm，60℃）及4小时的水分曝光（50℃）。测试后样品零部件应该是未破损没有任何变形及无可见的腐蚀或氧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11.LED显示屏符合 IEC 62471:2006 标准的光生物安全及蓝光危害评估检测的无危害类要求（豁免级），具备防蓝光护眼模式。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12.LED显示屏实验按GB 4943.1-2011《信息技术设备安全第1部分：通用要求》相关跌落试验规范要求。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13.投标产品制造商具有CNCA全国认证认可信息公共服务平台可查证，提供第三方权威认证机构颁发的证书复印件并加盖制造商公章。</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4.6 </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控制电脑</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1、CPU:lntel i5-10500处理器或以上。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2、14英寸IPS屏幕，宽屏16：9，支持1920*1080分辨率。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3、内存：≥16GB DDR4 2666MHz。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4、硬盘：≥512G M.2 SSD固态硬盘。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5、显卡：集成显卡。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6、网卡：集成10/100/1000M自适应网卡。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7、预装正版Windows10 64位专业版操作系统。</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视频处理器</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1.支持窗口位置、大小调整及窗口截取功能。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2.支持输入源一键切换。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3.支持外置独立音频。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4.支持DVI、HDMI的输入分辨率预设及自定义调节。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5.支持画面一键全屏缩放、点对点显示、自定义缩放三种缩放模式。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6.支持快捷点屏，简单操作即可完成屏体配置。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7.支持4个网口输出，</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带载260万像素，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宽度3840像素，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高度1920像素。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8.支持创建6个以上用户场景作为模板保存，可直接调用，方便使用。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9.支持屏体参数调整。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10.前面板直观的LCD显示界面。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11.输入接口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1）HDMI*1：HDMI1.3标准，最大支持1920*1080@60Hz分辨率视频源输入，向下兼容；支持HDCP 1.4和内置EDID 1.4；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2）DVI-D*1：VESA标准，最大支持1920*1080@60Hz输入视频源输入，向下兼容；支持HDCP 1.4和内置EDID 1.4；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3）VGA*1：最大支持1920*1080@60Hz分辨率视频源输入，向下兼容；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4）CVBS*1：PAL/NTSC 标准视频输入；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5）USB*1：2.0接口，连接U盘，支持1080p@30fps视频文件；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6）AUDIO*1：音频输入。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12.输出接口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1）Port*2：RJ45，4路千兆网口输出，4个网口可上下左右任意拼接控制接口；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2）AUDIO*1：音频输出。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13.控制接口：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1）网口（RS232）*1：连接中控设备；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2）USB(Type B)*1：程序升级。</w:t>
            </w:r>
          </w:p>
        </w:tc>
        <w:tc>
          <w:tcPr>
            <w:tcW w:w="645"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显示屏控制设备嵌入式软件</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1.LED显示屏控制设备嵌入式软件，软件提供视频切换功能、分区特效、三维特效动画等功能。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2.支持视频、音频、图像、文字、Flash、Gif等形式的媒体文件播放；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3.支持Microsoft office的Word、Excel、PPT显示；支持多页面多分区节目编辑；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4.支持时钟、计时、网页、表格、数据库、天气预报显示；支持外部视频、环境信息、体育比分、桌面拷贝播放；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5.支持对LED大屏幕的手工校正，兼容其它专业校正设备采集的校正数据。</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配电柜</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1.额定功率：≥10KW，输出路数：≥3路。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2.配电柜输入电压为交流380V±15%，工频50Hz。具有过压、浪涌、短路、过流、过载、漏电等保护功能。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3.内置避雷器，具有避雷防雷功能。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4.配电柜含多功能卡控制，具有远程控制功能。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5.支持通过LED显示屏智慧控制系统软件实现远程开关电箱、远程通讯、电源监视、温度监控、消防监控等操作。</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4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无线传屏器</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1.支持usb无线传屏，支持windows和mac电脑，仅通过usb口，同时完成传输和供电，无线传屏至接收端。支持对usb传屏器所插电脑的触摸反控。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2.支持无线接收Android系统、IOS系统、Mac OS系统、Windows7/8/10系统的镜像视频流。支持Mac OS系统、Windows系统反向显示主机端的内容。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3.Android镜像传屏支持传声音同时播放在线视频支持传声音。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4.支持白板书写及批注功能，并支持将白板内容扫码下载保存。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5.支持指定某台安卓手机/苹果手机设备为锁定模式，即独占模式。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6.接收端双网络结构，支持本机与外网wifi连接，移动端投屏时能够访问外网。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7.支持屏幕显示模式设置，支持等分模式及镜像预览模式。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8.支持定时开关机功能，支持周期性设置开关机时间。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9.支持色度参数调节功能、支持显示区域的宽高比调节功能。</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有源音箱</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类型:有源音箱；信噪比:</w:t>
            </w:r>
            <w:r>
              <w:rPr>
                <w:rFonts w:hint="eastAsia"/>
                <w:sz w:val="18"/>
                <w:szCs w:val="18"/>
              </w:rPr>
              <w:t xml:space="preserve"> ≥</w:t>
            </w:r>
            <w:r>
              <w:rPr>
                <w:rFonts w:ascii="宋体" w:hAnsi="宋体" w:eastAsia="宋体" w:cs="宋体"/>
                <w:color w:val="000000"/>
                <w:kern w:val="0"/>
                <w:sz w:val="18"/>
                <w:szCs w:val="18"/>
              </w:rPr>
              <w:t>85db；</w:t>
            </w:r>
            <w:r>
              <w:rPr>
                <w:rFonts w:hint="eastAsia" w:ascii="宋体" w:hAnsi="宋体" w:eastAsia="宋体" w:cs="宋体"/>
                <w:color w:val="000000"/>
                <w:kern w:val="0"/>
                <w:sz w:val="18"/>
                <w:szCs w:val="18"/>
              </w:rPr>
              <w:t>灵敏度:</w:t>
            </w:r>
            <w:r>
              <w:rPr>
                <w:rFonts w:hint="eastAsia"/>
                <w:sz w:val="18"/>
                <w:szCs w:val="18"/>
              </w:rPr>
              <w:t xml:space="preserve"> ≥</w:t>
            </w:r>
            <w:r>
              <w:rPr>
                <w:rFonts w:ascii="宋体" w:hAnsi="宋体" w:eastAsia="宋体" w:cs="宋体"/>
                <w:color w:val="000000"/>
                <w:kern w:val="0"/>
                <w:sz w:val="18"/>
                <w:szCs w:val="18"/>
              </w:rPr>
              <w:t>85db；</w:t>
            </w:r>
            <w:r>
              <w:rPr>
                <w:rFonts w:hint="eastAsia" w:ascii="宋体" w:hAnsi="宋体" w:eastAsia="宋体" w:cs="宋体"/>
                <w:color w:val="000000"/>
                <w:kern w:val="0"/>
                <w:sz w:val="18"/>
                <w:szCs w:val="18"/>
              </w:rPr>
              <w:t>频响范围:</w:t>
            </w:r>
            <w:r>
              <w:rPr>
                <w:rFonts w:hint="eastAsia"/>
                <w:sz w:val="18"/>
                <w:szCs w:val="18"/>
              </w:rPr>
              <w:t xml:space="preserve"> </w:t>
            </w:r>
            <w:r>
              <w:rPr>
                <w:rFonts w:ascii="宋体" w:hAnsi="宋体" w:eastAsia="宋体" w:cs="宋体"/>
                <w:color w:val="000000"/>
                <w:kern w:val="0"/>
                <w:sz w:val="18"/>
                <w:szCs w:val="18"/>
              </w:rPr>
              <w:t>20Hz-20KHz；</w:t>
            </w:r>
            <w:r>
              <w:rPr>
                <w:rFonts w:hint="eastAsia" w:ascii="宋体" w:hAnsi="宋体" w:eastAsia="宋体" w:cs="宋体"/>
                <w:color w:val="000000"/>
                <w:kern w:val="0"/>
                <w:sz w:val="18"/>
                <w:szCs w:val="18"/>
              </w:rPr>
              <w:t>蓝牙版本:蓝牙5.0；接口:莲花头接口；电源类型:电源供电；扬声器数量:</w:t>
            </w:r>
            <w:r>
              <w:rPr>
                <w:rFonts w:hint="eastAsia"/>
                <w:sz w:val="18"/>
                <w:szCs w:val="18"/>
              </w:rPr>
              <w:t xml:space="preserve"> ≥</w:t>
            </w:r>
            <w:r>
              <w:rPr>
                <w:rFonts w:hint="eastAsia" w:ascii="宋体" w:hAnsi="宋体" w:eastAsia="宋体" w:cs="宋体"/>
                <w:color w:val="000000"/>
                <w:kern w:val="0"/>
                <w:sz w:val="18"/>
                <w:szCs w:val="18"/>
              </w:rPr>
              <w:t>4个；喇叭尺寸:24mm音圈高音+5.5英寸中低音单元；声道:2.0声道；理论功率:</w:t>
            </w:r>
            <w:r>
              <w:rPr>
                <w:rFonts w:hint="eastAsia"/>
                <w:sz w:val="18"/>
                <w:szCs w:val="18"/>
              </w:rPr>
              <w:t xml:space="preserve"> ≥</w:t>
            </w:r>
            <w:r>
              <w:rPr>
                <w:rFonts w:hint="eastAsia" w:ascii="宋体" w:hAnsi="宋体" w:eastAsia="宋体" w:cs="宋体"/>
                <w:color w:val="000000"/>
                <w:kern w:val="0"/>
                <w:sz w:val="18"/>
                <w:szCs w:val="18"/>
              </w:rPr>
              <w:t>100W。</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实木会议桌</w:t>
            </w:r>
          </w:p>
        </w:tc>
        <w:tc>
          <w:tcPr>
            <w:tcW w:w="7256" w:type="dxa"/>
            <w:shd w:val="clear" w:color="auto" w:fill="auto"/>
            <w:vAlign w:val="center"/>
          </w:tcPr>
          <w:p>
            <w:pPr>
              <w:rPr>
                <w:sz w:val="18"/>
                <w:szCs w:val="18"/>
              </w:rPr>
            </w:pPr>
            <w:r>
              <w:rPr>
                <w:rFonts w:hint="eastAsia"/>
                <w:sz w:val="18"/>
                <w:szCs w:val="18"/>
              </w:rPr>
              <w:t>1、面材：饰面选用AAA级优质木皮，木皮厚度≥0.6mm厚，无节疤、腐朽、裂纹、虫眼、夹皮、变色等缺陷经过防虫防腐处理，耐磨性好。</w:t>
            </w:r>
          </w:p>
          <w:p>
            <w:pPr>
              <w:rPr>
                <w:sz w:val="18"/>
                <w:szCs w:val="18"/>
              </w:rPr>
            </w:pPr>
            <w:r>
              <w:rPr>
                <w:rFonts w:hint="eastAsia"/>
                <w:sz w:val="18"/>
                <w:szCs w:val="18"/>
              </w:rPr>
              <w:t>2、尺寸：</w:t>
            </w:r>
            <w:r>
              <w:rPr>
                <w:rFonts w:hint="eastAsia" w:asciiTheme="minorEastAsia" w:hAnsiTheme="minorEastAsia"/>
                <w:sz w:val="18"/>
                <w:szCs w:val="18"/>
              </w:rPr>
              <w:t>≥6000*1600*760mm。</w:t>
            </w:r>
          </w:p>
          <w:p>
            <w:pPr>
              <w:rPr>
                <w:sz w:val="18"/>
                <w:szCs w:val="18"/>
              </w:rPr>
            </w:pPr>
            <w:r>
              <w:rPr>
                <w:rFonts w:hint="eastAsia"/>
                <w:sz w:val="18"/>
                <w:szCs w:val="18"/>
              </w:rPr>
              <w:t>3、基材：采用符合E0级环保标准，中纤板或刨花板，强度高，不变形、承重性强，甲醛释放量≤1.5mg/L，木材含水率应在11%±1%之间，符合GB/T3324的要求。</w:t>
            </w:r>
          </w:p>
          <w:p>
            <w:pPr>
              <w:rPr>
                <w:rFonts w:ascii="宋体" w:hAnsi="宋体" w:eastAsia="宋体" w:cs="宋体"/>
                <w:sz w:val="18"/>
                <w:szCs w:val="18"/>
              </w:rPr>
            </w:pPr>
            <w:r>
              <w:rPr>
                <w:rFonts w:hint="eastAsia"/>
                <w:sz w:val="18"/>
                <w:szCs w:val="18"/>
              </w:rPr>
              <w:t>4、油漆：采用环保油漆，符合GB18581-2001标准，封闭底着色油漆工艺，严格按照五底三面程序工艺，清晰体现实木质感，色泽美观、不变色、光滑耐磨、手感好。</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会议椅</w:t>
            </w:r>
          </w:p>
        </w:tc>
        <w:tc>
          <w:tcPr>
            <w:tcW w:w="7256" w:type="dxa"/>
            <w:shd w:val="clear" w:color="auto" w:fill="auto"/>
            <w:vAlign w:val="center"/>
          </w:tcPr>
          <w:p>
            <w:pPr>
              <w:rPr>
                <w:rFonts w:ascii="宋体" w:hAnsi="宋体" w:eastAsia="宋体" w:cs="宋体"/>
                <w:sz w:val="18"/>
                <w:szCs w:val="18"/>
              </w:rPr>
            </w:pPr>
            <w:r>
              <w:rPr>
                <w:rFonts w:hint="eastAsia"/>
                <w:sz w:val="18"/>
                <w:szCs w:val="18"/>
              </w:rPr>
              <w:t>1、面料：采用优质西皮，厚度≥1.9mm，经防虫、防腐、分层、鞣制等数十道专业工序处理，耐磨性强、透气性好，手感柔软、细腻、有韧性，富有弹性。</w:t>
            </w:r>
            <w:r>
              <w:rPr>
                <w:rFonts w:hint="eastAsia"/>
                <w:sz w:val="18"/>
                <w:szCs w:val="18"/>
              </w:rPr>
              <w:br w:type="textWrapping"/>
            </w:r>
            <w:r>
              <w:rPr>
                <w:rFonts w:hint="eastAsia"/>
                <w:sz w:val="18"/>
                <w:szCs w:val="18"/>
              </w:rPr>
              <w:t>2、海棉：采用一体成型优质泡棉，密度≥35 kg/m³，高回弹性，耐用度高、厚实、弹性好，表面涂防止老化变形的保护膜，确保10年内不会出现弹不起现象。</w:t>
            </w:r>
            <w:r>
              <w:rPr>
                <w:rFonts w:hint="eastAsia"/>
                <w:sz w:val="18"/>
                <w:szCs w:val="18"/>
              </w:rPr>
              <w:br w:type="textWrapping"/>
            </w:r>
            <w:r>
              <w:rPr>
                <w:rFonts w:hint="eastAsia"/>
                <w:sz w:val="18"/>
                <w:szCs w:val="18"/>
              </w:rPr>
              <w:t>3、曲木板：靠背、座垫为12mm多层曲木板热压成型，按照人体工程学设计，坐感舒适，不易疲劳，曲木板材承压可达200公斤，并经防潮、防腐、防虫等化学处理。</w:t>
            </w:r>
            <w:r>
              <w:rPr>
                <w:rFonts w:hint="eastAsia"/>
                <w:sz w:val="18"/>
                <w:szCs w:val="18"/>
              </w:rPr>
              <w:br w:type="textWrapping"/>
            </w:r>
            <w:r>
              <w:rPr>
                <w:rFonts w:hint="eastAsia"/>
                <w:sz w:val="18"/>
                <w:szCs w:val="18"/>
              </w:rPr>
              <w:t>4、支架：采用冷轧高频光亮管，壁厚1.2~1.8mm钢管经专业模具折弯成型，表面除油、除锈、磷化、电镀处理。</w:t>
            </w:r>
            <w:r>
              <w:rPr>
                <w:rFonts w:hint="eastAsia"/>
                <w:sz w:val="18"/>
                <w:szCs w:val="18"/>
              </w:rPr>
              <w:br w:type="textWrapping"/>
            </w:r>
            <w:r>
              <w:rPr>
                <w:rFonts w:hint="eastAsia"/>
                <w:sz w:val="18"/>
                <w:szCs w:val="18"/>
              </w:rPr>
              <w:t>5、结构部件之间采用优质金属连接件。</w:t>
            </w:r>
          </w:p>
        </w:tc>
        <w:tc>
          <w:tcPr>
            <w:tcW w:w="645"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62"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屏体安装材料</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1.安装支撑屏体的结构及装饰；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2.包边要求：采用铝塑板，不锈钢进行包边；</w:t>
            </w:r>
          </w:p>
        </w:tc>
        <w:tc>
          <w:tcPr>
            <w:tcW w:w="645"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 </w:t>
            </w:r>
          </w:p>
        </w:tc>
        <w:tc>
          <w:tcPr>
            <w:tcW w:w="462"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视频线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HDMI线材质: 纯铜长度:15米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六类网线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六类千兆网线【0.57无氧铜芯】305米</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水晶头</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六类水晶头工程级50U镀金100个装 RJ45千兆网线接头 CAT6</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电源线</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电源线RVVP电线电缆 国标纯铜环保 RVV3*2.5 200米 </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管材</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DN=25mm，厚度：2.0mm，每支钢管通常定尺长度为6000mm。</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标准机柜</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1.22U静音机柜；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2.材质：SPCC优质冷轧钢板，方孔条敷铝锌板；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3.厚度：立柱2.0mm，整体1.0mm。</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天花吊顶工程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600*600*12mm优质矿棉板穿孔吸音板，烤漆龙骨安装。具有装饰、隔音、防火阻燃、隔冷绝热、节能绝缘等性能，基材：矿棉纤维及ATTA合成，强度高；表面涂料：丙烯酸乳胶漆，耐擦洗；反光度高达0.87。</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墙面装饰工程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采用槽条木质吸音板，厚度为12mm，密度880KG/m。饰面：三聚氰胺、木皮饰面；安装: 板条长边设计为90度角的凸口和凹口来拼接安装。吸音板背面粘贴黑色具有防火、环保、加强吸音功能的吸音棉。所有材料符合国家环保标准E1级，产品还具有天然木质的芳香。具有木质最高的防火等级B1。</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地面地板工程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PVC塑胶地板，规格：2.0mm厚，由UV表面处理层、高强透明层、彩色印刷层、玻璃纤维层、高弹性发泡层组成，经过特殊工艺处理，具有耐热、耐潮不变形、抗衰老、抗菌、静音、耐磨、防火阻燃等优点。</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强电灯光工程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1.名称:60*60嵌入式LED灯。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2.照明电气配线要求:PC20管内穿BV铜芯线缆，型号：2.5㎡。</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木工工程</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靠墙做一排展柜，用以放置模型。要求：长宽按实际需求定制，至少两层隔板。</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746"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窗帘</w:t>
            </w:r>
          </w:p>
        </w:tc>
        <w:tc>
          <w:tcPr>
            <w:tcW w:w="7256"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一级环保加厚遮光面料，面积1:2,纳米塑料轨道。</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746"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7256"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1、窗户保护膜全面覆盖；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2、垃圾清理干净，运送至指定位置；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3、板材、胶类、五金、涂料符合国家环保标准；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4、符合机电标准、劳务安全作业施工标准；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5、总体环境，简洁明亮，氛围突出，健康环保。</w:t>
            </w:r>
          </w:p>
        </w:tc>
        <w:tc>
          <w:tcPr>
            <w:tcW w:w="645"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22" w:type="dxa"/>
            <w:gridSpan w:val="3"/>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四、教学研讨室3</w:t>
            </w:r>
          </w:p>
        </w:tc>
        <w:tc>
          <w:tcPr>
            <w:tcW w:w="645" w:type="dxa"/>
            <w:shd w:val="clear" w:color="auto" w:fill="auto"/>
            <w:vAlign w:val="center"/>
          </w:tcPr>
          <w:p>
            <w:pPr>
              <w:widowControl/>
              <w:jc w:val="center"/>
              <w:rPr>
                <w:rFonts w:ascii="宋体" w:hAnsi="宋体" w:eastAsia="宋体" w:cs="宋体"/>
                <w:color w:val="000000"/>
                <w:kern w:val="0"/>
                <w:sz w:val="18"/>
                <w:szCs w:val="18"/>
              </w:rPr>
            </w:pPr>
          </w:p>
        </w:tc>
        <w:tc>
          <w:tcPr>
            <w:tcW w:w="462" w:type="dxa"/>
            <w:shd w:val="clear" w:color="auto" w:fill="auto"/>
            <w:noWrap/>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室内全彩LED屏</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1.LED显示屏灯珠选用表贴三合一铜线封装，LED封装形式：SMD1515黑灯，提供原厂封装证明文件并加盖制造商公章。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LED显示屏采用≤1.86mm点间距，像素点密度≥288906点/m²，模组尺寸宽320mm*高160mm，模组分辨率172*86点，模组重量≤0.36kg/张，白平衡亮度200～600CD/m²，峰值功耗：≤500W/m²，平均功耗：≤168W/m²；提供第三方检测机构出具的带</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LED显示屏像素中心距相对偏差≤1%，对比度≥10000:1，像素失控率≤1/100000，水平/垂直视角≥175°，平整度≤0.1mm，刷新率≥3840Hz，色温1000K-20000K连续可调，亮度均匀性≥99%，色度均匀性±0.001Cx，Cy之内，波长误差在±2nm之内，屏前1米噪音值＜2dB；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LED显示屏采用磁吸前维护，可正面拆卸模组、接收卡、电源，支持模组、接收卡等低压器件多次带电热插拔测试后都能正常工作，使用寿命≥100000h，平均无故障时间≥20000h，平均故障恢复时间（MTTR）≤2分钟；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5.LED显示屏为保证使用的安全性隐患，采用GB/T 5169.16-2017标准，PCB板、线材、电源、连接件阻燃等级达到V-0等级；LED显示屏为防止金属离子迁移、线路短路现象，PCB采用FR-4 四层板同等级或更高材料，PCB导线更宽、导线间距和过孔间距更大，能更好的杜绝模块黑屏、显示异常、灯珠缺色、毛毛虫等现象，表面沉金处理，板厚≥1.6mm，铜厚≥1盎司，TG≥150，具备防潮/防尘/防静电/抗氧化/防霉等级≤1级，LED显示屏具备旋转式灯板设计，弱化跨板耦合效应；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标志的检测报告并加盖制造商公章。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6.LED显示屏具备旋转式灯板设计，弱化跨板耦合效应，保证更优质的显示效果；提供第三方检测机构出具的带有</w:t>
            </w:r>
            <w:r>
              <w:rPr>
                <w:rFonts w:hint="eastAsia" w:ascii="宋体" w:hAnsi="宋体" w:eastAsia="宋体" w:cs="宋体"/>
                <w:kern w:val="0"/>
                <w:sz w:val="18"/>
                <w:szCs w:val="18"/>
              </w:rPr>
              <w:t>CMA或CNAS</w:t>
            </w:r>
            <w:r>
              <w:rPr>
                <w:rFonts w:hint="eastAsia" w:ascii="宋体" w:hAnsi="宋体" w:eastAsia="宋体" w:cs="宋体"/>
                <w:color w:val="000000"/>
                <w:kern w:val="0"/>
                <w:sz w:val="18"/>
                <w:szCs w:val="18"/>
              </w:rPr>
              <w:t>标志的检测报告并加盖原厂公章。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7.LED显示屏具备现场屏体开关机次数及使用时长记录，对现场温湿度的监测，并形成数据保存周期为100天，并可在控制软件端提取数据，实时了解现场屏体及使用环境情况。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8.LED显示屏具备VICO指数测试值在0≤VICO＜1间，属于1级基本无疲劳感舒适度，产品视觉健康舒适度A＋级。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9.LED显示屏符合 IEC 60990:1999 安全检验标准，安全电路内导体和地之间的电压不应超过 42.4V 交流峰值或 60V 直流值。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LED显示屏具备测试12个循环，每个循环8小时，测试总时长96小时，每个循环测试包括4小时的紫外线照射（UV-A,340nm，60℃）及4小时的水分曝光（50℃）。测试后样品零部件应该是未破损没有任何变形及无可见的腐蚀或氧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11.LED显示屏符合 IEC 62471:2006 标准的光生物安全及蓝光危害评估检测的无危害类要求（豁免级），具备防蓝光护眼模式。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12.LED显示屏实验按GB 4943.1-2011《信息技术设备安全第1部分：通用要求》相关跌落试验规范要求。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13.投标产品制造商具有CNCA全国认证认可信息公共服务平台可查证，提供第三方权威认证机构颁发的证书复印件并加盖制造商公章。</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4.6 </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控制电脑</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1、CPU:lntel i5-10500处理器或以上。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2、14英寸IPS屏幕，宽屏16：9，支持1920*1080分辨率。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3、内存：≥16GB DDR4 2666MHz。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4、硬盘：≥512G M.2 SSD固态硬盘。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5、显卡：集成显卡。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6、网卡：集成10/100/1000M自适应网卡。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7、预装正版Windows10 64位专业版操作系统。</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视频处理器</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1.支持窗口位置、大小调整及窗口截取功能。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2.支持输入源一键切换。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3.支持外置独立音频。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4.支持DVI、HDMI的输入分辨率预设及自定义调节。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5.支持画面一键全屏缩放、点对点显示、自定义缩放三种缩放模式。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6.支持快捷点屏，简单操作即可完成屏体配置。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7.支持4个网口输出，</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带载260万像素，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宽度3840像素，</w:t>
            </w:r>
            <w:r>
              <w:rPr>
                <w:rFonts w:hint="eastAsia" w:ascii="宋体" w:hAnsi="宋体" w:eastAsia="宋体" w:cs="宋体"/>
                <w:kern w:val="0"/>
                <w:sz w:val="18"/>
                <w:szCs w:val="18"/>
              </w:rPr>
              <w:t>≥</w:t>
            </w:r>
            <w:r>
              <w:rPr>
                <w:rFonts w:hint="eastAsia" w:ascii="宋体" w:hAnsi="宋体" w:eastAsia="宋体" w:cs="宋体"/>
                <w:color w:val="000000"/>
                <w:kern w:val="0"/>
                <w:sz w:val="18"/>
                <w:szCs w:val="18"/>
              </w:rPr>
              <w:t>高度1920像素。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8.支持创建6个以上用户场景作为模板保存，可直接调用，方便使用。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9.支持屏体参数调整。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10.前面板直观的LCD显示界面。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11.输入接口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1）HDMI*1：HDMI1.3标准，最大支持1920*1080@60Hz分辨率视频源输入，向下兼容；支持HDCP 1.4和内置EDID 1.4；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2）DVI-D*1：VESA标准，最大支持1920*1080@60Hz输入视频源输入，向下兼容；支持HDCP 1.4和内置EDID 1.4；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3）VGA*1：最大支持1920*1080@60Hz分辨率视频源输入，向下兼容；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4）CVBS*1：PAL/NTSC 标准视频输入；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5）USB*1：2.0接口，连接U盘，支持1080p@30fps视频文件；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6）AUDIO*1：音频输入。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12.输出接口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1）Port*2：RJ45，4路千兆网口输出，4个网口可上下左右任意拼接控制接口；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2）AUDIO*1：音频输出。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13.控制接口：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1）网口（RS232）*1：连接中控设备；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2）USB(Type B)*1：程序升级。</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显示屏控制设备嵌入式软件</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1.LED显示屏控制设备嵌入式软件，软件提供视频切换功能、分区特效、三维特效动画等功能。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2.支持视频、音频、图像、文字、Flash、Gif等形式的媒体文件播放；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3.支持Microsoft office的Word、Excel、PPT显示；支持多页面多分区节目编辑；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4.支持时钟、计时、网页、表格、数据库、天气预报显示；支持外部视频、环境信息、体育比分、桌面拷贝播放；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5.支持对LED大屏幕的手工校正，兼容其它专业校正设备采集的校正数据。</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配电柜</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1.额定功率：≥10KW，输出路数：≥3路。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2.配电柜输入电压为交流380V±15%，工频50Hz。具有过压、浪涌、短路、过流、过载、漏电等保护功能。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3.内置避雷器，具有避雷防雷功能。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4.配电柜含多功能卡控制，具有远程控制功能。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5.支持通过LED显示屏智慧控制系统软件实现远程开关电箱、远程通讯、电源监视、温度监控、消防监控等操作。</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无线传屏器</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1.支持usb无线传屏，支持windows和mac电脑，仅通过usb口，同时完成传输和供电，无线传屏至接收端。支持对usb传屏器所插电脑的触摸反控。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2.支持无线接收Android系统、IOS系统、Mac OS系统、Windows7/8/10系统的镜像视频流。支持Mac OS系统、Windows系统反向显示主机端的内容。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3.Android镜像传屏支持传声音同时播放在线视频支持传声音。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4.支持白板书写及批注功能，并支持将白板内容扫码下载保存。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5.支持指定某台安卓手机/苹果手机设备为锁定模式，即独占模式。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6.接收端双网络结构，支持本机与外网wifi连接，移动端投屏时能够访问外网。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7.支持屏幕显示模式设置，支持等分模式及镜像预览模式。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8.支持定时开关机功能，支持周期性设置开关机时间。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9.支持色度参数调节功能、支持显示区域的宽高比调节功能。</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有源音箱</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类型:有源音箱；信噪比:</w:t>
            </w:r>
            <w:r>
              <w:rPr>
                <w:rFonts w:hint="eastAsia"/>
                <w:sz w:val="18"/>
                <w:szCs w:val="18"/>
              </w:rPr>
              <w:t xml:space="preserve"> ≥</w:t>
            </w:r>
            <w:r>
              <w:rPr>
                <w:rFonts w:ascii="宋体" w:hAnsi="宋体" w:eastAsia="宋体" w:cs="宋体"/>
                <w:color w:val="000000"/>
                <w:kern w:val="0"/>
                <w:sz w:val="18"/>
                <w:szCs w:val="18"/>
              </w:rPr>
              <w:t>85db；</w:t>
            </w:r>
            <w:r>
              <w:rPr>
                <w:rFonts w:hint="eastAsia" w:ascii="宋体" w:hAnsi="宋体" w:eastAsia="宋体" w:cs="宋体"/>
                <w:color w:val="000000"/>
                <w:kern w:val="0"/>
                <w:sz w:val="18"/>
                <w:szCs w:val="18"/>
              </w:rPr>
              <w:t>灵敏度:</w:t>
            </w:r>
            <w:r>
              <w:rPr>
                <w:rFonts w:hint="eastAsia"/>
                <w:sz w:val="18"/>
                <w:szCs w:val="18"/>
              </w:rPr>
              <w:t xml:space="preserve"> ≥</w:t>
            </w:r>
            <w:r>
              <w:rPr>
                <w:rFonts w:ascii="宋体" w:hAnsi="宋体" w:eastAsia="宋体" w:cs="宋体"/>
                <w:color w:val="000000"/>
                <w:kern w:val="0"/>
                <w:sz w:val="18"/>
                <w:szCs w:val="18"/>
              </w:rPr>
              <w:t>85db；</w:t>
            </w:r>
            <w:r>
              <w:rPr>
                <w:rFonts w:hint="eastAsia" w:ascii="宋体" w:hAnsi="宋体" w:eastAsia="宋体" w:cs="宋体"/>
                <w:color w:val="000000"/>
                <w:kern w:val="0"/>
                <w:sz w:val="18"/>
                <w:szCs w:val="18"/>
              </w:rPr>
              <w:t>频响范围:</w:t>
            </w:r>
            <w:r>
              <w:rPr>
                <w:rFonts w:hint="eastAsia"/>
                <w:sz w:val="18"/>
                <w:szCs w:val="18"/>
              </w:rPr>
              <w:t xml:space="preserve"> </w:t>
            </w:r>
            <w:r>
              <w:rPr>
                <w:rFonts w:ascii="宋体" w:hAnsi="宋体" w:eastAsia="宋体" w:cs="宋体"/>
                <w:color w:val="000000"/>
                <w:kern w:val="0"/>
                <w:sz w:val="18"/>
                <w:szCs w:val="18"/>
              </w:rPr>
              <w:t>20Hz-20KHz；</w:t>
            </w:r>
            <w:r>
              <w:rPr>
                <w:rFonts w:hint="eastAsia" w:ascii="宋体" w:hAnsi="宋体" w:eastAsia="宋体" w:cs="宋体"/>
                <w:color w:val="000000"/>
                <w:kern w:val="0"/>
                <w:sz w:val="18"/>
                <w:szCs w:val="18"/>
              </w:rPr>
              <w:t>蓝牙版本:蓝牙5.0；接口:莲花头接口；电源类型:电源供电；扬声器数量:</w:t>
            </w:r>
            <w:r>
              <w:rPr>
                <w:rFonts w:hint="eastAsia"/>
                <w:sz w:val="18"/>
                <w:szCs w:val="18"/>
              </w:rPr>
              <w:t xml:space="preserve"> ≥</w:t>
            </w:r>
            <w:r>
              <w:rPr>
                <w:rFonts w:hint="eastAsia" w:ascii="宋体" w:hAnsi="宋体" w:eastAsia="宋体" w:cs="宋体"/>
                <w:color w:val="000000"/>
                <w:kern w:val="0"/>
                <w:sz w:val="18"/>
                <w:szCs w:val="18"/>
              </w:rPr>
              <w:t>4个；喇叭尺寸:24mm音圈高音+5.5英寸中低音单元；声道:2.0声道；理论功率:</w:t>
            </w:r>
            <w:r>
              <w:rPr>
                <w:rFonts w:hint="eastAsia"/>
                <w:sz w:val="18"/>
                <w:szCs w:val="18"/>
              </w:rPr>
              <w:t xml:space="preserve"> ≥</w:t>
            </w:r>
            <w:r>
              <w:rPr>
                <w:rFonts w:hint="eastAsia" w:ascii="宋体" w:hAnsi="宋体" w:eastAsia="宋体" w:cs="宋体"/>
                <w:color w:val="000000"/>
                <w:kern w:val="0"/>
                <w:sz w:val="18"/>
                <w:szCs w:val="18"/>
              </w:rPr>
              <w:t>100W。</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实木会议桌</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8"/>
                <w:szCs w:val="18"/>
              </w:rPr>
            </w:pPr>
            <w:r>
              <w:rPr>
                <w:rFonts w:hint="eastAsia"/>
                <w:sz w:val="18"/>
                <w:szCs w:val="18"/>
              </w:rPr>
              <w:t>1、面材：饰面选用AAA级优质木皮，木皮厚度≥0.6mm厚，无节疤、腐朽、裂纹、虫眼、夹皮、变色等缺陷经过防虫防腐处理，耐磨性好。</w:t>
            </w:r>
          </w:p>
          <w:p>
            <w:pPr>
              <w:rPr>
                <w:sz w:val="18"/>
                <w:szCs w:val="18"/>
              </w:rPr>
            </w:pPr>
            <w:r>
              <w:rPr>
                <w:rFonts w:hint="eastAsia"/>
                <w:sz w:val="18"/>
                <w:szCs w:val="18"/>
              </w:rPr>
              <w:t>2、尺寸：</w:t>
            </w:r>
            <w:r>
              <w:rPr>
                <w:rFonts w:hint="eastAsia" w:asciiTheme="minorEastAsia" w:hAnsiTheme="minorEastAsia"/>
                <w:sz w:val="18"/>
                <w:szCs w:val="18"/>
              </w:rPr>
              <w:t>≥6000*1600*760mm。</w:t>
            </w:r>
          </w:p>
          <w:p>
            <w:pPr>
              <w:rPr>
                <w:sz w:val="18"/>
                <w:szCs w:val="18"/>
              </w:rPr>
            </w:pPr>
            <w:r>
              <w:rPr>
                <w:rFonts w:hint="eastAsia"/>
                <w:sz w:val="18"/>
                <w:szCs w:val="18"/>
              </w:rPr>
              <w:t>3、基材：采用符合E0级环保标准，中纤板或刨花板，强度高，不变形、承重性强，甲醛释放量≤1.5mg/L，木材含水率应在11%±1%之间，符合GB/T3324的要求。</w:t>
            </w:r>
          </w:p>
          <w:p>
            <w:pPr>
              <w:rPr>
                <w:rFonts w:ascii="宋体" w:hAnsi="宋体" w:eastAsia="宋体" w:cs="宋体"/>
                <w:sz w:val="18"/>
                <w:szCs w:val="18"/>
              </w:rPr>
            </w:pPr>
            <w:r>
              <w:rPr>
                <w:rFonts w:hint="eastAsia"/>
                <w:sz w:val="18"/>
                <w:szCs w:val="18"/>
              </w:rPr>
              <w:t>4、油漆：采用环保油漆，符合GB18581-2001标准，封闭底着色油漆工艺，严格按照五底三面程序工艺，清晰体现实木质感，色泽美观、不变色、光滑耐磨、手感好。</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会议椅</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sz w:val="18"/>
                <w:szCs w:val="18"/>
              </w:rPr>
              <w:t>1、面料：采用优质西皮，厚度≥1.9mm，经防虫、防腐、分层、鞣制等数十道专业工序处理，耐磨性强、透气性好，手感柔软、细腻、有韧性，富有弹性。</w:t>
            </w:r>
            <w:r>
              <w:rPr>
                <w:rFonts w:hint="eastAsia"/>
                <w:sz w:val="18"/>
                <w:szCs w:val="18"/>
              </w:rPr>
              <w:br w:type="textWrapping"/>
            </w:r>
            <w:r>
              <w:rPr>
                <w:rFonts w:hint="eastAsia"/>
                <w:sz w:val="18"/>
                <w:szCs w:val="18"/>
              </w:rPr>
              <w:t>2、海棉：采用一体成型优质泡棉，密度≥35 kg/m³，高回弹性，耐用度高、厚实、弹性好，表面涂防止老化变形的保护膜，确保10年内不会出现弹不起现象。</w:t>
            </w:r>
            <w:r>
              <w:rPr>
                <w:rFonts w:hint="eastAsia"/>
                <w:sz w:val="18"/>
                <w:szCs w:val="18"/>
              </w:rPr>
              <w:br w:type="textWrapping"/>
            </w:r>
            <w:r>
              <w:rPr>
                <w:rFonts w:hint="eastAsia"/>
                <w:sz w:val="18"/>
                <w:szCs w:val="18"/>
              </w:rPr>
              <w:t>3、曲木板：靠背、座垫为12mm多层曲木板热压成型，按照人体工程学设计，坐感舒适，不易疲劳，曲木板材承压可达200公斤，并经防潮、防腐、防虫等化学处理。</w:t>
            </w:r>
            <w:r>
              <w:rPr>
                <w:rFonts w:hint="eastAsia"/>
                <w:sz w:val="18"/>
                <w:szCs w:val="18"/>
              </w:rPr>
              <w:br w:type="textWrapping"/>
            </w:r>
            <w:r>
              <w:rPr>
                <w:rFonts w:hint="eastAsia"/>
                <w:sz w:val="18"/>
                <w:szCs w:val="18"/>
              </w:rPr>
              <w:t>4、支架：采用冷轧高频光亮管，壁厚1.2~1.8mm钢管经专业模具折弯成型，表面除油、除锈、磷化、电镀处理。</w:t>
            </w:r>
            <w:r>
              <w:rPr>
                <w:rFonts w:hint="eastAsia"/>
                <w:sz w:val="18"/>
                <w:szCs w:val="18"/>
              </w:rPr>
              <w:br w:type="textWrapping"/>
            </w:r>
            <w:r>
              <w:rPr>
                <w:rFonts w:hint="eastAsia"/>
                <w:sz w:val="18"/>
                <w:szCs w:val="18"/>
              </w:rPr>
              <w:t>5、结构部件之间采用优质金属连接件。</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屏体安装材料</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1.安装支撑屏体的结构及装饰；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2.包边要求：采用铝塑板，不锈钢进行包边。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 </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视频线</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HDMI线材质: 纯铜长度:15米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六类网线</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六类千兆网线【0.57无氧铜芯】305米</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水晶头</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六类水晶头工程级50U镀金100个装 RJ45千兆网线接头 CAT6</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电源线</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电源线RVVP电线电缆 国标纯铜环保 RVV3*2.5 200米 </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管材</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DN=25mm，厚度：2.0mm，每支钢管通常定尺长度为6000mm。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标准机柜</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1.22U静音机柜；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2.材质：SPCC优质冷轧钢板，方孔条敷铝锌板；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3.厚度：立柱2.0mm，整体1.0mm。</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天花吊顶工程</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600*600*12mm优质矿棉板穿孔吸音板，烤漆龙骨安装。具有装饰、隔音、防火阻燃、隔冷绝热、节能绝缘等性能，基材：矿棉纤维及ATTA合成，强度高；表面涂料：丙烯酸乳胶漆，耐擦洗；反光度高达0.87。</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墙面装饰工程</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采用槽条木质吸音板，厚度为12mm，密度880KG/m。饰面：三聚氰胺、木皮饰面；安装: 板条长边设计为90度角的凸口和凹口来拼接安装。吸音板背面粘贴黑色具有防火、环保、加强吸音功能的吸音棉。所有材料符合国家环保标准E1级，产品还具有天然木质的芳香。具有木质最高的防火等级B1。</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地面地板工程</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PVC塑胶地板，规格：2.0mm厚，由UV表面处理层、高强透明层、彩色印刷层、玻璃纤维层、高弹性发泡层组成，经过特殊工艺处理，具有耐热、耐潮不变形、抗衰老、抗菌、静音、耐磨、防火阻燃等优点。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强电灯光工程</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1.名称:60*60嵌入式LED灯。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2.照明电气配线要求:PC20管内穿BV铜芯线缆，型号：2.5㎡。</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木工工程</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靠墙做一排展柜，用以放置模型。要求：长宽按实际需求定制，至少两层隔板。</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窗帘</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一级环保加厚遮光面料，面积1:2,纳米塑料轨道。</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1、窗户保护膜全面覆盖；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2、垃圾清理干净，运送至指定位置；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3、板材、胶类、五金、涂料符合国家环保标准；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4、符合机电标准、劳务安全作业施工标准；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5、总体环境，简洁明亮，氛围突出，健康环保。</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r>
    </w:tbl>
    <w:p>
      <w:pPr>
        <w:spacing w:line="360" w:lineRule="auto"/>
        <w:contextualSpacing/>
      </w:pPr>
    </w:p>
    <w:p>
      <w:pPr>
        <w:pStyle w:val="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t>46</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y="1"/>
      <w:ind w:firstLine="360"/>
      <w:rPr>
        <w:rStyle w:val="20"/>
      </w:rPr>
    </w:pPr>
    <w:r>
      <w:fldChar w:fldCharType="begin"/>
    </w:r>
    <w:r>
      <w:rPr>
        <w:rStyle w:val="20"/>
      </w:rPr>
      <w:instrText xml:space="preserve">PAGE  </w:instrText>
    </w:r>
    <w:r>
      <w:fldChar w:fldCharType="separate"/>
    </w:r>
    <w:r>
      <w:rPr>
        <w:rStyle w:val="20"/>
      </w:rPr>
      <w:t>93</w:t>
    </w:r>
    <w: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0" w:firstLineChars="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rPr>
        <w:rFonts w:hint="eastAsia" w:ascii="仿宋_GB2312" w:eastAsia="仿宋_GB2312"/>
        <w:b/>
        <w:i/>
        <w:sz w:val="24"/>
        <w:szCs w:val="24"/>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rPr>
        <w:rFonts w:hint="eastAsia" w:ascii="仿宋_GB2312" w:eastAsia="仿宋_GB2312"/>
        <w:b/>
        <w:i/>
        <w:sz w:val="24"/>
        <w:szCs w:val="24"/>
        <w:u w:val="single"/>
      </w:rPr>
    </w:pP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jJhNjhjNTRjN2ZjY2NhNDU5OTRhN2JmMjZkODAifQ=="/>
  </w:docVars>
  <w:rsids>
    <w:rsidRoot w:val="165C3B5C"/>
    <w:rsid w:val="000E3DE0"/>
    <w:rsid w:val="001C290B"/>
    <w:rsid w:val="00375A2A"/>
    <w:rsid w:val="00377D11"/>
    <w:rsid w:val="004F5FFF"/>
    <w:rsid w:val="005F35EC"/>
    <w:rsid w:val="006F160E"/>
    <w:rsid w:val="006F3498"/>
    <w:rsid w:val="0094072B"/>
    <w:rsid w:val="00C92A0D"/>
    <w:rsid w:val="00CC5B25"/>
    <w:rsid w:val="00D1746E"/>
    <w:rsid w:val="00E52358"/>
    <w:rsid w:val="00E56292"/>
    <w:rsid w:val="00EC0213"/>
    <w:rsid w:val="01141FAF"/>
    <w:rsid w:val="016216F7"/>
    <w:rsid w:val="038E0F41"/>
    <w:rsid w:val="03E71313"/>
    <w:rsid w:val="04984128"/>
    <w:rsid w:val="06756D13"/>
    <w:rsid w:val="07290B50"/>
    <w:rsid w:val="089B6610"/>
    <w:rsid w:val="08D35DAA"/>
    <w:rsid w:val="09475D3E"/>
    <w:rsid w:val="09AA7CA2"/>
    <w:rsid w:val="0A801376"/>
    <w:rsid w:val="0C1935AD"/>
    <w:rsid w:val="0D193127"/>
    <w:rsid w:val="0DEB5944"/>
    <w:rsid w:val="0E5C53BC"/>
    <w:rsid w:val="0EF7477F"/>
    <w:rsid w:val="0FB145AE"/>
    <w:rsid w:val="137D1973"/>
    <w:rsid w:val="15F82971"/>
    <w:rsid w:val="165C3B5C"/>
    <w:rsid w:val="175058F1"/>
    <w:rsid w:val="17BE663D"/>
    <w:rsid w:val="184037E8"/>
    <w:rsid w:val="186668BF"/>
    <w:rsid w:val="19F17807"/>
    <w:rsid w:val="1A196A7D"/>
    <w:rsid w:val="1C9452C2"/>
    <w:rsid w:val="1DD70CFA"/>
    <w:rsid w:val="1DF10FAB"/>
    <w:rsid w:val="1EFA6128"/>
    <w:rsid w:val="1F8D00E4"/>
    <w:rsid w:val="2017776A"/>
    <w:rsid w:val="20967991"/>
    <w:rsid w:val="21076199"/>
    <w:rsid w:val="216F5562"/>
    <w:rsid w:val="233C481F"/>
    <w:rsid w:val="23843AD1"/>
    <w:rsid w:val="24547A4B"/>
    <w:rsid w:val="25235D9C"/>
    <w:rsid w:val="257D04DC"/>
    <w:rsid w:val="26220C12"/>
    <w:rsid w:val="27443319"/>
    <w:rsid w:val="2850574D"/>
    <w:rsid w:val="285831B1"/>
    <w:rsid w:val="28770D9A"/>
    <w:rsid w:val="2A671934"/>
    <w:rsid w:val="2AF26696"/>
    <w:rsid w:val="2BE35D47"/>
    <w:rsid w:val="2D6E33C1"/>
    <w:rsid w:val="2DCC01E1"/>
    <w:rsid w:val="30186411"/>
    <w:rsid w:val="310E78E4"/>
    <w:rsid w:val="31FB7E64"/>
    <w:rsid w:val="328517B5"/>
    <w:rsid w:val="3351175F"/>
    <w:rsid w:val="33955811"/>
    <w:rsid w:val="34A417A5"/>
    <w:rsid w:val="34D7764C"/>
    <w:rsid w:val="34FA3E85"/>
    <w:rsid w:val="351A1832"/>
    <w:rsid w:val="35BE10C4"/>
    <w:rsid w:val="3706498E"/>
    <w:rsid w:val="37114FDB"/>
    <w:rsid w:val="37CA01F4"/>
    <w:rsid w:val="385E40CF"/>
    <w:rsid w:val="38CD682C"/>
    <w:rsid w:val="39047A4B"/>
    <w:rsid w:val="39A64349"/>
    <w:rsid w:val="39B851CF"/>
    <w:rsid w:val="3A310E1D"/>
    <w:rsid w:val="3AD01FF6"/>
    <w:rsid w:val="3D881D51"/>
    <w:rsid w:val="3E073249"/>
    <w:rsid w:val="3E496DDE"/>
    <w:rsid w:val="3F422D66"/>
    <w:rsid w:val="403E282D"/>
    <w:rsid w:val="40932815"/>
    <w:rsid w:val="40A807F1"/>
    <w:rsid w:val="443A2BDC"/>
    <w:rsid w:val="459736E0"/>
    <w:rsid w:val="47EB4732"/>
    <w:rsid w:val="4A7702CF"/>
    <w:rsid w:val="4A95206B"/>
    <w:rsid w:val="4B0E5F1A"/>
    <w:rsid w:val="4B7345A2"/>
    <w:rsid w:val="4CAC7A71"/>
    <w:rsid w:val="4CC36695"/>
    <w:rsid w:val="4D637695"/>
    <w:rsid w:val="4D651E96"/>
    <w:rsid w:val="4DC32BE1"/>
    <w:rsid w:val="4E772F1B"/>
    <w:rsid w:val="51BB7745"/>
    <w:rsid w:val="524D058D"/>
    <w:rsid w:val="54C16083"/>
    <w:rsid w:val="54F10CF7"/>
    <w:rsid w:val="55913271"/>
    <w:rsid w:val="56105181"/>
    <w:rsid w:val="5611120D"/>
    <w:rsid w:val="56B66F7F"/>
    <w:rsid w:val="58F47A50"/>
    <w:rsid w:val="59121BBE"/>
    <w:rsid w:val="59C10F72"/>
    <w:rsid w:val="5A360908"/>
    <w:rsid w:val="5A7A577C"/>
    <w:rsid w:val="5B475739"/>
    <w:rsid w:val="5DEB789F"/>
    <w:rsid w:val="5FAB0A3F"/>
    <w:rsid w:val="61403446"/>
    <w:rsid w:val="616137A3"/>
    <w:rsid w:val="62B45479"/>
    <w:rsid w:val="6502071E"/>
    <w:rsid w:val="65F75DA9"/>
    <w:rsid w:val="66074996"/>
    <w:rsid w:val="66ED7316"/>
    <w:rsid w:val="674A2476"/>
    <w:rsid w:val="68195C28"/>
    <w:rsid w:val="683A33C3"/>
    <w:rsid w:val="69287815"/>
    <w:rsid w:val="6B001A20"/>
    <w:rsid w:val="6D0D7BDF"/>
    <w:rsid w:val="6DC353B5"/>
    <w:rsid w:val="6E281337"/>
    <w:rsid w:val="6E7D027E"/>
    <w:rsid w:val="70022BE6"/>
    <w:rsid w:val="70252A2E"/>
    <w:rsid w:val="704C3F03"/>
    <w:rsid w:val="70562548"/>
    <w:rsid w:val="747700FF"/>
    <w:rsid w:val="760075B9"/>
    <w:rsid w:val="767553EF"/>
    <w:rsid w:val="77906251"/>
    <w:rsid w:val="780D6D66"/>
    <w:rsid w:val="786D5795"/>
    <w:rsid w:val="78C80F3C"/>
    <w:rsid w:val="79F774AC"/>
    <w:rsid w:val="7A314EA9"/>
    <w:rsid w:val="7A5E3D83"/>
    <w:rsid w:val="7AF133F5"/>
    <w:rsid w:val="7FC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21"/>
    </w:rPr>
  </w:style>
  <w:style w:type="paragraph" w:customStyle="1" w:styleId="3">
    <w:name w:val="纯文本1"/>
    <w:basedOn w:val="1"/>
    <w:qFormat/>
    <w:uiPriority w:val="0"/>
    <w:rPr>
      <w:rFonts w:ascii="宋体" w:hAnsi="Courier New"/>
      <w:szCs w:val="21"/>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sz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kern w:val="0"/>
      <w:sz w:val="2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rFonts w:ascii="Calibri" w:hAnsi="Calibri"/>
      <w:b/>
      <w:bCs/>
      <w:caps/>
      <w:sz w:val="20"/>
      <w:szCs w:val="20"/>
    </w:rPr>
  </w:style>
  <w:style w:type="paragraph" w:styleId="13">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spacing w:after="240" w:afterLines="0" w:line="360" w:lineRule="auto"/>
      <w:jc w:val="center"/>
    </w:pPr>
    <w:rPr>
      <w:rFonts w:ascii="Arial" w:hAnsi="Arial"/>
      <w:b/>
      <w:smallCaps/>
      <w:kern w:val="28"/>
      <w:sz w:val="36"/>
      <w:szCs w:val="20"/>
      <w:lang w:eastAsia="en-U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rPr>
      <w:bdr w:val="none" w:color="auto" w:sz="0" w:space="0"/>
    </w:rPr>
  </w:style>
  <w:style w:type="character" w:styleId="26">
    <w:name w:val="HTML Variable"/>
    <w:basedOn w:val="18"/>
    <w:qFormat/>
    <w:uiPriority w:val="0"/>
  </w:style>
  <w:style w:type="character" w:styleId="27">
    <w:name w:val="Hyperlink"/>
    <w:qFormat/>
    <w:uiPriority w:val="99"/>
    <w:rPr>
      <w:color w:val="000099"/>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styleId="32">
    <w:name w:val="List Paragraph"/>
    <w:basedOn w:val="1"/>
    <w:unhideWhenUsed/>
    <w:qFormat/>
    <w:uiPriority w:val="99"/>
    <w:pPr>
      <w:ind w:firstLine="420" w:firstLineChars="200"/>
    </w:pPr>
  </w:style>
  <w:style w:type="paragraph" w:customStyle="1" w:styleId="33">
    <w:name w:val="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34">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112"/>
    <w:basedOn w:val="18"/>
    <w:qFormat/>
    <w:uiPriority w:val="0"/>
    <w:rPr>
      <w:rFonts w:ascii="Symbol" w:hAnsi="Symbol" w:cs="Symbol"/>
      <w:color w:val="000000"/>
      <w:sz w:val="24"/>
      <w:szCs w:val="24"/>
      <w:u w:val="none"/>
    </w:rPr>
  </w:style>
  <w:style w:type="character" w:customStyle="1" w:styleId="36">
    <w:name w:val="font61"/>
    <w:basedOn w:val="18"/>
    <w:qFormat/>
    <w:uiPriority w:val="0"/>
    <w:rPr>
      <w:rFonts w:hint="eastAsia" w:ascii="宋体" w:hAnsi="宋体" w:eastAsia="宋体" w:cs="宋体"/>
      <w:color w:val="000000"/>
      <w:sz w:val="24"/>
      <w:szCs w:val="24"/>
      <w:u w:val="none"/>
    </w:rPr>
  </w:style>
  <w:style w:type="paragraph" w:customStyle="1" w:styleId="37">
    <w:name w:val="TOC 标题1"/>
    <w:basedOn w:val="4"/>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8">
    <w:name w:val="标题 5（有编号）（绿盟科技）"/>
    <w:basedOn w:val="1"/>
    <w:next w:val="39"/>
    <w:qFormat/>
    <w:uiPriority w:val="0"/>
    <w:pPr>
      <w:keepNext/>
      <w:keepLines/>
      <w:numPr>
        <w:ilvl w:val="4"/>
        <w:numId w:val="1"/>
      </w:numPr>
      <w:spacing w:before="280" w:after="156" w:line="377" w:lineRule="auto"/>
      <w:outlineLvl w:val="4"/>
    </w:pPr>
    <w:rPr>
      <w:rFonts w:eastAsia="黑体"/>
      <w:b/>
      <w:szCs w:val="28"/>
    </w:rPr>
  </w:style>
  <w:style w:type="paragraph" w:customStyle="1" w:styleId="39">
    <w:name w:val="正文（绿盟科技）"/>
    <w:next w:val="38"/>
    <w:qFormat/>
    <w:uiPriority w:val="0"/>
    <w:pPr>
      <w:spacing w:line="300" w:lineRule="auto"/>
    </w:pPr>
    <w:rPr>
      <w:rFonts w:ascii="Times New Roman" w:hAnsi="Times New Roman" w:eastAsia="宋体" w:cs="黑体"/>
      <w:sz w:val="21"/>
      <w:szCs w:val="21"/>
      <w:lang w:val="en-US" w:eastAsia="zh-CN" w:bidi="ar-SA"/>
    </w:rPr>
  </w:style>
  <w:style w:type="table" w:customStyle="1" w:styleId="40">
    <w:name w:val="网格型4"/>
    <w:basedOn w:val="16"/>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42">
    <w:name w:val="1级"/>
    <w:basedOn w:val="4"/>
    <w:qFormat/>
    <w:uiPriority w:val="0"/>
    <w:pPr>
      <w:autoSpaceDE w:val="0"/>
      <w:autoSpaceDN w:val="0"/>
      <w:adjustRightInd w:val="0"/>
      <w:spacing w:before="240" w:after="120" w:line="240" w:lineRule="auto"/>
      <w:ind w:left="432"/>
      <w:jc w:val="left"/>
    </w:pPr>
    <w:rPr>
      <w:rFonts w:ascii="Copperplate Gothic Bold" w:hAnsi="Copperplate Gothic Bold" w:cs="Times New Roman"/>
      <w:kern w:val="3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45959</Words>
  <Characters>51800</Characters>
  <Lines>359</Lines>
  <Paragraphs>101</Paragraphs>
  <TotalTime>3</TotalTime>
  <ScaleCrop>false</ScaleCrop>
  <LinksUpToDate>false</LinksUpToDate>
  <CharactersWithSpaces>53556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2021-09-27T01:22:00Z</dcterms:created>
  <dc:creator>一切都好</dc:creator>
  <cp:lastModifiedBy>Administrator</cp:lastModifiedBy>
  <cp:lastPrinted>2022-05-27T03:09:00Z</cp:lastPrinted>
  <dcterms:modified xsi:type="dcterms:W3CDTF">2022-07-14T02:25:06Z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4A197446570842CDB595973926C18E3B</vt:lpwstr>
  </property>
</Properties>
</file>