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9"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海南州政府采购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海南州职业技术学校校园信息化建设项目（包三：平安校园建设需求）</w:t>
      </w:r>
    </w:p>
    <w:p>
      <w:pPr>
        <w:autoSpaceDE w:val="0"/>
        <w:autoSpaceDN w:val="0"/>
        <w:adjustRightInd w:val="0"/>
        <w:spacing w:line="360" w:lineRule="auto"/>
        <w:ind w:left="0" w:leftChars="0" w:firstLine="0" w:firstLineChars="0"/>
        <w:jc w:val="both"/>
        <w:rPr>
          <w:rFonts w:hint="eastAsia"/>
          <w:b/>
        </w:rPr>
      </w:pPr>
      <w:r>
        <w:rPr>
          <w:rFonts w:hint="eastAsia"/>
          <w:b/>
          <w:sz w:val="36"/>
          <w:szCs w:val="36"/>
        </w:rPr>
        <w:t>采  购 单 位：</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w:t>
      </w: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w:t>
      </w:r>
      <w:r>
        <w:rPr>
          <w:rFonts w:hint="eastAsia" w:ascii="宋体" w:hAnsi="宋体"/>
          <w:b/>
          <w:sz w:val="32"/>
          <w:szCs w:val="32"/>
        </w:rPr>
        <w:t>政府采购中心编制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40"/>
          <w:szCs w:val="30"/>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5</w:t>
      </w:r>
      <w:r>
        <w:rPr>
          <w:rFonts w:hint="eastAsia" w:ascii="宋体" w:hAnsi="宋体"/>
          <w:b/>
          <w:sz w:val="32"/>
          <w:szCs w:val="32"/>
        </w:rPr>
        <w:t>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12"/>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27"/>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rPr>
        <w:t>第一部分</w:t>
      </w:r>
      <w:r>
        <w:rPr>
          <w:rStyle w:val="27"/>
          <w:rFonts w:ascii="宋体" w:hAnsi="宋体"/>
          <w:b w:val="0"/>
          <w:sz w:val="24"/>
          <w:szCs w:val="24"/>
        </w:rPr>
        <w:t xml:space="preserve">  </w:t>
      </w:r>
      <w:r>
        <w:rPr>
          <w:rStyle w:val="27"/>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第二部分</w:t>
      </w:r>
      <w:r>
        <w:rPr>
          <w:rStyle w:val="27"/>
          <w:rFonts w:ascii="宋体" w:hAnsi="宋体"/>
          <w:b w:val="0"/>
          <w:kern w:val="28"/>
          <w:sz w:val="24"/>
          <w:szCs w:val="24"/>
        </w:rPr>
        <w:t xml:space="preserve">  </w:t>
      </w:r>
      <w:r>
        <w:rPr>
          <w:rStyle w:val="27"/>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"_Toc67558557"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一、说</w:t>
      </w:r>
      <w:r>
        <w:rPr>
          <w:rStyle w:val="27"/>
          <w:rFonts w:ascii="宋体" w:hAnsi="宋体"/>
          <w:bCs/>
          <w:kern w:val="0"/>
          <w:sz w:val="24"/>
          <w:szCs w:val="24"/>
        </w:rPr>
        <w:t xml:space="preserve">  </w:t>
      </w:r>
      <w:r>
        <w:rPr>
          <w:rStyle w:val="27"/>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7.</w:t>
      </w:r>
      <w:r>
        <w:rPr>
          <w:rStyle w:val="27"/>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8.</w:t>
      </w:r>
      <w:r>
        <w:rPr>
          <w:rStyle w:val="27"/>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9.</w:t>
      </w:r>
      <w:r>
        <w:rPr>
          <w:rStyle w:val="27"/>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10.</w:t>
      </w:r>
      <w:r>
        <w:rPr>
          <w:rStyle w:val="27"/>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11.</w:t>
      </w:r>
      <w:r>
        <w:rPr>
          <w:rStyle w:val="27"/>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12. </w:t>
      </w:r>
      <w:r>
        <w:rPr>
          <w:rStyle w:val="27"/>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四、</w:t>
      </w:r>
      <w:r>
        <w:rPr>
          <w:rStyle w:val="27"/>
          <w:rFonts w:hint="eastAsia" w:ascii="宋体" w:hAnsi="宋体"/>
          <w:bCs/>
          <w:kern w:val="0"/>
          <w:sz w:val="24"/>
          <w:szCs w:val="24"/>
          <w:lang w:eastAsia="zh-CN"/>
        </w:rPr>
        <w:t>现场</w:t>
      </w:r>
      <w:r>
        <w:rPr>
          <w:rStyle w:val="27"/>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13.</w:t>
      </w:r>
      <w:r>
        <w:rPr>
          <w:rStyle w:val="27"/>
          <w:rFonts w:hint="eastAsia" w:ascii="宋体" w:hAnsi="宋体"/>
          <w:bCs/>
          <w:kern w:val="0"/>
          <w:sz w:val="24"/>
          <w:szCs w:val="24"/>
          <w:lang w:eastAsia="zh-CN"/>
        </w:rPr>
        <w:t>现场</w:t>
      </w:r>
      <w:r>
        <w:rPr>
          <w:rStyle w:val="27"/>
          <w:rFonts w:hint="eastAsia" w:ascii="宋体" w:hAnsi="宋体"/>
          <w:bCs/>
          <w:i w:val="0"/>
          <w:kern w:val="0"/>
          <w:sz w:val="24"/>
          <w:szCs w:val="24"/>
        </w:rPr>
        <w:t>投标</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8</w:t>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14.</w:t>
      </w:r>
      <w:r>
        <w:rPr>
          <w:rStyle w:val="27"/>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15.</w:t>
      </w:r>
      <w:r>
        <w:rPr>
          <w:rStyle w:val="27"/>
          <w:rFonts w:hint="eastAsia" w:ascii="宋体" w:hAnsi="宋体"/>
          <w:bCs/>
          <w:i w:val="0"/>
          <w:kern w:val="0"/>
          <w:sz w:val="24"/>
          <w:szCs w:val="24"/>
        </w:rPr>
        <w:t>投标文件的撤回</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9</w:t>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16.</w:t>
      </w:r>
      <w:r>
        <w:rPr>
          <w:rStyle w:val="27"/>
          <w:rFonts w:hint="eastAsia" w:ascii="宋体" w:hAnsi="宋体"/>
          <w:bCs/>
          <w:i w:val="0"/>
          <w:kern w:val="0"/>
          <w:sz w:val="24"/>
          <w:szCs w:val="24"/>
        </w:rPr>
        <w:t>开标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_Toc67558577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17. </w:t>
      </w:r>
      <w:r>
        <w:rPr>
          <w:rStyle w:val="27"/>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18.</w:t>
      </w:r>
      <w:r>
        <w:rPr>
          <w:rStyle w:val="27"/>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19.</w:t>
      </w:r>
      <w:r>
        <w:rPr>
          <w:rStyle w:val="27"/>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20.</w:t>
      </w:r>
      <w:r>
        <w:rPr>
          <w:rStyle w:val="27"/>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21.</w:t>
      </w:r>
      <w:r>
        <w:rPr>
          <w:rStyle w:val="27"/>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22.</w:t>
      </w:r>
      <w:r>
        <w:rPr>
          <w:rStyle w:val="27"/>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八、定</w:t>
      </w:r>
      <w:r>
        <w:rPr>
          <w:rStyle w:val="27"/>
          <w:rFonts w:ascii="宋体" w:hAnsi="宋体"/>
          <w:bCs/>
          <w:kern w:val="0"/>
          <w:sz w:val="24"/>
          <w:szCs w:val="24"/>
        </w:rPr>
        <w:t xml:space="preserve"> </w:t>
      </w:r>
      <w:r>
        <w:rPr>
          <w:rStyle w:val="27"/>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23.</w:t>
      </w:r>
      <w:r>
        <w:rPr>
          <w:rStyle w:val="27"/>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24.</w:t>
      </w:r>
      <w:r>
        <w:rPr>
          <w:rStyle w:val="27"/>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25.</w:t>
      </w:r>
      <w:r>
        <w:rPr>
          <w:rStyle w:val="27"/>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26.</w:t>
      </w:r>
      <w:r>
        <w:rPr>
          <w:rStyle w:val="27"/>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27. </w:t>
      </w:r>
      <w:r>
        <w:rPr>
          <w:rStyle w:val="27"/>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28.</w:t>
      </w:r>
      <w:r>
        <w:rPr>
          <w:rStyle w:val="27"/>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17</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lang w:eastAsia="zh-CN"/>
        </w:rPr>
        <w:t>海南州</w:t>
      </w:r>
      <w:r>
        <w:rPr>
          <w:rStyle w:val="27"/>
          <w:rFonts w:hint="eastAsia" w:ascii="宋体" w:hAnsi="宋体"/>
          <w:b w:val="0"/>
          <w:sz w:val="24"/>
          <w:szCs w:val="24"/>
        </w:rPr>
        <w:t>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_Toc67558598 \h </w:instrText>
      </w:r>
      <w:r>
        <w:rPr>
          <w:rFonts w:ascii="宋体" w:hAnsi="宋体"/>
          <w:b w:val="0"/>
          <w:sz w:val="24"/>
          <w:szCs w:val="24"/>
        </w:rPr>
        <w:fldChar w:fldCharType="separate"/>
      </w:r>
      <w:r>
        <w:rPr>
          <w:b/>
        </w:rPr>
        <w:t>错误！未定义书签。</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第四部分</w:t>
      </w:r>
      <w:r>
        <w:rPr>
          <w:rStyle w:val="27"/>
          <w:rFonts w:ascii="宋体" w:hAnsi="宋体"/>
          <w:b w:val="0"/>
          <w:kern w:val="28"/>
          <w:sz w:val="24"/>
          <w:szCs w:val="24"/>
        </w:rPr>
        <w:t xml:space="preserve">  </w:t>
      </w:r>
      <w:r>
        <w:rPr>
          <w:rStyle w:val="27"/>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29</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29</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w:t>
      </w:r>
      <w:r>
        <w:rPr>
          <w:rStyle w:val="27"/>
          <w:rFonts w:hint="eastAsia" w:ascii="宋体" w:hAnsi="宋体"/>
          <w:sz w:val="24"/>
          <w:szCs w:val="24"/>
        </w:rPr>
        <w:t>：投</w:t>
      </w:r>
      <w:r>
        <w:rPr>
          <w:rStyle w:val="27"/>
          <w:rFonts w:ascii="宋体" w:hAnsi="宋体"/>
          <w:sz w:val="24"/>
          <w:szCs w:val="24"/>
        </w:rPr>
        <w:t xml:space="preserve"> </w:t>
      </w:r>
      <w:r>
        <w:rPr>
          <w:rStyle w:val="27"/>
          <w:rFonts w:hint="eastAsia" w:ascii="宋体" w:hAnsi="宋体"/>
          <w:sz w:val="24"/>
          <w:szCs w:val="24"/>
        </w:rPr>
        <w:t>标</w:t>
      </w:r>
      <w:r>
        <w:rPr>
          <w:rStyle w:val="27"/>
          <w:rFonts w:ascii="宋体" w:hAnsi="宋体"/>
          <w:sz w:val="24"/>
          <w:szCs w:val="24"/>
        </w:rPr>
        <w:t xml:space="preserve"> </w:t>
      </w:r>
      <w:r>
        <w:rPr>
          <w:rStyle w:val="27"/>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2</w:t>
      </w:r>
      <w:r>
        <w:rPr>
          <w:rStyle w:val="27"/>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3</w:t>
      </w:r>
      <w:r>
        <w:rPr>
          <w:rStyle w:val="27"/>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4</w:t>
      </w:r>
      <w:r>
        <w:rPr>
          <w:rStyle w:val="27"/>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5</w:t>
      </w:r>
      <w:r>
        <w:rPr>
          <w:rStyle w:val="27"/>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6</w:t>
      </w:r>
      <w:r>
        <w:rPr>
          <w:rStyle w:val="27"/>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7</w:t>
      </w:r>
      <w:r>
        <w:rPr>
          <w:rStyle w:val="27"/>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8</w:t>
      </w:r>
      <w:r>
        <w:rPr>
          <w:rStyle w:val="27"/>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9</w:t>
      </w:r>
      <w:r>
        <w:rPr>
          <w:rStyle w:val="27"/>
          <w:rFonts w:hint="eastAsia" w:ascii="宋体" w:hAnsi="宋体"/>
          <w:sz w:val="24"/>
          <w:szCs w:val="24"/>
        </w:rPr>
        <w:t>：报价一览表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_Toc67558612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10</w:t>
      </w:r>
      <w:r>
        <w:rPr>
          <w:rStyle w:val="27"/>
          <w:rFonts w:hint="eastAsia" w:ascii="宋体" w:hAnsi="宋体"/>
          <w:sz w:val="24"/>
          <w:szCs w:val="24"/>
        </w:rPr>
        <w:t>：分项报价表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_Toc67558613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11</w:t>
      </w:r>
      <w:r>
        <w:rPr>
          <w:rStyle w:val="27"/>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41</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12</w:t>
      </w:r>
      <w:r>
        <w:rPr>
          <w:rStyle w:val="27"/>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43</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13</w:t>
      </w:r>
      <w:r>
        <w:rPr>
          <w:rStyle w:val="27"/>
          <w:rFonts w:hint="eastAsia" w:ascii="宋体" w:hAnsi="宋体"/>
          <w:sz w:val="24"/>
          <w:szCs w:val="24"/>
        </w:rPr>
        <w:t>：投标产品相关资料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_Toc67558616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14</w:t>
      </w:r>
      <w:r>
        <w:rPr>
          <w:rStyle w:val="27"/>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15</w:t>
      </w:r>
      <w:r>
        <w:rPr>
          <w:rStyle w:val="27"/>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16</w:t>
      </w:r>
      <w:r>
        <w:rPr>
          <w:rStyle w:val="27"/>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"_Toc67558620"</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17</w:t>
      </w:r>
      <w:r>
        <w:rPr>
          <w:rStyle w:val="27"/>
          <w:rFonts w:hint="eastAsia" w:ascii="宋体" w:hAnsi="宋体"/>
          <w:sz w:val="24"/>
          <w:szCs w:val="24"/>
        </w:rPr>
        <w:t>：项目管理实施方案及售后服务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_Toc67558620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18</w:t>
      </w:r>
      <w:r>
        <w:rPr>
          <w:rStyle w:val="27"/>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第五部分</w:t>
      </w:r>
      <w:r>
        <w:rPr>
          <w:rStyle w:val="27"/>
          <w:rFonts w:ascii="宋体" w:hAnsi="宋体"/>
          <w:b w:val="0"/>
          <w:kern w:val="28"/>
          <w:sz w:val="24"/>
          <w:szCs w:val="24"/>
        </w:rPr>
        <w:t xml:space="preserve">  </w:t>
      </w:r>
      <w:r>
        <w:rPr>
          <w:rStyle w:val="27"/>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51</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、投标说明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_Toc67558624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_Toc67558625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rFonts w:ascii="宋体" w:hAnsi="宋体"/>
          <w:i w:val="0"/>
          <w:sz w:val="24"/>
          <w:szCs w:val="24"/>
        </w:rPr>
        <w:t>51</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_Toc67558627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、项目概况</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、产品交付说明</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、产品验收</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、安装、调试</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、维护服务和技术支持</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、其他要求</w:t>
      </w:r>
      <w:r>
        <w:rPr>
          <w:rFonts w:ascii="宋体" w:hAnsi="宋体"/>
          <w:i w:val="0"/>
          <w:sz w:val="24"/>
          <w:szCs w:val="24"/>
        </w:rPr>
        <w:tab/>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"_Toc67558634"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采购一览表及技术参数</w:t>
      </w:r>
      <w:r>
        <w:rPr>
          <w:rFonts w:ascii="宋体" w:hAnsi="宋体"/>
          <w:sz w:val="24"/>
          <w:szCs w:val="24"/>
        </w:rPr>
        <w:tab/>
      </w:r>
      <w:r>
        <w:rPr>
          <w:rStyle w:val="27"/>
          <w:rFonts w:ascii="宋体" w:hAnsi="宋体"/>
          <w:sz w:val="24"/>
          <w:szCs w:val="24"/>
        </w:rPr>
        <w:fldChar w:fldCharType="end"/>
      </w:r>
    </w:p>
    <w:p>
      <w:pPr>
        <w:pStyle w:val="8"/>
        <w:spacing w:line="300" w:lineRule="exact"/>
        <w:rPr>
          <w:rStyle w:val="27"/>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32"/>
        <w:ind w:firstLine="0" w:firstLineChars="0"/>
        <w:rPr>
          <w:rFonts w:hint="eastAsia"/>
        </w:rPr>
      </w:pPr>
      <w:bookmarkStart w:id="0" w:name="_Toc325725996"/>
    </w:p>
    <w:p>
      <w:pPr>
        <w:pStyle w:val="3"/>
        <w:rPr>
          <w:rFonts w:hint="eastAsia"/>
        </w:rPr>
      </w:pPr>
      <w:bookmarkStart w:id="1" w:name="_Toc67558555"/>
      <w:r>
        <w:rPr>
          <w:rFonts w:hint="eastAsia"/>
        </w:rPr>
        <w:t>第一部分  投标人须知前附表</w:t>
      </w:r>
      <w:bookmarkEnd w:id="1"/>
    </w:p>
    <w:bookmarkEnd w:id="0"/>
    <w:tbl>
      <w:tblPr>
        <w:tblStyle w:val="1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采购项目名称</w:t>
            </w:r>
          </w:p>
        </w:tc>
        <w:tc>
          <w:tcPr>
            <w:tcW w:w="7443" w:type="dxa"/>
            <w:noWrap w:val="0"/>
            <w:vAlign w:val="center"/>
          </w:tcPr>
          <w:p>
            <w:pPr>
              <w:widowControl/>
              <w:spacing w:line="340" w:lineRule="exact"/>
              <w:ind w:firstLine="0" w:firstLineChars="0"/>
              <w:rPr>
                <w:rFonts w:hint="eastAsia" w:ascii="宋体" w:hAnsi="宋体" w:eastAsia="宋体" w:cs="宋体"/>
                <w:kern w:val="0"/>
                <w:lang w:val="en-US" w:eastAsia="zh-CN"/>
              </w:rPr>
            </w:pPr>
            <w:r>
              <w:rPr>
                <w:rFonts w:hint="eastAsia" w:ascii="宋体" w:hAnsi="宋体"/>
                <w:spacing w:val="-2"/>
                <w:kern w:val="16"/>
              </w:rPr>
              <w:t>海南州</w:t>
            </w:r>
            <w:r>
              <w:rPr>
                <w:rFonts w:hint="eastAsia" w:ascii="宋体" w:hAnsi="宋体"/>
                <w:spacing w:val="-2"/>
                <w:kern w:val="16"/>
                <w:lang w:eastAsia="zh-CN"/>
              </w:rPr>
              <w:t>海南州职业技术学校校园信息化建设项目（包三：平安校园建设需求）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采购项目编号</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spacing w:val="-2"/>
                <w:kern w:val="16"/>
                <w:lang w:eastAsia="zh-CN"/>
              </w:rPr>
              <w:t>南</w:t>
            </w:r>
            <w:r>
              <w:rPr>
                <w:rFonts w:hint="eastAsia" w:ascii="宋体" w:hAnsi="宋体"/>
                <w:spacing w:val="-2"/>
                <w:kern w:val="16"/>
              </w:rPr>
              <w:t>政采公</w:t>
            </w:r>
            <w:r>
              <w:rPr>
                <w:rFonts w:hint="eastAsia" w:ascii="宋体" w:hAnsi="宋体"/>
                <w:spacing w:val="-2"/>
                <w:kern w:val="16"/>
                <w:lang w:eastAsia="zh-CN"/>
              </w:rPr>
              <w:t>招（货物</w:t>
            </w:r>
            <w:r>
              <w:rPr>
                <w:rFonts w:hint="eastAsia" w:ascii="宋体" w:hAnsi="宋体"/>
                <w:spacing w:val="-2"/>
                <w:kern w:val="16"/>
              </w:rPr>
              <w:t>）</w:t>
            </w:r>
            <w:r>
              <w:rPr>
                <w:rFonts w:hint="eastAsia" w:ascii="宋体" w:hAnsi="宋体"/>
                <w:spacing w:val="-2"/>
                <w:kern w:val="16"/>
                <w:lang w:val="en-US" w:eastAsia="zh-CN"/>
              </w:rPr>
              <w:t>2022-2</w:t>
            </w:r>
            <w:r>
              <w:rPr>
                <w:rFonts w:hint="eastAsia" w:ascii="宋体" w:hAnsi="宋体"/>
                <w:spacing w:val="-2"/>
                <w:kern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采购方式</w:t>
            </w:r>
          </w:p>
        </w:tc>
        <w:tc>
          <w:tcPr>
            <w:tcW w:w="7443"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采购预算额度</w:t>
            </w:r>
          </w:p>
        </w:tc>
        <w:tc>
          <w:tcPr>
            <w:tcW w:w="7443" w:type="dxa"/>
            <w:noWrap w:val="0"/>
            <w:vAlign w:val="center"/>
          </w:tcPr>
          <w:p>
            <w:pPr>
              <w:widowControl/>
              <w:spacing w:line="340" w:lineRule="exact"/>
              <w:ind w:firstLine="0" w:firstLineChars="0"/>
              <w:rPr>
                <w:rFonts w:hint="eastAsia" w:ascii="宋体" w:hAnsi="宋体" w:cs="宋体"/>
                <w:kern w:val="0"/>
              </w:rPr>
            </w:pPr>
            <w:r>
              <w:rPr>
                <w:rFonts w:hint="eastAsia" w:ascii="宋体" w:hAnsi="宋体" w:cs="宋体"/>
                <w:bCs/>
                <w:lang w:val="en-US" w:eastAsia="zh-CN"/>
              </w:rPr>
              <w:t>600</w:t>
            </w:r>
            <w:r>
              <w:rPr>
                <w:rFonts w:hint="eastAsia" w:ascii="宋体" w:hAnsi="宋体" w:cs="宋体"/>
                <w:szCs w:val="21"/>
              </w:rPr>
              <w:t>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项目分包个数</w:t>
            </w:r>
          </w:p>
        </w:tc>
        <w:tc>
          <w:tcPr>
            <w:tcW w:w="7443" w:type="dxa"/>
            <w:noWrap w:val="0"/>
            <w:vAlign w:val="center"/>
          </w:tcPr>
          <w:p>
            <w:pPr>
              <w:widowControl/>
              <w:spacing w:line="340" w:lineRule="exact"/>
              <w:ind w:firstLine="0" w:firstLineChars="0"/>
              <w:rPr>
                <w:rFonts w:hint="eastAsia"/>
                <w:lang w:val="en-US" w:eastAsia="zh-CN"/>
              </w:rPr>
            </w:pPr>
            <w:r>
              <w:rPr>
                <w:rFonts w:hint="eastAsia"/>
                <w:lang w:val="en-US" w:eastAsia="zh-CN"/>
              </w:rPr>
              <w:t>3</w:t>
            </w:r>
            <w:r>
              <w:rPr>
                <w:rFonts w:hint="eastAsia"/>
              </w:rPr>
              <w:t>个包</w:t>
            </w:r>
            <w:r>
              <w:rPr>
                <w:rFonts w:hint="eastAsia"/>
                <w:lang w:val="en-US" w:eastAsia="zh-CN"/>
              </w:rPr>
              <w:t xml:space="preserve">  </w:t>
            </w:r>
          </w:p>
          <w:p>
            <w:pPr>
              <w:widowControl/>
              <w:spacing w:line="340" w:lineRule="exact"/>
              <w:ind w:firstLine="0" w:firstLineChars="0"/>
              <w:rPr>
                <w:rFonts w:hint="default"/>
                <w:lang w:val="en-US" w:eastAsia="zh-CN"/>
              </w:rPr>
            </w:pPr>
            <w:r>
              <w:rPr>
                <w:rFonts w:hint="eastAsia"/>
                <w:lang w:val="en-US" w:eastAsia="zh-CN"/>
              </w:rPr>
              <w:t>包三：预算额度：192万元（人民币）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hint="eastAsia" w:ascii="宋体" w:hAnsi="宋体" w:cs="宋体"/>
                <w:kern w:val="0"/>
              </w:rPr>
              <w:t>采购要求</w:t>
            </w:r>
          </w:p>
        </w:tc>
        <w:tc>
          <w:tcPr>
            <w:tcW w:w="7443" w:type="dxa"/>
            <w:noWrap w:val="0"/>
            <w:vAlign w:val="top"/>
          </w:tcPr>
          <w:p>
            <w:pPr>
              <w:pStyle w:val="33"/>
              <w:spacing w:before="156" w:after="156" w:line="34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供应商资格条件</w:t>
            </w:r>
          </w:p>
        </w:tc>
        <w:tc>
          <w:tcPr>
            <w:tcW w:w="7443" w:type="dxa"/>
            <w:noWrap w:val="0"/>
            <w:vAlign w:val="center"/>
          </w:tcPr>
          <w:p>
            <w:pPr>
              <w:widowControl/>
              <w:spacing w:line="34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0" w:firstLineChars="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widowControl/>
              <w:spacing w:line="34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公告发布时间</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color w:val="FF0000"/>
                <w:kern w:val="0"/>
                <w:lang w:val="en-US" w:eastAsia="zh-CN"/>
              </w:rPr>
              <w:t>2022</w:t>
            </w:r>
            <w:r>
              <w:rPr>
                <w:rFonts w:hint="eastAsia" w:ascii="宋体" w:hAnsi="宋体" w:cs="宋体"/>
                <w:color w:val="FF0000"/>
                <w:kern w:val="0"/>
                <w:lang w:val="zh-CN"/>
              </w:rPr>
              <w:t>年</w:t>
            </w:r>
            <w:r>
              <w:rPr>
                <w:rFonts w:hint="eastAsia" w:ascii="宋体" w:hAnsi="宋体" w:cs="宋体"/>
                <w:color w:val="FF0000"/>
                <w:kern w:val="0"/>
                <w:lang w:val="en-US" w:eastAsia="zh-CN"/>
              </w:rPr>
              <w:t>5</w:t>
            </w:r>
            <w:r>
              <w:rPr>
                <w:rFonts w:hint="eastAsia" w:ascii="宋体" w:hAnsi="宋体" w:cs="宋体"/>
                <w:color w:val="FF0000"/>
                <w:kern w:val="0"/>
                <w:lang w:val="zh-CN"/>
              </w:rPr>
              <w:t>月</w:t>
            </w:r>
            <w:r>
              <w:rPr>
                <w:rFonts w:hint="eastAsia" w:ascii="宋体" w:hAnsi="宋体" w:cs="宋体"/>
                <w:color w:val="FF0000"/>
                <w:kern w:val="0"/>
                <w:lang w:val="en-US" w:eastAsia="zh-CN"/>
              </w:rPr>
              <w:t>30</w:t>
            </w:r>
            <w:r>
              <w:rPr>
                <w:rFonts w:hint="eastAsia" w:ascii="宋体" w:hAnsi="宋体" w:cs="宋体"/>
                <w:color w:val="FF0000"/>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获取招标文件的时间期限</w:t>
            </w:r>
          </w:p>
        </w:tc>
        <w:tc>
          <w:tcPr>
            <w:tcW w:w="7443" w:type="dxa"/>
            <w:noWrap w:val="0"/>
            <w:vAlign w:val="center"/>
          </w:tcPr>
          <w:p>
            <w:pPr>
              <w:autoSpaceDE w:val="0"/>
              <w:autoSpaceDN w:val="0"/>
              <w:adjustRightInd w:val="0"/>
              <w:spacing w:line="360" w:lineRule="auto"/>
              <w:ind w:left="0" w:leftChars="0" w:firstLine="0" w:firstLineChars="0"/>
              <w:jc w:val="left"/>
              <w:rPr>
                <w:rFonts w:hint="eastAsia" w:ascii="宋体" w:hAnsi="宋体" w:cs="宋体"/>
                <w:color w:val="FF0000"/>
                <w:kern w:val="0"/>
                <w:lang w:val="zh-CN"/>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u w:val="dashDotHeavy"/>
                <w:lang w:val="en-US" w:eastAsia="zh-CN"/>
              </w:rPr>
              <w:t>5</w:t>
            </w:r>
            <w:r>
              <w:rPr>
                <w:rFonts w:hint="eastAsia" w:ascii="宋体" w:hAnsi="宋体" w:cs="宋体"/>
                <w:color w:val="FF0000"/>
                <w:kern w:val="0"/>
                <w:lang w:val="zh-CN"/>
              </w:rPr>
              <w:t>月</w:t>
            </w:r>
            <w:r>
              <w:rPr>
                <w:rFonts w:hint="eastAsia" w:ascii="宋体" w:hAnsi="宋体" w:cs="宋体"/>
                <w:color w:val="FF0000"/>
                <w:kern w:val="0"/>
                <w:lang w:val="en-US" w:eastAsia="zh-CN"/>
              </w:rPr>
              <w:t>31</w:t>
            </w:r>
            <w:r>
              <w:rPr>
                <w:rFonts w:hint="eastAsia" w:ascii="宋体" w:hAnsi="宋体" w:cs="宋体"/>
                <w:color w:val="FF0000"/>
                <w:kern w:val="0"/>
                <w:lang w:val="zh-CN"/>
              </w:rPr>
              <w:t>日</w:t>
            </w:r>
            <w:r>
              <w:rPr>
                <w:rFonts w:hint="eastAsia" w:ascii="宋体" w:hAnsi="宋体" w:cs="宋体"/>
                <w:color w:val="FF0000"/>
                <w:kern w:val="0"/>
                <w:u w:val="dashDotHeavy"/>
                <w:lang w:val="zh-CN"/>
              </w:rPr>
              <w:t>至</w:t>
            </w:r>
            <w:r>
              <w:rPr>
                <w:rFonts w:hint="eastAsia" w:ascii="宋体" w:hAnsi="宋体" w:cs="宋体"/>
                <w:color w:val="FF0000"/>
                <w:kern w:val="0"/>
                <w:u w:val="dashDotHeavy"/>
                <w:lang w:val="en-US" w:eastAsia="zh-CN"/>
              </w:rPr>
              <w:t>6</w:t>
            </w:r>
            <w:r>
              <w:rPr>
                <w:rFonts w:hint="eastAsia" w:ascii="宋体" w:hAnsi="宋体" w:cs="宋体"/>
                <w:color w:val="FF0000"/>
                <w:kern w:val="0"/>
                <w:lang w:val="zh-CN"/>
              </w:rPr>
              <w:t>月</w:t>
            </w:r>
            <w:r>
              <w:rPr>
                <w:rFonts w:hint="eastAsia" w:ascii="宋体" w:hAnsi="宋体" w:cs="宋体"/>
                <w:color w:val="FF0000"/>
                <w:kern w:val="0"/>
                <w:u w:val="dashDotHeavy"/>
                <w:lang w:val="en-US" w:eastAsia="zh-CN"/>
              </w:rPr>
              <w:t>7</w:t>
            </w:r>
            <w:r>
              <w:rPr>
                <w:rFonts w:hint="eastAsia" w:ascii="宋体" w:hAnsi="宋体" w:cs="宋体"/>
                <w:color w:val="FF0000"/>
                <w:kern w:val="0"/>
                <w:lang w:val="zh-CN"/>
              </w:rPr>
              <w:t>日，每天上午</w:t>
            </w:r>
            <w:r>
              <w:rPr>
                <w:rFonts w:hint="eastAsia" w:ascii="宋体" w:hAnsi="宋体" w:cs="宋体"/>
                <w:color w:val="FF0000"/>
                <w:kern w:val="0"/>
              </w:rPr>
              <w:t>9</w:t>
            </w:r>
            <w:r>
              <w:rPr>
                <w:rFonts w:hint="eastAsia" w:ascii="宋体" w:hAnsi="宋体" w:cs="宋体"/>
                <w:color w:val="FF0000"/>
                <w:kern w:val="0"/>
                <w:lang w:val="zh-CN"/>
              </w:rPr>
              <w:t>:</w:t>
            </w:r>
            <w:r>
              <w:rPr>
                <w:rFonts w:hint="eastAsia" w:ascii="宋体" w:hAnsi="宋体" w:cs="宋体"/>
                <w:color w:val="FF0000"/>
                <w:kern w:val="0"/>
              </w:rPr>
              <w:t>0</w:t>
            </w:r>
            <w:r>
              <w:rPr>
                <w:rFonts w:hint="eastAsia" w:ascii="宋体" w:hAnsi="宋体" w:cs="宋体"/>
                <w:color w:val="FF0000"/>
                <w:kern w:val="0"/>
                <w:lang w:val="zh-CN"/>
              </w:rPr>
              <w:t>0-12:00,下午2:30-</w:t>
            </w:r>
            <w:r>
              <w:rPr>
                <w:rFonts w:hint="eastAsia" w:ascii="宋体" w:hAnsi="宋体" w:cs="宋体"/>
                <w:color w:val="FF0000"/>
                <w:kern w:val="0"/>
              </w:rPr>
              <w:t>5</w:t>
            </w:r>
            <w:r>
              <w:rPr>
                <w:rFonts w:hint="eastAsia" w:ascii="宋体" w:hAnsi="宋体" w:cs="宋体"/>
                <w:color w:val="FF0000"/>
                <w:kern w:val="0"/>
                <w:lang w:val="zh-CN"/>
              </w:rPr>
              <w:t>:</w:t>
            </w:r>
            <w:r>
              <w:rPr>
                <w:rFonts w:hint="eastAsia" w:ascii="宋体" w:hAnsi="宋体" w:cs="宋体"/>
                <w:color w:val="FF0000"/>
                <w:kern w:val="0"/>
              </w:rPr>
              <w:t>3</w:t>
            </w:r>
            <w:r>
              <w:rPr>
                <w:rFonts w:hint="eastAsia" w:ascii="宋体" w:hAnsi="宋体" w:cs="宋体"/>
                <w:color w:val="FF0000"/>
                <w:kern w:val="0"/>
                <w:lang w:val="zh-CN"/>
              </w:rPr>
              <w:t>0；（节假日除外</w:t>
            </w:r>
            <w:r>
              <w:rPr>
                <w:rFonts w:hint="eastAsia" w:ascii="宋体" w:hAnsi="宋体"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获取招标文件方式</w:t>
            </w:r>
          </w:p>
        </w:tc>
        <w:tc>
          <w:tcPr>
            <w:tcW w:w="7443" w:type="dxa"/>
            <w:noWrap w:val="0"/>
            <w:vAlign w:val="center"/>
          </w:tcPr>
          <w:p>
            <w:pPr>
              <w:rPr>
                <w:rFonts w:hint="default"/>
                <w:lang w:val="en-US"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hint="eastAsia" w:ascii="宋体" w:hAnsi="宋体" w:cs="宋体"/>
                <w:kern w:val="0"/>
              </w:rPr>
            </w:pPr>
            <w:r>
              <w:rPr>
                <w:rFonts w:hint="eastAsia" w:ascii="宋体" w:hAnsi="宋体" w:cs="宋体"/>
                <w:color w:val="000000"/>
                <w:kern w:val="0"/>
                <w:lang w:val="zh-CN"/>
              </w:rPr>
              <w:t>招标文件售价</w:t>
            </w:r>
          </w:p>
        </w:tc>
        <w:tc>
          <w:tcPr>
            <w:tcW w:w="7443" w:type="dxa"/>
            <w:noWrap w:val="0"/>
            <w:vAlign w:val="center"/>
          </w:tcPr>
          <w:p>
            <w:pPr>
              <w:pStyle w:val="5"/>
              <w:spacing w:line="360" w:lineRule="auto"/>
              <w:ind w:left="0" w:leftChars="0" w:firstLine="0" w:firstLineChars="0"/>
              <w:jc w:val="left"/>
              <w:rPr>
                <w:rFonts w:ascii="宋体" w:hAnsi="宋体" w:cs="宋体"/>
                <w:kern w:val="0"/>
              </w:rPr>
            </w:pPr>
            <w:r>
              <w:rPr>
                <w:rFonts w:hint="eastAsia" w:ascii="宋体" w:hAnsi="宋体" w:cs="宋体"/>
                <w:color w:val="000000"/>
                <w:kern w:val="0"/>
                <w:u w:val="dashDotHeavy"/>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获取招标文件时应提供材料</w:t>
            </w:r>
          </w:p>
        </w:tc>
        <w:tc>
          <w:tcPr>
            <w:tcW w:w="7443" w:type="dxa"/>
            <w:noWrap w:val="0"/>
            <w:vAlign w:val="center"/>
          </w:tcPr>
          <w:p>
            <w:pPr>
              <w:pStyle w:val="34"/>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4"/>
                <w:lang w:val="zh-CN" w:eastAsia="zh-CN" w:bidi="ar-SA"/>
              </w:rPr>
              <w:t>营业执照副本复印件（加盖单位公章）、法定代表人证明书、法定代表人授权委托书（参考</w:t>
            </w:r>
            <w:r>
              <w:rPr>
                <w:rFonts w:hint="eastAsia" w:ascii="宋体" w:hAnsi="宋体" w:cs="宋体"/>
                <w:color w:val="auto"/>
                <w:kern w:val="0"/>
                <w:sz w:val="21"/>
                <w:szCs w:val="24"/>
                <w:lang w:val="zh-CN" w:eastAsia="zh-CN" w:bidi="ar-SA"/>
              </w:rPr>
              <w:t>招标</w:t>
            </w:r>
            <w:r>
              <w:rPr>
                <w:rFonts w:hint="eastAsia" w:ascii="宋体" w:hAnsi="宋体" w:eastAsia="宋体" w:cs="宋体"/>
                <w:color w:val="auto"/>
                <w:kern w:val="0"/>
                <w:sz w:val="21"/>
                <w:szCs w:val="24"/>
                <w:lang w:val="zh-CN" w:eastAsia="zh-CN" w:bidi="ar-SA"/>
              </w:rPr>
              <w:t>文件格式（</w:t>
            </w:r>
            <w:r>
              <w:rPr>
                <w:rFonts w:hint="eastAsia" w:ascii="宋体" w:hAnsi="宋体" w:eastAsia="宋体" w:cs="宋体"/>
                <w:color w:val="auto"/>
                <w:kern w:val="0"/>
                <w:sz w:val="21"/>
                <w:szCs w:val="24"/>
                <w:lang w:val="en-US" w:eastAsia="zh-CN" w:bidi="ar-SA"/>
              </w:rPr>
              <w:t>2、3</w:t>
            </w:r>
            <w:r>
              <w:rPr>
                <w:rFonts w:hint="eastAsia" w:ascii="宋体" w:hAnsi="宋体" w:eastAsia="宋体" w:cs="宋体"/>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pStyle w:val="5"/>
              <w:spacing w:line="360" w:lineRule="auto"/>
              <w:ind w:left="0" w:leftChars="0" w:firstLine="0" w:firstLineChars="0"/>
              <w:jc w:val="left"/>
              <w:rPr>
                <w:rFonts w:hint="eastAsia" w:ascii="宋体" w:hAnsi="宋体" w:cs="宋体"/>
                <w:color w:val="000000"/>
                <w:kern w:val="0"/>
                <w:u w:val="dashDotHeavy"/>
              </w:rPr>
            </w:pPr>
            <w:r>
              <w:rPr>
                <w:rFonts w:hint="eastAsia" w:ascii="宋体" w:hAnsi="宋体" w:cs="宋体"/>
                <w:color w:val="auto"/>
                <w:kern w:val="0"/>
                <w:lang w:val="zh-CN"/>
              </w:rPr>
              <w:t>（采购代理机构对以上资料留存备案。）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autoSpaceDE w:val="0"/>
              <w:autoSpaceDN w:val="0"/>
              <w:adjustRightInd w:val="0"/>
              <w:spacing w:line="360" w:lineRule="auto"/>
              <w:ind w:firstLine="420" w:firstLineChars="200"/>
              <w:jc w:val="center"/>
              <w:rPr>
                <w:rFonts w:ascii="宋体" w:hAnsi="宋体" w:cs="宋体"/>
              </w:rPr>
            </w:pPr>
            <w:r>
              <w:rPr>
                <w:rFonts w:hint="eastAsia" w:ascii="宋体" w:hAnsi="宋体" w:eastAsia="宋体" w:cs="宋体"/>
                <w:color w:val="auto"/>
                <w:kern w:val="0"/>
                <w:sz w:val="21"/>
                <w:szCs w:val="24"/>
                <w:lang w:val="zh-CN" w:eastAsia="zh-CN" w:bidi="ar-SA"/>
              </w:rPr>
              <w:t>保证金信息</w:t>
            </w:r>
          </w:p>
        </w:tc>
        <w:tc>
          <w:tcPr>
            <w:tcW w:w="7443" w:type="dxa"/>
            <w:noWrap w:val="0"/>
            <w:vAlign w:val="top"/>
          </w:tcPr>
          <w:p>
            <w:pPr>
              <w:autoSpaceDE w:val="0"/>
              <w:autoSpaceDN w:val="0"/>
              <w:adjustRightInd w:val="0"/>
              <w:spacing w:line="360" w:lineRule="auto"/>
              <w:ind w:left="0" w:leftChars="0" w:firstLine="0" w:firstLineChars="0"/>
              <w:jc w:val="left"/>
              <w:rPr>
                <w:rFonts w:hint="eastAsia"/>
                <w:lang w:val="en-US" w:eastAsia="zh-CN"/>
              </w:rPr>
            </w:pPr>
            <w:r>
              <w:rPr>
                <w:rFonts w:hint="eastAsia"/>
              </w:rPr>
              <w:t>分包编号：南政采公招（</w:t>
            </w:r>
            <w:r>
              <w:rPr>
                <w:rFonts w:hint="eastAsia" w:ascii="宋体" w:hAnsi="宋体"/>
                <w:spacing w:val="-2"/>
                <w:kern w:val="16"/>
                <w:lang w:eastAsia="zh-CN"/>
              </w:rPr>
              <w:t>货物</w:t>
            </w:r>
            <w:r>
              <w:rPr>
                <w:rFonts w:hint="eastAsia"/>
              </w:rPr>
              <w:t>）</w:t>
            </w:r>
            <w:r>
              <w:rPr>
                <w:rFonts w:hint="eastAsia"/>
                <w:lang w:val="en-US" w:eastAsia="zh-CN"/>
              </w:rPr>
              <w:t>2022-2-3</w:t>
            </w:r>
          </w:p>
          <w:p>
            <w:pPr>
              <w:autoSpaceDE w:val="0"/>
              <w:autoSpaceDN w:val="0"/>
              <w:adjustRightInd w:val="0"/>
              <w:spacing w:line="360" w:lineRule="auto"/>
              <w:ind w:left="0" w:leftChars="0" w:firstLine="0" w:firstLineChars="0"/>
              <w:jc w:val="left"/>
            </w:pPr>
            <w:r>
              <w:t>名称</w:t>
            </w:r>
            <w:r>
              <w:rPr>
                <w:rFonts w:hint="eastAsia"/>
              </w:rPr>
              <w:t>：</w:t>
            </w:r>
            <w:r>
              <w:rPr>
                <w:rFonts w:hint="eastAsia" w:ascii="宋体" w:hAnsi="宋体"/>
                <w:spacing w:val="-2"/>
                <w:kern w:val="16"/>
                <w:lang w:eastAsia="zh-CN"/>
              </w:rPr>
              <w:t>海南州职业技术学校校园信息化建设项目（包三：平安校园建设需求）分包三</w:t>
            </w:r>
            <w:r>
              <w:t>保证金子账号：</w:t>
            </w:r>
          </w:p>
          <w:p>
            <w:pPr>
              <w:autoSpaceDE w:val="0"/>
              <w:autoSpaceDN w:val="0"/>
              <w:adjustRightInd w:val="0"/>
              <w:spacing w:line="360" w:lineRule="auto"/>
              <w:ind w:left="0" w:leftChars="0" w:firstLine="0" w:firstLineChars="0"/>
              <w:jc w:val="left"/>
            </w:pPr>
            <w:r>
              <w:t>[户名：海南州公共资源交易</w:t>
            </w:r>
            <w:r>
              <w:rPr>
                <w:rFonts w:hint="eastAsia"/>
                <w:lang w:eastAsia="zh-CN"/>
              </w:rPr>
              <w:t>有限责任公司</w:t>
            </w:r>
            <w:r>
              <w:t>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子账号：7779905201000429595</w:t>
            </w:r>
            <w:bookmarkStart w:id="202" w:name="_GoBack"/>
            <w:bookmarkEnd w:id="202"/>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38400</w:t>
            </w:r>
            <w:r>
              <w:rPr>
                <w:rFonts w:hint="eastAsia"/>
              </w:rPr>
              <w:t>（</w:t>
            </w:r>
            <w:r>
              <w:rPr>
                <w:rFonts w:hint="eastAsia"/>
                <w:lang w:eastAsia="zh-CN"/>
              </w:rPr>
              <w:t>叁万捌仟肆佰元整</w:t>
            </w:r>
            <w:r>
              <w:rPr>
                <w:rFonts w:hint="eastAsia"/>
              </w:rPr>
              <w:t>）</w:t>
            </w:r>
          </w:p>
          <w:p>
            <w:pPr>
              <w:autoSpaceDE w:val="0"/>
              <w:autoSpaceDN w:val="0"/>
              <w:adjustRightInd w:val="0"/>
              <w:spacing w:line="360" w:lineRule="auto"/>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widowControl/>
              <w:spacing w:line="340" w:lineRule="exact"/>
              <w:ind w:firstLine="0" w:firstLineChars="0"/>
              <w:rPr>
                <w:rFonts w:hint="eastAsia"/>
                <w:color w:val="0000FF"/>
              </w:rPr>
            </w:pPr>
            <w:r>
              <w:rPr>
                <w:rFonts w:hint="eastAsia" w:ascii="宋体" w:hAnsi="宋体"/>
              </w:rPr>
              <w:t>答疑方式</w:t>
            </w:r>
          </w:p>
        </w:tc>
        <w:tc>
          <w:tcPr>
            <w:tcW w:w="7443" w:type="dxa"/>
            <w:noWrap w:val="0"/>
            <w:vAlign w:val="top"/>
          </w:tcPr>
          <w:p>
            <w:pPr>
              <w:widowControl/>
              <w:spacing w:line="340" w:lineRule="exact"/>
              <w:ind w:firstLine="0" w:firstLineChars="0"/>
              <w:jc w:val="left"/>
              <w:rPr>
                <w:rFonts w:hint="eastAsia"/>
                <w:color w:val="0000FF"/>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rPr>
              <w:t>提交投标文件及投标方式</w:t>
            </w:r>
          </w:p>
        </w:tc>
        <w:tc>
          <w:tcPr>
            <w:tcW w:w="7443" w:type="dxa"/>
            <w:noWrap w:val="0"/>
            <w:vAlign w:val="top"/>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线下：海南州公共资源交易有限责任公司开标室二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443" w:type="dxa"/>
            <w:noWrap w:val="0"/>
            <w:vAlign w:val="center"/>
          </w:tcPr>
          <w:p>
            <w:pPr>
              <w:widowControl/>
              <w:spacing w:line="340" w:lineRule="exact"/>
              <w:ind w:firstLine="0" w:firstLine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color w:val="FF0000"/>
                <w:kern w:val="2"/>
                <w:sz w:val="21"/>
                <w:szCs w:val="24"/>
                <w:lang w:val="en-US" w:eastAsia="zh-CN" w:bidi="ar-SA"/>
              </w:rPr>
              <w:t>2022</w:t>
            </w:r>
            <w:r>
              <w:rPr>
                <w:rFonts w:hint="eastAsia" w:ascii="宋体" w:hAnsi="宋体" w:eastAsiaTheme="minorEastAsia" w:cstheme="minorBidi"/>
                <w:color w:val="FF0000"/>
                <w:kern w:val="2"/>
                <w:sz w:val="21"/>
                <w:szCs w:val="24"/>
                <w:lang w:val="zh-CN" w:eastAsia="zh-CN" w:bidi="ar-SA"/>
              </w:rPr>
              <w:t>年</w:t>
            </w:r>
            <w:r>
              <w:rPr>
                <w:rFonts w:hint="eastAsia" w:ascii="宋体" w:hAnsi="宋体" w:cstheme="minorBidi"/>
                <w:color w:val="FF0000"/>
                <w:kern w:val="2"/>
                <w:sz w:val="21"/>
                <w:szCs w:val="24"/>
                <w:lang w:val="en-US" w:eastAsia="zh-CN" w:bidi="ar-SA"/>
              </w:rPr>
              <w:t>6</w:t>
            </w:r>
            <w:r>
              <w:rPr>
                <w:rFonts w:hint="eastAsia" w:ascii="宋体" w:hAnsi="宋体" w:eastAsiaTheme="minorEastAsia" w:cstheme="minorBidi"/>
                <w:color w:val="FF0000"/>
                <w:kern w:val="2"/>
                <w:sz w:val="21"/>
                <w:szCs w:val="24"/>
                <w:lang w:val="zh-CN" w:eastAsia="zh-CN" w:bidi="ar-SA"/>
              </w:rPr>
              <w:t>月</w:t>
            </w:r>
            <w:r>
              <w:rPr>
                <w:rFonts w:hint="eastAsia" w:ascii="宋体" w:hAnsi="宋体" w:cstheme="minorBidi"/>
                <w:color w:val="FF0000"/>
                <w:kern w:val="2"/>
                <w:sz w:val="21"/>
                <w:szCs w:val="24"/>
                <w:lang w:val="en-US" w:eastAsia="zh-CN" w:bidi="ar-SA"/>
              </w:rPr>
              <w:t>21</w:t>
            </w:r>
            <w:r>
              <w:rPr>
                <w:rFonts w:hint="eastAsia" w:ascii="宋体" w:hAnsi="宋体" w:eastAsiaTheme="minorEastAsia" w:cstheme="minorBidi"/>
                <w:color w:val="FF0000"/>
                <w:kern w:val="2"/>
                <w:sz w:val="21"/>
                <w:szCs w:val="24"/>
                <w:lang w:val="zh-CN" w:eastAsia="zh-CN" w:bidi="ar-SA"/>
              </w:rPr>
              <w:t>日</w:t>
            </w:r>
            <w:r>
              <w:rPr>
                <w:rFonts w:hint="eastAsia" w:ascii="宋体" w:hAnsi="宋体" w:eastAsiaTheme="minorEastAsia" w:cstheme="minorBidi"/>
                <w:color w:val="FF0000"/>
                <w:kern w:val="2"/>
                <w:sz w:val="21"/>
                <w:szCs w:val="24"/>
                <w:lang w:val="en-US" w:eastAsia="zh-CN" w:bidi="ar-SA"/>
              </w:rPr>
              <w:t>14</w:t>
            </w:r>
            <w:r>
              <w:rPr>
                <w:rFonts w:hint="eastAsia" w:ascii="宋体" w:hAnsi="宋体" w:eastAsiaTheme="minorEastAsia" w:cstheme="minorBidi"/>
                <w:color w:val="FF0000"/>
                <w:kern w:val="2"/>
                <w:sz w:val="21"/>
                <w:szCs w:val="24"/>
                <w:lang w:val="zh-CN" w:eastAsia="zh-CN" w:bidi="ar-SA"/>
              </w:rPr>
              <w:t>时</w:t>
            </w:r>
            <w:r>
              <w:rPr>
                <w:rFonts w:hint="eastAsia" w:ascii="宋体" w:hAnsi="宋体" w:eastAsiaTheme="minorEastAsia" w:cstheme="minorBidi"/>
                <w:color w:val="FF0000"/>
                <w:kern w:val="2"/>
                <w:sz w:val="21"/>
                <w:szCs w:val="24"/>
                <w:lang w:val="en-US" w:eastAsia="zh-CN" w:bidi="ar-SA"/>
              </w:rPr>
              <w:t>30</w:t>
            </w:r>
            <w:r>
              <w:rPr>
                <w:rFonts w:hint="eastAsia" w:ascii="宋体" w:hAnsi="宋体" w:eastAsiaTheme="minorEastAsia" w:cstheme="minorBidi"/>
                <w:color w:val="FF0000"/>
                <w:kern w:val="2"/>
                <w:sz w:val="21"/>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投标及开标地点</w:t>
            </w:r>
          </w:p>
        </w:tc>
        <w:tc>
          <w:tcPr>
            <w:tcW w:w="7443" w:type="dxa"/>
            <w:noWrap w:val="0"/>
            <w:vAlign w:val="center"/>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pStyle w:val="14"/>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w:t>
            </w:r>
            <w:r>
              <w:rPr>
                <w:rFonts w:hint="eastAsia" w:ascii="宋体" w:hAnsi="宋体" w:eastAsiaTheme="minorEastAsia" w:cstheme="minorBidi"/>
                <w:kern w:val="2"/>
                <w:sz w:val="21"/>
                <w:szCs w:val="24"/>
                <w:lang w:val="en-US" w:eastAsia="zh-CN" w:bidi="ar-SA"/>
              </w:rPr>
              <w:t>海南州公共资源交易有限责任公司2号开标室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开标地点</w:t>
            </w:r>
          </w:p>
        </w:tc>
        <w:tc>
          <w:tcPr>
            <w:tcW w:w="7443" w:type="dxa"/>
            <w:noWrap w:val="0"/>
            <w:vAlign w:val="top"/>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w:t>
            </w:r>
            <w:r>
              <w:rPr>
                <w:rFonts w:hint="eastAsia" w:ascii="宋体" w:hAnsi="宋体" w:eastAsiaTheme="minorEastAsia" w:cstheme="minorBidi"/>
                <w:kern w:val="2"/>
                <w:sz w:val="21"/>
                <w:szCs w:val="24"/>
                <w:lang w:val="en-US" w:eastAsia="zh-CN" w:bidi="ar-SA"/>
              </w:rPr>
              <w:t>海南州公共资源交易有限责任公司2号开标室（海南州共和县城北新区政和路青海青海银行东侧）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其他事项</w:t>
            </w:r>
          </w:p>
        </w:tc>
        <w:tc>
          <w:tcPr>
            <w:tcW w:w="7443" w:type="dxa"/>
            <w:noWrap w:val="0"/>
            <w:vAlign w:val="top"/>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widowControl/>
              <w:spacing w:line="340" w:lineRule="exact"/>
              <w:ind w:firstLine="0" w:firstLineChars="0"/>
              <w:jc w:val="left"/>
              <w:rPr>
                <w:rFonts w:hint="eastAsia" w:ascii="宋体" w:hAnsi="宋体" w:cs="宋体"/>
                <w:b/>
                <w:bCs/>
                <w:lang w:val="zh-CN" w:eastAsia="zh-CN"/>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443" w:type="dxa"/>
            <w:noWrap w:val="0"/>
            <w:vAlign w:val="center"/>
          </w:tcPr>
          <w:p>
            <w:pPr>
              <w:autoSpaceDE w:val="0"/>
              <w:autoSpaceDN w:val="0"/>
              <w:adjustRightInd w:val="0"/>
              <w:spacing w:line="360" w:lineRule="auto"/>
              <w:ind w:left="0" w:leftChars="0" w:firstLine="0" w:firstLineChars="0"/>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eastAsia="宋体" w:cs="宋体"/>
                <w:color w:val="000000"/>
                <w:kern w:val="0"/>
                <w:lang w:val="zh-CN"/>
              </w:rPr>
              <w:t>郑</w:t>
            </w:r>
            <w:r>
              <w:rPr>
                <w:rFonts w:hint="eastAsia" w:ascii="宋体" w:hAnsi="宋体" w:cs="宋体"/>
                <w:color w:val="000000"/>
                <w:kern w:val="0"/>
                <w:lang w:val="zh-CN" w:eastAsia="zh-CN"/>
              </w:rPr>
              <w:t>先生</w:t>
            </w:r>
            <w:r>
              <w:rPr>
                <w:rFonts w:hint="eastAsia" w:ascii="宋体" w:hAnsi="宋体" w:cs="宋体"/>
                <w:color w:val="000000"/>
                <w:kern w:val="0"/>
                <w:u w:val="dashDotHeavy"/>
              </w:rPr>
              <w:t xml:space="preserve">   </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18997346735</w:t>
            </w:r>
          </w:p>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联系地址：</w:t>
            </w:r>
            <w:r>
              <w:rPr>
                <w:rFonts w:hint="eastAsia" w:ascii="宋体" w:hAnsi="宋体"/>
                <w:spacing w:val="-2"/>
                <w:kern w:val="16"/>
                <w:lang w:eastAsia="zh-CN"/>
              </w:rPr>
              <w:t>海南州职业技术学校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集中采购机构联系人</w:t>
            </w:r>
          </w:p>
        </w:tc>
        <w:tc>
          <w:tcPr>
            <w:tcW w:w="7443" w:type="dxa"/>
            <w:noWrap w:val="0"/>
            <w:vAlign w:val="center"/>
          </w:tcPr>
          <w:p>
            <w:pPr>
              <w:pStyle w:val="5"/>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u w:val="dashDotHeavy"/>
              </w:rPr>
              <w:t xml:space="preserve">李女士   </w:t>
            </w:r>
            <w:r>
              <w:rPr>
                <w:rFonts w:hint="eastAsia" w:ascii="宋体" w:hAnsi="宋体" w:cs="宋体"/>
                <w:color w:val="000000"/>
                <w:kern w:val="0"/>
              </w:rPr>
              <w:t xml:space="preserve">    电话</w:t>
            </w:r>
            <w:r>
              <w:rPr>
                <w:rFonts w:hint="eastAsia" w:ascii="宋体" w:hAnsi="宋体" w:cs="宋体"/>
                <w:color w:val="000000"/>
                <w:kern w:val="0"/>
                <w:lang w:val="zh-CN"/>
              </w:rPr>
              <w:t>：</w:t>
            </w:r>
            <w:r>
              <w:rPr>
                <w:rFonts w:hint="eastAsia" w:ascii="宋体" w:hAnsi="宋体" w:cs="宋体"/>
                <w:color w:val="000000"/>
                <w:kern w:val="0"/>
                <w:u w:val="dashDotHeavy"/>
              </w:rPr>
              <w:t>0974-755333</w:t>
            </w:r>
            <w:r>
              <w:rPr>
                <w:rFonts w:hint="eastAsia" w:ascii="宋体" w:hAnsi="宋体" w:cs="宋体"/>
                <w:color w:val="000000"/>
                <w:kern w:val="0"/>
                <w:u w:val="dashDotHeavy"/>
                <w:lang w:val="en-US" w:eastAsia="zh-CN"/>
              </w:rPr>
              <w:t>4</w:t>
            </w:r>
            <w:r>
              <w:rPr>
                <w:rFonts w:hint="eastAsia" w:ascii="宋体" w:hAnsi="宋体" w:cs="宋体"/>
                <w:color w:val="000000"/>
                <w:kern w:val="0"/>
                <w:lang w:val="zh-CN"/>
              </w:rPr>
              <w:t>，</w:t>
            </w:r>
          </w:p>
          <w:p>
            <w:pPr>
              <w:pStyle w:val="5"/>
              <w:spacing w:line="360" w:lineRule="auto"/>
              <w:ind w:left="0" w:leftChars="0" w:firstLine="0" w:firstLineChars="0"/>
              <w:jc w:val="both"/>
              <w:rPr>
                <w:rFonts w:ascii="宋体" w:hAnsi="宋体"/>
                <w:kern w:val="16"/>
              </w:rPr>
            </w:pPr>
            <w:r>
              <w:rPr>
                <w:rFonts w:hint="eastAsia" w:ascii="宋体" w:hAnsi="宋体" w:cs="宋体"/>
                <w:color w:val="000000"/>
                <w:kern w:val="0"/>
                <w:lang w:val="zh-CN"/>
              </w:rPr>
              <w:t>联系地址：</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宋体" w:hAnsi="宋体" w:eastAsia="宋体" w:cs="宋体"/>
                <w:color w:val="FF0000"/>
                <w:kern w:val="0"/>
                <w:lang w:eastAsia="zh-CN"/>
              </w:rPr>
            </w:pPr>
            <w:r>
              <w:rPr>
                <w:rFonts w:hint="eastAsia" w:ascii="宋体" w:hAnsi="宋体" w:cs="宋体" w:eastAsiaTheme="minorEastAsia"/>
                <w:color w:val="FF0000"/>
                <w:kern w:val="0"/>
                <w:sz w:val="21"/>
                <w:szCs w:val="24"/>
                <w:lang w:val="en-US" w:eastAsia="zh-CN" w:bidi="ar"/>
              </w:rPr>
              <w:t>交货期</w:t>
            </w:r>
          </w:p>
        </w:tc>
        <w:tc>
          <w:tcPr>
            <w:tcW w:w="7443" w:type="dxa"/>
            <w:noWrap w:val="0"/>
            <w:vAlign w:val="top"/>
          </w:tcPr>
          <w:p>
            <w:pPr>
              <w:widowControl/>
              <w:spacing w:line="340" w:lineRule="exact"/>
              <w:ind w:firstLine="0" w:firstLineChars="0"/>
              <w:jc w:val="left"/>
              <w:rPr>
                <w:rFonts w:hint="eastAsia" w:ascii="宋体" w:hAnsi="宋体" w:eastAsia="宋体" w:cs="宋体"/>
                <w:color w:val="FF0000"/>
                <w:kern w:val="0"/>
                <w:lang w:eastAsia="zh-CN"/>
              </w:rPr>
            </w:pPr>
            <w:r>
              <w:rPr>
                <w:rFonts w:hint="eastAsia" w:ascii="宋体" w:hAnsi="宋体" w:cs="宋体"/>
                <w:color w:val="FF0000"/>
                <w:kern w:val="0"/>
                <w:lang w:eastAsia="zh-CN"/>
              </w:rPr>
              <w:t>签订合同后三个月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海南州财政局</w:t>
            </w:r>
            <w:r>
              <w:rPr>
                <w:rFonts w:hint="eastAsia" w:ascii="宋体" w:hAnsi="宋体" w:cs="宋体"/>
                <w:kern w:val="0"/>
              </w:rPr>
              <w:t xml:space="preserve">   联系电话：</w:t>
            </w:r>
            <w:r>
              <w:rPr>
                <w:rFonts w:hint="eastAsia" w:ascii="宋体" w:cs="宋体"/>
                <w:kern w:val="0"/>
                <w:lang w:val="zh-CN"/>
              </w:rPr>
              <w:t>0974-85</w:t>
            </w:r>
            <w:r>
              <w:rPr>
                <w:rFonts w:hint="eastAsia" w:ascii="宋体" w:cs="宋体"/>
                <w:kern w:val="0"/>
                <w:lang w:val="en-US" w:eastAsia="zh-CN"/>
              </w:rPr>
              <w:t>20297</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67558557"/>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67558558"/>
      <w:r>
        <w:rPr>
          <w:rFonts w:hint="eastAsia" w:ascii="宋体" w:hAnsi="宋体"/>
          <w:b/>
          <w:bCs/>
          <w:kern w:val="0"/>
          <w:sz w:val="27"/>
          <w:szCs w:val="27"/>
        </w:rPr>
        <w:t>1.适用范围</w:t>
      </w:r>
      <w:bookmarkEnd w:id="7"/>
      <w:bookmarkEnd w:id="8"/>
      <w:bookmarkEnd w:id="9"/>
    </w:p>
    <w:p>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67558559"/>
      <w:bookmarkStart w:id="12" w:name="_Toc376936730"/>
      <w:r>
        <w:rPr>
          <w:rFonts w:hint="eastAsia" w:ascii="宋体" w:hAnsi="宋体"/>
          <w:b/>
          <w:bCs/>
          <w:kern w:val="0"/>
          <w:sz w:val="27"/>
          <w:szCs w:val="27"/>
        </w:rPr>
        <w:t>2.招标方式、合格的投标人</w:t>
      </w:r>
      <w:bookmarkEnd w:id="10"/>
      <w:bookmarkEnd w:id="11"/>
      <w:bookmarkEnd w:id="12"/>
    </w:p>
    <w:p>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67558560"/>
      <w:bookmarkStart w:id="14" w:name="_Toc325726000"/>
      <w:bookmarkStart w:id="15" w:name="_Toc376936731"/>
      <w:r>
        <w:rPr>
          <w:rFonts w:hint="eastAsia" w:ascii="宋体" w:hAnsi="宋体"/>
          <w:b/>
          <w:bCs/>
          <w:kern w:val="0"/>
          <w:sz w:val="27"/>
          <w:szCs w:val="27"/>
        </w:rPr>
        <w:t>3.投标费用</w:t>
      </w:r>
      <w:bookmarkEnd w:id="13"/>
      <w:bookmarkEnd w:id="14"/>
      <w:bookmarkEnd w:id="15"/>
    </w:p>
    <w:p>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67558561"/>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67558562"/>
      <w:bookmarkStart w:id="21" w:name="_Toc376936733"/>
      <w:r>
        <w:rPr>
          <w:rFonts w:hint="eastAsia" w:ascii="宋体" w:hAnsi="宋体"/>
          <w:b/>
          <w:bCs/>
          <w:kern w:val="0"/>
          <w:sz w:val="27"/>
          <w:szCs w:val="27"/>
        </w:rPr>
        <w:t>4.招标文件的构成</w:t>
      </w:r>
      <w:bookmarkEnd w:id="19"/>
      <w:bookmarkEnd w:id="20"/>
      <w:bookmarkEnd w:id="21"/>
    </w:p>
    <w:p>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25726004"/>
      <w:bookmarkStart w:id="26" w:name="_Toc376936735"/>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76936736"/>
      <w:bookmarkStart w:id="30" w:name="_Toc67558565"/>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67558566"/>
      <w:bookmarkStart w:id="33" w:name="_Toc376936737"/>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67558567"/>
      <w:bookmarkStart w:id="36" w:name="_Toc376936738"/>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67558568"/>
      <w:bookmarkStart w:id="38" w:name="_Toc376936743"/>
      <w:bookmarkStart w:id="39" w:name="_Toc325726012"/>
      <w:r>
        <w:rPr>
          <w:rFonts w:hint="eastAsia" w:ascii="宋体" w:hAnsi="宋体"/>
          <w:b/>
          <w:bCs/>
          <w:kern w:val="0"/>
          <w:sz w:val="27"/>
          <w:szCs w:val="27"/>
        </w:rPr>
        <w:t>9.投标保证金</w:t>
      </w:r>
      <w:bookmarkEnd w:id="37"/>
      <w:bookmarkEnd w:id="38"/>
      <w:bookmarkEnd w:id="39"/>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投标人须在投标截止期前按采购预算额度的2%缴纳投标保证金（具体数额以招标文件中确定的数额为准）。本次采购活动中未中标且投标人未发生违规行为的，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25726013"/>
      <w:bookmarkStart w:id="41" w:name="_Toc67558569"/>
      <w:bookmarkStart w:id="42" w:name="_Toc376936744"/>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325726008"/>
      <w:bookmarkStart w:id="45" w:name="_Toc67558570"/>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369" w:firstLineChars="176"/>
        <w:rPr>
          <w:rFonts w:hint="eastAsia" w:ascii="宋体" w:hAnsi="宋体"/>
        </w:rPr>
      </w:pPr>
      <w:r>
        <w:rPr>
          <w:rFonts w:hint="eastAsia" w:ascii="宋体" w:hAnsi="宋体"/>
        </w:rPr>
        <w:t>11.1.1资格审查部分</w:t>
      </w:r>
    </w:p>
    <w:p>
      <w:pPr>
        <w:ind w:left="2" w:firstLine="369" w:firstLineChars="176"/>
        <w:rPr>
          <w:rFonts w:hint="eastAsia" w:ascii="宋体" w:hAnsi="宋体"/>
        </w:rPr>
      </w:pPr>
      <w:r>
        <w:rPr>
          <w:rFonts w:hint="eastAsia" w:ascii="宋体" w:hAnsi="宋体"/>
        </w:rPr>
        <w:t>（1）投标函</w:t>
      </w:r>
    </w:p>
    <w:p>
      <w:pPr>
        <w:ind w:left="2" w:firstLine="369" w:firstLineChars="176"/>
        <w:rPr>
          <w:rFonts w:hint="eastAsia" w:ascii="宋体" w:hAnsi="宋体"/>
        </w:rPr>
      </w:pPr>
      <w:r>
        <w:rPr>
          <w:rFonts w:hint="eastAsia" w:ascii="宋体" w:hAnsi="宋体"/>
        </w:rPr>
        <w:t>（2）法定代表人证明书</w:t>
      </w:r>
    </w:p>
    <w:p>
      <w:pPr>
        <w:ind w:left="2" w:firstLine="369" w:firstLineChars="176"/>
        <w:rPr>
          <w:rFonts w:hint="eastAsia" w:ascii="宋体" w:hAnsi="宋体"/>
        </w:rPr>
      </w:pPr>
      <w:r>
        <w:rPr>
          <w:rFonts w:hint="eastAsia" w:ascii="宋体" w:hAnsi="宋体"/>
        </w:rPr>
        <w:t>（3）法定代表人授权书</w:t>
      </w:r>
    </w:p>
    <w:p>
      <w:pPr>
        <w:ind w:left="2" w:firstLine="369" w:firstLineChars="176"/>
        <w:rPr>
          <w:rFonts w:hint="eastAsia" w:ascii="宋体" w:hAnsi="宋体"/>
        </w:rPr>
      </w:pPr>
      <w:r>
        <w:rPr>
          <w:rFonts w:hint="eastAsia" w:ascii="宋体" w:hAnsi="宋体"/>
        </w:rPr>
        <w:t>（4）投标人承诺函</w:t>
      </w:r>
    </w:p>
    <w:p>
      <w:pPr>
        <w:ind w:left="2" w:firstLine="369" w:firstLineChars="176"/>
        <w:rPr>
          <w:rFonts w:hint="eastAsia" w:ascii="宋体" w:hAnsi="宋体"/>
        </w:rPr>
      </w:pPr>
      <w:r>
        <w:rPr>
          <w:rFonts w:hint="eastAsia" w:ascii="宋体" w:hAnsi="宋体"/>
        </w:rPr>
        <w:t>（5）供应商诚信承诺书</w:t>
      </w:r>
    </w:p>
    <w:p>
      <w:pPr>
        <w:ind w:left="2" w:firstLine="369" w:firstLineChars="176"/>
        <w:rPr>
          <w:rFonts w:hint="eastAsia" w:ascii="宋体" w:hAnsi="宋体"/>
        </w:rPr>
      </w:pPr>
      <w:r>
        <w:rPr>
          <w:rFonts w:hint="eastAsia" w:ascii="宋体" w:hAnsi="宋体"/>
        </w:rPr>
        <w:t>（6）投标人资格证明文件</w:t>
      </w:r>
    </w:p>
    <w:p>
      <w:pPr>
        <w:ind w:left="2" w:firstLine="369" w:firstLineChars="176"/>
        <w:rPr>
          <w:rFonts w:hint="eastAsia" w:ascii="宋体" w:hAnsi="宋体"/>
        </w:rPr>
      </w:pPr>
      <w:r>
        <w:rPr>
          <w:rFonts w:hint="eastAsia" w:ascii="宋体" w:hAnsi="宋体"/>
        </w:rPr>
        <w:t>（7）财务状况、缴纳税收和社会保障资金证明</w:t>
      </w:r>
    </w:p>
    <w:p>
      <w:pPr>
        <w:ind w:left="2" w:firstLine="369" w:firstLineChars="176"/>
        <w:rPr>
          <w:rFonts w:hint="eastAsia" w:ascii="宋体" w:hAnsi="宋体"/>
        </w:rPr>
      </w:pPr>
      <w:r>
        <w:rPr>
          <w:rFonts w:hint="eastAsia" w:ascii="宋体" w:hAnsi="宋体"/>
        </w:rPr>
        <w:t>（8）无重大违法记录声明</w:t>
      </w:r>
    </w:p>
    <w:p>
      <w:pPr>
        <w:ind w:left="2" w:firstLine="369" w:firstLineChars="176"/>
        <w:rPr>
          <w:rFonts w:hint="eastAsia" w:ascii="宋体" w:hAnsi="宋体"/>
        </w:rPr>
      </w:pPr>
      <w:r>
        <w:rPr>
          <w:rFonts w:hint="eastAsia" w:ascii="宋体" w:hAnsi="宋体"/>
        </w:rPr>
        <w:t>11.1.2符合性审查部分</w:t>
      </w:r>
    </w:p>
    <w:p>
      <w:pPr>
        <w:ind w:left="2" w:firstLine="369" w:firstLineChars="176"/>
        <w:rPr>
          <w:rFonts w:hint="eastAsia" w:ascii="宋体" w:hAnsi="宋体"/>
        </w:rPr>
      </w:pPr>
      <w:r>
        <w:rPr>
          <w:rFonts w:hint="eastAsia" w:ascii="宋体" w:hAnsi="宋体"/>
        </w:rPr>
        <w:t>（9）投标报价一览表</w:t>
      </w:r>
    </w:p>
    <w:p>
      <w:pPr>
        <w:ind w:left="2" w:firstLine="369" w:firstLineChars="176"/>
        <w:rPr>
          <w:rFonts w:hint="eastAsia" w:ascii="宋体" w:hAnsi="宋体"/>
        </w:rPr>
      </w:pPr>
      <w:r>
        <w:rPr>
          <w:rFonts w:hint="eastAsia" w:ascii="宋体" w:hAnsi="宋体"/>
        </w:rPr>
        <w:t>（10）分项报价表</w:t>
      </w:r>
    </w:p>
    <w:p>
      <w:pPr>
        <w:ind w:left="2" w:firstLine="369" w:firstLineChars="176"/>
        <w:rPr>
          <w:rFonts w:hint="eastAsia" w:ascii="宋体" w:hAnsi="宋体"/>
        </w:rPr>
      </w:pPr>
      <w:r>
        <w:rPr>
          <w:rFonts w:hint="eastAsia" w:ascii="宋体" w:hAnsi="宋体"/>
        </w:rPr>
        <w:t>（11）技术规格响应表</w:t>
      </w:r>
    </w:p>
    <w:p>
      <w:pPr>
        <w:ind w:left="2" w:firstLine="369" w:firstLineChars="176"/>
        <w:rPr>
          <w:rFonts w:hint="eastAsia" w:ascii="宋体" w:hAnsi="宋体"/>
        </w:rPr>
      </w:pPr>
      <w:r>
        <w:rPr>
          <w:rFonts w:hint="eastAsia" w:ascii="宋体" w:hAnsi="宋体"/>
        </w:rPr>
        <w:t>（12）其他资格证明材料</w:t>
      </w:r>
    </w:p>
    <w:p>
      <w:pPr>
        <w:ind w:left="2" w:firstLine="369" w:firstLineChars="176"/>
        <w:rPr>
          <w:rFonts w:hint="eastAsia" w:ascii="宋体" w:hAnsi="宋体"/>
        </w:rPr>
      </w:pPr>
      <w:r>
        <w:rPr>
          <w:rFonts w:hint="eastAsia" w:ascii="宋体" w:hAnsi="宋体"/>
        </w:rPr>
        <w:t>（13）投标产品相关资料</w:t>
      </w:r>
    </w:p>
    <w:p>
      <w:pPr>
        <w:ind w:left="2" w:firstLine="369" w:firstLineChars="176"/>
        <w:rPr>
          <w:rFonts w:hint="eastAsia" w:ascii="宋体" w:hAnsi="宋体"/>
        </w:rPr>
      </w:pPr>
      <w:r>
        <w:rPr>
          <w:rFonts w:hint="eastAsia" w:ascii="宋体" w:hAnsi="宋体"/>
        </w:rPr>
        <w:t>（14）投标人类似业绩证明材料</w:t>
      </w:r>
    </w:p>
    <w:p>
      <w:pPr>
        <w:ind w:left="2" w:firstLine="369" w:firstLineChars="176"/>
        <w:rPr>
          <w:rFonts w:hint="eastAsia" w:ascii="宋体" w:hAnsi="宋体" w:eastAsiaTheme="minorEastAsia"/>
          <w:lang w:val="en-US" w:eastAsia="zh-CN"/>
        </w:rPr>
      </w:pPr>
      <w:r>
        <w:rPr>
          <w:rFonts w:hint="eastAsia" w:ascii="宋体" w:hAnsi="宋体"/>
        </w:rPr>
        <w:t>（15）中小企业声明函</w:t>
      </w:r>
      <w:r>
        <w:rPr>
          <w:rFonts w:hint="eastAsia" w:ascii="宋体" w:hAnsi="宋体"/>
          <w:lang w:val="en-US" w:eastAsia="zh-CN"/>
        </w:rPr>
        <w:t xml:space="preserve"> </w:t>
      </w:r>
    </w:p>
    <w:p>
      <w:pPr>
        <w:ind w:left="2" w:firstLine="369" w:firstLineChars="176"/>
        <w:rPr>
          <w:rFonts w:hint="eastAsia" w:ascii="宋体" w:hAnsi="宋体"/>
        </w:rPr>
      </w:pPr>
      <w:r>
        <w:rPr>
          <w:rFonts w:hint="eastAsia" w:ascii="宋体" w:hAnsi="宋体"/>
        </w:rPr>
        <w:t>（16）残疾人福利性单位声明函</w:t>
      </w:r>
    </w:p>
    <w:p>
      <w:pPr>
        <w:ind w:left="2" w:firstLine="369" w:firstLineChars="176"/>
        <w:rPr>
          <w:rFonts w:hint="eastAsia" w:ascii="宋体" w:hAnsi="宋体"/>
          <w:color w:val="000000"/>
        </w:rPr>
      </w:pPr>
      <w:r>
        <w:rPr>
          <w:rFonts w:hint="eastAsia" w:ascii="宋体" w:hAnsi="宋体"/>
          <w:color w:val="000000"/>
        </w:rPr>
        <w:t>（17）项目管理实施方案及售后服务</w:t>
      </w:r>
    </w:p>
    <w:p>
      <w:pPr>
        <w:ind w:left="2" w:firstLine="369" w:firstLineChars="176"/>
        <w:rPr>
          <w:rFonts w:hint="eastAsia" w:ascii="宋体" w:hAnsi="宋体"/>
          <w:color w:val="000000"/>
        </w:rPr>
      </w:pPr>
      <w:r>
        <w:rPr>
          <w:rFonts w:hint="eastAsia" w:ascii="宋体" w:hAnsi="宋体"/>
          <w:color w:val="000000"/>
        </w:rPr>
        <w:t>（18）投标人在其他方面有必要说明的事项</w:t>
      </w:r>
    </w:p>
    <w:p>
      <w:pPr>
        <w:ind w:left="2" w:firstLine="369"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67558571"/>
      <w:bookmarkStart w:id="48" w:name="_Toc376936745"/>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pPr>
        <w:autoSpaceDE w:val="0"/>
        <w:autoSpaceDN w:val="0"/>
        <w:spacing w:line="360" w:lineRule="auto"/>
        <w:ind w:firstLine="420" w:firstLineChars="200"/>
        <w:rPr>
          <w:rFonts w:hint="eastAsia" w:ascii="宋体" w:hAnsi="宋体" w:cs="宋体"/>
          <w:color w:val="000000"/>
          <w:kern w:val="0"/>
          <w:lang w:val="zh-CN"/>
        </w:rPr>
      </w:pPr>
      <w:bookmarkStart w:id="50" w:name="_Toc371090027"/>
      <w:bookmarkStart w:id="51" w:name="_Toc376936746"/>
      <w:bookmarkStart w:id="52" w:name="_Toc67558572"/>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项目的名称、内容、数量和价格等内容；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dashDotHeavy"/>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eastAsia="宋体" w:cs="Times New Roman"/>
          <w:b/>
          <w:bCs/>
          <w:kern w:val="0"/>
          <w:sz w:val="36"/>
          <w:szCs w:val="36"/>
          <w:lang w:val="zh-CN"/>
        </w:rPr>
        <w:t>投标文件的提交</w:t>
      </w:r>
    </w:p>
    <w:p>
      <w:pPr>
        <w:pStyle w:val="15"/>
        <w:spacing w:before="0" w:after="0" w:line="360" w:lineRule="auto"/>
        <w:jc w:val="left"/>
        <w:rPr>
          <w:rFonts w:hint="eastAsia" w:ascii="宋体" w:hAnsi="宋体" w:cs="宋体"/>
          <w:color w:val="000000"/>
          <w:lang w:val="zh-CN"/>
        </w:rPr>
      </w:pPr>
      <w:bookmarkStart w:id="53" w:name="_Toc515908185"/>
      <w:bookmarkStart w:id="54" w:name="_Toc371090029"/>
      <w:bookmarkStart w:id="55" w:name="_Toc376936748"/>
      <w:bookmarkStart w:id="56" w:name="_Toc67558574"/>
      <w:r>
        <w:rPr>
          <w:rFonts w:hint="eastAsia" w:ascii="宋体" w:hAnsi="宋体" w:cs="宋体"/>
          <w:color w:val="000000"/>
          <w:sz w:val="28"/>
          <w:szCs w:val="28"/>
          <w:lang w:val="zh-CN"/>
        </w:rPr>
        <w:t>13.投标文件的密封和标记</w:t>
      </w:r>
      <w:bookmarkEnd w:id="53"/>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rPr>
        <w:t>开标时间</w:t>
      </w:r>
      <w:r>
        <w:rPr>
          <w:rFonts w:hint="eastAsia" w:ascii="宋体" w:hAnsi="宋体" w:cs="宋体"/>
          <w:color w:val="000000"/>
          <w:kern w:val="0"/>
          <w:lang w:val="zh-CN"/>
        </w:rPr>
        <w:t>之前不准启封”的标签密封。</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pStyle w:val="15"/>
        <w:spacing w:before="0" w:after="0" w:line="360" w:lineRule="auto"/>
        <w:jc w:val="left"/>
        <w:rPr>
          <w:rFonts w:hint="eastAsia" w:ascii="宋体" w:hAnsi="宋体" w:cs="宋体"/>
          <w:color w:val="000000"/>
          <w:lang w:val="zh-CN"/>
        </w:rPr>
      </w:pPr>
      <w:bookmarkStart w:id="57" w:name="_Toc515908187"/>
      <w:bookmarkStart w:id="58" w:name="_Toc67558576"/>
      <w:bookmarkStart w:id="59" w:name="_Toc325726019"/>
      <w:bookmarkStart w:id="60" w:name="_Toc376936750"/>
      <w:r>
        <w:rPr>
          <w:rFonts w:hint="eastAsia" w:ascii="宋体" w:hAnsi="宋体" w:cs="宋体"/>
          <w:color w:val="000000"/>
          <w:sz w:val="28"/>
          <w:szCs w:val="28"/>
          <w:lang w:val="zh-CN"/>
        </w:rPr>
        <w:t>15.投标文件的补充、修改或者撤回</w:t>
      </w:r>
      <w:bookmarkEnd w:id="57"/>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1" w:name="_Toc376936751"/>
      <w:bookmarkStart w:id="62" w:name="_Toc67558577"/>
      <w:bookmarkStart w:id="63" w:name="_Toc325726020"/>
      <w:r>
        <w:rPr>
          <w:rFonts w:hint="eastAsia" w:ascii="宋体" w:hAnsi="宋体"/>
          <w:b/>
          <w:bCs/>
          <w:kern w:val="0"/>
          <w:sz w:val="27"/>
          <w:szCs w:val="27"/>
        </w:rPr>
        <w:t>16.开标</w:t>
      </w:r>
      <w:bookmarkEnd w:id="61"/>
      <w:bookmarkEnd w:id="62"/>
      <w:bookmarkEnd w:id="63"/>
    </w:p>
    <w:p>
      <w:pPr>
        <w:pStyle w:val="15"/>
        <w:spacing w:before="0" w:after="0" w:line="360" w:lineRule="auto"/>
        <w:jc w:val="left"/>
        <w:rPr>
          <w:rFonts w:hint="eastAsia" w:ascii="宋体" w:hAnsi="宋体" w:cs="宋体"/>
          <w:color w:val="000000"/>
          <w:lang w:val="zh-CN"/>
        </w:rPr>
      </w:pPr>
      <w:bookmarkStart w:id="64" w:name="_Toc515908189"/>
      <w:bookmarkStart w:id="65" w:name="_Toc67558578"/>
      <w:bookmarkStart w:id="66" w:name="_Toc325726021"/>
      <w:bookmarkStart w:id="67" w:name="_Toc376936752"/>
      <w:r>
        <w:rPr>
          <w:rFonts w:hint="eastAsia" w:ascii="宋体" w:hAnsi="宋体" w:cs="宋体"/>
          <w:color w:val="000000"/>
          <w:sz w:val="28"/>
          <w:szCs w:val="28"/>
          <w:lang w:val="zh-CN"/>
        </w:rPr>
        <w:t>16.开标</w:t>
      </w:r>
      <w:bookmarkEnd w:id="64"/>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按本文件中确定的时间和地点组织开标活动。</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2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2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u w:val="dashDotHeavy"/>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67558579"/>
      <w:r>
        <w:rPr>
          <w:rFonts w:hint="eastAsia" w:ascii="宋体" w:hAnsi="宋体"/>
          <w:b/>
          <w:bCs/>
          <w:kern w:val="0"/>
          <w:sz w:val="27"/>
          <w:szCs w:val="27"/>
        </w:rPr>
        <w:t>17. 资格审查程序</w:t>
      </w:r>
      <w:bookmarkEnd w:id="68"/>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9" w:name="_Toc67558580"/>
      <w:r>
        <w:rPr>
          <w:rFonts w:hint="eastAsia" w:ascii="宋体" w:hAnsi="宋体"/>
          <w:b/>
          <w:bCs/>
          <w:kern w:val="0"/>
          <w:sz w:val="27"/>
          <w:szCs w:val="27"/>
        </w:rPr>
        <w:t>18.资格审查不通过的情形</w:t>
      </w:r>
      <w:bookmarkEnd w:id="69"/>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未按第11.1.1款（1）-（8）要求提供相关资料的；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70" w:name="_Toc67558581"/>
      <w:r>
        <w:rPr>
          <w:rFonts w:hint="eastAsia" w:ascii="宋体" w:hAnsi="宋体"/>
          <w:b/>
          <w:bCs/>
          <w:kern w:val="0"/>
          <w:sz w:val="36"/>
          <w:szCs w:val="36"/>
        </w:rPr>
        <w:t>七、评标程序及方法</w:t>
      </w:r>
      <w:bookmarkEnd w:id="66"/>
      <w:bookmarkEnd w:id="67"/>
      <w:bookmarkEnd w:id="7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76936753"/>
      <w:bookmarkStart w:id="72" w:name="_Toc67558582"/>
      <w:bookmarkStart w:id="73" w:name="_Toc325726022"/>
      <w:r>
        <w:rPr>
          <w:rFonts w:hint="eastAsia" w:ascii="宋体" w:hAnsi="宋体"/>
          <w:b/>
          <w:bCs/>
          <w:kern w:val="0"/>
          <w:sz w:val="27"/>
          <w:szCs w:val="27"/>
        </w:rPr>
        <w:t>19.评标委员会</w:t>
      </w:r>
      <w:bookmarkEnd w:id="71"/>
      <w:bookmarkEnd w:id="72"/>
      <w:bookmarkEnd w:id="73"/>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67558583"/>
      <w:bookmarkStart w:id="75" w:name="_Toc376936754"/>
      <w:bookmarkStart w:id="76" w:name="_Toc325726023"/>
      <w:r>
        <w:rPr>
          <w:rFonts w:hint="eastAsia" w:ascii="宋体" w:hAnsi="宋体"/>
          <w:b/>
          <w:bCs/>
          <w:kern w:val="0"/>
          <w:sz w:val="27"/>
          <w:szCs w:val="27"/>
        </w:rPr>
        <w:t>20.评标工作程序</w:t>
      </w:r>
      <w:bookmarkEnd w:id="74"/>
      <w:bookmarkEnd w:id="75"/>
      <w:bookmarkEnd w:id="76"/>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67558584"/>
      <w:r>
        <w:rPr>
          <w:rFonts w:hint="eastAsia" w:ascii="宋体" w:hAnsi="宋体"/>
          <w:b/>
          <w:bCs/>
          <w:kern w:val="0"/>
          <w:sz w:val="27"/>
          <w:szCs w:val="27"/>
        </w:rPr>
        <w:t>21.答疑的方式和情形</w:t>
      </w:r>
      <w:bookmarkEnd w:id="77"/>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8" w:name="_Toc376936755"/>
      <w:bookmarkStart w:id="79" w:name="_Toc67558585"/>
      <w:bookmarkStart w:id="80" w:name="_Toc325726024"/>
      <w:r>
        <w:rPr>
          <w:rFonts w:hint="eastAsia" w:ascii="宋体" w:hAnsi="宋体"/>
          <w:b/>
          <w:bCs/>
          <w:kern w:val="0"/>
          <w:sz w:val="27"/>
          <w:szCs w:val="27"/>
        </w:rPr>
        <w:t>22.评标办法</w:t>
      </w:r>
      <w:bookmarkEnd w:id="78"/>
      <w:bookmarkEnd w:id="79"/>
      <w:bookmarkEnd w:id="80"/>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color w:val="000000"/>
        </w:rPr>
      </w:pPr>
      <w:r>
        <w:rPr>
          <w:rFonts w:hint="eastAsia" w:ascii="宋体" w:hAnsi="宋体"/>
          <w:color w:val="000000"/>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cs="宋体"/>
          <w:color w:val="000000"/>
        </w:rPr>
      </w:pPr>
      <w:r>
        <w:rPr>
          <w:rFonts w:hint="eastAsia" w:ascii="宋体" w:hAnsi="宋体" w:cs="宋体"/>
          <w:color w:val="000000"/>
        </w:rPr>
        <w:t>评标标准和分值分配：</w:t>
      </w:r>
    </w:p>
    <w:p>
      <w:pPr>
        <w:rPr>
          <w:rFonts w:ascii="黑体" w:hAnsi="黑体" w:eastAsia="黑体"/>
          <w:sz w:val="28"/>
          <w:szCs w:val="28"/>
        </w:rPr>
      </w:pPr>
      <w:r>
        <w:rPr>
          <w:rFonts w:hint="eastAsia" w:ascii="黑体" w:hAnsi="黑体" w:eastAsia="黑体"/>
          <w:sz w:val="28"/>
          <w:szCs w:val="28"/>
        </w:rPr>
        <w:t>1</w:t>
      </w:r>
      <w:r>
        <w:rPr>
          <w:rFonts w:ascii="黑体" w:hAnsi="黑体" w:eastAsia="黑体"/>
          <w:sz w:val="28"/>
          <w:szCs w:val="28"/>
        </w:rPr>
        <w:t>.</w:t>
      </w:r>
      <w:r>
        <w:rPr>
          <w:rFonts w:hint="eastAsia" w:ascii="黑体" w:hAnsi="黑体" w:eastAsia="黑体"/>
          <w:sz w:val="28"/>
          <w:szCs w:val="28"/>
        </w:rPr>
        <w:t>评分标准</w:t>
      </w:r>
    </w:p>
    <w:tbl>
      <w:tblPr>
        <w:tblStyle w:val="4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38"/>
        <w:gridCol w:w="482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1" w:type="dxa"/>
            <w:vAlign w:val="center"/>
          </w:tcPr>
          <w:p>
            <w:pPr>
              <w:ind w:firstLine="480"/>
              <w:jc w:val="left"/>
              <w:rPr>
                <w:rFonts w:hint="eastAsia" w:ascii="宋体" w:hAnsi="宋体" w:cs="宋体"/>
                <w:color w:val="000000"/>
              </w:rPr>
            </w:pPr>
            <w:r>
              <w:rPr>
                <w:rFonts w:hint="eastAsia" w:ascii="宋体" w:hAnsi="宋体" w:cs="宋体"/>
                <w:color w:val="000000"/>
              </w:rPr>
              <w:t>评分因素</w:t>
            </w: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分项</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评分标准</w:t>
            </w:r>
          </w:p>
        </w:tc>
        <w:tc>
          <w:tcPr>
            <w:tcW w:w="1097" w:type="dxa"/>
            <w:vAlign w:val="center"/>
          </w:tcPr>
          <w:p>
            <w:pPr>
              <w:jc w:val="left"/>
              <w:rPr>
                <w:rFonts w:hint="eastAsia" w:ascii="宋体" w:hAnsi="宋体" w:cs="宋体"/>
                <w:color w:val="000000"/>
              </w:rPr>
            </w:pPr>
            <w:r>
              <w:rPr>
                <w:rFonts w:hint="eastAsia" w:ascii="宋体" w:hAnsi="宋体" w:cs="宋体"/>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ind w:firstLine="480"/>
              <w:jc w:val="left"/>
              <w:rPr>
                <w:rFonts w:hint="eastAsia" w:ascii="宋体" w:hAnsi="宋体" w:cs="宋体"/>
                <w:color w:val="000000"/>
              </w:rPr>
            </w:pPr>
            <w:r>
              <w:rPr>
                <w:rFonts w:hint="eastAsia" w:ascii="宋体" w:hAnsi="宋体" w:cs="宋体"/>
                <w:color w:val="000000"/>
              </w:rPr>
              <w:t>价格部分</w:t>
            </w:r>
            <w:r>
              <w:rPr>
                <w:rFonts w:hint="eastAsia" w:ascii="宋体" w:hAnsi="宋体" w:cs="宋体"/>
                <w:color w:val="000000"/>
              </w:rPr>
              <w:br w:type="textWrapping"/>
            </w:r>
            <w:r>
              <w:rPr>
                <w:rFonts w:hint="eastAsia" w:ascii="宋体" w:hAnsi="宋体" w:cs="宋体"/>
                <w:color w:val="000000"/>
              </w:rPr>
              <w:t>（30分）</w:t>
            </w: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价格</w:t>
            </w:r>
          </w:p>
          <w:p>
            <w:pPr>
              <w:ind w:firstLine="480"/>
              <w:jc w:val="left"/>
              <w:rPr>
                <w:rFonts w:hint="eastAsia" w:ascii="宋体" w:hAnsi="宋体" w:cs="宋体"/>
                <w:color w:val="000000"/>
              </w:rPr>
            </w:pPr>
            <w:r>
              <w:rPr>
                <w:rFonts w:hint="eastAsia" w:ascii="宋体" w:hAnsi="宋体" w:cs="宋体"/>
                <w:color w:val="000000"/>
              </w:rPr>
              <w:t>（30分）</w:t>
            </w:r>
          </w:p>
        </w:tc>
        <w:tc>
          <w:tcPr>
            <w:tcW w:w="4820" w:type="dxa"/>
            <w:vAlign w:val="center"/>
          </w:tcPr>
          <w:p>
            <w:pPr>
              <w:ind w:firstLine="480"/>
              <w:jc w:val="left"/>
              <w:rPr>
                <w:rFonts w:hint="eastAsia"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480"/>
              <w:jc w:val="left"/>
              <w:rPr>
                <w:rFonts w:hint="eastAsia" w:ascii="宋体" w:hAnsi="宋体" w:cs="宋体"/>
                <w:color w:val="000000"/>
              </w:rPr>
            </w:pPr>
            <w:r>
              <w:rPr>
                <w:rFonts w:hint="eastAsia" w:ascii="宋体" w:hAnsi="宋体" w:cs="宋体"/>
                <w:color w:val="000000"/>
                <w:lang w:val="zh-CN"/>
              </w:rPr>
              <w:t>注：根据《政府采购促进中小企业发展暂行办法》的相关规定，对小型和微型企业制造（生产）产品的价格给予6%的扣除，用扣除后的价格参与评审。</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restart"/>
            <w:vAlign w:val="center"/>
          </w:tcPr>
          <w:p>
            <w:pPr>
              <w:ind w:firstLine="480"/>
              <w:jc w:val="left"/>
              <w:rPr>
                <w:rFonts w:hint="eastAsia" w:ascii="宋体" w:hAnsi="宋体" w:cs="宋体"/>
                <w:color w:val="000000"/>
              </w:rPr>
            </w:pPr>
            <w:r>
              <w:rPr>
                <w:rFonts w:hint="eastAsia" w:ascii="宋体" w:hAnsi="宋体" w:cs="宋体"/>
                <w:color w:val="000000"/>
              </w:rPr>
              <w:t>商务部分</w:t>
            </w:r>
          </w:p>
          <w:p>
            <w:pPr>
              <w:ind w:firstLine="480"/>
              <w:jc w:val="left"/>
              <w:rPr>
                <w:rFonts w:hint="eastAsia" w:ascii="宋体" w:hAnsi="宋体" w:cs="宋体"/>
                <w:color w:val="000000"/>
              </w:rPr>
            </w:pPr>
            <w:r>
              <w:rPr>
                <w:rFonts w:hint="eastAsia" w:ascii="宋体" w:hAnsi="宋体" w:cs="宋体"/>
                <w:color w:val="000000"/>
              </w:rPr>
              <w:t>（10分）</w:t>
            </w: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节能和环保</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lang w:val="zh-CN"/>
              </w:rPr>
              <w:t>投标产品为节能产品得</w:t>
            </w:r>
            <w:r>
              <w:rPr>
                <w:rFonts w:hint="eastAsia" w:ascii="宋体" w:hAnsi="宋体" w:cs="宋体"/>
                <w:color w:val="000000"/>
                <w:lang w:val="en-US" w:eastAsia="zh-CN"/>
              </w:rPr>
              <w:t>1</w:t>
            </w:r>
            <w:r>
              <w:rPr>
                <w:rFonts w:hint="eastAsia" w:ascii="宋体" w:hAnsi="宋体" w:cs="宋体"/>
                <w:color w:val="000000"/>
                <w:lang w:val="zh-CN"/>
              </w:rPr>
              <w:t>分；投标产品为环保产品得</w:t>
            </w:r>
            <w:r>
              <w:rPr>
                <w:rFonts w:hint="eastAsia" w:ascii="宋体" w:hAnsi="宋体" w:cs="宋体"/>
                <w:color w:val="000000"/>
                <w:lang w:val="en-US" w:eastAsia="zh-CN"/>
              </w:rPr>
              <w:t>1</w:t>
            </w:r>
            <w:r>
              <w:rPr>
                <w:rFonts w:hint="eastAsia" w:ascii="宋体" w:hAnsi="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ind w:firstLine="480"/>
              <w:jc w:val="left"/>
              <w:rPr>
                <w:rFonts w:hint="eastAsia" w:ascii="宋体" w:hAnsi="宋体" w:cs="宋体"/>
                <w:color w:val="000000"/>
              </w:rPr>
            </w:pP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类似业绩 （4分）</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提供自2019年以来类似项目业绩证明材料，每提供1份得 1分,满分4分；不提供不得分。（提供包含合同首页、标的及金额所在页、供货合同签字盖章页的扫描或复印件证明。签订合同时原件备查）。</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ind w:firstLine="480"/>
              <w:jc w:val="left"/>
              <w:rPr>
                <w:rFonts w:hint="eastAsia" w:ascii="宋体" w:hAnsi="宋体" w:cs="宋体"/>
                <w:color w:val="000000"/>
              </w:rPr>
            </w:pP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快速服务能力</w:t>
            </w:r>
          </w:p>
          <w:p>
            <w:pPr>
              <w:ind w:firstLine="480"/>
              <w:jc w:val="left"/>
              <w:rPr>
                <w:rFonts w:hint="eastAsia" w:ascii="宋体" w:hAnsi="宋体" w:cs="宋体"/>
                <w:color w:val="000000"/>
              </w:rPr>
            </w:pPr>
            <w:r>
              <w:rPr>
                <w:rFonts w:hint="eastAsia" w:ascii="宋体" w:hAnsi="宋体" w:cs="宋体"/>
                <w:color w:val="000000"/>
              </w:rPr>
              <w:t>（4分）</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根据投标人到现场进行服务的时间、服务能力进行比较，</w:t>
            </w:r>
            <w:r>
              <w:rPr>
                <w:rFonts w:hint="eastAsia" w:ascii="宋体" w:hAnsi="宋体" w:cs="宋体"/>
                <w:color w:val="000000"/>
                <w:lang w:val="zh-CN"/>
              </w:rPr>
              <w:t>方案优秀得</w:t>
            </w:r>
            <w:r>
              <w:rPr>
                <w:rFonts w:hint="eastAsia" w:ascii="宋体" w:hAnsi="宋体" w:cs="宋体"/>
                <w:color w:val="000000"/>
                <w:lang w:val="en-US" w:eastAsia="zh-CN"/>
              </w:rPr>
              <w:t>4-3</w:t>
            </w:r>
            <w:r>
              <w:rPr>
                <w:rFonts w:hint="eastAsia" w:ascii="宋体" w:hAnsi="宋体" w:cs="宋体"/>
                <w:color w:val="000000"/>
                <w:lang w:val="zh-CN"/>
              </w:rPr>
              <w:t>分，良好得</w:t>
            </w:r>
            <w:r>
              <w:rPr>
                <w:rFonts w:hint="eastAsia" w:ascii="宋体" w:hAnsi="宋体" w:cs="宋体"/>
                <w:color w:val="000000"/>
                <w:lang w:val="en-US" w:eastAsia="zh-CN"/>
              </w:rPr>
              <w:t>2-1</w:t>
            </w:r>
            <w:r>
              <w:rPr>
                <w:rFonts w:hint="eastAsia" w:ascii="宋体" w:hAnsi="宋体" w:cs="宋体"/>
                <w:color w:val="000000"/>
                <w:lang w:val="zh-CN"/>
              </w:rPr>
              <w:t>分，一般得</w:t>
            </w:r>
            <w:r>
              <w:rPr>
                <w:rFonts w:hint="eastAsia" w:ascii="宋体" w:hAnsi="宋体" w:cs="宋体"/>
                <w:color w:val="000000"/>
                <w:lang w:val="en-US" w:eastAsia="zh-CN"/>
              </w:rPr>
              <w:t>0.5</w:t>
            </w:r>
            <w:r>
              <w:rPr>
                <w:rFonts w:hint="eastAsia" w:ascii="宋体" w:hAnsi="宋体" w:cs="宋体"/>
                <w:color w:val="000000"/>
                <w:lang w:val="zh-CN"/>
              </w:rPr>
              <w:t>分，差或未提供不得分。</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vMerge w:val="restart"/>
            <w:vAlign w:val="center"/>
          </w:tcPr>
          <w:p>
            <w:pPr>
              <w:ind w:firstLine="480"/>
              <w:jc w:val="left"/>
              <w:rPr>
                <w:rFonts w:hint="eastAsia" w:ascii="宋体" w:hAnsi="宋体" w:cs="宋体"/>
                <w:color w:val="000000"/>
              </w:rPr>
            </w:pPr>
            <w:r>
              <w:rPr>
                <w:rFonts w:hint="eastAsia" w:ascii="宋体" w:hAnsi="宋体" w:cs="宋体"/>
                <w:color w:val="000000"/>
              </w:rPr>
              <w:t>技术部分</w:t>
            </w:r>
          </w:p>
          <w:p>
            <w:pPr>
              <w:ind w:firstLine="480"/>
              <w:jc w:val="left"/>
              <w:rPr>
                <w:rFonts w:hint="eastAsia" w:ascii="宋体" w:hAnsi="宋体" w:cs="宋体"/>
                <w:color w:val="000000"/>
              </w:rPr>
            </w:pPr>
            <w:r>
              <w:rPr>
                <w:rFonts w:hint="eastAsia" w:ascii="宋体" w:hAnsi="宋体" w:cs="宋体"/>
                <w:color w:val="000000"/>
              </w:rPr>
              <w:t>（60分）</w:t>
            </w:r>
          </w:p>
          <w:p>
            <w:pPr>
              <w:ind w:firstLine="480"/>
              <w:jc w:val="left"/>
              <w:rPr>
                <w:rFonts w:hint="eastAsia" w:ascii="宋体" w:hAnsi="宋体" w:cs="宋体"/>
                <w:color w:val="000000"/>
              </w:rPr>
            </w:pP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技术参数响应</w:t>
            </w:r>
          </w:p>
          <w:p>
            <w:pPr>
              <w:ind w:firstLine="480"/>
              <w:jc w:val="left"/>
              <w:rPr>
                <w:rFonts w:hint="eastAsia" w:ascii="宋体" w:hAnsi="宋体" w:cs="宋体"/>
                <w:color w:val="000000"/>
              </w:rPr>
            </w:pPr>
            <w:r>
              <w:rPr>
                <w:rFonts w:hint="eastAsia" w:ascii="宋体" w:hAnsi="宋体" w:cs="宋体"/>
                <w:color w:val="000000"/>
              </w:rPr>
              <w:t>（30分）</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投标产品技术参数和配置完全满足或高于招标文件要求的，得30分；重要参数（要求提供佐证材料的）</w:t>
            </w:r>
            <w:r>
              <w:rPr>
                <w:rFonts w:hint="eastAsia" w:ascii="宋体" w:hAnsi="宋体" w:cs="宋体"/>
                <w:color w:val="000000"/>
                <w:lang w:val="zh-CN"/>
              </w:rPr>
              <w:t>满足招标文件要求，有细微偏离每一项偏离扣</w:t>
            </w:r>
            <w:r>
              <w:rPr>
                <w:rFonts w:hint="eastAsia" w:ascii="宋体" w:hAnsi="宋体" w:cs="宋体"/>
                <w:color w:val="000000"/>
                <w:lang w:val="en-US" w:eastAsia="zh-CN"/>
              </w:rPr>
              <w:t>2</w:t>
            </w:r>
            <w:r>
              <w:rPr>
                <w:rFonts w:hint="eastAsia" w:ascii="宋体" w:hAnsi="宋体" w:cs="宋体"/>
                <w:color w:val="000000"/>
                <w:lang w:val="zh-CN"/>
              </w:rPr>
              <w:t>分，扣完为止。</w:t>
            </w:r>
            <w:r>
              <w:rPr>
                <w:rFonts w:hint="eastAsia" w:ascii="宋体" w:hAnsi="宋体" w:cs="宋体"/>
                <w:color w:val="000000"/>
              </w:rPr>
              <w:t>(此项评分以提供的证明文件、产品彩页、截图和检验报告、技术偏离表为依据）。</w:t>
            </w:r>
          </w:p>
        </w:tc>
        <w:tc>
          <w:tcPr>
            <w:tcW w:w="1097" w:type="dxa"/>
            <w:vAlign w:val="center"/>
          </w:tcPr>
          <w:p>
            <w:pPr>
              <w:ind w:firstLine="480"/>
              <w:jc w:val="left"/>
              <w:rPr>
                <w:rFonts w:hint="eastAsia" w:ascii="宋体" w:hAnsi="宋体" w:cs="宋体"/>
                <w:color w:val="000000"/>
              </w:rPr>
            </w:pPr>
          </w:p>
          <w:p>
            <w:pPr>
              <w:ind w:firstLine="480"/>
              <w:jc w:val="left"/>
              <w:rPr>
                <w:rFonts w:hint="eastAsia" w:ascii="宋体" w:hAnsi="宋体" w:cs="宋体"/>
                <w:color w:val="000000"/>
              </w:rPr>
            </w:pPr>
            <w:r>
              <w:rPr>
                <w:rFonts w:hint="eastAsia"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vMerge w:val="continue"/>
            <w:vAlign w:val="center"/>
          </w:tcPr>
          <w:p>
            <w:pPr>
              <w:ind w:firstLine="480"/>
              <w:jc w:val="left"/>
              <w:rPr>
                <w:rFonts w:hint="eastAsia" w:ascii="宋体" w:hAnsi="宋体" w:cs="宋体"/>
                <w:color w:val="000000"/>
              </w:rPr>
            </w:pPr>
          </w:p>
        </w:tc>
        <w:tc>
          <w:tcPr>
            <w:tcW w:w="1738"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项目经理要求</w:t>
            </w:r>
          </w:p>
          <w:p>
            <w:pPr>
              <w:ind w:firstLine="480"/>
              <w:jc w:val="left"/>
              <w:rPr>
                <w:rFonts w:hint="eastAsia" w:ascii="宋体" w:hAnsi="宋体" w:cs="宋体"/>
                <w:color w:val="000000"/>
              </w:rPr>
            </w:pPr>
            <w:r>
              <w:rPr>
                <w:rFonts w:hint="eastAsia" w:ascii="宋体" w:hAnsi="宋体" w:cs="宋体"/>
                <w:color w:val="000000"/>
              </w:rPr>
              <w:t>（2分）</w:t>
            </w:r>
          </w:p>
        </w:tc>
        <w:tc>
          <w:tcPr>
            <w:tcW w:w="4820"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投标人拟派项目经理需具有信息系统项目管理师证书，完全满足得2分；不提供不得分（提供相关证书及近半年本单位连续缴纳的社保证明）。</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vMerge w:val="continue"/>
            <w:vAlign w:val="center"/>
          </w:tcPr>
          <w:p>
            <w:pPr>
              <w:ind w:firstLine="480"/>
              <w:jc w:val="left"/>
              <w:rPr>
                <w:rFonts w:hint="eastAsia" w:ascii="宋体" w:hAnsi="宋体" w:cs="宋体"/>
                <w:color w:val="000000"/>
              </w:rPr>
            </w:pPr>
          </w:p>
        </w:tc>
        <w:tc>
          <w:tcPr>
            <w:tcW w:w="1738" w:type="dxa"/>
            <w:tcBorders>
              <w:top w:val="single" w:color="000000" w:sz="2" w:space="0"/>
              <w:left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项目团队要求</w:t>
            </w:r>
          </w:p>
          <w:p>
            <w:pPr>
              <w:ind w:firstLine="480"/>
              <w:jc w:val="left"/>
              <w:rPr>
                <w:rFonts w:hint="eastAsia" w:ascii="宋体" w:hAnsi="宋体" w:cs="宋体"/>
                <w:color w:val="000000"/>
              </w:rPr>
            </w:pPr>
            <w:r>
              <w:rPr>
                <w:rFonts w:hint="eastAsia" w:ascii="宋体" w:hAnsi="宋体" w:cs="宋体"/>
                <w:color w:val="000000"/>
              </w:rPr>
              <w:t>（3分）</w:t>
            </w:r>
          </w:p>
        </w:tc>
        <w:tc>
          <w:tcPr>
            <w:tcW w:w="4820" w:type="dxa"/>
            <w:tcBorders>
              <w:top w:val="single" w:color="000000" w:sz="2" w:space="0"/>
              <w:left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投标人拟派项目团队成员不少于10人，其中至少3人具备计算机类中级职称或信息化专业技能证书，其中不少于1个网络安全高级工程师，每提供一个证书得1分，满分3分，不提供不得分（提供相关证书及近半年本单位连续为其缴纳的社保证明）。</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ind w:firstLine="480"/>
              <w:jc w:val="left"/>
              <w:rPr>
                <w:rFonts w:hint="eastAsia" w:ascii="宋体" w:hAnsi="宋体" w:cs="宋体"/>
                <w:color w:val="000000"/>
              </w:rPr>
            </w:pPr>
          </w:p>
        </w:tc>
        <w:tc>
          <w:tcPr>
            <w:tcW w:w="1738"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方案设计</w:t>
            </w:r>
          </w:p>
          <w:p>
            <w:pPr>
              <w:ind w:firstLine="480"/>
              <w:jc w:val="left"/>
              <w:rPr>
                <w:rFonts w:hint="eastAsia" w:ascii="宋体" w:hAnsi="宋体" w:cs="宋体"/>
                <w:color w:val="000000"/>
              </w:rPr>
            </w:pPr>
            <w:r>
              <w:rPr>
                <w:rFonts w:hint="eastAsia" w:ascii="宋体" w:hAnsi="宋体" w:cs="宋体"/>
                <w:color w:val="000000"/>
              </w:rPr>
              <w:t>（10分）</w:t>
            </w:r>
          </w:p>
        </w:tc>
        <w:tc>
          <w:tcPr>
            <w:tcW w:w="4820"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9-10分；需求分析、理解基本准确的得6-8分；需求分析、理解不准确的得3-5分；未提供不得分。</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ind w:firstLine="480"/>
              <w:jc w:val="left"/>
              <w:rPr>
                <w:rFonts w:hint="eastAsia" w:ascii="宋体" w:hAnsi="宋体" w:cs="宋体"/>
                <w:color w:val="000000"/>
              </w:rPr>
            </w:pPr>
          </w:p>
        </w:tc>
        <w:tc>
          <w:tcPr>
            <w:tcW w:w="1738"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实施方案</w:t>
            </w:r>
          </w:p>
          <w:p>
            <w:pPr>
              <w:ind w:firstLine="480"/>
              <w:jc w:val="left"/>
              <w:rPr>
                <w:rFonts w:hint="eastAsia" w:ascii="宋体" w:hAnsi="宋体" w:cs="宋体"/>
                <w:color w:val="000000"/>
              </w:rPr>
            </w:pPr>
            <w:r>
              <w:rPr>
                <w:rFonts w:hint="eastAsia" w:ascii="宋体" w:hAnsi="宋体" w:cs="宋体"/>
                <w:color w:val="000000"/>
              </w:rPr>
              <w:t>（10分）</w:t>
            </w:r>
          </w:p>
        </w:tc>
        <w:tc>
          <w:tcPr>
            <w:tcW w:w="4820"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投标人根据本项目采购需求，编制详细的项目实施方案，包括但不限于①实施计划②实施进度③质量控制措施④设备安装点位图、连接图和系统图。方案完全符合要求且思路清晰、科学、完整，阐述详实，符合采购需求的得9-10分；方案较为可行，阐述基本充分的得6-8分；方案一般，阐述不够充分的得3-5分；未提供方案不得分。</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vMerge w:val="continue"/>
            <w:vAlign w:val="center"/>
          </w:tcPr>
          <w:p>
            <w:pPr>
              <w:ind w:firstLine="480"/>
              <w:jc w:val="left"/>
              <w:rPr>
                <w:rFonts w:hint="eastAsia" w:ascii="宋体" w:hAnsi="宋体" w:cs="宋体"/>
                <w:color w:val="000000"/>
              </w:rPr>
            </w:pP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培训方案</w:t>
            </w:r>
          </w:p>
          <w:p>
            <w:pPr>
              <w:ind w:firstLine="480"/>
              <w:jc w:val="left"/>
              <w:rPr>
                <w:rFonts w:hint="eastAsia" w:ascii="宋体" w:hAnsi="宋体" w:cs="宋体"/>
                <w:color w:val="000000"/>
              </w:rPr>
            </w:pPr>
            <w:r>
              <w:rPr>
                <w:rFonts w:hint="eastAsia" w:ascii="宋体" w:hAnsi="宋体" w:cs="宋体"/>
                <w:color w:val="000000"/>
              </w:rPr>
              <w:t>（5分）</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提供详细的培训方案，包括培训内容、培训人数、课程时间、授课讲师专业程度、培训地点等内容。</w:t>
            </w:r>
          </w:p>
          <w:p>
            <w:pPr>
              <w:ind w:firstLine="480"/>
              <w:jc w:val="left"/>
              <w:rPr>
                <w:rFonts w:hint="eastAsia" w:ascii="宋体" w:hAnsi="宋体" w:cs="宋体"/>
                <w:color w:val="000000"/>
              </w:rPr>
            </w:pPr>
            <w:r>
              <w:rPr>
                <w:rFonts w:hint="eastAsia" w:ascii="宋体" w:hAnsi="宋体" w:cs="宋体"/>
                <w:color w:val="000000"/>
              </w:rPr>
              <w:t>培训方案内容全面，满足本项目培训要求的得4-5分；培训方案较全面，基本满足培训要求的得2-3分；培训方案一般的得1分；未提供的不得分。</w:t>
            </w:r>
          </w:p>
        </w:tc>
        <w:tc>
          <w:tcPr>
            <w:tcW w:w="1097" w:type="dxa"/>
            <w:vAlign w:val="center"/>
          </w:tcPr>
          <w:p>
            <w:pPr>
              <w:ind w:firstLine="480"/>
              <w:jc w:val="left"/>
              <w:rPr>
                <w:rFonts w:hint="eastAsia" w:ascii="宋体" w:hAnsi="宋体" w:cs="宋体"/>
                <w:color w:val="000000"/>
              </w:rPr>
            </w:pPr>
          </w:p>
          <w:p>
            <w:pPr>
              <w:ind w:firstLine="480"/>
              <w:jc w:val="left"/>
              <w:rPr>
                <w:rFonts w:hint="eastAsia" w:ascii="宋体" w:hAnsi="宋体" w:cs="宋体"/>
                <w:color w:val="000000"/>
              </w:rPr>
            </w:pPr>
            <w:r>
              <w:rPr>
                <w:rFonts w:hint="eastAsia" w:ascii="宋体" w:hAnsi="宋体" w:cs="宋体"/>
                <w:color w:val="000000"/>
              </w:rPr>
              <w:t>5</w:t>
            </w:r>
          </w:p>
          <w:p>
            <w:pPr>
              <w:ind w:firstLine="480"/>
              <w:jc w:val="left"/>
              <w:rPr>
                <w:rFonts w:hint="eastAsia" w:ascii="宋体" w:hAnsi="宋体" w:cs="宋体"/>
                <w:color w:val="000000"/>
              </w:rPr>
            </w:pPr>
          </w:p>
        </w:tc>
      </w:tr>
    </w:tbl>
    <w:p>
      <w:pPr>
        <w:ind w:firstLine="480"/>
        <w:jc w:val="left"/>
        <w:rPr>
          <w:rFonts w:hint="eastAsia" w:ascii="宋体" w:hAnsi="宋体" w:cs="宋体"/>
          <w:color w:val="000000"/>
        </w:rPr>
      </w:pPr>
    </w:p>
    <w:p>
      <w:pPr>
        <w:rPr>
          <w:rFonts w:ascii="宋体" w:hAnsi="宋体" w:eastAsia="宋体" w:cs="宋体"/>
          <w:color w:val="FF0000"/>
          <w:sz w:val="20"/>
        </w:rPr>
      </w:pPr>
    </w:p>
    <w:p>
      <w:pPr>
        <w:rPr>
          <w:rFonts w:ascii="宋体" w:hAnsi="宋体" w:eastAsia="宋体" w:cs="宋体"/>
          <w:color w:val="000000"/>
          <w:sz w:val="20"/>
        </w:rPr>
        <w:sectPr>
          <w:pgSz w:w="11906" w:h="16838"/>
          <w:pgMar w:top="1440" w:right="1800" w:bottom="1440" w:left="1800" w:header="851" w:footer="992" w:gutter="0"/>
          <w:cols w:space="425" w:num="1"/>
          <w:docGrid w:type="lines" w:linePitch="312" w:charSpace="0"/>
        </w:sectPr>
      </w:pPr>
    </w:p>
    <w:p>
      <w:pPr>
        <w:pStyle w:val="6"/>
        <w:rPr>
          <w:rFonts w:hint="eastAsia"/>
        </w:rPr>
      </w:pPr>
    </w:p>
    <w:p>
      <w:pPr>
        <w:widowControl/>
        <w:spacing w:before="624" w:beforeLines="200" w:after="624" w:afterLines="200" w:line="240" w:lineRule="auto"/>
        <w:ind w:firstLine="3253" w:firstLineChars="900"/>
        <w:jc w:val="both"/>
        <w:outlineLvl w:val="1"/>
        <w:rPr>
          <w:rFonts w:hint="eastAsia" w:ascii="宋体" w:hAnsi="宋体"/>
          <w:b/>
          <w:bCs/>
          <w:kern w:val="0"/>
          <w:sz w:val="36"/>
          <w:szCs w:val="36"/>
        </w:rPr>
      </w:pPr>
      <w:bookmarkStart w:id="81" w:name="_Toc325726025"/>
      <w:bookmarkStart w:id="82" w:name="_Toc376936756"/>
      <w:bookmarkStart w:id="83" w:name="_Toc67558586"/>
      <w:r>
        <w:rPr>
          <w:rFonts w:hint="eastAsia" w:ascii="宋体" w:hAnsi="宋体"/>
          <w:b/>
          <w:bCs/>
          <w:kern w:val="0"/>
          <w:sz w:val="36"/>
          <w:szCs w:val="36"/>
        </w:rPr>
        <w:t>八、定 标</w:t>
      </w:r>
      <w:bookmarkEnd w:id="81"/>
      <w:bookmarkEnd w:id="82"/>
      <w:bookmarkEnd w:id="8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4" w:name="_Toc376936757"/>
      <w:bookmarkStart w:id="85" w:name="_Toc325726026"/>
      <w:bookmarkStart w:id="86" w:name="_Toc67558587"/>
      <w:r>
        <w:rPr>
          <w:rFonts w:hint="eastAsia" w:ascii="宋体" w:hAnsi="宋体"/>
          <w:b/>
          <w:bCs/>
          <w:kern w:val="0"/>
          <w:sz w:val="27"/>
          <w:szCs w:val="27"/>
        </w:rPr>
        <w:t>23.推荐并确定中标</w:t>
      </w:r>
      <w:bookmarkEnd w:id="84"/>
      <w:bookmarkEnd w:id="85"/>
      <w:r>
        <w:rPr>
          <w:rFonts w:hint="eastAsia" w:ascii="宋体" w:hAnsi="宋体"/>
          <w:b/>
          <w:bCs/>
          <w:kern w:val="0"/>
          <w:sz w:val="27"/>
          <w:szCs w:val="27"/>
        </w:rPr>
        <w:t>供应商</w:t>
      </w:r>
      <w:bookmarkEnd w:id="86"/>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7"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8" w:name="_Toc325726028"/>
      <w:bookmarkStart w:id="89" w:name="_Toc67558588"/>
      <w:bookmarkStart w:id="90" w:name="_Toc376936759"/>
      <w:r>
        <w:rPr>
          <w:rFonts w:hint="eastAsia" w:ascii="宋体" w:hAnsi="宋体"/>
          <w:b/>
          <w:bCs/>
          <w:kern w:val="0"/>
          <w:sz w:val="27"/>
          <w:szCs w:val="27"/>
        </w:rPr>
        <w:t>24.中标通知</w:t>
      </w:r>
      <w:bookmarkEnd w:id="88"/>
      <w:bookmarkEnd w:id="89"/>
      <w:bookmarkEnd w:id="90"/>
    </w:p>
    <w:p>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青海省政府采购电子化平台上查询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1" w:name="_Toc376936758"/>
      <w:bookmarkStart w:id="92" w:name="_Toc67558589"/>
      <w:r>
        <w:rPr>
          <w:rFonts w:hint="eastAsia" w:ascii="宋体" w:hAnsi="宋体"/>
          <w:b/>
          <w:bCs/>
          <w:kern w:val="0"/>
          <w:sz w:val="36"/>
          <w:szCs w:val="36"/>
        </w:rPr>
        <w:t>九、授予合同</w:t>
      </w:r>
      <w:bookmarkEnd w:id="87"/>
      <w:bookmarkEnd w:id="91"/>
      <w:bookmarkEnd w:id="9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3" w:name="_Toc67558590"/>
      <w:bookmarkStart w:id="94" w:name="_Toc376936760"/>
      <w:bookmarkStart w:id="95" w:name="_Toc325726029"/>
      <w:r>
        <w:rPr>
          <w:rFonts w:hint="eastAsia" w:ascii="宋体" w:hAnsi="宋体"/>
          <w:b/>
          <w:bCs/>
          <w:kern w:val="0"/>
          <w:sz w:val="27"/>
          <w:szCs w:val="27"/>
        </w:rPr>
        <w:t>25.签订合同</w:t>
      </w:r>
      <w:bookmarkEnd w:id="93"/>
      <w:bookmarkEnd w:id="94"/>
      <w:bookmarkEnd w:id="95"/>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海南州</w:t>
      </w:r>
      <w:r>
        <w:rPr>
          <w:rFonts w:hint="eastAsia" w:ascii="宋体" w:hAnsi="宋体"/>
        </w:rPr>
        <w:t>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6" w:name="_Toc376936761"/>
      <w:bookmarkStart w:id="97" w:name="_Toc325726030"/>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8" w:name="_Toc67558591"/>
      <w:r>
        <w:rPr>
          <w:rFonts w:hint="eastAsia" w:ascii="宋体" w:hAnsi="宋体"/>
          <w:b/>
          <w:bCs/>
          <w:kern w:val="0"/>
          <w:sz w:val="36"/>
          <w:szCs w:val="36"/>
        </w:rPr>
        <w:t>十、串通投标的认定及处理办法</w:t>
      </w:r>
      <w:bookmarkEnd w:id="9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67558592"/>
      <w:r>
        <w:rPr>
          <w:rFonts w:hint="eastAsia" w:ascii="宋体" w:hAnsi="宋体"/>
          <w:b/>
          <w:bCs/>
          <w:kern w:val="0"/>
          <w:sz w:val="27"/>
          <w:szCs w:val="27"/>
        </w:rPr>
        <w:t>26.串通投标的情形</w:t>
      </w:r>
      <w:bookmarkEnd w:id="99"/>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0" w:name="_Toc67558593"/>
      <w:r>
        <w:rPr>
          <w:rFonts w:hint="eastAsia" w:ascii="宋体" w:hAnsi="宋体"/>
          <w:b/>
          <w:bCs/>
          <w:kern w:val="0"/>
          <w:sz w:val="36"/>
          <w:szCs w:val="36"/>
        </w:rPr>
        <w:t>十一、废标</w:t>
      </w:r>
      <w:bookmarkEnd w:id="96"/>
      <w:bookmarkEnd w:id="97"/>
      <w:bookmarkEnd w:id="10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67558594"/>
      <w:bookmarkStart w:id="102" w:name="_Toc325726031"/>
      <w:bookmarkStart w:id="103" w:name="_Toc376936762"/>
      <w:r>
        <w:rPr>
          <w:rFonts w:hint="eastAsia" w:ascii="宋体" w:hAnsi="宋体"/>
          <w:b/>
          <w:bCs/>
          <w:kern w:val="0"/>
          <w:sz w:val="27"/>
          <w:szCs w:val="27"/>
        </w:rPr>
        <w:t>27. 废标情形</w:t>
      </w:r>
      <w:bookmarkEnd w:id="101"/>
    </w:p>
    <w:p>
      <w:pPr>
        <w:ind w:firstLine="480"/>
        <w:jc w:val="left"/>
        <w:rPr>
          <w:rFonts w:hint="eastAsia" w:ascii="宋体" w:hAnsi="宋体"/>
        </w:rPr>
      </w:pPr>
      <w:r>
        <w:rPr>
          <w:rFonts w:hint="eastAsia" w:ascii="宋体" w:hAnsi="宋体"/>
        </w:rPr>
        <w:t>27.1在招标采购中，出现下列情形之一的，应予废标：</w:t>
      </w:r>
      <w:bookmarkEnd w:id="102"/>
      <w:bookmarkEnd w:id="103"/>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4"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5" w:name="_Toc376936763"/>
      <w:bookmarkStart w:id="106" w:name="_Toc67558595"/>
      <w:r>
        <w:rPr>
          <w:rFonts w:hint="eastAsia" w:ascii="宋体" w:hAnsi="宋体"/>
          <w:b/>
          <w:bCs/>
          <w:kern w:val="0"/>
          <w:sz w:val="36"/>
          <w:szCs w:val="36"/>
        </w:rPr>
        <w:t>十二、处罚</w:t>
      </w:r>
      <w:bookmarkEnd w:id="104"/>
      <w:bookmarkEnd w:id="105"/>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76936764"/>
      <w:bookmarkStart w:id="108" w:name="_Toc325726033"/>
      <w:bookmarkStart w:id="109" w:name="_Toc67558596"/>
      <w:r>
        <w:rPr>
          <w:rFonts w:hint="eastAsia" w:ascii="宋体" w:hAnsi="宋体"/>
          <w:b/>
          <w:bCs/>
          <w:kern w:val="0"/>
          <w:sz w:val="27"/>
          <w:szCs w:val="27"/>
        </w:rPr>
        <w:t>28.处罚情形</w:t>
      </w:r>
      <w:bookmarkEnd w:id="107"/>
      <w:bookmarkEnd w:id="108"/>
      <w:bookmarkEnd w:id="109"/>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10" w:name="_Toc325726034"/>
      <w:bookmarkStart w:id="111" w:name="_Toc67558597"/>
      <w:bookmarkStart w:id="112" w:name="_Toc376936765"/>
      <w:r>
        <w:rPr>
          <w:rFonts w:hint="eastAsia" w:ascii="宋体" w:hAnsi="宋体"/>
          <w:b/>
          <w:bCs/>
          <w:kern w:val="0"/>
          <w:sz w:val="36"/>
          <w:szCs w:val="36"/>
        </w:rPr>
        <w:t>十三、其他</w:t>
      </w:r>
      <w:bookmarkEnd w:id="110"/>
      <w:bookmarkEnd w:id="111"/>
      <w:bookmarkEnd w:id="112"/>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3" w:name="_Toc376936766"/>
      <w:r>
        <w:rPr>
          <w:rFonts w:ascii="宋体"/>
          <w:b/>
          <w:kern w:val="28"/>
          <w:sz w:val="36"/>
          <w:szCs w:val="20"/>
        </w:rPr>
        <w:br w:type="page"/>
      </w:r>
      <w:bookmarkEnd w:id="113"/>
      <w:r>
        <w:rPr>
          <w:rFonts w:hint="eastAsia" w:ascii="宋体"/>
          <w:b/>
          <w:kern w:val="28"/>
          <w:sz w:val="36"/>
          <w:szCs w:val="20"/>
        </w:rPr>
        <w:t>第三部分 青海省政府采购项目合同书范本（货物类）</w:t>
      </w:r>
    </w:p>
    <w:p>
      <w:pPr>
        <w:ind w:firstLine="0" w:firstLineChars="0"/>
        <w:rPr>
          <w:rFonts w:hint="eastAsia"/>
        </w:rPr>
      </w:pPr>
      <w:bookmarkStart w:id="114" w:name="_Toc375576842"/>
      <w:bookmarkStart w:id="115" w:name="_Toc373954603"/>
      <w:bookmarkStart w:id="116" w:name="_Toc373936315"/>
    </w:p>
    <w:p>
      <w:pPr>
        <w:pStyle w:val="3"/>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3"/>
        <w:ind w:firstLine="1378" w:firstLineChars="286"/>
        <w:jc w:val="both"/>
        <w:rPr>
          <w:rFonts w:hint="eastAsia"/>
          <w:sz w:val="48"/>
          <w:szCs w:val="48"/>
        </w:rPr>
      </w:pPr>
      <w:bookmarkStart w:id="117" w:name="_Toc82441621"/>
      <w:r>
        <w:rPr>
          <w:rFonts w:hint="eastAsia"/>
          <w:sz w:val="48"/>
          <w:szCs w:val="48"/>
        </w:rPr>
        <w:t>青海省政府采购项目合同</w:t>
      </w:r>
      <w:bookmarkEnd w:id="114"/>
      <w:bookmarkEnd w:id="115"/>
      <w:bookmarkEnd w:id="116"/>
      <w:r>
        <w:rPr>
          <w:rFonts w:hint="eastAsia"/>
          <w:sz w:val="48"/>
          <w:szCs w:val="48"/>
        </w:rPr>
        <w:t>书</w:t>
      </w:r>
      <w:bookmarkEnd w:id="117"/>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2022-（货物）</w:t>
      </w:r>
      <w:r>
        <w:rPr>
          <w:rFonts w:hint="eastAsia"/>
          <w:b/>
          <w:sz w:val="30"/>
          <w:szCs w:val="30"/>
          <w:u w:val="single"/>
          <w:lang w:val="en-US" w:eastAsia="zh-CN"/>
        </w:rPr>
        <w:t>02</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630" w:firstLineChars="300"/>
        <w:rPr>
          <w:rFonts w:hint="eastAsia"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政采公招（货物）2022-</w:t>
      </w:r>
      <w:r>
        <w:rPr>
          <w:rFonts w:hint="eastAsia" w:ascii="宋体" w:hAnsi="宋体"/>
          <w:bCs/>
          <w:lang w:val="en-US" w:eastAsia="zh-CN"/>
        </w:rPr>
        <w:t>02</w:t>
      </w:r>
      <w:r>
        <w:rPr>
          <w:rFonts w:hint="eastAsia" w:ascii="宋体" w:hAnsi="宋体"/>
          <w:bCs/>
        </w:rPr>
        <w:t>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6"/>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927"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总价</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 xml:space="preserve">合同备案部门：青海省政府采购中心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b/>
        </w:rPr>
      </w:pP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hint="eastAsia" w:ascii="宋体"/>
          <w:b/>
          <w:kern w:val="28"/>
          <w:sz w:val="36"/>
          <w:szCs w:val="20"/>
        </w:rPr>
      </w:pPr>
      <w:r>
        <w:rPr>
          <w:rFonts w:ascii="宋体" w:hAnsi="宋体"/>
        </w:rPr>
        <w:br w:type="page"/>
      </w:r>
      <w:bookmarkStart w:id="118" w:name="_Toc325726036"/>
      <w:bookmarkStart w:id="119" w:name="_Toc376936767"/>
    </w:p>
    <w:p>
      <w:pPr>
        <w:keepNext/>
        <w:keepLines/>
        <w:widowControl/>
        <w:snapToGrid w:val="0"/>
        <w:spacing w:line="400" w:lineRule="atLeast"/>
        <w:ind w:firstLine="2187" w:firstLineChars="605"/>
        <w:outlineLvl w:val="0"/>
        <w:rPr>
          <w:rFonts w:hint="eastAsia" w:ascii="宋体"/>
          <w:b/>
          <w:kern w:val="28"/>
          <w:sz w:val="36"/>
          <w:szCs w:val="20"/>
        </w:rPr>
      </w:pPr>
      <w:bookmarkStart w:id="120" w:name="_Toc67558599"/>
      <w:r>
        <w:rPr>
          <w:rFonts w:hint="eastAsia" w:ascii="宋体"/>
          <w:b/>
          <w:kern w:val="28"/>
          <w:sz w:val="36"/>
          <w:szCs w:val="20"/>
        </w:rPr>
        <w:t>第四部分</w:t>
      </w:r>
      <w:r>
        <w:rPr>
          <w:rFonts w:ascii="宋体"/>
          <w:b/>
          <w:kern w:val="28"/>
          <w:sz w:val="36"/>
          <w:szCs w:val="20"/>
        </w:rPr>
        <w:t xml:space="preserve">  </w:t>
      </w:r>
      <w:bookmarkEnd w:id="118"/>
      <w:bookmarkEnd w:id="119"/>
      <w:r>
        <w:rPr>
          <w:rFonts w:hint="eastAsia" w:ascii="宋体"/>
          <w:b/>
          <w:kern w:val="28"/>
          <w:sz w:val="36"/>
          <w:szCs w:val="20"/>
        </w:rPr>
        <w:t>投标文件格式</w:t>
      </w:r>
      <w:bookmarkEnd w:id="120"/>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21" w:name="_Toc67558600"/>
      <w:r>
        <w:rPr>
          <w:rFonts w:hint="eastAsia" w:ascii="宋体"/>
          <w:b/>
          <w:kern w:val="28"/>
          <w:sz w:val="36"/>
          <w:szCs w:val="20"/>
        </w:rPr>
        <w:t>投标文件的组成</w:t>
      </w:r>
      <w:bookmarkEnd w:id="121"/>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9、投标保证金证明…………………………………………………（附件9）</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1、投标报价一览表…………………………………………………（附件10）</w:t>
      </w:r>
    </w:p>
    <w:p>
      <w:pPr>
        <w:spacing w:line="500" w:lineRule="exact"/>
        <w:ind w:firstLine="480"/>
        <w:rPr>
          <w:rFonts w:hint="eastAsia" w:ascii="宋体" w:hAnsi="宋体"/>
        </w:rPr>
      </w:pPr>
      <w:r>
        <w:rPr>
          <w:rFonts w:hint="eastAsia" w:ascii="宋体" w:hAnsi="宋体"/>
        </w:rPr>
        <w:t>2、分项报价表………………………………………………………（附件11）</w:t>
      </w:r>
    </w:p>
    <w:p>
      <w:pPr>
        <w:spacing w:line="500" w:lineRule="exact"/>
        <w:ind w:firstLine="480"/>
        <w:rPr>
          <w:rFonts w:hint="eastAsia" w:ascii="宋体" w:hAnsi="宋体"/>
        </w:rPr>
      </w:pPr>
      <w:r>
        <w:rPr>
          <w:rFonts w:hint="eastAsia" w:ascii="宋体" w:hAnsi="宋体"/>
        </w:rPr>
        <w:t>3、技术规格响应表…………………………………………………（附件12）</w:t>
      </w:r>
    </w:p>
    <w:p>
      <w:pPr>
        <w:spacing w:line="500" w:lineRule="exact"/>
        <w:ind w:firstLine="480"/>
        <w:rPr>
          <w:rFonts w:hint="eastAsia" w:ascii="宋体" w:hAnsi="宋体"/>
        </w:rPr>
      </w:pPr>
      <w:r>
        <w:rPr>
          <w:rFonts w:hint="eastAsia" w:ascii="宋体" w:hAnsi="宋体"/>
        </w:rPr>
        <w:t>4、其他资格证明材料………………………………………………（附件13）</w:t>
      </w:r>
    </w:p>
    <w:p>
      <w:pPr>
        <w:spacing w:line="500" w:lineRule="exact"/>
        <w:ind w:firstLine="480"/>
        <w:rPr>
          <w:rFonts w:hint="eastAsia" w:ascii="宋体" w:hAnsi="宋体"/>
        </w:rPr>
      </w:pPr>
      <w:r>
        <w:rPr>
          <w:rFonts w:hint="eastAsia" w:ascii="宋体" w:hAnsi="宋体"/>
        </w:rPr>
        <w:t>5、投标产品相关资料………………………………………………（附件14）</w:t>
      </w:r>
    </w:p>
    <w:p>
      <w:pPr>
        <w:spacing w:line="500" w:lineRule="exact"/>
        <w:ind w:firstLine="480"/>
        <w:rPr>
          <w:rFonts w:hint="eastAsia" w:ascii="宋体" w:hAnsi="宋体"/>
        </w:rPr>
      </w:pPr>
      <w:r>
        <w:rPr>
          <w:rFonts w:hint="eastAsia" w:ascii="宋体" w:hAnsi="宋体"/>
        </w:rPr>
        <w:t>6、投标人类似业绩证明材料………………………………………（附件15）</w:t>
      </w:r>
    </w:p>
    <w:p>
      <w:pPr>
        <w:spacing w:line="500" w:lineRule="exact"/>
        <w:ind w:firstLine="480"/>
        <w:rPr>
          <w:rFonts w:hint="eastAsia" w:ascii="宋体" w:hAnsi="宋体"/>
        </w:rPr>
      </w:pPr>
      <w:r>
        <w:rPr>
          <w:rFonts w:hint="eastAsia" w:ascii="宋体" w:hAnsi="宋体"/>
        </w:rPr>
        <w:t>7、中小企业声明函…………………………………………………（附件16）</w:t>
      </w:r>
    </w:p>
    <w:p>
      <w:pPr>
        <w:spacing w:line="500" w:lineRule="exact"/>
        <w:ind w:firstLine="480"/>
        <w:rPr>
          <w:rFonts w:hint="eastAsia" w:ascii="宋体" w:hAnsi="宋体"/>
        </w:rPr>
      </w:pPr>
      <w:r>
        <w:rPr>
          <w:rFonts w:hint="eastAsia" w:ascii="宋体" w:hAnsi="宋体"/>
        </w:rPr>
        <w:t>8、残疾人福利性单位声明函………………………………………（附件17）</w:t>
      </w:r>
    </w:p>
    <w:p>
      <w:pPr>
        <w:spacing w:line="500" w:lineRule="exact"/>
        <w:ind w:firstLine="480"/>
        <w:rPr>
          <w:rFonts w:hint="eastAsia" w:ascii="宋体" w:hAnsi="宋体"/>
        </w:rPr>
      </w:pPr>
      <w:r>
        <w:rPr>
          <w:rFonts w:hint="eastAsia" w:ascii="宋体" w:hAnsi="宋体"/>
        </w:rPr>
        <w:t>9、项目管理实施方案及售后服务…………………………………（附件18）</w:t>
      </w:r>
    </w:p>
    <w:p>
      <w:pPr>
        <w:spacing w:line="500" w:lineRule="exact"/>
        <w:ind w:firstLine="480"/>
        <w:rPr>
          <w:rFonts w:hint="eastAsia"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22" w:name="_Toc67558601"/>
      <w:r>
        <w:rPr>
          <w:rFonts w:hint="eastAsia" w:ascii="宋体"/>
          <w:b/>
          <w:sz w:val="28"/>
          <w:szCs w:val="28"/>
        </w:rPr>
        <w:t>（投标文件封面）</w:t>
      </w:r>
      <w:bookmarkEnd w:id="122"/>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2"/>
        </w:rPr>
      </w:pPr>
      <w:r>
        <w:rPr>
          <w:rFonts w:hint="eastAsia" w:ascii="宋体" w:hAnsi="宋体"/>
          <w:b/>
          <w:bCs/>
          <w:sz w:val="36"/>
          <w:szCs w:val="36"/>
        </w:rPr>
        <w:t>（资格审查部分）</w:t>
      </w: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海南州职业技术学校校园信息化建设项目（包三：平安校园建设需求）</w:t>
      </w:r>
    </w:p>
    <w:p>
      <w:pPr>
        <w:pStyle w:val="2"/>
        <w:rPr>
          <w:rFonts w:hint="eastAsia"/>
        </w:rPr>
      </w:pPr>
      <w:r>
        <w:rPr>
          <w:rFonts w:hint="eastAsia" w:ascii="宋体" w:hAnsi="宋体" w:eastAsia="宋体" w:cs="Times New Roman"/>
          <w:b/>
          <w:sz w:val="36"/>
          <w:szCs w:val="36"/>
          <w:lang w:val="en-US" w:eastAsia="zh-CN"/>
        </w:rPr>
        <w:t>包号：</w:t>
      </w:r>
    </w:p>
    <w:p>
      <w:pPr>
        <w:adjustRightInd w:val="0"/>
        <w:spacing w:line="360" w:lineRule="auto"/>
        <w:ind w:left="2293" w:leftChars="-68" w:hanging="2436" w:hangingChars="674"/>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spacing w:line="360" w:lineRule="auto"/>
        <w:ind w:firstLine="3534" w:firstLineChars="1100"/>
        <w:rPr>
          <w:rFonts w:hint="eastAsia" w:ascii="宋体" w:hAnsi="宋体"/>
          <w:b/>
          <w:sz w:val="32"/>
        </w:rPr>
      </w:pPr>
    </w:p>
    <w:p>
      <w:pPr>
        <w:widowControl/>
        <w:snapToGrid w:val="0"/>
        <w:spacing w:line="360" w:lineRule="auto"/>
        <w:ind w:firstLine="0" w:firstLineChars="0"/>
        <w:jc w:val="left"/>
        <w:outlineLvl w:val="1"/>
        <w:rPr>
          <w:rFonts w:hint="eastAsia" w:ascii="宋体"/>
          <w:b/>
          <w:sz w:val="28"/>
          <w:szCs w:val="28"/>
        </w:rPr>
      </w:pPr>
      <w:bookmarkStart w:id="123" w:name="_Toc67558602"/>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4" w:name="_Toc376936768"/>
      <w:bookmarkStart w:id="125" w:name="_Toc325726037"/>
      <w:r>
        <w:rPr>
          <w:rFonts w:hint="eastAsia" w:ascii="宋体"/>
          <w:b/>
          <w:sz w:val="28"/>
          <w:szCs w:val="28"/>
        </w:rPr>
        <w:t>1：投 标 函</w:t>
      </w:r>
      <w:bookmarkEnd w:id="123"/>
      <w:bookmarkEnd w:id="124"/>
      <w:bookmarkEnd w:id="125"/>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w:t>
      </w:r>
      <w:r>
        <w:rPr>
          <w:rFonts w:hint="eastAsia" w:ascii="宋体" w:hAnsi="宋体"/>
          <w:b/>
        </w:rPr>
        <w:t>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371" w:firstLineChars="177"/>
        <w:textAlignment w:val="baseline"/>
        <w:rPr>
          <w:rFonts w:hint="eastAsia" w:ascii="宋体" w:hAnsi="宋体"/>
        </w:rPr>
      </w:pPr>
      <w:r>
        <w:rPr>
          <w:rFonts w:hint="eastAsia" w:ascii="宋体" w:hAnsi="宋体"/>
        </w:rPr>
        <w:t>据此函，签字代表宣布同意如下：</w:t>
      </w:r>
    </w:p>
    <w:p>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371" w:firstLineChars="177"/>
        <w:textAlignment w:val="baseline"/>
        <w:rPr>
          <w:rFonts w:hint="eastAsia" w:ascii="宋体" w:hAnsi="宋体"/>
        </w:rPr>
      </w:pPr>
      <w:r>
        <w:rPr>
          <w:rFonts w:hint="eastAsia" w:ascii="宋体" w:hAnsi="宋体"/>
        </w:rPr>
        <w:t>地址：_______________   邮编：______________</w:t>
      </w:r>
    </w:p>
    <w:p>
      <w:pPr>
        <w:adjustRightInd w:val="0"/>
        <w:ind w:firstLine="371" w:firstLineChars="177"/>
        <w:textAlignment w:val="baseline"/>
        <w:rPr>
          <w:rFonts w:hint="eastAsia" w:ascii="宋体" w:hAnsi="宋体"/>
        </w:rPr>
      </w:pPr>
      <w:r>
        <w:rPr>
          <w:rFonts w:hint="eastAsia" w:ascii="宋体" w:hAnsi="宋体"/>
        </w:rPr>
        <w:t>电话：_______________   传真：______________</w:t>
      </w:r>
    </w:p>
    <w:p>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26" w:name="_Toc6755860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7" w:name="_Toc325726043"/>
      <w:bookmarkStart w:id="128" w:name="_Toc376936774"/>
      <w:bookmarkStart w:id="129" w:name="_Toc376936773"/>
      <w:bookmarkStart w:id="130" w:name="_Toc325726042"/>
      <w:r>
        <w:rPr>
          <w:rFonts w:hint="eastAsia" w:ascii="宋体"/>
          <w:b/>
          <w:sz w:val="28"/>
          <w:szCs w:val="28"/>
        </w:rPr>
        <w:t>2：法定代表人证明书</w:t>
      </w:r>
      <w:bookmarkEnd w:id="126"/>
      <w:bookmarkEnd w:id="127"/>
      <w:bookmarkEnd w:id="128"/>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9"/>
    <w:bookmarkEnd w:id="130"/>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31" w:name="_Toc201287639"/>
      <w:bookmarkStart w:id="132" w:name="_Toc324756736"/>
      <w:bookmarkStart w:id="133" w:name="_Toc6755860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31"/>
      <w:bookmarkEnd w:id="132"/>
      <w:r>
        <w:rPr>
          <w:rFonts w:hint="eastAsia" w:ascii="宋体"/>
          <w:b/>
          <w:sz w:val="28"/>
          <w:szCs w:val="28"/>
        </w:rPr>
        <w:t>3：法定代表人授权书</w:t>
      </w:r>
      <w:bookmarkEnd w:id="133"/>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hint="eastAsia" w:ascii="宋体" w:hAnsi="宋体"/>
          <w:b/>
        </w:rPr>
      </w:pP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4" w:name="_Toc6755860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4"/>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w:t>
      </w:r>
      <w:r>
        <w:rPr>
          <w:rFonts w:hint="eastAsia" w:ascii="宋体" w:hAnsi="宋体"/>
        </w:rPr>
        <w:t>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5" w:name="_Toc6755860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6" w:name="_Toc351475542"/>
      <w:bookmarkStart w:id="137" w:name="_Toc365019584"/>
      <w:bookmarkStart w:id="138" w:name="_Toc376936779"/>
      <w:r>
        <w:rPr>
          <w:rFonts w:hint="eastAsia" w:ascii="宋体"/>
          <w:b/>
          <w:sz w:val="28"/>
          <w:szCs w:val="28"/>
        </w:rPr>
        <w:t>5：供应商诚信承诺书</w:t>
      </w:r>
      <w:bookmarkEnd w:id="135"/>
      <w:bookmarkEnd w:id="136"/>
      <w:bookmarkEnd w:id="137"/>
      <w:bookmarkEnd w:id="138"/>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9" w:name="_Toc675586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9"/>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40" w:name="_Toc67558608"/>
      <w:r>
        <w:rPr>
          <w:rFonts w:hint="eastAsia" w:ascii="宋体"/>
          <w:b/>
          <w:sz w:val="28"/>
          <w:szCs w:val="28"/>
        </w:rPr>
        <w:t>附件7：财务状况、缴纳税收和社会保障资金证明</w:t>
      </w:r>
      <w:bookmarkEnd w:id="140"/>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525" w:firstLineChars="250"/>
        <w:jc w:val="left"/>
        <w:rPr>
          <w:rFonts w:hint="eastAsia" w:ascii="宋体" w:hAnsi="宋体"/>
        </w:rPr>
      </w:pPr>
      <w:r>
        <w:rPr>
          <w:rFonts w:hint="eastAsia" w:ascii="宋体" w:hAnsi="宋体"/>
        </w:rPr>
        <w:t>1、投标人是法人的，提供</w:t>
      </w:r>
      <w:r>
        <w:rPr>
          <w:rFonts w:hint="eastAsia" w:ascii="宋体" w:hAnsi="宋体"/>
          <w:lang w:eastAsia="zh-CN"/>
        </w:rPr>
        <w:t>上一</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ascii="宋体" w:hAnsi="宋体"/>
        </w:rPr>
        <w:t>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2、近三个月</w:t>
      </w:r>
      <w:r>
        <w:rPr>
          <w:rFonts w:hint="eastAsia" w:ascii="宋体" w:hAnsi="宋体"/>
          <w:lang w:eastAsia="zh-CN"/>
        </w:rPr>
        <w:t>内</w:t>
      </w:r>
      <w:r>
        <w:rPr>
          <w:rFonts w:hint="eastAsia" w:ascii="宋体" w:hAnsi="宋体"/>
        </w:rPr>
        <w:t>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41" w:name="_Toc67558609"/>
      <w:r>
        <w:rPr>
          <w:rFonts w:hint="eastAsia" w:ascii="宋体"/>
          <w:b/>
          <w:sz w:val="28"/>
          <w:szCs w:val="28"/>
        </w:rPr>
        <w:t>附件8：无重大违法记录声明</w:t>
      </w:r>
      <w:bookmarkEnd w:id="141"/>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42" w:name="_Toc67558610"/>
      <w:bookmarkStart w:id="143" w:name="_Toc36567478"/>
      <w:bookmarkStart w:id="144" w:name="_Toc37147848"/>
      <w:bookmarkStart w:id="145" w:name="_Toc36569325"/>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6" w:name="_Toc82527709"/>
      <w:bookmarkStart w:id="147" w:name="_Toc82441634"/>
      <w:bookmarkStart w:id="148" w:name="_Toc67558611"/>
      <w:r>
        <w:rPr>
          <w:rFonts w:hint="eastAsia" w:ascii="宋体"/>
          <w:b/>
          <w:sz w:val="28"/>
          <w:szCs w:val="28"/>
        </w:rPr>
        <w:t>附件9：投标保证金证明</w:t>
      </w:r>
      <w:bookmarkEnd w:id="146"/>
      <w:bookmarkEnd w:id="14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jc w:val="center"/>
        <w:outlineLvl w:val="1"/>
        <w:rPr>
          <w:rFonts w:hint="eastAsia" w:ascii="宋体" w:hAnsi="宋体"/>
          <w:b/>
          <w:sz w:val="36"/>
          <w:szCs w:val="36"/>
        </w:rPr>
      </w:pPr>
      <w:bookmarkStart w:id="149" w:name="_Toc82441345"/>
      <w:bookmarkStart w:id="150" w:name="_Toc82441635"/>
      <w:bookmarkStart w:id="151" w:name="_Toc82527237"/>
      <w:bookmarkStart w:id="152" w:name="_Toc82527710"/>
      <w:r>
        <w:rPr>
          <w:rFonts w:hint="eastAsia" w:ascii="宋体" w:hAnsi="宋体"/>
          <w:b/>
          <w:sz w:val="36"/>
          <w:szCs w:val="36"/>
        </w:rPr>
        <w:t>投标保证金证明</w:t>
      </w:r>
      <w:bookmarkEnd w:id="149"/>
      <w:bookmarkEnd w:id="150"/>
      <w:bookmarkEnd w:id="151"/>
      <w:bookmarkEnd w:id="152"/>
    </w:p>
    <w:p>
      <w:pPr>
        <w:spacing w:after="120" w:afterLines="50"/>
        <w:ind w:firstLine="0" w:firstLineChars="0"/>
        <w:rPr>
          <w:rFonts w:hint="eastAsia" w:ascii="宋体" w:hAnsi="宋体"/>
          <w:b/>
          <w:bCs/>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widowControl/>
        <w:snapToGrid w:val="0"/>
        <w:ind w:firstLine="465" w:firstLineChars="0"/>
        <w:jc w:val="left"/>
        <w:outlineLvl w:val="1"/>
        <w:rPr>
          <w:rFonts w:hint="eastAsia" w:ascii="宋体" w:hAnsi="宋体"/>
        </w:rPr>
      </w:pPr>
      <w:bookmarkStart w:id="153" w:name="_Toc82441346"/>
      <w:bookmarkStart w:id="154" w:name="_Toc82441636"/>
      <w:bookmarkStart w:id="155" w:name="_Toc82527238"/>
      <w:bookmarkStart w:id="156" w:name="_Toc82527711"/>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w:t>
      </w:r>
      <w:r>
        <w:rPr>
          <w:rFonts w:hint="eastAsia" w:ascii="宋体" w:hAnsi="宋体"/>
          <w:u w:val="single"/>
        </w:rPr>
        <w:t>政采公招（服务）2022-</w:t>
      </w:r>
      <w:r>
        <w:rPr>
          <w:rFonts w:hint="eastAsia" w:ascii="宋体" w:hAnsi="宋体"/>
          <w:u w:val="single"/>
          <w:lang w:val="en-US" w:eastAsia="zh-CN"/>
        </w:rPr>
        <w:t>2</w:t>
      </w:r>
      <w:r>
        <w:rPr>
          <w:rFonts w:hint="eastAsia" w:ascii="宋体" w:hAnsi="宋体"/>
          <w:u w:val="single"/>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3"/>
      <w:bookmarkEnd w:id="154"/>
      <w:bookmarkEnd w:id="155"/>
      <w:bookmarkEnd w:id="156"/>
    </w:p>
    <w:p>
      <w:pPr>
        <w:widowControl/>
        <w:snapToGrid w:val="0"/>
        <w:ind w:firstLine="465" w:firstLineChars="0"/>
        <w:jc w:val="left"/>
        <w:outlineLvl w:val="1"/>
        <w:rPr>
          <w:rFonts w:hint="eastAsia" w:ascii="宋体" w:hAnsi="宋体"/>
          <w:b/>
          <w:bCs/>
        </w:rPr>
      </w:pPr>
    </w:p>
    <w:tbl>
      <w:tblPr>
        <w:tblStyle w:val="16"/>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4" w:hRule="atLeast"/>
        </w:trPr>
        <w:tc>
          <w:tcPr>
            <w:tcW w:w="8868" w:type="dxa"/>
            <w:noWrap w:val="0"/>
            <w:vAlign w:val="top"/>
          </w:tcPr>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2205" w:firstLineChars="1050"/>
              <w:jc w:val="left"/>
              <w:outlineLvl w:val="1"/>
              <w:rPr>
                <w:rFonts w:ascii="宋体" w:hAnsi="宋体"/>
                <w:b/>
                <w:bCs/>
              </w:rPr>
            </w:pPr>
            <w:bookmarkStart w:id="157" w:name="_Toc82615512"/>
            <w:bookmarkStart w:id="158" w:name="_Toc82615811"/>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157"/>
            <w:bookmarkEnd w:id="158"/>
          </w:p>
          <w:p>
            <w:pPr>
              <w:widowControl/>
              <w:snapToGrid w:val="0"/>
              <w:spacing w:line="360" w:lineRule="auto"/>
              <w:ind w:firstLine="0" w:firstLineChars="0"/>
              <w:jc w:val="left"/>
              <w:outlineLvl w:val="1"/>
              <w:rPr>
                <w:rFonts w:hint="eastAsia" w:ascii="宋体" w:hAnsi="宋体"/>
                <w:b/>
                <w:bCs/>
              </w:rPr>
            </w:pPr>
          </w:p>
        </w:tc>
      </w:tr>
    </w:tbl>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spacing w:line="360" w:lineRule="auto"/>
        <w:ind w:firstLine="0" w:firstLineChars="0"/>
        <w:jc w:val="left"/>
        <w:outlineLvl w:val="1"/>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r>
        <w:rPr>
          <w:rFonts w:hint="eastAsia" w:ascii="宋体"/>
          <w:b/>
          <w:sz w:val="28"/>
          <w:szCs w:val="28"/>
        </w:rPr>
        <w:t>（投标文件封面）</w:t>
      </w:r>
      <w:bookmarkEnd w:id="142"/>
      <w:bookmarkEnd w:id="143"/>
      <w:bookmarkEnd w:id="144"/>
      <w:bookmarkEnd w:id="145"/>
      <w:bookmarkEnd w:id="148"/>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海南州职业技术学校校园信息化建设项目（包三：平安校园建设需求）</w:t>
      </w:r>
    </w:p>
    <w:p>
      <w:pPr>
        <w:pStyle w:val="2"/>
        <w:rPr>
          <w:rFonts w:hint="eastAsia" w:eastAsia="宋体"/>
          <w:lang w:eastAsia="zh-CN"/>
        </w:rPr>
      </w:pPr>
      <w:r>
        <w:rPr>
          <w:rFonts w:hint="eastAsia" w:ascii="宋体" w:hAnsi="宋体" w:eastAsia="宋体" w:cs="Times New Roman"/>
          <w:b/>
          <w:sz w:val="36"/>
          <w:szCs w:val="36"/>
          <w:lang w:eastAsia="zh-CN"/>
        </w:rPr>
        <w:t>包号：</w:t>
      </w:r>
    </w:p>
    <w:p>
      <w:pPr>
        <w:adjustRightInd w:val="0"/>
        <w:spacing w:line="360" w:lineRule="auto"/>
        <w:ind w:left="2183" w:leftChars="-68" w:hanging="2326" w:hangingChars="724"/>
        <w:textAlignment w:val="baseline"/>
        <w:rPr>
          <w:rFonts w:hint="eastAsia" w:ascii="宋体" w:hAnsi="宋体"/>
          <w:b/>
          <w:sz w:val="32"/>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9" w:name="_Toc82527713"/>
      <w:bookmarkStart w:id="160" w:name="_Toc67558614"/>
      <w:r>
        <w:rPr>
          <w:rFonts w:hint="eastAsia" w:ascii="宋体"/>
          <w:b/>
          <w:sz w:val="28"/>
          <w:szCs w:val="28"/>
        </w:rPr>
        <w:t>附件</w:t>
      </w:r>
      <w:bookmarkStart w:id="161" w:name="_Toc376936769"/>
      <w:bookmarkStart w:id="162" w:name="_Toc325726038"/>
      <w:r>
        <w:rPr>
          <w:rFonts w:hint="eastAsia" w:ascii="宋体"/>
          <w:b/>
          <w:sz w:val="28"/>
          <w:szCs w:val="28"/>
        </w:rPr>
        <w:t>10：报价一览表</w:t>
      </w:r>
      <w:bookmarkEnd w:id="159"/>
      <w:bookmarkEnd w:id="161"/>
      <w:bookmarkEnd w:id="162"/>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pPr>
              <w:adjustRightInd w:val="0"/>
              <w:ind w:firstLine="105" w:firstLineChars="50"/>
              <w:textAlignment w:val="baseline"/>
              <w:rPr>
                <w:rFonts w:hint="eastAsia" w:ascii="宋体" w:hAnsi="宋体"/>
                <w:b/>
              </w:rPr>
            </w:pPr>
            <w:r>
              <w:rPr>
                <w:rFonts w:hint="eastAsia" w:ascii="宋体" w:hAnsi="宋体"/>
                <w:b/>
              </w:rPr>
              <w:t>交 货 期</w:t>
            </w:r>
          </w:p>
        </w:tc>
        <w:tc>
          <w:tcPr>
            <w:tcW w:w="1560" w:type="dxa"/>
            <w:vAlign w:val="center"/>
          </w:tcPr>
          <w:p>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pPr>
              <w:adjustRightInd w:val="0"/>
              <w:ind w:firstLine="173" w:firstLineChars="82"/>
              <w:textAlignment w:val="baseline"/>
              <w:rPr>
                <w:rFonts w:hint="eastAsia" w:ascii="宋体" w:hAnsi="宋体"/>
                <w:b/>
              </w:rPr>
            </w:pPr>
          </w:p>
        </w:tc>
        <w:tc>
          <w:tcPr>
            <w:tcW w:w="1560" w:type="dxa"/>
            <w:vMerge w:val="restart"/>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pPr>
              <w:adjustRightInd w:val="0"/>
              <w:ind w:firstLine="482"/>
              <w:textAlignment w:val="baseline"/>
              <w:rPr>
                <w:rFonts w:hint="eastAsia" w:ascii="宋体" w:hAnsi="宋体"/>
                <w:b/>
              </w:rPr>
            </w:pPr>
          </w:p>
        </w:tc>
        <w:tc>
          <w:tcPr>
            <w:tcW w:w="1560" w:type="dxa"/>
            <w:vMerge w:val="continue"/>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hint="eastAsia" w:ascii="宋体" w:hAnsi="宋体"/>
        </w:rPr>
      </w:pPr>
      <w:r>
        <w:rPr>
          <w:rFonts w:hint="eastAsia" w:ascii="宋体" w:hAnsi="宋体"/>
        </w:rPr>
        <w:t>4、除在投标文件中编制此表以外，投标人应在青海省政府采购电子化平台中进行网上报价，网上报价应和此表报价一致，否则以网上报价为准，不接受者投标无效。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hint="eastAsia"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spacing w:line="276" w:lineRule="auto"/>
        <w:ind w:firstLine="480"/>
        <w:textAlignment w:val="baseline"/>
        <w:rPr>
          <w:rFonts w:hint="eastAsia" w:ascii="宋体" w:hAnsi="宋体"/>
          <w:color w:val="000000"/>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2215" w:firstLineChars="1055"/>
        <w:rPr>
          <w:rFonts w:hint="eastAsia" w:ascii="宋体" w:hAnsi="宋体"/>
        </w:rPr>
      </w:pPr>
    </w:p>
    <w:p>
      <w:pPr>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63" w:name="_Toc82527714"/>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64" w:name="_Toc376936770"/>
      <w:bookmarkStart w:id="165" w:name="_Toc325726039"/>
      <w:r>
        <w:rPr>
          <w:rFonts w:hint="eastAsia" w:ascii="宋体"/>
          <w:b/>
          <w:sz w:val="28"/>
          <w:szCs w:val="28"/>
        </w:rPr>
        <w:t>11：分项报价表</w:t>
      </w:r>
      <w:bookmarkEnd w:id="163"/>
      <w:bookmarkEnd w:id="164"/>
      <w:bookmarkEnd w:id="165"/>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right="120" w:firstLine="0" w:firstLineChars="0"/>
        <w:jc w:val="right"/>
        <w:rPr>
          <w:rFonts w:hint="eastAsia" w:ascii="宋体" w:hAnsi="宋体"/>
        </w:rPr>
      </w:pPr>
      <w:r>
        <w:rPr>
          <w:rFonts w:hint="eastAsia" w:ascii="宋体" w:hAnsi="宋体"/>
        </w:rPr>
        <w:t xml:space="preserve">                                                  单位：人民币（元）</w:t>
      </w:r>
    </w:p>
    <w:tbl>
      <w:tblPr>
        <w:tblStyle w:val="16"/>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rPr>
                <w:rFonts w:hint="eastAsia" w:ascii="宋体" w:hAnsi="宋体"/>
              </w:rPr>
            </w:pPr>
            <w:r>
              <w:rPr>
                <w:rFonts w:hint="eastAsia" w:ascii="宋体" w:hAnsi="宋体"/>
              </w:rPr>
              <w:t>序号</w:t>
            </w:r>
          </w:p>
        </w:tc>
        <w:tc>
          <w:tcPr>
            <w:tcW w:w="4048" w:type="dxa"/>
            <w:gridSpan w:val="2"/>
            <w:noWrap w:val="0"/>
            <w:vAlign w:val="center"/>
          </w:tcPr>
          <w:p>
            <w:pPr>
              <w:ind w:firstLine="0" w:firstLineChars="0"/>
              <w:jc w:val="center"/>
              <w:rPr>
                <w:rFonts w:hint="eastAsia" w:ascii="宋体" w:hAnsi="宋体"/>
              </w:rPr>
            </w:pPr>
            <w:r>
              <w:rPr>
                <w:rFonts w:hint="eastAsia" w:ascii="宋体" w:hAnsi="宋体"/>
              </w:rPr>
              <w:t>项目实施服务内容</w:t>
            </w:r>
          </w:p>
        </w:tc>
        <w:tc>
          <w:tcPr>
            <w:tcW w:w="1985" w:type="dxa"/>
            <w:noWrap w:val="0"/>
            <w:vAlign w:val="center"/>
          </w:tcPr>
          <w:p>
            <w:pPr>
              <w:ind w:firstLine="0" w:firstLineChars="0"/>
              <w:jc w:val="center"/>
              <w:rPr>
                <w:rFonts w:hint="eastAsia" w:ascii="宋体" w:hAnsi="宋体"/>
              </w:rPr>
            </w:pPr>
            <w:r>
              <w:rPr>
                <w:rFonts w:hint="eastAsia" w:ascii="宋体" w:hAnsi="宋体"/>
              </w:rPr>
              <w:t>数量及单位</w:t>
            </w:r>
          </w:p>
        </w:tc>
        <w:tc>
          <w:tcPr>
            <w:tcW w:w="1134"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noWrap w:val="0"/>
            <w:vAlign w:val="center"/>
          </w:tcPr>
          <w:p>
            <w:pPr>
              <w:adjustRightInd w:val="0"/>
              <w:ind w:firstLine="174" w:firstLineChars="83"/>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公招总价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480"/>
        <w:rPr>
          <w:rFonts w:hint="eastAsia" w:ascii="宋体" w:hAnsi="宋体"/>
        </w:rPr>
      </w:pPr>
      <w:r>
        <w:rPr>
          <w:rFonts w:hint="eastAsia" w:ascii="宋体" w:hAnsi="宋体"/>
        </w:rPr>
        <w:t>注：</w:t>
      </w:r>
      <w:r>
        <w:rPr>
          <w:rFonts w:hint="eastAsia" w:ascii="宋体" w:hAnsi="宋体"/>
          <w:color w:val="000000"/>
        </w:rPr>
        <w:t>本表应依照采购一览表中的服务内容逐项填写。须列出具体的服务项目名称、内容及费用清单。（此表可按服务内容自行调整表格或增加附页）</w:t>
      </w: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3679" w:firstLineChars="174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End w:id="160"/>
      <w:bookmarkStart w:id="166" w:name="_Toc67558615"/>
    </w:p>
    <w:p>
      <w:pPr>
        <w:widowControl/>
        <w:snapToGrid w:val="0"/>
        <w:spacing w:line="360" w:lineRule="auto"/>
        <w:ind w:firstLine="0" w:firstLineChars="0"/>
        <w:outlineLvl w:val="1"/>
        <w:rPr>
          <w:rFonts w:hint="eastAsia" w:ascii="宋体"/>
          <w:b/>
          <w:sz w:val="28"/>
          <w:szCs w:val="28"/>
        </w:rPr>
      </w:pPr>
      <w:bookmarkStart w:id="167" w:name="_Toc82441640"/>
      <w:r>
        <w:rPr>
          <w:rFonts w:hint="eastAsia" w:ascii="宋体"/>
          <w:b/>
          <w:sz w:val="28"/>
          <w:szCs w:val="28"/>
        </w:rPr>
        <w:t>附件</w:t>
      </w:r>
      <w:bookmarkStart w:id="168" w:name="_Toc376936771"/>
      <w:bookmarkStart w:id="169" w:name="_Toc325726040"/>
      <w:r>
        <w:rPr>
          <w:rFonts w:hint="eastAsia" w:ascii="宋体"/>
          <w:b/>
          <w:sz w:val="28"/>
          <w:szCs w:val="28"/>
        </w:rPr>
        <w:t>12：技术规格响应表</w:t>
      </w:r>
      <w:bookmarkEnd w:id="167"/>
      <w:bookmarkEnd w:id="168"/>
      <w:bookmarkEnd w:id="169"/>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16"/>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pPr>
              <w:spacing w:before="40" w:after="40"/>
              <w:ind w:firstLine="105" w:firstLineChars="50"/>
              <w:rPr>
                <w:rFonts w:hint="eastAsia" w:ascii="宋体" w:hAnsi="宋体"/>
              </w:rPr>
            </w:pPr>
            <w:r>
              <w:rPr>
                <w:rFonts w:hint="eastAsia" w:ascii="宋体" w:hAnsi="宋体"/>
              </w:rPr>
              <w:t>采购需求技术参数、指标</w:t>
            </w:r>
          </w:p>
        </w:tc>
        <w:tc>
          <w:tcPr>
            <w:tcW w:w="4536" w:type="dxa"/>
            <w:gridSpan w:val="3"/>
          </w:tcPr>
          <w:p>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hint="eastAsia" w:ascii="宋体" w:hAnsi="宋体"/>
              </w:rPr>
            </w:pPr>
            <w:r>
              <w:rPr>
                <w:rFonts w:hint="eastAsia" w:ascii="宋体" w:hAnsi="宋体"/>
              </w:rPr>
              <w:t>序号</w:t>
            </w:r>
          </w:p>
        </w:tc>
        <w:tc>
          <w:tcPr>
            <w:tcW w:w="667" w:type="dxa"/>
            <w:vAlign w:val="center"/>
          </w:tcPr>
          <w:p>
            <w:pPr>
              <w:spacing w:before="40" w:after="40"/>
              <w:ind w:firstLine="0" w:firstLineChars="0"/>
              <w:rPr>
                <w:rFonts w:hint="eastAsia"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650" w:type="dxa"/>
            <w:vAlign w:val="center"/>
          </w:tcPr>
          <w:p>
            <w:pPr>
              <w:spacing w:before="40" w:after="40"/>
              <w:ind w:firstLine="0" w:firstLineChars="0"/>
              <w:rPr>
                <w:rFonts w:hint="eastAsia" w:ascii="宋体" w:hAnsi="宋体"/>
              </w:rPr>
            </w:pPr>
            <w:r>
              <w:rPr>
                <w:rFonts w:hint="eastAsia" w:ascii="宋体" w:hAnsi="宋体"/>
              </w:rPr>
              <w:t>名称</w:t>
            </w:r>
          </w:p>
        </w:tc>
        <w:tc>
          <w:tcPr>
            <w:tcW w:w="1335" w:type="dxa"/>
            <w:vAlign w:val="center"/>
          </w:tcPr>
          <w:p>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1</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2</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3</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4</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ascii="宋体" w:hAnsi="宋体"/>
              </w:rPr>
              <w:t>…</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bl>
    <w:p>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2"/>
        </w:numPr>
        <w:spacing w:line="360" w:lineRule="exact"/>
        <w:ind w:firstLine="735"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2"/>
        </w:numPr>
        <w:spacing w:line="360" w:lineRule="exact"/>
        <w:ind w:firstLine="735"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66"/>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11"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tabs>
          <w:tab w:val="left" w:pos="168"/>
        </w:tabs>
        <w:adjustRightInd w:val="0"/>
        <w:ind w:firstLine="480"/>
        <w:textAlignment w:val="baseline"/>
        <w:rPr>
          <w:rFonts w:hint="eastAsia" w:ascii="宋体" w:hAnsi="宋体"/>
          <w:color w:val="000000"/>
        </w:rPr>
      </w:pP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70" w:name="_Toc500754532"/>
      <w:bookmarkStart w:id="171" w:name="_Toc82527716"/>
      <w:bookmarkStart w:id="172" w:name="_Toc325726045"/>
      <w:bookmarkStart w:id="173" w:name="_Toc376936780"/>
      <w:bookmarkStart w:id="174" w:name="_Toc365019586"/>
      <w:r>
        <w:rPr>
          <w:rFonts w:hint="eastAsia" w:ascii="宋体"/>
          <w:b/>
          <w:sz w:val="28"/>
          <w:szCs w:val="28"/>
        </w:rPr>
        <w:t>附件</w:t>
      </w:r>
      <w:r>
        <w:rPr>
          <w:rFonts w:hint="eastAsia" w:ascii="宋体"/>
          <w:b/>
          <w:sz w:val="28"/>
          <w:szCs w:val="28"/>
          <w:lang w:val="en-US" w:eastAsia="zh-CN"/>
        </w:rPr>
        <w:t>14</w:t>
      </w:r>
      <w:r>
        <w:rPr>
          <w:rFonts w:hint="eastAsia" w:ascii="宋体"/>
          <w:b/>
          <w:sz w:val="28"/>
          <w:szCs w:val="28"/>
        </w:rPr>
        <w:t>：</w:t>
      </w:r>
      <w:bookmarkEnd w:id="170"/>
      <w:bookmarkEnd w:id="171"/>
      <w:r>
        <w:rPr>
          <w:rFonts w:hint="eastAsia" w:ascii="宋体"/>
          <w:b/>
          <w:sz w:val="28"/>
          <w:szCs w:val="28"/>
        </w:rPr>
        <w:t>投标产品相关资料</w:t>
      </w:r>
    </w:p>
    <w:p>
      <w:pPr>
        <w:ind w:firstLine="723"/>
        <w:jc w:val="center"/>
        <w:rPr>
          <w:rFonts w:hint="eastAsia" w:ascii="宋体" w:hAnsi="宋体"/>
          <w:b/>
          <w:sz w:val="36"/>
          <w:szCs w:val="36"/>
        </w:rPr>
      </w:pPr>
      <w:r>
        <w:rPr>
          <w:rFonts w:hint="eastAsia" w:ascii="宋体" w:hAnsi="宋体"/>
          <w:b/>
          <w:sz w:val="36"/>
          <w:szCs w:val="36"/>
        </w:rPr>
        <w:t xml:space="preserve">  </w:t>
      </w:r>
    </w:p>
    <w:bookmarkEnd w:id="172"/>
    <w:bookmarkEnd w:id="173"/>
    <w:bookmarkEnd w:id="174"/>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11"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rPr>
          <w:rFonts w:hint="eastAsia" w:ascii="宋体"/>
          <w:b/>
          <w:sz w:val="28"/>
          <w:szCs w:val="28"/>
        </w:rPr>
      </w:pPr>
      <w:r>
        <w:rPr>
          <w:rFonts w:ascii="宋体" w:hAnsi="宋体"/>
        </w:rPr>
        <w:br w:type="page"/>
      </w:r>
      <w:bookmarkStart w:id="175" w:name="_Toc67558617"/>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：投标人类似业绩证明材料</w:t>
      </w:r>
      <w:bookmarkEnd w:id="175"/>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19</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76" w:name="_Toc67558618"/>
      <w:bookmarkStart w:id="177" w:name="_Toc474913501"/>
      <w:bookmarkStart w:id="178" w:name="_Toc460486440"/>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：中小企业声明函</w:t>
      </w:r>
      <w:bookmarkEnd w:id="176"/>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sz w:val="28"/>
          <w:szCs w:val="28"/>
        </w:rPr>
      </w:pPr>
      <w:bookmarkStart w:id="179" w:name="_Toc67558619"/>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：残疾人福利性单位声明函</w:t>
      </w:r>
      <w:bookmarkEnd w:id="179"/>
    </w:p>
    <w:p>
      <w:pPr>
        <w:ind w:firstLine="0" w:firstLineChars="0"/>
        <w:jc w:val="center"/>
        <w:rPr>
          <w:rFonts w:hint="eastAsia" w:ascii="宋体" w:hAnsi="宋体"/>
          <w:b/>
          <w:sz w:val="36"/>
          <w:szCs w:val="36"/>
        </w:rPr>
      </w:pPr>
      <w:bookmarkStart w:id="180" w:name="OLE_LINK14"/>
      <w:bookmarkStart w:id="181"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80"/>
    <w:bookmarkEnd w:id="181"/>
    <w:p>
      <w:pPr>
        <w:spacing w:after="156" w:afterLines="50"/>
        <w:ind w:firstLine="0" w:firstLineChars="0"/>
        <w:rPr>
          <w:rFonts w:hint="eastAsia" w:ascii="宋体" w:hAnsi="宋体"/>
          <w:bCs/>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hAnsi="宋体"/>
          <w:color w:val="000000"/>
        </w:rPr>
      </w:pPr>
      <w:r>
        <w:rPr>
          <w:rFonts w:ascii="宋体"/>
          <w:b/>
          <w:color w:val="000000"/>
          <w:sz w:val="28"/>
          <w:szCs w:val="28"/>
        </w:rPr>
        <w:br w:type="page"/>
      </w:r>
      <w:bookmarkEnd w:id="177"/>
    </w:p>
    <w:p>
      <w:pPr>
        <w:widowControl/>
        <w:snapToGrid w:val="0"/>
        <w:spacing w:line="360" w:lineRule="auto"/>
        <w:ind w:firstLine="0" w:firstLineChars="0"/>
        <w:outlineLvl w:val="1"/>
        <w:rPr>
          <w:rFonts w:hint="eastAsia" w:ascii="宋体"/>
          <w:b/>
          <w:color w:val="000000"/>
          <w:sz w:val="28"/>
          <w:szCs w:val="28"/>
        </w:rPr>
      </w:pPr>
      <w:bookmarkStart w:id="182" w:name="_Toc82441646"/>
      <w:r>
        <w:rPr>
          <w:rFonts w:hint="eastAsia" w:ascii="宋体"/>
          <w:b/>
          <w:color w:val="000000"/>
          <w:sz w:val="28"/>
          <w:szCs w:val="28"/>
        </w:rPr>
        <w:t>附件18：项目管理实施方案及售后服务</w:t>
      </w:r>
      <w:bookmarkEnd w:id="182"/>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hint="eastAsia" w:ascii="宋体" w:hAnsi="宋体"/>
          <w:color w:val="000000"/>
        </w:rPr>
      </w:pPr>
    </w:p>
    <w:p>
      <w:pPr>
        <w:widowControl/>
        <w:snapToGrid w:val="0"/>
        <w:spacing w:line="360" w:lineRule="auto"/>
        <w:ind w:firstLine="0" w:firstLineChars="0"/>
        <w:outlineLvl w:val="1"/>
        <w:rPr>
          <w:rFonts w:ascii="宋体" w:hAnsi="宋体"/>
          <w:color w:val="000000"/>
        </w:rPr>
      </w:pPr>
      <w:r>
        <w:rPr>
          <w:rFonts w:ascii="宋体" w:hAnsi="宋体"/>
          <w:color w:val="000000"/>
        </w:rPr>
        <w:br w:type="page"/>
      </w:r>
      <w:bookmarkStart w:id="183" w:name="_Toc67558621"/>
    </w:p>
    <w:p>
      <w:pPr>
        <w:widowControl/>
        <w:snapToGrid w:val="0"/>
        <w:spacing w:line="360" w:lineRule="auto"/>
        <w:ind w:firstLine="0" w:firstLineChars="0"/>
        <w:outlineLvl w:val="1"/>
        <w:rPr>
          <w:rFonts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：投标人认为在其他方面有必要说明的事项</w:t>
      </w:r>
      <w:bookmarkEnd w:id="183"/>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bookmarkEnd w:id="178"/>
    <w:p>
      <w:pPr>
        <w:widowControl/>
        <w:snapToGrid w:val="0"/>
        <w:spacing w:line="360" w:lineRule="auto"/>
        <w:ind w:firstLine="0" w:firstLineChars="0"/>
        <w:outlineLvl w:val="1"/>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84" w:name="_Toc376936782"/>
      <w:bookmarkStart w:id="185" w:name="_Toc325726051"/>
      <w:bookmarkStart w:id="186" w:name="_Toc67558622"/>
      <w:r>
        <w:rPr>
          <w:rFonts w:hint="eastAsia" w:ascii="宋体"/>
          <w:b/>
          <w:kern w:val="28"/>
          <w:sz w:val="36"/>
          <w:szCs w:val="20"/>
        </w:rPr>
        <w:t>第五部分  采购项目要求及技术参数</w:t>
      </w:r>
      <w:bookmarkEnd w:id="184"/>
      <w:bookmarkEnd w:id="185"/>
      <w:bookmarkEnd w:id="186"/>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87" w:name="_Toc325726052"/>
      <w:bookmarkStart w:id="188" w:name="_Toc67558623"/>
      <w:bookmarkStart w:id="189" w:name="_Toc376936783"/>
      <w:r>
        <w:rPr>
          <w:rFonts w:hint="eastAsia" w:ascii="宋体" w:hAnsi="宋体"/>
          <w:b/>
          <w:bCs/>
          <w:kern w:val="0"/>
          <w:sz w:val="36"/>
          <w:szCs w:val="36"/>
        </w:rPr>
        <w:t>一、投标要求</w:t>
      </w:r>
      <w:bookmarkEnd w:id="187"/>
      <w:bookmarkEnd w:id="188"/>
      <w:bookmarkEnd w:id="18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0" w:name="_Toc82527724"/>
      <w:bookmarkStart w:id="191" w:name="_Toc325726053"/>
      <w:bookmarkStart w:id="192" w:name="_Toc376936784"/>
      <w:bookmarkStart w:id="193" w:name="_Toc325726054"/>
      <w:bookmarkStart w:id="194" w:name="_Toc67558626"/>
      <w:bookmarkStart w:id="195" w:name="_Toc376936786"/>
      <w:r>
        <w:rPr>
          <w:rFonts w:hint="eastAsia" w:ascii="宋体" w:hAnsi="宋体"/>
          <w:b/>
          <w:bCs/>
          <w:kern w:val="0"/>
          <w:sz w:val="27"/>
          <w:szCs w:val="27"/>
        </w:rPr>
        <w:t>1、投标说明</w:t>
      </w:r>
      <w:bookmarkEnd w:id="190"/>
      <w:bookmarkEnd w:id="191"/>
      <w:bookmarkEnd w:id="192"/>
    </w:p>
    <w:p>
      <w:pPr>
        <w:ind w:firstLine="411" w:firstLineChars="196"/>
        <w:rPr>
          <w:rFonts w:hint="eastAsia"/>
        </w:rPr>
      </w:pPr>
      <w:r>
        <w:rPr>
          <w:rFonts w:hint="eastAsia" w:ascii="宋体" w:hAnsi="宋体"/>
        </w:rPr>
        <w:t>1.1</w:t>
      </w:r>
      <w:r>
        <w:rPr>
          <w:rFonts w:hint="eastAsia"/>
        </w:rPr>
        <w:t>投标人必须对招标文件服务要求中所有内容作为一个整体进行投标，不能拆分或少报。否则，投标无效。</w:t>
      </w:r>
    </w:p>
    <w:p>
      <w:pPr>
        <w:ind w:firstLine="411" w:firstLineChars="196"/>
        <w:rPr>
          <w:rFonts w:ascii="宋体" w:hAnsi="宋体"/>
        </w:rPr>
      </w:pPr>
      <w:r>
        <w:rPr>
          <w:rFonts w:hint="eastAsia" w:ascii="宋体" w:hAnsi="宋体"/>
        </w:rPr>
        <w:t>1.2投标报价为投标总价。包括服务费、人员差旅费、税费及不可预见费等全部费用。若投标报价不能完全包括上述内容，该投标将被认为非实质性响应。</w:t>
      </w:r>
    </w:p>
    <w:p>
      <w:pPr>
        <w:ind w:firstLine="411" w:firstLineChars="196"/>
        <w:rPr>
          <w:rFonts w:hint="eastAsia" w:ascii="宋体" w:hAnsi="宋体"/>
        </w:rPr>
      </w:pPr>
      <w:r>
        <w:rPr>
          <w:rFonts w:hint="eastAsia" w:ascii="宋体" w:hAnsi="宋体"/>
        </w:rPr>
        <w:t>1.3所投产品或其任何一部分不得侵犯专利权、著作权、商标权和工业设计权等知识产权。</w:t>
      </w:r>
    </w:p>
    <w:p>
      <w:pPr>
        <w:ind w:firstLine="411"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6" w:name="_Toc376936785"/>
      <w:bookmarkStart w:id="197" w:name="_Toc82527725"/>
      <w:r>
        <w:rPr>
          <w:rFonts w:hint="eastAsia" w:ascii="宋体" w:hAnsi="宋体"/>
          <w:b/>
          <w:bCs/>
          <w:kern w:val="0"/>
          <w:sz w:val="27"/>
          <w:szCs w:val="27"/>
        </w:rPr>
        <w:t>2、报价说明</w:t>
      </w:r>
      <w:bookmarkEnd w:id="196"/>
      <w:bookmarkEnd w:id="197"/>
    </w:p>
    <w:p>
      <w:pPr>
        <w:ind w:firstLine="411"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3、重要指标</w:t>
      </w:r>
      <w:bookmarkEnd w:id="193"/>
      <w:bookmarkEnd w:id="194"/>
      <w:bookmarkEnd w:id="195"/>
    </w:p>
    <w:p>
      <w:pPr>
        <w:ind w:firstLine="480"/>
        <w:rPr>
          <w:rFonts w:hint="eastAsia" w:ascii="宋体" w:hAnsi="宋体"/>
          <w:b/>
          <w:bCs/>
          <w:kern w:val="0"/>
          <w:sz w:val="36"/>
          <w:szCs w:val="36"/>
        </w:rPr>
      </w:pPr>
      <w:r>
        <w:rPr>
          <w:rFonts w:hint="eastAsia" w:ascii="宋体" w:hAnsi="宋体"/>
        </w:rPr>
        <w:t>招标文件中凡需与原有设备、系统并机、兼容、匹配、对接等要求的，请主动和采购人联系，取得原有设备、系统相关资料。若有招标文件未提及或变更内容的，请及时与集中采购机构联系。</w:t>
      </w:r>
      <w:bookmarkStart w:id="198" w:name="_Toc325726061"/>
      <w:bookmarkStart w:id="199" w:name="_Toc376936787"/>
      <w:bookmarkStart w:id="200" w:name="_Toc67558627"/>
    </w:p>
    <w:p>
      <w:pPr>
        <w:widowControl/>
        <w:spacing w:before="624" w:beforeLines="200" w:after="624" w:afterLines="200" w:line="240" w:lineRule="auto"/>
        <w:ind w:firstLine="0" w:firstLineChars="0"/>
        <w:jc w:val="both"/>
        <w:outlineLvl w:val="1"/>
        <w:rPr>
          <w:rFonts w:hint="eastAsia" w:ascii="宋体" w:hAnsi="宋体"/>
          <w:b/>
          <w:bCs/>
          <w:kern w:val="0"/>
          <w:sz w:val="36"/>
          <w:szCs w:val="36"/>
        </w:rPr>
      </w:pPr>
      <w:r>
        <w:rPr>
          <w:rFonts w:hint="eastAsia" w:ascii="宋体" w:hAnsi="宋体"/>
          <w:b/>
          <w:bCs/>
          <w:kern w:val="0"/>
          <w:sz w:val="36"/>
          <w:szCs w:val="36"/>
        </w:rPr>
        <w:t>二</w:t>
      </w:r>
      <w:bookmarkEnd w:id="198"/>
      <w:r>
        <w:rPr>
          <w:rFonts w:hint="eastAsia" w:ascii="宋体" w:hAnsi="宋体"/>
          <w:b/>
          <w:bCs/>
          <w:kern w:val="0"/>
          <w:sz w:val="36"/>
          <w:szCs w:val="36"/>
        </w:rPr>
        <w:t>、项目概况及技术参数</w:t>
      </w:r>
      <w:bookmarkEnd w:id="199"/>
      <w:bookmarkEnd w:id="200"/>
    </w:p>
    <w:p>
      <w:pPr>
        <w:jc w:val="center"/>
        <w:rPr>
          <w:rFonts w:hint="eastAsia"/>
        </w:rPr>
        <w:sectPr>
          <w:pgSz w:w="11906" w:h="16838"/>
          <w:pgMar w:top="1440" w:right="1800" w:bottom="1440" w:left="1800" w:header="851" w:footer="992" w:gutter="0"/>
          <w:cols w:space="425" w:num="1"/>
          <w:docGrid w:type="lines" w:linePitch="312" w:charSpace="0"/>
        </w:sectPr>
      </w:pPr>
      <w:bookmarkStart w:id="201" w:name="_Toc493512670"/>
    </w:p>
    <w:p>
      <w:pPr>
        <w:pStyle w:val="10"/>
        <w:numPr>
          <w:ilvl w:val="0"/>
          <w:numId w:val="3"/>
        </w:numPr>
        <w:rPr>
          <w:rFonts w:ascii="黑体" w:hAnsi="黑体" w:eastAsia="黑体" w:cs="黑体"/>
          <w:kern w:val="0"/>
          <w:sz w:val="28"/>
          <w:szCs w:val="28"/>
          <w:lang w:bidi="ar"/>
        </w:rPr>
      </w:pPr>
      <w:r>
        <w:rPr>
          <w:rFonts w:hint="eastAsia" w:ascii="黑体" w:hAnsi="黑体" w:eastAsia="黑体" w:cs="黑体"/>
          <w:kern w:val="0"/>
          <w:sz w:val="28"/>
          <w:szCs w:val="28"/>
          <w:lang w:bidi="ar"/>
        </w:rPr>
        <w:t>平安校园建设需求及技术参数</w:t>
      </w:r>
    </w:p>
    <w:p>
      <w:pPr>
        <w:pStyle w:val="10"/>
        <w:tabs>
          <w:tab w:val="left" w:pos="312"/>
        </w:tabs>
        <w:jc w:val="right"/>
      </w:pPr>
      <w:r>
        <w:rPr>
          <w:rFonts w:hint="eastAsia" w:ascii="仿宋_GB2312" w:hAnsi="仿宋_GB2312" w:eastAsia="仿宋_GB2312" w:cs="仿宋_GB2312"/>
          <w:b/>
          <w:bCs/>
          <w:kern w:val="0"/>
          <w:sz w:val="28"/>
          <w:szCs w:val="28"/>
          <w:lang w:bidi="ar"/>
        </w:rPr>
        <w:t>预算：1</w:t>
      </w:r>
      <w:r>
        <w:rPr>
          <w:rFonts w:hint="eastAsia" w:ascii="仿宋_GB2312" w:hAnsi="仿宋_GB2312" w:eastAsia="仿宋_GB2312" w:cs="仿宋_GB2312"/>
          <w:b/>
          <w:bCs/>
          <w:kern w:val="0"/>
          <w:sz w:val="28"/>
          <w:szCs w:val="28"/>
          <w:lang w:val="en-US" w:eastAsia="zh-CN" w:bidi="ar"/>
        </w:rPr>
        <w:t>92</w:t>
      </w:r>
      <w:r>
        <w:rPr>
          <w:rFonts w:hint="eastAsia" w:ascii="仿宋_GB2312" w:hAnsi="仿宋_GB2312" w:eastAsia="仿宋_GB2312" w:cs="仿宋_GB2312"/>
          <w:b/>
          <w:bCs/>
          <w:kern w:val="0"/>
          <w:sz w:val="28"/>
          <w:szCs w:val="28"/>
          <w:lang w:bidi="ar"/>
        </w:rPr>
        <w:t>万元</w:t>
      </w:r>
    </w:p>
    <w:p>
      <w:pPr>
        <w:numPr>
          <w:ilvl w:val="0"/>
          <w:numId w:val="4"/>
        </w:numPr>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视频监控（所有设备原厂三年质保）</w:t>
      </w:r>
    </w:p>
    <w:tbl>
      <w:tblPr>
        <w:tblStyle w:val="16"/>
        <w:tblW w:w="4996" w:type="pct"/>
        <w:tblInd w:w="0" w:type="dxa"/>
        <w:tblLayout w:type="fixed"/>
        <w:tblCellMar>
          <w:top w:w="0" w:type="dxa"/>
          <w:left w:w="108" w:type="dxa"/>
          <w:bottom w:w="0" w:type="dxa"/>
          <w:right w:w="108" w:type="dxa"/>
        </w:tblCellMar>
      </w:tblPr>
      <w:tblGrid>
        <w:gridCol w:w="455"/>
        <w:gridCol w:w="1788"/>
        <w:gridCol w:w="10234"/>
        <w:gridCol w:w="830"/>
        <w:gridCol w:w="856"/>
      </w:tblGrid>
      <w:tr>
        <w:tblPrEx>
          <w:tblCellMar>
            <w:top w:w="0" w:type="dxa"/>
            <w:left w:w="108" w:type="dxa"/>
            <w:bottom w:w="0" w:type="dxa"/>
            <w:right w:w="108" w:type="dxa"/>
          </w:tblCellMar>
        </w:tblPrEx>
        <w:trPr>
          <w:trHeight w:val="31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产品名称</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技术参数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教室监控</w:t>
            </w:r>
          </w:p>
        </w:tc>
      </w:tr>
      <w:tr>
        <w:tblPrEx>
          <w:tblCellMar>
            <w:top w:w="0" w:type="dxa"/>
            <w:left w:w="108" w:type="dxa"/>
            <w:bottom w:w="0" w:type="dxa"/>
            <w:right w:w="108" w:type="dxa"/>
          </w:tblCellMar>
        </w:tblPrEx>
        <w:trPr>
          <w:trHeight w:val="259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室内半球</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≥200万像素 为1/2.7" CMOS 红外阵列摄像机；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2.海螺型高清半球摄像机(带拾音器)，视频分辨率和帧率≥1920x1080、25帧/秒，视频压缩标准需支持H.265和H.264，支持水平、垂直、旋转三轴调节；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摄像机能够在-30~60摄氏度，湿度小于93%环境下稳定工作；</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4.信噪比不小于55dB；</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5.字符叠加(OSD)功能支持在视频图像上叠加字符，字符可选择项包括通道名称、时间、日期等，字体、颜色、位置、闪烁、滚动效果可设置；</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 xml:space="preserve">6. 具有≥1个网口，支持POE供电，≥1个DC12V电源输出接口，支持≥25米红外补光，防护等级不低于IP66。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r>
      <w:tr>
        <w:tblPrEx>
          <w:tblCellMar>
            <w:top w:w="0" w:type="dxa"/>
            <w:left w:w="108" w:type="dxa"/>
            <w:bottom w:w="0" w:type="dxa"/>
            <w:right w:w="108" w:type="dxa"/>
          </w:tblCellMar>
        </w:tblPrEx>
        <w:trPr>
          <w:trHeight w:val="57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摄像机电源</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DC12V电源适配器；颜色: 白色；安装方式: 壁挂式；输入规格: AC170V~240V，50/60Hz，0.7A；输出规格: DC12V/2A</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室外监控</w:t>
            </w:r>
          </w:p>
        </w:tc>
      </w:tr>
      <w:tr>
        <w:tblPrEx>
          <w:tblCellMar>
            <w:top w:w="0" w:type="dxa"/>
            <w:left w:w="108" w:type="dxa"/>
            <w:bottom w:w="0" w:type="dxa"/>
            <w:right w:w="108" w:type="dxa"/>
          </w:tblCellMar>
        </w:tblPrEx>
        <w:trPr>
          <w:trHeight w:val="90"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全景摄像机</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枪球一体机，可输出全景和细节两路视频图像，全景视频图像内置≥2个镜头，细节视频图像内置≥1个镜头，内置2颗GPU芯片，全景通道和细节通道均有独立的补光灯；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全景视频分辨率和帧率≥3840×1080@25fps，细节视频分辨率和帧率≥2560x1440@25fps，最低照度彩色≤0.0005lx，黑白≤0.0001lx；</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细节镜头传感器靶面尺寸需≥1/1.9英寸，支持≥25倍光学变倍，最大焦距≥145mm，支持水平及垂直电动旋转，支持水平360°连续旋转，垂直旋转范围≥90°，支持自动翻转；</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支持人脸人体车辆同时抓拍，人脸人体关联输出，支持对人脸、人体、车辆结构化属性特征信息提，支持全景、细节关联跟踪；</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全景通道可输出两个镜头无缝拼接的全景图像，拼接偏差像素≤4个像素，全景画面水平视场角≥185°，全景通道支持垂直旋转，旋转范围≥10°可调；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 具备AR标签管理功能，可对监控区域的常规点位、卡口点位、人脸点位、重点道路、重点场所等进行标签标注，最多可添加≥500个标签，当云台明显抖动、转动、或进行镜头变倍时，标签应跟随标定的目标物移动，并在画面中与目标物保持相对静止；</w:t>
            </w:r>
            <w:r>
              <w:rPr>
                <w:rFonts w:hint="eastAsia" w:ascii="仿宋" w:hAnsi="仿宋" w:eastAsia="仿宋" w:cs="仿宋"/>
                <w:b/>
                <w:bCs/>
                <w:color w:val="000000"/>
                <w:kern w:val="0"/>
                <w:sz w:val="22"/>
                <w:szCs w:val="22"/>
                <w:lang w:bidi="ar"/>
              </w:rPr>
              <w:t>（需提供权威机构检测报告复印件证明）</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 支持添加≥20个物体标签，可开启或关闭标签显示功能，显示透明度可配置，添加的物体标签可在全景和细节画面中显示，细节画面的标签不会跟随云台的旋转而发生偏移；（</w:t>
            </w:r>
            <w:r>
              <w:rPr>
                <w:rFonts w:hint="eastAsia" w:ascii="仿宋" w:hAnsi="仿宋" w:eastAsia="仿宋" w:cs="仿宋"/>
                <w:b/>
                <w:bCs/>
                <w:color w:val="000000"/>
                <w:kern w:val="0"/>
                <w:sz w:val="22"/>
                <w:szCs w:val="22"/>
                <w:lang w:bidi="ar"/>
              </w:rPr>
              <w:t>需提供公安部检验报告复印件证明</w:t>
            </w:r>
            <w:r>
              <w:rPr>
                <w:rFonts w:hint="eastAsia" w:ascii="仿宋" w:hAnsi="仿宋" w:eastAsia="仿宋" w:cs="仿宋"/>
                <w:color w:val="000000"/>
                <w:kern w:val="0"/>
                <w:sz w:val="22"/>
                <w:szCs w:val="22"/>
                <w:lang w:bidi="ar"/>
              </w:rPr>
              <w:t>）。</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57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全景摄像机支架</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摄像机适配长壁装支架材质铝合金</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158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球形摄像机</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枪球一体机，可输出全景和细节两路视频图像，全景视频图像内置≥2个镜头，细节视频图像内置≥1个镜头，内置不少于2颗GPU芯片，全景通道和细节通道均有独立的补光灯；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全景视频分辨率和帧率≥3840×1080@25fps，细节视频分辨率和帧率≥1920x1080@25fps，最低照度彩色≤0.005lx，黑白≤0.001lx；</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细节镜头支持≥30倍光学变倍，最大焦距≥185mm，支持水平及垂直电动旋转，支持水平360°连续旋转，垂直旋转范围≥90°，支持自动翻转；</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需支持深度学习算法，支持人车分类侦测、报警、联动跟踪；支持区域入侵侦测、越界侦测、进入区域侦测和离开区域侦等智能侦测并联动跟踪；</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全景通道可输出两个镜头无缝拼接的全景图像，拼接偏差像素≤5个像素，全景画面水平视场角≥180°；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 支持全景拼接效果调整，可以调整拼接距离，支持两个画面的偏色、曝光同步，支持产线矫正和现场矫正；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 支持定位联动功能，在全景视频图像中点击或者框选任意区域后，细节视频图像可将该区域处于视频图像中央，标定点数量不小于6个，且标定用时不大于1s；</w:t>
            </w:r>
            <w:r>
              <w:rPr>
                <w:rFonts w:hint="eastAsia" w:ascii="仿宋" w:hAnsi="仿宋" w:eastAsia="仿宋" w:cs="仿宋"/>
                <w:b/>
                <w:bCs/>
                <w:color w:val="000000"/>
                <w:kern w:val="0"/>
                <w:sz w:val="22"/>
                <w:szCs w:val="22"/>
                <w:lang w:bidi="ar"/>
              </w:rPr>
              <w:t>（需提供公安部检验报告复印件证明）</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8. 支持对镜头前盖玻璃加热，支持自动聚焦功能，支持手动变倍及调节焦距；</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9. 支持网关ARP绑定，支持轻存储功能，可设置不少于3个质量等级和存储时间，根据不同的存储空间和质量等级显示存储时间；</w:t>
            </w:r>
            <w:r>
              <w:rPr>
                <w:rFonts w:hint="eastAsia" w:ascii="仿宋" w:hAnsi="仿宋" w:eastAsia="仿宋" w:cs="仿宋"/>
                <w:b/>
                <w:bCs/>
                <w:color w:val="000000"/>
                <w:kern w:val="0"/>
                <w:sz w:val="22"/>
                <w:szCs w:val="22"/>
                <w:lang w:bidi="ar"/>
              </w:rPr>
              <w:t>（需提供权威机构检测报告复印件证明）</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10. 具有≥1对音频输入/输出接口、≥1对报警输入/输出、≥1个存储卡接口，全景通道补光距离≥30米，细节通道补光距离≥150米，工作温度范围≥-30℃-65℃，防水防尘等级≥IP66。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r>
      <w:tr>
        <w:tblPrEx>
          <w:tblCellMar>
            <w:top w:w="0" w:type="dxa"/>
            <w:left w:w="108" w:type="dxa"/>
            <w:bottom w:w="0" w:type="dxa"/>
            <w:right w:w="108" w:type="dxa"/>
          </w:tblCellMar>
        </w:tblPrEx>
        <w:trPr>
          <w:trHeight w:val="57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球形摄像机支架</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摄像机适配壁装支架材质铝合金</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车辆道闸</w:t>
            </w:r>
          </w:p>
        </w:tc>
      </w:tr>
      <w:tr>
        <w:tblPrEx>
          <w:tblCellMar>
            <w:top w:w="0" w:type="dxa"/>
            <w:left w:w="108" w:type="dxa"/>
            <w:bottom w:w="0" w:type="dxa"/>
            <w:right w:w="108" w:type="dxa"/>
          </w:tblCellMar>
        </w:tblPrEx>
        <w:trPr>
          <w:trHeight w:val="452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抓拍显示一体机</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1.需支持400万像素高清摄像机 ，具有LED显示屏，抓拍机1/3" Progressive Scan CMOS，最低照度：彩色≥0.022lx (F2.0,AGC ON)，黑白≥0.011lx(F2.0,AGC ON)，镜头：3.1~6mm电动变焦镜头</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2.集摄像机、LCD显示屏、LED补光灯、镜头、拾音器、喇叭功放于一体；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3.支持智能化视频检测抓拍，实现机动车精准抓拍识别 ，支持跟车不落杆，实现快速通行 ；</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4.机箱表面采用抗紫外线静电喷塑工艺，不起皮，不褪色，防尘防水等级符合室外设备IP54级别要求；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车牌识别功能：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w:t>
            </w:r>
            <w:r>
              <w:rPr>
                <w:rFonts w:hint="eastAsia" w:ascii="仿宋" w:hAnsi="仿宋" w:eastAsia="仿宋" w:cs="仿宋"/>
                <w:b/>
                <w:bCs/>
                <w:color w:val="000000"/>
                <w:kern w:val="0"/>
                <w:sz w:val="22"/>
                <w:szCs w:val="22"/>
                <w:lang w:bidi="ar"/>
              </w:rPr>
              <w:t>（需提供权威机构检测报告复印件证明）</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6. 三码流输出功能。三码流同时输出可达到：主码流：分辨率1920×1200，帧率为25帧/s，码率为4Mbps;第一辅码流：分辨率1920×1200，帧率为25帧/s，码率为4Mbps;第二辅码流：分辨率1920×1200，帧率为25帧/s，码率为4Mbps；</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机动车车牌识别准确率：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仿宋" w:hAnsi="仿宋" w:eastAsia="仿宋" w:cs="仿宋"/>
                <w:b/>
                <w:bCs/>
                <w:color w:val="000000"/>
                <w:kern w:val="0"/>
                <w:sz w:val="22"/>
                <w:szCs w:val="22"/>
                <w:lang w:bidi="ar"/>
              </w:rPr>
              <w:t>（需提供公安部检验报告复印件证明）</w:t>
            </w:r>
            <w:r>
              <w:rPr>
                <w:rFonts w:hint="eastAsia" w:ascii="仿宋" w:hAnsi="仿宋" w:eastAsia="仿宋" w:cs="仿宋"/>
                <w:color w:val="000000"/>
                <w:kern w:val="0"/>
                <w:sz w:val="22"/>
                <w:szCs w:val="22"/>
                <w:lang w:bidi="ar"/>
              </w:rPr>
              <w:t>；</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r>
      <w:tr>
        <w:tblPrEx>
          <w:tblCellMar>
            <w:top w:w="0" w:type="dxa"/>
            <w:left w:w="108" w:type="dxa"/>
            <w:bottom w:w="0" w:type="dxa"/>
            <w:right w:w="108" w:type="dxa"/>
          </w:tblCellMar>
        </w:tblPrEx>
        <w:trPr>
          <w:trHeight w:val="201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格栅闸</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1.道闸类型：栅栏道闸方向：右向/左向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2.道闸杆长：根据现场情况定制,运行速度：3秒</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3.机箱材质：冷轧钢,遥控距离：≥30m</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4.输入电压：220VAC+10%,电机驱动：交流电机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5.电机功率：90W,功能特性：支持外接红绿灯警示、外接红外保护、外接地感功能，支持青海极端天气</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6.与抓拍机道闸终端抓拍机同一品牌保证系统稳定</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2304"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出入口控制终端</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1.需为车辆道闸控制终端，处理器：Intel Bay Trail平台处理器</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2.内存：≥4GB，标配不小于128G SSD</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3.显示器分辨率不小于：1920×1080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4.功耗：峰值≥60W，平均≥35W</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5.工作环境：工作环境温度:0 ℃～40 ℃；、工作湿度10%～95%</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6.功能特性：无风扇设计，集成交换机、485接口、报警4进4出、视频HDMI接口，≥22寸1080p显示屏，配置键鼠套件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7.内置停车场管理软件与校园管理平台无缝对接</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人员通道-宿舍</w:t>
            </w:r>
          </w:p>
        </w:tc>
      </w:tr>
      <w:tr>
        <w:tblPrEx>
          <w:tblCellMar>
            <w:top w:w="0" w:type="dxa"/>
            <w:left w:w="108" w:type="dxa"/>
            <w:bottom w:w="0" w:type="dxa"/>
            <w:right w:w="108" w:type="dxa"/>
          </w:tblCellMar>
        </w:tblPrEx>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通用翼闸中间机</w:t>
            </w:r>
          </w:p>
        </w:tc>
        <w:tc>
          <w:tcPr>
            <w:tcW w:w="3613"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设备集成门禁主控板，以扩展人脸识别组件、读卡器、二维码、指纹等多种认证方式,设备容量：支持6万张普通卡、3千张来宾卡、15万条事件记录,闸机通道采用厚度不低于1.2mm的不锈钢板材；设备机身外壳的人员通行检测部分、指示部分应满足IK04的要求，其他表面应满足IK07的要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2.设备外壳采用镀膜方式，防止人员高温烫伤；设备的拦挡部分在运动过程中，通道拦挡部分运行区域有人时，拦挡部分应停止运动或自由运行到允许通行状态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3.闸机通道外壳防护等级应达到IPX4的要求，可稳定运行于室外场景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4.闸机通道应具备应急放行的功能，设备在断电或者发生故障后能处于无拦挡状态</w:t>
            </w:r>
            <w:r>
              <w:rPr>
                <w:rFonts w:hint="eastAsia" w:ascii="仿宋" w:hAnsi="仿宋" w:eastAsia="仿宋" w:cs="仿宋"/>
                <w:b/>
                <w:bCs/>
                <w:color w:val="000000"/>
                <w:kern w:val="0"/>
                <w:sz w:val="22"/>
                <w:szCs w:val="22"/>
                <w:lang w:bidi="ar"/>
              </w:rPr>
              <w:t>（需提供公安部检验报告复印件证明）</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5.闸机通道应支持防尾随功能，在通道中同时通行人数超过其允许通行的人数时会有报警警示；最小检测距离不大于100mm</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6.闸机通道工作瞬间最大噪声声压不大于80dB(A)，持续噪声声压不大于60dB(A)</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7.闸机通道通道环境适应性应支持工作温度-25℃~＋70℃、湿热+40℃ RH93%的要求</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r>
      <w:tr>
        <w:tblPrEx>
          <w:tblCellMar>
            <w:top w:w="0" w:type="dxa"/>
            <w:left w:w="108" w:type="dxa"/>
            <w:bottom w:w="0" w:type="dxa"/>
            <w:right w:w="108" w:type="dxa"/>
          </w:tblCellMar>
        </w:tblPrEx>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通用翼闸左边机</w:t>
            </w:r>
          </w:p>
        </w:tc>
        <w:tc>
          <w:tcPr>
            <w:tcW w:w="3613"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r>
      <w:tr>
        <w:tblPrEx>
          <w:tblCellMar>
            <w:top w:w="0" w:type="dxa"/>
            <w:left w:w="108" w:type="dxa"/>
            <w:bottom w:w="0" w:type="dxa"/>
            <w:right w:w="108" w:type="dxa"/>
          </w:tblCellMar>
        </w:tblPrEx>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通用翼闸右边机</w:t>
            </w:r>
          </w:p>
        </w:tc>
        <w:tc>
          <w:tcPr>
            <w:tcW w:w="3613"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r>
      <w:tr>
        <w:tblPrEx>
          <w:tblCellMar>
            <w:top w:w="0" w:type="dxa"/>
            <w:left w:w="108" w:type="dxa"/>
            <w:bottom w:w="0" w:type="dxa"/>
            <w:right w:w="108" w:type="dxa"/>
          </w:tblCellMar>
        </w:tblPrEx>
        <w:trPr>
          <w:trHeight w:val="864"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人员通道遥控器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1.遥控器支持一对多：一个遥控器可以同时控制最多6个通道，一个通道最多支持32个遥控器，空旷条件下遥控距离可达30m。</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2.遥控器包含4个按键：进开门、关门、出开门、常开</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r>
      <w:tr>
        <w:tblPrEx>
          <w:tblCellMar>
            <w:top w:w="0" w:type="dxa"/>
            <w:left w:w="108" w:type="dxa"/>
            <w:bottom w:w="0" w:type="dxa"/>
            <w:right w:w="108" w:type="dxa"/>
          </w:tblCellMar>
        </w:tblPrEx>
        <w:trPr>
          <w:trHeight w:val="864"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刷卡读卡器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1.可读取二/三代居民身份证、港澳台居民居住证、外国人永久居留身份证的信息；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2.兼容ISO 14443-A标准，可识别Mifare卡和CPU卡序列2号；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3.通信接口：USB2.0接口</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r>
      <w:tr>
        <w:tblPrEx>
          <w:tblCellMar>
            <w:top w:w="0" w:type="dxa"/>
            <w:left w:w="108" w:type="dxa"/>
            <w:bottom w:w="0" w:type="dxa"/>
            <w:right w:w="108" w:type="dxa"/>
          </w:tblCellMar>
        </w:tblPrEx>
        <w:trPr>
          <w:trHeight w:val="4320"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测温+人脸识别产品</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测温人脸识别组件，设备采用≥7英寸LCD触摸显示屏，屏幕分辨率≥1024*600，可显示软件界面及操作提示，设备实时检测最大人脸，具有人脸框提示设计，方便用户校准。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采用高清双目宽动态相机（1个可见光摄像头+1个红外摄像头），最大分辨率≥1920×1080， 帧率≥30帧/s，适应强光、逆光、弱光等条件下的人脸识别，支持通过人脸及人体测光，快速调节图像亮度；</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采用热成像测温，分辨率≥120*160，支持热成像图像预览；支持垂直方向 0.3～1.5m 距离范围内非接触式自动人体测温；</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支持自动准确定位并检测人脸额头温度，无需用户配合；支持人员身份核验及测温，支持上传中心管理平台，实现一人一温一档记录；支持快速测温模式，不需要注册人员信息即应实现测温业务，并能配置开门授权；</w:t>
            </w:r>
            <w:r>
              <w:rPr>
                <w:rFonts w:hint="eastAsia" w:ascii="仿宋" w:hAnsi="仿宋" w:eastAsia="仿宋" w:cs="仿宋"/>
                <w:b/>
                <w:bCs/>
                <w:color w:val="000000"/>
                <w:kern w:val="0"/>
                <w:sz w:val="22"/>
                <w:szCs w:val="22"/>
                <w:lang w:bidi="ar"/>
              </w:rPr>
              <w:t>（需提供公安部所属检验机构出具的检测报告复印件）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接口：≥1个RS485、≥1个wiegand 、≥2个USB、≥1个门磁、≥1个开门按钮、≥1个电锁、≥2个报警输入、≥1个报警输出；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 无缝安装人员通道，配合平台实现与智慧校园无缝对接；</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r>
      <w:tr>
        <w:tblPrEx>
          <w:tblCellMar>
            <w:top w:w="0" w:type="dxa"/>
            <w:left w:w="108" w:type="dxa"/>
            <w:bottom w:w="0" w:type="dxa"/>
            <w:right w:w="108" w:type="dxa"/>
          </w:tblCellMar>
        </w:tblPrEx>
        <w:trPr>
          <w:trHeight w:val="4608"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人脸识别产品</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人脸识别通道组件，设备采用≥7英寸LCD触摸显示屏，屏幕分辨率≥1024*600，可显示软件界面及操作提示，设备实时检测最大人脸，具有人脸框提示设计，方便用户校准。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具有≥2个摄像头（1个可见光摄像头+1个红外摄像头），最大分辨率≥1920×1080， 帧率≥30帧/s，适应强光、逆光、弱光等条件下的人脸识别，支持通过人脸及人体测光，快速调节图像亮度</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支持人脸识别、刷卡、二维码、密码认证方式； 支持上述任意一种、任意两组组合、任意三组组合的认证开门； 支持普通卡、来宾卡、胁迫卡、超级卡、残疾人卡、巡更卡、黑名单卡等多种类型用户权限设置 支持按时间分时段管控门禁权限，支持255组时段计划模板，支持1024个假日计划管理；</w:t>
            </w:r>
            <w:r>
              <w:rPr>
                <w:rFonts w:hint="eastAsia" w:ascii="仿宋" w:hAnsi="仿宋" w:eastAsia="仿宋" w:cs="仿宋"/>
                <w:b/>
                <w:bCs/>
                <w:color w:val="000000"/>
                <w:kern w:val="0"/>
                <w:sz w:val="22"/>
                <w:szCs w:val="22"/>
                <w:lang w:bidi="ar"/>
              </w:rPr>
              <w:t>（需提供权威机构检测报告复印件证明）</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4. 支持局域网、互联网环境的网络通信，支持选择无线网络通信传输方式，支持云平台通信，实现视频、对讲及权限管控功能，支持被≥4个客户端软件同时实时监听，在线状态下实时上传比对记录；</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 xml:space="preserve">5. </w:t>
            </w:r>
            <w:r>
              <w:rPr>
                <w:rFonts w:hint="eastAsia" w:ascii="仿宋" w:hAnsi="仿宋" w:eastAsia="仿宋" w:cs="仿宋"/>
                <w:b/>
                <w:bCs/>
                <w:color w:val="000000"/>
                <w:kern w:val="0"/>
                <w:sz w:val="22"/>
                <w:szCs w:val="22"/>
                <w:lang w:bidi="ar"/>
              </w:rPr>
              <w:t xml:space="preserve">无缝安装人员通道，配合平台实现与智慧校园无缝对接； </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6. 支持NTP校时、手动校时、自动校时功能</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r>
      <w:tr>
        <w:tblPrEx>
          <w:tblCellMar>
            <w:top w:w="0" w:type="dxa"/>
            <w:left w:w="108" w:type="dxa"/>
            <w:bottom w:w="0" w:type="dxa"/>
            <w:right w:w="108" w:type="dxa"/>
          </w:tblCellMar>
        </w:tblPrEx>
        <w:trPr>
          <w:trHeight w:val="115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通道交换机</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1.人员通道交换机，提供不小于5个千兆电口。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2.支持IEEE 802.3、IEEE 802.3u、IEEE 802.3x。</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3.线速转发、无阻塞设计。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4.存储转发交换方式，支持端口管理。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r>
      <w:tr>
        <w:tblPrEx>
          <w:tblCellMar>
            <w:top w:w="0" w:type="dxa"/>
            <w:left w:w="108" w:type="dxa"/>
            <w:bottom w:w="0" w:type="dxa"/>
            <w:right w:w="108" w:type="dxa"/>
          </w:tblCellMar>
        </w:tblPrEx>
        <w:trPr>
          <w:trHeight w:val="965"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人脸自助采集终端</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1.校园人脸自助采集设备无缝对接校园管理平台进行校园人脸采集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2.需具有不低于Android  7.1.2的操作系统，内置人脸采集软件；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3.设备外观：采用≥10.1英寸LCD触摸显示屏，≥200万像素双目宽动态摄像头，面部识别距离0.3m-1.5m，支持照片视频防假；</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4.设备接口：LAN*1、RS485*1、RS232*1、USB*2、HDMI*1；</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5.支持在线采集和离线采集两种采集方案；</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6.支持有人员模式采集（默认）和无人员模式采集（需配置）两种采集模式；</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7.支持刷身份证、刷IC卡和手动输入学工号三种采集方式，支持开启/关闭隐私声明功能；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8.支持通过导出/导入（txt格式），自定义配置隐私协议内容；</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9.支持采集后手动二次确认/重新采集，点击确认后数据再上传平台；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人员通道-校门口</w:t>
            </w:r>
          </w:p>
        </w:tc>
      </w:tr>
      <w:tr>
        <w:tblPrEx>
          <w:tblCellMar>
            <w:top w:w="0" w:type="dxa"/>
            <w:left w:w="108" w:type="dxa"/>
            <w:bottom w:w="0" w:type="dxa"/>
            <w:right w:w="108" w:type="dxa"/>
          </w:tblCellMar>
        </w:tblPrEx>
        <w:trPr>
          <w:trHeight w:val="3168"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通用翼闸中间机</w:t>
            </w:r>
          </w:p>
        </w:tc>
        <w:tc>
          <w:tcPr>
            <w:tcW w:w="3613"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lang w:bidi="ar"/>
              </w:rPr>
              <w:t>1.设备集成门禁主控板，以扩展人脸识别组件、读卡器、二维码、指纹等多种认证方式,设备容量：支持6万张普通卡、3千张来宾卡、15万条事件记录,闸机通道采用厚度不低于1.2mm的不锈钢板材；设备机身外壳的人员通行检测部分、指示部分应满足IK04的要求，其他表面应满足IK07的要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2.设备外壳采用镀膜方式，防止人员高温烫伤；设备的拦挡部分在运动过程中，通道拦挡部分运行区域有人时，拦挡部分应停止运动或自由运行到允许通行状态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w:t>
            </w:r>
            <w:r>
              <w:rPr>
                <w:rFonts w:hint="eastAsia" w:ascii="仿宋" w:hAnsi="仿宋" w:eastAsia="仿宋" w:cs="仿宋"/>
                <w:color w:val="000000"/>
                <w:kern w:val="0"/>
                <w:sz w:val="22"/>
                <w:szCs w:val="22"/>
                <w:highlight w:val="none"/>
                <w:lang w:bidi="ar"/>
              </w:rPr>
              <w:t>.闸机通道外壳防护等级应达到IPX4的要求，可稳定运行于室外场景</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4.闸机通道应具备应急放行的功能，设备在断电或者发生故障后能处于无拦挡状态。</w:t>
            </w:r>
            <w:r>
              <w:rPr>
                <w:rFonts w:hint="eastAsia" w:ascii="仿宋" w:hAnsi="仿宋" w:eastAsia="仿宋" w:cs="仿宋"/>
                <w:b/>
                <w:bCs/>
                <w:color w:val="000000"/>
                <w:kern w:val="0"/>
                <w:sz w:val="22"/>
                <w:szCs w:val="22"/>
                <w:highlight w:val="none"/>
                <w:lang w:bidi="ar"/>
              </w:rPr>
              <w:t>（需提供公安部检验报告复印件证明）</w:t>
            </w:r>
          </w:p>
          <w:p>
            <w:pPr>
              <w:widowControl/>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5.闸机通道应支持防尾随功能，在通道中同时通行人数超过其允许通行的人数时会有报警警示；最小检测距离不大于100mm</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6.闸机通道工作瞬间最大噪声声压不大于80dB(A)，持续噪声声压不大于60dB(A)</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7.闸机通道通道环境适应性应支持工作温度-25℃~＋70℃、湿热+40℃ RH93%的要求</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57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通用翼闸左边机</w:t>
            </w:r>
          </w:p>
        </w:tc>
        <w:tc>
          <w:tcPr>
            <w:tcW w:w="3613"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288"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通用翼闸右边机</w:t>
            </w:r>
          </w:p>
        </w:tc>
        <w:tc>
          <w:tcPr>
            <w:tcW w:w="3613"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319" w:hRule="atLeast"/>
        </w:trPr>
        <w:tc>
          <w:tcPr>
            <w:tcW w:w="1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人员通道遥控器</w:t>
            </w:r>
          </w:p>
        </w:tc>
        <w:tc>
          <w:tcPr>
            <w:tcW w:w="3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1.遥控器支持一对多：一个遥控器可以同时控制最多6个通道，一个通道最多支持32个遥控器，空旷条件下遥控距离可达30m。</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2.遥控器包含4个按键：进开门、关门、出开门、常开</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319" w:hRule="atLeast"/>
        </w:trPr>
        <w:tc>
          <w:tcPr>
            <w:tcW w:w="1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2"/>
                <w:szCs w:val="22"/>
              </w:rPr>
            </w:pPr>
          </w:p>
        </w:tc>
        <w:tc>
          <w:tcPr>
            <w:tcW w:w="3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2"/>
                <w:szCs w:val="22"/>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864"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刷卡读卡器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1.可读取二/三代居民身份证、港澳台居民居住证、外国人永久居留身份证的信息；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2.兼容ISO 14443-A标准，可识别Mifare卡和CPU卡序列2号；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3.通信接口：USB2.0接口；</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r>
      <w:tr>
        <w:tblPrEx>
          <w:tblCellMar>
            <w:top w:w="0" w:type="dxa"/>
            <w:left w:w="108" w:type="dxa"/>
            <w:bottom w:w="0" w:type="dxa"/>
            <w:right w:w="108" w:type="dxa"/>
          </w:tblCellMar>
        </w:tblPrEx>
        <w:trPr>
          <w:trHeight w:val="403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测温+人脸识别产品</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测温人脸识别组件，设备采用≥7英寸LCD触摸显示屏，屏幕分辨率≥1024*600，可显示软件界面及操作提示，设备实时检测最大人脸，具有人脸框提示设计，方便用户校准。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采用高清双目宽动态相机（1个可见光摄像头+1个红外摄像头），最大分辨率≥1920×1080， 帧率≥30帧/s，适应强光、逆光、弱光等条件下的人脸识别，支持通过人脸及人体测光，快速调节图像亮度；</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采用热成像测温，分辨率≥120*160，支持热成像图像预览；支持垂直方向 0.3～1.5m 距离范围内非接触式自动人体测温；</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支持自动准确定位并检测人脸额头温度，无需用户配合；支持人员身份核验及测温，支持上传中心管理平台，实现一人一温一档记录；支持快速测温模式，不需要注册人员信息即应实现测温业务，并能配置开门授权；</w:t>
            </w:r>
            <w:r>
              <w:rPr>
                <w:rFonts w:hint="eastAsia" w:ascii="仿宋" w:hAnsi="仿宋" w:eastAsia="仿宋" w:cs="仿宋"/>
                <w:b/>
                <w:bCs/>
                <w:color w:val="000000"/>
                <w:kern w:val="0"/>
                <w:sz w:val="22"/>
                <w:szCs w:val="22"/>
                <w:highlight w:val="none"/>
                <w:lang w:bidi="ar"/>
              </w:rPr>
              <w:t>（需提供公安部所属检验机构出具的检测报告复印件）</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lang w:bidi="ar"/>
              </w:rPr>
              <w:t>5.  接口：≥1个RS485、≥1个wiegand 、≥2个USB、≥1个门磁、≥1个开门按钮、≥1个电锁、≥2个报警输入、≥1个报警输出；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 xml:space="preserve">6. </w:t>
            </w:r>
            <w:r>
              <w:rPr>
                <w:rFonts w:hint="eastAsia" w:ascii="仿宋" w:hAnsi="仿宋" w:eastAsia="仿宋" w:cs="仿宋"/>
                <w:b/>
                <w:bCs/>
                <w:color w:val="000000"/>
                <w:kern w:val="0"/>
                <w:sz w:val="22"/>
                <w:szCs w:val="22"/>
                <w:lang w:bidi="ar"/>
              </w:rPr>
              <w:t>无缝安装人员通道，配合平台实现与智慧校园无缝对接；</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r>
      <w:tr>
        <w:tblPrEx>
          <w:tblCellMar>
            <w:top w:w="0" w:type="dxa"/>
            <w:left w:w="108" w:type="dxa"/>
            <w:bottom w:w="0" w:type="dxa"/>
            <w:right w:w="108" w:type="dxa"/>
          </w:tblCellMar>
        </w:tblPrEx>
        <w:trPr>
          <w:trHeight w:val="3457"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人脸识别产品</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1.人脸识别通道组件，设备采用≥7英寸LCD触摸显示屏，屏幕分辨率≥1024*600，可显示软件界面及操作提示，设备实时检测最大人脸，具有人脸框提示设计，方便用户校准。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具有≥2个摄像头（1个可见光摄像头+1个红外摄像头），最大分辨率≥1920×1080， 帧率≥30帧/s，适应强光、逆光、弱光等条件下的人脸识别，支持通过人脸及人体测光，快速调节图像亮度</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支持人脸识别、刷卡、二维码、密码认证方式； 支持上述任意一种、任意两组组合、任意三组组合的认证开门； 支持普通卡、来宾卡、胁迫卡、超级卡、残疾人卡、巡更卡、黑名单卡等多种类型用户权限设置 支持按时间分时段管控门禁权限，支持255组时段计划模板，支持1024个假日计划管理；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支持局域网、互联网环境的网络通信，支持选择无线网络通信传输方式，支持云平台通信，实现视频、对讲及权限管控功能，支持被≥4个客户端软件同时实时监听，在线状态下实时上传比对记录；</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无缝安装人员通道，配合平台实现与智慧校园无缝对接；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 支持NTP校时、手动校时、自动校时功能</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r>
      <w:tr>
        <w:tblPrEx>
          <w:tblCellMar>
            <w:top w:w="0" w:type="dxa"/>
            <w:left w:w="108" w:type="dxa"/>
            <w:bottom w:w="0" w:type="dxa"/>
            <w:right w:w="108" w:type="dxa"/>
          </w:tblCellMar>
        </w:tblPrEx>
        <w:trPr>
          <w:trHeight w:val="115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通道交换机</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1.人员通道交换机，提供不小于5个千兆电口。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2.支持IEEE 802.3、IEEE 802.3u、IEEE 802.3x。</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3.线速转发、无阻塞设计。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4.存储转发交换方式，支持端口管理。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智慧校园中心</w:t>
            </w:r>
          </w:p>
        </w:tc>
      </w:tr>
      <w:tr>
        <w:tblPrEx>
          <w:tblCellMar>
            <w:top w:w="0" w:type="dxa"/>
            <w:left w:w="108" w:type="dxa"/>
            <w:bottom w:w="0" w:type="dxa"/>
            <w:right w:w="108" w:type="dxa"/>
          </w:tblCellMar>
        </w:tblPrEx>
        <w:trPr>
          <w:trHeight w:val="403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LED显示屏</w:t>
            </w:r>
          </w:p>
        </w:tc>
        <w:tc>
          <w:tcPr>
            <w:tcW w:w="3613" w:type="pct"/>
            <w:tcBorders>
              <w:top w:val="single" w:color="000000" w:sz="4" w:space="0"/>
              <w:left w:val="single" w:color="000000" w:sz="4" w:space="0"/>
              <w:bottom w:val="nil"/>
              <w:right w:val="single" w:color="000000" w:sz="4" w:space="0"/>
            </w:tcBorders>
            <w:shd w:val="clear" w:color="auto" w:fill="FFFFFF"/>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投标产品LED像素点间距≤1.53mm;像素密度≥422500点/㎡，每个像素点采用1纯红1纯绿1纯蓝三像素，国星铜线表贴三合一封装</w:t>
            </w:r>
            <w:r>
              <w:rPr>
                <w:rFonts w:hint="eastAsia" w:ascii="仿宋" w:hAnsi="仿宋" w:eastAsia="仿宋" w:cs="仿宋"/>
                <w:b/>
                <w:bCs/>
                <w:color w:val="000000"/>
                <w:kern w:val="0"/>
                <w:sz w:val="22"/>
                <w:szCs w:val="22"/>
                <w:lang w:bidi="ar"/>
              </w:rPr>
              <w:t>（需提供国星封装证明文件）</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显示屏有效显示尺寸为4.26m*1.85m，投标方也可根据自身产品尺寸进行拼接，但是设计显示尺寸长和宽均不得小于规定长宽，误差范围不超过2％。</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LED显示屏整屏像素失控率小于0.000001且区域像素失控率小于0.000003 。</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LED显示屏整屏平整度：≤0.10mm，模组间缝隙：≤0.10mm</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5.投标产品的显示单元白平衡亮度≥600cd/㎡，对比度≥3000：1；色温2000K~10000K可调，水平和垂直视角≥170°；亮度均匀性≥99%，色度均匀性≤±0.001Cx、Cy之内。</w:t>
            </w:r>
            <w:r>
              <w:rPr>
                <w:rFonts w:hint="eastAsia" w:ascii="仿宋" w:hAnsi="仿宋" w:eastAsia="仿宋" w:cs="仿宋"/>
                <w:b/>
                <w:bCs/>
                <w:color w:val="000000"/>
                <w:kern w:val="0"/>
                <w:sz w:val="22"/>
                <w:szCs w:val="22"/>
                <w:lang w:bidi="ar"/>
              </w:rPr>
              <w:t>（需提供CNAS认可的检测报告复印件）</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6. 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 具备防蓝光护眼功能，蓝光辐射能量≤20%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 包含配套电源、发送卡、接收卡、支架辅材等</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平方米</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7.3216</w:t>
            </w:r>
          </w:p>
        </w:tc>
      </w:tr>
      <w:tr>
        <w:tblPrEx>
          <w:tblCellMar>
            <w:top w:w="0" w:type="dxa"/>
            <w:left w:w="108" w:type="dxa"/>
            <w:bottom w:w="0" w:type="dxa"/>
            <w:right w:w="108" w:type="dxa"/>
          </w:tblCellMar>
        </w:tblPrEx>
        <w:trPr>
          <w:trHeight w:val="90"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超高清解码器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解码设备采用嵌入式架构，专用Linux系统，机架式设计，高度≤2U；</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设备具有≥1个HDMI视频输入接口，≥1个DVI-I视频输入接口、≥4个HDMI输出接口、≥4个音频输出，视频输出分辨率支持1920×1080、3840×2160；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支持通过设备抓屏软件，将远程电脑桌面实时解码上墙显示，画面帧率应支持≥30fps，支持同时抓取≥8个任务上墙、≥8个4K信号，不消耗CPU性能，支持在电视墙进行8画面分割同时显示，支持对桌面进行整屏、单窗口、自定义区域抓屏上墙</w:t>
            </w:r>
            <w:r>
              <w:rPr>
                <w:rFonts w:hint="eastAsia" w:ascii="仿宋" w:hAnsi="仿宋" w:eastAsia="仿宋" w:cs="仿宋"/>
                <w:b/>
                <w:bCs/>
                <w:color w:val="000000"/>
                <w:kern w:val="0"/>
                <w:sz w:val="22"/>
                <w:szCs w:val="22"/>
                <w:highlight w:val="none"/>
                <w:lang w:bidi="ar"/>
              </w:rPr>
              <w:t>（需提供公安部所属检验机构出具的检测报告复印件）</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lang w:bidi="ar"/>
              </w:rPr>
              <w:t xml:space="preserve">； </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每个输出接口支持任意开窗、漫游，任意一路信号显示画面可进行任意漫游、缩放，可在单屏或者多屏的任意位置上叠加显示，图层最大不少于64层；</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支持回字形拼接，支持对解码的IPC输出的画面进行旋转，支持90°、180°左旋和90°、180°右旋</w:t>
            </w:r>
            <w:r>
              <w:rPr>
                <w:rFonts w:hint="eastAsia" w:ascii="仿宋" w:hAnsi="仿宋" w:eastAsia="仿宋" w:cs="仿宋"/>
                <w:b/>
                <w:bCs/>
                <w:color w:val="000000"/>
                <w:kern w:val="0"/>
                <w:sz w:val="22"/>
                <w:szCs w:val="22"/>
                <w:highlight w:val="none"/>
                <w:lang w:bidi="ar"/>
              </w:rPr>
              <w:t>（需提供权威机构检测报告复印件证明）</w:t>
            </w:r>
            <w:r>
              <w:rPr>
                <w:rFonts w:hint="eastAsia" w:ascii="仿宋" w:hAnsi="仿宋" w:eastAsia="仿宋" w:cs="仿宋"/>
                <w:color w:val="000000"/>
                <w:kern w:val="0"/>
                <w:sz w:val="22"/>
                <w:szCs w:val="22"/>
                <w:highlight w:val="none"/>
                <w:lang w:bidi="ar"/>
              </w:rPr>
              <w:t xml:space="preserve">； </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 支持前端接入智能摄像机，直连前端人脸检测设备，可实时展示人脸检测结果，包括年龄、性别、是否戴眼镜等人脸属性信息，属性可直接叠加画面显示；</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r>
        <w:tblPrEx>
          <w:tblCellMar>
            <w:top w:w="0" w:type="dxa"/>
            <w:left w:w="108" w:type="dxa"/>
            <w:bottom w:w="0" w:type="dxa"/>
            <w:right w:w="108" w:type="dxa"/>
          </w:tblCellMar>
        </w:tblPrEx>
        <w:trPr>
          <w:trHeight w:val="75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教育管理平台</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1.支持物联数据的多维度分析处理，支持校园应用、综合管控、视频监控、一卡通、车辆管控、报警检测、网络管理等功能模块；</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2.持业务应用组件化，各组件独立运行、维护，支持独立安装或卸载</w:t>
            </w:r>
            <w:r>
              <w:rPr>
                <w:rFonts w:hint="eastAsia" w:ascii="仿宋" w:hAnsi="仿宋" w:eastAsia="仿宋" w:cs="仿宋"/>
                <w:b/>
                <w:bCs/>
                <w:color w:val="000000"/>
                <w:kern w:val="0"/>
                <w:sz w:val="22"/>
                <w:szCs w:val="22"/>
                <w:lang w:bidi="ar"/>
              </w:rPr>
              <w:t>（需提供权威机构检测报告复印件证明）；</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3.支持主/子码流切换和预览码流自适应功能，可按4/9/16分屏进行主子码流切换，低于配置的数时主码流预览，高于配置的数时自动切换为子码流</w:t>
            </w:r>
            <w:r>
              <w:rPr>
                <w:rFonts w:hint="eastAsia" w:ascii="仿宋" w:hAnsi="仿宋" w:eastAsia="仿宋" w:cs="仿宋"/>
                <w:b/>
                <w:bCs/>
                <w:color w:val="000000"/>
                <w:kern w:val="0"/>
                <w:sz w:val="22"/>
                <w:szCs w:val="22"/>
                <w:lang w:bidi="ar"/>
              </w:rPr>
              <w:t>（需提供权威机构检测报告复印件证明）</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4.支持BS客户端、CS客户端、移动客户端（Android、iOS）视频预览，支持多浏览器实时预览；</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5.支持定时录像、报警录像和移动侦测录像等录像模式，不同类型录像以不同颜色进行区分；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7.本次需要无缝对接现有的学校系统平台和原有的视频设备，可以通过高清摄像头，生成学生在学校内的视频轨迹。</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8.支持数据权限控制功能：可对不同部门、班级管理人员分配不同的数据查看权限；</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9.支持以宿舍的维度展示学生入住信息，提供多个维度的入住信息展示，提高用户体验；</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10.支持批量调宿，支持查看宿管概况详情：在考勤模式下，支持按照部门、班级统计未归寝人数，支持部门切换，展示各部门、班级归寝率排名；</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11.宿舍管理系统系统自动检查连续刷进或刷出的记录，发现连续两次都为进或者都为出，则判定为异常。</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12.软件</w:t>
            </w:r>
            <w:r>
              <w:rPr>
                <w:rFonts w:hint="eastAsia" w:ascii="仿宋" w:hAnsi="仿宋" w:eastAsia="仿宋" w:cs="仿宋"/>
                <w:b/>
                <w:bCs/>
                <w:color w:val="000000"/>
                <w:kern w:val="0"/>
                <w:sz w:val="22"/>
                <w:szCs w:val="22"/>
                <w:lang w:bidi="ar"/>
              </w:rPr>
              <w:t>需免费提供数据接口实现与智慧校园平台数据对接</w:t>
            </w:r>
            <w:r>
              <w:rPr>
                <w:rFonts w:hint="eastAsia" w:ascii="仿宋" w:hAnsi="仿宋" w:eastAsia="仿宋" w:cs="仿宋"/>
                <w:color w:val="000000"/>
                <w:kern w:val="0"/>
                <w:sz w:val="22"/>
                <w:szCs w:val="22"/>
                <w:lang w:bidi="ar"/>
              </w:rPr>
              <w:t>，包含但不限于将校门口人脸识别信息和车辆道闸信息实时同步到OA系统作为考勤信息；实现将学生宿舍人脸识别信息实时同步到学生管理系统作为班主任和值班人员查归寝的依据。</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r>
        <w:tblPrEx>
          <w:tblCellMar>
            <w:top w:w="0" w:type="dxa"/>
            <w:left w:w="108" w:type="dxa"/>
            <w:bottom w:w="0" w:type="dxa"/>
            <w:right w:w="108" w:type="dxa"/>
          </w:tblCellMar>
        </w:tblPrEx>
        <w:trPr>
          <w:trHeight w:val="201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通用服务器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1.需具有≥2U双路标准机架式服务器</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2.CPU：≥1颗intel至强系列处理器，核数≥10核，主频≥2.2GHz</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3.内存：≥32G*2 DDR4，16根内存插槽，最大支持扩展至2TB内存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4.硬盘：≥4块600G 10K 2.5寸 SAS硬盘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5.阵列卡：SAS_HBA卡, 支持RAID 0/1/10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6.PCIE扩展：最大可支持6个PCIE扩展插槽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7.网口：≥2个千兆电口</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557"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存储录像机</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采用嵌入式设计，19英寸标准机箱；采用翻盖前面板、硬盘前插拔设计，方便维护，本次每台配置24块8TB硬盘；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支持≥128路H.264、H.265视频流混合接入，输入带宽≥500M，支持4K高清网络视频的接入、存储、预览和回放；</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具备≥24盘位，支持满配8TB/10TB硬盘运行，需支持硬盘热插拔，支持RAID0、1、5、6、10，支持全局热备盘；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需支持≥20路1080P或5路4K H.265、H.264混合解码；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支持3-16台设备组成集群，集群支持1024台IPC接入；支持查看集群内各工作机的工作状态，各IP通道的在线状态；</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 支持添加IPC、删除IPC、添加工作机、删除工作机、工作机宕机时集群自动负载均衡，业务迁移；支持通过集群IP远程预览实时视频，远程回放、下载录像文件；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 支持缩略图浏览，在回放时间进度条上移动鼠标，可自动显示相应时间点前后9张缩略图；</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 支持将硬盘划分为重要录像和普通录像两个存储区（可设置两个存储区的配额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w:t>
            </w:r>
            <w:r>
              <w:rPr>
                <w:rFonts w:hint="eastAsia" w:ascii="仿宋" w:hAnsi="仿宋" w:eastAsia="仿宋" w:cs="仿宋"/>
                <w:b/>
                <w:bCs/>
                <w:color w:val="000000"/>
                <w:kern w:val="0"/>
                <w:sz w:val="22"/>
                <w:szCs w:val="22"/>
                <w:lang w:bidi="ar"/>
              </w:rPr>
              <w:t>（需提供公安部检验报告复印件证明）</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1440"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扩容硬盘</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3.5 HDD,8TB,7200RPM, 256MB, SATA 6Gb/s 转速7200RPM</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支持32路AI流、RAID应用(搭配NVR)</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支持硬盘健康管理功能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MTBF(平均故障间隔时间)：不小于200万小时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支持5年有限质保服务，支持硬盘数据恢复服务(由原厂提供服务)</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教学监控中心</w:t>
            </w:r>
          </w:p>
        </w:tc>
      </w:tr>
      <w:tr>
        <w:tblPrEx>
          <w:tblCellMar>
            <w:top w:w="0" w:type="dxa"/>
            <w:left w:w="108" w:type="dxa"/>
            <w:bottom w:w="0" w:type="dxa"/>
            <w:right w:w="108" w:type="dxa"/>
          </w:tblCellMar>
        </w:tblPrEx>
        <w:trPr>
          <w:trHeight w:val="4049"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LCD拼接屏</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lang w:bidi="ar"/>
              </w:rPr>
              <w:t>1. 55英寸液晶拼接屏，对角线尺寸≥55英寸，物理分辨率≥1920×1080，响应时间≤6.5ms；</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2.LCD显示单元亮度达到600cd/㎡，静态对比度达到3500：1，图像显示清晰度≥950TVL，亮度鉴别等级为11级;</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输入接口≥1个HDMI、≥1个DVI、≥1个VGA;</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采用宽动态技术，能自动适应不同场频状下的高速图像信号，可使图像动态对比度到60000:1；</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内置MPEG、JPEG和 Real media解码器，支持点播U盘、移动硬盘中的视频、图片、音频或文本资源；</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 用户通过客户端设置开机延时时间，设备开机时根据延时时间执行开机动作。延时时间以ms为单位，范围0-300ms；</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 拼接屏具备智能温控功能，当屏幕温度在55-60℃之间时，会提醒用户温度过高，请及时通风；当温度超过60℃，屏幕会立即进入休眠状态；等温度降至50℃以下会被唤醒或者通过遥控器主动唤醒</w:t>
            </w:r>
            <w:r>
              <w:rPr>
                <w:rFonts w:hint="eastAsia" w:ascii="仿宋" w:hAnsi="仿宋" w:eastAsia="仿宋" w:cs="仿宋"/>
                <w:b/>
                <w:bCs/>
                <w:color w:val="000000"/>
                <w:kern w:val="0"/>
                <w:sz w:val="22"/>
                <w:szCs w:val="22"/>
                <w:highlight w:val="none"/>
                <w:lang w:bidi="ar"/>
              </w:rPr>
              <w:t>（需提供首页具有CNAS标识的检测报告复印件证明）</w:t>
            </w:r>
            <w:r>
              <w:rPr>
                <w:rFonts w:hint="eastAsia" w:ascii="仿宋" w:hAnsi="仿宋" w:eastAsia="仿宋" w:cs="仿宋"/>
                <w:color w:val="000000"/>
                <w:kern w:val="0"/>
                <w:sz w:val="22"/>
                <w:szCs w:val="22"/>
                <w:highlight w:val="none"/>
                <w:lang w:bidi="ar"/>
              </w:rPr>
              <w:t>；</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  拼接屏具备去蓝光护眼功能，蓝光辐射不超过RG1，符各JEC/TR62778-2014标准；</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9. 采用2mm碳钢结构件，具有较强的防辐射性能，保证操作人员和观看人员安全。能在外部设备3V/m的电磁干扰下稳定运行</w:t>
            </w:r>
            <w:r>
              <w:rPr>
                <w:rFonts w:hint="eastAsia" w:ascii="仿宋" w:hAnsi="仿宋" w:eastAsia="仿宋" w:cs="仿宋"/>
                <w:b/>
                <w:bCs/>
                <w:color w:val="000000"/>
                <w:kern w:val="0"/>
                <w:sz w:val="22"/>
                <w:szCs w:val="22"/>
                <w:lang w:bidi="ar"/>
              </w:rPr>
              <w:t>（需提供首页具有CNAS标识的检测报告复印件证明）</w:t>
            </w:r>
            <w:r>
              <w:rPr>
                <w:rFonts w:hint="eastAsia" w:ascii="仿宋" w:hAnsi="仿宋" w:eastAsia="仿宋" w:cs="仿宋"/>
                <w:b/>
                <w:bCs/>
                <w:color w:val="000000"/>
                <w:kern w:val="0"/>
                <w:sz w:val="22"/>
                <w:szCs w:val="22"/>
                <w:lang w:bidi="ar"/>
              </w:rPr>
              <w:br w:type="textWrapping"/>
            </w:r>
            <w:r>
              <w:rPr>
                <w:rFonts w:hint="eastAsia" w:ascii="仿宋" w:hAnsi="仿宋" w:eastAsia="仿宋" w:cs="仿宋"/>
                <w:color w:val="000000"/>
                <w:kern w:val="0"/>
                <w:sz w:val="22"/>
                <w:szCs w:val="22"/>
                <w:lang w:bidi="ar"/>
              </w:rPr>
              <w:t>10. 高低温实验：在0℃环境中，带电正常工作放置12小时，试验过程中能正常工作，外观无明显损伤；在50℃环境中，带电正常放置12小时，试验过程中能正常工作，外观无明显损伤。</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r>
      <w:tr>
        <w:tblPrEx>
          <w:tblCellMar>
            <w:top w:w="0" w:type="dxa"/>
            <w:left w:w="108" w:type="dxa"/>
            <w:bottom w:w="0" w:type="dxa"/>
            <w:right w:w="108" w:type="dxa"/>
          </w:tblCellMar>
        </w:tblPrEx>
        <w:trPr>
          <w:trHeight w:val="57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LCD屏壁挂支架</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55寸壁挂支架</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r>
        <w:tblPrEx>
          <w:tblCellMar>
            <w:top w:w="0" w:type="dxa"/>
            <w:left w:w="108" w:type="dxa"/>
            <w:bottom w:w="0" w:type="dxa"/>
            <w:right w:w="108" w:type="dxa"/>
          </w:tblCellMar>
        </w:tblPrEx>
        <w:trPr>
          <w:trHeight w:val="5173"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超高清解码器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 解码设备采用嵌入式架构，机架式设计，高度≤2U；具有≥12个HDMI输出接口、≥1个VGA输入接口、≥1个DVI-I输入接口、≥2个千兆网口、≥2个光口、≥1路语音输入、≥1路语音输出接口，≥1个RS232接口，≥1个RS485接口，≥6路报警输入、≥6路报警输出接口；</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解码能力支持≥12路4000×3000（20fps）、或≥24路4096×2160（25fps）、或≥24路3840×2160（25fps）、或≥36路为2592×1944（30fps）、或≥96路1920×1080（30fps）、或≥192路1280×720（30fps）分辨率的H.264、H.265、MPEG4视频图像解码输出；</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支持通过设备抓屏软件，将远程电脑桌面实时解码上墙显示，画面帧率应支持≥30fps，支持同时抓取≥8个任务上墙、≥8个4K信号，不消耗CPU性能，支持在电视墙进行8画面分割同时显示，支持对桌面进行整屏、单窗口、自定义区域抓屏上墙</w:t>
            </w:r>
            <w:r>
              <w:rPr>
                <w:rFonts w:hint="eastAsia" w:ascii="仿宋" w:hAnsi="仿宋" w:eastAsia="仿宋" w:cs="仿宋"/>
                <w:b/>
                <w:bCs/>
                <w:color w:val="000000"/>
                <w:kern w:val="0"/>
                <w:sz w:val="22"/>
                <w:szCs w:val="22"/>
                <w:highlight w:val="none"/>
                <w:lang w:bidi="ar"/>
              </w:rPr>
              <w:t>（需提供公安部检验报告复印件证明）</w:t>
            </w:r>
            <w:r>
              <w:rPr>
                <w:rFonts w:hint="eastAsia" w:ascii="仿宋" w:hAnsi="仿宋" w:eastAsia="仿宋" w:cs="仿宋"/>
                <w:color w:val="000000"/>
                <w:kern w:val="0"/>
                <w:sz w:val="22"/>
                <w:szCs w:val="22"/>
                <w:highlight w:val="none"/>
                <w:lang w:bidi="ar"/>
              </w:rPr>
              <w:t>；</w:t>
            </w:r>
            <w:r>
              <w:rPr>
                <w:rFonts w:hint="eastAsia" w:ascii="仿宋" w:hAnsi="仿宋" w:eastAsia="仿宋" w:cs="仿宋"/>
                <w:color w:val="000000"/>
                <w:kern w:val="0"/>
                <w:sz w:val="22"/>
                <w:szCs w:val="22"/>
                <w:lang w:bidi="ar"/>
              </w:rPr>
              <w:t xml:space="preserve"> </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支持黑白名单功能，可设置≥256个黑白名单；当设置白名单时，只允许白名单IP访问设备；当设置黑名单时，黑名单内IP无法访问设备；</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 支持对输入的视频画面进行90°、180°、270°旋转显示；支持回字形拼接，支持对解码的IPC输出的画面进行旋转，支持90°、180°左旋和90°、180°右旋</w:t>
            </w:r>
            <w:r>
              <w:rPr>
                <w:rFonts w:hint="eastAsia" w:ascii="仿宋" w:hAnsi="仿宋" w:eastAsia="仿宋" w:cs="仿宋"/>
                <w:b/>
                <w:bCs/>
                <w:color w:val="000000"/>
                <w:kern w:val="0"/>
                <w:sz w:val="22"/>
                <w:szCs w:val="22"/>
                <w:highlight w:val="none"/>
                <w:lang w:bidi="ar"/>
              </w:rPr>
              <w:t>（需提供权威机构检测报告复印件证明）</w:t>
            </w:r>
            <w:r>
              <w:rPr>
                <w:rFonts w:hint="eastAsia" w:ascii="仿宋" w:hAnsi="仿宋" w:eastAsia="仿宋" w:cs="仿宋"/>
                <w:color w:val="000000"/>
                <w:kern w:val="0"/>
                <w:sz w:val="22"/>
                <w:szCs w:val="22"/>
                <w:highlight w:val="none"/>
                <w:lang w:bidi="ar"/>
              </w:rPr>
              <w:t>；</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 支持前端接入智能摄像机，直连前端人脸检测设备，可实时展示人脸检测结果；</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 支持PC软件客户端、WEB 浏览器客户端、平台客户端、IPAD、可视化触控平台方式访问管理。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r>
        <w:tblPrEx>
          <w:tblCellMar>
            <w:top w:w="0" w:type="dxa"/>
            <w:left w:w="108" w:type="dxa"/>
            <w:bottom w:w="0" w:type="dxa"/>
            <w:right w:w="108" w:type="dxa"/>
          </w:tblCellMar>
        </w:tblPrEx>
        <w:trPr>
          <w:trHeight w:val="57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视频线</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HDMI电缆,HDMI/AM转HDMI/AM,15m,黑,加强型</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端子镀金，耐氧化，阻抗小，信号传输更稳定。</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校园监控中心</w:t>
            </w:r>
          </w:p>
        </w:tc>
      </w:tr>
      <w:tr>
        <w:tblPrEx>
          <w:tblCellMar>
            <w:top w:w="0" w:type="dxa"/>
            <w:left w:w="108" w:type="dxa"/>
            <w:bottom w:w="0" w:type="dxa"/>
            <w:right w:w="108" w:type="dxa"/>
          </w:tblCellMar>
        </w:tblPrEx>
        <w:trPr>
          <w:trHeight w:val="324"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55监视器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55寸液晶监视器，可视区域≥478.656 mm (H) × 260.28 mm (V)，物理分辨率≥3840*2160，响应时间≤6.5ms，亮度≥300cd/㎡，对比度≥3000：1；</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输入接口≥2个HDMI；</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支持U盘播放音视频；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 支持无缝对接录像机进行监控画面显示。</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3744"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4路超高清解码器</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 解码设备采用嵌入式架构，专用Linux系统，机架式设计，高度≤2U；</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设备具有≥1个HDMI视频输入接口，≥1个DVI-I视频输入接口、≥4个HDMI输出接口、≥4个音频输出，视频输出分辨率支持1920×1080、3840×2160；</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支持通过设备抓屏软件，将远程电脑桌面实时解码上墙显示，画面帧率应支持≥30fps，支持同时抓取≥8个任务上墙、≥8个4K信号，不消耗CPU性能，支持在电视墙进行8画面分割同时显示，支持对桌面进行整屏、单窗口、自定义区域抓屏上墙</w:t>
            </w:r>
            <w:r>
              <w:rPr>
                <w:rFonts w:hint="eastAsia" w:ascii="仿宋" w:hAnsi="仿宋" w:eastAsia="仿宋" w:cs="仿宋"/>
                <w:b/>
                <w:bCs/>
                <w:color w:val="000000"/>
                <w:kern w:val="0"/>
                <w:sz w:val="22"/>
                <w:szCs w:val="22"/>
                <w:highlight w:val="none"/>
                <w:lang w:bidi="ar"/>
              </w:rPr>
              <w:t>（需提供公安部检验报告复印件证明）</w:t>
            </w:r>
            <w:r>
              <w:rPr>
                <w:rFonts w:hint="eastAsia" w:ascii="仿宋" w:hAnsi="仿宋" w:eastAsia="仿宋" w:cs="仿宋"/>
                <w:color w:val="000000"/>
                <w:kern w:val="0"/>
                <w:sz w:val="22"/>
                <w:szCs w:val="22"/>
                <w:highlight w:val="none"/>
                <w:lang w:bidi="ar"/>
              </w:rPr>
              <w:t xml:space="preserve">； </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4. 每个输出接口支持任意开窗、漫游，任意一路信号显示画面可进行任意漫游、缩放，可在单屏或者多屏的任意位置上叠加显示，图层最大不少于64层；</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5. 支持回字形拼接，支持对解码的IPC输出的画面进行旋转，支持90°、180°左旋和90°、180°右旋</w:t>
            </w:r>
            <w:r>
              <w:rPr>
                <w:rFonts w:hint="eastAsia" w:ascii="仿宋" w:hAnsi="仿宋" w:eastAsia="仿宋" w:cs="仿宋"/>
                <w:b/>
                <w:bCs/>
                <w:color w:val="000000"/>
                <w:kern w:val="0"/>
                <w:sz w:val="22"/>
                <w:szCs w:val="22"/>
                <w:highlight w:val="none"/>
                <w:lang w:bidi="ar"/>
              </w:rPr>
              <w:t>（需提供权威机构检测报告复印件证明）</w:t>
            </w:r>
            <w:r>
              <w:rPr>
                <w:rFonts w:hint="eastAsia" w:ascii="仿宋" w:hAnsi="仿宋" w:eastAsia="仿宋" w:cs="仿宋"/>
                <w:color w:val="000000"/>
                <w:kern w:val="0"/>
                <w:sz w:val="22"/>
                <w:szCs w:val="22"/>
                <w:highlight w:val="none"/>
                <w:lang w:bidi="ar"/>
              </w:rPr>
              <w:t xml:space="preserve">； </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6. 支持前端接入智能摄像机，直连前端人脸检测</w:t>
            </w:r>
            <w:r>
              <w:rPr>
                <w:rFonts w:hint="eastAsia" w:ascii="仿宋" w:hAnsi="仿宋" w:eastAsia="仿宋" w:cs="仿宋"/>
                <w:color w:val="000000"/>
                <w:kern w:val="0"/>
                <w:sz w:val="22"/>
                <w:szCs w:val="22"/>
                <w:lang w:bidi="ar"/>
              </w:rPr>
              <w:t>设备，可实时展示人脸检测结果，包括年龄、性别、是否戴眼镜等人脸属性信息，属性可直接叠加画面显示；</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r>
        <w:tblPrEx>
          <w:tblCellMar>
            <w:top w:w="0" w:type="dxa"/>
            <w:left w:w="108" w:type="dxa"/>
            <w:bottom w:w="0" w:type="dxa"/>
            <w:right w:w="108" w:type="dxa"/>
          </w:tblCellMar>
        </w:tblPrEx>
        <w:trPr>
          <w:trHeight w:val="576"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视频线</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HDMI电缆,HDMI/AM转HDMI/AM,7m,黑,加强型</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端子镀金，耐氧化，阻抗小，信号传输更稳定。</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 xml:space="preserve"> 物联传输</w:t>
            </w:r>
          </w:p>
        </w:tc>
      </w:tr>
      <w:tr>
        <w:tblPrEx>
          <w:tblCellMar>
            <w:top w:w="0" w:type="dxa"/>
            <w:left w:w="108" w:type="dxa"/>
            <w:bottom w:w="0" w:type="dxa"/>
            <w:right w:w="108" w:type="dxa"/>
          </w:tblCellMar>
        </w:tblPrEx>
        <w:trPr>
          <w:trHeight w:val="2304"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千兆交换机</w:t>
            </w:r>
          </w:p>
        </w:tc>
        <w:tc>
          <w:tcPr>
            <w:tcW w:w="3613"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 网管型交换机，≥16个百兆电口，≥2个千兆光电复用口；支持存储转发，交换容量≥7.2Gbps，包转发率≥5.3Mpps；</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 支持通过管理平台和手机APP在网络拓扑中展示交换机详情，至少包括基本信息、交换机性能使用信息、交换机面板状态、端口信息；支持通过管理平台和手机APP在系统异常时实时推送交换机告警信息并展示告警内容；</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 支持通过管理平台对交换机进行端口远距离传输配置，最远传输距离≥240米；支持对交换机进行高优先级端口配置，处于高优先级端口的数据会被优先转发</w:t>
            </w:r>
            <w:r>
              <w:rPr>
                <w:rFonts w:hint="eastAsia" w:ascii="仿宋" w:hAnsi="仿宋" w:eastAsia="仿宋" w:cs="仿宋"/>
                <w:b/>
                <w:bCs/>
                <w:color w:val="000000"/>
                <w:kern w:val="0"/>
                <w:sz w:val="22"/>
                <w:szCs w:val="22"/>
                <w:highlight w:val="none"/>
                <w:lang w:bidi="ar"/>
              </w:rPr>
              <w:t>（需提供权威机构检测报告复印件证明）</w:t>
            </w:r>
            <w:r>
              <w:rPr>
                <w:rFonts w:hint="eastAsia" w:ascii="仿宋" w:hAnsi="仿宋" w:eastAsia="仿宋" w:cs="仿宋"/>
                <w:color w:val="000000"/>
                <w:kern w:val="0"/>
                <w:sz w:val="22"/>
                <w:szCs w:val="22"/>
                <w:lang w:bidi="ar"/>
              </w:rPr>
              <w:t>。</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r>
      <w:tr>
        <w:tblPrEx>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辅材</w:t>
            </w:r>
          </w:p>
        </w:tc>
      </w:tr>
      <w:tr>
        <w:tblPrEx>
          <w:tblCellMar>
            <w:top w:w="0" w:type="dxa"/>
            <w:left w:w="108" w:type="dxa"/>
            <w:bottom w:w="0" w:type="dxa"/>
            <w:right w:w="108" w:type="dxa"/>
          </w:tblCellMar>
        </w:tblPrEx>
        <w:trPr>
          <w:trHeight w:val="312"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配件</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定制</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bl>
    <w:p>
      <w:pPr>
        <w:pStyle w:val="10"/>
      </w:pPr>
    </w:p>
    <w:p>
      <w:pPr>
        <w:pStyle w:val="1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kern w:val="0"/>
          <w:sz w:val="28"/>
          <w:szCs w:val="28"/>
          <w:lang w:bidi="ar"/>
        </w:rPr>
        <w:t>IP分区广播（所有设备原厂三年质保）</w:t>
      </w:r>
    </w:p>
    <w:tbl>
      <w:tblPr>
        <w:tblStyle w:val="16"/>
        <w:tblW w:w="14078" w:type="dxa"/>
        <w:tblInd w:w="96" w:type="dxa"/>
        <w:tblLayout w:type="fixed"/>
        <w:tblCellMar>
          <w:top w:w="0" w:type="dxa"/>
          <w:left w:w="108" w:type="dxa"/>
          <w:bottom w:w="0" w:type="dxa"/>
          <w:right w:w="108" w:type="dxa"/>
        </w:tblCellMar>
      </w:tblPr>
      <w:tblGrid>
        <w:gridCol w:w="553"/>
        <w:gridCol w:w="1692"/>
        <w:gridCol w:w="10123"/>
        <w:gridCol w:w="837"/>
        <w:gridCol w:w="873"/>
      </w:tblGrid>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10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一、广播中心机房主控设备</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主机服务器</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控制主机</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1.采用工控机机箱设计，具有≥17.3英寸LED液晶显示屏，支持触摸控制屏，支持1920×1080分辨率；服务器运载windows server 2008或以上操作系统。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2.具备抽拉式键盘设计；支持1路短路触发开机接口，用于实现定时驱动开机运行。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3.支持≥8×USB接口、≥1×PS/2接口、 ≥6×串口接口、≥1路HDMI和≥1路VGA视频输出接口、≥2路网口。 </w:t>
            </w:r>
            <w:r>
              <w:rPr>
                <w:rFonts w:hint="eastAsia" w:ascii="仿宋" w:hAnsi="仿宋" w:eastAsia="仿宋" w:cs="仿宋"/>
                <w:b/>
                <w:bCs/>
                <w:color w:val="000000"/>
                <w:kern w:val="0"/>
                <w:sz w:val="20"/>
                <w:szCs w:val="20"/>
                <w:lang w:bidi="ar"/>
              </w:rPr>
              <w:t>（需提供接口图证明，并盖制造商公章）</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4.配置不低于四核/i7处理器。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5.支持录音存储功能，可在后台自定义设置录音文件保存路径。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2"/>
                <w:szCs w:val="22"/>
                <w:lang w:bidi="ar"/>
              </w:rPr>
              <w:t>6</w:t>
            </w:r>
            <w:r>
              <w:rPr>
                <w:rFonts w:ascii="仿宋" w:hAnsi="仿宋" w:eastAsia="仿宋" w:cs="仿宋"/>
                <w:color w:val="000000"/>
                <w:kern w:val="0"/>
                <w:sz w:val="22"/>
                <w:szCs w:val="22"/>
                <w:lang w:bidi="ar"/>
              </w:rPr>
              <w:t>.</w:t>
            </w:r>
            <w:r>
              <w:rPr>
                <w:rFonts w:hint="eastAsia" w:ascii="仿宋" w:hAnsi="仿宋" w:eastAsia="仿宋" w:cs="仿宋"/>
                <w:color w:val="000000"/>
                <w:kern w:val="0"/>
                <w:sz w:val="20"/>
                <w:szCs w:val="20"/>
                <w:lang w:bidi="ar"/>
              </w:rPr>
              <w:t>提供中国节能认证证书、3C证书复印件。</w:t>
            </w:r>
            <w:r>
              <w:rPr>
                <w:rFonts w:hint="eastAsia" w:ascii="仿宋" w:hAnsi="仿宋" w:eastAsia="仿宋" w:cs="仿宋"/>
                <w:b/>
                <w:bCs/>
                <w:color w:val="000000"/>
                <w:kern w:val="0"/>
                <w:sz w:val="20"/>
                <w:szCs w:val="20"/>
                <w:lang w:bidi="ar"/>
              </w:rPr>
              <w:br w:type="textWrapping"/>
            </w:r>
            <w:r>
              <w:rPr>
                <w:rFonts w:hint="eastAsia" w:ascii="仿宋" w:hAnsi="仿宋" w:eastAsia="仿宋" w:cs="仿宋"/>
                <w:color w:val="000000"/>
                <w:kern w:val="0"/>
                <w:sz w:val="20"/>
                <w:szCs w:val="20"/>
                <w:lang w:bidi="ar"/>
              </w:rPr>
              <w:t>7</w:t>
            </w:r>
            <w:r>
              <w:rPr>
                <w:rFonts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t>投标产品需具有CNCA全国认证认可信息公共服务平台可查证的《中国环境标志产品认证证书 》；</w:t>
            </w:r>
            <w:r>
              <w:rPr>
                <w:rFonts w:hint="eastAsia" w:ascii="仿宋" w:hAnsi="仿宋" w:eastAsia="仿宋" w:cs="仿宋"/>
                <w:b/>
                <w:bCs/>
                <w:color w:val="000000"/>
                <w:kern w:val="0"/>
                <w:sz w:val="20"/>
                <w:szCs w:val="20"/>
                <w:lang w:bidi="ar"/>
              </w:rPr>
              <w:t>（提供权威认证机构颁发的证书复印件及平台查证结果截图加盖制造商公章）</w:t>
            </w:r>
            <w:r>
              <w:rPr>
                <w:rFonts w:hint="eastAsia" w:ascii="仿宋" w:hAnsi="仿宋" w:eastAsia="仿宋" w:cs="仿宋"/>
                <w:b/>
                <w:bCs/>
                <w:color w:val="000000"/>
                <w:kern w:val="0"/>
                <w:sz w:val="20"/>
                <w:szCs w:val="20"/>
                <w:lang w:bidi="ar"/>
              </w:rPr>
              <w:br w:type="textWrapping"/>
            </w:r>
            <w:r>
              <w:rPr>
                <w:rFonts w:hint="eastAsia" w:ascii="仿宋" w:hAnsi="仿宋" w:eastAsia="仿宋" w:cs="仿宋"/>
                <w:color w:val="000000"/>
                <w:kern w:val="0"/>
                <w:sz w:val="20"/>
                <w:szCs w:val="20"/>
                <w:lang w:bidi="ar"/>
              </w:rPr>
              <w:t>8</w:t>
            </w:r>
            <w:r>
              <w:rPr>
                <w:rFonts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t>投标产品需通过中央电化教育馆2021年“数字校园综合解决方案”送测产品物理检测；</w:t>
            </w:r>
            <w:r>
              <w:rPr>
                <w:rFonts w:hint="eastAsia" w:ascii="仿宋" w:hAnsi="仿宋" w:eastAsia="仿宋" w:cs="仿宋"/>
                <w:b/>
                <w:bCs/>
                <w:color w:val="000000"/>
                <w:kern w:val="0"/>
                <w:sz w:val="20"/>
                <w:szCs w:val="20"/>
                <w:lang w:bidi="ar"/>
              </w:rPr>
              <w:t>（提供中央电化教育馆颁发的证书复印件加盖制造商公章）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数字化IP网络广播客户端管理软件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0"/>
                <w:szCs w:val="20"/>
                <w:lang w:bidi="ar"/>
              </w:rPr>
              <w:t>1.统一管理系统内所有音频终端，包括寻呼话筒、对讲终端、广播终端和消防接口设备，实时显示音频终端的IP地址、在线状态、任务状态、音量等运行状态。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3.管理节目库资源，为所有音频终端器提供定时播放和实时点播媒体服务，响应各终端的节目播放请求，为各音频工作站提供数据接口服务。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4.提供全双工语音数据交换，响应各对讲终端的呼叫和通话请求，支持一键呼叫、一键对讲、一键求助、一键报警等通话模式，支持自动接听、手动接听，支持自定义接听提示音。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6.支持终端短路输入联动触发，可任意设置联动触发方案和触发终端数量，触发方案包括短路输出、音乐播放、巡更警报等。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7.编程定时任务，支持编程多套定时方案，支持选择任意终端和设置任意时间；支持定时任务执行测试、设置重复周期。支持定时任务多种音源选择（音乐播放、声卡采集、终端采集）。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8.支持多套定时打铃方案同时启用，每套定时打铃方案支持多套任务同时进行，支持一键启用/停用所有方案。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9.支持定时打铃功能，支持打铃方案克隆，任务执行与停止控制、定时任务禁用与启用功能。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10.支持定时巡更功能，支持自定义巡更任务的执行时间及重复周期，可自定义指示灯闪烁间隔时间0-30s。</w:t>
            </w:r>
          </w:p>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1</w:t>
            </w:r>
            <w:r>
              <w:rPr>
                <w:rFonts w:hint="eastAsia" w:ascii="仿宋" w:hAnsi="仿宋" w:eastAsia="仿宋" w:cs="仿宋"/>
                <w:color w:val="000000"/>
                <w:kern w:val="0"/>
                <w:sz w:val="20"/>
                <w:szCs w:val="20"/>
                <w:lang w:bidi="ar"/>
              </w:rPr>
              <w:t>.支持对8路功率分区终端进行功率控制分区设置，通过web页面后台或分控客户端均可设置分区。</w:t>
            </w:r>
          </w:p>
          <w:p>
            <w:pPr>
              <w:widowControl/>
              <w:jc w:val="left"/>
              <w:textAlignment w:val="center"/>
              <w:rPr>
                <w:rFonts w:ascii="仿宋" w:hAnsi="仿宋" w:eastAsia="仿宋" w:cs="仿宋"/>
                <w:b/>
                <w:bCs/>
                <w:color w:val="000000"/>
                <w:kern w:val="0"/>
                <w:sz w:val="20"/>
                <w:szCs w:val="20"/>
                <w:lang w:bidi="ar"/>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2</w:t>
            </w:r>
            <w:r>
              <w:rPr>
                <w:rFonts w:hint="eastAsia" w:ascii="仿宋" w:hAnsi="仿宋" w:eastAsia="仿宋" w:cs="仿宋"/>
                <w:color w:val="000000"/>
                <w:kern w:val="0"/>
                <w:sz w:val="20"/>
                <w:szCs w:val="20"/>
                <w:lang w:bidi="ar"/>
              </w:rPr>
              <w:t>.支持对终端设置不同的灯光模式，可分别自定义设置红灯亮、红灯灭、绿灯/蓝灯亮、绿灯/蓝灯灭时间0.1S-10S。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3</w:t>
            </w:r>
            <w:r>
              <w:rPr>
                <w:rFonts w:hint="eastAsia" w:ascii="仿宋" w:hAnsi="仿宋" w:eastAsia="仿宋" w:cs="仿宋"/>
                <w:color w:val="000000"/>
                <w:kern w:val="0"/>
                <w:sz w:val="20"/>
                <w:szCs w:val="20"/>
                <w:lang w:bidi="ar"/>
              </w:rPr>
              <w:t>.支持配置终端冻结时间，在终端被冻结期间禁止终端执行任务，适用于考试或休息等场景。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.支持广播、对讲、实时采集、终端监听进行录音；支持文本广播功能，可实现将文本转成语音，支持后台调整语速。</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15</w:t>
            </w:r>
            <w:r>
              <w:rPr>
                <w:rFonts w:hint="eastAsia" w:ascii="仿宋" w:hAnsi="仿宋" w:eastAsia="仿宋" w:cs="仿宋"/>
                <w:color w:val="000000"/>
                <w:kern w:val="0"/>
                <w:sz w:val="20"/>
                <w:szCs w:val="20"/>
                <w:lang w:bidi="ar"/>
              </w:rPr>
              <w:t>、移动端APP（手机或平板）软件，通过扫描二维码方式与网络广播服务器或广播系统管控电脑建立连接。</w:t>
            </w:r>
          </w:p>
          <w:p>
            <w:pPr>
              <w:widowControl/>
              <w:jc w:val="left"/>
              <w:textAlignment w:val="center"/>
              <w:rPr>
                <w:rFonts w:ascii="仿宋" w:hAnsi="仿宋" w:eastAsia="仿宋" w:cs="仿宋"/>
                <w:color w:val="000000"/>
                <w:kern w:val="0"/>
                <w:sz w:val="22"/>
                <w:szCs w:val="22"/>
                <w:lang w:bidi="ar"/>
              </w:rPr>
            </w:pPr>
            <w:r>
              <w:rPr>
                <w:rFonts w:ascii="仿宋" w:hAnsi="仿宋" w:eastAsia="仿宋" w:cs="仿宋"/>
                <w:color w:val="000000"/>
                <w:kern w:val="0"/>
                <w:sz w:val="20"/>
                <w:szCs w:val="20"/>
                <w:lang w:bidi="ar"/>
              </w:rPr>
              <w:t>16</w:t>
            </w:r>
            <w:r>
              <w:rPr>
                <w:rFonts w:hint="eastAsia" w:ascii="仿宋" w:hAnsi="仿宋" w:eastAsia="仿宋" w:cs="仿宋"/>
                <w:color w:val="000000"/>
                <w:kern w:val="0"/>
                <w:sz w:val="20"/>
                <w:szCs w:val="20"/>
                <w:lang w:bidi="ar"/>
              </w:rPr>
              <w:t>、支持移动端远程操控广播管理界面，可实现节目的播放、终端的管理、系统设置、音量调节等操作。</w:t>
            </w:r>
          </w:p>
          <w:p>
            <w:pPr>
              <w:widowControl/>
              <w:jc w:val="left"/>
              <w:textAlignment w:val="center"/>
              <w:rPr>
                <w:rFonts w:ascii="仿宋" w:hAnsi="仿宋" w:eastAsia="仿宋" w:cs="仿宋"/>
                <w:b/>
                <w:bCs/>
                <w:color w:val="000000"/>
                <w:kern w:val="0"/>
                <w:sz w:val="20"/>
                <w:szCs w:val="20"/>
                <w:lang w:bidi="ar"/>
              </w:rPr>
            </w:pPr>
            <w:r>
              <w:rPr>
                <w:rFonts w:ascii="仿宋" w:hAnsi="仿宋" w:eastAsia="仿宋" w:cs="仿宋"/>
                <w:color w:val="000000"/>
                <w:kern w:val="0"/>
                <w:sz w:val="20"/>
                <w:szCs w:val="20"/>
                <w:lang w:bidi="ar"/>
              </w:rPr>
              <w:t>17</w:t>
            </w:r>
            <w:r>
              <w:rPr>
                <w:rFonts w:hint="eastAsia" w:ascii="仿宋" w:hAnsi="仿宋" w:eastAsia="仿宋" w:cs="仿宋"/>
                <w:color w:val="000000"/>
                <w:kern w:val="0"/>
                <w:sz w:val="20"/>
                <w:szCs w:val="20"/>
                <w:lang w:bidi="ar"/>
              </w:rPr>
              <w:t>、移动端APP具备基本辅助工具，包括画笔、放大镜等，移动端可对网络广播系统的电子地图进行批注，可通过广播服务器或广播系统管理电脑输出到液晶电视或大屏或投影等显示设备上，适应各类监控广播工程中进行可视化地指挥和管理。</w:t>
            </w:r>
            <w:r>
              <w:rPr>
                <w:rFonts w:hint="eastAsia" w:ascii="仿宋" w:hAnsi="仿宋" w:eastAsia="仿宋" w:cs="仿宋"/>
                <w:b/>
                <w:bCs/>
                <w:color w:val="000000"/>
                <w:kern w:val="0"/>
                <w:sz w:val="20"/>
                <w:szCs w:val="20"/>
                <w:lang w:bidi="ar"/>
              </w:rPr>
              <w:t>（提供移动APP软件的辅助工具界面截图）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8</w:t>
            </w:r>
            <w:r>
              <w:rPr>
                <w:rFonts w:hint="eastAsia" w:ascii="仿宋" w:hAnsi="仿宋" w:eastAsia="仿宋" w:cs="仿宋"/>
                <w:color w:val="000000"/>
                <w:kern w:val="0"/>
                <w:sz w:val="20"/>
                <w:szCs w:val="20"/>
                <w:lang w:bidi="ar"/>
              </w:rPr>
              <w:t>、出于信息安全考虑，要求投标的数字化IP网络广播客户端管理软件需通过</w:t>
            </w:r>
            <w:r>
              <w:rPr>
                <w:rFonts w:hint="eastAsia" w:ascii="仿宋" w:hAnsi="仿宋" w:eastAsia="仿宋" w:cs="仿宋"/>
                <w:b/>
                <w:bCs/>
                <w:color w:val="000000"/>
                <w:kern w:val="0"/>
                <w:sz w:val="20"/>
                <w:szCs w:val="20"/>
                <w:lang w:bidi="ar"/>
              </w:rPr>
              <w:t>信息系统安全等级（二级或以上）保护备案。</w:t>
            </w:r>
            <w:r>
              <w:rPr>
                <w:rFonts w:hint="eastAsia" w:ascii="仿宋" w:hAnsi="仿宋" w:eastAsia="仿宋" w:cs="仿宋"/>
                <w:color w:val="000000"/>
                <w:kern w:val="0"/>
                <w:sz w:val="22"/>
                <w:szCs w:val="22"/>
                <w:lang w:bidi="ar"/>
              </w:rPr>
              <w:t>（</w:t>
            </w:r>
            <w:r>
              <w:rPr>
                <w:rFonts w:hint="eastAsia" w:ascii="仿宋" w:hAnsi="仿宋" w:eastAsia="仿宋" w:cs="仿宋"/>
                <w:b/>
                <w:bCs/>
                <w:color w:val="000000"/>
                <w:kern w:val="0"/>
                <w:sz w:val="20"/>
                <w:szCs w:val="20"/>
                <w:lang w:bidi="ar"/>
              </w:rPr>
              <w:t>提供公安机关出具的备案证明复印件加盖制造商公章</w:t>
            </w:r>
            <w:r>
              <w:rPr>
                <w:rFonts w:hint="eastAsia" w:ascii="仿宋" w:hAnsi="仿宋" w:eastAsia="仿宋" w:cs="仿宋"/>
                <w:color w:val="000000"/>
                <w:kern w:val="0"/>
                <w:sz w:val="22"/>
                <w:szCs w:val="22"/>
                <w:lang w:bidi="ar"/>
              </w:rPr>
              <w:t>）</w:t>
            </w: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19</w:t>
            </w:r>
            <w:r>
              <w:rPr>
                <w:rFonts w:hint="eastAsia" w:ascii="仿宋" w:hAnsi="仿宋" w:eastAsia="仿宋" w:cs="仿宋"/>
                <w:color w:val="000000"/>
                <w:kern w:val="0"/>
                <w:sz w:val="20"/>
                <w:szCs w:val="20"/>
                <w:lang w:bidi="ar"/>
              </w:rPr>
              <w:t>、投标产品制造商参与制定行业权威机构“数字公共广播系统技术规范”相关团体标准。</w:t>
            </w:r>
            <w:r>
              <w:rPr>
                <w:rFonts w:hint="eastAsia" w:ascii="仿宋" w:hAnsi="仿宋" w:eastAsia="仿宋" w:cs="仿宋"/>
                <w:b/>
                <w:bCs/>
                <w:color w:val="000000"/>
                <w:kern w:val="0"/>
                <w:sz w:val="20"/>
                <w:szCs w:val="20"/>
                <w:lang w:bidi="ar"/>
              </w:rPr>
              <w:t>（提供技术规范相关内容复印件及全国团体标准信息平台官网查询结果截图加盖制造商公章）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控制器</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1.设备采用机柜式设计，自动实现卫星自动校时，使用地球同步卫星作为校时基准，与格林威治时间误差小于0.1秒。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2.液晶显示屏可显示时间；自动实现卫星自动校时，自适应全球时区，根据时区自动切换显示语音。</w:t>
            </w:r>
            <w:r>
              <w:rPr>
                <w:rFonts w:hint="eastAsia" w:ascii="仿宋" w:hAnsi="仿宋" w:eastAsia="仿宋" w:cs="仿宋"/>
                <w:b/>
                <w:bCs/>
                <w:color w:val="000000"/>
                <w:kern w:val="0"/>
                <w:sz w:val="20"/>
                <w:szCs w:val="20"/>
                <w:lang w:bidi="ar"/>
              </w:rPr>
              <w:t>（需提供第三方检测结构出具的检验报告，并盖生产厂商公章）</w:t>
            </w:r>
            <w:r>
              <w:rPr>
                <w:rFonts w:hint="eastAsia" w:ascii="仿宋" w:hAnsi="仿宋" w:eastAsia="仿宋" w:cs="仿宋"/>
                <w:b/>
                <w:bCs/>
                <w:color w:val="000000"/>
                <w:kern w:val="0"/>
                <w:sz w:val="20"/>
                <w:szCs w:val="20"/>
                <w:lang w:bidi="ar"/>
              </w:rPr>
              <w:br w:type="textWrapping"/>
            </w:r>
            <w:r>
              <w:rPr>
                <w:rFonts w:hint="eastAsia" w:ascii="仿宋" w:hAnsi="仿宋" w:eastAsia="仿宋" w:cs="仿宋"/>
                <w:color w:val="000000"/>
                <w:kern w:val="0"/>
                <w:sz w:val="20"/>
                <w:szCs w:val="20"/>
                <w:lang w:bidi="ar"/>
              </w:rPr>
              <w:t>3.支持与公共广播系统对接作为校时系统。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寻呼设备</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寻呼话筒</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2.内置1路网络硬件音频解码模块，具有1路RJ45网络接口，100Mbps传输速率。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3.支持监听任意终端功能，内置2W全频扬声器，实现双向通话和网络监听。</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4.支持1路音频线路输入，支持采集播放功能；具有1路音频线路输出，可外接功率放大器。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5.支持直接操作呼叫或对讲任意终端，支持通过话筒广播呼叫功能，广播延时低于100毫秒。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6.支持多种呼叫策略，包括无响应转移、占线转移、关机转移；自动接听、手动接听，支持自定义接听提示音，支持转移时间、无人接听时间、呼叫等待时间自定义。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话筒呼叫控制嵌入软件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1.软件内嵌于话筒设备，实现话筒呼叫控制功能，支撑设备各项基本功能的运行。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2.授权操作管理功能，支持服务器统一配置管理用户及密码。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4.支持多种呼叫策略，包括呼叫转移、呼叫等待、无人接听提醒等。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5.支持双向对讲功能，可与另一方对讲终端实现双向语音传输功能。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6.可实现分区/全区进行喊话/广播功能。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7.支持单独调节音量。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其它配套设备</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IP网络音箱</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1.内置1路网络硬件音频解码模块,具有1路RJ45网络接口，100Mbps传输速率。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2.支持≥1路音频线路输入接口，具有独立的音量调节功能。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3.设备集成有数字功放，功率≥2×20W，具有1个主音箱和1个副音箱。</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4.内置2级优先级功能设计：(1)AUX与网路背景音乐信号同级，混音输出。(2)网络报警信号优先AUX与网络背景音乐信号。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5.支持IPv6、IPv4网络协议</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IP有源音箱扩声软件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1.软件内嵌于IP有源音箱扩声终端设备，支撑设备各项基本功能的运行。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2.嵌入DSP音频处理技术，高保真解码音频文件；支持远程点播功能，支持节目播放。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4.支持播放背景音乐功能，支持单独调节音量。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5.支持播放本地服务器的MP3文件；支持单独播放或分区/全区播放。</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网络节目定时器</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1.机柜式设计，设有十路可编辑定时控制电源，最大用电量2500W。</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2.大屏幕液晶显示屏，图形化界面。可显示10路电源状态指示、日期、星期、时间、下一步程序的信息等。</w:t>
            </w:r>
          </w:p>
          <w:p>
            <w:pPr>
              <w:widowControl/>
              <w:jc w:val="left"/>
              <w:textAlignment w:val="center"/>
              <w:rPr>
                <w:rFonts w:ascii="仿宋" w:hAnsi="仿宋" w:eastAsia="仿宋" w:cs="仿宋"/>
                <w:color w:val="000000"/>
                <w:sz w:val="20"/>
                <w:szCs w:val="20"/>
              </w:rPr>
            </w:pPr>
            <w:r>
              <w:rPr>
                <w:rFonts w:hint="eastAsia" w:ascii="仿宋" w:hAnsi="仿宋" w:eastAsia="仿宋" w:cs="仿宋"/>
                <w:b/>
                <w:bCs/>
                <w:color w:val="000000"/>
                <w:kern w:val="0"/>
                <w:sz w:val="20"/>
                <w:szCs w:val="20"/>
                <w:lang w:bidi="ar"/>
              </w:rPr>
              <w:t>（提供界面截图佐证此功能，并盖生产厂商公章）</w:t>
            </w:r>
            <w:r>
              <w:rPr>
                <w:rFonts w:hint="eastAsia" w:ascii="仿宋" w:hAnsi="仿宋" w:eastAsia="仿宋" w:cs="仿宋"/>
                <w:b/>
                <w:bCs/>
                <w:color w:val="000000"/>
                <w:kern w:val="0"/>
                <w:sz w:val="20"/>
                <w:szCs w:val="20"/>
                <w:lang w:bidi="ar"/>
              </w:rPr>
              <w:br w:type="textWrapping"/>
            </w:r>
            <w:r>
              <w:rPr>
                <w:rFonts w:hint="eastAsia" w:ascii="仿宋" w:hAnsi="仿宋" w:eastAsia="仿宋" w:cs="仿宋"/>
                <w:color w:val="000000"/>
                <w:kern w:val="0"/>
                <w:sz w:val="20"/>
                <w:szCs w:val="20"/>
                <w:lang w:bidi="ar"/>
              </w:rPr>
              <w:t>3.具备≥1路钟声输出接口，≥1路报警短路信号输入接口。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4.具备≥1路触发控制短路信号输出接口，可触发报警器等设备。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5.设有短路触发输出接口，可控制十六位电源时序器开关，扩展定时电源插座。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6.支持将一星期内某一天的程序拷贝到其它的某一天或某几天。</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7.断电程序不丢失，来电自动恢复运行。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8.可进行多步编程定时控制电源。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数字音频控制嵌入软件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2.支持定时开启和关闭电源的设备进行编程控制。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3.支持受控于其他设备触发上电或断电。</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4.断电程序不丢失，来电自动恢复运行；</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机柜</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1.符合消防认证IP30标准；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2.带线槽设计方便设备连接线梳理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3.同时安有万向脚轮和支撑脚，便于移动、固定；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4.左右侧门可拆、装；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二、校园广播站</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台式电脑</w:t>
            </w:r>
          </w:p>
        </w:tc>
        <w:tc>
          <w:tcPr>
            <w:tcW w:w="10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第八代英特尔酷睿i5 台式电脑整机（I5-8400 8G 1T Win10 ）21.5英寸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IP网络广播系统分控软件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kern w:val="0"/>
                <w:sz w:val="20"/>
                <w:szCs w:val="20"/>
                <w:lang w:bidi="ar"/>
              </w:rPr>
            </w:pPr>
            <w:r>
              <w:rPr>
                <w:rFonts w:hint="eastAsia" w:ascii="仿宋" w:hAnsi="仿宋" w:eastAsia="仿宋" w:cs="仿宋"/>
                <w:color w:val="000000"/>
                <w:kern w:val="0"/>
                <w:sz w:val="20"/>
                <w:szCs w:val="20"/>
                <w:lang w:bidi="ar"/>
              </w:rPr>
              <w:t>1.数字客户端分控软件运行于Windows操作系统的台式电脑或笔记本电脑（兼容(win7-win10、server2008或更高版本)），用户登陆通过系统服务器的权限验证即可进行对广播系统的控制。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2.客户端软件利用网络（局域网、广域网）远程登录到服务器，支持多套客户端软件同时登录到服务器，各套客户端软件独立工作。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3.可实现终端状态查看、音频播放、监听、广播及对讲、会话状态监控等功能。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4.支持实时查看终端工作状态、音量、任务，并且可在终端状态界面设置终端音量。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5.支持创建文本广播任务，可实现将文本转成语音，支持后台调整语速。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6.支持创建终端采集任务，可设置普通、中级的采集音质类型。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7.支持创建声卡采集任务，可通过分控客户端所在电脑的声卡进行实时采播，并且支持将采播的内容进行录音存储。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8.支持创建音乐播放任务，可进行本地文件播放，可选择多首歌曲进行顺序播放或循环播放或随机播放。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9.支持进行发起监听功能，在会话状态选择监听终端，可监听某任务播放的内容。</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10.支持远程对某终端/分区或全区进行实时的寻呼广播，支持选择网络寻呼话筒进行实时对讲。</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11.支持分控端查看终端上下线记录，可设置终端掉线弹窗提示。</w:t>
            </w:r>
          </w:p>
          <w:p>
            <w:pPr>
              <w:widowControl/>
              <w:jc w:val="left"/>
              <w:textAlignment w:val="center"/>
              <w:rPr>
                <w:rFonts w:ascii="仿宋" w:hAnsi="仿宋" w:eastAsia="仿宋" w:cs="仿宋"/>
                <w:color w:val="000000"/>
                <w:sz w:val="20"/>
                <w:szCs w:val="20"/>
              </w:rPr>
            </w:pPr>
            <w:r>
              <w:rPr>
                <w:rFonts w:hint="eastAsia" w:ascii="仿宋" w:hAnsi="仿宋" w:eastAsia="仿宋" w:cs="仿宋"/>
                <w:b/>
                <w:bCs/>
                <w:color w:val="000000"/>
                <w:kern w:val="0"/>
                <w:sz w:val="20"/>
                <w:szCs w:val="20"/>
                <w:lang w:bidi="ar"/>
              </w:rPr>
              <w:t>1</w:t>
            </w:r>
            <w:r>
              <w:rPr>
                <w:rFonts w:ascii="仿宋" w:hAnsi="仿宋" w:eastAsia="仿宋" w:cs="仿宋"/>
                <w:b/>
                <w:bCs/>
                <w:color w:val="000000"/>
                <w:kern w:val="0"/>
                <w:sz w:val="20"/>
                <w:szCs w:val="20"/>
                <w:lang w:bidi="ar"/>
              </w:rPr>
              <w:t>2.</w:t>
            </w:r>
            <w:r>
              <w:rPr>
                <w:rFonts w:hint="eastAsia" w:ascii="仿宋" w:hAnsi="仿宋" w:eastAsia="仿宋" w:cs="仿宋"/>
                <w:b/>
                <w:bCs/>
                <w:color w:val="000000"/>
                <w:kern w:val="0"/>
                <w:sz w:val="20"/>
                <w:szCs w:val="20"/>
                <w:lang w:bidi="ar"/>
              </w:rPr>
              <w:t>设备厂家通过获得信息技术服务管理体系ISO20000（证书含音视频系统软件）、职业健康安全管理体系认ISO45001、环境管理体系认证ISO14001（证书含公共广播字样）、信息安全管理体系认证ISO27001（证书含音视频字样）。（提供证书及相关证明资料，加盖生产厂商公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寻呼话筒</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2.内置1路网络硬件音频解码模块，具有1路RJ45网络接口，100Mbps传输速率。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3.支持监听任意终端功能，内置2W全频扬声器，实现双向通话和网络监听。</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4.支持1路音频线路输入，支持采集播放功能；具有1路音频线路输出，可外接功率放大器。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5.支持直接操作呼叫或对讲任意终端，支持通过话筒广播呼叫功能，广播延时低于100毫秒。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6.支持多种呼叫策略，包括无响应转移、占线转移、关机转移；自动接听、手动接听，支持自定义接听提示音，支持转移时间、无人接听时间、呼叫等待时间自定义。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7.具有1个3.5耳机接口、1路3.5话筒输入接口。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8.具有1路短路输出接口、1路短路输入接口。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话筒呼叫控制嵌入软件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1.软件内嵌于话筒设备，实现话筒呼叫控制功能，支撑设备各项基本功能的运行。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2.授权操作管理功能，支持服务器统一配置管理用户及密码。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4.支持多种呼叫策略，包括呼叫转移、呼叫等待、无人接听提醒等。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5.支持双向对讲功能，可与另一方对讲终端实现双向语音传输功能。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6.可实现分区/全区进行喊话/广播功能。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7.支持单独调节音量。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IP网络音箱</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1.内置1路网络硬件音频解码模块,具有1路RJ45网络接口，100Mbps传输速率。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2.支持≥1路音频线路输入接口，具有独立的音量调节功能。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3.设备集成有数字功放，功率≥2×20W，具有1个主音箱和1个副音箱。</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4.内置2级优先级功能设计：(1)AUX与网路背景音乐信号同级，混音输出。(2)网络报警信号优先AUX与网络背景音乐信号。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5.支持IPv6、IPv4网络协议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IP有源音箱扩声软件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1.软件内嵌于IP有源音箱扩声终端设备，支撑设备各项基本功能的运行。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2.嵌入DSP音频处理技术，高保真解码音频文件；支持远程点播功能，支持节目播放。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4.支持播放背景音乐功能，支持单独调节音量。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5.支持播放本地服务器的MP3文件；支持单独播放或分区/全区播放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调音台</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1.支持≥4路Mic输入兼容4路线路输入接口，话筒接口幻象电源：+48V，≥4组立体线性输入。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2.具有≥1组立体声主输出、≥1组辅助输出、≥1组立体声监听输出、≥1路耳机监听输出、≥1组CD/Tape输出。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3.每路单声道输入通道设有3段EQ，设有峰值LED指示灯。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4.内置24位DSP效果器，提供100种预设效果。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话筒</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1.指向性：心形指向性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2.信噪比：65dB SPL 1KHz at 1Pa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3.频率响应：20-18KHz</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4.输出阻抗：75Ω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5.灵敏度：-40dB±2dB</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CD播放器</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1.吸入式机芯；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2.自动播放控制，全数码伺服；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3.可播放：CD/VCD/MP3/DVD碟片；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4.内置宽频监听扬声器；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5.内置MP3播放器，可读USB和SD卡；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6.可通过面板按键或红外遥控器控制操作。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多功能音源控制嵌入软件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2.支持系统+ESS解码方案，超强纠错功能。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3.支持播放CD等碟片。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4.支持读取U盘或SD卡，并且播放媒体文件。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三、前端设备</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IP网络音箱</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1.内置1路网络硬件音频解码模块,具有1路RJ45网络接口，100Mbps传输速率。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2.支持≥1路音频线路输入接口，具有独立的音量调节功能。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3.设备集成有数字功放，功率≥2×20W，具有1个主音箱和1个副音箱。</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4.内置2级优先级功能设计：(1)AUX与网路背景音乐信号同级，混音输出。(2)网络报警信号优先AUX与网络背景音乐信号。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5.支持IPv6、IPv4网络协议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IP有源音箱扩声软件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1.软件内嵌于IP有源音箱扩声终端设备，支撑设备各项基本功能的运行。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2.嵌入DSP音频处理技术，高保真解码音频文件；支持远程点播功能，支持节目播放。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4.支持播放背景音乐功能，支持单独调节音量。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5.支持播放本地服务器的MP3文件；支持单独播放或分区/全区播放。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IP网络功放终端</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1.设备采用标准19英寸机架设计，带有3.4英寸LCD显示屏。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2.内置1路网络硬件音频解码模块，支持1路线路输入和1路话筒输入接口，可独立调节音量。</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3</w:t>
            </w:r>
            <w:r>
              <w:rPr>
                <w:rFonts w:hint="eastAsia" w:ascii="仿宋" w:hAnsi="仿宋" w:eastAsia="仿宋" w:cs="仿宋"/>
                <w:color w:val="000000"/>
                <w:kern w:val="0"/>
                <w:sz w:val="20"/>
                <w:szCs w:val="20"/>
                <w:lang w:bidi="ar"/>
              </w:rPr>
              <w:t>.支持高低音调节电位器控制，具有1路EMC输入接口，具有最高优先级，具有1路音频输出接口。</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.具有1路三线制强切输出接口，无需强切电源，集成数字功放，功率≥120W；支持定压方式输出。</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.具有1路RJ45网络接口，100Mbps传输速率。</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6</w:t>
            </w:r>
            <w:r>
              <w:rPr>
                <w:rFonts w:hint="eastAsia" w:ascii="仿宋" w:hAnsi="仿宋" w:eastAsia="仿宋" w:cs="仿宋"/>
                <w:color w:val="000000"/>
                <w:kern w:val="0"/>
                <w:sz w:val="20"/>
                <w:szCs w:val="20"/>
                <w:lang w:bidi="ar"/>
              </w:rPr>
              <w:t>.频率响应范围80Hz～16KHz，信噪比＞65dB。</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7</w:t>
            </w:r>
            <w:r>
              <w:rPr>
                <w:rFonts w:hint="eastAsia" w:ascii="仿宋" w:hAnsi="仿宋" w:eastAsia="仿宋" w:cs="仿宋"/>
                <w:color w:val="000000"/>
                <w:kern w:val="0"/>
                <w:sz w:val="20"/>
                <w:szCs w:val="20"/>
                <w:lang w:bidi="ar"/>
              </w:rPr>
              <w:t>.设备内置有主备切换检测模块，在断网或断电的故障情况下，实现自动切换到100V定压备份通道，主备切换过程无卡顿、不掉字。</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数字IP网络平台终端嵌入软件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技术参数：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1.软件内嵌于数字IP网络平台终端设备，支撑设备各项基本功能的运行。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2.嵌入DSP音频处理技术，高保真解码音频文件；支持远程点播功能，支持节目播放。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4.支持播放背景音乐功能，支持单独调节音量。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5.支持播放本地服务器的MP3文件；支持单独播放或分区/全区播放。</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IP网络功放终端</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1.设备采用标准19英寸机架设计，带有3.4英寸LCD显示屏。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2.内置1路网络硬件音频解码模块，支持1路线路输入和1路话筒输入接口，可独立调节音量。</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3</w:t>
            </w:r>
            <w:r>
              <w:rPr>
                <w:rFonts w:hint="eastAsia" w:ascii="仿宋" w:hAnsi="仿宋" w:eastAsia="仿宋" w:cs="仿宋"/>
                <w:color w:val="000000"/>
                <w:kern w:val="0"/>
                <w:sz w:val="20"/>
                <w:szCs w:val="20"/>
                <w:lang w:bidi="ar"/>
              </w:rPr>
              <w:t>.支持高低音调节电位器控制，具有1路EMC输入接口，具有最高优先级，具有1路音频输出接口。</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.具有1路三线制强切输出接口，无需强切电源，集成数字功放，功率≥240W；支持定压方式输出。</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.具有1路RJ45网络接口，100Mbps传输速率。</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6</w:t>
            </w:r>
            <w:r>
              <w:rPr>
                <w:rFonts w:hint="eastAsia" w:ascii="仿宋" w:hAnsi="仿宋" w:eastAsia="仿宋" w:cs="仿宋"/>
                <w:color w:val="000000"/>
                <w:kern w:val="0"/>
                <w:sz w:val="20"/>
                <w:szCs w:val="20"/>
                <w:lang w:bidi="ar"/>
              </w:rPr>
              <w:t>.频率响应范围80Hz～16KHz，信噪比＞65dB。</w:t>
            </w:r>
            <w:r>
              <w:rPr>
                <w:rFonts w:hint="eastAsia" w:ascii="仿宋" w:hAnsi="仿宋" w:eastAsia="仿宋" w:cs="仿宋"/>
                <w:color w:val="000000"/>
                <w:kern w:val="0"/>
                <w:sz w:val="20"/>
                <w:szCs w:val="20"/>
                <w:lang w:bidi="ar"/>
              </w:rPr>
              <w:br w:type="textWrapping"/>
            </w:r>
            <w:r>
              <w:rPr>
                <w:rFonts w:ascii="仿宋" w:hAnsi="仿宋" w:eastAsia="仿宋" w:cs="仿宋"/>
                <w:color w:val="000000"/>
                <w:kern w:val="0"/>
                <w:sz w:val="20"/>
                <w:szCs w:val="20"/>
                <w:lang w:bidi="ar"/>
              </w:rPr>
              <w:t>7</w:t>
            </w:r>
            <w:r>
              <w:rPr>
                <w:rFonts w:hint="eastAsia" w:ascii="仿宋" w:hAnsi="仿宋" w:eastAsia="仿宋" w:cs="仿宋"/>
                <w:color w:val="000000"/>
                <w:kern w:val="0"/>
                <w:sz w:val="20"/>
                <w:szCs w:val="20"/>
                <w:lang w:bidi="ar"/>
              </w:rPr>
              <w:t>.设备内置有主备切换检测模块，在断网或断电的故障情况下，实现自动切换到100V定压备份通道，主备切换过程无卡顿、不掉字。</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w:t>
            </w:r>
            <w:r>
              <w:rPr>
                <w:rFonts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t>产品制造商知识产权管理体系符合GB\T29490-2013《知识产权管理体系认证》。</w:t>
            </w:r>
            <w:r>
              <w:rPr>
                <w:rFonts w:hint="eastAsia" w:ascii="仿宋" w:hAnsi="仿宋" w:eastAsia="仿宋" w:cs="仿宋"/>
                <w:color w:val="000000"/>
                <w:kern w:val="0"/>
                <w:sz w:val="22"/>
                <w:szCs w:val="22"/>
                <w:lang w:bidi="ar"/>
              </w:rPr>
              <w:t>（</w:t>
            </w:r>
            <w:r>
              <w:rPr>
                <w:rFonts w:hint="eastAsia" w:ascii="仿宋" w:hAnsi="仿宋" w:eastAsia="仿宋" w:cs="仿宋"/>
                <w:b/>
                <w:bCs/>
                <w:color w:val="000000"/>
                <w:kern w:val="0"/>
                <w:sz w:val="20"/>
                <w:szCs w:val="20"/>
                <w:lang w:bidi="ar"/>
              </w:rPr>
              <w:t>提供证书复印件和和官网截图加盖厂家有效公章</w:t>
            </w:r>
            <w:r>
              <w:rPr>
                <w:rFonts w:hint="eastAsia" w:ascii="仿宋" w:hAnsi="仿宋" w:eastAsia="仿宋" w:cs="仿宋"/>
                <w:color w:val="000000"/>
                <w:kern w:val="0"/>
                <w:sz w:val="22"/>
                <w:szCs w:val="22"/>
                <w:lang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数字IP网络平台终端嵌入软件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技术参数：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1.软件内嵌于数字IP网络平台终端设备，支撑设备各项基本功能的运行。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2.嵌入DSP音频处理技术，高保真解码音频文件；支持远程点播功能，支持节目播放。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4.支持播放背景音乐功能，支持单独调节音量。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5.支持播放本地服务器的MP3文件；支持单独播放或分区/全区播放。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IP网络功放终端</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1.设备采用标准19英寸机架设计，带有3.4英寸LCD显示屏。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2.内置1路网络硬件音频解码模块。</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3.支持1路线路输入和1路话筒输入接口，可独立调节音量。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4.支持高低音调节电位器控制。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5.具有1路EMC输入接口，具有最高优先级。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6.具有1路音频输出接口。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7.具有1路三线制强切输出接口，无需强切电源。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8.集成数字功放，功率≥350W；支持定压方式输出。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9.支持通过后台软件对终端进行远程固件升级。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10.具有1路RJ45网络接口，100Mbps传输速率。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11.频率响应范围80Hz～16KHz。</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12.信噪比＞65dB</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13.设备内置有主备切换检测模块，在断网或断电的故障情况下，实现自动切换到100V定压备份通道，主备切换过程无卡顿、不掉字。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数字IP网络平台终端嵌入软件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技术参数：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1.软件内嵌于数字IP网络平台终端设备，支撑设备各项基本功能的运行。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2.嵌入DSP音频处理技术，高保真解码音频文件；支持远程点播功能，支持节目播放。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4.支持播放背景音乐功能，支持单独调节音量。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5.支持播放本地服务器的MP3文件；支持单独播放或分区/全区播放。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IP网络功放终端</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1.设备采用标准19英寸机架设计，带有3.4英寸LCD显示屏。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2.内置1路网络硬件音频解码模块。</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3.支持1路线路输入和1路话筒输入接口，可独立调节音量。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4.支持高低音调节电位器控制。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5.具有1路EMC输入接口，具有最高优先级。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6.具有1路音频输出接口。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7.具有1路三线制强切输出接口，无需强切电源。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8.集成数字功放，功率≥500W；支持定压方式输出。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9.支持通过后台软件对终端进行远程固件升级。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10.具有1路RJ45网络接口，100Mbps传输速率。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11.频率响应范围80Hz～16KHz。</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12.信噪比＞65dB</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13.设备内置有主备切换检测模块，在断网或断电的故障情况下，实现自动切换到100V定压备份通道，主备切换过程无卡顿、不掉字。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数字IP网络平台终端嵌入软件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技术参数：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1.软件内嵌于数字IP网络平台终端设备，支撑设备各项基本功能的运行。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2.嵌入DSP音频处理技术，高保真解码音频文件；支持远程点播功能，支持节目播放。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3.支持新配置注册智能语音提示功能。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4.支持播放背景音乐功能，支持单独调节音量。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5.支持播放本地服务器的MP3文件；支持单独播放或分区/全区播放。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壁挂音箱</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1．额定功率（100V）：3W,6W,10W</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2．额定功率（70V）：1.5W,3W,5W</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3．灵敏度：91dB±3dB</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4．频率响应：130-18KHz</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5．喇叭单元：6.5"×1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6．防护等级：IP5X</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音柱</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1．额定功率（100V）：22.5W,45W</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2．额定功率（70V）：11.2W,22.5W</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3．灵敏度：91dB±3dB</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4．阻抗：黑:COM白:440Ω绿:220Ω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5．频率响应：50-18KHz</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6．喇叭单元：4"×4,2.5"×1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7．防护等级：IP66</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无线话筒</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1.频率指标：470-510M 540-590M 640-690M 740-790M 807-830MHz 五段（要求满足或优于此性能），调制方式：宽带FM，频道数目：500个频道。</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2.配套有1台接收主机和2个无线手持话筒。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4.带8级射频电平显示，8级音频电平显示，频道菜单显示，静音显示；具有SCAN 自动扫频功能，使用前按SET功能键自动找一个环境最干净的频点处停下来，此频率作为接收机的使用频率。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话筒呼叫控制嵌入软件</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1.软件内嵌于无线话筒系统设备，话筒呼叫控制功能。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2.采用UHF超高频段双真分集接收，并采用PLL锁相环多信道频率合成技术。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3.支持二次变频超外差接收机方式。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4.支持单独调节音量。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5.支持信道选择、频率可调、可设置主机与话筒配对。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话筒天线</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1.宽频定向天线680-960MHz；适用于GSM,CDMA,WCDMA,WLAN,LTE网络。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2.水平面波源宽度：60°、垂直面波源宽度： 50°。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IP音频采集器</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1.采集设备支持将模拟音频采集编码成数字音频，具有1路RJ45网络接口，支持定时采播任务、临时采播任务功能。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2.具有≥2组RCA音频输入接口，支持音量调节功能。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3.采播任务支持3种采集音质可选，支持普通、中级、高级音质选择模式。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交换机、前端机柜等设备</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前端设备机柜</w:t>
            </w:r>
          </w:p>
        </w:tc>
        <w:tc>
          <w:tcPr>
            <w:tcW w:w="10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9U挂墙机柜黑色，600*450*501mm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M6方螺母钉10套，内六角扳手1只，钥匙两把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交换机</w:t>
            </w:r>
          </w:p>
        </w:tc>
        <w:tc>
          <w:tcPr>
            <w:tcW w:w="10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16口千兆非网管交换机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tblPrEx>
          <w:tblCellMar>
            <w:top w:w="0" w:type="dxa"/>
            <w:left w:w="108" w:type="dxa"/>
            <w:bottom w:w="0" w:type="dxa"/>
            <w:right w:w="108" w:type="dxa"/>
          </w:tblCellMar>
        </w:tblPrEx>
        <w:tc>
          <w:tcPr>
            <w:tcW w:w="140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三、辅助材料</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音频连接线</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1.8米音频连接线：莲花（RCA）-莲花（RCA）</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音频连接线</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1.8米音频连接线：莲花（RCA）-6.35话筒插头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音频连接线</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1.8米音频连接线：3.5（耳机插头）-双莲花（RCA）</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音频连接线</w:t>
            </w:r>
          </w:p>
        </w:tc>
        <w:tc>
          <w:tcPr>
            <w:tcW w:w="1012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1.8米音频连接线：6.35话筒插头-6.35话筒插头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w:t>
            </w:r>
          </w:p>
        </w:tc>
      </w:tr>
      <w:tr>
        <w:tblPrEx>
          <w:tblCellMar>
            <w:top w:w="0" w:type="dxa"/>
            <w:left w:w="108" w:type="dxa"/>
            <w:bottom w:w="0" w:type="dxa"/>
            <w:right w:w="108" w:type="dxa"/>
          </w:tblCellMar>
        </w:tblPrEx>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辅材</w:t>
            </w:r>
          </w:p>
        </w:tc>
        <w:tc>
          <w:tcPr>
            <w:tcW w:w="10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配套辅材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批</w:t>
            </w:r>
          </w:p>
        </w:tc>
      </w:tr>
    </w:tbl>
    <w:p>
      <w:pPr>
        <w:pStyle w:val="10"/>
      </w:pPr>
    </w:p>
    <w:p>
      <w:pPr>
        <w:pStyle w:val="6"/>
        <w:rPr>
          <w:rFonts w:hint="eastAsia"/>
        </w:rPr>
        <w:sectPr>
          <w:pgSz w:w="16838" w:h="11906" w:orient="landscape"/>
          <w:pgMar w:top="1800" w:right="1440" w:bottom="1800" w:left="1440" w:header="851" w:footer="992" w:gutter="0"/>
          <w:cols w:space="425" w:num="1"/>
          <w:docGrid w:type="lines" w:linePitch="312" w:charSpace="0"/>
        </w:sectPr>
      </w:pPr>
    </w:p>
    <w:p>
      <w:pPr>
        <w:pStyle w:val="7"/>
        <w:rPr>
          <w:rFonts w:hint="eastAsia"/>
        </w:rPr>
      </w:pPr>
    </w:p>
    <w:p>
      <w:pPr>
        <w:pStyle w:val="10"/>
        <w:rPr>
          <w:rFonts w:ascii="宋体" w:hAnsi="宋体"/>
          <w:b/>
          <w:bCs/>
          <w:kern w:val="0"/>
          <w:sz w:val="36"/>
          <w:szCs w:val="36"/>
        </w:rPr>
        <w:sectPr>
          <w:pgSz w:w="11906" w:h="16838"/>
          <w:pgMar w:top="1440" w:right="1800" w:bottom="1440" w:left="1800" w:header="851" w:footer="992" w:gutter="0"/>
          <w:cols w:space="425" w:num="1"/>
          <w:docGrid w:type="lines" w:linePitch="312" w:charSpace="0"/>
        </w:sectPr>
      </w:pPr>
    </w:p>
    <w:bookmarkEnd w:id="201"/>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46</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0"/>
      </w:rPr>
    </w:pPr>
    <w:r>
      <w:fldChar w:fldCharType="begin"/>
    </w:r>
    <w:r>
      <w:rPr>
        <w:rStyle w:val="20"/>
      </w:rPr>
      <w:instrText xml:space="preserve">PAGE  </w:instrText>
    </w:r>
    <w:r>
      <w:fldChar w:fldCharType="separate"/>
    </w:r>
    <w:r>
      <w:rPr>
        <w:rStyle w:val="20"/>
      </w:rPr>
      <w:t>93</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rFonts w:hint="eastAsia"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3025C"/>
    <w:multiLevelType w:val="singleLevel"/>
    <w:tmpl w:val="B783025C"/>
    <w:lvl w:ilvl="0" w:tentative="0">
      <w:start w:val="1"/>
      <w:numFmt w:val="decimal"/>
      <w:suff w:val="nothing"/>
      <w:lvlText w:val="（%1）"/>
      <w:lvlJc w:val="left"/>
    </w:lvl>
  </w:abstractNum>
  <w:abstractNum w:abstractNumId="1">
    <w:nsid w:val="C7CC626F"/>
    <w:multiLevelType w:val="singleLevel"/>
    <w:tmpl w:val="C7CC626F"/>
    <w:lvl w:ilvl="0" w:tentative="0">
      <w:start w:val="2"/>
      <w:numFmt w:val="decimal"/>
      <w:lvlText w:val="%1."/>
      <w:lvlJc w:val="left"/>
      <w:pPr>
        <w:tabs>
          <w:tab w:val="left" w:pos="312"/>
        </w:tabs>
      </w:pPr>
    </w:lvl>
  </w:abstractNum>
  <w:abstractNum w:abstractNumId="2">
    <w:nsid w:val="EA8308CC"/>
    <w:multiLevelType w:val="singleLevel"/>
    <w:tmpl w:val="EA8308CC"/>
    <w:lvl w:ilvl="0" w:tentative="0">
      <w:start w:val="2"/>
      <w:numFmt w:val="decimal"/>
      <w:suff w:val="nothing"/>
      <w:lvlText w:val="%1、"/>
      <w:lvlJc w:val="left"/>
    </w:lvl>
  </w:abstractNum>
  <w:abstractNum w:abstractNumId="3">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6216F7"/>
    <w:rsid w:val="038E0F41"/>
    <w:rsid w:val="04984128"/>
    <w:rsid w:val="06756D13"/>
    <w:rsid w:val="07290B50"/>
    <w:rsid w:val="08D35DAA"/>
    <w:rsid w:val="09475D3E"/>
    <w:rsid w:val="0A801376"/>
    <w:rsid w:val="0C1935AD"/>
    <w:rsid w:val="0DEB5944"/>
    <w:rsid w:val="0E5C53BC"/>
    <w:rsid w:val="0EF7477F"/>
    <w:rsid w:val="137D1973"/>
    <w:rsid w:val="15255689"/>
    <w:rsid w:val="15F82971"/>
    <w:rsid w:val="165C3B5C"/>
    <w:rsid w:val="175058F1"/>
    <w:rsid w:val="184037E8"/>
    <w:rsid w:val="186668BF"/>
    <w:rsid w:val="19F17807"/>
    <w:rsid w:val="1A196A7D"/>
    <w:rsid w:val="1C9452C2"/>
    <w:rsid w:val="1DD70CFA"/>
    <w:rsid w:val="1DF10FAB"/>
    <w:rsid w:val="1EFA6128"/>
    <w:rsid w:val="1F8D00E4"/>
    <w:rsid w:val="20967991"/>
    <w:rsid w:val="216F5562"/>
    <w:rsid w:val="233C481F"/>
    <w:rsid w:val="24547A4B"/>
    <w:rsid w:val="247B0CA5"/>
    <w:rsid w:val="25235D9C"/>
    <w:rsid w:val="257D04DC"/>
    <w:rsid w:val="27443319"/>
    <w:rsid w:val="2850574D"/>
    <w:rsid w:val="285831B1"/>
    <w:rsid w:val="28770D9A"/>
    <w:rsid w:val="2A671934"/>
    <w:rsid w:val="2BE35D47"/>
    <w:rsid w:val="2D6E33C1"/>
    <w:rsid w:val="2DCC01E1"/>
    <w:rsid w:val="30186411"/>
    <w:rsid w:val="310E78E4"/>
    <w:rsid w:val="31FB7E64"/>
    <w:rsid w:val="328517B5"/>
    <w:rsid w:val="3351175F"/>
    <w:rsid w:val="34A417A5"/>
    <w:rsid w:val="34D7764C"/>
    <w:rsid w:val="34FA3E85"/>
    <w:rsid w:val="351A1832"/>
    <w:rsid w:val="35BE10C4"/>
    <w:rsid w:val="363870C8"/>
    <w:rsid w:val="3706498E"/>
    <w:rsid w:val="37114FDB"/>
    <w:rsid w:val="37CA01F4"/>
    <w:rsid w:val="385E40CF"/>
    <w:rsid w:val="38CD682C"/>
    <w:rsid w:val="39047A4B"/>
    <w:rsid w:val="39B851CF"/>
    <w:rsid w:val="3A310E1D"/>
    <w:rsid w:val="3AD01FF6"/>
    <w:rsid w:val="3D881D51"/>
    <w:rsid w:val="3E496DDE"/>
    <w:rsid w:val="3F422D66"/>
    <w:rsid w:val="403E282D"/>
    <w:rsid w:val="40932815"/>
    <w:rsid w:val="40A807F1"/>
    <w:rsid w:val="42C14ECA"/>
    <w:rsid w:val="443A2BDC"/>
    <w:rsid w:val="459736E0"/>
    <w:rsid w:val="4A7702CF"/>
    <w:rsid w:val="4A95206B"/>
    <w:rsid w:val="4B0E5F1A"/>
    <w:rsid w:val="4B7345A2"/>
    <w:rsid w:val="4CAC7A71"/>
    <w:rsid w:val="4CC36695"/>
    <w:rsid w:val="4D637695"/>
    <w:rsid w:val="4D651E96"/>
    <w:rsid w:val="4DC32BE1"/>
    <w:rsid w:val="4E772F1B"/>
    <w:rsid w:val="51BB7745"/>
    <w:rsid w:val="524D058D"/>
    <w:rsid w:val="54C16083"/>
    <w:rsid w:val="54F10CF7"/>
    <w:rsid w:val="55913271"/>
    <w:rsid w:val="56105181"/>
    <w:rsid w:val="5611120D"/>
    <w:rsid w:val="56B66F7F"/>
    <w:rsid w:val="59121BBE"/>
    <w:rsid w:val="59C10F72"/>
    <w:rsid w:val="5A360908"/>
    <w:rsid w:val="5A7A577C"/>
    <w:rsid w:val="5A8753C3"/>
    <w:rsid w:val="5B475739"/>
    <w:rsid w:val="5DEB789F"/>
    <w:rsid w:val="61403446"/>
    <w:rsid w:val="616137A3"/>
    <w:rsid w:val="62B45479"/>
    <w:rsid w:val="6502071E"/>
    <w:rsid w:val="65DE12EA"/>
    <w:rsid w:val="65F75DA9"/>
    <w:rsid w:val="66074996"/>
    <w:rsid w:val="66ED7316"/>
    <w:rsid w:val="68195C28"/>
    <w:rsid w:val="683A33C3"/>
    <w:rsid w:val="6D0D7BDF"/>
    <w:rsid w:val="6DC353B5"/>
    <w:rsid w:val="6E281337"/>
    <w:rsid w:val="6E46269D"/>
    <w:rsid w:val="6E7D027E"/>
    <w:rsid w:val="70022BE6"/>
    <w:rsid w:val="70252A2E"/>
    <w:rsid w:val="70562548"/>
    <w:rsid w:val="747700FF"/>
    <w:rsid w:val="760075B9"/>
    <w:rsid w:val="767553EF"/>
    <w:rsid w:val="77906251"/>
    <w:rsid w:val="780D6D66"/>
    <w:rsid w:val="786D5795"/>
    <w:rsid w:val="78C80F3C"/>
    <w:rsid w:val="79892D64"/>
    <w:rsid w:val="79F774AC"/>
    <w:rsid w:val="7A5E3D83"/>
    <w:rsid w:val="7AE428A2"/>
    <w:rsid w:val="7AF133F5"/>
    <w:rsid w:val="7FC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rPr>
      <w:sz w:val="21"/>
    </w:rPr>
  </w:style>
  <w:style w:type="paragraph" w:styleId="6">
    <w:name w:val="Body Text"/>
    <w:basedOn w:val="1"/>
    <w:next w:val="7"/>
    <w:qFormat/>
    <w:uiPriority w:val="0"/>
    <w:pPr>
      <w:spacing w:after="120"/>
    </w:pPr>
    <w:rPr>
      <w:sz w:val="21"/>
    </w:rPr>
  </w:style>
  <w:style w:type="paragraph" w:customStyle="1" w:styleId="7">
    <w:name w:val="纯文本1"/>
    <w:basedOn w:val="1"/>
    <w:qFormat/>
    <w:uiPriority w:val="0"/>
    <w:rPr>
      <w:rFonts w:ascii="宋体" w:hAnsi="Courier New"/>
      <w:szCs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ascii="monospace" w:hAnsi="monospace" w:eastAsia="monospace" w:cs="monospace"/>
      <w:sz w:val="20"/>
    </w:rPr>
  </w:style>
  <w:style w:type="character" w:styleId="25">
    <w:name w:val="HTML Acronym"/>
    <w:basedOn w:val="18"/>
    <w:qFormat/>
    <w:uiPriority w:val="0"/>
    <w:rPr>
      <w:bdr w:val="none" w:color="auto" w:sz="0" w:space="0"/>
    </w:rPr>
  </w:style>
  <w:style w:type="character" w:styleId="26">
    <w:name w:val="HTML Variable"/>
    <w:basedOn w:val="18"/>
    <w:qFormat/>
    <w:uiPriority w:val="0"/>
  </w:style>
  <w:style w:type="character" w:styleId="27">
    <w:name w:val="Hyperlink"/>
    <w:qFormat/>
    <w:uiPriority w:val="99"/>
    <w:rPr>
      <w:color w:val="000099"/>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styleId="32">
    <w:name w:val="List Paragraph"/>
    <w:basedOn w:val="1"/>
    <w:unhideWhenUsed/>
    <w:qFormat/>
    <w:uiPriority w:val="99"/>
    <w:pPr>
      <w:ind w:firstLine="420" w:firstLineChars="200"/>
    </w:pPr>
  </w:style>
  <w:style w:type="paragraph" w:customStyle="1" w:styleId="33">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4">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112"/>
    <w:basedOn w:val="18"/>
    <w:qFormat/>
    <w:uiPriority w:val="0"/>
    <w:rPr>
      <w:rFonts w:ascii="Symbol" w:hAnsi="Symbol" w:cs="Symbol"/>
      <w:color w:val="000000"/>
      <w:sz w:val="24"/>
      <w:szCs w:val="24"/>
      <w:u w:val="none"/>
    </w:rPr>
  </w:style>
  <w:style w:type="character" w:customStyle="1" w:styleId="36">
    <w:name w:val="font61"/>
    <w:basedOn w:val="18"/>
    <w:qFormat/>
    <w:uiPriority w:val="0"/>
    <w:rPr>
      <w:rFonts w:hint="eastAsia" w:ascii="宋体" w:hAnsi="宋体" w:eastAsia="宋体" w:cs="宋体"/>
      <w:color w:val="000000"/>
      <w:sz w:val="24"/>
      <w:szCs w:val="24"/>
      <w:u w:val="none"/>
    </w:rPr>
  </w:style>
  <w:style w:type="paragraph" w:customStyle="1" w:styleId="37">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8">
    <w:name w:val="标题 5（有编号）（绿盟科技）"/>
    <w:basedOn w:val="1"/>
    <w:next w:val="39"/>
    <w:qFormat/>
    <w:uiPriority w:val="0"/>
    <w:pPr>
      <w:keepNext/>
      <w:keepLines/>
      <w:numPr>
        <w:ilvl w:val="4"/>
        <w:numId w:val="1"/>
      </w:numPr>
      <w:spacing w:before="280" w:after="156" w:line="377" w:lineRule="auto"/>
      <w:outlineLvl w:val="4"/>
    </w:pPr>
    <w:rPr>
      <w:rFonts w:eastAsia="黑体"/>
      <w:b/>
      <w:szCs w:val="28"/>
    </w:rPr>
  </w:style>
  <w:style w:type="paragraph" w:customStyle="1" w:styleId="39">
    <w:name w:val="正文（绿盟科技）"/>
    <w:next w:val="38"/>
    <w:qFormat/>
    <w:uiPriority w:val="0"/>
    <w:pPr>
      <w:spacing w:line="300" w:lineRule="auto"/>
    </w:pPr>
    <w:rPr>
      <w:rFonts w:ascii="Times New Roman" w:hAnsi="Times New Roman" w:eastAsia="宋体" w:cs="黑体"/>
      <w:sz w:val="21"/>
      <w:szCs w:val="21"/>
      <w:lang w:val="en-US" w:eastAsia="zh-CN" w:bidi="ar-SA"/>
    </w:rPr>
  </w:style>
  <w:style w:type="table" w:customStyle="1" w:styleId="40">
    <w:name w:val="网格型4"/>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41501</Words>
  <Characters>49139</Characters>
  <Lines>359</Lines>
  <Paragraphs>101</Paragraphs>
  <TotalTime>2</TotalTime>
  <ScaleCrop>false</ScaleCrop>
  <LinksUpToDate>false</LinksUpToDate>
  <CharactersWithSpaces>50765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2021-09-27T01:22:00Z</dcterms:created>
  <dc:creator>一切都好</dc:creator>
  <cp:lastModifiedBy>Administrator</cp:lastModifiedBy>
  <cp:lastPrinted>2022-05-27T04:00:00Z</cp:lastPrinted>
  <dcterms:modified xsi:type="dcterms:W3CDTF">2022-05-30T08:24:39Z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4A197446570842CDB595973926C18E3B</vt:lpwstr>
  </property>
</Properties>
</file>