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B" w:rsidRDefault="00164D6E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/>
        </w:rPr>
        <w:t>服务范围：</w:t>
      </w:r>
      <w:bookmarkStart w:id="0" w:name="_GoBack"/>
      <w:bookmarkEnd w:id="0"/>
      <w:r w:rsidR="004B4FDB">
        <w:rPr>
          <w:rFonts w:ascii="宋体" w:eastAsia="宋体" w:hAnsi="宋体" w:cs="宋体" w:hint="eastAsia"/>
          <w:color w:val="auto"/>
          <w:szCs w:val="24"/>
          <w:lang w:val="zh-TW" w:eastAsia="zh-TW"/>
        </w:rPr>
        <w:t>1、提供中日科技创新交流服务，完成全年中日合作需求、供给和项目清单整理，建立中日合作基本信息工作台账，促进中日双方项目、人才、技术需求对接40项以上。</w:t>
      </w:r>
    </w:p>
    <w:p w:rsidR="004B4FDB" w:rsidRDefault="004B4FDB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2、完成成都市国别合作园区的走访调研，重点对接中德、中法、中日、中韩等国别合作园区，建立长效沟通合作机制，促进项目、人才、技术需求对接不低于10项。</w:t>
      </w:r>
    </w:p>
    <w:p w:rsidR="004B4FDB" w:rsidRDefault="004B4FDB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3、建立并定期完善我市国际合作项目基本信息工作台账，完成国际合作项目经典案例汇编成册</w:t>
      </w:r>
    </w:p>
    <w:p w:rsidR="004B4FDB" w:rsidRDefault="004B4FDB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4、举办4场针对在蓉外资企业、国际性研发机构的高层管理人员、核心技术人员以及在蓉外国专家人才的沙龙、座谈会等交流活动。</w:t>
      </w:r>
    </w:p>
    <w:p w:rsidR="004B4FDB" w:rsidRDefault="004B4FDB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</w:rPr>
      </w:pPr>
      <w:r>
        <w:rPr>
          <w:rFonts w:ascii="宋体" w:eastAsia="宋体" w:hAnsi="宋体" w:cs="宋体"/>
          <w:color w:val="FF0000"/>
          <w:szCs w:val="24"/>
        </w:rPr>
        <w:t>5、完成国际科技合作项目资助的政策解读2场，为外国高层次人才提供政策咨询、申报指导工作并与国内相关机构、人员交流对接服务200人次以上</w:t>
      </w:r>
      <w:r>
        <w:rPr>
          <w:rFonts w:ascii="宋体" w:eastAsia="宋体" w:hAnsi="宋体" w:cs="宋体" w:hint="eastAsia"/>
          <w:color w:val="FF0000"/>
          <w:szCs w:val="24"/>
        </w:rPr>
        <w:t>。</w:t>
      </w:r>
    </w:p>
    <w:p w:rsidR="004B4FDB" w:rsidRDefault="004B4FDB" w:rsidP="004B4FDB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</w:rPr>
        <w:t>6</w:t>
      </w: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、为外国人来蓉工作，在办理工作许可、邀请函、居留许可等事项时，提供政策咨询、手续办理等保障服务，服务人数5000人次以上。</w:t>
      </w: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color w:val="auto"/>
          <w:szCs w:val="24"/>
          <w:lang w:val="zh-TW"/>
        </w:rPr>
      </w:pP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/>
        </w:rPr>
        <w:lastRenderedPageBreak/>
        <w:t>服务要求：</w:t>
      </w:r>
      <w:r>
        <w:rPr>
          <w:rFonts w:ascii="宋体" w:eastAsia="宋体" w:hAnsi="宋体" w:cs="宋体" w:hint="eastAsia"/>
          <w:color w:val="auto"/>
          <w:szCs w:val="24"/>
          <w:lang w:val="zh-TW"/>
        </w:rPr>
        <w:t>1、</w:t>
      </w: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围绕“积极推动中日科技创新交流、助力高标准国别合作园区建设和发展、为在蓉外资企业和国际性研发机构提供国际科技创新服务，加快建设具有全国影响力的科技创新中心”等内容，顺利开展2021年“国际科技创新合作工作”，拓宽对外开放交流渠道，推动全球优势科技创新资源集聚，赋能产业园区和国别园区高质量发展。</w:t>
      </w: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2、须具有涉外服务的条件和能力，工作人员普通话和英语流利，协调能力、应变能力强。</w:t>
      </w:r>
    </w:p>
    <w:p w:rsidR="00164D6E" w:rsidRDefault="00164D6E" w:rsidP="00164D6E">
      <w:pPr>
        <w:pStyle w:val="A3"/>
        <w:spacing w:line="360" w:lineRule="auto"/>
        <w:ind w:firstLineChars="200" w:firstLine="480"/>
        <w:rPr>
          <w:rFonts w:ascii="宋体" w:eastAsia="宋体" w:hAnsi="宋体" w:cs="宋体"/>
          <w:color w:val="auto"/>
          <w:szCs w:val="24"/>
          <w:lang w:val="zh-TW" w:eastAsia="zh-TW"/>
        </w:rPr>
      </w:pPr>
      <w:r>
        <w:rPr>
          <w:rFonts w:ascii="宋体" w:eastAsia="宋体" w:hAnsi="宋体" w:cs="宋体" w:hint="eastAsia"/>
          <w:color w:val="auto"/>
          <w:szCs w:val="24"/>
          <w:lang w:val="zh-TW" w:eastAsia="zh-TW"/>
        </w:rPr>
        <w:t>3、供应商的策划团队人员配置数量在不少于4人。</w:t>
      </w:r>
    </w:p>
    <w:p w:rsidR="00734BF4" w:rsidRDefault="00734BF4">
      <w:pPr>
        <w:rPr>
          <w:lang w:eastAsia="zh-TW"/>
        </w:rPr>
      </w:pPr>
    </w:p>
    <w:sectPr w:rsidR="0073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AA" w:rsidRDefault="007A69AA" w:rsidP="00164D6E">
      <w:r>
        <w:separator/>
      </w:r>
    </w:p>
  </w:endnote>
  <w:endnote w:type="continuationSeparator" w:id="0">
    <w:p w:rsidR="007A69AA" w:rsidRDefault="007A69AA" w:rsidP="001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AA" w:rsidRDefault="007A69AA" w:rsidP="00164D6E">
      <w:r>
        <w:separator/>
      </w:r>
    </w:p>
  </w:footnote>
  <w:footnote w:type="continuationSeparator" w:id="0">
    <w:p w:rsidR="007A69AA" w:rsidRDefault="007A69AA" w:rsidP="0016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B"/>
    <w:rsid w:val="00164D6E"/>
    <w:rsid w:val="004B4FDB"/>
    <w:rsid w:val="00734BF4"/>
    <w:rsid w:val="007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next w:val="a"/>
    <w:qFormat/>
    <w:rsid w:val="004B4FDB"/>
    <w:rPr>
      <w:rFonts w:ascii="Calibri" w:eastAsia="ヒラギノ角ゴ Pro W3" w:hAnsi="Calibri" w:cs="Times New Roman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6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4D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4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next w:val="a"/>
    <w:qFormat/>
    <w:rsid w:val="004B4FDB"/>
    <w:rPr>
      <w:rFonts w:ascii="Calibri" w:eastAsia="ヒラギノ角ゴ Pro W3" w:hAnsi="Calibri" w:cs="Times New Roman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6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4D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4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thtfpc</cp:lastModifiedBy>
  <cp:revision>2</cp:revision>
  <dcterms:created xsi:type="dcterms:W3CDTF">2021-08-16T06:23:00Z</dcterms:created>
  <dcterms:modified xsi:type="dcterms:W3CDTF">2021-08-16T06:25:00Z</dcterms:modified>
</cp:coreProperties>
</file>