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z w:val="36"/>
          <w:szCs w:val="36"/>
          <w:lang w:val="zh-CN"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 w:eastAsia="zh-CN"/>
        </w:rPr>
        <w:t>贵德县乡村三级物流体系项目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 w:eastAsia="zh-CN"/>
        </w:rPr>
        <w:t>成交结果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公告</w:t>
      </w:r>
    </w:p>
    <w:tbl>
      <w:tblPr>
        <w:tblStyle w:val="12"/>
        <w:tblpPr w:leftFromText="180" w:rightFromText="180" w:vertAnchor="text" w:horzAnchor="page" w:tblpX="1507" w:tblpY="179"/>
        <w:tblOverlap w:val="never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7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zh-CN" w:eastAsia="zh-CN" w:bidi="ar-SA"/>
              </w:rPr>
              <w:t>采购项目名称</w:t>
            </w:r>
          </w:p>
        </w:tc>
        <w:tc>
          <w:tcPr>
            <w:tcW w:w="726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zh-CN" w:eastAsia="zh-CN" w:bidi="ar-SA"/>
              </w:rPr>
              <w:t>贵德县乡村三级物流体系项目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采购项目编号</w:t>
            </w:r>
          </w:p>
        </w:tc>
        <w:tc>
          <w:tcPr>
            <w:tcW w:w="7267" w:type="dxa"/>
            <w:noWrap w:val="0"/>
            <w:vAlign w:val="center"/>
          </w:tcPr>
          <w:p>
            <w:pPr>
              <w:pStyle w:val="11"/>
              <w:spacing w:before="0" w:after="0" w:line="40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zh-CN" w:eastAsia="zh-CN" w:bidi="ar-SA"/>
              </w:rPr>
              <w:t>佳铭竞磋（货物）2023-001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采购方式</w:t>
            </w:r>
          </w:p>
        </w:tc>
        <w:tc>
          <w:tcPr>
            <w:tcW w:w="726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竞争性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磋商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采购预算控制额度</w:t>
            </w:r>
          </w:p>
        </w:tc>
        <w:tc>
          <w:tcPr>
            <w:tcW w:w="726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zh-CN" w:eastAsia="zh-CN"/>
              </w:rPr>
              <w:t>民币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1000000.00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zh-CN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成交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  <w:t>金额</w:t>
            </w:r>
          </w:p>
        </w:tc>
        <w:tc>
          <w:tcPr>
            <w:tcW w:w="726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  <w:t>人民币996000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.00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zh-CN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公告发布日期</w:t>
            </w:r>
          </w:p>
        </w:tc>
        <w:tc>
          <w:tcPr>
            <w:tcW w:w="726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评标日期</w:t>
            </w:r>
          </w:p>
        </w:tc>
        <w:tc>
          <w:tcPr>
            <w:tcW w:w="726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定标日期</w:t>
            </w:r>
          </w:p>
        </w:tc>
        <w:tc>
          <w:tcPr>
            <w:tcW w:w="726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各包要求</w:t>
            </w:r>
          </w:p>
        </w:tc>
        <w:tc>
          <w:tcPr>
            <w:tcW w:w="726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详见《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竞争性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磋商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文件》。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供应商名称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各包成交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zh-CN"/>
              </w:rPr>
              <w:t>内容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、价格、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zh-CN"/>
              </w:rPr>
              <w:t>服务期</w:t>
            </w:r>
          </w:p>
        </w:tc>
        <w:tc>
          <w:tcPr>
            <w:tcW w:w="726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成交供应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  <w:t>商：广州市中侨汇益信息技术有限公司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成交金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  <w:t>额：996000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.00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zh-CN" w:eastAsia="zh-CN"/>
              </w:rPr>
              <w:t>元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服务期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  <w:t>：具体时间按合同约定执行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成交内容：详见《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竞争性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磋商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文件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磋商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地点</w:t>
            </w:r>
          </w:p>
        </w:tc>
        <w:tc>
          <w:tcPr>
            <w:tcW w:w="7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西宁市城西区西川南路76号1号楼24层1241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zh-CN"/>
              </w:rPr>
              <w:t>磋商小组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成员名单</w:t>
            </w:r>
          </w:p>
        </w:tc>
        <w:tc>
          <w:tcPr>
            <w:tcW w:w="7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  <w:t>张庆军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zh-CN"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组长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zh-CN"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  <w:t>,李平,张玲(采购人代表)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采购人及联系方式</w:t>
            </w:r>
          </w:p>
        </w:tc>
        <w:tc>
          <w:tcPr>
            <w:tcW w:w="7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名 称：贵德县发展和改革局</w:t>
            </w:r>
          </w:p>
          <w:p>
            <w:pPr>
              <w:spacing w:line="400" w:lineRule="exac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地 址：青海省海南藏族自治州贵德县河阴镇迎宾东路89号</w:t>
            </w:r>
          </w:p>
          <w:p>
            <w:pPr>
              <w:spacing w:line="400" w:lineRule="exac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联 系 人：张女士 </w:t>
            </w:r>
          </w:p>
          <w:p>
            <w:pPr>
              <w:spacing w:line="400" w:lineRule="exac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联系电话：0974-8553345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采购代理机构及联系方式</w:t>
            </w:r>
          </w:p>
        </w:tc>
        <w:tc>
          <w:tcPr>
            <w:tcW w:w="7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  <w:t>名 称：佳铭工程项目管理有限公司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  <w:t>地 址：西宁市城西区西川南路76号1号楼24层12414/12415室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  <w:t>联 系 人：李先生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  <w:t>联系电话：13997096172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监督单位及联系电话</w:t>
            </w:r>
          </w:p>
        </w:tc>
        <w:tc>
          <w:tcPr>
            <w:tcW w:w="726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  <w:t>监督单位：贵德县财政局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/>
              </w:rPr>
              <w:t>联系电话：0974-8552775</w:t>
            </w:r>
          </w:p>
        </w:tc>
      </w:tr>
    </w:tbl>
    <w:p>
      <w:pPr>
        <w:spacing w:line="400" w:lineRule="exact"/>
        <w:ind w:firstLine="4080" w:firstLineChars="1700"/>
        <w:jc w:val="both"/>
        <w:rPr>
          <w:rFonts w:hint="eastAsia" w:ascii="宋体" w:hAnsi="Calibri" w:cs="宋体"/>
          <w:kern w:val="0"/>
          <w:sz w:val="24"/>
          <w:szCs w:val="24"/>
          <w:lang w:val="zh-CN" w:eastAsia="zh-CN"/>
        </w:rPr>
      </w:pPr>
    </w:p>
    <w:p>
      <w:pPr>
        <w:spacing w:line="400" w:lineRule="exact"/>
        <w:ind w:firstLine="4080" w:firstLineChars="1700"/>
        <w:jc w:val="both"/>
        <w:rPr>
          <w:rFonts w:hint="eastAsia" w:ascii="宋体" w:hAnsi="Calibri" w:cs="宋体"/>
          <w:kern w:val="0"/>
          <w:sz w:val="24"/>
          <w:szCs w:val="24"/>
          <w:lang w:val="zh-CN" w:eastAsia="zh-CN"/>
        </w:rPr>
      </w:pPr>
    </w:p>
    <w:p>
      <w:pPr>
        <w:spacing w:line="400" w:lineRule="exact"/>
        <w:ind w:firstLine="4800" w:firstLineChars="2000"/>
        <w:jc w:val="both"/>
        <w:rPr>
          <w:rFonts w:hint="eastAsia" w:ascii="宋体" w:hAnsi="Calibri" w:cs="宋体"/>
          <w:kern w:val="0"/>
          <w:sz w:val="24"/>
          <w:szCs w:val="24"/>
          <w:lang w:val="zh-CN" w:eastAsia="zh-CN"/>
        </w:rPr>
      </w:pPr>
      <w:r>
        <w:rPr>
          <w:rFonts w:hint="eastAsia" w:ascii="宋体" w:hAnsi="Calibri" w:cs="宋体"/>
          <w:kern w:val="0"/>
          <w:sz w:val="24"/>
          <w:szCs w:val="24"/>
          <w:lang w:val="zh-CN" w:eastAsia="zh-CN"/>
        </w:rPr>
        <w:t>佳铭工程项目管理有限公司</w:t>
      </w:r>
    </w:p>
    <w:p>
      <w:pPr>
        <w:spacing w:line="400" w:lineRule="exact"/>
        <w:ind w:firstLine="5280" w:firstLineChars="2200"/>
        <w:jc w:val="both"/>
        <w:rPr>
          <w:rFonts w:hint="eastAsia" w:ascii="Calibri" w:hAnsi="Calibri" w:eastAsia="宋体" w:cs="黑体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ascii="宋体" w:hAnsi="Calibri" w:cs="宋体"/>
          <w:kern w:val="0"/>
          <w:sz w:val="24"/>
          <w:szCs w:val="24"/>
          <w:lang w:val="zh-CN"/>
        </w:rPr>
        <w:t>20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23</w:t>
      </w:r>
      <w:r>
        <w:rPr>
          <w:rFonts w:ascii="宋体" w:hAnsi="Calibri" w:cs="宋体"/>
          <w:kern w:val="0"/>
          <w:sz w:val="24"/>
          <w:szCs w:val="24"/>
          <w:lang w:val="zh-CN"/>
        </w:rPr>
        <w:t>年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03</w:t>
      </w:r>
      <w:r>
        <w:rPr>
          <w:rFonts w:ascii="宋体" w:hAnsi="Calibri" w:cs="宋体"/>
          <w:kern w:val="0"/>
          <w:sz w:val="24"/>
          <w:szCs w:val="24"/>
          <w:lang w:val="zh-CN"/>
        </w:rPr>
        <w:t>月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07</w:t>
      </w:r>
      <w:r>
        <w:rPr>
          <w:rFonts w:ascii="宋体" w:hAnsi="Calibri" w:cs="宋体"/>
          <w:kern w:val="0"/>
          <w:sz w:val="24"/>
          <w:szCs w:val="24"/>
          <w:lang w:val="zh-CN"/>
        </w:rPr>
        <w:t xml:space="preserve">日 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4AE514D1"/>
    <w:rsid w:val="0172146A"/>
    <w:rsid w:val="05732FD5"/>
    <w:rsid w:val="06290C07"/>
    <w:rsid w:val="08516E68"/>
    <w:rsid w:val="0B177CA8"/>
    <w:rsid w:val="0B1F33EE"/>
    <w:rsid w:val="0C5B6570"/>
    <w:rsid w:val="0DF02F0C"/>
    <w:rsid w:val="0EF76330"/>
    <w:rsid w:val="0F5031A5"/>
    <w:rsid w:val="119F3DF9"/>
    <w:rsid w:val="13350E21"/>
    <w:rsid w:val="13424F9C"/>
    <w:rsid w:val="13537ED2"/>
    <w:rsid w:val="13CB5FFB"/>
    <w:rsid w:val="1404220B"/>
    <w:rsid w:val="141C258C"/>
    <w:rsid w:val="14512F81"/>
    <w:rsid w:val="167B4B1A"/>
    <w:rsid w:val="18B701DA"/>
    <w:rsid w:val="18C73937"/>
    <w:rsid w:val="18D7100D"/>
    <w:rsid w:val="195E2B01"/>
    <w:rsid w:val="1AA0203D"/>
    <w:rsid w:val="1B043BA1"/>
    <w:rsid w:val="1D204696"/>
    <w:rsid w:val="21501FCF"/>
    <w:rsid w:val="217A5B09"/>
    <w:rsid w:val="2208041A"/>
    <w:rsid w:val="22337478"/>
    <w:rsid w:val="239E4BA2"/>
    <w:rsid w:val="245F5B6F"/>
    <w:rsid w:val="25824B94"/>
    <w:rsid w:val="25E64175"/>
    <w:rsid w:val="262A59F0"/>
    <w:rsid w:val="274B44D1"/>
    <w:rsid w:val="278D17F5"/>
    <w:rsid w:val="27AC45CF"/>
    <w:rsid w:val="29D977AF"/>
    <w:rsid w:val="29DD3F3B"/>
    <w:rsid w:val="2A0045A7"/>
    <w:rsid w:val="2C5248D2"/>
    <w:rsid w:val="2C6B1F89"/>
    <w:rsid w:val="2DAE0D1D"/>
    <w:rsid w:val="2DCC3428"/>
    <w:rsid w:val="2EB50CE4"/>
    <w:rsid w:val="2F0C297B"/>
    <w:rsid w:val="2F5C3325"/>
    <w:rsid w:val="2FDC74FE"/>
    <w:rsid w:val="30EC113B"/>
    <w:rsid w:val="314D532D"/>
    <w:rsid w:val="338815C5"/>
    <w:rsid w:val="33937E0A"/>
    <w:rsid w:val="342A6046"/>
    <w:rsid w:val="34F14F1C"/>
    <w:rsid w:val="351C000D"/>
    <w:rsid w:val="36864348"/>
    <w:rsid w:val="39E34E3F"/>
    <w:rsid w:val="39FE171B"/>
    <w:rsid w:val="3A64119B"/>
    <w:rsid w:val="3BFB72FF"/>
    <w:rsid w:val="3E1A5306"/>
    <w:rsid w:val="3E9201DD"/>
    <w:rsid w:val="3ED70C1E"/>
    <w:rsid w:val="3F865CF4"/>
    <w:rsid w:val="406C085E"/>
    <w:rsid w:val="40901379"/>
    <w:rsid w:val="409825F0"/>
    <w:rsid w:val="4114603C"/>
    <w:rsid w:val="422E0FAE"/>
    <w:rsid w:val="42843D22"/>
    <w:rsid w:val="42D74207"/>
    <w:rsid w:val="43CE78F6"/>
    <w:rsid w:val="456143C1"/>
    <w:rsid w:val="466D1789"/>
    <w:rsid w:val="46D14351"/>
    <w:rsid w:val="47B106DD"/>
    <w:rsid w:val="49B358D6"/>
    <w:rsid w:val="4AAE12AF"/>
    <w:rsid w:val="4AE514D1"/>
    <w:rsid w:val="4BA40DF6"/>
    <w:rsid w:val="4CD63A9E"/>
    <w:rsid w:val="4F8B280F"/>
    <w:rsid w:val="5072548A"/>
    <w:rsid w:val="515B3C1A"/>
    <w:rsid w:val="53144C5A"/>
    <w:rsid w:val="53F440B4"/>
    <w:rsid w:val="540F593C"/>
    <w:rsid w:val="556D3F08"/>
    <w:rsid w:val="55D207CC"/>
    <w:rsid w:val="56880E73"/>
    <w:rsid w:val="584A710A"/>
    <w:rsid w:val="5A263038"/>
    <w:rsid w:val="5B974058"/>
    <w:rsid w:val="5F313A58"/>
    <w:rsid w:val="5F5B3901"/>
    <w:rsid w:val="5FE87E87"/>
    <w:rsid w:val="61C0399D"/>
    <w:rsid w:val="61FC7A95"/>
    <w:rsid w:val="620E766E"/>
    <w:rsid w:val="622F6A2E"/>
    <w:rsid w:val="63230804"/>
    <w:rsid w:val="65954F20"/>
    <w:rsid w:val="6654092C"/>
    <w:rsid w:val="67F05DB9"/>
    <w:rsid w:val="68E112C5"/>
    <w:rsid w:val="69424238"/>
    <w:rsid w:val="6A826F13"/>
    <w:rsid w:val="6BDD7130"/>
    <w:rsid w:val="6CA96F32"/>
    <w:rsid w:val="6D714693"/>
    <w:rsid w:val="6E0F4A26"/>
    <w:rsid w:val="6F5A1CBD"/>
    <w:rsid w:val="71967516"/>
    <w:rsid w:val="71DC5E53"/>
    <w:rsid w:val="724E1E2C"/>
    <w:rsid w:val="73C547AD"/>
    <w:rsid w:val="74FD2E33"/>
    <w:rsid w:val="76CB454E"/>
    <w:rsid w:val="772F1F26"/>
    <w:rsid w:val="77CB73F4"/>
    <w:rsid w:val="796835E2"/>
    <w:rsid w:val="7A9D6670"/>
    <w:rsid w:val="7B041C9F"/>
    <w:rsid w:val="7B625A7B"/>
    <w:rsid w:val="7B7D4202"/>
    <w:rsid w:val="7C7573AE"/>
    <w:rsid w:val="7D721C7A"/>
    <w:rsid w:val="7EB26A4F"/>
    <w:rsid w:val="7EE65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hint="eastAsia"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next w:val="6"/>
    <w:qFormat/>
    <w:uiPriority w:val="99"/>
    <w:pPr>
      <w:spacing w:after="120"/>
    </w:pPr>
    <w:rPr>
      <w:kern w:val="0"/>
      <w:sz w:val="20"/>
    </w:rPr>
  </w:style>
  <w:style w:type="paragraph" w:customStyle="1" w:styleId="6">
    <w:name w:val="一级条标题"/>
    <w:basedOn w:val="7"/>
    <w:next w:val="8"/>
    <w:qFormat/>
    <w:uiPriority w:val="99"/>
    <w:pPr>
      <w:widowControl/>
      <w:spacing w:line="240" w:lineRule="auto"/>
      <w:ind w:left="420" w:firstLine="0" w:firstLineChars="0"/>
      <w:outlineLvl w:val="2"/>
    </w:pPr>
    <w:rPr>
      <w:rFonts w:ascii="黑体" w:eastAsia="黑体"/>
    </w:rPr>
  </w:style>
  <w:style w:type="paragraph" w:customStyle="1" w:styleId="7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8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toc 1"/>
    <w:basedOn w:val="1"/>
    <w:next w:val="1"/>
    <w:qFormat/>
    <w:uiPriority w:val="99"/>
    <w:pPr>
      <w:spacing w:before="120" w:after="120" w:line="400" w:lineRule="exact"/>
      <w:ind w:firstLine="200" w:firstLineChars="200"/>
      <w:jc w:val="both"/>
    </w:pPr>
    <w:rPr>
      <w:rFonts w:ascii="Calibri" w:hAnsi="Calibri" w:eastAsia="宋体" w:cs="Calibri"/>
      <w:b/>
      <w:bCs/>
      <w:caps/>
      <w:sz w:val="24"/>
      <w:szCs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6"/>
      <w:szCs w:val="32"/>
    </w:rPr>
  </w:style>
  <w:style w:type="table" w:styleId="13">
    <w:name w:val="Table Grid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表格文字"/>
    <w:basedOn w:val="1"/>
    <w:unhideWhenUsed/>
    <w:qFormat/>
    <w:uiPriority w:val="99"/>
    <w:pPr>
      <w:adjustRightInd w:val="0"/>
      <w:spacing w:beforeLines="0" w:afterLines="0" w:line="420" w:lineRule="atLeast"/>
      <w:jc w:val="left"/>
      <w:textAlignment w:val="baseline"/>
    </w:pPr>
    <w:rPr>
      <w:rFonts w:hint="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2018-02-05T01:50:00Z</dcterms:created>
  <dc:creator>旧时光</dc:creator>
  <cp:lastModifiedBy>留恋巴黎铁塔的高度</cp:lastModifiedBy>
  <cp:lastPrinted>2020-06-30T07:35:00Z</cp:lastPrinted>
  <dcterms:modified xsi:type="dcterms:W3CDTF">2023-03-07T03:55:27Z</dcterms:modified>
  <dc:title>火车站广场周边（九鹰房产）楼体夜景亮化品质提升项目中标结果确认函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2AFE8D8EFE104F36A56CBCA2C8384328</vt:lpwstr>
  </property>
</Properties>
</file>