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left="0" w:leftChars="0" w:firstLine="0" w:firstLineChars="0"/>
        <w:jc w:val="center"/>
        <w:rPr>
          <w:rFonts w:hint="eastAsia" w:ascii="黑体" w:hAnsi="黑体" w:eastAsia="黑体" w:cs="黑体"/>
          <w:sz w:val="32"/>
          <w:szCs w:val="32"/>
          <w:lang w:eastAsia="zh-CN"/>
        </w:rPr>
      </w:pPr>
      <w:r>
        <w:rPr>
          <w:rFonts w:hint="eastAsia" w:ascii="黑体" w:hAnsi="黑体" w:eastAsia="黑体" w:cs="黑体"/>
          <w:sz w:val="44"/>
          <w:szCs w:val="44"/>
          <w:lang w:eastAsia="zh-CN"/>
        </w:rPr>
        <w:t>采购需求</w:t>
      </w:r>
    </w:p>
    <w:p>
      <w:pPr>
        <w:spacing w:line="440" w:lineRule="exact"/>
        <w:ind w:firstLine="640"/>
      </w:pPr>
      <w:r>
        <w:rPr>
          <w:rFonts w:hint="eastAsia" w:ascii="黑体" w:hAnsi="黑体" w:eastAsia="黑体" w:cs="黑体"/>
          <w:sz w:val="32"/>
          <w:szCs w:val="32"/>
        </w:rPr>
        <w:t>一、项目概况</w:t>
      </w:r>
    </w:p>
    <w:p>
      <w:pPr>
        <w:spacing w:line="440" w:lineRule="exact"/>
        <w:ind w:firstLine="480"/>
        <w:rPr>
          <w:color w:val="FF0000"/>
        </w:rPr>
      </w:pPr>
      <w:r>
        <w:rPr>
          <w:rFonts w:hint="eastAsia" w:ascii="Times New Roman" w:hAnsi="Times New Roman" w:eastAsia="宋体" w:cs="Times New Roman"/>
        </w:rPr>
        <w:t>1、建立以社保卡为载体的“一卡通”服务管理模式有利于适应信息社会发展和人员流动需求，推动发展社保卡创新应用服务，解决群众服务痛点问题，提升便利服务水平，实现社保卡高效、便民、安全使用，切实保障持卡人权益。</w:t>
      </w:r>
    </w:p>
    <w:p>
      <w:pPr>
        <w:spacing w:line="440" w:lineRule="exact"/>
        <w:ind w:firstLine="480"/>
      </w:pPr>
      <w:r>
        <w:rPr>
          <w:rFonts w:hint="eastAsia"/>
        </w:rPr>
        <w:t>2、本项目所属行业为软件和信息技术服务行业。</w:t>
      </w:r>
    </w:p>
    <w:p>
      <w:pPr>
        <w:spacing w:line="440" w:lineRule="exact"/>
        <w:ind w:firstLine="480"/>
      </w:pPr>
      <w:r>
        <w:rPr>
          <w:rFonts w:hint="eastAsia"/>
        </w:rPr>
        <w:t>3、结合对乐山市居民服务一卡通体系建设的工作目标，本次</w:t>
      </w:r>
      <w:r>
        <w:t>项目</w:t>
      </w:r>
      <w:r>
        <w:rPr>
          <w:rFonts w:hint="eastAsia"/>
        </w:rPr>
        <w:t>（一期）建设内容主要包括5个主要</w:t>
      </w:r>
      <w:r>
        <w:t>组成</w:t>
      </w:r>
      <w:r>
        <w:rPr>
          <w:rFonts w:hint="eastAsia"/>
        </w:rPr>
        <w:t>部分，具体内容如下清单：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903"/>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noWrap w:val="0"/>
            <w:vAlign w:val="center"/>
          </w:tcPr>
          <w:p>
            <w:pPr>
              <w:spacing w:line="440" w:lineRule="exact"/>
              <w:ind w:firstLine="0" w:firstLineChars="0"/>
            </w:pPr>
            <w:r>
              <w:rPr>
                <w:rFonts w:hint="eastAsia"/>
              </w:rPr>
              <w:t>序号</w:t>
            </w:r>
          </w:p>
        </w:tc>
        <w:tc>
          <w:tcPr>
            <w:tcW w:w="6376" w:type="dxa"/>
            <w:gridSpan w:val="2"/>
            <w:noWrap w:val="0"/>
            <w:vAlign w:val="center"/>
          </w:tcPr>
          <w:p>
            <w:pPr>
              <w:spacing w:line="440" w:lineRule="exact"/>
              <w:ind w:firstLine="480"/>
            </w:pPr>
            <w:r>
              <w:rPr>
                <w:rFonts w:hint="eastAsia"/>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restart"/>
            <w:noWrap w:val="0"/>
            <w:vAlign w:val="center"/>
          </w:tcPr>
          <w:p>
            <w:pPr>
              <w:spacing w:line="440" w:lineRule="exact"/>
              <w:ind w:firstLine="0" w:firstLineChars="0"/>
            </w:pPr>
            <w:r>
              <w:rPr>
                <w:rFonts w:hint="eastAsia"/>
              </w:rPr>
              <w:t>1</w:t>
            </w:r>
          </w:p>
        </w:tc>
        <w:tc>
          <w:tcPr>
            <w:tcW w:w="2903" w:type="dxa"/>
            <w:vMerge w:val="restart"/>
            <w:noWrap w:val="0"/>
            <w:vAlign w:val="center"/>
          </w:tcPr>
          <w:p>
            <w:pPr>
              <w:spacing w:line="440" w:lineRule="exact"/>
              <w:ind w:firstLine="0" w:firstLineChars="0"/>
            </w:pPr>
            <w:r>
              <w:rPr>
                <w:rFonts w:hint="eastAsia"/>
              </w:rPr>
              <w:t>一卡通综合应用平台</w:t>
            </w:r>
          </w:p>
        </w:tc>
        <w:tc>
          <w:tcPr>
            <w:tcW w:w="3473" w:type="dxa"/>
            <w:noWrap w:val="0"/>
            <w:vAlign w:val="center"/>
          </w:tcPr>
          <w:p>
            <w:pPr>
              <w:spacing w:line="440" w:lineRule="exact"/>
              <w:ind w:firstLine="480"/>
            </w:pPr>
            <w:r>
              <w:rPr>
                <w:rFonts w:hint="eastAsia"/>
              </w:rPr>
              <w:t>统一渠道接入管理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支付结算综合管理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应用环境服务管理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数据监测监控管理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restart"/>
            <w:noWrap w:val="0"/>
            <w:vAlign w:val="center"/>
          </w:tcPr>
          <w:p>
            <w:pPr>
              <w:spacing w:line="440" w:lineRule="exact"/>
              <w:ind w:firstLine="0" w:firstLineChars="0"/>
            </w:pPr>
            <w:r>
              <w:rPr>
                <w:rFonts w:hint="eastAsia"/>
              </w:rPr>
              <w:t>2</w:t>
            </w:r>
          </w:p>
        </w:tc>
        <w:tc>
          <w:tcPr>
            <w:tcW w:w="2903" w:type="dxa"/>
            <w:vMerge w:val="restart"/>
            <w:noWrap w:val="0"/>
            <w:vAlign w:val="center"/>
          </w:tcPr>
          <w:p>
            <w:pPr>
              <w:spacing w:line="440" w:lineRule="exact"/>
              <w:ind w:firstLine="0" w:firstLineChars="0"/>
            </w:pPr>
            <w:r>
              <w:rPr>
                <w:rFonts w:hint="eastAsia"/>
              </w:rPr>
              <w:t>一卡通应用监管子系统</w:t>
            </w:r>
          </w:p>
        </w:tc>
        <w:tc>
          <w:tcPr>
            <w:tcW w:w="3473" w:type="dxa"/>
            <w:noWrap w:val="0"/>
            <w:vAlign w:val="center"/>
          </w:tcPr>
          <w:p>
            <w:pPr>
              <w:spacing w:line="440" w:lineRule="exact"/>
              <w:ind w:firstLine="480"/>
            </w:pPr>
            <w:r>
              <w:rPr>
                <w:rFonts w:hint="eastAsia"/>
              </w:rPr>
              <w:t>应用终端基本管理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应用终端远程管理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应用终端监控管理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制发卡数据管理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业务数据监控管理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restart"/>
            <w:noWrap w:val="0"/>
            <w:vAlign w:val="center"/>
          </w:tcPr>
          <w:p>
            <w:pPr>
              <w:spacing w:line="440" w:lineRule="exact"/>
              <w:ind w:firstLine="0" w:firstLineChars="0"/>
            </w:pPr>
            <w:r>
              <w:rPr>
                <w:rFonts w:hint="eastAsia"/>
              </w:rPr>
              <w:t>3</w:t>
            </w:r>
          </w:p>
        </w:tc>
        <w:tc>
          <w:tcPr>
            <w:tcW w:w="2903" w:type="dxa"/>
            <w:vMerge w:val="restart"/>
            <w:noWrap w:val="0"/>
            <w:vAlign w:val="center"/>
          </w:tcPr>
          <w:p>
            <w:pPr>
              <w:spacing w:line="440" w:lineRule="exact"/>
              <w:ind w:firstLine="0" w:firstLineChars="0"/>
            </w:pPr>
            <w:r>
              <w:rPr>
                <w:rFonts w:hint="eastAsia"/>
              </w:rPr>
              <w:t>一卡通场景应用子系统</w:t>
            </w:r>
          </w:p>
        </w:tc>
        <w:tc>
          <w:tcPr>
            <w:tcW w:w="3473" w:type="dxa"/>
            <w:noWrap w:val="0"/>
            <w:vAlign w:val="center"/>
          </w:tcPr>
          <w:p>
            <w:pPr>
              <w:spacing w:line="440" w:lineRule="exact"/>
              <w:ind w:firstLine="480"/>
            </w:pPr>
            <w:r>
              <w:rPr>
                <w:rFonts w:hint="eastAsia"/>
              </w:rPr>
              <w:t>社保卡“不见面”服务体系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综合应用场景支撑管理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场景数据应用展示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noWrap w:val="0"/>
            <w:vAlign w:val="center"/>
          </w:tcPr>
          <w:p>
            <w:pPr>
              <w:spacing w:line="440" w:lineRule="exact"/>
              <w:ind w:firstLine="0" w:firstLineChars="0"/>
            </w:pPr>
            <w:r>
              <w:rPr>
                <w:rFonts w:hint="eastAsia"/>
              </w:rPr>
              <w:t>4</w:t>
            </w:r>
          </w:p>
        </w:tc>
        <w:tc>
          <w:tcPr>
            <w:tcW w:w="2903" w:type="dxa"/>
            <w:noWrap w:val="0"/>
            <w:vAlign w:val="center"/>
          </w:tcPr>
          <w:p>
            <w:pPr>
              <w:spacing w:line="440" w:lineRule="exact"/>
              <w:ind w:firstLine="0" w:firstLineChars="0"/>
            </w:pPr>
            <w:r>
              <w:rPr>
                <w:rFonts w:hint="eastAsia"/>
              </w:rPr>
              <w:t>一卡通精准服务子系统</w:t>
            </w:r>
          </w:p>
        </w:tc>
        <w:tc>
          <w:tcPr>
            <w:tcW w:w="3473" w:type="dxa"/>
            <w:noWrap w:val="0"/>
            <w:vAlign w:val="center"/>
          </w:tcPr>
          <w:p>
            <w:pPr>
              <w:spacing w:line="440" w:lineRule="exact"/>
              <w:ind w:firstLine="480"/>
            </w:pPr>
            <w:r>
              <w:rPr>
                <w:rFonts w:hint="eastAsia"/>
              </w:rPr>
              <w:t>一卡通精准服务管理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restart"/>
            <w:noWrap w:val="0"/>
            <w:vAlign w:val="center"/>
          </w:tcPr>
          <w:p>
            <w:pPr>
              <w:spacing w:line="440" w:lineRule="exact"/>
              <w:ind w:firstLine="0" w:firstLineChars="0"/>
            </w:pPr>
            <w:r>
              <w:t>5</w:t>
            </w:r>
          </w:p>
        </w:tc>
        <w:tc>
          <w:tcPr>
            <w:tcW w:w="2903" w:type="dxa"/>
            <w:vMerge w:val="restart"/>
            <w:noWrap w:val="0"/>
            <w:vAlign w:val="center"/>
          </w:tcPr>
          <w:p>
            <w:pPr>
              <w:spacing w:line="440" w:lineRule="exact"/>
              <w:ind w:firstLine="0" w:firstLineChars="0"/>
            </w:pPr>
            <w:r>
              <w:rPr>
                <w:rFonts w:hint="eastAsia"/>
              </w:rPr>
              <w:t>一卡通渠道管理子系统</w:t>
            </w:r>
          </w:p>
        </w:tc>
        <w:tc>
          <w:tcPr>
            <w:tcW w:w="3473" w:type="dxa"/>
            <w:noWrap w:val="0"/>
            <w:vAlign w:val="center"/>
          </w:tcPr>
          <w:p>
            <w:pPr>
              <w:spacing w:line="440" w:lineRule="exact"/>
              <w:ind w:firstLine="480"/>
            </w:pPr>
            <w:r>
              <w:rPr>
                <w:rFonts w:hint="eastAsia"/>
              </w:rPr>
              <w:t>应用渠道管理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公共服务渠道管理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用卡轨迹追溯管理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7" w:type="dxa"/>
            <w:vMerge w:val="continue"/>
            <w:noWrap w:val="0"/>
            <w:vAlign w:val="center"/>
          </w:tcPr>
          <w:p>
            <w:pPr>
              <w:spacing w:line="440" w:lineRule="exact"/>
              <w:ind w:firstLine="480"/>
            </w:pPr>
          </w:p>
        </w:tc>
        <w:tc>
          <w:tcPr>
            <w:tcW w:w="2903" w:type="dxa"/>
            <w:vMerge w:val="continue"/>
            <w:noWrap w:val="0"/>
            <w:vAlign w:val="center"/>
          </w:tcPr>
          <w:p>
            <w:pPr>
              <w:spacing w:line="440" w:lineRule="exact"/>
              <w:ind w:firstLine="480"/>
            </w:pPr>
          </w:p>
        </w:tc>
        <w:tc>
          <w:tcPr>
            <w:tcW w:w="3473" w:type="dxa"/>
            <w:noWrap w:val="0"/>
            <w:vAlign w:val="center"/>
          </w:tcPr>
          <w:p>
            <w:pPr>
              <w:spacing w:line="440" w:lineRule="exact"/>
              <w:ind w:firstLine="480"/>
            </w:pPr>
            <w:r>
              <w:rPr>
                <w:rFonts w:hint="eastAsia"/>
              </w:rPr>
              <w:t>用卡环境分析管理</w:t>
            </w:r>
          </w:p>
        </w:tc>
      </w:tr>
    </w:tbl>
    <w:p>
      <w:pPr>
        <w:spacing w:line="440" w:lineRule="exact"/>
        <w:ind w:firstLine="640"/>
        <w:rPr>
          <w:rFonts w:hint="eastAsia" w:ascii="黑体" w:hAnsi="黑体" w:eastAsia="黑体" w:cs="黑体"/>
          <w:sz w:val="32"/>
          <w:szCs w:val="32"/>
        </w:rPr>
      </w:pPr>
      <w:r>
        <w:rPr>
          <w:rFonts w:hint="eastAsia" w:ascii="黑体" w:hAnsi="黑体" w:eastAsia="黑体" w:cs="黑体"/>
          <w:sz w:val="32"/>
          <w:szCs w:val="32"/>
        </w:rPr>
        <w:t>二、★技术服务要求</w:t>
      </w:r>
    </w:p>
    <w:p>
      <w:pPr>
        <w:spacing w:line="440" w:lineRule="exact"/>
        <w:ind w:firstLine="562"/>
      </w:pPr>
      <w:bookmarkStart w:id="0" w:name="_Toc75123863"/>
      <w:bookmarkStart w:id="1" w:name="_Toc56743077"/>
      <w:bookmarkStart w:id="2" w:name="_Toc59048382"/>
      <w:bookmarkStart w:id="3" w:name="_Toc81814976"/>
      <w:bookmarkStart w:id="4" w:name="_Toc43127143"/>
      <w:bookmarkStart w:id="5" w:name="_Toc522390347"/>
      <w:bookmarkStart w:id="6" w:name="_Toc522389090"/>
      <w:bookmarkStart w:id="7" w:name="_Toc522388638"/>
      <w:bookmarkStart w:id="8" w:name="_Toc522388406"/>
      <w:bookmarkStart w:id="9" w:name="_Toc523842331"/>
      <w:r>
        <w:rPr>
          <w:rFonts w:hint="eastAsia"/>
          <w:b/>
          <w:bCs/>
          <w:sz w:val="28"/>
          <w:szCs w:val="28"/>
        </w:rPr>
        <w:t>（一）信息安全</w:t>
      </w:r>
      <w:bookmarkEnd w:id="0"/>
      <w:bookmarkEnd w:id="1"/>
      <w:bookmarkEnd w:id="2"/>
      <w:bookmarkEnd w:id="3"/>
      <w:bookmarkEnd w:id="4"/>
      <w:r>
        <w:rPr>
          <w:rFonts w:hint="eastAsia"/>
          <w:b/>
          <w:bCs/>
          <w:sz w:val="28"/>
          <w:szCs w:val="28"/>
        </w:rPr>
        <w:t>要求</w:t>
      </w:r>
    </w:p>
    <w:p>
      <w:pPr>
        <w:spacing w:line="440" w:lineRule="exact"/>
        <w:ind w:firstLine="480"/>
      </w:pPr>
      <w:r>
        <w:rPr>
          <w:rFonts w:hint="eastAsia"/>
        </w:rPr>
        <w:t>由于本项目中所涉及系统的数据内容涵盖参保人基础身份信息等涉密数据，数据的泄露会对社会维稳、安全防护造成影响，本项目安全保护等级定为第三级。</w:t>
      </w:r>
    </w:p>
    <w:p>
      <w:pPr>
        <w:spacing w:line="440" w:lineRule="exact"/>
        <w:ind w:firstLine="480"/>
      </w:pPr>
      <w:r>
        <w:rPr>
          <w:rFonts w:hint="eastAsia"/>
        </w:rPr>
        <w:t>平台基于云计算架构功能完善与升级改造项目的安全保障系统按照国家信息安全等级保护三级要求进行规划、设计、建设和实施。其物理层安全由乐山市政务云基础平台提供，整体系统对平台级安全、系统级安全、数据级安全几个方面进行设计。</w:t>
      </w:r>
    </w:p>
    <w:p>
      <w:pPr>
        <w:spacing w:line="440" w:lineRule="exact"/>
        <w:ind w:firstLine="480"/>
      </w:pPr>
      <w:r>
        <w:rPr>
          <w:rFonts w:hint="eastAsia"/>
        </w:rPr>
        <w:t>平台级安全主要从</w:t>
      </w:r>
      <w:bookmarkStart w:id="10" w:name="_Toc81815014"/>
      <w:r>
        <w:t>软件和信息保护技术</w:t>
      </w:r>
      <w:bookmarkEnd w:id="10"/>
      <w:r>
        <w:rPr>
          <w:rFonts w:hint="eastAsia"/>
        </w:rPr>
        <w:t>、</w:t>
      </w:r>
      <w:bookmarkStart w:id="11" w:name="_Toc81815015"/>
      <w:r>
        <w:t>操作系统安全</w:t>
      </w:r>
      <w:bookmarkEnd w:id="11"/>
      <w:r>
        <w:rPr>
          <w:rFonts w:hint="eastAsia"/>
        </w:rPr>
        <w:t>、</w:t>
      </w:r>
      <w:bookmarkStart w:id="12" w:name="_Toc81815016"/>
      <w:r>
        <w:t>数据库安全技术</w:t>
      </w:r>
      <w:bookmarkEnd w:id="12"/>
      <w:r>
        <w:rPr>
          <w:rFonts w:hint="eastAsia"/>
        </w:rPr>
        <w:t>、</w:t>
      </w:r>
      <w:bookmarkStart w:id="13" w:name="_Toc81815017"/>
      <w:r>
        <w:t>审计与痕迹技术</w:t>
      </w:r>
      <w:bookmarkEnd w:id="13"/>
      <w:r>
        <w:rPr>
          <w:rFonts w:hint="eastAsia"/>
        </w:rPr>
        <w:t>、</w:t>
      </w:r>
      <w:bookmarkStart w:id="14" w:name="_Toc81815018"/>
      <w:r>
        <w:t>系统状态检查</w:t>
      </w:r>
      <w:bookmarkEnd w:id="14"/>
      <w:r>
        <w:rPr>
          <w:rFonts w:hint="eastAsia"/>
        </w:rPr>
        <w:t>、</w:t>
      </w:r>
      <w:bookmarkStart w:id="15" w:name="_Toc81815019"/>
      <w:r>
        <w:t>网络计算机病毒防范技术实现</w:t>
      </w:r>
      <w:bookmarkEnd w:id="15"/>
      <w:bookmarkStart w:id="16" w:name="_Toc81815020"/>
      <w:r>
        <w:rPr>
          <w:rFonts w:hint="eastAsia"/>
        </w:rPr>
        <w:t>、</w:t>
      </w:r>
      <w:r>
        <w:t>服务器病毒防范技术</w:t>
      </w:r>
      <w:bookmarkEnd w:id="16"/>
      <w:r>
        <w:rPr>
          <w:rFonts w:hint="eastAsia"/>
        </w:rPr>
        <w:t>等方面设计。</w:t>
      </w:r>
    </w:p>
    <w:p>
      <w:pPr>
        <w:spacing w:line="440" w:lineRule="exact"/>
        <w:ind w:firstLine="480"/>
      </w:pPr>
      <w:r>
        <w:rPr>
          <w:rFonts w:hint="eastAsia"/>
        </w:rPr>
        <w:t>系统级安全设计主要从数据加密、数据脱敏、安全审计、权限管理、安全管理、实名认证等方面设计。</w:t>
      </w:r>
    </w:p>
    <w:p>
      <w:pPr>
        <w:spacing w:line="440" w:lineRule="exact"/>
        <w:ind w:firstLine="480"/>
      </w:pPr>
      <w:r>
        <w:rPr>
          <w:rFonts w:hint="eastAsia"/>
        </w:rPr>
        <w:t>数据级安全设计主要从</w:t>
      </w:r>
      <w:bookmarkStart w:id="17" w:name="_Toc81815026"/>
      <w:r>
        <w:t>数据采集安全管理</w:t>
      </w:r>
      <w:bookmarkEnd w:id="17"/>
      <w:bookmarkStart w:id="18" w:name="_Toc81815027"/>
      <w:r>
        <w:rPr>
          <w:rFonts w:hint="eastAsia"/>
        </w:rPr>
        <w:t>、</w:t>
      </w:r>
      <w:r>
        <w:t>数据传输安全管理</w:t>
      </w:r>
      <w:bookmarkEnd w:id="18"/>
      <w:r>
        <w:rPr>
          <w:rFonts w:hint="eastAsia"/>
        </w:rPr>
        <w:t>、</w:t>
      </w:r>
      <w:bookmarkStart w:id="19" w:name="_Toc81815028"/>
      <w:r>
        <w:t>数据存储安全管理</w:t>
      </w:r>
      <w:bookmarkEnd w:id="19"/>
      <w:bookmarkStart w:id="20" w:name="_Toc81815029"/>
      <w:r>
        <w:rPr>
          <w:rFonts w:hint="eastAsia"/>
        </w:rPr>
        <w:t>、</w:t>
      </w:r>
      <w:r>
        <w:t>数据处理安全管理</w:t>
      </w:r>
      <w:bookmarkEnd w:id="20"/>
      <w:r>
        <w:rPr>
          <w:rFonts w:hint="eastAsia"/>
        </w:rPr>
        <w:t>、</w:t>
      </w:r>
      <w:bookmarkStart w:id="21" w:name="_Toc81815030"/>
      <w:r>
        <w:t>数据交换安全管理</w:t>
      </w:r>
      <w:bookmarkEnd w:id="21"/>
      <w:r>
        <w:rPr>
          <w:rFonts w:hint="eastAsia"/>
        </w:rPr>
        <w:t>、数据销毁</w:t>
      </w:r>
      <w:r>
        <w:t>安全管理</w:t>
      </w:r>
      <w:r>
        <w:rPr>
          <w:rFonts w:hint="eastAsia"/>
        </w:rPr>
        <w:t>和</w:t>
      </w:r>
      <w:r>
        <w:t>数据备份</w:t>
      </w:r>
      <w:r>
        <w:rPr>
          <w:rFonts w:hint="eastAsia"/>
        </w:rPr>
        <w:t>恢复</w:t>
      </w:r>
      <w:r>
        <w:t>管理等方面</w:t>
      </w:r>
      <w:r>
        <w:rPr>
          <w:rFonts w:hint="eastAsia"/>
        </w:rPr>
        <w:t>设计</w:t>
      </w:r>
      <w:r>
        <w:t>。</w:t>
      </w:r>
    </w:p>
    <w:p>
      <w:pPr>
        <w:spacing w:line="440" w:lineRule="exact"/>
        <w:ind w:firstLine="480"/>
      </w:pPr>
      <w:r>
        <w:rPr>
          <w:rFonts w:hint="eastAsia"/>
        </w:rPr>
        <w:t>本项目将部署在乐山市政务云，所需的基础支撑支援，如计算、网络、存储、安全等均由乐山市政务云以服务形式按需提供。应用系统均部署在政务云虚拟机，核心业务区的应用依托电子政务外网对外提供服务，公众服务区的应用依托互联网对外提供服务。</w:t>
      </w:r>
    </w:p>
    <w:p>
      <w:pPr>
        <w:spacing w:line="440" w:lineRule="exact"/>
        <w:ind w:firstLine="480"/>
      </w:pPr>
      <w:r>
        <w:rPr>
          <w:rFonts w:hint="eastAsia"/>
        </w:rPr>
        <w:t>同时，考虑到数据作为整个信息系统最核心的资产，重要性不言而喻。为了避免因人为误操作、病毒攻击等因素造成数据丢失，使用政务云提供的统一灾备服务进行数据备份，确保数据出现逻辑错误时，能利用备份的数据副本实现数据恢复，保障数据安全。本次系统建设的备份系统仍由乐山市政务云平台提供，按生产数据1∶1的比例提供备份数据存储空间。</w:t>
      </w:r>
    </w:p>
    <w:p>
      <w:pPr>
        <w:spacing w:line="440" w:lineRule="exact"/>
        <w:ind w:firstLine="562"/>
        <w:rPr>
          <w:sz w:val="28"/>
          <w:szCs w:val="28"/>
        </w:rPr>
      </w:pPr>
      <w:bookmarkStart w:id="22" w:name="_Toc26459204"/>
      <w:bookmarkStart w:id="23" w:name="_Toc81814977"/>
      <w:bookmarkStart w:id="24" w:name="_Toc75123864"/>
      <w:bookmarkStart w:id="25" w:name="_Toc33786187"/>
      <w:bookmarkStart w:id="26" w:name="_Toc32930113"/>
      <w:bookmarkStart w:id="27" w:name="_Toc27746187"/>
      <w:bookmarkStart w:id="28" w:name="_Toc17610"/>
      <w:bookmarkStart w:id="29" w:name="_Toc29481706"/>
      <w:bookmarkStart w:id="30" w:name="_Toc27232"/>
      <w:bookmarkStart w:id="31" w:name="_Toc12990692"/>
      <w:bookmarkStart w:id="32" w:name="_Toc59048383"/>
      <w:bookmarkStart w:id="33" w:name="_Toc28185419"/>
      <w:r>
        <w:rPr>
          <w:rFonts w:hint="eastAsia"/>
          <w:b/>
          <w:bCs/>
          <w:sz w:val="28"/>
          <w:szCs w:val="28"/>
        </w:rPr>
        <w:t>（二）系统性能</w:t>
      </w:r>
      <w:bookmarkEnd w:id="22"/>
      <w:bookmarkEnd w:id="23"/>
      <w:bookmarkEnd w:id="24"/>
      <w:bookmarkEnd w:id="25"/>
      <w:bookmarkEnd w:id="26"/>
      <w:bookmarkEnd w:id="27"/>
      <w:bookmarkEnd w:id="28"/>
      <w:bookmarkEnd w:id="29"/>
      <w:bookmarkEnd w:id="30"/>
      <w:bookmarkEnd w:id="31"/>
      <w:bookmarkEnd w:id="32"/>
      <w:bookmarkEnd w:id="33"/>
      <w:r>
        <w:rPr>
          <w:rFonts w:hint="eastAsia"/>
          <w:b/>
          <w:bCs/>
          <w:sz w:val="28"/>
          <w:szCs w:val="28"/>
        </w:rPr>
        <w:t>要求</w:t>
      </w:r>
    </w:p>
    <w:p>
      <w:pPr>
        <w:spacing w:line="440" w:lineRule="exact"/>
        <w:ind w:firstLine="480"/>
      </w:pPr>
      <w:r>
        <w:rPr>
          <w:rFonts w:hint="eastAsia"/>
        </w:rPr>
        <w:t>在网络畅通、不考虑外部服务响应耗时的情况下，乐山市一卡通应用服务平台性能应满足以下要求：</w:t>
      </w:r>
    </w:p>
    <w:p>
      <w:pPr>
        <w:spacing w:line="440" w:lineRule="exact"/>
        <w:ind w:firstLine="480"/>
      </w:pPr>
      <w:r>
        <w:rPr>
          <w:rFonts w:hint="eastAsia"/>
        </w:rPr>
        <w:t>系统能支撑的最大在线用户数应不小于20万，最大并发连接数不小于2000；在并发用户数在最高峰值时，系统响应时间不超过5秒，平均响应时间不超过2秒；后台统计分析单笔或简单查询系统响应时间不超过2秒；统计查询等复杂操作相应时间最多不超过10秒钟，文件提取速度小于3秒；</w:t>
      </w:r>
      <w:r>
        <w:t>整体系统应能支持千万级数据规模的快速存储和查询</w:t>
      </w:r>
      <w:r>
        <w:rPr>
          <w:rFonts w:hint="eastAsia"/>
        </w:rPr>
        <w:t>，支持连续不间断的稳定运行，并保证数据的一致、完整、准确</w:t>
      </w:r>
      <w:r>
        <w:t>。</w:t>
      </w:r>
    </w:p>
    <w:bookmarkEnd w:id="5"/>
    <w:bookmarkEnd w:id="6"/>
    <w:bookmarkEnd w:id="7"/>
    <w:bookmarkEnd w:id="8"/>
    <w:bookmarkEnd w:id="9"/>
    <w:p>
      <w:pPr>
        <w:spacing w:line="440" w:lineRule="exact"/>
        <w:ind w:firstLine="562"/>
        <w:rPr>
          <w:b/>
          <w:bCs/>
          <w:sz w:val="28"/>
          <w:szCs w:val="28"/>
        </w:rPr>
      </w:pPr>
      <w:bookmarkStart w:id="34" w:name="_Toc81814986"/>
      <w:r>
        <w:rPr>
          <w:rFonts w:hint="eastAsia"/>
          <w:b/>
          <w:bCs/>
          <w:sz w:val="28"/>
          <w:szCs w:val="28"/>
        </w:rPr>
        <w:t>（三）系统对接</w:t>
      </w:r>
      <w:bookmarkEnd w:id="34"/>
      <w:r>
        <w:rPr>
          <w:rFonts w:hint="eastAsia"/>
          <w:b/>
          <w:bCs/>
          <w:sz w:val="28"/>
          <w:szCs w:val="28"/>
        </w:rPr>
        <w:t>要求</w:t>
      </w:r>
    </w:p>
    <w:p>
      <w:pPr>
        <w:spacing w:line="440" w:lineRule="exact"/>
        <w:ind w:firstLine="482"/>
      </w:pPr>
      <w:bookmarkStart w:id="35" w:name="_Toc81814987"/>
      <w:bookmarkStart w:id="36" w:name="_Toc63606790"/>
      <w:bookmarkStart w:id="37" w:name="_Toc63606789"/>
      <w:r>
        <w:rPr>
          <w:rFonts w:hint="eastAsia" w:ascii="楷体" w:hAnsi="楷体" w:eastAsia="楷体" w:cs="楷体"/>
          <w:b/>
          <w:bCs/>
        </w:rPr>
        <w:t>1、与人社内部系统的对接</w:t>
      </w:r>
      <w:bookmarkEnd w:id="35"/>
    </w:p>
    <w:p>
      <w:pPr>
        <w:spacing w:line="440" w:lineRule="exact"/>
        <w:ind w:firstLine="480"/>
      </w:pPr>
      <w:r>
        <w:rPr>
          <w:rFonts w:hint="eastAsia"/>
        </w:rPr>
        <w:t>平台服务于省级金保业务系统和其他有用卡需求的相关部门系统。依托13亿张全国统一的社会保障卡、拓展电子社保卡的线上应用形式，形成了线上线下相结合、前端有卡、后端有库、应用有网的用卡环境。由于社会保障卡的应用场景非常广泛，其用卡轨迹大数据分析将对金保系统系统的决策与基金监管起到重要作用。</w:t>
      </w:r>
    </w:p>
    <w:p>
      <w:pPr>
        <w:spacing w:line="440" w:lineRule="exact"/>
        <w:ind w:firstLine="480"/>
      </w:pPr>
      <w:r>
        <w:rPr>
          <w:rFonts w:hint="eastAsia"/>
        </w:rPr>
        <w:t>与人社部相关系统的对接工作，主要依托省级各系统平台完成，分别实现电子社保卡应用、持卡库数据对接、异地就医关联等。主要对接方式：开发数据接口，数据实时共享。</w:t>
      </w:r>
    </w:p>
    <w:p>
      <w:pPr>
        <w:spacing w:line="440" w:lineRule="exact"/>
        <w:ind w:firstLine="482"/>
      </w:pPr>
      <w:bookmarkStart w:id="38" w:name="_Toc81814988"/>
      <w:r>
        <w:rPr>
          <w:rFonts w:hint="eastAsia" w:ascii="楷体" w:hAnsi="楷体" w:eastAsia="楷体" w:cs="楷体"/>
          <w:b/>
          <w:bCs/>
        </w:rPr>
        <w:t>2、与</w:t>
      </w:r>
      <w:bookmarkEnd w:id="36"/>
      <w:r>
        <w:rPr>
          <w:rFonts w:hint="eastAsia" w:ascii="楷体" w:hAnsi="楷体" w:eastAsia="楷体" w:cs="楷体"/>
          <w:b/>
          <w:bCs/>
        </w:rPr>
        <w:t>市政务数据共享交换平台的对接</w:t>
      </w:r>
      <w:bookmarkEnd w:id="38"/>
    </w:p>
    <w:p>
      <w:pPr>
        <w:spacing w:line="440" w:lineRule="exact"/>
        <w:ind w:firstLine="480"/>
      </w:pPr>
      <w:r>
        <w:rPr>
          <w:rFonts w:hint="eastAsia"/>
        </w:rPr>
        <w:t>与市共享交换平台对接，本系统产生的数据资源，共享到市共享交换平台，供政府单位决策使用。同时</w:t>
      </w:r>
      <w:r>
        <w:t>通过市政务数据共享交换平台获取一卡通服务应用相关的其他数据，形成</w:t>
      </w:r>
      <w:r>
        <w:rPr>
          <w:rFonts w:hint="eastAsia"/>
        </w:rPr>
        <w:t>一卡通</w:t>
      </w:r>
      <w:r>
        <w:t>综合服务应用的</w:t>
      </w:r>
      <w:r>
        <w:rPr>
          <w:rFonts w:hint="eastAsia"/>
        </w:rPr>
        <w:t>数据</w:t>
      </w:r>
      <w:r>
        <w:t>交互。</w:t>
      </w:r>
      <w:r>
        <w:rPr>
          <w:rFonts w:hint="eastAsia"/>
        </w:rPr>
        <w:t>主要对接方式：开发数据接口，数据实时共享。</w:t>
      </w:r>
    </w:p>
    <w:bookmarkEnd w:id="37"/>
    <w:p>
      <w:pPr>
        <w:spacing w:line="440" w:lineRule="exact"/>
        <w:ind w:firstLine="482"/>
      </w:pPr>
      <w:bookmarkStart w:id="39" w:name="_Toc81814989"/>
      <w:r>
        <w:rPr>
          <w:rFonts w:hint="eastAsia" w:ascii="楷体" w:hAnsi="楷体" w:eastAsia="楷体" w:cs="楷体"/>
          <w:b/>
          <w:bCs/>
        </w:rPr>
        <w:t>3、与省、市政府服务“天府通办”“智乐山”的对接</w:t>
      </w:r>
      <w:bookmarkEnd w:id="39"/>
    </w:p>
    <w:p>
      <w:pPr>
        <w:spacing w:line="440" w:lineRule="exact"/>
        <w:ind w:firstLine="480"/>
      </w:pPr>
      <w:r>
        <w:rPr>
          <w:rFonts w:hint="eastAsia"/>
        </w:rPr>
        <w:t>通过与省、</w:t>
      </w:r>
      <w:r>
        <w:t>市</w:t>
      </w:r>
      <w:r>
        <w:rPr>
          <w:rFonts w:hint="eastAsia"/>
        </w:rPr>
        <w:t>政府服务“天府通办”“智乐山”的内部网络</w:t>
      </w:r>
      <w:r>
        <w:t>通道，</w:t>
      </w:r>
      <w:r>
        <w:rPr>
          <w:rFonts w:hint="eastAsia"/>
        </w:rPr>
        <w:t>搭建线上一卡通渠道建设，实现线上申领、</w:t>
      </w:r>
      <w:r>
        <w:t>线上办理、线上查询</w:t>
      </w:r>
      <w:r>
        <w:rPr>
          <w:rFonts w:hint="eastAsia"/>
        </w:rPr>
        <w:t>、</w:t>
      </w:r>
      <w:r>
        <w:t>线上咨询</w:t>
      </w:r>
      <w:r>
        <w:rPr>
          <w:rFonts w:hint="eastAsia"/>
        </w:rPr>
        <w:t>等</w:t>
      </w:r>
      <w:r>
        <w:t>系列居民服务一卡通应用功能</w:t>
      </w:r>
      <w:r>
        <w:rPr>
          <w:rFonts w:hint="eastAsia"/>
        </w:rPr>
        <w:t>，满足群众足不出户的线上</w:t>
      </w:r>
      <w:r>
        <w:t>政务服务</w:t>
      </w:r>
      <w:r>
        <w:rPr>
          <w:rFonts w:hint="eastAsia"/>
        </w:rPr>
        <w:t>。主要对接方式：由平台提供H</w:t>
      </w:r>
      <w:r>
        <w:t>5</w:t>
      </w:r>
      <w:r>
        <w:rPr>
          <w:rFonts w:hint="eastAsia"/>
        </w:rPr>
        <w:t>页面和</w:t>
      </w:r>
      <w:r>
        <w:t>数据接口的方式</w:t>
      </w:r>
      <w:r>
        <w:rPr>
          <w:rFonts w:hint="eastAsia"/>
        </w:rPr>
        <w:t>，</w:t>
      </w:r>
      <w:r>
        <w:t>直接</w:t>
      </w:r>
      <w:r>
        <w:rPr>
          <w:rFonts w:hint="eastAsia"/>
        </w:rPr>
        <w:t>接入到市政务服务的</w:t>
      </w:r>
      <w:r>
        <w:t>各应用渠道</w:t>
      </w:r>
      <w:r>
        <w:rPr>
          <w:rFonts w:hint="eastAsia"/>
        </w:rPr>
        <w:t>。</w:t>
      </w:r>
    </w:p>
    <w:p>
      <w:pPr>
        <w:spacing w:line="440" w:lineRule="exact"/>
        <w:ind w:firstLine="562"/>
        <w:rPr>
          <w:rFonts w:hint="eastAsia"/>
          <w:b/>
          <w:bCs/>
        </w:rPr>
      </w:pPr>
      <w:r>
        <w:rPr>
          <w:rFonts w:hint="eastAsia"/>
          <w:b/>
          <w:bCs/>
          <w:sz w:val="28"/>
          <w:szCs w:val="28"/>
        </w:rPr>
        <w:t>（四）场景支撑能力要求</w:t>
      </w:r>
    </w:p>
    <w:p>
      <w:pPr>
        <w:spacing w:line="440" w:lineRule="exact"/>
        <w:ind w:firstLine="482"/>
      </w:pPr>
      <w:r>
        <w:rPr>
          <w:rFonts w:hint="eastAsia" w:ascii="楷体" w:hAnsi="楷体" w:eastAsia="楷体" w:cs="楷体"/>
          <w:b/>
          <w:bCs/>
        </w:rPr>
        <w:t>1、文旅服务场景</w:t>
      </w:r>
    </w:p>
    <w:p>
      <w:pPr>
        <w:spacing w:line="440" w:lineRule="exact"/>
        <w:ind w:firstLine="480"/>
      </w:pPr>
      <w:r>
        <w:rPr>
          <w:rFonts w:hint="eastAsia"/>
        </w:rPr>
        <w:t>借助社会保障卡的人员身份凭证作用，系统</w:t>
      </w:r>
      <w:r>
        <w:t>具备</w:t>
      </w:r>
      <w:r>
        <w:rPr>
          <w:rFonts w:hint="eastAsia"/>
        </w:rPr>
        <w:t>人社和旅游行业信息共享的桥梁作用，实现“社保一卡通”既是“旅游一卡通”的渠道服务作用。实现“社保卡+文旅+金融”线上线下综合服务，卡码结合、联合金融、助力文旅、便民惠民，既是贯彻落实各级领导关于践行社会保障卡拓展应用的具体实践，更是发挥社保卡金融消费资源，刺激民众消费信心，恢复城市活力的重要举措。</w:t>
      </w:r>
    </w:p>
    <w:p>
      <w:pPr>
        <w:spacing w:line="440" w:lineRule="exact"/>
        <w:ind w:firstLine="482"/>
      </w:pPr>
      <w:r>
        <w:rPr>
          <w:rFonts w:hint="eastAsia" w:ascii="楷体" w:hAnsi="楷体" w:eastAsia="楷体" w:cs="楷体"/>
          <w:b/>
          <w:bCs/>
        </w:rPr>
        <w:t>2、交通服务场景</w:t>
      </w:r>
    </w:p>
    <w:p>
      <w:pPr>
        <w:spacing w:line="440" w:lineRule="exact"/>
        <w:ind w:firstLine="480"/>
      </w:pPr>
      <w:r>
        <w:rPr>
          <w:rFonts w:hint="eastAsia"/>
        </w:rPr>
        <w:t>在全国社保卡统一技术标准规范和建设要求的基础上，第三代社保卡通过加载符合交通运输部技术标准的互联互通密钥，实现增加交通出行功能。系统平台具备</w:t>
      </w:r>
      <w:r>
        <w:t>交通应用的刷卡、资金结算等应用的综合支撑，</w:t>
      </w:r>
      <w:r>
        <w:rPr>
          <w:rFonts w:hint="eastAsia"/>
        </w:rPr>
        <w:t>服务</w:t>
      </w:r>
      <w:r>
        <w:t>在交通场景中的轨迹信息、交易效率信息、活跃量等信息的综合分析。</w:t>
      </w:r>
    </w:p>
    <w:p>
      <w:pPr>
        <w:spacing w:line="440" w:lineRule="exact"/>
        <w:ind w:firstLine="482"/>
      </w:pPr>
      <w:r>
        <w:rPr>
          <w:rFonts w:hint="eastAsia" w:ascii="楷体" w:hAnsi="楷体" w:eastAsia="楷体" w:cs="楷体"/>
          <w:b/>
          <w:bCs/>
        </w:rPr>
        <w:t>3、考试服务场景</w:t>
      </w:r>
    </w:p>
    <w:p>
      <w:pPr>
        <w:spacing w:line="440" w:lineRule="exact"/>
        <w:ind w:firstLine="480"/>
      </w:pPr>
      <w:r>
        <w:rPr>
          <w:rFonts w:hint="eastAsia"/>
        </w:rPr>
        <w:t>系统平台运用身份信息采集终端和软件，实现前端的身份信息采集功能，并自动将所有数据汇总录入校园考试管理系统，进一步提升校园安全管理及考场秩序管理的技术保障能力。</w:t>
      </w:r>
    </w:p>
    <w:p>
      <w:pPr>
        <w:spacing w:line="440" w:lineRule="exact"/>
        <w:ind w:firstLine="482"/>
      </w:pPr>
      <w:r>
        <w:rPr>
          <w:rFonts w:hint="eastAsia" w:ascii="楷体" w:hAnsi="楷体" w:eastAsia="楷体" w:cs="楷体"/>
          <w:b/>
          <w:bCs/>
        </w:rPr>
        <w:t>4、服务场景应用分析</w:t>
      </w:r>
    </w:p>
    <w:p>
      <w:pPr>
        <w:spacing w:line="440" w:lineRule="exact"/>
        <w:ind w:firstLine="480"/>
      </w:pPr>
      <w:r>
        <w:rPr>
          <w:rFonts w:hint="eastAsia"/>
        </w:rPr>
        <w:t>针对本期建设内容的场景应用分析要求，主要包括社保卡终端设备故障率、社保卡终端设备健康预测、社保业务数据态势分析、社保卡线上申领服务分析、社保持卡人画像、机关/企业/城乡居民养老保险退休待遇领取服务态势分析等内容。</w:t>
      </w:r>
    </w:p>
    <w:p>
      <w:pPr>
        <w:spacing w:line="440" w:lineRule="exact"/>
        <w:ind w:firstLine="562"/>
        <w:rPr>
          <w:rFonts w:hint="eastAsia"/>
          <w:b/>
          <w:bCs/>
        </w:rPr>
      </w:pPr>
      <w:bookmarkStart w:id="40" w:name="_Toc81814985"/>
      <w:r>
        <w:rPr>
          <w:rFonts w:hint="eastAsia"/>
          <w:b/>
          <w:bCs/>
          <w:sz w:val="28"/>
          <w:szCs w:val="28"/>
        </w:rPr>
        <w:t>（五）数据资源目录</w:t>
      </w:r>
      <w:bookmarkEnd w:id="40"/>
      <w:r>
        <w:rPr>
          <w:rFonts w:hint="eastAsia"/>
          <w:b/>
          <w:bCs/>
          <w:sz w:val="28"/>
          <w:szCs w:val="28"/>
        </w:rPr>
        <w:t>要求</w:t>
      </w:r>
    </w:p>
    <w:p>
      <w:pPr>
        <w:spacing w:line="440" w:lineRule="exact"/>
        <w:ind w:firstLine="480"/>
      </w:pPr>
      <w:r>
        <w:rPr>
          <w:rFonts w:hint="eastAsia"/>
        </w:rPr>
        <w:t>乐山市居民服务一卡通需要对身份证、姓名、民族、社保卡号、医院、药店名称、医院药店地址、联系电话、使用时间、硬件名称、银行卡号、银行名称、银行网点名称、待遇领取类型、景区名称、常住地址、图书馆名称、申领表图片、行政区划代码、单位编码、单位名称、证件有效期、经办人、交易流水号、业务类型、常住所在地邮政编码、监护人证件类型、监护人证件号码、人员申请制卡地、医保参保地等信息进行数据共享数据分析，并对数据资源开放程度进行</w:t>
      </w:r>
      <w:r>
        <w:t>设计</w:t>
      </w:r>
      <w:r>
        <w:rPr>
          <w:rFonts w:hint="eastAsia"/>
        </w:rPr>
        <w:t>。</w:t>
      </w:r>
    </w:p>
    <w:p>
      <w:pPr>
        <w:spacing w:line="440" w:lineRule="exact"/>
        <w:ind w:firstLine="562"/>
        <w:rPr>
          <w:sz w:val="28"/>
          <w:szCs w:val="28"/>
        </w:rPr>
      </w:pPr>
      <w:r>
        <w:rPr>
          <w:rFonts w:hint="eastAsia"/>
          <w:b/>
          <w:bCs/>
          <w:sz w:val="28"/>
          <w:szCs w:val="28"/>
        </w:rPr>
        <w:t>（六）系统功能要求</w:t>
      </w:r>
    </w:p>
    <w:p>
      <w:pPr>
        <w:spacing w:line="440" w:lineRule="exact"/>
        <w:ind w:firstLine="482"/>
      </w:pPr>
      <w:bookmarkStart w:id="41" w:name="_Toc81814991"/>
      <w:r>
        <w:rPr>
          <w:rFonts w:hint="eastAsia" w:ascii="楷体" w:hAnsi="楷体" w:eastAsia="楷体" w:cs="楷体"/>
          <w:b/>
          <w:bCs/>
        </w:rPr>
        <w:t>1、居民服务一卡通综合服务平台</w:t>
      </w:r>
      <w:bookmarkEnd w:id="41"/>
    </w:p>
    <w:p>
      <w:pPr>
        <w:spacing w:line="440" w:lineRule="exact"/>
        <w:ind w:firstLine="480"/>
      </w:pPr>
      <w:bookmarkStart w:id="42" w:name="_Toc54623717"/>
      <w:r>
        <w:rPr>
          <w:rFonts w:hint="eastAsia"/>
        </w:rPr>
        <w:t>居民服务一卡通综合服务平台赋予整个</w:t>
      </w:r>
      <w:r>
        <w:t>“一卡通”</w:t>
      </w:r>
      <w:r>
        <w:rPr>
          <w:rFonts w:hint="eastAsia"/>
        </w:rPr>
        <w:t>提供各子系统管理能力，以适应社保卡全面发行后的广泛应用，形成多层次、多渠道、多形式用卡支撑环境，可对接多个业务系统，并对不同业务系统在线管理的角色、权限提供统一功能。</w:t>
      </w:r>
    </w:p>
    <w:p>
      <w:pPr>
        <w:spacing w:line="440" w:lineRule="exact"/>
        <w:ind w:firstLine="480"/>
      </w:pPr>
      <w:r>
        <w:rPr>
          <w:rFonts w:hint="eastAsia"/>
        </w:rPr>
        <w:t>居民服务一卡通综合服务平台对外输出的服务能力包含：社保卡密钥服务、社保卡CA证书服务、生物识别、OCR证件识别、人社智能知识库等。</w:t>
      </w:r>
    </w:p>
    <w:bookmarkEnd w:id="42"/>
    <w:p>
      <w:pPr>
        <w:spacing w:line="440" w:lineRule="exact"/>
        <w:ind w:firstLine="482"/>
      </w:pPr>
      <w:bookmarkStart w:id="43" w:name="_Toc81814992"/>
      <w:r>
        <w:rPr>
          <w:rFonts w:hint="eastAsia"/>
          <w:b/>
          <w:bCs/>
        </w:rPr>
        <w:t>1.1统一渠道接入管理</w:t>
      </w:r>
      <w:bookmarkEnd w:id="43"/>
    </w:p>
    <w:p>
      <w:pPr>
        <w:spacing w:line="440" w:lineRule="exact"/>
        <w:ind w:firstLine="480"/>
      </w:pPr>
      <w:r>
        <w:rPr>
          <w:rFonts w:hint="eastAsia"/>
        </w:rPr>
        <w:t>统一渠道接入管理面向各服务渠道，系统以个人、单位、社区、学校、医院等服务对象为中心，聚合业务入口，通过流程驱动的方式实现业务前端受理的流程化和规范化，形成接口服务能力输出请求在前台受理反馈、后台分类审核审批的业务模式，实现社保卡业务“掌上办理”。系统需要分别</w:t>
      </w:r>
      <w:r>
        <w:t>实现</w:t>
      </w:r>
      <w:r>
        <w:rPr>
          <w:rFonts w:hint="eastAsia"/>
        </w:rPr>
        <w:t>智能化业务聚合、</w:t>
      </w:r>
      <w:r>
        <w:t>流程化操作</w:t>
      </w:r>
      <w:r>
        <w:rPr>
          <w:rFonts w:hint="eastAsia"/>
        </w:rPr>
        <w:t>、</w:t>
      </w:r>
      <w:r>
        <w:t>智能表单填写</w:t>
      </w:r>
      <w:r>
        <w:rPr>
          <w:rFonts w:hint="eastAsia"/>
        </w:rPr>
        <w:t>、</w:t>
      </w:r>
      <w:r>
        <w:t>待办事项推送</w:t>
      </w:r>
      <w:r>
        <w:rPr>
          <w:rFonts w:hint="eastAsia"/>
        </w:rPr>
        <w:t>、</w:t>
      </w:r>
      <w:r>
        <w:t>多</w:t>
      </w:r>
      <w:r>
        <w:rPr>
          <w:rFonts w:hint="eastAsia"/>
        </w:rPr>
        <w:t>渠道</w:t>
      </w:r>
      <w:r>
        <w:t>业务办理</w:t>
      </w:r>
      <w:r>
        <w:rPr>
          <w:rFonts w:hint="eastAsia"/>
        </w:rPr>
        <w:t>等</w:t>
      </w:r>
      <w:r>
        <w:t>功能。</w:t>
      </w:r>
    </w:p>
    <w:p>
      <w:pPr>
        <w:spacing w:line="440" w:lineRule="exact"/>
        <w:ind w:firstLine="482"/>
        <w:rPr>
          <w:b/>
          <w:bCs/>
        </w:rPr>
      </w:pPr>
      <w:bookmarkStart w:id="44" w:name="_Toc17846172"/>
      <w:bookmarkStart w:id="45" w:name="_Toc4199"/>
      <w:bookmarkStart w:id="46" w:name="_Toc15609_WPSOffice_Level2"/>
      <w:bookmarkStart w:id="47" w:name="_Toc11066"/>
      <w:bookmarkStart w:id="48" w:name="_Toc81814993"/>
      <w:r>
        <w:rPr>
          <w:rFonts w:hint="eastAsia"/>
          <w:b/>
          <w:bCs/>
        </w:rPr>
        <w:t>1.2支付结算综合</w:t>
      </w:r>
      <w:bookmarkEnd w:id="44"/>
      <w:bookmarkEnd w:id="45"/>
      <w:bookmarkEnd w:id="46"/>
      <w:bookmarkEnd w:id="47"/>
      <w:r>
        <w:rPr>
          <w:rFonts w:hint="eastAsia"/>
          <w:b/>
          <w:bCs/>
        </w:rPr>
        <w:t>管理</w:t>
      </w:r>
      <w:bookmarkEnd w:id="48"/>
    </w:p>
    <w:p>
      <w:pPr>
        <w:spacing w:line="440" w:lineRule="exact"/>
        <w:ind w:firstLine="480"/>
      </w:pPr>
      <w:r>
        <w:rPr>
          <w:rFonts w:hint="eastAsia"/>
        </w:rPr>
        <w:t>系统以乐山人社核心业务系统为业务支撑、结合银联或银行金融支付功能作为电子社会保障卡应用的</w:t>
      </w:r>
      <w:r>
        <w:rPr>
          <w:rFonts w:hint="eastAsia"/>
          <w:color w:val="auto"/>
        </w:rPr>
        <w:t>金融渠道，对接电子社保卡签发应用渠道，实现</w:t>
      </w:r>
      <w:r>
        <w:rPr>
          <w:rFonts w:hint="eastAsia"/>
        </w:rPr>
        <w:t>具备人社部电子社会保障卡安全基础的公共应用服务资源池，以便于后续电子社会保障卡应用的推广。</w:t>
      </w:r>
    </w:p>
    <w:p>
      <w:pPr>
        <w:spacing w:line="440" w:lineRule="exact"/>
        <w:ind w:firstLine="482"/>
        <w:rPr>
          <w:b/>
          <w:bCs/>
        </w:rPr>
      </w:pPr>
      <w:bookmarkStart w:id="49" w:name="_Toc10319624"/>
      <w:bookmarkStart w:id="50" w:name="_Toc23993"/>
      <w:bookmarkStart w:id="51" w:name="_Toc81814994"/>
      <w:r>
        <w:rPr>
          <w:rFonts w:hint="eastAsia"/>
          <w:b/>
          <w:bCs/>
        </w:rPr>
        <w:t>1.3应用环境</w:t>
      </w:r>
      <w:bookmarkEnd w:id="49"/>
      <w:bookmarkEnd w:id="50"/>
      <w:r>
        <w:rPr>
          <w:rFonts w:hint="eastAsia"/>
          <w:b/>
          <w:bCs/>
        </w:rPr>
        <w:t>服务管理</w:t>
      </w:r>
      <w:bookmarkEnd w:id="51"/>
    </w:p>
    <w:p>
      <w:pPr>
        <w:spacing w:line="440" w:lineRule="exact"/>
        <w:ind w:firstLine="480"/>
        <w:rPr>
          <w:color w:val="auto"/>
        </w:rPr>
      </w:pPr>
      <w:r>
        <w:rPr>
          <w:rFonts w:hint="eastAsia"/>
        </w:rPr>
        <w:t>系统分别</w:t>
      </w:r>
      <w:r>
        <w:t>实现</w:t>
      </w:r>
      <w:r>
        <w:rPr>
          <w:rFonts w:hint="eastAsia"/>
        </w:rPr>
        <w:t>以认证管理，业务管理以及支付管理作为基础架构，认证服务</w:t>
      </w:r>
      <w:r>
        <w:rPr>
          <w:rFonts w:hint="eastAsia"/>
          <w:color w:val="auto"/>
        </w:rPr>
        <w:t>结合人社部门及银联（银行）等多个渠道及认证手段，业务服务搭建前端及后端应用环境，支付平台负责结合银联等支付相关的渠道。</w:t>
      </w:r>
    </w:p>
    <w:p>
      <w:pPr>
        <w:spacing w:line="440" w:lineRule="exact"/>
        <w:ind w:firstLine="482"/>
        <w:rPr>
          <w:rFonts w:hint="eastAsia"/>
          <w:b/>
          <w:bCs/>
        </w:rPr>
      </w:pPr>
      <w:bookmarkStart w:id="52" w:name="_Toc54623723"/>
      <w:bookmarkStart w:id="53" w:name="_Toc81814995"/>
      <w:r>
        <w:rPr>
          <w:rFonts w:hint="eastAsia"/>
          <w:b/>
          <w:bCs/>
        </w:rPr>
        <w:t>1.4数据监测监控</w:t>
      </w:r>
      <w:bookmarkEnd w:id="52"/>
      <w:r>
        <w:rPr>
          <w:rFonts w:hint="eastAsia"/>
          <w:b/>
          <w:bCs/>
        </w:rPr>
        <w:t>管理</w:t>
      </w:r>
      <w:bookmarkEnd w:id="53"/>
    </w:p>
    <w:p>
      <w:pPr>
        <w:spacing w:line="440" w:lineRule="exact"/>
        <w:ind w:firstLine="480"/>
      </w:pPr>
      <w:r>
        <w:rPr>
          <w:rFonts w:hint="eastAsia"/>
        </w:rPr>
        <w:t>可对平台中的数据，如：人社业务系统、社保卡信息化系统、社保卡终端监控系统、企业、金融机构、其它政务部门等的业务、管理、状态数据，进行监测和管理。</w:t>
      </w:r>
    </w:p>
    <w:p>
      <w:pPr>
        <w:spacing w:line="440" w:lineRule="exact"/>
        <w:ind w:firstLine="482"/>
      </w:pPr>
      <w:bookmarkStart w:id="54" w:name="_Toc81814996"/>
      <w:r>
        <w:rPr>
          <w:rFonts w:hint="eastAsia" w:ascii="楷体" w:hAnsi="楷体" w:eastAsia="楷体" w:cs="楷体"/>
          <w:b/>
          <w:bCs/>
        </w:rPr>
        <w:t>2、居民服务一卡通应用监管子系统</w:t>
      </w:r>
      <w:bookmarkEnd w:id="54"/>
    </w:p>
    <w:p>
      <w:pPr>
        <w:spacing w:line="440" w:lineRule="exact"/>
        <w:ind w:firstLine="482"/>
      </w:pPr>
      <w:bookmarkStart w:id="55" w:name="_Toc22609"/>
      <w:bookmarkStart w:id="56" w:name="_Toc81814997"/>
      <w:r>
        <w:rPr>
          <w:rFonts w:hint="eastAsia"/>
          <w:b/>
          <w:bCs/>
        </w:rPr>
        <w:t>2.1应用终端基本管理</w:t>
      </w:r>
      <w:bookmarkEnd w:id="55"/>
      <w:bookmarkEnd w:id="56"/>
    </w:p>
    <w:p>
      <w:pPr>
        <w:spacing w:line="440" w:lineRule="exact"/>
        <w:ind w:firstLine="480"/>
      </w:pPr>
      <w:r>
        <w:rPr>
          <w:rFonts w:hint="eastAsia"/>
          <w:color w:val="auto"/>
        </w:rPr>
        <w:t>应用终端包含设备注册、批量注册、修改、查询等功能。部署设备的网点所在的行政区域，该区域只能选择当前登陆用户所属区域及其下级区域</w:t>
      </w:r>
      <w:r>
        <w:rPr>
          <w:rFonts w:hint="eastAsia"/>
        </w:rPr>
        <w:t>。当设备较多时，可对设备进行批量注册，批量注册通过excel电子表格导入的方式完成。批量注册一次最多仅能注册1000个设备，如果设备多于1000个，需要分多次注册。</w:t>
      </w:r>
    </w:p>
    <w:p>
      <w:pPr>
        <w:spacing w:line="440" w:lineRule="exact"/>
        <w:ind w:firstLine="480"/>
      </w:pPr>
      <w:r>
        <w:rPr>
          <w:rFonts w:hint="eastAsia"/>
        </w:rPr>
        <w:t>批量注册上传excel文档后，可到此处查看批量注</w:t>
      </w:r>
      <w:r>
        <w:rPr>
          <w:rFonts w:hint="eastAsia"/>
          <w:color w:val="auto"/>
        </w:rPr>
        <w:t>册结果。如有失败记录可通过下载功能将失败的数据下载，修改正确后再重新进行批</w:t>
      </w:r>
      <w:r>
        <w:rPr>
          <w:rFonts w:hint="eastAsia"/>
        </w:rPr>
        <w:t>量注册操作，直至全部注册成功。当完成状态为“失败”，且失败数量不为0时，“下载”按钮可用。</w:t>
      </w:r>
    </w:p>
    <w:p>
      <w:pPr>
        <w:spacing w:line="440" w:lineRule="exact"/>
        <w:ind w:firstLine="480"/>
      </w:pPr>
      <w:r>
        <w:rPr>
          <w:rFonts w:hint="eastAsia"/>
        </w:rPr>
        <w:t>修改注册后的设备信息。除设备ID不可修改外，其他内容可修改。</w:t>
      </w:r>
    </w:p>
    <w:p>
      <w:pPr>
        <w:spacing w:line="440" w:lineRule="exact"/>
        <w:ind w:firstLine="482"/>
      </w:pPr>
      <w:bookmarkStart w:id="57" w:name="_Toc16765"/>
      <w:bookmarkStart w:id="58" w:name="_Toc81814998"/>
      <w:r>
        <w:rPr>
          <w:rFonts w:hint="eastAsia"/>
          <w:b/>
          <w:bCs/>
        </w:rPr>
        <w:t>2.2应用终端远程管理</w:t>
      </w:r>
      <w:bookmarkEnd w:id="57"/>
      <w:bookmarkEnd w:id="58"/>
    </w:p>
    <w:p>
      <w:pPr>
        <w:spacing w:line="440" w:lineRule="exact"/>
        <w:ind w:firstLine="480"/>
      </w:pPr>
      <w:r>
        <w:rPr>
          <w:rFonts w:hint="eastAsia"/>
        </w:rPr>
        <w:t>远程管理主要有设备自检记录查看、日志查看。</w:t>
      </w:r>
    </w:p>
    <w:p>
      <w:pPr>
        <w:spacing w:line="440" w:lineRule="exact"/>
        <w:ind w:firstLine="480"/>
      </w:pPr>
      <w:r>
        <w:rPr>
          <w:rFonts w:hint="eastAsia"/>
        </w:rPr>
        <w:t>2.2.1自检记录</w:t>
      </w:r>
    </w:p>
    <w:p>
      <w:pPr>
        <w:spacing w:line="440" w:lineRule="exact"/>
        <w:ind w:firstLine="480"/>
      </w:pPr>
      <w:r>
        <w:rPr>
          <w:rFonts w:hint="eastAsia"/>
        </w:rPr>
        <w:t>自检记录为设备每次开机时设备自检的记录信息，主要记录自检结果。</w:t>
      </w:r>
    </w:p>
    <w:p>
      <w:pPr>
        <w:spacing w:line="440" w:lineRule="exact"/>
        <w:ind w:firstLine="480"/>
      </w:pPr>
      <w:r>
        <w:rPr>
          <w:rFonts w:hint="eastAsia"/>
        </w:rPr>
        <w:t>在列表中选择一台设备，点击自检记录可查看该设备的自检结果。在自检记录列表中，点击详情按钮可查看自检结果详情。</w:t>
      </w:r>
    </w:p>
    <w:p>
      <w:pPr>
        <w:spacing w:line="440" w:lineRule="exact"/>
        <w:ind w:firstLine="480"/>
      </w:pPr>
      <w:r>
        <w:rPr>
          <w:rFonts w:hint="eastAsia"/>
        </w:rPr>
        <w:t>2.2.2日志查看</w:t>
      </w:r>
    </w:p>
    <w:p>
      <w:pPr>
        <w:spacing w:line="440" w:lineRule="exact"/>
        <w:ind w:firstLine="480"/>
      </w:pPr>
      <w:r>
        <w:rPr>
          <w:rFonts w:hint="eastAsia"/>
        </w:rPr>
        <w:t>日志查看为查看设备的日志信息。在远程管理列表中选择一台设备，点击日志查看即可查看该设备的日志信息。</w:t>
      </w:r>
    </w:p>
    <w:p>
      <w:pPr>
        <w:spacing w:line="440" w:lineRule="exact"/>
        <w:ind w:firstLine="482"/>
      </w:pPr>
      <w:bookmarkStart w:id="59" w:name="_Toc81814999"/>
      <w:bookmarkStart w:id="60" w:name="_Toc26461"/>
      <w:r>
        <w:rPr>
          <w:rFonts w:hint="eastAsia"/>
          <w:b/>
          <w:bCs/>
        </w:rPr>
        <w:t>2.3应用终端监控管理</w:t>
      </w:r>
      <w:bookmarkEnd w:id="59"/>
      <w:bookmarkEnd w:id="60"/>
    </w:p>
    <w:p>
      <w:pPr>
        <w:spacing w:line="440" w:lineRule="exact"/>
        <w:ind w:firstLine="480"/>
        <w:rPr>
          <w:color w:val="auto"/>
        </w:rPr>
      </w:pPr>
      <w:r>
        <w:rPr>
          <w:rFonts w:hint="eastAsia"/>
          <w:color w:val="auto"/>
        </w:rPr>
        <w:t>设备监控主要是记录对设备监控的信息。主要有设备运行情况、在线监控、色带监控、凭条打印机监控。</w:t>
      </w:r>
    </w:p>
    <w:p>
      <w:pPr>
        <w:spacing w:line="440" w:lineRule="exact"/>
        <w:ind w:firstLine="480"/>
        <w:rPr>
          <w:color w:val="auto"/>
        </w:rPr>
      </w:pPr>
      <w:r>
        <w:rPr>
          <w:rFonts w:hint="eastAsia"/>
          <w:color w:val="auto"/>
        </w:rPr>
        <w:t>2.3.1应用终端监控类别</w:t>
      </w:r>
    </w:p>
    <w:p>
      <w:pPr>
        <w:spacing w:line="440" w:lineRule="exact"/>
        <w:ind w:firstLine="480"/>
        <w:rPr>
          <w:color w:val="auto"/>
        </w:rPr>
      </w:pPr>
      <w:r>
        <w:rPr>
          <w:rFonts w:hint="eastAsia"/>
          <w:color w:val="auto"/>
        </w:rPr>
        <w:t>对终端的开关机、地理位置、系统的使用情况、各应用功能的使用频率等方面对自助终端进行实时监控，即时了解各基层服务网点自助终端的运行情况。</w:t>
      </w:r>
    </w:p>
    <w:p>
      <w:pPr>
        <w:spacing w:line="440" w:lineRule="exact"/>
        <w:ind w:firstLine="480"/>
        <w:rPr>
          <w:color w:val="auto"/>
        </w:rPr>
      </w:pPr>
      <w:r>
        <w:rPr>
          <w:rFonts w:hint="eastAsia"/>
          <w:color w:val="auto"/>
        </w:rPr>
        <w:t>2.3.2应用终端运行情况</w:t>
      </w:r>
    </w:p>
    <w:p>
      <w:pPr>
        <w:spacing w:line="440" w:lineRule="exact"/>
        <w:ind w:firstLine="480"/>
        <w:rPr>
          <w:color w:val="auto"/>
        </w:rPr>
      </w:pPr>
      <w:r>
        <w:rPr>
          <w:rFonts w:hint="eastAsia"/>
          <w:color w:val="auto"/>
        </w:rPr>
        <w:t>运行情况分为正常和异常两种，正常指设备全部部件及状态正常，异常指设备只要有某个部件、网络、打印纸等异常即为异常。点击运行情况可以在列表中查看各设备的具体情况，同时可通过设备ID和状态进行过滤。</w:t>
      </w:r>
    </w:p>
    <w:p>
      <w:pPr>
        <w:spacing w:line="440" w:lineRule="exact"/>
        <w:ind w:firstLine="480"/>
        <w:rPr>
          <w:color w:val="auto"/>
        </w:rPr>
      </w:pPr>
      <w:r>
        <w:rPr>
          <w:rFonts w:hint="eastAsia"/>
          <w:color w:val="auto"/>
        </w:rPr>
        <w:t>2.3.3应用终端在线监控</w:t>
      </w:r>
    </w:p>
    <w:p>
      <w:pPr>
        <w:spacing w:line="440" w:lineRule="exact"/>
        <w:ind w:firstLine="480"/>
      </w:pPr>
      <w:r>
        <w:rPr>
          <w:rFonts w:hint="eastAsia"/>
          <w:color w:val="auto"/>
        </w:rPr>
        <w:t>监控设备的在线状态。在线监控分为在线、离线两种状态，由系统自动识别设备是否在线。在线指设备与服务器连接正常，离线指设备与服务器无连接。点击在线监控可以在列表中查看各设备的具体情况，同时可通过设</w:t>
      </w:r>
      <w:r>
        <w:rPr>
          <w:rFonts w:hint="eastAsia"/>
        </w:rPr>
        <w:t>备ID和状态进行过滤。</w:t>
      </w:r>
    </w:p>
    <w:p>
      <w:pPr>
        <w:spacing w:line="440" w:lineRule="exact"/>
        <w:ind w:firstLine="482"/>
      </w:pPr>
      <w:bookmarkStart w:id="61" w:name="_Toc12717"/>
      <w:bookmarkStart w:id="62" w:name="_Toc81815000"/>
      <w:bookmarkStart w:id="63" w:name="_Toc2886"/>
      <w:r>
        <w:rPr>
          <w:rFonts w:hint="eastAsia"/>
          <w:b/>
          <w:bCs/>
        </w:rPr>
        <w:t>2.4制发卡数据管理</w:t>
      </w:r>
      <w:bookmarkEnd w:id="61"/>
      <w:bookmarkEnd w:id="62"/>
      <w:bookmarkEnd w:id="63"/>
    </w:p>
    <w:p>
      <w:pPr>
        <w:spacing w:line="440" w:lineRule="exact"/>
        <w:ind w:firstLine="480"/>
        <w:rPr>
          <w:color w:val="auto"/>
        </w:rPr>
      </w:pPr>
      <w:r>
        <w:rPr>
          <w:rFonts w:hint="eastAsia"/>
          <w:color w:val="auto"/>
        </w:rPr>
        <w:t>发卡管理为管理设备预制卡及成品卡信息，查询发卡记录。</w:t>
      </w:r>
    </w:p>
    <w:p>
      <w:pPr>
        <w:spacing w:line="440" w:lineRule="exact"/>
        <w:ind w:firstLine="480"/>
        <w:rPr>
          <w:color w:val="auto"/>
        </w:rPr>
      </w:pPr>
      <w:r>
        <w:rPr>
          <w:rFonts w:hint="eastAsia"/>
          <w:color w:val="auto"/>
        </w:rPr>
        <w:t>2.4.1预制卡管理</w:t>
      </w:r>
    </w:p>
    <w:p>
      <w:pPr>
        <w:spacing w:line="440" w:lineRule="exact"/>
        <w:ind w:firstLine="480"/>
        <w:rPr>
          <w:color w:val="auto"/>
        </w:rPr>
      </w:pPr>
      <w:r>
        <w:rPr>
          <w:rFonts w:hint="eastAsia"/>
          <w:color w:val="auto"/>
        </w:rPr>
        <w:t>预制卡管理为管理设备上预制卡数量。主要有添加预制卡、查看添加详情等功能。当设备较多时，可通过查询条件进行查询需要添加预制卡的设备然后再进行添加。</w:t>
      </w:r>
    </w:p>
    <w:p>
      <w:pPr>
        <w:spacing w:line="440" w:lineRule="exact"/>
        <w:ind w:firstLine="480"/>
        <w:rPr>
          <w:color w:val="auto"/>
        </w:rPr>
      </w:pPr>
      <w:r>
        <w:rPr>
          <w:rFonts w:hint="eastAsia"/>
          <w:color w:val="auto"/>
        </w:rPr>
        <w:t>管理列表中预制卡数量、已使用、未使用3者之间的关系。</w:t>
      </w:r>
    </w:p>
    <w:p>
      <w:pPr>
        <w:spacing w:line="440" w:lineRule="exact"/>
        <w:ind w:firstLine="480"/>
        <w:rPr>
          <w:color w:val="auto"/>
        </w:rPr>
      </w:pPr>
      <w:r>
        <w:rPr>
          <w:rFonts w:hint="eastAsia"/>
          <w:color w:val="auto"/>
        </w:rPr>
        <w:t>预制卡数量：每次添加的预制卡数量之和。</w:t>
      </w:r>
    </w:p>
    <w:p>
      <w:pPr>
        <w:spacing w:line="440" w:lineRule="exact"/>
        <w:ind w:firstLine="480"/>
        <w:rPr>
          <w:color w:val="auto"/>
        </w:rPr>
      </w:pPr>
      <w:r>
        <w:rPr>
          <w:rFonts w:hint="eastAsia"/>
          <w:color w:val="auto"/>
        </w:rPr>
        <w:t>已使用：该设备已使用的预制卡的数量之和。设备每使用一张预制卡已使用数量+1，未使用数量-1。</w:t>
      </w:r>
    </w:p>
    <w:p>
      <w:pPr>
        <w:spacing w:line="440" w:lineRule="exact"/>
        <w:ind w:firstLine="480"/>
      </w:pPr>
      <w:r>
        <w:rPr>
          <w:rFonts w:hint="eastAsia"/>
        </w:rPr>
        <w:t>未使用：未使用的预制卡数量。未使用=预制卡数量-已使用。如果设备上已添加了预制卡，但是没有在系统上登记添加的预制卡数量，那么会导致未使用的数量不准确。</w:t>
      </w:r>
    </w:p>
    <w:p>
      <w:pPr>
        <w:spacing w:line="440" w:lineRule="exact"/>
        <w:ind w:firstLine="480"/>
      </w:pPr>
      <w:r>
        <w:rPr>
          <w:rFonts w:hint="eastAsia"/>
        </w:rPr>
        <w:t>（1）添加预制卡</w:t>
      </w:r>
    </w:p>
    <w:p>
      <w:pPr>
        <w:spacing w:line="440" w:lineRule="exact"/>
        <w:ind w:firstLine="480"/>
      </w:pPr>
      <w:r>
        <w:rPr>
          <w:rFonts w:hint="eastAsia"/>
        </w:rPr>
        <w:t>在预制卡管理列表中，选择需要添加预制卡的设备，点击“添加”按钮，填写添加数量并保存。</w:t>
      </w:r>
    </w:p>
    <w:p>
      <w:pPr>
        <w:spacing w:line="440" w:lineRule="exact"/>
        <w:ind w:firstLine="480"/>
        <w:rPr>
          <w:color w:val="auto"/>
        </w:rPr>
      </w:pPr>
      <w:r>
        <w:rPr>
          <w:rFonts w:hint="eastAsia"/>
          <w:color w:val="auto"/>
        </w:rPr>
        <w:t>注意：在为设备没有对添加的预制卡进行信息读取，所以在设备上添加的预制卡数量一定要与系统上添加的数量一致，否则预制卡统计数据可能不正确。</w:t>
      </w:r>
    </w:p>
    <w:p>
      <w:pPr>
        <w:spacing w:line="440" w:lineRule="exact"/>
        <w:ind w:firstLine="480"/>
        <w:rPr>
          <w:color w:val="auto"/>
        </w:rPr>
      </w:pPr>
      <w:r>
        <w:rPr>
          <w:rFonts w:hint="eastAsia"/>
          <w:color w:val="auto"/>
        </w:rPr>
        <w:t>（2）查看添加详情</w:t>
      </w:r>
    </w:p>
    <w:p>
      <w:pPr>
        <w:spacing w:line="440" w:lineRule="exact"/>
        <w:ind w:firstLine="480"/>
        <w:rPr>
          <w:color w:val="auto"/>
        </w:rPr>
      </w:pPr>
      <w:r>
        <w:rPr>
          <w:rFonts w:hint="eastAsia"/>
          <w:color w:val="auto"/>
        </w:rPr>
        <w:t>在预制卡管理页面的设备列表中，点击“详情”按钮可查看该设备添加的预制卡详情。详情包括每次添加的时间、数量。</w:t>
      </w:r>
    </w:p>
    <w:p>
      <w:pPr>
        <w:spacing w:line="440" w:lineRule="exact"/>
        <w:ind w:firstLine="480"/>
        <w:rPr>
          <w:color w:val="auto"/>
        </w:rPr>
      </w:pPr>
      <w:r>
        <w:rPr>
          <w:rFonts w:hint="eastAsia"/>
          <w:color w:val="auto"/>
        </w:rPr>
        <w:t>2.4.2成品卡管理</w:t>
      </w:r>
    </w:p>
    <w:p>
      <w:pPr>
        <w:spacing w:line="440" w:lineRule="exact"/>
        <w:ind w:firstLine="480"/>
        <w:rPr>
          <w:color w:val="auto"/>
        </w:rPr>
      </w:pPr>
      <w:r>
        <w:rPr>
          <w:rFonts w:hint="eastAsia"/>
          <w:color w:val="auto"/>
        </w:rPr>
        <w:t>管理设备中的成品卡信息，在设备上放置成品卡后，设备会自动读取卡片信息并上传到后台。</w:t>
      </w:r>
    </w:p>
    <w:p>
      <w:pPr>
        <w:spacing w:line="440" w:lineRule="exact"/>
        <w:ind w:firstLine="480"/>
        <w:rPr>
          <w:color w:val="auto"/>
        </w:rPr>
      </w:pPr>
      <w:r>
        <w:rPr>
          <w:rFonts w:hint="eastAsia"/>
          <w:color w:val="auto"/>
        </w:rPr>
        <w:t>用户可通过设置条件查询成品卡信息，查看卡是否补领取。成品卡的领取状态有3种，分别为：待领、领卡成功、领卡失败。</w:t>
      </w:r>
    </w:p>
    <w:p>
      <w:pPr>
        <w:spacing w:line="440" w:lineRule="exact"/>
        <w:ind w:firstLine="480"/>
        <w:rPr>
          <w:color w:val="auto"/>
        </w:rPr>
      </w:pPr>
      <w:r>
        <w:rPr>
          <w:rFonts w:hint="eastAsia"/>
          <w:color w:val="auto"/>
        </w:rPr>
        <w:t>待领：指成品卡已制作完成，等待卡主领取；</w:t>
      </w:r>
    </w:p>
    <w:p>
      <w:pPr>
        <w:spacing w:line="440" w:lineRule="exact"/>
        <w:ind w:firstLine="480"/>
        <w:rPr>
          <w:color w:val="auto"/>
        </w:rPr>
      </w:pPr>
      <w:r>
        <w:rPr>
          <w:rFonts w:hint="eastAsia"/>
          <w:color w:val="auto"/>
        </w:rPr>
        <w:t>领卡成功：指成品卡已成功领取；</w:t>
      </w:r>
    </w:p>
    <w:p>
      <w:pPr>
        <w:spacing w:line="440" w:lineRule="exact"/>
        <w:ind w:firstLine="480"/>
      </w:pPr>
      <w:r>
        <w:rPr>
          <w:rFonts w:hint="eastAsia"/>
        </w:rPr>
        <w:t>领卡失败：指已执行领卡操作，但由于各种原因导致卡主并没有拿到卡。</w:t>
      </w:r>
    </w:p>
    <w:p>
      <w:pPr>
        <w:spacing w:line="440" w:lineRule="exact"/>
        <w:ind w:firstLine="480"/>
      </w:pPr>
      <w:r>
        <w:rPr>
          <w:rFonts w:hint="eastAsia"/>
        </w:rPr>
        <w:t>列表中如果发卡状态为待领，则出库时间为空。</w:t>
      </w:r>
    </w:p>
    <w:p>
      <w:pPr>
        <w:spacing w:line="440" w:lineRule="exact"/>
        <w:ind w:firstLine="480"/>
      </w:pPr>
      <w:r>
        <w:rPr>
          <w:rFonts w:hint="eastAsia"/>
        </w:rPr>
        <w:t>2.4.3发卡记录查询</w:t>
      </w:r>
    </w:p>
    <w:p>
      <w:pPr>
        <w:spacing w:line="440" w:lineRule="exact"/>
        <w:ind w:firstLine="480"/>
      </w:pPr>
      <w:r>
        <w:rPr>
          <w:rFonts w:hint="eastAsia"/>
        </w:rPr>
        <w:t>查询设备上的发卡记录，包括成品卡领卡、补卡、换卡3种方式的发卡记录。</w:t>
      </w:r>
    </w:p>
    <w:p>
      <w:pPr>
        <w:spacing w:line="440" w:lineRule="exact"/>
        <w:ind w:firstLine="480"/>
      </w:pPr>
      <w:r>
        <w:rPr>
          <w:rFonts w:hint="eastAsia"/>
        </w:rPr>
        <w:t>可通过设置查询条件查询对应发卡记录。</w:t>
      </w:r>
    </w:p>
    <w:p>
      <w:pPr>
        <w:spacing w:line="440" w:lineRule="exact"/>
        <w:ind w:firstLine="480"/>
      </w:pPr>
      <w:r>
        <w:rPr>
          <w:rFonts w:hint="eastAsia"/>
        </w:rPr>
        <w:t>2.4.4制卡数据查询</w:t>
      </w:r>
    </w:p>
    <w:p>
      <w:pPr>
        <w:spacing w:line="440" w:lineRule="exact"/>
        <w:ind w:firstLine="480"/>
      </w:pPr>
      <w:r>
        <w:rPr>
          <w:rFonts w:hint="eastAsia"/>
        </w:rPr>
        <w:t>与卡管系统对接，通过批次等信息查询卡管系统上的制卡数据。</w:t>
      </w:r>
    </w:p>
    <w:p>
      <w:pPr>
        <w:spacing w:line="440" w:lineRule="exact"/>
        <w:ind w:firstLine="480"/>
      </w:pPr>
      <w:r>
        <w:rPr>
          <w:rFonts w:hint="eastAsia"/>
        </w:rPr>
        <w:t>2.4.5数据回盘</w:t>
      </w:r>
    </w:p>
    <w:p>
      <w:pPr>
        <w:spacing w:line="440" w:lineRule="exact"/>
        <w:ind w:firstLine="480"/>
      </w:pPr>
      <w:r>
        <w:rPr>
          <w:rFonts w:hint="eastAsia"/>
        </w:rPr>
        <w:t>对完成制卡的数据进行回盘。设备本身具体有自动回盘功能，当自动回盘失败时，回盘失败的数据可通过本功能进行手工回盘。此处仅能对回盘失败的数据进行操作。</w:t>
      </w:r>
    </w:p>
    <w:p>
      <w:pPr>
        <w:spacing w:line="440" w:lineRule="exact"/>
        <w:ind w:firstLine="480"/>
      </w:pPr>
      <w:r>
        <w:rPr>
          <w:rFonts w:hint="eastAsia"/>
        </w:rPr>
        <w:t>选择一条失败的数据然后点击“回盘”按钮对该数据进行手工回盘。</w:t>
      </w:r>
    </w:p>
    <w:p>
      <w:pPr>
        <w:spacing w:line="440" w:lineRule="exact"/>
        <w:ind w:firstLine="482"/>
      </w:pPr>
      <w:bookmarkStart w:id="64" w:name="_Toc32613"/>
      <w:bookmarkStart w:id="65" w:name="_Toc29153"/>
      <w:bookmarkStart w:id="66" w:name="_Toc81815001"/>
      <w:r>
        <w:rPr>
          <w:rFonts w:hint="eastAsia"/>
          <w:b/>
          <w:bCs/>
        </w:rPr>
        <w:t>2.5业务数据</w:t>
      </w:r>
      <w:bookmarkEnd w:id="64"/>
      <w:r>
        <w:rPr>
          <w:rFonts w:hint="eastAsia"/>
          <w:b/>
          <w:bCs/>
        </w:rPr>
        <w:t>监控管理</w:t>
      </w:r>
      <w:bookmarkEnd w:id="65"/>
      <w:bookmarkEnd w:id="66"/>
    </w:p>
    <w:p>
      <w:pPr>
        <w:spacing w:line="440" w:lineRule="exact"/>
        <w:ind w:firstLine="480"/>
      </w:pPr>
      <w:r>
        <w:rPr>
          <w:rFonts w:hint="eastAsia"/>
        </w:rPr>
        <w:t>业务数据监控管理为本系统提供各类数据统计，有设备统计、网点统计、发卡统计、补卡统计、换卡统计、预制卡统计、废卡统计。</w:t>
      </w:r>
    </w:p>
    <w:p>
      <w:pPr>
        <w:spacing w:line="440" w:lineRule="exact"/>
        <w:ind w:firstLine="480"/>
      </w:pPr>
      <w:r>
        <w:rPr>
          <w:rFonts w:hint="eastAsia"/>
        </w:rPr>
        <w:t>用户的所属区域不同，查看到的统计数据范围不同。</w:t>
      </w:r>
    </w:p>
    <w:p>
      <w:pPr>
        <w:spacing w:line="440" w:lineRule="exact"/>
        <w:ind w:firstLine="480"/>
      </w:pPr>
      <w:r>
        <w:rPr>
          <w:rFonts w:hint="eastAsia"/>
        </w:rPr>
        <w:t>2.5.1设备统计</w:t>
      </w:r>
    </w:p>
    <w:p>
      <w:pPr>
        <w:spacing w:line="440" w:lineRule="exact"/>
        <w:ind w:firstLine="480"/>
      </w:pPr>
      <w:r>
        <w:rPr>
          <w:rFonts w:hint="eastAsia"/>
        </w:rPr>
        <w:t>对本区域内设备进行统计，包括使用状态统计、使用数量统计、在线统计。统计数据以柱状图形式进行展现。可通过设置条件来查询所指定的条件的统计数据。</w:t>
      </w:r>
    </w:p>
    <w:p>
      <w:pPr>
        <w:spacing w:line="440" w:lineRule="exact"/>
        <w:ind w:firstLine="480"/>
      </w:pPr>
      <w:r>
        <w:rPr>
          <w:rFonts w:hint="eastAsia"/>
        </w:rPr>
        <w:t>2.5.2网点统计</w:t>
      </w:r>
    </w:p>
    <w:p>
      <w:pPr>
        <w:spacing w:line="440" w:lineRule="exact"/>
        <w:ind w:firstLine="480"/>
      </w:pPr>
      <w:r>
        <w:rPr>
          <w:rFonts w:hint="eastAsia"/>
        </w:rPr>
        <w:t>统计本区域内部署了设备的网点数量。可通过设置条件来查询所指定条件的统计数据。</w:t>
      </w:r>
    </w:p>
    <w:p>
      <w:pPr>
        <w:spacing w:line="440" w:lineRule="exact"/>
        <w:ind w:firstLine="480"/>
      </w:pPr>
      <w:r>
        <w:rPr>
          <w:rFonts w:hint="eastAsia"/>
        </w:rPr>
        <w:t>2.5.3发卡统计</w:t>
      </w:r>
    </w:p>
    <w:p>
      <w:pPr>
        <w:spacing w:line="440" w:lineRule="exact"/>
        <w:ind w:firstLine="480"/>
      </w:pPr>
      <w:r>
        <w:rPr>
          <w:rFonts w:hint="eastAsia"/>
        </w:rPr>
        <w:t>统计本区域内的发卡数据。列表中可查看区域内各设备的发卡统计数据及区域内各网点的发卡统计数据。</w:t>
      </w:r>
    </w:p>
    <w:p>
      <w:pPr>
        <w:spacing w:line="440" w:lineRule="exact"/>
        <w:ind w:firstLine="480"/>
      </w:pPr>
      <w:r>
        <w:rPr>
          <w:rFonts w:hint="eastAsia"/>
        </w:rPr>
        <w:t>可通过设置条件来查询所指定条件的统计数据。</w:t>
      </w:r>
    </w:p>
    <w:p>
      <w:pPr>
        <w:spacing w:line="440" w:lineRule="exact"/>
        <w:ind w:firstLine="480"/>
      </w:pPr>
      <w:r>
        <w:rPr>
          <w:rFonts w:hint="eastAsia"/>
        </w:rPr>
        <w:t>2.5.4补卡统计</w:t>
      </w:r>
    </w:p>
    <w:p>
      <w:pPr>
        <w:spacing w:line="440" w:lineRule="exact"/>
        <w:ind w:firstLine="480"/>
      </w:pPr>
      <w:r>
        <w:rPr>
          <w:rFonts w:hint="eastAsia"/>
        </w:rPr>
        <w:t>统计本区域内的补卡数据。列表中可查看区域内各设备的补卡统计数据及区域内各网点的补卡统计数据。</w:t>
      </w:r>
    </w:p>
    <w:p>
      <w:pPr>
        <w:spacing w:line="440" w:lineRule="exact"/>
        <w:ind w:firstLine="480"/>
      </w:pPr>
      <w:r>
        <w:rPr>
          <w:rFonts w:hint="eastAsia"/>
        </w:rPr>
        <w:t>可通过设置条件来查询所指定条件的统计数据。</w:t>
      </w:r>
    </w:p>
    <w:p>
      <w:pPr>
        <w:spacing w:line="440" w:lineRule="exact"/>
        <w:ind w:firstLine="480"/>
      </w:pPr>
      <w:r>
        <w:rPr>
          <w:rFonts w:hint="eastAsia"/>
        </w:rPr>
        <w:t>2.5.5换卡统计</w:t>
      </w:r>
    </w:p>
    <w:p>
      <w:pPr>
        <w:spacing w:line="440" w:lineRule="exact"/>
        <w:ind w:firstLine="480"/>
      </w:pPr>
      <w:r>
        <w:rPr>
          <w:rFonts w:hint="eastAsia"/>
        </w:rPr>
        <w:t>统计本区域内的换卡数据。列表中可查看区域内各设备的换卡统计数据及区域内各网点的换卡统计数据。</w:t>
      </w:r>
    </w:p>
    <w:p>
      <w:pPr>
        <w:spacing w:line="440" w:lineRule="exact"/>
        <w:ind w:firstLine="480"/>
      </w:pPr>
      <w:r>
        <w:rPr>
          <w:rFonts w:hint="eastAsia"/>
        </w:rPr>
        <w:t>可通过设置条件来查询所指定条件的统计数据。</w:t>
      </w:r>
    </w:p>
    <w:p>
      <w:pPr>
        <w:spacing w:line="440" w:lineRule="exact"/>
        <w:ind w:firstLine="480"/>
      </w:pPr>
      <w:r>
        <w:rPr>
          <w:rFonts w:hint="eastAsia"/>
        </w:rPr>
        <w:t>2.5.6预制卡统计</w:t>
      </w:r>
    </w:p>
    <w:p>
      <w:pPr>
        <w:spacing w:line="440" w:lineRule="exact"/>
        <w:ind w:firstLine="480"/>
      </w:pPr>
      <w:r>
        <w:rPr>
          <w:rFonts w:hint="eastAsia"/>
        </w:rPr>
        <w:t>统计本区域内的预制卡数据。列表中可查看区域内各设备的预制卡统计数据及区域内各网点的预制卡统计数据。</w:t>
      </w:r>
    </w:p>
    <w:p>
      <w:pPr>
        <w:spacing w:line="440" w:lineRule="exact"/>
        <w:ind w:firstLine="480"/>
      </w:pPr>
      <w:r>
        <w:rPr>
          <w:rFonts w:hint="eastAsia"/>
        </w:rPr>
        <w:t>可通过设置条件来查询所指定条件的统计数据。</w:t>
      </w:r>
    </w:p>
    <w:p>
      <w:pPr>
        <w:spacing w:line="440" w:lineRule="exact"/>
        <w:ind w:firstLine="480"/>
      </w:pPr>
      <w:r>
        <w:rPr>
          <w:rFonts w:hint="eastAsia"/>
        </w:rPr>
        <w:t>2.5.7废卡统计</w:t>
      </w:r>
    </w:p>
    <w:p>
      <w:pPr>
        <w:spacing w:line="440" w:lineRule="exact"/>
        <w:ind w:firstLine="480"/>
      </w:pPr>
      <w:r>
        <w:rPr>
          <w:rFonts w:hint="eastAsia"/>
        </w:rPr>
        <w:t>统计本区域内的废卡数据。列表中可查看区域内各设备的废卡统计数据及区域内各网点的废卡统计数据。</w:t>
      </w:r>
    </w:p>
    <w:p>
      <w:pPr>
        <w:spacing w:line="440" w:lineRule="exact"/>
        <w:ind w:firstLine="480"/>
      </w:pPr>
      <w:r>
        <w:rPr>
          <w:rFonts w:hint="eastAsia"/>
        </w:rPr>
        <w:t>可通过设置条件来查询所指定条件的统计数据。</w:t>
      </w:r>
    </w:p>
    <w:p>
      <w:pPr>
        <w:spacing w:line="440" w:lineRule="exact"/>
        <w:ind w:firstLine="482"/>
      </w:pPr>
      <w:bookmarkStart w:id="67" w:name="_Toc81815002"/>
      <w:r>
        <w:rPr>
          <w:rFonts w:hint="eastAsia" w:ascii="楷体" w:hAnsi="楷体" w:eastAsia="楷体" w:cs="楷体"/>
          <w:b/>
          <w:bCs/>
        </w:rPr>
        <w:t>3、居民服务一卡通场景应用子系统</w:t>
      </w:r>
      <w:bookmarkEnd w:id="67"/>
    </w:p>
    <w:p>
      <w:pPr>
        <w:spacing w:line="440" w:lineRule="exact"/>
        <w:ind w:firstLine="480"/>
      </w:pPr>
      <w:r>
        <w:rPr>
          <w:rFonts w:hint="eastAsia"/>
        </w:rPr>
        <w:t>结合乐山市本地实际业务需要，依托省级一体化政务服务平台设计原则和思路，围绕省级一体化政务服务平台开展乐山市社保卡“不见面”服务体系的细化和落实。</w:t>
      </w:r>
    </w:p>
    <w:p>
      <w:pPr>
        <w:spacing w:line="440" w:lineRule="exact"/>
        <w:ind w:firstLine="482"/>
      </w:pPr>
      <w:bookmarkStart w:id="68" w:name="_Toc13099"/>
      <w:bookmarkStart w:id="69" w:name="_Toc18533"/>
      <w:bookmarkStart w:id="70" w:name="_Toc27786"/>
      <w:bookmarkStart w:id="71" w:name="_Toc16074"/>
      <w:bookmarkStart w:id="72" w:name="_Toc28272"/>
      <w:bookmarkStart w:id="73" w:name="_Toc8707"/>
      <w:bookmarkStart w:id="74" w:name="_Toc1215"/>
      <w:bookmarkStart w:id="75" w:name="_Toc16800"/>
      <w:bookmarkStart w:id="76" w:name="_Toc11391"/>
      <w:bookmarkStart w:id="77" w:name="_Toc81815003"/>
      <w:r>
        <w:rPr>
          <w:rFonts w:hint="eastAsia"/>
          <w:b/>
          <w:bCs/>
        </w:rPr>
        <w:t>3.1社保卡“不见面”服务</w:t>
      </w:r>
      <w:bookmarkEnd w:id="68"/>
      <w:bookmarkEnd w:id="69"/>
      <w:bookmarkEnd w:id="70"/>
      <w:bookmarkEnd w:id="71"/>
      <w:bookmarkEnd w:id="72"/>
      <w:bookmarkEnd w:id="73"/>
      <w:bookmarkEnd w:id="74"/>
      <w:bookmarkEnd w:id="75"/>
      <w:bookmarkEnd w:id="76"/>
      <w:r>
        <w:rPr>
          <w:rFonts w:hint="eastAsia"/>
          <w:b/>
          <w:bCs/>
        </w:rPr>
        <w:t>体系</w:t>
      </w:r>
      <w:bookmarkEnd w:id="77"/>
    </w:p>
    <w:p>
      <w:pPr>
        <w:spacing w:line="440" w:lineRule="exact"/>
        <w:ind w:firstLine="480"/>
        <w:rPr>
          <w:color w:val="auto"/>
        </w:rPr>
      </w:pPr>
      <w:r>
        <w:rPr>
          <w:rFonts w:hint="eastAsia"/>
        </w:rPr>
        <w:t>通过微信公众号/小程序/手机APP等线上申领渠道的建设，实现线上申领，让参保人足不出户即可领到社保卡。线上渠道提供社保卡申领、制卡进度查询，后</w:t>
      </w:r>
      <w:r>
        <w:rPr>
          <w:rFonts w:hint="eastAsia"/>
          <w:color w:val="auto"/>
        </w:rPr>
        <w:t>续还可扩展社保费用缴纳、社保险种缴费记录查询、医保消费查询、社保卡临时挂失、解挂，预约挂号、政策信息查询、常见问题解答（含人社智能知识库）、消息推送、公交查询等功能。</w:t>
      </w:r>
    </w:p>
    <w:p>
      <w:pPr>
        <w:spacing w:line="240" w:lineRule="auto"/>
        <w:ind w:firstLine="480"/>
      </w:pPr>
      <w:r>
        <w:rPr>
          <w:rFonts w:hint="eastAsia"/>
        </w:rPr>
        <w:drawing>
          <wp:inline distT="0" distB="0" distL="114300" distR="114300">
            <wp:extent cx="3961765" cy="2223135"/>
            <wp:effectExtent l="0" t="0" r="63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3961765" cy="2223135"/>
                    </a:xfrm>
                    <a:prstGeom prst="rect">
                      <a:avLst/>
                    </a:prstGeom>
                    <a:noFill/>
                    <a:ln>
                      <a:noFill/>
                    </a:ln>
                  </pic:spPr>
                </pic:pic>
              </a:graphicData>
            </a:graphic>
          </wp:inline>
        </w:drawing>
      </w:r>
    </w:p>
    <w:p>
      <w:pPr>
        <w:spacing w:line="440" w:lineRule="exact"/>
        <w:ind w:firstLine="480"/>
      </w:pPr>
      <w:r>
        <w:rPr>
          <w:rFonts w:hint="eastAsia"/>
        </w:rPr>
        <w:t>人社智能知识库：包含知识管理、知识运营、知识图谱等知识运营或相关内容。提供AI智能服务机制解读政策并智能交互，完善对人社业务相关申请、须知、政策的解读。在收集到各政策文件后，通过从语言描述、展现形式等多方面整理优化，做到内容简洁、逻辑清晰、展现友好，让居民容易理解和接受。包含</w:t>
      </w:r>
      <w:r>
        <w:t>通过构建完善和通俗化政策知识解读小视频，对知识信息进行归集解读</w:t>
      </w:r>
      <w:r>
        <w:rPr>
          <w:rFonts w:hint="eastAsia"/>
        </w:rPr>
        <w:t>。</w:t>
      </w:r>
      <w:r>
        <w:t>构建社保知识图谱，提前预判</w:t>
      </w:r>
      <w:r>
        <w:rPr>
          <w:rFonts w:hint="eastAsia"/>
        </w:rPr>
        <w:t>居民</w:t>
      </w:r>
      <w:r>
        <w:t>需求，通过有效问题推送，实现精准咨询解答。知识点进行原子化和结构化的知识加工，最终形成最小颗粒化知识图谱</w:t>
      </w:r>
      <w:r>
        <w:rPr>
          <w:rFonts w:hint="eastAsia"/>
        </w:rPr>
        <w:t>。</w:t>
      </w:r>
    </w:p>
    <w:p>
      <w:pPr>
        <w:spacing w:line="440" w:lineRule="exact"/>
        <w:ind w:firstLine="0" w:firstLineChars="0"/>
      </w:pPr>
      <w:bookmarkStart w:id="78" w:name="_Toc14448"/>
      <w:bookmarkStart w:id="79" w:name="_Toc22048"/>
      <w:bookmarkStart w:id="80" w:name="_Toc17171"/>
      <w:bookmarkStart w:id="81" w:name="_Toc20448"/>
      <w:bookmarkStart w:id="82" w:name="_Toc24665"/>
      <w:bookmarkStart w:id="83" w:name="_Toc2763"/>
      <w:bookmarkStart w:id="84" w:name="_Toc27826"/>
      <w:bookmarkStart w:id="85" w:name="_Toc3398"/>
      <w:r>
        <w:rPr>
          <w:rFonts w:hint="eastAsia"/>
        </w:rPr>
        <w:t>3.1.1社保卡申领</w:t>
      </w:r>
      <w:bookmarkEnd w:id="78"/>
      <w:bookmarkEnd w:id="79"/>
      <w:bookmarkEnd w:id="80"/>
      <w:bookmarkEnd w:id="81"/>
      <w:bookmarkEnd w:id="82"/>
      <w:bookmarkEnd w:id="83"/>
      <w:bookmarkEnd w:id="84"/>
      <w:bookmarkEnd w:id="85"/>
    </w:p>
    <w:p>
      <w:pPr>
        <w:spacing w:line="440" w:lineRule="exact"/>
        <w:ind w:firstLine="480"/>
      </w:pPr>
      <w:r>
        <w:rPr>
          <w:rFonts w:hint="eastAsia"/>
        </w:rPr>
        <w:t>居民能过公众号进行社保卡申领，申领时先填写个人制卡信息，上传个人照片，填写个人信息时可通过集成的OCR文字识别功能自助识别身份证信息并自助填写，同时进行人证比对，保证提交的信息和申领人为同一人。制卡申请数据提交到省卡管系统，制卡申请经过审核后由卡中心进行卡片个人化，最后将卡片邮寄到申领人手中。</w:t>
      </w:r>
    </w:p>
    <w:p>
      <w:pPr>
        <w:spacing w:line="240" w:lineRule="auto"/>
        <w:ind w:firstLine="480"/>
      </w:pPr>
      <w:r>
        <w:drawing>
          <wp:inline distT="0" distB="0" distL="114300" distR="114300">
            <wp:extent cx="2139950" cy="3136265"/>
            <wp:effectExtent l="0" t="0" r="12700"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139950" cy="3136265"/>
                    </a:xfrm>
                    <a:prstGeom prst="rect">
                      <a:avLst/>
                    </a:prstGeom>
                    <a:noFill/>
                    <a:ln>
                      <a:noFill/>
                    </a:ln>
                  </pic:spPr>
                </pic:pic>
              </a:graphicData>
            </a:graphic>
          </wp:inline>
        </w:drawing>
      </w:r>
      <w:r>
        <w:drawing>
          <wp:inline distT="0" distB="0" distL="114300" distR="114300">
            <wp:extent cx="2152650" cy="3138805"/>
            <wp:effectExtent l="0" t="0" r="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152650" cy="3138805"/>
                    </a:xfrm>
                    <a:prstGeom prst="rect">
                      <a:avLst/>
                    </a:prstGeom>
                    <a:noFill/>
                    <a:ln>
                      <a:noFill/>
                    </a:ln>
                  </pic:spPr>
                </pic:pic>
              </a:graphicData>
            </a:graphic>
          </wp:inline>
        </w:drawing>
      </w:r>
    </w:p>
    <w:p>
      <w:pPr>
        <w:spacing w:line="240" w:lineRule="auto"/>
        <w:ind w:firstLine="480"/>
      </w:pPr>
      <w:r>
        <w:drawing>
          <wp:inline distT="0" distB="0" distL="114300" distR="114300">
            <wp:extent cx="2151380" cy="4098290"/>
            <wp:effectExtent l="0" t="0" r="1270" b="16510"/>
            <wp:docPr id="7" name="图片 4" descr="照片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照片规范"/>
                    <pic:cNvPicPr>
                      <a:picLocks noChangeAspect="1"/>
                    </pic:cNvPicPr>
                  </pic:nvPicPr>
                  <pic:blipFill>
                    <a:blip r:embed="rId7"/>
                    <a:stretch>
                      <a:fillRect/>
                    </a:stretch>
                  </pic:blipFill>
                  <pic:spPr>
                    <a:xfrm>
                      <a:off x="0" y="0"/>
                      <a:ext cx="2151380" cy="4098290"/>
                    </a:xfrm>
                    <a:prstGeom prst="rect">
                      <a:avLst/>
                    </a:prstGeom>
                    <a:noFill/>
                    <a:ln>
                      <a:noFill/>
                    </a:ln>
                  </pic:spPr>
                </pic:pic>
              </a:graphicData>
            </a:graphic>
          </wp:inline>
        </w:drawing>
      </w:r>
      <w:r>
        <w:drawing>
          <wp:inline distT="0" distB="0" distL="114300" distR="114300">
            <wp:extent cx="2306955" cy="4106545"/>
            <wp:effectExtent l="0" t="0" r="17145" b="8255"/>
            <wp:docPr id="3" name="图片 5" descr="照片确认（弹出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照片确认（弹出框）"/>
                    <pic:cNvPicPr>
                      <a:picLocks noChangeAspect="1"/>
                    </pic:cNvPicPr>
                  </pic:nvPicPr>
                  <pic:blipFill>
                    <a:blip r:embed="rId8"/>
                    <a:stretch>
                      <a:fillRect/>
                    </a:stretch>
                  </pic:blipFill>
                  <pic:spPr>
                    <a:xfrm>
                      <a:off x="0" y="0"/>
                      <a:ext cx="2306955" cy="4106545"/>
                    </a:xfrm>
                    <a:prstGeom prst="rect">
                      <a:avLst/>
                    </a:prstGeom>
                    <a:noFill/>
                    <a:ln>
                      <a:noFill/>
                    </a:ln>
                  </pic:spPr>
                </pic:pic>
              </a:graphicData>
            </a:graphic>
          </wp:inline>
        </w:drawing>
      </w:r>
    </w:p>
    <w:p>
      <w:pPr>
        <w:spacing w:line="420" w:lineRule="exact"/>
        <w:ind w:firstLine="480"/>
      </w:pPr>
      <w:bookmarkStart w:id="86" w:name="_Toc20183"/>
      <w:bookmarkStart w:id="87" w:name="_Toc24325"/>
      <w:bookmarkStart w:id="88" w:name="_Toc16319"/>
      <w:bookmarkStart w:id="89" w:name="_Toc30925"/>
      <w:bookmarkStart w:id="90" w:name="_Toc14989"/>
      <w:bookmarkStart w:id="91" w:name="_Toc20108"/>
      <w:bookmarkStart w:id="92" w:name="_Toc19313"/>
      <w:bookmarkStart w:id="93" w:name="_Toc21422"/>
      <w:r>
        <w:rPr>
          <w:rFonts w:hint="eastAsia"/>
        </w:rPr>
        <w:t>3.1.2社保卡补卡</w:t>
      </w:r>
      <w:bookmarkEnd w:id="86"/>
      <w:bookmarkEnd w:id="87"/>
      <w:bookmarkEnd w:id="88"/>
      <w:bookmarkEnd w:id="89"/>
      <w:bookmarkEnd w:id="90"/>
      <w:bookmarkEnd w:id="91"/>
      <w:bookmarkEnd w:id="92"/>
      <w:bookmarkEnd w:id="93"/>
    </w:p>
    <w:p>
      <w:pPr>
        <w:spacing w:line="420" w:lineRule="exact"/>
        <w:ind w:firstLine="480"/>
        <w:rPr>
          <w:color w:val="auto"/>
        </w:rPr>
      </w:pPr>
      <w:r>
        <w:rPr>
          <w:rFonts w:hint="eastAsia"/>
          <w:color w:val="auto"/>
        </w:rPr>
        <w:t>需要办理社保卡补卡的参保人，在家就可通过市人社微信公众号进行业务办理。</w:t>
      </w:r>
    </w:p>
    <w:p>
      <w:pPr>
        <w:spacing w:line="420" w:lineRule="exact"/>
        <w:ind w:firstLine="480"/>
        <w:rPr>
          <w:color w:val="auto"/>
        </w:rPr>
      </w:pPr>
      <w:r>
        <w:rPr>
          <w:rFonts w:hint="eastAsia"/>
          <w:color w:val="auto"/>
        </w:rPr>
        <w:t>参保人通过公众号办理业务时，公众号从省卡管系统获取用户社保卡相关信息，并判断用户是否符合补卡条件，为符合条件的用户办理相应业务，由卡中心制作卡片，然后邮寄给参保人。对不符合业务办理条件的用户，给出相应提示及业务办理说明。</w:t>
      </w:r>
    </w:p>
    <w:p>
      <w:pPr>
        <w:spacing w:line="420" w:lineRule="exact"/>
        <w:ind w:firstLine="480"/>
        <w:rPr>
          <w:color w:val="auto"/>
        </w:rPr>
      </w:pPr>
      <w:bookmarkStart w:id="94" w:name="_Toc7143"/>
      <w:bookmarkStart w:id="95" w:name="_Toc8534"/>
      <w:bookmarkStart w:id="96" w:name="_Toc16961"/>
      <w:bookmarkStart w:id="97" w:name="_Toc30612"/>
      <w:bookmarkStart w:id="98" w:name="_Toc12031"/>
      <w:bookmarkStart w:id="99" w:name="_Toc5883"/>
      <w:bookmarkStart w:id="100" w:name="_Toc22966"/>
      <w:bookmarkStart w:id="101" w:name="_Toc23817"/>
      <w:r>
        <w:rPr>
          <w:rFonts w:hint="eastAsia"/>
          <w:color w:val="auto"/>
        </w:rPr>
        <w:t>3.1.3制卡进度查询</w:t>
      </w:r>
      <w:bookmarkEnd w:id="94"/>
      <w:bookmarkEnd w:id="95"/>
      <w:bookmarkEnd w:id="96"/>
      <w:bookmarkEnd w:id="97"/>
      <w:bookmarkEnd w:id="98"/>
      <w:bookmarkEnd w:id="99"/>
      <w:bookmarkEnd w:id="100"/>
      <w:bookmarkEnd w:id="101"/>
    </w:p>
    <w:p>
      <w:pPr>
        <w:spacing w:line="420" w:lineRule="exact"/>
        <w:ind w:firstLine="480"/>
        <w:rPr>
          <w:color w:val="auto"/>
        </w:rPr>
      </w:pPr>
      <w:r>
        <w:rPr>
          <w:rFonts w:hint="eastAsia"/>
          <w:color w:val="auto"/>
        </w:rPr>
        <w:t>参保人通过公众号查询社保卡制作进度，做到心里有底，能了解到所申领的社保卡目前处于何种状态。</w:t>
      </w:r>
    </w:p>
    <w:p>
      <w:pPr>
        <w:spacing w:line="420" w:lineRule="exact"/>
        <w:ind w:firstLine="482"/>
      </w:pPr>
      <w:bookmarkStart w:id="102" w:name="_Toc81815004"/>
      <w:bookmarkStart w:id="103" w:name="_Toc30895"/>
      <w:bookmarkStart w:id="104" w:name="_Toc22299"/>
      <w:bookmarkStart w:id="105" w:name="_Toc21127"/>
      <w:bookmarkStart w:id="106" w:name="_Toc19827"/>
      <w:bookmarkStart w:id="107" w:name="_Toc6350"/>
      <w:bookmarkStart w:id="108" w:name="_Toc25281"/>
      <w:bookmarkStart w:id="109" w:name="_Toc12584"/>
      <w:bookmarkStart w:id="110" w:name="_Toc1402"/>
      <w:bookmarkStart w:id="111" w:name="_Toc27374"/>
      <w:bookmarkStart w:id="112" w:name="_Toc1386"/>
      <w:bookmarkStart w:id="113" w:name="_Toc20474"/>
      <w:bookmarkStart w:id="114" w:name="_Toc24100"/>
      <w:bookmarkStart w:id="115" w:name="_Toc21384"/>
      <w:bookmarkStart w:id="116" w:name="_Toc31557"/>
      <w:bookmarkStart w:id="117" w:name="_Toc22753"/>
      <w:bookmarkStart w:id="118" w:name="_Toc24841"/>
      <w:bookmarkStart w:id="119" w:name="_Toc24449"/>
      <w:bookmarkStart w:id="120" w:name="_Toc19184"/>
      <w:r>
        <w:rPr>
          <w:rFonts w:hint="eastAsia"/>
          <w:b/>
          <w:bCs/>
        </w:rPr>
        <w:t>3.2综合应用场景支撑管理</w:t>
      </w:r>
      <w:bookmarkEnd w:id="102"/>
    </w:p>
    <w:p>
      <w:pPr>
        <w:spacing w:line="420" w:lineRule="exact"/>
        <w:ind w:firstLine="480"/>
      </w:pPr>
      <w:r>
        <w:rPr>
          <w:rFonts w:hint="eastAsia"/>
        </w:rPr>
        <w:t>3.2.1文旅服务</w:t>
      </w:r>
      <w:r>
        <w:t>场景</w:t>
      </w:r>
    </w:p>
    <w:p>
      <w:pPr>
        <w:spacing w:line="420" w:lineRule="exact"/>
        <w:ind w:firstLine="480"/>
      </w:pPr>
      <w:r>
        <w:rPr>
          <w:rFonts w:hint="eastAsia"/>
        </w:rPr>
        <w:t>通过运用大数据、云计算、物联网等技术，搭建景区基于三代卡的“智慧旅游+社保卡”应用场景，以社保卡为载体实现实名购票、进园，改变传统的售票方式和管理模式，切实解决景区智能化综合管理、多业态服务赋能，建立可持续运营的生态机制。</w:t>
      </w:r>
    </w:p>
    <w:p>
      <w:pPr>
        <w:spacing w:line="420" w:lineRule="exact"/>
        <w:ind w:firstLine="480"/>
      </w:pPr>
      <w:r>
        <w:rPr>
          <w:rFonts w:hint="eastAsia"/>
        </w:rPr>
        <w:t>（1）建设系统管理平台，包括票务模块，商品零售模块，验票、闸机模块，手持机模块，数据分析及报表模块等，实现景区业务的数据统计和查询；</w:t>
      </w:r>
    </w:p>
    <w:p>
      <w:pPr>
        <w:spacing w:line="420" w:lineRule="exact"/>
        <w:ind w:firstLine="480"/>
      </w:pPr>
      <w:r>
        <w:rPr>
          <w:rFonts w:hint="eastAsia"/>
        </w:rPr>
        <w:t>（2）建设电子商务平台，包括线上业态，在线支付及用户管理接口，建立与各个分销商、大客户的财务结算关系通过预充值的模式完成相关结算；</w:t>
      </w:r>
    </w:p>
    <w:p>
      <w:pPr>
        <w:spacing w:line="420" w:lineRule="exact"/>
        <w:ind w:firstLine="480"/>
      </w:pPr>
      <w:r>
        <w:rPr>
          <w:rFonts w:hint="eastAsia"/>
        </w:rPr>
        <w:t>（3）打造适合“智慧景区”的信息系统，支撑景区经营业务的开展，提高效率、提升效益。</w:t>
      </w:r>
    </w:p>
    <w:p>
      <w:pPr>
        <w:spacing w:line="420" w:lineRule="exact"/>
        <w:ind w:firstLine="480"/>
      </w:pPr>
      <w:r>
        <w:rPr>
          <w:rFonts w:hint="eastAsia"/>
        </w:rPr>
        <w:t>3.2.2交通服务场景</w:t>
      </w:r>
    </w:p>
    <w:p>
      <w:pPr>
        <w:spacing w:line="420" w:lineRule="exact"/>
        <w:ind w:firstLine="480"/>
      </w:pPr>
      <w:r>
        <w:rPr>
          <w:rFonts w:hint="eastAsia"/>
        </w:rPr>
        <w:t>系统具备支持交通出行是居民服务的重要应用。依托互联网、大数据、5G等先进技术，结合“一卡通”提供的“卡、码、脸”的统一身份认证能力，赋能智慧交通，与交通部门规划的智慧交通场景相结合，实现交通</w:t>
      </w:r>
      <w:r>
        <w:t>应用中的</w:t>
      </w:r>
      <w:r>
        <w:rPr>
          <w:rFonts w:hint="eastAsia"/>
        </w:rPr>
        <w:t>创新</w:t>
      </w:r>
      <w:r>
        <w:t>应用</w:t>
      </w:r>
      <w:r>
        <w:rPr>
          <w:rFonts w:hint="eastAsia"/>
        </w:rPr>
        <w:t>。</w:t>
      </w:r>
    </w:p>
    <w:p>
      <w:pPr>
        <w:spacing w:line="420" w:lineRule="exact"/>
        <w:ind w:firstLine="480"/>
      </w:pPr>
      <w:r>
        <w:rPr>
          <w:rFonts w:hint="eastAsia"/>
        </w:rPr>
        <w:t>3.2.3考试服务场景</w:t>
      </w:r>
    </w:p>
    <w:p>
      <w:pPr>
        <w:spacing w:line="420" w:lineRule="exact"/>
        <w:ind w:firstLine="480"/>
      </w:pPr>
      <w:r>
        <w:rPr>
          <w:rFonts w:hint="eastAsia"/>
        </w:rPr>
        <w:t>运用身份信息采集终端和软件，实现前端的身份信息采集功能，并自动将所有数据汇总录入校园考试管理系统，借鉴三代社保卡在人社领域的身份安全识别实施经验，通过科学技术手段确保考试的真实与公正性，降低管理部门的监管难度和工作风险，保证了考生的真实性，完善人脸识别安全准入、防疫监控提问监测等配套设施，进一步提升校园安全管理及考场秩序管理的技术保障能力。</w:t>
      </w:r>
    </w:p>
    <w:p>
      <w:pPr>
        <w:spacing w:line="420" w:lineRule="exact"/>
        <w:ind w:firstLine="480"/>
      </w:pPr>
      <w:r>
        <w:rPr>
          <w:rFonts w:hint="eastAsia"/>
        </w:rPr>
        <w:t>3.2.4综合服务场景</w:t>
      </w:r>
    </w:p>
    <w:p>
      <w:pPr>
        <w:spacing w:line="420" w:lineRule="exact"/>
        <w:ind w:firstLine="480"/>
      </w:pPr>
      <w:bookmarkStart w:id="121" w:name="_Toc28238"/>
      <w:bookmarkStart w:id="122" w:name="_Toc18451"/>
      <w:bookmarkStart w:id="123" w:name="_Toc25372"/>
      <w:bookmarkStart w:id="124" w:name="_Toc6714"/>
      <w:bookmarkStart w:id="125" w:name="_Toc3212"/>
      <w:bookmarkStart w:id="126" w:name="_Toc3652"/>
      <w:bookmarkStart w:id="127" w:name="_Toc11918"/>
      <w:r>
        <w:rPr>
          <w:rFonts w:hint="eastAsia"/>
        </w:rPr>
        <w:t>（1）</w:t>
      </w:r>
      <w:r>
        <w:t>社保卡即时申领</w:t>
      </w:r>
      <w:bookmarkEnd w:id="121"/>
      <w:bookmarkEnd w:id="122"/>
      <w:bookmarkEnd w:id="123"/>
      <w:bookmarkEnd w:id="124"/>
      <w:bookmarkEnd w:id="125"/>
      <w:bookmarkEnd w:id="126"/>
      <w:bookmarkEnd w:id="127"/>
    </w:p>
    <w:p>
      <w:pPr>
        <w:spacing w:line="420" w:lineRule="exact"/>
        <w:ind w:firstLine="480"/>
      </w:pPr>
      <w:r>
        <w:rPr>
          <w:rFonts w:hint="eastAsia"/>
        </w:rPr>
        <w:t>未申领过社保卡的用户，可通过自助制发卡一体机进行自助申领。申领时通过设备上的二代证阅读器自动读取用户身份信息、双目摄像头进行人证对比，设备联网从公安库获取制卡照片，社保卡申领信息上传省卡管系统，申领人符合申领条件并经审核通过后，设备即时使用预存的预制卡为用户制作新卡。新卡制作完成后，用户完成激活即可正常使用。</w:t>
      </w:r>
    </w:p>
    <w:p>
      <w:pPr>
        <w:spacing w:line="420" w:lineRule="exact"/>
        <w:ind w:firstLine="480"/>
      </w:pPr>
      <w:bookmarkStart w:id="128" w:name="_Toc26399"/>
      <w:bookmarkStart w:id="129" w:name="_Toc11847"/>
      <w:bookmarkStart w:id="130" w:name="_Toc19241"/>
      <w:bookmarkStart w:id="131" w:name="_Toc31338"/>
      <w:bookmarkStart w:id="132" w:name="_Toc10598"/>
      <w:bookmarkStart w:id="133" w:name="_Toc23851"/>
      <w:bookmarkStart w:id="134" w:name="_Toc21807"/>
      <w:bookmarkStart w:id="135" w:name="_Toc16783"/>
      <w:r>
        <w:rPr>
          <w:rFonts w:hint="eastAsia"/>
        </w:rPr>
        <w:t>（2）</w:t>
      </w:r>
      <w:r>
        <w:t>社保卡即时补卡</w:t>
      </w:r>
      <w:bookmarkEnd w:id="128"/>
      <w:bookmarkEnd w:id="129"/>
      <w:bookmarkEnd w:id="130"/>
      <w:bookmarkEnd w:id="131"/>
      <w:bookmarkEnd w:id="132"/>
      <w:bookmarkEnd w:id="133"/>
      <w:bookmarkEnd w:id="134"/>
      <w:bookmarkEnd w:id="135"/>
    </w:p>
    <w:p>
      <w:pPr>
        <w:spacing w:line="420" w:lineRule="exact"/>
        <w:ind w:firstLine="480"/>
      </w:pPr>
      <w:r>
        <w:rPr>
          <w:rFonts w:hint="eastAsia"/>
        </w:rPr>
        <w:t>社保卡丢失的用户，可通过自助制发卡一体机进行即时补卡。补卡时设备读取用户身份证信息，通过双目摄像头进行人证比对确认为补卡申请人本人后，将补卡申请发送卡管系统并与卡管系统进行数据核对，符合补卡条件的，设备使用预存的预制卡即时为用户制作新卡。新卡制作完成后，用户完成激活即可正常使用。</w:t>
      </w:r>
    </w:p>
    <w:p>
      <w:pPr>
        <w:spacing w:line="420" w:lineRule="exact"/>
        <w:ind w:firstLine="482"/>
      </w:pPr>
      <w:bookmarkStart w:id="136" w:name="_Toc81815005"/>
      <w:r>
        <w:rPr>
          <w:rFonts w:hint="eastAsia"/>
          <w:b/>
          <w:bCs/>
        </w:rPr>
        <w:t>3.3场景数据应用展示</w:t>
      </w:r>
      <w:bookmarkEnd w:id="136"/>
    </w:p>
    <w:p>
      <w:pPr>
        <w:spacing w:line="420" w:lineRule="exact"/>
        <w:ind w:firstLine="480"/>
      </w:pPr>
      <w:bookmarkStart w:id="137" w:name="_Toc31107"/>
      <w:r>
        <w:rPr>
          <w:rFonts w:hint="eastAsia"/>
        </w:rPr>
        <w:t>3.3.1对终端运行情况的监控大屏</w:t>
      </w:r>
      <w:bookmarkEnd w:id="137"/>
    </w:p>
    <w:p>
      <w:pPr>
        <w:spacing w:line="240" w:lineRule="auto"/>
        <w:ind w:firstLine="480"/>
      </w:pPr>
      <w:r>
        <w:drawing>
          <wp:inline distT="0" distB="0" distL="114300" distR="114300">
            <wp:extent cx="3152775" cy="2393315"/>
            <wp:effectExtent l="0" t="0" r="952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152775" cy="2393315"/>
                    </a:xfrm>
                    <a:prstGeom prst="rect">
                      <a:avLst/>
                    </a:prstGeom>
                    <a:noFill/>
                    <a:ln>
                      <a:noFill/>
                    </a:ln>
                  </pic:spPr>
                </pic:pic>
              </a:graphicData>
            </a:graphic>
          </wp:inline>
        </w:drawing>
      </w:r>
    </w:p>
    <w:p>
      <w:pPr>
        <w:spacing w:line="440" w:lineRule="exact"/>
        <w:ind w:firstLine="480"/>
      </w:pPr>
      <w:bookmarkStart w:id="138" w:name="_Toc32031"/>
      <w:r>
        <w:rPr>
          <w:rFonts w:hint="eastAsia"/>
        </w:rPr>
        <w:t>3.3.2对社保卡制发卡业务数据的监控</w:t>
      </w:r>
      <w:bookmarkEnd w:id="138"/>
    </w:p>
    <w:p>
      <w:pPr>
        <w:spacing w:line="240" w:lineRule="auto"/>
        <w:ind w:firstLine="480"/>
      </w:pPr>
      <w:r>
        <w:drawing>
          <wp:inline distT="0" distB="0" distL="114300" distR="114300">
            <wp:extent cx="3673475" cy="2232660"/>
            <wp:effectExtent l="0" t="0" r="3175" b="1524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tretch>
                      <a:fillRect/>
                    </a:stretch>
                  </pic:blipFill>
                  <pic:spPr>
                    <a:xfrm>
                      <a:off x="0" y="0"/>
                      <a:ext cx="3673475" cy="2232660"/>
                    </a:xfrm>
                    <a:prstGeom prst="rect">
                      <a:avLst/>
                    </a:prstGeom>
                    <a:noFill/>
                    <a:ln>
                      <a:noFill/>
                    </a:ln>
                  </pic:spPr>
                </pic:pic>
              </a:graphicData>
            </a:graphic>
          </wp:inline>
        </w:drawing>
      </w:r>
    </w:p>
    <w:p>
      <w:pPr>
        <w:ind w:firstLine="480"/>
      </w:pPr>
      <w:bookmarkStart w:id="139" w:name="_Toc28050"/>
      <w:r>
        <w:rPr>
          <w:rFonts w:hint="eastAsia"/>
        </w:rPr>
        <w:t>3.3.3对问题卡的精准服务监控大屏</w:t>
      </w:r>
      <w:bookmarkEnd w:id="139"/>
    </w:p>
    <w:p>
      <w:pPr>
        <w:spacing w:line="240" w:lineRule="auto"/>
        <w:ind w:firstLine="480"/>
      </w:pPr>
      <w:r>
        <w:drawing>
          <wp:inline distT="0" distB="0" distL="114300" distR="114300">
            <wp:extent cx="4011930" cy="2065655"/>
            <wp:effectExtent l="0" t="0" r="7620" b="1079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4011930" cy="2065655"/>
                    </a:xfrm>
                    <a:prstGeom prst="rect">
                      <a:avLst/>
                    </a:prstGeom>
                    <a:noFill/>
                    <a:ln>
                      <a:noFill/>
                    </a:ln>
                  </pic:spPr>
                </pic:pic>
              </a:graphicData>
            </a:graphic>
          </wp:inline>
        </w:drawing>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Pr>
        <w:spacing w:line="440" w:lineRule="exact"/>
        <w:ind w:firstLine="482"/>
      </w:pPr>
      <w:bookmarkStart w:id="140" w:name="_Toc81815006"/>
      <w:r>
        <w:rPr>
          <w:rFonts w:hint="eastAsia" w:ascii="楷体" w:hAnsi="楷体" w:eastAsia="楷体" w:cs="楷体"/>
          <w:b/>
          <w:bCs/>
        </w:rPr>
        <w:t>4、居民服务一卡通精准服务子系统</w:t>
      </w:r>
      <w:bookmarkEnd w:id="140"/>
    </w:p>
    <w:p>
      <w:pPr>
        <w:spacing w:line="440" w:lineRule="exact"/>
        <w:ind w:firstLine="480"/>
      </w:pPr>
      <w:r>
        <w:rPr>
          <w:rFonts w:hint="eastAsia"/>
        </w:rPr>
        <w:t>基于数据共享交换为</w:t>
      </w:r>
      <w:r>
        <w:t>原则</w:t>
      </w:r>
      <w:r>
        <w:rPr>
          <w:rFonts w:hint="eastAsia"/>
        </w:rPr>
        <w:t>，通过持卡人跟踪管理子系统、服务策略管理子系统，借助智能服务终端、远程智能服务等服务工具，建立持卡人状态关系网。系统实现持卡人跟踪管理、服务策略管理、集中式数据交互中心为</w:t>
      </w:r>
      <w:r>
        <w:t>体系的精准服务模式。</w:t>
      </w:r>
    </w:p>
    <w:p>
      <w:pPr>
        <w:spacing w:line="440" w:lineRule="exact"/>
        <w:ind w:firstLine="482"/>
        <w:rPr>
          <w:rFonts w:hint="eastAsia" w:ascii="楷体" w:hAnsi="楷体" w:eastAsia="楷体" w:cs="楷体"/>
          <w:b/>
          <w:bCs/>
        </w:rPr>
      </w:pPr>
      <w:bookmarkStart w:id="141" w:name="_Toc81815007"/>
      <w:r>
        <w:rPr>
          <w:rFonts w:hint="eastAsia" w:ascii="楷体" w:hAnsi="楷体" w:eastAsia="楷体" w:cs="楷体"/>
          <w:b/>
          <w:bCs/>
        </w:rPr>
        <w:t>5、居民服务一卡通渠道管理子系统</w:t>
      </w:r>
      <w:bookmarkEnd w:id="141"/>
    </w:p>
    <w:p>
      <w:pPr>
        <w:spacing w:line="440" w:lineRule="exact"/>
        <w:ind w:firstLine="482"/>
      </w:pPr>
      <w:bookmarkStart w:id="142" w:name="_Toc59048403"/>
      <w:bookmarkStart w:id="143" w:name="_Toc56743044"/>
      <w:bookmarkStart w:id="144" w:name="_Toc81815008"/>
      <w:r>
        <w:rPr>
          <w:rFonts w:hint="eastAsia"/>
          <w:b/>
          <w:bCs/>
        </w:rPr>
        <w:t>5.1应用渠道管理</w:t>
      </w:r>
      <w:bookmarkEnd w:id="142"/>
      <w:bookmarkEnd w:id="143"/>
      <w:bookmarkEnd w:id="144"/>
    </w:p>
    <w:p>
      <w:pPr>
        <w:spacing w:line="440" w:lineRule="exact"/>
        <w:ind w:firstLine="480"/>
      </w:pPr>
      <w:r>
        <w:rPr>
          <w:rFonts w:hint="eastAsia"/>
        </w:rPr>
        <w:t>应用渠道管理实现以社保卡为载体的应用数据共享，通过管理平台实现各异构数据库之间的数据集成，实现原有各业务系统在数据级集成，保证异构数据库之间的数据交换与共享。基于统一的数据交换标准与规范，对源数据库与目标数据库之间建立数据交换渠道，并完成对各种类型数据的获取、校验、转换、加载等工作，实现社保卡管理系统、社保业务信息库、全民参保库、参保人员持卡库等之间的数据交换和数据集成工作。</w:t>
      </w:r>
    </w:p>
    <w:p>
      <w:pPr>
        <w:spacing w:line="440" w:lineRule="exact"/>
        <w:ind w:firstLine="482"/>
      </w:pPr>
      <w:bookmarkStart w:id="145" w:name="_Toc81815009"/>
      <w:bookmarkStart w:id="146" w:name="_Toc59048404"/>
      <w:r>
        <w:rPr>
          <w:rFonts w:hint="eastAsia"/>
          <w:b/>
          <w:bCs/>
        </w:rPr>
        <w:t>5.2公共服务渠道管理</w:t>
      </w:r>
      <w:bookmarkEnd w:id="145"/>
    </w:p>
    <w:p>
      <w:pPr>
        <w:spacing w:line="440" w:lineRule="exact"/>
        <w:ind w:firstLine="480"/>
      </w:pPr>
      <w:r>
        <w:t>通过公共服务数据分析可以分析出服务平台</w:t>
      </w:r>
      <w:r>
        <w:rPr>
          <w:rFonts w:hint="eastAsia"/>
        </w:rPr>
        <w:t>各</w:t>
      </w:r>
      <w:r>
        <w:t>子系统模块以及移动端的使用情况包括使用用户</w:t>
      </w:r>
      <w:r>
        <w:rPr>
          <w:rFonts w:hint="eastAsia"/>
        </w:rPr>
        <w:t>、</w:t>
      </w:r>
      <w:r>
        <w:t>使用频率</w:t>
      </w:r>
      <w:r>
        <w:rPr>
          <w:rFonts w:hint="eastAsia"/>
        </w:rPr>
        <w:t>、</w:t>
      </w:r>
      <w:r>
        <w:t>使用时间</w:t>
      </w:r>
      <w:r>
        <w:rPr>
          <w:rFonts w:hint="eastAsia"/>
        </w:rPr>
        <w:t>、</w:t>
      </w:r>
      <w:r>
        <w:t>登录地点</w:t>
      </w:r>
      <w:r>
        <w:rPr>
          <w:rFonts w:hint="eastAsia"/>
        </w:rPr>
        <w:t>、</w:t>
      </w:r>
      <w:r>
        <w:t>登录</w:t>
      </w:r>
      <w:r>
        <w:rPr>
          <w:rFonts w:hint="eastAsia"/>
        </w:rPr>
        <w:t>IP、浏览页面、功能操作</w:t>
      </w:r>
      <w:r>
        <w:t>等进行记录</w:t>
      </w:r>
      <w:r>
        <w:rPr>
          <w:rFonts w:hint="eastAsia"/>
        </w:rPr>
        <w:t>，</w:t>
      </w:r>
      <w:r>
        <w:t>根据记录结果分析各子系统模块的使用情况</w:t>
      </w:r>
      <w:r>
        <w:rPr>
          <w:rFonts w:hint="eastAsia"/>
        </w:rPr>
        <w:t>，</w:t>
      </w:r>
      <w:r>
        <w:t>比如</w:t>
      </w:r>
      <w:r>
        <w:rPr>
          <w:rFonts w:hint="eastAsia"/>
        </w:rPr>
        <w:t>接入</w:t>
      </w:r>
      <w:r>
        <w:t>渠道分析</w:t>
      </w:r>
      <w:r>
        <w:rPr>
          <w:rFonts w:hint="eastAsia"/>
        </w:rPr>
        <w:t>、</w:t>
      </w:r>
      <w:r>
        <w:t>使用热度分析</w:t>
      </w:r>
      <w:r>
        <w:rPr>
          <w:rFonts w:hint="eastAsia"/>
        </w:rPr>
        <w:t>、</w:t>
      </w:r>
      <w:r>
        <w:t>用户</w:t>
      </w:r>
      <w:r>
        <w:rPr>
          <w:rFonts w:hint="eastAsia"/>
        </w:rPr>
        <w:t>行为</w:t>
      </w:r>
      <w:r>
        <w:t>分析等为业务调整和功能修正提供参考</w:t>
      </w:r>
      <w:r>
        <w:rPr>
          <w:rFonts w:hint="eastAsia"/>
        </w:rPr>
        <w:t>，通过以上数据的实时采集和用于提高用户体验及软件功能优化。</w:t>
      </w:r>
      <w:r>
        <w:t>通过关联分析，拓展公共服务的广度</w:t>
      </w:r>
      <w:r>
        <w:rPr>
          <w:rFonts w:hint="eastAsia"/>
        </w:rPr>
        <w:t>、</w:t>
      </w:r>
      <w:r>
        <w:t>深度，充分挖掘公共服务产品价值</w:t>
      </w:r>
      <w:r>
        <w:rPr>
          <w:rFonts w:hint="eastAsia"/>
        </w:rPr>
        <w:t>，</w:t>
      </w:r>
      <w:r>
        <w:t>最大化</w:t>
      </w:r>
      <w:r>
        <w:rPr>
          <w:rFonts w:hint="eastAsia"/>
        </w:rPr>
        <w:t>实现</w:t>
      </w:r>
      <w:r>
        <w:t>个性化挖掘等</w:t>
      </w:r>
      <w:r>
        <w:rPr>
          <w:rFonts w:hint="eastAsia"/>
        </w:rPr>
        <w:t>。</w:t>
      </w:r>
    </w:p>
    <w:p>
      <w:pPr>
        <w:spacing w:line="440" w:lineRule="exact"/>
        <w:ind w:firstLine="482"/>
      </w:pPr>
      <w:bookmarkStart w:id="147" w:name="_Toc81815010"/>
      <w:r>
        <w:rPr>
          <w:rFonts w:hint="eastAsia"/>
          <w:b/>
          <w:bCs/>
        </w:rPr>
        <w:t>5.3用卡轨迹</w:t>
      </w:r>
      <w:r>
        <w:rPr>
          <w:b/>
          <w:bCs/>
        </w:rPr>
        <w:t>追溯</w:t>
      </w:r>
      <w:bookmarkEnd w:id="146"/>
      <w:r>
        <w:rPr>
          <w:rFonts w:hint="eastAsia"/>
          <w:b/>
          <w:bCs/>
        </w:rPr>
        <w:t>管理</w:t>
      </w:r>
      <w:bookmarkEnd w:id="147"/>
    </w:p>
    <w:p>
      <w:pPr>
        <w:spacing w:line="440" w:lineRule="exact"/>
        <w:ind w:firstLine="480"/>
      </w:pPr>
      <w:r>
        <w:rPr>
          <w:rFonts w:hint="eastAsia"/>
        </w:rPr>
        <w:t>用户的轨迹信息比较分散且数据量非常庞大，对轨迹信息进行分类处理，不同的轨迹信息采用不同的处理方法。通过对各类用卡渠道的数据轨迹，实现对用卡轨迹信息的综合管理。主要的用卡轨迹信息包括以下几类：身份凭证类轨迹、身份校验类轨迹、非医保消费类轨迹、待遇发放类轨迹、信息查询类轨迹。</w:t>
      </w:r>
    </w:p>
    <w:p>
      <w:pPr>
        <w:spacing w:line="440" w:lineRule="exact"/>
        <w:ind w:firstLine="482"/>
      </w:pPr>
      <w:bookmarkStart w:id="148" w:name="_Toc59048405"/>
      <w:bookmarkStart w:id="149" w:name="_Toc81815011"/>
      <w:r>
        <w:rPr>
          <w:rFonts w:hint="eastAsia"/>
          <w:b/>
          <w:bCs/>
        </w:rPr>
        <w:t>5.4用卡环境</w:t>
      </w:r>
      <w:r>
        <w:rPr>
          <w:b/>
          <w:bCs/>
        </w:rPr>
        <w:t>分析</w:t>
      </w:r>
      <w:bookmarkEnd w:id="148"/>
      <w:r>
        <w:rPr>
          <w:rFonts w:hint="eastAsia"/>
          <w:b/>
          <w:bCs/>
        </w:rPr>
        <w:t>管理</w:t>
      </w:r>
      <w:bookmarkEnd w:id="149"/>
    </w:p>
    <w:p>
      <w:pPr>
        <w:spacing w:line="440" w:lineRule="exact"/>
        <w:ind w:firstLine="480"/>
      </w:pPr>
      <w:r>
        <w:rPr>
          <w:rFonts w:hint="eastAsia"/>
        </w:rPr>
        <w:t>对用卡环境进行宏观数据抽取，形成数据分析的有效依据。不同种类的用户轨迹信息由各业务系统通过消息的形式形成轨迹消息信息库，通过对轨迹信息库进行加工、大数据分析等形成轨迹汇集库，根据轨迹汇集库形成个人画像库。</w:t>
      </w:r>
    </w:p>
    <w:p>
      <w:pPr>
        <w:spacing w:line="440" w:lineRule="exact"/>
        <w:ind w:firstLine="562"/>
      </w:pPr>
      <w:r>
        <w:rPr>
          <w:rFonts w:hint="eastAsia"/>
          <w:b/>
          <w:bCs/>
          <w:sz w:val="28"/>
          <w:szCs w:val="28"/>
        </w:rPr>
        <w:t>（七）系统部署要求</w:t>
      </w:r>
    </w:p>
    <w:p>
      <w:pPr>
        <w:spacing w:line="440" w:lineRule="exact"/>
        <w:ind w:firstLine="482"/>
      </w:pPr>
      <w:r>
        <w:rPr>
          <w:rFonts w:hint="eastAsia" w:ascii="楷体" w:hAnsi="楷体" w:eastAsia="楷体" w:cs="楷体"/>
          <w:b/>
          <w:bCs/>
        </w:rPr>
        <w:t>1、服务器部署</w:t>
      </w:r>
    </w:p>
    <w:p>
      <w:pPr>
        <w:spacing w:line="440" w:lineRule="exact"/>
        <w:ind w:firstLine="480"/>
        <w:rPr>
          <w:color w:val="auto"/>
        </w:rPr>
      </w:pPr>
      <w:r>
        <w:rPr>
          <w:rFonts w:hint="eastAsia"/>
          <w:color w:val="auto"/>
        </w:rPr>
        <w:t>服务器软件环境包含Web服务器、中间件、数据库等。</w:t>
      </w:r>
    </w:p>
    <w:p>
      <w:pPr>
        <w:spacing w:line="440" w:lineRule="exact"/>
        <w:ind w:firstLine="480"/>
      </w:pPr>
      <w:r>
        <w:rPr>
          <w:rFonts w:hint="eastAsia"/>
          <w:color w:val="auto"/>
        </w:rPr>
        <w:t>应用服务器部署在乐山政务云电子政务外网，信息系统基于四川省社会保障卡管理信息系统拓展开发。应用服务器通过电子政务外网与数据库交互。各区域间配置严格的访问策略，可以有效的防止攻击、信息泄露等安全问题</w:t>
      </w:r>
      <w:r>
        <w:rPr>
          <w:rFonts w:hint="eastAsia"/>
        </w:rPr>
        <w:t>。</w:t>
      </w:r>
    </w:p>
    <w:p>
      <w:pPr>
        <w:spacing w:line="440" w:lineRule="exact"/>
        <w:ind w:firstLine="482"/>
      </w:pPr>
      <w:r>
        <w:rPr>
          <w:rFonts w:hint="eastAsia" w:ascii="楷体" w:hAnsi="楷体" w:eastAsia="楷体" w:cs="楷体"/>
          <w:b/>
          <w:bCs/>
        </w:rPr>
        <w:t>2、服务器架构搭建说明</w:t>
      </w:r>
    </w:p>
    <w:p>
      <w:pPr>
        <w:spacing w:line="440" w:lineRule="exact"/>
        <w:ind w:firstLine="482"/>
      </w:pPr>
      <w:r>
        <w:rPr>
          <w:rFonts w:hint="eastAsia"/>
          <w:b/>
          <w:bCs/>
        </w:rPr>
        <w:t>2.1</w:t>
      </w:r>
      <w:r>
        <w:rPr>
          <w:rFonts w:hint="eastAsia"/>
        </w:rPr>
        <w:t>所有应用服务器，主要使用服务器“虚拟化＋集群”技术，虚拟化易于管理和迁移，部署也较灵活，在前期业务不高的情况下，可以提高硬件的使用率，在后期业务量增加后，可以并行扩展硬件，动态增加应用集群节点，提高系统处理能力。</w:t>
      </w:r>
    </w:p>
    <w:p>
      <w:pPr>
        <w:spacing w:line="440" w:lineRule="exact"/>
        <w:ind w:firstLine="482"/>
      </w:pPr>
      <w:r>
        <w:rPr>
          <w:rFonts w:hint="eastAsia"/>
          <w:b/>
          <w:bCs/>
        </w:rPr>
        <w:t>2.2</w:t>
      </w:r>
      <w:r>
        <w:rPr>
          <w:rFonts w:hint="eastAsia"/>
        </w:rPr>
        <w:t>要求所有的应用服务，都必须支持配置负载均衡，以确保正式投入使用时可以配置请求负载均衡，提高整个系统可靠性。</w:t>
      </w:r>
    </w:p>
    <w:p>
      <w:pPr>
        <w:spacing w:line="440" w:lineRule="exact"/>
        <w:ind w:firstLine="482"/>
      </w:pPr>
      <w:r>
        <w:rPr>
          <w:rFonts w:hint="eastAsia"/>
          <w:b/>
          <w:bCs/>
        </w:rPr>
        <w:t>2.3</w:t>
      </w:r>
      <w:r>
        <w:rPr>
          <w:rFonts w:hint="eastAsia"/>
        </w:rPr>
        <w:t>数据库服务器因涉及关键数据业务，必须保证其高可靠，高可用性，高稳定性。</w:t>
      </w:r>
    </w:p>
    <w:p>
      <w:pPr>
        <w:spacing w:line="440" w:lineRule="exact"/>
        <w:ind w:firstLine="482"/>
      </w:pPr>
      <w:r>
        <w:rPr>
          <w:rFonts w:hint="eastAsia"/>
          <w:b/>
          <w:bCs/>
        </w:rPr>
        <w:t>2.4</w:t>
      </w:r>
      <w:r>
        <w:rPr>
          <w:rFonts w:hint="eastAsia"/>
        </w:rPr>
        <w:t>系统架构根据业务量的变化需求，支持横向扩展。</w:t>
      </w:r>
    </w:p>
    <w:p>
      <w:pPr>
        <w:spacing w:line="440" w:lineRule="exact"/>
        <w:ind w:firstLine="562"/>
      </w:pPr>
      <w:r>
        <w:rPr>
          <w:rFonts w:hint="eastAsia"/>
          <w:b/>
          <w:bCs/>
          <w:sz w:val="28"/>
          <w:szCs w:val="28"/>
        </w:rPr>
        <w:t>（八）国产化适配要求</w:t>
      </w:r>
    </w:p>
    <w:p>
      <w:pPr>
        <w:spacing w:line="440" w:lineRule="exact"/>
        <w:ind w:firstLine="480"/>
      </w:pPr>
      <w:r>
        <w:rPr>
          <w:rFonts w:hint="eastAsia"/>
        </w:rPr>
        <w:t>为进一步推进动自主可控产业链发展，适配当前实际使用环境，本项目需支持：国产飞腾桌面CPU，国产统信桌面操作系统。</w:t>
      </w:r>
    </w:p>
    <w:p>
      <w:pPr>
        <w:spacing w:line="440" w:lineRule="exact"/>
        <w:ind w:firstLine="640"/>
      </w:pPr>
      <w:bookmarkStart w:id="150" w:name="bookmark106"/>
      <w:bookmarkEnd w:id="150"/>
      <w:bookmarkStart w:id="151" w:name="bookmark89"/>
      <w:bookmarkEnd w:id="151"/>
      <w:bookmarkStart w:id="152" w:name="bookmark110"/>
      <w:bookmarkEnd w:id="152"/>
      <w:bookmarkStart w:id="153" w:name="bookmark84"/>
      <w:bookmarkEnd w:id="153"/>
      <w:r>
        <w:rPr>
          <w:rFonts w:hint="eastAsia" w:ascii="黑体" w:hAnsi="黑体" w:eastAsia="黑体" w:cs="黑体"/>
          <w:sz w:val="32"/>
          <w:szCs w:val="32"/>
        </w:rPr>
        <w:t>三、履约能力要求</w:t>
      </w:r>
    </w:p>
    <w:p>
      <w:pPr>
        <w:spacing w:line="440" w:lineRule="exact"/>
        <w:ind w:firstLine="482"/>
      </w:pPr>
      <w:bookmarkStart w:id="154" w:name="bookmark113"/>
      <w:bookmarkEnd w:id="154"/>
      <w:r>
        <w:rPr>
          <w:rFonts w:hint="eastAsia" w:ascii="楷体" w:hAnsi="楷体" w:eastAsia="楷体" w:cs="楷体"/>
          <w:b/>
          <w:bCs/>
        </w:rPr>
        <w:t>1、项目实施方案要求</w:t>
      </w:r>
    </w:p>
    <w:p>
      <w:pPr>
        <w:spacing w:line="440" w:lineRule="exact"/>
        <w:ind w:firstLine="480"/>
      </w:pPr>
      <w:r>
        <w:t>供应商须提供本项目</w:t>
      </w:r>
      <w:r>
        <w:rPr>
          <w:rFonts w:hint="eastAsia"/>
        </w:rPr>
        <w:t>实施</w:t>
      </w:r>
      <w:r>
        <w:t>方案，包括</w:t>
      </w:r>
      <w:r>
        <w:rPr>
          <w:rFonts w:hint="eastAsia"/>
        </w:rPr>
        <w:t>需求理解与分析</w:t>
      </w:r>
      <w:r>
        <w:t>、</w:t>
      </w:r>
      <w:r>
        <w:rPr>
          <w:rFonts w:hint="eastAsia"/>
        </w:rPr>
        <w:t>系统总体设计、安全设计方案、项目管理方案、培训方案</w:t>
      </w:r>
      <w:r>
        <w:t>等内容</w:t>
      </w:r>
      <w:r>
        <w:rPr>
          <w:rFonts w:hint="eastAsia"/>
        </w:rPr>
        <w:t>。</w:t>
      </w:r>
    </w:p>
    <w:p>
      <w:pPr>
        <w:spacing w:line="440" w:lineRule="exact"/>
        <w:ind w:firstLine="480"/>
      </w:pPr>
      <w:r>
        <w:rPr>
          <w:rFonts w:hint="eastAsia"/>
        </w:rPr>
        <w:t>（1）需求理解与分析</w:t>
      </w:r>
    </w:p>
    <w:p>
      <w:pPr>
        <w:spacing w:line="440" w:lineRule="exact"/>
        <w:ind w:firstLine="480"/>
      </w:pPr>
      <w:r>
        <w:rPr>
          <w:rFonts w:hint="eastAsia"/>
        </w:rPr>
        <w:t>在详细阐述项目的业务需求、建设目标、总体目标、项目背景、项目建设重难点分析等多个方面进行描述及分析。</w:t>
      </w:r>
    </w:p>
    <w:p>
      <w:pPr>
        <w:spacing w:line="440" w:lineRule="exact"/>
        <w:ind w:firstLine="480"/>
      </w:pPr>
      <w:r>
        <w:rPr>
          <w:rFonts w:hint="eastAsia"/>
        </w:rPr>
        <w:t>（2）系统总体设计</w:t>
      </w:r>
    </w:p>
    <w:p>
      <w:pPr>
        <w:spacing w:line="440" w:lineRule="exact"/>
        <w:ind w:firstLine="480"/>
        <w:rPr>
          <w:color w:val="auto"/>
        </w:rPr>
      </w:pPr>
      <w:r>
        <w:rPr>
          <w:rFonts w:hint="eastAsia"/>
          <w:color w:val="auto"/>
        </w:rPr>
        <w:t>供应商根据采购需求，从总体架构、技术架构、功能设计、性能设计等4方面进行详细阐述。要求整体方案设计合理可行，易于管理、维护，为系统后期扩展、高效运行提供行之有效的设计思路。</w:t>
      </w:r>
    </w:p>
    <w:p>
      <w:pPr>
        <w:spacing w:line="440" w:lineRule="exact"/>
        <w:ind w:firstLine="480"/>
        <w:rPr>
          <w:color w:val="auto"/>
        </w:rPr>
      </w:pPr>
      <w:r>
        <w:rPr>
          <w:rFonts w:hint="eastAsia"/>
          <w:color w:val="auto"/>
        </w:rPr>
        <w:t>（3）安全设计方案</w:t>
      </w:r>
    </w:p>
    <w:p>
      <w:pPr>
        <w:spacing w:line="440" w:lineRule="exact"/>
        <w:ind w:firstLine="480"/>
        <w:rPr>
          <w:color w:val="auto"/>
        </w:rPr>
      </w:pPr>
      <w:r>
        <w:rPr>
          <w:rFonts w:hint="eastAsia"/>
          <w:color w:val="auto"/>
        </w:rPr>
        <w:t>供应商根据采购需求，提供应用安全设计方案，提供数据安全设计方案，提供应急预案设计方案等能够保障系统安全运行。</w:t>
      </w:r>
    </w:p>
    <w:p>
      <w:pPr>
        <w:spacing w:line="440" w:lineRule="exact"/>
        <w:ind w:firstLine="480"/>
      </w:pPr>
      <w:r>
        <w:rPr>
          <w:rFonts w:hint="eastAsia"/>
        </w:rPr>
        <w:t>（4）项目管理方案</w:t>
      </w:r>
    </w:p>
    <w:p>
      <w:pPr>
        <w:spacing w:line="440" w:lineRule="exact"/>
        <w:ind w:firstLine="480"/>
      </w:pPr>
      <w:r>
        <w:rPr>
          <w:rFonts w:hint="eastAsia"/>
        </w:rPr>
        <w:t>供应商根据采购需求，提供项目管理方案。方案包含进度计划、人员分工、保障措施等能够充分保障项目顺利实施。</w:t>
      </w:r>
    </w:p>
    <w:p>
      <w:pPr>
        <w:spacing w:line="440" w:lineRule="exact"/>
        <w:ind w:firstLine="480"/>
      </w:pPr>
      <w:r>
        <w:rPr>
          <w:rFonts w:hint="eastAsia"/>
        </w:rPr>
        <w:t>（5）培训方案</w:t>
      </w:r>
    </w:p>
    <w:p>
      <w:pPr>
        <w:spacing w:line="440" w:lineRule="exact"/>
        <w:ind w:firstLine="480"/>
      </w:pPr>
      <w:r>
        <w:rPr>
          <w:rFonts w:hint="eastAsia"/>
        </w:rPr>
        <w:t>供应商根据采购需求，提供培训方案。项目培训方案包含培训对象、培训内容、培训计划、培训方式等内容。</w:t>
      </w:r>
    </w:p>
    <w:p>
      <w:pPr>
        <w:spacing w:line="440" w:lineRule="exact"/>
        <w:ind w:firstLine="482"/>
      </w:pPr>
      <w:bookmarkStart w:id="155" w:name="bookmark114"/>
      <w:bookmarkEnd w:id="155"/>
      <w:r>
        <w:rPr>
          <w:rFonts w:hint="eastAsia" w:ascii="楷体" w:hAnsi="楷体" w:eastAsia="楷体" w:cs="楷体"/>
          <w:b/>
          <w:bCs/>
        </w:rPr>
        <w:t>2、系统互联互通要求</w:t>
      </w:r>
    </w:p>
    <w:p>
      <w:pPr>
        <w:spacing w:line="440" w:lineRule="exact"/>
        <w:ind w:firstLine="480"/>
      </w:pPr>
      <w:r>
        <w:rPr>
          <w:rFonts w:hint="eastAsia"/>
        </w:rPr>
        <w:t>供应商提供系统需与本地公民法人信息管理系统实现互联互通，并提供签订的互联互通技术协议，以保证互联的真实性和可靠性。</w:t>
      </w:r>
      <w:bookmarkStart w:id="156" w:name="bookmark115"/>
      <w:bookmarkEnd w:id="156"/>
      <w:bookmarkStart w:id="157" w:name="bookmark118"/>
      <w:bookmarkEnd w:id="157"/>
    </w:p>
    <w:p>
      <w:pPr>
        <w:spacing w:line="440" w:lineRule="exact"/>
        <w:ind w:firstLine="643"/>
      </w:pPr>
      <w:r>
        <w:rPr>
          <w:rFonts w:hint="eastAsia" w:ascii="黑体" w:hAnsi="黑体" w:eastAsia="黑体" w:cs="黑体"/>
          <w:b/>
          <w:bCs/>
          <w:sz w:val="32"/>
          <w:szCs w:val="32"/>
        </w:rPr>
        <w:t>四、★商务要求</w:t>
      </w:r>
    </w:p>
    <w:p>
      <w:pPr>
        <w:spacing w:line="440" w:lineRule="exact"/>
        <w:ind w:firstLine="480"/>
        <w:rPr>
          <w:rFonts w:hint="default" w:eastAsia="宋体"/>
          <w:lang w:val="en-US" w:eastAsia="zh-CN"/>
        </w:rPr>
      </w:pPr>
      <w:bookmarkStart w:id="158" w:name="bookmark122"/>
      <w:bookmarkEnd w:id="158"/>
      <w:r>
        <w:rPr>
          <w:rFonts w:hint="eastAsia"/>
        </w:rPr>
        <w:t>1、</w:t>
      </w:r>
      <w:r>
        <w:t>服务时间：</w:t>
      </w:r>
      <w:r>
        <w:rPr>
          <w:rFonts w:hint="eastAsia"/>
          <w:lang w:eastAsia="zh-CN"/>
        </w:rPr>
        <w:t>签订合同后</w:t>
      </w:r>
      <w:r>
        <w:rPr>
          <w:rFonts w:hint="eastAsia"/>
          <w:lang w:val="en-US" w:eastAsia="zh-CN"/>
        </w:rPr>
        <w:t>3个月</w:t>
      </w:r>
      <w:bookmarkStart w:id="165" w:name="_GoBack"/>
      <w:bookmarkEnd w:id="165"/>
      <w:r>
        <w:rPr>
          <w:rFonts w:hint="eastAsia"/>
          <w:lang w:val="en-US" w:eastAsia="zh-CN"/>
        </w:rPr>
        <w:t>内完成。</w:t>
      </w:r>
    </w:p>
    <w:p>
      <w:pPr>
        <w:spacing w:line="440" w:lineRule="exact"/>
        <w:ind w:firstLine="480"/>
        <w:rPr>
          <w:color w:val="auto"/>
        </w:rPr>
      </w:pPr>
      <w:bookmarkStart w:id="159" w:name="bookmark123"/>
      <w:bookmarkEnd w:id="159"/>
      <w:r>
        <w:rPr>
          <w:rFonts w:hint="eastAsia"/>
          <w:color w:val="auto"/>
        </w:rPr>
        <w:t>2、</w:t>
      </w:r>
      <w:r>
        <w:rPr>
          <w:color w:val="auto"/>
        </w:rPr>
        <w:t>服务地点：乐山市市中区团山街555号1号楼</w:t>
      </w:r>
      <w:r>
        <w:rPr>
          <w:rFonts w:hint="eastAsia"/>
          <w:color w:val="auto"/>
        </w:rPr>
        <w:t>5</w:t>
      </w:r>
      <w:r>
        <w:rPr>
          <w:color w:val="auto"/>
        </w:rPr>
        <w:t>楼</w:t>
      </w:r>
      <w:r>
        <w:rPr>
          <w:rFonts w:hint="eastAsia"/>
          <w:color w:val="auto"/>
        </w:rPr>
        <w:t>乐山市人力资源和社会保障信息中心</w:t>
      </w:r>
      <w:r>
        <w:rPr>
          <w:color w:val="auto"/>
        </w:rPr>
        <w:t>。</w:t>
      </w:r>
    </w:p>
    <w:p>
      <w:pPr>
        <w:spacing w:line="440" w:lineRule="exact"/>
        <w:ind w:firstLine="480"/>
        <w:rPr>
          <w:color w:val="auto"/>
        </w:rPr>
      </w:pPr>
      <w:bookmarkStart w:id="160" w:name="bookmark124"/>
      <w:bookmarkEnd w:id="160"/>
      <w:r>
        <w:rPr>
          <w:rFonts w:hint="eastAsia"/>
          <w:color w:val="auto"/>
        </w:rPr>
        <w:t>3、</w:t>
      </w:r>
      <w:r>
        <w:rPr>
          <w:color w:val="auto"/>
        </w:rPr>
        <w:t>报价要求</w:t>
      </w:r>
    </w:p>
    <w:p>
      <w:pPr>
        <w:spacing w:line="440" w:lineRule="exact"/>
        <w:ind w:firstLine="480"/>
        <w:rPr>
          <w:color w:val="auto"/>
        </w:rPr>
      </w:pPr>
      <w:r>
        <w:rPr>
          <w:color w:val="auto"/>
        </w:rPr>
        <w:t>供应商报价含相关</w:t>
      </w:r>
      <w:r>
        <w:rPr>
          <w:rFonts w:hint="eastAsia"/>
          <w:color w:val="auto"/>
        </w:rPr>
        <w:t>软件开发部署费用</w:t>
      </w:r>
      <w:r>
        <w:rPr>
          <w:color w:val="auto"/>
        </w:rPr>
        <w:t>、人员交通费、食宿费、相关税费及其他不可预见费等的包干价。中标人应对自身承担的一切费用自理，项目实施过程中的一切费用包含在此次中标项目资金中。</w:t>
      </w:r>
    </w:p>
    <w:p>
      <w:pPr>
        <w:spacing w:line="440" w:lineRule="exact"/>
        <w:ind w:firstLine="480"/>
        <w:rPr>
          <w:color w:val="auto"/>
        </w:rPr>
      </w:pPr>
      <w:bookmarkStart w:id="161" w:name="bookmark125"/>
      <w:bookmarkEnd w:id="161"/>
      <w:r>
        <w:rPr>
          <w:rFonts w:hint="eastAsia"/>
          <w:color w:val="auto"/>
        </w:rPr>
        <w:t>4、</w:t>
      </w:r>
      <w:r>
        <w:rPr>
          <w:color w:val="auto"/>
        </w:rPr>
        <w:t>付款方式</w:t>
      </w:r>
    </w:p>
    <w:p>
      <w:pPr>
        <w:spacing w:line="440" w:lineRule="exact"/>
        <w:ind w:firstLine="480"/>
        <w:rPr>
          <w:color w:val="auto"/>
        </w:rPr>
      </w:pPr>
      <w:r>
        <w:rPr>
          <w:color w:val="auto"/>
        </w:rPr>
        <w:t>合同签订后人员入场10个工作日内支付合同金额的</w:t>
      </w:r>
      <w:r>
        <w:rPr>
          <w:rFonts w:hint="eastAsia"/>
          <w:color w:val="auto"/>
        </w:rPr>
        <w:t>3</w:t>
      </w:r>
      <w:r>
        <w:rPr>
          <w:color w:val="auto"/>
        </w:rPr>
        <w:t>0%作为预付款；成果验收合格后，双方按相关规定进行结算，结算后釆购方支付至合同金额的100%o合同结算价格不超过招标预算金额。</w:t>
      </w:r>
    </w:p>
    <w:p>
      <w:pPr>
        <w:spacing w:line="440" w:lineRule="exact"/>
        <w:ind w:firstLine="480"/>
      </w:pPr>
      <w:bookmarkStart w:id="162" w:name="bookmark126"/>
      <w:bookmarkEnd w:id="162"/>
      <w:r>
        <w:rPr>
          <w:rFonts w:hint="eastAsia"/>
        </w:rPr>
        <w:t>5、</w:t>
      </w:r>
      <w:r>
        <w:t>质量标准</w:t>
      </w:r>
    </w:p>
    <w:p>
      <w:pPr>
        <w:spacing w:line="440" w:lineRule="exact"/>
        <w:ind w:firstLine="480"/>
      </w:pPr>
      <w:r>
        <w:t>满足采购文件规定的相关要求并达到合格标准。</w:t>
      </w:r>
      <w:bookmarkStart w:id="163" w:name="bookmark127"/>
      <w:bookmarkEnd w:id="163"/>
    </w:p>
    <w:p>
      <w:pPr>
        <w:spacing w:line="440" w:lineRule="exact"/>
        <w:ind w:firstLine="480"/>
      </w:pPr>
      <w:bookmarkStart w:id="164" w:name="bookmark136"/>
      <w:bookmarkEnd w:id="164"/>
      <w:r>
        <w:rPr>
          <w:rFonts w:hint="eastAsia"/>
        </w:rPr>
        <w:t>6、</w:t>
      </w:r>
      <w:r>
        <w:t>其他相关事宜</w:t>
      </w:r>
    </w:p>
    <w:p>
      <w:r>
        <w:t>在本采购文件中没有提及的与本项目履约切实相关的事宜，在采购人与成交供应商订立合同时按明细约定或后续补充约定（约定的内容须符合国家相关法律法规的规定）。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D55C0A"/>
    <w:rsid w:val="504D0610"/>
    <w:rsid w:val="58D55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pPr>
    <w:rPr>
      <w:rFonts w:ascii="Times New Roman" w:hAnsi="Times New Roman" w:eastAsia="宋体" w:cs="Times New Roman"/>
      <w:kern w:val="2"/>
      <w:sz w:val="24"/>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customStyle="1" w:styleId="3">
    <w:name w:val="_Style 2"/>
    <w:basedOn w:val="1"/>
    <w:next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2022-06-15T02:42:00Z</dcterms:created>
  <dc:creator>Administrator</dc:creator>
  <cp:lastModifiedBy>Administrator</cp:lastModifiedBy>
  <dcterms:modified xsi:type="dcterms:W3CDTF">2022-06-15T03:13:38Z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