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ascii="仿宋" w:hAnsi="仿宋" w:eastAsia="仿宋"/>
        </w:rPr>
      </w:pPr>
      <w:bookmarkStart w:id="0" w:name="_Toc28359022"/>
      <w:bookmarkStart w:id="1" w:name="_Toc35393809"/>
      <w:r>
        <w:rPr>
          <w:rFonts w:hint="eastAsia" w:ascii="仿宋" w:hAnsi="仿宋" w:eastAsia="仿宋"/>
        </w:rPr>
        <w:t>中标（成交）结果公告</w:t>
      </w:r>
      <w:bookmarkEnd w:id="0"/>
      <w:bookmarkEnd w:id="1"/>
    </w:p>
    <w:p>
      <w:pPr>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项目编号：</w:t>
      </w:r>
      <w:r>
        <w:rPr>
          <w:rFonts w:hint="eastAsia" w:ascii="仿宋" w:hAnsi="仿宋" w:eastAsia="仿宋"/>
          <w:sz w:val="28"/>
          <w:szCs w:val="28"/>
          <w:lang w:val="en-US" w:eastAsia="zh-CN"/>
        </w:rPr>
        <w:t>ZKGSF(ZB)-20222842</w:t>
      </w:r>
    </w:p>
    <w:p>
      <w:pPr>
        <w:rPr>
          <w:rFonts w:ascii="仿宋" w:hAnsi="仿宋" w:eastAsia="仿宋"/>
          <w:sz w:val="28"/>
          <w:szCs w:val="28"/>
          <w:u w:val="single"/>
        </w:rPr>
      </w:pP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项目名称：</w:t>
      </w:r>
      <w:bookmarkStart w:id="2" w:name="_GoBack"/>
      <w:r>
        <w:rPr>
          <w:rFonts w:hint="eastAsia" w:ascii="仿宋" w:hAnsi="仿宋" w:eastAsia="仿宋"/>
          <w:sz w:val="28"/>
          <w:szCs w:val="28"/>
          <w:lang w:eastAsia="zh-CN"/>
        </w:rPr>
        <w:t>净月文旅产业重点区域策划及运营实施方案工作的咨询服务</w:t>
      </w:r>
    </w:p>
    <w:bookmarkEnd w:id="2"/>
    <w:p>
      <w:pPr>
        <w:rPr>
          <w:rFonts w:ascii="仿宋" w:hAnsi="仿宋" w:eastAsia="仿宋"/>
          <w:sz w:val="28"/>
          <w:szCs w:val="28"/>
        </w:rPr>
      </w:pPr>
      <w:r>
        <w:rPr>
          <w:rFonts w:hint="eastAsia" w:ascii="仿宋" w:hAnsi="仿宋" w:eastAsia="仿宋"/>
          <w:sz w:val="28"/>
          <w:szCs w:val="28"/>
        </w:rPr>
        <w:t>三、中标（成交）信息</w:t>
      </w:r>
    </w:p>
    <w:p>
      <w:pPr>
        <w:ind w:firstLine="560" w:firstLineChars="200"/>
        <w:rPr>
          <w:rFonts w:ascii="仿宋" w:hAnsi="仿宋" w:eastAsia="仿宋"/>
          <w:sz w:val="28"/>
          <w:szCs w:val="28"/>
        </w:rPr>
      </w:pPr>
      <w:r>
        <w:rPr>
          <w:rFonts w:hint="eastAsia" w:ascii="仿宋" w:hAnsi="仿宋" w:eastAsia="仿宋"/>
          <w:sz w:val="28"/>
          <w:szCs w:val="28"/>
        </w:rPr>
        <w:t>供应商名称：青旅（北京）旅游规划设计研究院有限公司</w:t>
      </w:r>
    </w:p>
    <w:p>
      <w:pPr>
        <w:ind w:firstLine="560" w:firstLineChars="200"/>
        <w:rPr>
          <w:rFonts w:ascii="仿宋" w:hAnsi="仿宋" w:eastAsia="仿宋"/>
          <w:sz w:val="28"/>
          <w:szCs w:val="28"/>
        </w:rPr>
      </w:pPr>
      <w:r>
        <w:rPr>
          <w:rFonts w:hint="eastAsia" w:ascii="仿宋" w:hAnsi="仿宋" w:eastAsia="仿宋"/>
          <w:sz w:val="28"/>
          <w:szCs w:val="28"/>
        </w:rPr>
        <w:t>供应商地址：北京市朝阳区高碑店乡西店村49号楼二层2011</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中标（成交）金额：</w:t>
      </w:r>
      <w:r>
        <w:rPr>
          <w:rFonts w:hint="eastAsia" w:ascii="仿宋" w:hAnsi="仿宋" w:eastAsia="仿宋"/>
          <w:sz w:val="28"/>
          <w:szCs w:val="28"/>
          <w:u w:val="single"/>
          <w:lang w:eastAsia="zh-CN"/>
        </w:rPr>
        <w:t>折扣</w:t>
      </w:r>
      <w:r>
        <w:rPr>
          <w:rFonts w:hint="eastAsia" w:ascii="仿宋" w:hAnsi="仿宋" w:eastAsia="仿宋"/>
          <w:sz w:val="28"/>
          <w:szCs w:val="28"/>
          <w:u w:val="single"/>
          <w:lang w:eastAsia="zh-CN"/>
        </w:rPr>
        <w:t>系数</w:t>
      </w:r>
      <w:r>
        <w:rPr>
          <w:rFonts w:hint="eastAsia" w:ascii="仿宋" w:hAnsi="仿宋" w:eastAsia="仿宋"/>
          <w:sz w:val="28"/>
          <w:szCs w:val="28"/>
          <w:u w:val="single"/>
          <w:lang w:val="en-US" w:eastAsia="zh-CN"/>
        </w:rPr>
        <w:t>99%</w:t>
      </w:r>
    </w:p>
    <w:p>
      <w:pPr>
        <w:rPr>
          <w:rFonts w:ascii="仿宋" w:hAnsi="仿宋" w:eastAsia="仿宋"/>
          <w:sz w:val="28"/>
          <w:szCs w:val="28"/>
        </w:rPr>
      </w:pPr>
      <w:r>
        <w:rPr>
          <w:rFonts w:hint="eastAsia" w:ascii="仿宋" w:hAnsi="仿宋" w:eastAsia="仿宋"/>
          <w:sz w:val="28"/>
          <w:szCs w:val="28"/>
        </w:rPr>
        <w:t>四、主要标的信息</w:t>
      </w:r>
    </w:p>
    <w:tbl>
      <w:tblPr>
        <w:tblStyle w:val="1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jc w:val="center"/>
              <w:rPr>
                <w:rFonts w:ascii="仿宋" w:hAnsi="仿宋" w:eastAsia="仿宋"/>
                <w:kern w:val="0"/>
                <w:sz w:val="28"/>
                <w:szCs w:val="28"/>
              </w:rPr>
            </w:pPr>
            <w:r>
              <w:rPr>
                <w:rFonts w:hint="eastAsia" w:ascii="仿宋" w:hAnsi="仿宋" w:eastAsia="仿宋"/>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rPr>
                <w:rFonts w:hint="eastAsia" w:ascii="仿宋" w:hAnsi="仿宋" w:eastAsia="仿宋"/>
                <w:kern w:val="0"/>
                <w:sz w:val="28"/>
                <w:szCs w:val="28"/>
              </w:rPr>
            </w:pPr>
            <w:r>
              <w:rPr>
                <w:rFonts w:hint="eastAsia" w:ascii="仿宋" w:hAnsi="仿宋" w:eastAsia="仿宋"/>
                <w:kern w:val="0"/>
                <w:sz w:val="28"/>
                <w:szCs w:val="28"/>
              </w:rPr>
              <w:t>名</w:t>
            </w:r>
            <w:r>
              <w:rPr>
                <w:rFonts w:hint="eastAsia" w:ascii="仿宋" w:hAnsi="仿宋" w:eastAsia="仿宋"/>
                <w:kern w:val="0"/>
                <w:sz w:val="28"/>
                <w:szCs w:val="28"/>
                <w:lang w:val="en-US" w:eastAsia="zh-CN"/>
              </w:rPr>
              <w:t xml:space="preserve">    </w:t>
            </w:r>
            <w:r>
              <w:rPr>
                <w:rFonts w:hint="eastAsia" w:ascii="仿宋" w:hAnsi="仿宋" w:eastAsia="仿宋"/>
                <w:kern w:val="0"/>
                <w:sz w:val="28"/>
                <w:szCs w:val="28"/>
              </w:rPr>
              <w:t>称：</w:t>
            </w:r>
            <w:r>
              <w:rPr>
                <w:rFonts w:hint="eastAsia" w:ascii="仿宋" w:hAnsi="仿宋" w:eastAsia="仿宋"/>
                <w:kern w:val="0"/>
                <w:sz w:val="28"/>
                <w:szCs w:val="28"/>
                <w:lang w:eastAsia="zh-CN"/>
              </w:rPr>
              <w:t>净月文旅产业重点区域策划及运营实施方案工作的咨询服务</w:t>
            </w:r>
          </w:p>
          <w:p>
            <w:pPr>
              <w:rPr>
                <w:rFonts w:hint="eastAsia" w:ascii="仿宋" w:hAnsi="仿宋" w:eastAsia="仿宋" w:cs="Times New Roman"/>
                <w:kern w:val="0"/>
                <w:sz w:val="28"/>
                <w:szCs w:val="28"/>
                <w:lang w:eastAsia="zh-CN"/>
              </w:rPr>
            </w:pPr>
            <w:r>
              <w:rPr>
                <w:rFonts w:hint="eastAsia" w:ascii="仿宋" w:hAnsi="仿宋" w:eastAsia="仿宋"/>
                <w:kern w:val="0"/>
                <w:sz w:val="28"/>
                <w:szCs w:val="28"/>
              </w:rPr>
              <w:t>服务范围：</w:t>
            </w:r>
            <w:r>
              <w:rPr>
                <w:rFonts w:hint="eastAsia" w:ascii="仿宋" w:hAnsi="仿宋" w:eastAsia="仿宋" w:cs="Times New Roman"/>
                <w:kern w:val="0"/>
                <w:sz w:val="28"/>
                <w:szCs w:val="28"/>
                <w:lang w:eastAsia="zh-CN"/>
              </w:rPr>
              <w:t>详见</w:t>
            </w:r>
            <w:r>
              <w:rPr>
                <w:rFonts w:hint="eastAsia" w:ascii="仿宋" w:hAnsi="仿宋" w:eastAsia="仿宋"/>
                <w:kern w:val="0"/>
                <w:sz w:val="28"/>
                <w:szCs w:val="28"/>
                <w:lang w:eastAsia="zh-CN"/>
              </w:rPr>
              <w:t>招标文件</w:t>
            </w:r>
          </w:p>
          <w:p>
            <w:pPr>
              <w:rPr>
                <w:rFonts w:hint="eastAsia" w:ascii="仿宋" w:hAnsi="仿宋" w:eastAsia="仿宋"/>
                <w:kern w:val="0"/>
                <w:sz w:val="28"/>
                <w:szCs w:val="28"/>
                <w:u w:val="single"/>
                <w:lang w:eastAsia="zh-CN"/>
              </w:rPr>
            </w:pPr>
            <w:r>
              <w:rPr>
                <w:rFonts w:hint="eastAsia" w:ascii="仿宋" w:hAnsi="仿宋" w:eastAsia="仿宋"/>
                <w:kern w:val="0"/>
                <w:sz w:val="28"/>
                <w:szCs w:val="28"/>
              </w:rPr>
              <w:t>服务要求：</w:t>
            </w:r>
            <w:r>
              <w:rPr>
                <w:rFonts w:hint="eastAsia" w:ascii="仿宋" w:hAnsi="仿宋" w:eastAsia="仿宋"/>
                <w:kern w:val="0"/>
                <w:sz w:val="28"/>
                <w:szCs w:val="28"/>
                <w:lang w:eastAsia="zh-CN"/>
              </w:rPr>
              <w:t>详见招标文件</w:t>
            </w:r>
          </w:p>
          <w:p>
            <w:pPr>
              <w:rPr>
                <w:rFonts w:hint="default" w:ascii="仿宋" w:hAnsi="仿宋" w:eastAsia="仿宋"/>
                <w:kern w:val="0"/>
                <w:sz w:val="28"/>
                <w:szCs w:val="28"/>
                <w:u w:val="single"/>
                <w:lang w:val="en-US"/>
              </w:rPr>
            </w:pPr>
            <w:r>
              <w:rPr>
                <w:rFonts w:hint="eastAsia" w:ascii="仿宋" w:hAnsi="仿宋" w:eastAsia="仿宋"/>
                <w:kern w:val="0"/>
                <w:sz w:val="28"/>
                <w:szCs w:val="28"/>
              </w:rPr>
              <w:t>服务时间：</w:t>
            </w:r>
            <w:r>
              <w:rPr>
                <w:rFonts w:hint="eastAsia" w:ascii="仿宋" w:hAnsi="仿宋" w:eastAsia="仿宋"/>
                <w:kern w:val="0"/>
                <w:sz w:val="28"/>
                <w:szCs w:val="28"/>
                <w:lang w:eastAsia="zh-CN"/>
              </w:rPr>
              <w:t>自签订合同之日起两年</w:t>
            </w:r>
          </w:p>
          <w:p>
            <w:pPr>
              <w:rPr>
                <w:rFonts w:ascii="仿宋" w:hAnsi="仿宋" w:eastAsia="仿宋"/>
                <w:kern w:val="0"/>
                <w:sz w:val="28"/>
                <w:szCs w:val="28"/>
              </w:rPr>
            </w:pPr>
            <w:r>
              <w:rPr>
                <w:rFonts w:hint="eastAsia" w:ascii="仿宋" w:hAnsi="仿宋" w:eastAsia="仿宋"/>
                <w:kern w:val="0"/>
                <w:sz w:val="28"/>
                <w:szCs w:val="28"/>
              </w:rPr>
              <w:t>服务标准：</w:t>
            </w:r>
            <w:r>
              <w:rPr>
                <w:rFonts w:hint="eastAsia" w:ascii="仿宋" w:hAnsi="仿宋" w:eastAsia="仿宋"/>
                <w:kern w:val="0"/>
                <w:sz w:val="28"/>
                <w:szCs w:val="28"/>
                <w:lang w:val="en-US" w:eastAsia="zh-CN"/>
              </w:rPr>
              <w:t>符合行业国家相关规范规定</w:t>
            </w:r>
          </w:p>
        </w:tc>
      </w:tr>
    </w:tbl>
    <w:p>
      <w:pPr>
        <w:rPr>
          <w:rFonts w:ascii="仿宋" w:hAnsi="仿宋" w:eastAsia="仿宋"/>
          <w:sz w:val="28"/>
          <w:szCs w:val="28"/>
        </w:rPr>
      </w:pPr>
      <w:r>
        <w:rPr>
          <w:rFonts w:hint="eastAsia" w:ascii="仿宋" w:hAnsi="仿宋" w:eastAsia="仿宋"/>
          <w:sz w:val="28"/>
          <w:szCs w:val="28"/>
        </w:rPr>
        <w:t>五、评审专家名单：周丽君</w:t>
      </w:r>
      <w:r>
        <w:rPr>
          <w:rFonts w:hint="eastAsia" w:ascii="仿宋" w:hAnsi="仿宋" w:eastAsia="仿宋"/>
          <w:sz w:val="28"/>
          <w:szCs w:val="28"/>
          <w:lang w:eastAsia="zh-CN"/>
        </w:rPr>
        <w:t>、杨景春、徐炳范、张惠玲、王春亮</w:t>
      </w:r>
    </w:p>
    <w:p>
      <w:pPr>
        <w:rPr>
          <w:rFonts w:ascii="仿宋" w:hAnsi="仿宋" w:eastAsia="仿宋"/>
          <w:sz w:val="28"/>
          <w:szCs w:val="28"/>
        </w:rPr>
      </w:pPr>
      <w:r>
        <w:rPr>
          <w:rFonts w:hint="eastAsia" w:ascii="仿宋" w:hAnsi="仿宋" w:eastAsia="仿宋"/>
          <w:sz w:val="28"/>
          <w:szCs w:val="28"/>
        </w:rPr>
        <w:t>六、代理服务收费标准及金额：</w:t>
      </w:r>
      <w:r>
        <w:rPr>
          <w:rFonts w:hint="eastAsia" w:ascii="仿宋" w:hAnsi="仿宋" w:eastAsia="仿宋"/>
          <w:sz w:val="28"/>
          <w:szCs w:val="28"/>
          <w:lang w:val="en-US" w:eastAsia="zh-CN"/>
        </w:rPr>
        <w:t>参照国家计委计价格【2002】1980号《招标代理服务收费管理暂行办法》、国家发展改革委员会发改价格【2011】534号文件和国家发展计划委员会计价格【2015】299号文件规定的招标代理服务收费标准向中标人收取中标服务费用。</w:t>
      </w:r>
    </w:p>
    <w:p>
      <w:pPr>
        <w:rPr>
          <w:rFonts w:ascii="仿宋" w:hAnsi="仿宋" w:eastAsia="仿宋"/>
          <w:sz w:val="28"/>
          <w:szCs w:val="28"/>
        </w:rPr>
      </w:pPr>
      <w:r>
        <w:rPr>
          <w:rFonts w:hint="eastAsia" w:ascii="仿宋" w:hAnsi="仿宋" w:eastAsia="仿宋"/>
          <w:sz w:val="28"/>
          <w:szCs w:val="28"/>
        </w:rPr>
        <w:t>七、公告期限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仿宋" w:hAnsi="仿宋" w:eastAsia="仿宋" w:cs="仿宋"/>
          <w:sz w:val="28"/>
          <w:szCs w:val="28"/>
        </w:rPr>
      </w:pPr>
      <w:r>
        <w:rPr>
          <w:rFonts w:hint="eastAsia" w:ascii="仿宋" w:hAnsi="仿宋" w:eastAsia="仿宋" w:cs="仿宋"/>
          <w:sz w:val="28"/>
          <w:szCs w:val="28"/>
        </w:rPr>
        <w:t>八、其他补充事宜</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公告期限届满之日起7个工作日内，参与采购活动的投标供应商认为采购过程和成交结果使自己权益受到损害的，可以以书面形式向采购代理机构或采购人提出质疑。</w:t>
      </w:r>
    </w:p>
    <w:p>
      <w:pPr>
        <w:pStyle w:val="4"/>
        <w:spacing w:line="360" w:lineRule="auto"/>
        <w:rPr>
          <w:rFonts w:ascii="仿宋" w:hAnsi="仿宋" w:eastAsia="仿宋" w:cs="宋体"/>
          <w:b w:val="0"/>
          <w:sz w:val="28"/>
          <w:szCs w:val="28"/>
        </w:rPr>
      </w:pPr>
      <w:r>
        <w:rPr>
          <w:rFonts w:hint="eastAsia" w:ascii="仿宋" w:hAnsi="仿宋" w:eastAsia="仿宋" w:cs="宋体"/>
          <w:kern w:val="0"/>
          <w:sz w:val="28"/>
          <w:szCs w:val="28"/>
        </w:rPr>
        <w:t>九、凡对本次公告内容提出询问，请按以下方式联系。</w:t>
      </w:r>
    </w:p>
    <w:p>
      <w:pPr>
        <w:pStyle w:val="4"/>
        <w:spacing w:line="360" w:lineRule="auto"/>
        <w:ind w:left="495" w:firstLine="280" w:firstLineChars="100"/>
        <w:rPr>
          <w:rFonts w:ascii="仿宋" w:hAnsi="仿宋" w:eastAsia="仿宋" w:cs="宋体"/>
          <w:b w:val="0"/>
          <w:sz w:val="28"/>
          <w:szCs w:val="28"/>
        </w:rPr>
      </w:pPr>
      <w:r>
        <w:rPr>
          <w:rFonts w:hint="eastAsia" w:ascii="仿宋" w:hAnsi="仿宋" w:eastAsia="仿宋" w:cs="宋体"/>
          <w:b w:val="0"/>
          <w:sz w:val="28"/>
          <w:szCs w:val="28"/>
        </w:rPr>
        <w:t>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长春净月高新技术产业开发区文化旅游和体育局　</w:t>
      </w:r>
    </w:p>
    <w:p>
      <w:pPr>
        <w:spacing w:line="360" w:lineRule="auto"/>
        <w:ind w:left="1129" w:leftChars="371" w:hanging="350" w:hangingChars="125"/>
        <w:jc w:val="left"/>
        <w:rPr>
          <w:rFonts w:hint="eastAsia"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长春市净月高新技术产业开发区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rPr>
        <w:t>邢龙璟</w:t>
      </w:r>
      <w:r>
        <w:rPr>
          <w:rFonts w:hint="eastAsia" w:ascii="仿宋" w:hAnsi="仿宋" w:eastAsia="仿宋"/>
          <w:sz w:val="28"/>
          <w:szCs w:val="28"/>
          <w:u w:val="single"/>
        </w:rPr>
        <w:t>；17649996006　</w:t>
      </w:r>
    </w:p>
    <w:p>
      <w:pPr>
        <w:pStyle w:val="4"/>
        <w:spacing w:line="360" w:lineRule="auto"/>
        <w:ind w:left="495" w:firstLine="280" w:firstLineChars="100"/>
        <w:rPr>
          <w:rFonts w:ascii="仿宋" w:hAnsi="仿宋" w:eastAsia="仿宋" w:cs="宋体"/>
          <w:b w:val="0"/>
          <w:sz w:val="28"/>
          <w:szCs w:val="28"/>
        </w:rPr>
      </w:pPr>
      <w:r>
        <w:rPr>
          <w:rFonts w:hint="eastAsia" w:ascii="仿宋" w:hAnsi="仿宋" w:eastAsia="仿宋" w:cs="宋体"/>
          <w:b w:val="0"/>
          <w:sz w:val="28"/>
          <w:szCs w:val="28"/>
        </w:rPr>
        <w:t>2.采购代理机构信息（如有）</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中科高盛咨询集团有限公司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s="Times New Roman"/>
          <w:sz w:val="28"/>
          <w:szCs w:val="28"/>
          <w:u w:val="single"/>
        </w:rPr>
        <w:t>长春市净月开发区环球贸易中心一期2号楼25楼　　</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张小兵</w:t>
      </w:r>
      <w:r>
        <w:rPr>
          <w:rFonts w:hint="eastAsia" w:ascii="仿宋" w:hAnsi="仿宋" w:eastAsia="仿宋"/>
          <w:sz w:val="28"/>
          <w:szCs w:val="28"/>
          <w:u w:val="single"/>
          <w:lang w:val="zh-CN" w:eastAsia="zh-CN"/>
        </w:rPr>
        <w:t>；</w:t>
      </w:r>
      <w:r>
        <w:rPr>
          <w:rFonts w:hint="eastAsia" w:ascii="仿宋" w:hAnsi="仿宋" w:eastAsia="仿宋"/>
          <w:sz w:val="28"/>
          <w:szCs w:val="28"/>
          <w:u w:val="single"/>
          <w:lang w:val="en-US" w:eastAsia="zh-CN"/>
        </w:rPr>
        <w:t>15500011293</w:t>
      </w:r>
      <w:r>
        <w:rPr>
          <w:rFonts w:hint="eastAsia" w:ascii="仿宋" w:hAnsi="仿宋" w:eastAsia="仿宋"/>
          <w:sz w:val="28"/>
          <w:szCs w:val="28"/>
          <w:u w:val="single"/>
        </w:rPr>
        <w:t>　</w:t>
      </w:r>
    </w:p>
    <w:p>
      <w:pPr>
        <w:pStyle w:val="4"/>
        <w:spacing w:line="360" w:lineRule="auto"/>
        <w:ind w:left="495" w:firstLine="280" w:firstLineChars="100"/>
        <w:rPr>
          <w:rFonts w:ascii="仿宋" w:hAnsi="仿宋" w:eastAsia="仿宋" w:cs="宋体"/>
          <w:b w:val="0"/>
          <w:sz w:val="28"/>
          <w:szCs w:val="28"/>
        </w:rPr>
      </w:pPr>
      <w:r>
        <w:rPr>
          <w:rFonts w:hint="eastAsia" w:ascii="仿宋" w:hAnsi="仿宋" w:eastAsia="仿宋" w:cs="宋体"/>
          <w:b w:val="0"/>
          <w:sz w:val="28"/>
          <w:szCs w:val="28"/>
        </w:rPr>
        <w:t>3.项目</w:t>
      </w:r>
      <w:r>
        <w:rPr>
          <w:rFonts w:ascii="仿宋" w:hAnsi="仿宋" w:eastAsia="仿宋" w:cs="宋体"/>
          <w:b w:val="0"/>
          <w:sz w:val="28"/>
          <w:szCs w:val="28"/>
        </w:rPr>
        <w:t>联系方式</w:t>
      </w:r>
    </w:p>
    <w:p>
      <w:pPr>
        <w:pStyle w:val="7"/>
        <w:spacing w:line="360" w:lineRule="auto"/>
        <w:ind w:firstLine="840" w:firstLineChars="300"/>
        <w:rPr>
          <w:rFonts w:hint="default" w:ascii="仿宋" w:hAnsi="仿宋" w:eastAsia="仿宋"/>
          <w:sz w:val="28"/>
          <w:szCs w:val="28"/>
          <w:lang w:val="en-US"/>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 xml:space="preserve"> 张小兵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r>
        <w:rPr>
          <w:rFonts w:hint="eastAsia" w:ascii="仿宋" w:hAnsi="仿宋" w:eastAsia="仿宋"/>
          <w:sz w:val="28"/>
          <w:szCs w:val="28"/>
          <w:u w:val="single"/>
          <w:lang w:val="en-US" w:eastAsia="zh-CN"/>
        </w:rPr>
        <w:t>15500011293</w:t>
      </w:r>
      <w:r>
        <w:rPr>
          <w:rFonts w:hint="eastAsia" w:ascii="仿宋" w:hAnsi="仿宋" w:eastAsia="仿宋"/>
          <w:sz w:val="28"/>
          <w:szCs w:val="28"/>
          <w:u w:val="single"/>
        </w:rPr>
        <w:t>　</w:t>
      </w:r>
    </w:p>
    <w:p>
      <w:pPr>
        <w:pStyle w:val="4"/>
        <w:spacing w:line="360" w:lineRule="auto"/>
        <w:ind w:left="495" w:firstLine="280" w:firstLineChars="100"/>
        <w:rPr>
          <w:rFonts w:ascii="仿宋" w:hAnsi="仿宋" w:eastAsia="仿宋" w:cs="宋体"/>
          <w:b w:val="0"/>
          <w:sz w:val="28"/>
          <w:szCs w:val="28"/>
        </w:rPr>
      </w:pPr>
      <w:r>
        <w:rPr>
          <w:rFonts w:hint="eastAsia" w:ascii="仿宋" w:hAnsi="仿宋" w:eastAsia="仿宋" w:cs="宋体"/>
          <w:b w:val="0"/>
          <w:sz w:val="28"/>
          <w:szCs w:val="28"/>
        </w:rPr>
        <w:t>4.监督单位：</w:t>
      </w:r>
    </w:p>
    <w:p>
      <w:pPr>
        <w:pStyle w:val="7"/>
        <w:spacing w:line="360" w:lineRule="auto"/>
        <w:ind w:firstLine="840" w:firstLineChars="300"/>
        <w:rPr>
          <w:rFonts w:ascii="仿宋" w:hAnsi="仿宋" w:eastAsia="仿宋" w:cs="Times New Roman"/>
          <w:sz w:val="28"/>
          <w:szCs w:val="28"/>
          <w:u w:val="single"/>
        </w:rPr>
      </w:pPr>
      <w:r>
        <w:rPr>
          <w:rFonts w:hint="eastAsia" w:ascii="仿宋" w:hAnsi="仿宋" w:eastAsia="仿宋"/>
          <w:sz w:val="28"/>
          <w:szCs w:val="28"/>
        </w:rPr>
        <w:t>名 称：</w:t>
      </w:r>
      <w:r>
        <w:rPr>
          <w:rFonts w:hint="eastAsia" w:ascii="仿宋" w:hAnsi="仿宋" w:eastAsia="仿宋" w:cs="Times New Roman"/>
          <w:sz w:val="28"/>
          <w:szCs w:val="28"/>
          <w:u w:val="single"/>
        </w:rPr>
        <w:t>　长春净月高新技术产业开发区政府采购办公室　</w:t>
      </w:r>
    </w:p>
    <w:p>
      <w:pPr>
        <w:pStyle w:val="7"/>
        <w:spacing w:line="360" w:lineRule="auto"/>
        <w:ind w:firstLine="840" w:firstLineChars="300"/>
        <w:rPr>
          <w:rFonts w:ascii="仿宋" w:hAnsi="仿宋" w:eastAsia="仿宋" w:cs="Times New Roman"/>
          <w:sz w:val="28"/>
          <w:szCs w:val="28"/>
          <w:u w:val="single"/>
        </w:rPr>
      </w:pPr>
      <w:r>
        <w:rPr>
          <w:rFonts w:hint="eastAsia" w:ascii="仿宋" w:hAnsi="仿宋" w:eastAsia="仿宋"/>
          <w:sz w:val="28"/>
          <w:szCs w:val="28"/>
        </w:rPr>
        <w:t>联系方式：</w:t>
      </w:r>
      <w:r>
        <w:rPr>
          <w:rFonts w:hint="eastAsia" w:ascii="仿宋" w:hAnsi="仿宋" w:eastAsia="仿宋" w:cs="Times New Roman"/>
          <w:sz w:val="28"/>
          <w:szCs w:val="28"/>
          <w:u w:val="single"/>
        </w:rPr>
        <w:t>　</w:t>
      </w:r>
      <w:r>
        <w:rPr>
          <w:rFonts w:hint="eastAsia" w:ascii="仿宋" w:hAnsi="仿宋" w:eastAsia="仿宋" w:cs="Times New Roman"/>
          <w:sz w:val="28"/>
          <w:szCs w:val="28"/>
          <w:u w:val="single"/>
          <w:lang w:val="en-US"/>
        </w:rPr>
        <w:t>0431-84532377</w:t>
      </w:r>
      <w:r>
        <w:rPr>
          <w:rFonts w:hint="eastAsia" w:ascii="仿宋" w:hAnsi="仿宋" w:eastAsia="仿宋" w:cs="Times New Roman"/>
          <w:sz w:val="28"/>
          <w:szCs w:val="28"/>
          <w:u w:val="single"/>
        </w:rPr>
        <w:t>　　</w:t>
      </w:r>
    </w:p>
    <w:p>
      <w:pPr>
        <w:rPr>
          <w:rFonts w:ascii="仿宋" w:hAnsi="仿宋" w:eastAsia="仿宋"/>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0"/>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NDViMWQ5NTJmZTM0ZThmMjQwNjEyZTFlNTFlNWQifQ=="/>
  </w:docVars>
  <w:rsids>
    <w:rsidRoot w:val="00244094"/>
    <w:rsid w:val="000270B1"/>
    <w:rsid w:val="000312DE"/>
    <w:rsid w:val="0005737B"/>
    <w:rsid w:val="000726D8"/>
    <w:rsid w:val="000A6769"/>
    <w:rsid w:val="000D3B95"/>
    <w:rsid w:val="000D5040"/>
    <w:rsid w:val="000D6508"/>
    <w:rsid w:val="00110BD8"/>
    <w:rsid w:val="001363B2"/>
    <w:rsid w:val="00151C8B"/>
    <w:rsid w:val="00244094"/>
    <w:rsid w:val="00246690"/>
    <w:rsid w:val="002F4172"/>
    <w:rsid w:val="00322E12"/>
    <w:rsid w:val="003D04C7"/>
    <w:rsid w:val="00400E90"/>
    <w:rsid w:val="00430D5D"/>
    <w:rsid w:val="00445621"/>
    <w:rsid w:val="00477589"/>
    <w:rsid w:val="004B0417"/>
    <w:rsid w:val="004E0F95"/>
    <w:rsid w:val="004F0CA3"/>
    <w:rsid w:val="004F449A"/>
    <w:rsid w:val="005902A4"/>
    <w:rsid w:val="006939FC"/>
    <w:rsid w:val="006C7A82"/>
    <w:rsid w:val="006F283A"/>
    <w:rsid w:val="0079663A"/>
    <w:rsid w:val="007D6EF1"/>
    <w:rsid w:val="007E2A79"/>
    <w:rsid w:val="007E2D83"/>
    <w:rsid w:val="0080774A"/>
    <w:rsid w:val="00877C6E"/>
    <w:rsid w:val="008974EE"/>
    <w:rsid w:val="008A1192"/>
    <w:rsid w:val="008A2FE7"/>
    <w:rsid w:val="0090581E"/>
    <w:rsid w:val="00966F02"/>
    <w:rsid w:val="00982A08"/>
    <w:rsid w:val="009A15C7"/>
    <w:rsid w:val="009B4B4A"/>
    <w:rsid w:val="00A30F31"/>
    <w:rsid w:val="00A3374C"/>
    <w:rsid w:val="00A605B2"/>
    <w:rsid w:val="00A81550"/>
    <w:rsid w:val="00A837AE"/>
    <w:rsid w:val="00C37A88"/>
    <w:rsid w:val="00C52F06"/>
    <w:rsid w:val="00C61BBE"/>
    <w:rsid w:val="00C95981"/>
    <w:rsid w:val="00CF40C9"/>
    <w:rsid w:val="00D26832"/>
    <w:rsid w:val="00DA7067"/>
    <w:rsid w:val="00DC09FA"/>
    <w:rsid w:val="00E457B7"/>
    <w:rsid w:val="00E702D6"/>
    <w:rsid w:val="00E75E92"/>
    <w:rsid w:val="00ED7C2A"/>
    <w:rsid w:val="00EE3266"/>
    <w:rsid w:val="00F53A4B"/>
    <w:rsid w:val="00FC6F27"/>
    <w:rsid w:val="217C6D52"/>
    <w:rsid w:val="44925572"/>
    <w:rsid w:val="61BB53FE"/>
    <w:rsid w:val="6343611D"/>
    <w:rsid w:val="7CD35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5" w:lineRule="auto"/>
      <w:outlineLvl w:val="1"/>
    </w:pPr>
    <w:rPr>
      <w:rFonts w:ascii="Arial" w:hAnsi="Arial" w:eastAsia="黑体" w:cs="Arial"/>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cs="Times New Roman"/>
    </w:rPr>
  </w:style>
  <w:style w:type="paragraph" w:styleId="5">
    <w:name w:val="annotation text"/>
    <w:basedOn w:val="1"/>
    <w:link w:val="27"/>
    <w:semiHidden/>
    <w:unhideWhenUsed/>
    <w:qFormat/>
    <w:uiPriority w:val="99"/>
    <w:pPr>
      <w:jc w:val="left"/>
    </w:p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Plain Text"/>
    <w:basedOn w:val="1"/>
    <w:link w:val="28"/>
    <w:qFormat/>
    <w:uiPriority w:val="0"/>
    <w:rPr>
      <w:rFonts w:ascii="宋体" w:hAnsi="Courier New" w:eastAsiaTheme="minorEastAsia" w:cstheme="minorBidi"/>
      <w:szCs w:val="22"/>
    </w:rPr>
  </w:style>
  <w:style w:type="paragraph" w:styleId="8">
    <w:name w:val="Date"/>
    <w:basedOn w:val="1"/>
    <w:next w:val="1"/>
    <w:link w:val="29"/>
    <w:qFormat/>
    <w:uiPriority w:val="0"/>
    <w:pPr>
      <w:adjustRightInd w:val="0"/>
      <w:spacing w:line="360" w:lineRule="atLeast"/>
      <w:textAlignment w:val="baseline"/>
    </w:pPr>
    <w:rPr>
      <w:rFonts w:ascii="宋体" w:cs="宋体"/>
      <w:kern w:val="0"/>
      <w:sz w:val="24"/>
      <w:szCs w:val="24"/>
    </w:rPr>
  </w:style>
  <w:style w:type="paragraph" w:styleId="9">
    <w:name w:val="Balloon Text"/>
    <w:basedOn w:val="1"/>
    <w:link w:val="30"/>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4">
    <w:name w:val="Body Text 2"/>
    <w:basedOn w:val="1"/>
    <w:link w:val="31"/>
    <w:qFormat/>
    <w:uiPriority w:val="0"/>
    <w:pPr>
      <w:spacing w:after="120" w:line="480" w:lineRule="auto"/>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qFormat/>
    <w:uiPriority w:val="0"/>
    <w:pPr>
      <w:widowControl/>
      <w:spacing w:before="240" w:beforeLines="0" w:beforeAutospacing="0" w:after="60" w:afterLines="0" w:afterAutospacing="0"/>
      <w:jc w:val="center"/>
      <w:outlineLvl w:val="0"/>
    </w:pPr>
    <w:rPr>
      <w:rFonts w:ascii="Arial" w:hAnsi="Arial"/>
      <w:b/>
      <w:kern w:val="0"/>
      <w:sz w:val="44"/>
    </w:rPr>
  </w:style>
  <w:style w:type="paragraph" w:styleId="17">
    <w:name w:val="annotation subject"/>
    <w:basedOn w:val="5"/>
    <w:next w:val="5"/>
    <w:link w:val="32"/>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1"/>
    <w:qFormat/>
    <w:uiPriority w:val="99"/>
    <w:rPr>
      <w:sz w:val="18"/>
      <w:szCs w:val="18"/>
    </w:rPr>
  </w:style>
  <w:style w:type="character" w:customStyle="1" w:styleId="24">
    <w:name w:val="页脚 Char"/>
    <w:basedOn w:val="20"/>
    <w:link w:val="10"/>
    <w:qFormat/>
    <w:uiPriority w:val="99"/>
    <w:rPr>
      <w:sz w:val="18"/>
      <w:szCs w:val="18"/>
    </w:rPr>
  </w:style>
  <w:style w:type="character" w:customStyle="1" w:styleId="25">
    <w:name w:val="标题 1 Char"/>
    <w:basedOn w:val="20"/>
    <w:link w:val="3"/>
    <w:qFormat/>
    <w:uiPriority w:val="9"/>
    <w:rPr>
      <w:rFonts w:ascii="Times New Roman" w:hAnsi="Times New Roman" w:eastAsia="宋体" w:cs="Times New Roman"/>
      <w:b/>
      <w:bCs/>
      <w:kern w:val="44"/>
      <w:sz w:val="44"/>
      <w:szCs w:val="44"/>
    </w:rPr>
  </w:style>
  <w:style w:type="character" w:customStyle="1" w:styleId="26">
    <w:name w:val="标题 2 Char"/>
    <w:basedOn w:val="20"/>
    <w:link w:val="4"/>
    <w:qFormat/>
    <w:uiPriority w:val="0"/>
    <w:rPr>
      <w:rFonts w:ascii="Arial" w:hAnsi="Arial" w:eastAsia="黑体" w:cs="Arial"/>
      <w:b/>
      <w:bCs/>
      <w:sz w:val="32"/>
      <w:szCs w:val="32"/>
    </w:rPr>
  </w:style>
  <w:style w:type="character" w:customStyle="1" w:styleId="27">
    <w:name w:val="批注文字 Char"/>
    <w:basedOn w:val="20"/>
    <w:link w:val="5"/>
    <w:semiHidden/>
    <w:qFormat/>
    <w:uiPriority w:val="99"/>
    <w:rPr>
      <w:rFonts w:ascii="Times New Roman" w:hAnsi="Times New Roman" w:eastAsia="宋体" w:cs="Times New Roman"/>
      <w:szCs w:val="21"/>
    </w:rPr>
  </w:style>
  <w:style w:type="character" w:customStyle="1" w:styleId="28">
    <w:name w:val="纯文本 Char"/>
    <w:basedOn w:val="20"/>
    <w:link w:val="7"/>
    <w:qFormat/>
    <w:uiPriority w:val="0"/>
    <w:rPr>
      <w:rFonts w:ascii="宋体" w:hAnsi="Courier New"/>
    </w:rPr>
  </w:style>
  <w:style w:type="character" w:customStyle="1" w:styleId="29">
    <w:name w:val="日期 Char"/>
    <w:basedOn w:val="20"/>
    <w:link w:val="8"/>
    <w:qFormat/>
    <w:uiPriority w:val="0"/>
    <w:rPr>
      <w:rFonts w:ascii="宋体" w:hAnsi="Times New Roman" w:eastAsia="宋体" w:cs="宋体"/>
      <w:kern w:val="0"/>
      <w:sz w:val="24"/>
      <w:szCs w:val="24"/>
    </w:rPr>
  </w:style>
  <w:style w:type="character" w:customStyle="1" w:styleId="30">
    <w:name w:val="批注框文本 Char"/>
    <w:basedOn w:val="20"/>
    <w:link w:val="9"/>
    <w:semiHidden/>
    <w:qFormat/>
    <w:uiPriority w:val="99"/>
    <w:rPr>
      <w:rFonts w:ascii="Times New Roman" w:hAnsi="Times New Roman" w:eastAsia="宋体" w:cs="Times New Roman"/>
      <w:sz w:val="18"/>
      <w:szCs w:val="18"/>
    </w:rPr>
  </w:style>
  <w:style w:type="character" w:customStyle="1" w:styleId="31">
    <w:name w:val="正文文本 2 Char"/>
    <w:basedOn w:val="20"/>
    <w:link w:val="14"/>
    <w:qFormat/>
    <w:uiPriority w:val="0"/>
    <w:rPr>
      <w:rFonts w:ascii="Times New Roman" w:hAnsi="Times New Roman" w:eastAsia="宋体" w:cs="Times New Roman"/>
      <w:szCs w:val="21"/>
    </w:rPr>
  </w:style>
  <w:style w:type="character" w:customStyle="1" w:styleId="32">
    <w:name w:val="批注主题 Char"/>
    <w:basedOn w:val="27"/>
    <w:link w:val="17"/>
    <w:semiHidden/>
    <w:qFormat/>
    <w:uiPriority w:val="99"/>
    <w:rPr>
      <w:rFonts w:ascii="Times New Roman" w:hAnsi="Times New Roman" w:eastAsia="宋体" w:cs="Times New Roman"/>
      <w:b/>
      <w:bCs/>
      <w:szCs w:val="21"/>
    </w:rPr>
  </w:style>
  <w:style w:type="character" w:customStyle="1" w:styleId="33">
    <w:name w:val="纯文本 字符"/>
    <w:basedOn w:val="20"/>
    <w:semiHidden/>
    <w:qFormat/>
    <w:uiPriority w:val="99"/>
    <w:rPr>
      <w:rFonts w:hAnsi="Courier New" w:cs="Courier New" w:asciiTheme="minorEastAsia"/>
      <w:szCs w:val="21"/>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7">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qowt-font10-gbk"/>
    <w:basedOn w:val="2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658</Words>
  <Characters>744</Characters>
  <Lines>59</Lines>
  <Paragraphs>16</Paragraphs>
  <TotalTime>1</TotalTime>
  <ScaleCrop>false</ScaleCrop>
  <LinksUpToDate>false</LinksUpToDate>
  <CharactersWithSpaces>786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2021-12-27T01:15:00Z</dcterms:created>
  <dc:creator>赵璧</dc:creator>
  <cp:lastModifiedBy>打豆豆1415930279</cp:lastModifiedBy>
  <cp:lastPrinted>2020-03-23T07:37:00Z</cp:lastPrinted>
  <dcterms:modified xsi:type="dcterms:W3CDTF">2022-12-06T06:37:38Z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F7F8D04093C143CFA39AA4B054D8103A</vt:lpwstr>
  </property>
</Properties>
</file>