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rPr>
      </w:pPr>
    </w:p>
    <w:p>
      <w:pPr>
        <w:pStyle w:val="2"/>
      </w:pPr>
    </w:p>
    <w:p>
      <w:pPr>
        <w:spacing w:line="360" w:lineRule="auto"/>
        <w:jc w:val="center"/>
        <w:rPr>
          <w:rFonts w:ascii="华文中宋" w:hAnsi="华文中宋" w:eastAsia="华文中宋"/>
          <w:color w:val="000000" w:themeColor="text1"/>
          <w:spacing w:val="42"/>
          <w:sz w:val="130"/>
          <w:szCs w:val="130"/>
        </w:rPr>
      </w:pPr>
      <w:r>
        <w:rPr>
          <w:rFonts w:hint="eastAsia" w:ascii="华文中宋" w:hAnsi="华文中宋" w:eastAsia="华文中宋"/>
          <w:color w:val="000000" w:themeColor="text1"/>
          <w:spacing w:val="42"/>
          <w:sz w:val="130"/>
          <w:szCs w:val="130"/>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rPr>
      </w:pPr>
    </w:p>
    <w:p>
      <w:pPr>
        <w:tabs>
          <w:tab w:val="left" w:pos="2552"/>
        </w:tabs>
        <w:spacing w:line="360" w:lineRule="auto"/>
        <w:ind w:left="1733" w:leftChars="269" w:hanging="1168" w:hangingChars="487"/>
        <w:rPr>
          <w:rFonts w:ascii="华文中宋" w:hAnsi="华文中宋" w:eastAsia="华文中宋"/>
          <w:color w:val="000000" w:themeColor="text1"/>
          <w:sz w:val="24"/>
        </w:rPr>
      </w:pPr>
    </w:p>
    <w:p>
      <w:pPr>
        <w:tabs>
          <w:tab w:val="left" w:pos="2552"/>
        </w:tabs>
        <w:spacing w:line="360" w:lineRule="auto"/>
        <w:ind w:left="1733" w:leftChars="269" w:hanging="1168" w:hangingChars="487"/>
        <w:rPr>
          <w:rFonts w:ascii="华文中宋" w:hAnsi="华文中宋" w:eastAsia="华文中宋"/>
          <w:color w:val="000000" w:themeColor="text1"/>
          <w:sz w:val="24"/>
        </w:rPr>
      </w:pPr>
    </w:p>
    <w:p>
      <w:pPr>
        <w:tabs>
          <w:tab w:val="left" w:pos="2552"/>
        </w:tabs>
        <w:spacing w:line="360" w:lineRule="auto"/>
        <w:ind w:left="1733" w:leftChars="269" w:hanging="1168" w:hangingChars="487"/>
        <w:rPr>
          <w:rFonts w:ascii="华文中宋" w:hAnsi="华文中宋" w:eastAsia="华文中宋"/>
          <w:color w:val="000000" w:themeColor="text1"/>
          <w:sz w:val="24"/>
        </w:rPr>
      </w:pPr>
    </w:p>
    <w:p>
      <w:pPr>
        <w:tabs>
          <w:tab w:val="left" w:pos="2552"/>
        </w:tabs>
        <w:spacing w:line="360" w:lineRule="auto"/>
        <w:ind w:left="1733" w:leftChars="269" w:hanging="1168" w:hangingChars="487"/>
        <w:rPr>
          <w:rFonts w:ascii="华文中宋" w:hAnsi="华文中宋" w:eastAsia="华文中宋"/>
          <w:color w:val="000000" w:themeColor="text1"/>
          <w:sz w:val="24"/>
        </w:rPr>
      </w:pPr>
    </w:p>
    <w:p>
      <w:pPr>
        <w:tabs>
          <w:tab w:val="left" w:pos="2552"/>
        </w:tabs>
        <w:spacing w:line="360" w:lineRule="auto"/>
        <w:ind w:left="2123" w:leftChars="269" w:hanging="1558" w:hangingChars="487"/>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 xml:space="preserve">项目名称：成都市龙泉驿区城市管理局生活垃圾分类投放亭采购项目 </w:t>
      </w:r>
    </w:p>
    <w:p>
      <w:pPr>
        <w:spacing w:line="360" w:lineRule="auto"/>
        <w:ind w:firstLine="566" w:firstLineChars="177"/>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项目编号：以四川采购网发布的编号为准</w:t>
      </w:r>
    </w:p>
    <w:p>
      <w:pPr>
        <w:spacing w:line="360" w:lineRule="auto"/>
        <w:rPr>
          <w:rFonts w:ascii="华文中宋" w:hAnsi="华文中宋" w:eastAsia="华文中宋"/>
          <w:color w:val="000000" w:themeColor="text1"/>
          <w:kern w:val="24"/>
          <w:sz w:val="32"/>
          <w:szCs w:val="32"/>
        </w:rPr>
      </w:pPr>
    </w:p>
    <w:p>
      <w:pPr>
        <w:pStyle w:val="2"/>
        <w:rPr>
          <w:rFonts w:ascii="华文中宋" w:hAnsi="华文中宋" w:eastAsia="华文中宋"/>
          <w:color w:val="000000" w:themeColor="text1"/>
          <w:kern w:val="24"/>
          <w:sz w:val="32"/>
          <w:szCs w:val="32"/>
        </w:rPr>
      </w:pPr>
    </w:p>
    <w:p>
      <w:pPr>
        <w:pStyle w:val="2"/>
        <w:rPr>
          <w:rFonts w:ascii="华文中宋" w:hAnsi="华文中宋" w:eastAsia="华文中宋"/>
          <w:color w:val="000000" w:themeColor="text1"/>
          <w:kern w:val="24"/>
          <w:sz w:val="32"/>
          <w:szCs w:val="32"/>
        </w:rPr>
      </w:pPr>
    </w:p>
    <w:p>
      <w:pPr>
        <w:pStyle w:val="2"/>
        <w:rPr>
          <w:rFonts w:ascii="华文中宋" w:hAnsi="华文中宋" w:eastAsia="华文中宋"/>
          <w:color w:val="000000" w:themeColor="text1"/>
          <w:kern w:val="24"/>
          <w:sz w:val="32"/>
          <w:szCs w:val="32"/>
        </w:rPr>
      </w:pPr>
    </w:p>
    <w:p>
      <w:pPr>
        <w:pStyle w:val="2"/>
        <w:rPr>
          <w:rFonts w:ascii="华文中宋" w:hAnsi="华文中宋" w:eastAsia="华文中宋"/>
          <w:color w:val="000000" w:themeColor="text1"/>
          <w:kern w:val="24"/>
          <w:sz w:val="32"/>
          <w:szCs w:val="32"/>
        </w:rPr>
      </w:pPr>
    </w:p>
    <w:p>
      <w:pPr>
        <w:spacing w:line="360" w:lineRule="auto"/>
        <w:jc w:val="center"/>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成都市龙泉驿区城市管理局、</w:t>
      </w:r>
    </w:p>
    <w:p>
      <w:pPr>
        <w:spacing w:line="360" w:lineRule="auto"/>
        <w:jc w:val="center"/>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成都云辉工程项目管理有限公司共同编制</w:t>
      </w:r>
    </w:p>
    <w:p>
      <w:pPr>
        <w:spacing w:line="360" w:lineRule="auto"/>
        <w:jc w:val="center"/>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二〇二一年十月</w:t>
      </w:r>
    </w:p>
    <w:p>
      <w:pPr>
        <w:spacing w:line="360" w:lineRule="auto"/>
        <w:jc w:val="center"/>
        <w:rPr>
          <w:rFonts w:ascii="宋体" w:hAnsi="宋体"/>
          <w:b/>
          <w:color w:val="000000" w:themeColor="text1"/>
          <w:sz w:val="28"/>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0" w:name="_Toc101234248"/>
      <w:bookmarkStart w:id="1" w:name="_Toc101328520"/>
      <w:bookmarkStart w:id="2" w:name="_Toc148505181"/>
      <w:bookmarkStart w:id="3" w:name="_Toc101247312"/>
    </w:p>
    <w:p>
      <w:pPr>
        <w:spacing w:line="360" w:lineRule="auto"/>
        <w:jc w:val="center"/>
        <w:rPr>
          <w:rFonts w:ascii="宋体" w:hAnsi="宋体"/>
          <w:b/>
          <w:color w:val="000000" w:themeColor="text1"/>
          <w:sz w:val="28"/>
          <w:szCs w:val="28"/>
        </w:rPr>
      </w:pPr>
      <w:r>
        <w:rPr>
          <w:rFonts w:hint="eastAsia" w:ascii="宋体" w:hAnsi="宋体"/>
          <w:b/>
          <w:color w:val="000000" w:themeColor="text1"/>
          <w:sz w:val="28"/>
          <w:szCs w:val="28"/>
        </w:rPr>
        <w:t>目 录</w:t>
      </w:r>
    </w:p>
    <w:p>
      <w:pPr>
        <w:rPr>
          <w:color w:val="000000" w:themeColor="text1"/>
        </w:rPr>
      </w:pPr>
    </w:p>
    <w:p>
      <w:pPr>
        <w:pStyle w:val="31"/>
        <w:tabs>
          <w:tab w:val="right" w:leader="dot" w:pos="8959"/>
          <w:tab w:val="clear" w:pos="709"/>
          <w:tab w:val="clear" w:pos="8364"/>
        </w:tabs>
        <w:rPr>
          <w:sz w:val="28"/>
          <w:szCs w:val="28"/>
        </w:rPr>
      </w:pPr>
      <w:r>
        <w:rPr>
          <w:rFonts w:hint="eastAsia"/>
          <w:color w:val="000000" w:themeColor="text1"/>
          <w:sz w:val="28"/>
          <w:szCs w:val="28"/>
        </w:rPr>
        <w:fldChar w:fldCharType="begin"/>
      </w:r>
      <w:r>
        <w:rPr>
          <w:rFonts w:hint="eastAsia"/>
          <w:color w:val="000000" w:themeColor="text1"/>
          <w:sz w:val="28"/>
          <w:szCs w:val="28"/>
        </w:rPr>
        <w:instrText xml:space="preserve">TOC \o "1-2" \h \u </w:instrText>
      </w:r>
      <w:r>
        <w:rPr>
          <w:rFonts w:hint="eastAsia"/>
          <w:color w:val="000000" w:themeColor="text1"/>
          <w:sz w:val="28"/>
          <w:szCs w:val="28"/>
        </w:rPr>
        <w:fldChar w:fldCharType="separate"/>
      </w:r>
      <w:r>
        <w:fldChar w:fldCharType="begin"/>
      </w:r>
      <w:r>
        <w:instrText xml:space="preserve"> HYPERLINK \l "_Toc30353" </w:instrText>
      </w:r>
      <w:r>
        <w:fldChar w:fldCharType="separate"/>
      </w:r>
      <w:r>
        <w:rPr>
          <w:rFonts w:ascii="Times New Roman" w:hAnsi="Times New Roman" w:eastAsia="宋体"/>
          <w:sz w:val="28"/>
          <w:szCs w:val="28"/>
        </w:rPr>
        <w:t xml:space="preserve">第1章 </w:t>
      </w:r>
      <w:r>
        <w:rPr>
          <w:rFonts w:hint="eastAsia"/>
          <w:sz w:val="28"/>
          <w:szCs w:val="28"/>
        </w:rPr>
        <w:t>投标邀请</w:t>
      </w:r>
      <w:r>
        <w:rPr>
          <w:sz w:val="28"/>
          <w:szCs w:val="28"/>
        </w:rPr>
        <w:tab/>
      </w:r>
      <w:r>
        <w:rPr>
          <w:sz w:val="28"/>
          <w:szCs w:val="28"/>
        </w:rPr>
        <w:fldChar w:fldCharType="begin"/>
      </w:r>
      <w:r>
        <w:rPr>
          <w:sz w:val="28"/>
          <w:szCs w:val="28"/>
        </w:rPr>
        <w:instrText xml:space="preserve"> PAGEREF _Toc30353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"_Toc29693" </w:instrText>
      </w:r>
      <w:r>
        <w:fldChar w:fldCharType="separate"/>
      </w:r>
      <w:r>
        <w:rPr>
          <w:rFonts w:ascii="Times New Roman" w:hAnsi="Times New Roman" w:eastAsia="宋体"/>
          <w:sz w:val="28"/>
          <w:szCs w:val="28"/>
        </w:rPr>
        <w:t xml:space="preserve">第2章 </w:t>
      </w:r>
      <w:r>
        <w:rPr>
          <w:rFonts w:hint="eastAsia"/>
          <w:sz w:val="28"/>
          <w:szCs w:val="28"/>
        </w:rPr>
        <w:t>投标人须知</w:t>
      </w:r>
      <w:r>
        <w:rPr>
          <w:sz w:val="28"/>
          <w:szCs w:val="28"/>
        </w:rPr>
        <w:tab/>
      </w:r>
      <w:r>
        <w:rPr>
          <w:sz w:val="28"/>
          <w:szCs w:val="28"/>
        </w:rPr>
        <w:fldChar w:fldCharType="begin"/>
      </w:r>
      <w:r>
        <w:rPr>
          <w:sz w:val="28"/>
          <w:szCs w:val="28"/>
        </w:rPr>
        <w:instrText xml:space="preserve"> PAGEREF _Toc29693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"_Toc18353" </w:instrText>
      </w:r>
      <w:r>
        <w:fldChar w:fldCharType="separate"/>
      </w:r>
      <w:r>
        <w:rPr>
          <w:rFonts w:ascii="Times New Roman" w:hAnsi="Times New Roman" w:eastAsia="宋体"/>
          <w:sz w:val="28"/>
          <w:szCs w:val="28"/>
        </w:rPr>
        <w:t xml:space="preserve">第3章 </w:t>
      </w:r>
      <w:r>
        <w:rPr>
          <w:rFonts w:hint="eastAsia"/>
          <w:sz w:val="28"/>
          <w:szCs w:val="28"/>
        </w:rPr>
        <w:t>投标文件格式</w:t>
      </w:r>
      <w:r>
        <w:rPr>
          <w:sz w:val="28"/>
          <w:szCs w:val="28"/>
        </w:rPr>
        <w:tab/>
      </w:r>
      <w:r>
        <w:rPr>
          <w:sz w:val="28"/>
          <w:szCs w:val="28"/>
        </w:rPr>
        <w:fldChar w:fldCharType="begin"/>
      </w:r>
      <w:r>
        <w:rPr>
          <w:sz w:val="28"/>
          <w:szCs w:val="28"/>
        </w:rPr>
        <w:instrText xml:space="preserve"> PAGEREF _Toc18353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"_Toc15512" </w:instrText>
      </w:r>
      <w:r>
        <w:fldChar w:fldCharType="separate"/>
      </w:r>
      <w:r>
        <w:rPr>
          <w:rFonts w:ascii="Times New Roman" w:hAnsi="Times New Roman" w:eastAsia="宋体"/>
          <w:sz w:val="28"/>
          <w:szCs w:val="28"/>
        </w:rPr>
        <w:t xml:space="preserve">第4章 </w:t>
      </w:r>
      <w:r>
        <w:rPr>
          <w:rFonts w:hint="eastAsia" w:ascii="宋体" w:hAnsi="宋体" w:cs="仿宋"/>
          <w:sz w:val="28"/>
          <w:szCs w:val="28"/>
        </w:rPr>
        <w:t>投标人和投标产品的资格、资质性及其他类似效力要求</w:t>
      </w:r>
      <w:r>
        <w:rPr>
          <w:sz w:val="28"/>
          <w:szCs w:val="28"/>
        </w:rPr>
        <w:tab/>
      </w:r>
      <w:r>
        <w:rPr>
          <w:sz w:val="28"/>
          <w:szCs w:val="28"/>
        </w:rPr>
        <w:fldChar w:fldCharType="begin"/>
      </w:r>
      <w:r>
        <w:rPr>
          <w:sz w:val="28"/>
          <w:szCs w:val="28"/>
        </w:rPr>
        <w:instrText xml:space="preserve"> PAGEREF _Toc15512 \h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"_Toc15122" </w:instrText>
      </w:r>
      <w:r>
        <w:fldChar w:fldCharType="separate"/>
      </w:r>
      <w:r>
        <w:rPr>
          <w:rFonts w:ascii="Times New Roman" w:hAnsi="Times New Roman" w:eastAsia="宋体"/>
          <w:sz w:val="28"/>
          <w:szCs w:val="28"/>
        </w:rPr>
        <w:t xml:space="preserve">第5章 </w:t>
      </w:r>
      <w:r>
        <w:rPr>
          <w:rFonts w:hint="eastAsia" w:ascii="宋体" w:hAnsi="宋体" w:cs="仿宋"/>
          <w:sz w:val="28"/>
          <w:szCs w:val="28"/>
        </w:rPr>
        <w:t>投标人应当提供的资格、资质性及其他类似效力要求的相关证明材料</w:t>
      </w:r>
      <w:r>
        <w:rPr>
          <w:sz w:val="28"/>
          <w:szCs w:val="28"/>
        </w:rPr>
        <w:tab/>
      </w:r>
      <w:r>
        <w:rPr>
          <w:sz w:val="28"/>
          <w:szCs w:val="28"/>
        </w:rPr>
        <w:fldChar w:fldCharType="begin"/>
      </w:r>
      <w:r>
        <w:rPr>
          <w:sz w:val="28"/>
          <w:szCs w:val="28"/>
        </w:rPr>
        <w:instrText xml:space="preserve"> PAGEREF _Toc15122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"_Toc11876" </w:instrText>
      </w:r>
      <w:r>
        <w:fldChar w:fldCharType="separate"/>
      </w:r>
      <w:r>
        <w:rPr>
          <w:rFonts w:ascii="Times New Roman" w:hAnsi="Times New Roman" w:eastAsia="宋体"/>
          <w:sz w:val="28"/>
          <w:szCs w:val="28"/>
        </w:rPr>
        <w:t xml:space="preserve">第6章 </w:t>
      </w:r>
      <w:r>
        <w:rPr>
          <w:rFonts w:hint="eastAsia"/>
          <w:sz w:val="28"/>
          <w:szCs w:val="28"/>
        </w:rPr>
        <w:t>招标项目技术、商务及其他要求</w:t>
      </w:r>
      <w:r>
        <w:rPr>
          <w:sz w:val="28"/>
          <w:szCs w:val="28"/>
        </w:rPr>
        <w:tab/>
      </w:r>
      <w:r>
        <w:rPr>
          <w:sz w:val="28"/>
          <w:szCs w:val="28"/>
        </w:rPr>
        <w:fldChar w:fldCharType="begin"/>
      </w:r>
      <w:r>
        <w:rPr>
          <w:sz w:val="28"/>
          <w:szCs w:val="28"/>
        </w:rPr>
        <w:instrText xml:space="preserve"> PAGEREF _Toc11876 \h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"_Toc30609" </w:instrText>
      </w:r>
      <w:r>
        <w:fldChar w:fldCharType="separate"/>
      </w:r>
      <w:r>
        <w:rPr>
          <w:rFonts w:ascii="Times New Roman" w:hAnsi="Times New Roman" w:eastAsia="宋体"/>
          <w:sz w:val="28"/>
          <w:szCs w:val="28"/>
        </w:rPr>
        <w:t xml:space="preserve">第7章 </w:t>
      </w:r>
      <w:r>
        <w:rPr>
          <w:rFonts w:hint="eastAsia"/>
          <w:sz w:val="28"/>
          <w:szCs w:val="28"/>
        </w:rPr>
        <w:t>资格性审查</w:t>
      </w:r>
      <w:r>
        <w:rPr>
          <w:sz w:val="28"/>
          <w:szCs w:val="28"/>
        </w:rPr>
        <w:tab/>
      </w:r>
      <w:r>
        <w:rPr>
          <w:sz w:val="28"/>
          <w:szCs w:val="28"/>
        </w:rPr>
        <w:fldChar w:fldCharType="begin"/>
      </w:r>
      <w:r>
        <w:rPr>
          <w:sz w:val="28"/>
          <w:szCs w:val="28"/>
        </w:rPr>
        <w:instrText xml:space="preserve"> PAGEREF _Toc30609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"_Toc18791" </w:instrText>
      </w:r>
      <w:r>
        <w:fldChar w:fldCharType="separate"/>
      </w:r>
      <w:r>
        <w:rPr>
          <w:rFonts w:ascii="Times New Roman" w:hAnsi="Times New Roman" w:eastAsia="宋体"/>
          <w:sz w:val="28"/>
          <w:szCs w:val="28"/>
        </w:rPr>
        <w:t xml:space="preserve">第8章 </w:t>
      </w:r>
      <w:r>
        <w:rPr>
          <w:rFonts w:hint="eastAsia"/>
          <w:sz w:val="28"/>
          <w:szCs w:val="28"/>
        </w:rPr>
        <w:t>评标办法</w:t>
      </w:r>
      <w:r>
        <w:rPr>
          <w:sz w:val="28"/>
          <w:szCs w:val="28"/>
        </w:rPr>
        <w:tab/>
      </w:r>
      <w:r>
        <w:rPr>
          <w:sz w:val="28"/>
          <w:szCs w:val="28"/>
        </w:rPr>
        <w:fldChar w:fldCharType="begin"/>
      </w:r>
      <w:r>
        <w:rPr>
          <w:sz w:val="28"/>
          <w:szCs w:val="28"/>
        </w:rPr>
        <w:instrText xml:space="preserve"> PAGEREF _Toc18791 \h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31"/>
        <w:tabs>
          <w:tab w:val="right" w:leader="dot" w:pos="8959"/>
          <w:tab w:val="clear" w:pos="709"/>
          <w:tab w:val="clear" w:pos="8364"/>
        </w:tabs>
        <w:rPr>
          <w:sz w:val="28"/>
          <w:szCs w:val="28"/>
        </w:rPr>
      </w:pPr>
      <w:r>
        <w:fldChar w:fldCharType="begin"/>
      </w:r>
      <w:r>
        <w:instrText xml:space="preserve"> HYPERLINK \l "_Toc18330" </w:instrText>
      </w:r>
      <w:r>
        <w:fldChar w:fldCharType="separate"/>
      </w:r>
      <w:r>
        <w:rPr>
          <w:rFonts w:ascii="Times New Roman" w:hAnsi="Times New Roman" w:eastAsia="宋体"/>
          <w:sz w:val="28"/>
          <w:szCs w:val="28"/>
        </w:rPr>
        <w:t xml:space="preserve">第9章 </w:t>
      </w:r>
      <w:r>
        <w:rPr>
          <w:rFonts w:hint="eastAsia"/>
          <w:sz w:val="28"/>
          <w:szCs w:val="28"/>
        </w:rPr>
        <w:t>拟签订合同文本</w:t>
      </w:r>
      <w:r>
        <w:rPr>
          <w:sz w:val="28"/>
          <w:szCs w:val="28"/>
        </w:rPr>
        <w:tab/>
      </w:r>
      <w:r>
        <w:rPr>
          <w:sz w:val="28"/>
          <w:szCs w:val="28"/>
        </w:rPr>
        <w:fldChar w:fldCharType="begin"/>
      </w:r>
      <w:r>
        <w:rPr>
          <w:sz w:val="28"/>
          <w:szCs w:val="28"/>
        </w:rPr>
        <w:instrText xml:space="preserve"> PAGEREF _Toc18330 \h </w:instrText>
      </w:r>
      <w:r>
        <w:rPr>
          <w:sz w:val="28"/>
          <w:szCs w:val="28"/>
        </w:rPr>
        <w:fldChar w:fldCharType="separate"/>
      </w:r>
      <w:r>
        <w:rPr>
          <w:sz w:val="28"/>
          <w:szCs w:val="28"/>
        </w:rPr>
        <w:t>80</w:t>
      </w:r>
      <w:r>
        <w:rPr>
          <w:sz w:val="28"/>
          <w:szCs w:val="28"/>
        </w:rPr>
        <w:fldChar w:fldCharType="end"/>
      </w:r>
      <w:r>
        <w:rPr>
          <w:sz w:val="28"/>
          <w:szCs w:val="28"/>
        </w:rPr>
        <w:fldChar w:fldCharType="end"/>
      </w:r>
    </w:p>
    <w:p>
      <w:pPr>
        <w:pStyle w:val="24"/>
        <w:tabs>
          <w:tab w:val="right" w:leader="dot" w:pos="8647"/>
          <w:tab w:val="clear" w:pos="8364"/>
        </w:tabs>
        <w:ind w:left="0"/>
        <w:rPr>
          <w:color w:val="000000" w:themeColor="text1"/>
        </w:rPr>
      </w:pPr>
      <w:r>
        <w:rPr>
          <w:rFonts w:hint="eastAsia"/>
          <w:color w:val="000000" w:themeColor="text1"/>
          <w:sz w:val="28"/>
          <w:szCs w:val="28"/>
        </w:rPr>
        <w:fldChar w:fldCharType="end"/>
      </w:r>
    </w:p>
    <w:p>
      <w:pPr>
        <w:rPr>
          <w:color w:val="000000" w:themeColor="text1"/>
        </w:rPr>
      </w:pPr>
    </w:p>
    <w:p>
      <w:pPr>
        <w:pStyle w:val="2"/>
        <w:rPr>
          <w:color w:val="000000" w:themeColor="text1"/>
        </w:rPr>
      </w:pPr>
    </w:p>
    <w:p>
      <w:pPr>
        <w:pStyle w:val="2"/>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3"/>
        <w:ind w:firstLine="180"/>
        <w:rPr>
          <w:color w:val="000000" w:themeColor="text1"/>
        </w:rPr>
      </w:pPr>
    </w:p>
    <w:p>
      <w:pPr>
        <w:pStyle w:val="4"/>
        <w:numPr>
          <w:ilvl w:val="0"/>
          <w:numId w:val="4"/>
        </w:numPr>
        <w:spacing w:before="0" w:after="0" w:line="560" w:lineRule="exact"/>
        <w:ind w:left="0" w:firstLine="0"/>
        <w:rPr>
          <w:color w:val="000000" w:themeColor="text1"/>
        </w:rPr>
      </w:pPr>
      <w:bookmarkStart w:id="4" w:name="_Toc22017"/>
      <w:bookmarkStart w:id="5" w:name="_Toc204575871"/>
      <w:bookmarkStart w:id="6" w:name="_Toc181591102"/>
      <w:bookmarkStart w:id="7" w:name="_Toc26321"/>
      <w:bookmarkStart w:id="8" w:name="_Toc25954"/>
      <w:bookmarkStart w:id="9" w:name="_Toc20241"/>
      <w:bookmarkStart w:id="10" w:name="_Toc30353"/>
      <w:bookmarkStart w:id="11" w:name="_Toc181610856"/>
      <w:r>
        <w:rPr>
          <w:rFonts w:hint="eastAsia"/>
          <w:color w:val="000000" w:themeColor="text1"/>
        </w:rPr>
        <w:t>投标邀请</w:t>
      </w:r>
      <w:bookmarkEnd w:id="4"/>
      <w:bookmarkEnd w:id="5"/>
      <w:bookmarkEnd w:id="6"/>
      <w:bookmarkEnd w:id="7"/>
      <w:bookmarkEnd w:id="8"/>
      <w:bookmarkEnd w:id="9"/>
      <w:bookmarkEnd w:id="10"/>
      <w:bookmarkEnd w:id="11"/>
    </w:p>
    <w:p>
      <w:pPr>
        <w:tabs>
          <w:tab w:val="left" w:pos="2552"/>
        </w:tabs>
        <w:spacing w:line="560" w:lineRule="exact"/>
        <w:ind w:left="1" w:firstLine="565" w:firstLineChars="201"/>
        <w:rPr>
          <w:rFonts w:ascii="宋体" w:hAnsi="宋体"/>
          <w:color w:val="000000" w:themeColor="text1"/>
          <w:sz w:val="28"/>
          <w:szCs w:val="28"/>
        </w:rPr>
      </w:pPr>
      <w:r>
        <w:rPr>
          <w:rFonts w:hint="eastAsia" w:ascii="宋体" w:hAnsi="宋体"/>
          <w:b/>
          <w:bCs/>
          <w:color w:val="000000" w:themeColor="text1"/>
          <w:sz w:val="28"/>
          <w:szCs w:val="28"/>
        </w:rPr>
        <w:t>成都云辉工程项目管理有限公司</w:t>
      </w:r>
      <w:r>
        <w:rPr>
          <w:rFonts w:hint="eastAsia" w:asciiTheme="minorEastAsia" w:hAnsiTheme="minorEastAsia" w:eastAsiaTheme="minorEastAsia"/>
          <w:color w:val="000000" w:themeColor="text1"/>
          <w:sz w:val="28"/>
          <w:szCs w:val="28"/>
        </w:rPr>
        <w:t>受</w:t>
      </w:r>
      <w:r>
        <w:rPr>
          <w:rFonts w:hint="eastAsia" w:asciiTheme="minorEastAsia" w:hAnsiTheme="minorEastAsia" w:eastAsiaTheme="minorEastAsia"/>
          <w:b/>
          <w:bCs/>
          <w:color w:val="000000" w:themeColor="text1"/>
          <w:sz w:val="28"/>
          <w:szCs w:val="28"/>
        </w:rPr>
        <w:t>成都市龙泉驿区城市管理局</w:t>
      </w:r>
      <w:r>
        <w:rPr>
          <w:rFonts w:hint="eastAsia" w:asciiTheme="minorEastAsia" w:hAnsiTheme="minorEastAsia" w:eastAsiaTheme="minorEastAsia"/>
          <w:color w:val="000000" w:themeColor="text1"/>
          <w:sz w:val="28"/>
          <w:szCs w:val="28"/>
        </w:rPr>
        <w:t>委托</w:t>
      </w:r>
      <w:r>
        <w:rPr>
          <w:rFonts w:hint="eastAsia" w:ascii="宋体" w:hAnsi="宋体"/>
          <w:color w:val="000000" w:themeColor="text1"/>
          <w:sz w:val="28"/>
          <w:szCs w:val="28"/>
        </w:rPr>
        <w:t>拟对</w:t>
      </w:r>
      <w:r>
        <w:rPr>
          <w:rFonts w:hint="eastAsia" w:ascii="宋体" w:hAnsi="宋体"/>
          <w:b/>
          <w:bCs/>
          <w:color w:val="000000" w:themeColor="text1"/>
          <w:sz w:val="28"/>
          <w:szCs w:val="28"/>
        </w:rPr>
        <w:t>成都市龙泉驿区城市管理局生活垃圾分类投放亭采购项目</w:t>
      </w:r>
      <w:r>
        <w:rPr>
          <w:rFonts w:hint="eastAsia" w:ascii="宋体" w:hAnsi="宋体"/>
          <w:color w:val="000000" w:themeColor="text1"/>
          <w:sz w:val="28"/>
          <w:szCs w:val="28"/>
        </w:rPr>
        <w:t>进行国内公开招标，兹邀请符合本次招标要求的供应商参加投标。</w:t>
      </w:r>
    </w:p>
    <w:p>
      <w:pPr>
        <w:numPr>
          <w:ilvl w:val="0"/>
          <w:numId w:val="5"/>
        </w:numPr>
        <w:spacing w:after="200" w:line="560" w:lineRule="exact"/>
        <w:ind w:left="0" w:firstLine="567"/>
        <w:rPr>
          <w:color w:val="000000" w:themeColor="text1"/>
        </w:rPr>
      </w:pPr>
      <w:r>
        <w:rPr>
          <w:rFonts w:hint="eastAsia" w:ascii="宋体" w:hAnsi="宋体"/>
          <w:b/>
          <w:color w:val="000000" w:themeColor="text1"/>
          <w:sz w:val="28"/>
          <w:szCs w:val="28"/>
        </w:rPr>
        <w:t>项目编号：（采购项目编号：以四川省政府采购网采购公告中的项目编号为准）</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项目名称：成都市龙泉驿区城市管理局生活垃圾分类投放亭采购项目</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资金来源、预算金额及最高限价：</w:t>
      </w:r>
      <w:r>
        <w:rPr>
          <w:rFonts w:hint="eastAsia" w:ascii="宋体" w:hAnsi="宋体"/>
          <w:color w:val="000000" w:themeColor="text1"/>
          <w:sz w:val="28"/>
          <w:szCs w:val="28"/>
        </w:rPr>
        <w:t>财政性资金，政府采购实施计划备案表号：(2021)1260号。预算品目：A9901垃圾容器；预算金额：800万元；最高限价：800万元；</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招标项目简介</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本次采购内容为：</w:t>
      </w:r>
      <w:r>
        <w:rPr>
          <w:rFonts w:hint="eastAsia" w:ascii="宋体" w:hAnsi="宋体"/>
          <w:sz w:val="28"/>
          <w:szCs w:val="28"/>
        </w:rPr>
        <w:t>采购生活垃圾分类亭334个</w:t>
      </w:r>
      <w:r>
        <w:rPr>
          <w:rFonts w:hint="eastAsia" w:ascii="宋体" w:hAnsi="宋体"/>
          <w:color w:val="000000" w:themeColor="text1"/>
          <w:sz w:val="28"/>
          <w:szCs w:val="28"/>
        </w:rPr>
        <w:t>。</w:t>
      </w:r>
    </w:p>
    <w:p>
      <w:pPr>
        <w:pStyle w:val="2"/>
        <w:spacing w:line="360" w:lineRule="auto"/>
        <w:ind w:firstLine="560" w:firstLineChars="200"/>
        <w:rPr>
          <w:b/>
          <w:color w:val="000000" w:themeColor="text1"/>
        </w:rPr>
      </w:pPr>
      <w:r>
        <w:rPr>
          <w:rFonts w:hint="eastAsia" w:ascii="宋体" w:hAnsi="宋体"/>
          <w:color w:val="000000" w:themeColor="text1"/>
          <w:sz w:val="28"/>
          <w:szCs w:val="28"/>
        </w:rPr>
        <w:t>详细的技术、商务及其他要求见招标文件第</w:t>
      </w:r>
      <w:r>
        <w:rPr>
          <w:rFonts w:hint="eastAsia" w:ascii="宋体" w:hAnsi="宋体"/>
          <w:color w:val="000000" w:themeColor="text1"/>
          <w:sz w:val="28"/>
          <w:szCs w:val="28"/>
          <w:lang w:val="en-US" w:eastAsia="zh-CN"/>
        </w:rPr>
        <w:t>6</w:t>
      </w:r>
      <w:r>
        <w:rPr>
          <w:rFonts w:hint="eastAsia" w:ascii="宋体" w:hAnsi="宋体"/>
          <w:color w:val="000000" w:themeColor="text1"/>
          <w:sz w:val="28"/>
          <w:szCs w:val="28"/>
        </w:rPr>
        <w:t>章。</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供应商参加本次政府采购活动应具备的条件</w:t>
      </w:r>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1.具有独立承担民事责任的能力；</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2.具有良好的商业信誉和健全的财务会计制度；</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3.具有履行合同所必须的设备和专业技术能力；</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4.具有依法缴纳税收和社会保障资金的良好记录；</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5.参加政府采购活动前三年内，在经营活动中没有重大违法记录；</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6.符合法律、行政法规规定的其他条件；</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（1）投标人及其现任法定代表人、主要负责人在参加本项目政府采购活动前三年无行贿犯罪记录；</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（2）投标人须提供“截至</w:t>
      </w:r>
      <w:r>
        <w:rPr>
          <w:rFonts w:hint="eastAsia" w:ascii="宋体" w:hAnsi="宋体"/>
          <w:color w:val="000000" w:themeColor="text1"/>
          <w:sz w:val="28"/>
          <w:szCs w:val="28"/>
          <w:lang w:eastAsia="zh-CN"/>
        </w:rPr>
        <w:t>投标</w:t>
      </w:r>
      <w:r>
        <w:rPr>
          <w:rFonts w:hint="eastAsia" w:ascii="宋体" w:hAnsi="宋体"/>
          <w:color w:val="000000" w:themeColor="text1"/>
          <w:sz w:val="28"/>
          <w:szCs w:val="28"/>
        </w:rPr>
        <w:t>截止日未被列入失信被执行人、重大税收违法案件当事人名单、政府采购严重违法失信行为记录名单的承诺函”；</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注：采购人或采购代理机构将于本项目</w:t>
      </w:r>
      <w:r>
        <w:rPr>
          <w:rFonts w:hint="eastAsia" w:ascii="宋体" w:hAnsi="宋体"/>
          <w:color w:val="000000" w:themeColor="text1"/>
          <w:sz w:val="28"/>
          <w:szCs w:val="28"/>
          <w:lang w:eastAsia="zh-CN"/>
        </w:rPr>
        <w:t>投标</w:t>
      </w:r>
      <w:r>
        <w:rPr>
          <w:rFonts w:hint="eastAsia" w:ascii="宋体" w:hAnsi="宋体"/>
          <w:color w:val="000000" w:themeColor="text1"/>
          <w:sz w:val="28"/>
          <w:szCs w:val="28"/>
        </w:rPr>
        <w:t>截止日在‘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（3）参加本次招标采购活动，不存在与单位负责人为同一人或者存在直接控股、管理关系的其他供应商参与同一合同项下的政府采购活动的行为；</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（4）参加本次招标采购活动，不存在和其他供应商在同一合同项下的采购项目中，同时委托同一个自然人、同一家庭的人员、同一单位的人员作为代理人的行为；</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（5）参加本次采购活动，未对本次采购项目提供过整体设计、规范编制或者项目管理、监理、检测等服务。</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（6）投标人对是否存在受到财政部门或有关部门认定的失信行为（有效期内）以及认定次数进行承诺。</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7.采购人根据采购项目提出的特殊条件：/</w:t>
      </w:r>
    </w:p>
    <w:p>
      <w:pPr>
        <w:pStyle w:val="152"/>
        <w:tabs>
          <w:tab w:val="left" w:pos="0"/>
          <w:tab w:val="left" w:pos="993"/>
          <w:tab w:val="left" w:pos="1418"/>
          <w:tab w:val="left" w:pos="1560"/>
        </w:tabs>
        <w:spacing w:line="560" w:lineRule="exact"/>
        <w:ind w:left="7" w:firstLine="560"/>
        <w:rPr>
          <w:rFonts w:ascii="宋体" w:hAnsi="宋体"/>
          <w:color w:val="000000" w:themeColor="text1"/>
          <w:sz w:val="28"/>
          <w:szCs w:val="28"/>
        </w:rPr>
      </w:pPr>
      <w:r>
        <w:rPr>
          <w:rFonts w:hint="eastAsia" w:ascii="宋体" w:hAnsi="宋体"/>
          <w:color w:val="000000" w:themeColor="text1"/>
          <w:sz w:val="28"/>
          <w:szCs w:val="28"/>
        </w:rPr>
        <w:t>8.本项目专门面向中小企业采购。</w:t>
      </w:r>
    </w:p>
    <w:p>
      <w:pPr>
        <w:numPr>
          <w:ilvl w:val="0"/>
          <w:numId w:val="5"/>
        </w:numPr>
        <w:spacing w:after="200" w:line="560" w:lineRule="exact"/>
        <w:ind w:left="0" w:firstLine="567"/>
        <w:rPr>
          <w:rFonts w:ascii="宋体" w:hAnsi="宋体"/>
          <w:b/>
          <w:color w:val="auto"/>
          <w:sz w:val="28"/>
          <w:szCs w:val="28"/>
        </w:rPr>
      </w:pPr>
      <w:r>
        <w:rPr>
          <w:rFonts w:hint="eastAsia" w:ascii="宋体" w:hAnsi="宋体"/>
          <w:b/>
          <w:color w:val="auto"/>
          <w:sz w:val="28"/>
          <w:szCs w:val="28"/>
        </w:rPr>
        <w:t>招标文件获取时间</w:t>
      </w:r>
    </w:p>
    <w:p>
      <w:pPr>
        <w:tabs>
          <w:tab w:val="left" w:pos="0"/>
        </w:tabs>
        <w:spacing w:after="200"/>
        <w:rPr>
          <w:rFonts w:ascii="宋体" w:hAnsi="宋体"/>
          <w:b/>
          <w:color w:val="auto"/>
          <w:sz w:val="28"/>
          <w:szCs w:val="28"/>
        </w:rPr>
      </w:pPr>
      <w:r>
        <w:rPr>
          <w:rFonts w:hint="eastAsia" w:ascii="宋体" w:hAnsi="宋体"/>
          <w:b/>
          <w:color w:val="auto"/>
          <w:sz w:val="28"/>
          <w:szCs w:val="28"/>
        </w:rPr>
        <w:tab/>
      </w:r>
      <w:r>
        <w:rPr>
          <w:rFonts w:hint="eastAsia" w:ascii="宋体" w:hAnsi="宋体"/>
          <w:b/>
          <w:color w:val="auto"/>
          <w:sz w:val="28"/>
          <w:szCs w:val="28"/>
        </w:rPr>
        <w:t>2021年10月</w:t>
      </w:r>
      <w:r>
        <w:rPr>
          <w:rFonts w:hint="eastAsia" w:ascii="宋体" w:hAnsi="宋体"/>
          <w:b/>
          <w:color w:val="auto"/>
          <w:sz w:val="28"/>
          <w:szCs w:val="28"/>
          <w:lang w:val="en-US" w:eastAsia="zh-CN"/>
        </w:rPr>
        <w:t>25</w:t>
      </w:r>
      <w:r>
        <w:rPr>
          <w:rFonts w:hint="eastAsia" w:ascii="宋体" w:hAnsi="宋体"/>
          <w:b/>
          <w:color w:val="auto"/>
          <w:sz w:val="28"/>
          <w:szCs w:val="28"/>
        </w:rPr>
        <w:t>日到2021年10月</w:t>
      </w:r>
      <w:r>
        <w:rPr>
          <w:rFonts w:hint="eastAsia" w:ascii="宋体" w:hAnsi="宋体"/>
          <w:b/>
          <w:color w:val="auto"/>
          <w:sz w:val="28"/>
          <w:szCs w:val="28"/>
          <w:lang w:val="en-US" w:eastAsia="zh-CN"/>
        </w:rPr>
        <w:t>29</w:t>
      </w:r>
      <w:r>
        <w:rPr>
          <w:rFonts w:hint="eastAsia" w:ascii="宋体" w:hAnsi="宋体"/>
          <w:b/>
          <w:color w:val="auto"/>
          <w:sz w:val="28"/>
          <w:szCs w:val="28"/>
        </w:rPr>
        <w:t>日,每天上午9:00至12:00,下午14:00至17:00(北京时间，法定节假日除外)</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招标文件获取方式</w:t>
      </w:r>
    </w:p>
    <w:p>
      <w:pPr>
        <w:spacing w:line="360" w:lineRule="auto"/>
        <w:ind w:firstLine="560" w:firstLineChars="200"/>
        <w:rPr>
          <w:rFonts w:ascii="宋体" w:hAnsi="宋体"/>
          <w:color w:val="000000" w:themeColor="text1"/>
          <w:sz w:val="28"/>
          <w:szCs w:val="28"/>
          <w:highlight w:val="yellow"/>
        </w:rPr>
      </w:pPr>
      <w:r>
        <w:rPr>
          <w:rFonts w:hint="eastAsia" w:ascii="宋体" w:hAnsi="宋体"/>
          <w:color w:val="000000" w:themeColor="text1"/>
          <w:sz w:val="28"/>
          <w:szCs w:val="28"/>
        </w:rPr>
        <w:t>政采云平台线上获取，投标人要参加投标，应在成都市公共资源交易服务中心“政府采购云平台”获取采购文件。登录成都市公共资源交易服务中心门户网站（https://www.cdggzy.com/）—用户中心—政府采购云平台—项目采购—获取采购文件—申请获取采购文件。 提示： （1）本项目采购文件免费获取。 （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 （3）首次登录成都市公共资源交易服务中心门户网站的新用户应先点击“注册新用户”，注册成功后再登录。 （4）本项目为电子招标投标项目，投标人参与本项目全过程中凡涉及系统操作请详见《成都市全流程电子化采购系统操作指南——供应商版》（操作指南请登录政府采购云平台后，点击“前台大厅—操作指南—供应商”处下载查看）。</w:t>
      </w:r>
    </w:p>
    <w:p>
      <w:pPr>
        <w:numPr>
          <w:ilvl w:val="0"/>
          <w:numId w:val="5"/>
        </w:numPr>
        <w:spacing w:after="200" w:line="560" w:lineRule="exact"/>
        <w:ind w:left="0" w:firstLine="567"/>
        <w:rPr>
          <w:rFonts w:ascii="宋体" w:hAnsi="宋体"/>
          <w:b/>
          <w:color w:val="000000" w:themeColor="text1"/>
          <w:sz w:val="28"/>
          <w:szCs w:val="28"/>
        </w:rPr>
      </w:pPr>
      <w:bookmarkStart w:id="12" w:name="_Toc184013605"/>
      <w:bookmarkStart w:id="13" w:name="_Toc184023104"/>
      <w:bookmarkStart w:id="14" w:name="_Toc174185149"/>
      <w:bookmarkStart w:id="15" w:name="_Toc186274101"/>
      <w:bookmarkStart w:id="16" w:name="_Toc180051012"/>
      <w:r>
        <w:rPr>
          <w:rFonts w:hint="eastAsia" w:ascii="宋体" w:hAnsi="宋体"/>
          <w:b/>
          <w:color w:val="000000" w:themeColor="text1"/>
          <w:sz w:val="28"/>
          <w:szCs w:val="28"/>
        </w:rPr>
        <w:t>招标文件获取地点</w:t>
      </w:r>
    </w:p>
    <w:p>
      <w:pPr>
        <w:spacing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登录成都市公共资源交易服务中心门户网站（https://www.cdggzy.com/）—用户中心—政府采购云平台—项目采购—获取采购文件—申请获取采购文件。</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投标文件递交截止时间及开标时间</w:t>
      </w:r>
      <w:bookmarkEnd w:id="12"/>
      <w:bookmarkEnd w:id="13"/>
      <w:bookmarkEnd w:id="14"/>
      <w:bookmarkEnd w:id="15"/>
      <w:bookmarkEnd w:id="16"/>
      <w:r>
        <w:rPr>
          <w:rFonts w:hint="eastAsia" w:ascii="宋体" w:hAnsi="宋体"/>
          <w:b/>
          <w:color w:val="000000" w:themeColor="text1"/>
          <w:sz w:val="28"/>
          <w:szCs w:val="28"/>
        </w:rPr>
        <w:t>(北京时间)、地点、方式</w:t>
      </w:r>
    </w:p>
    <w:p>
      <w:pPr>
        <w:spacing w:line="560" w:lineRule="exact"/>
        <w:ind w:firstLine="560" w:firstLineChars="200"/>
        <w:rPr>
          <w:rFonts w:ascii="宋体" w:hAnsi="宋体"/>
          <w:b/>
          <w:color w:val="000000" w:themeColor="text1"/>
          <w:sz w:val="28"/>
          <w:szCs w:val="28"/>
        </w:rPr>
      </w:pPr>
      <w:r>
        <w:rPr>
          <w:rFonts w:hint="eastAsia" w:ascii="宋体" w:hAnsi="宋体"/>
          <w:color w:val="000000" w:themeColor="text1"/>
          <w:sz w:val="28"/>
          <w:szCs w:val="28"/>
        </w:rPr>
        <w:t>（一）投标文件递交截止时间及开标时间：</w:t>
      </w:r>
      <w:r>
        <w:rPr>
          <w:rFonts w:hint="eastAsia" w:ascii="宋体" w:hAnsi="宋体"/>
          <w:b/>
          <w:color w:val="000000" w:themeColor="text1"/>
          <w:sz w:val="28"/>
          <w:szCs w:val="28"/>
        </w:rPr>
        <w:t>202</w:t>
      </w:r>
      <w:r>
        <w:rPr>
          <w:rFonts w:hint="eastAsia" w:ascii="宋体" w:hAnsi="宋体"/>
          <w:b/>
          <w:color w:val="000000" w:themeColor="text1"/>
          <w:sz w:val="28"/>
          <w:szCs w:val="28"/>
          <w:lang w:val="en-US" w:eastAsia="zh-CN"/>
        </w:rPr>
        <w:t>1</w:t>
      </w:r>
      <w:r>
        <w:rPr>
          <w:rFonts w:hint="eastAsia" w:ascii="宋体" w:hAnsi="宋体"/>
          <w:b/>
          <w:color w:val="000000" w:themeColor="text1"/>
          <w:sz w:val="28"/>
          <w:szCs w:val="28"/>
        </w:rPr>
        <w:t>年</w:t>
      </w:r>
      <w:r>
        <w:rPr>
          <w:rFonts w:hint="eastAsia" w:ascii="宋体" w:hAnsi="宋体"/>
          <w:b/>
          <w:color w:val="000000" w:themeColor="text1"/>
          <w:sz w:val="28"/>
          <w:szCs w:val="28"/>
          <w:lang w:val="en-US" w:eastAsia="zh-CN"/>
        </w:rPr>
        <w:t>11</w:t>
      </w:r>
      <w:r>
        <w:rPr>
          <w:rFonts w:hint="eastAsia" w:ascii="宋体" w:hAnsi="宋体"/>
          <w:b/>
          <w:color w:val="000000" w:themeColor="text1"/>
          <w:sz w:val="28"/>
          <w:szCs w:val="28"/>
        </w:rPr>
        <w:t>月</w:t>
      </w:r>
      <w:r>
        <w:rPr>
          <w:rFonts w:hint="eastAsia" w:ascii="宋体" w:hAnsi="宋体"/>
          <w:b/>
          <w:color w:val="000000" w:themeColor="text1"/>
          <w:sz w:val="28"/>
          <w:szCs w:val="28"/>
          <w:lang w:val="en-US" w:eastAsia="zh-CN"/>
        </w:rPr>
        <w:t>15</w:t>
      </w:r>
      <w:r>
        <w:rPr>
          <w:rFonts w:hint="eastAsia" w:ascii="宋体" w:hAnsi="宋体"/>
          <w:b/>
          <w:color w:val="000000" w:themeColor="text1"/>
          <w:sz w:val="28"/>
          <w:szCs w:val="28"/>
        </w:rPr>
        <w:t>日上午10:00。</w:t>
      </w:r>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（二）投标文件递交方式、地点：投标截止时间前，投标人应将加密的电子投标文件递交至“政府采购云平台”对应项目（包件）。</w:t>
      </w:r>
    </w:p>
    <w:p>
      <w:pPr>
        <w:pStyle w:val="2"/>
      </w:pP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开标地点</w:t>
      </w:r>
    </w:p>
    <w:p>
      <w:pPr>
        <w:spacing w:line="360" w:lineRule="auto"/>
        <w:ind w:firstLine="420" w:firstLineChars="150"/>
        <w:jc w:val="left"/>
        <w:rPr>
          <w:rFonts w:ascii="宋体" w:hAnsi="宋体"/>
          <w:color w:val="000000" w:themeColor="text1"/>
          <w:sz w:val="28"/>
          <w:szCs w:val="28"/>
        </w:rPr>
      </w:pPr>
      <w:r>
        <w:rPr>
          <w:rFonts w:hint="eastAsia" w:ascii="宋体" w:hAnsi="宋体"/>
          <w:color w:val="000000" w:themeColor="text1"/>
          <w:sz w:val="28"/>
          <w:szCs w:val="28"/>
        </w:rPr>
        <w:t>本项目为不见面开标项目。</w:t>
      </w:r>
    </w:p>
    <w:p>
      <w:pPr>
        <w:spacing w:line="360" w:lineRule="auto"/>
        <w:ind w:firstLine="420" w:firstLineChars="150"/>
        <w:jc w:val="left"/>
        <w:rPr>
          <w:rFonts w:ascii="宋体" w:hAnsi="宋体"/>
          <w:color w:val="000000" w:themeColor="text1"/>
          <w:sz w:val="28"/>
          <w:szCs w:val="28"/>
        </w:rPr>
      </w:pPr>
      <w:r>
        <w:rPr>
          <w:rFonts w:hint="eastAsia" w:ascii="宋体" w:hAnsi="宋体"/>
          <w:color w:val="000000" w:themeColor="text1"/>
          <w:sz w:val="28"/>
          <w:szCs w:val="28"/>
        </w:rPr>
        <w:t>开标地点为：“政府采购云平台”。登录成都市公共资源交易服务中心门户网站（https://www.cdggzy.com）—用户中心—政府采购云平台。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rPr>
      </w:pPr>
      <w:r>
        <w:rPr>
          <w:rFonts w:hint="eastAsia" w:ascii="宋体" w:hAnsi="宋体"/>
          <w:color w:val="000000" w:themeColor="text1"/>
          <w:sz w:val="28"/>
          <w:szCs w:val="28"/>
        </w:rPr>
        <w:t>本项目只接受投标人加密并递交至“政府采购云平台”的投标文件。</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政采中小企业政府采购信用担保融资</w:t>
      </w:r>
    </w:p>
    <w:p>
      <w:pPr>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本投标邀请在“四川政府采购网”和“成都云辉工程项目管理有限公司”网站上以公告形式发布</w:t>
      </w:r>
    </w:p>
    <w:p>
      <w:pPr>
        <w:numPr>
          <w:ilvl w:val="0"/>
          <w:numId w:val="5"/>
        </w:numPr>
        <w:spacing w:after="200" w:line="560" w:lineRule="exact"/>
        <w:ind w:left="0" w:firstLine="567"/>
        <w:rPr>
          <w:rFonts w:ascii="宋体" w:hAnsi="宋体"/>
          <w:b/>
          <w:color w:val="000000" w:themeColor="text1"/>
          <w:sz w:val="28"/>
          <w:szCs w:val="28"/>
        </w:rPr>
      </w:pPr>
      <w:r>
        <w:rPr>
          <w:rFonts w:hint="eastAsia" w:ascii="宋体" w:hAnsi="宋体"/>
          <w:b/>
          <w:color w:val="000000" w:themeColor="text1"/>
          <w:sz w:val="28"/>
          <w:szCs w:val="28"/>
        </w:rPr>
        <w:t>联系方式</w:t>
      </w:r>
    </w:p>
    <w:p>
      <w:pPr>
        <w:pStyle w:val="152"/>
        <w:spacing w:line="480" w:lineRule="exact"/>
        <w:ind w:firstLine="562"/>
        <w:rPr>
          <w:rFonts w:ascii="宋体" w:hAnsi="宋体"/>
          <w:b/>
          <w:color w:val="000000" w:themeColor="text1"/>
          <w:sz w:val="28"/>
          <w:szCs w:val="22"/>
        </w:rPr>
      </w:pPr>
      <w:r>
        <w:rPr>
          <w:rFonts w:hint="eastAsia" w:ascii="宋体" w:hAnsi="宋体"/>
          <w:b/>
          <w:color w:val="000000" w:themeColor="text1"/>
          <w:sz w:val="28"/>
          <w:szCs w:val="22"/>
        </w:rPr>
        <w:t>采购人：成都市龙泉驿区城市管理局</w:t>
      </w:r>
    </w:p>
    <w:p>
      <w:pPr>
        <w:pStyle w:val="152"/>
        <w:spacing w:line="480" w:lineRule="exact"/>
        <w:ind w:firstLine="560"/>
        <w:rPr>
          <w:rFonts w:ascii="宋体" w:hAnsi="宋体"/>
          <w:color w:val="000000" w:themeColor="text1"/>
          <w:sz w:val="28"/>
          <w:szCs w:val="22"/>
        </w:rPr>
      </w:pPr>
      <w:r>
        <w:rPr>
          <w:rFonts w:hint="eastAsia" w:ascii="宋体" w:hAnsi="宋体"/>
          <w:color w:val="000000" w:themeColor="text1"/>
          <w:sz w:val="28"/>
          <w:szCs w:val="22"/>
        </w:rPr>
        <w:t>地  址：成都市龙泉驿区文明东街10号</w:t>
      </w:r>
    </w:p>
    <w:p>
      <w:pPr>
        <w:pStyle w:val="152"/>
        <w:spacing w:line="480" w:lineRule="exact"/>
        <w:ind w:firstLine="560"/>
        <w:rPr>
          <w:rFonts w:ascii="宋体" w:hAnsi="宋体"/>
          <w:color w:val="000000" w:themeColor="text1"/>
          <w:sz w:val="28"/>
          <w:szCs w:val="22"/>
        </w:rPr>
      </w:pPr>
      <w:r>
        <w:rPr>
          <w:rFonts w:hint="eastAsia" w:ascii="宋体" w:hAnsi="宋体"/>
          <w:color w:val="000000" w:themeColor="text1"/>
          <w:sz w:val="28"/>
          <w:szCs w:val="22"/>
        </w:rPr>
        <w:t>邮  编：610100</w:t>
      </w:r>
    </w:p>
    <w:p>
      <w:pPr>
        <w:pStyle w:val="152"/>
        <w:spacing w:line="480" w:lineRule="exact"/>
        <w:ind w:firstLine="560"/>
        <w:rPr>
          <w:rFonts w:ascii="宋体" w:hAnsi="宋体"/>
          <w:color w:val="000000" w:themeColor="text1"/>
          <w:sz w:val="28"/>
          <w:szCs w:val="22"/>
        </w:rPr>
      </w:pPr>
      <w:r>
        <w:rPr>
          <w:rFonts w:hint="eastAsia" w:ascii="宋体" w:hAnsi="宋体"/>
          <w:color w:val="000000" w:themeColor="text1"/>
          <w:sz w:val="28"/>
          <w:szCs w:val="22"/>
        </w:rPr>
        <w:t>联系人：赖老师</w:t>
      </w:r>
    </w:p>
    <w:p>
      <w:pPr>
        <w:pStyle w:val="152"/>
        <w:spacing w:line="480" w:lineRule="exact"/>
        <w:ind w:firstLine="560"/>
        <w:rPr>
          <w:rFonts w:ascii="宋体" w:hAnsi="宋体"/>
          <w:color w:val="000000" w:themeColor="text1"/>
          <w:sz w:val="28"/>
          <w:szCs w:val="22"/>
        </w:rPr>
      </w:pPr>
      <w:r>
        <w:rPr>
          <w:rFonts w:hint="eastAsia" w:ascii="宋体" w:hAnsi="宋体"/>
          <w:color w:val="000000" w:themeColor="text1"/>
          <w:sz w:val="28"/>
          <w:szCs w:val="22"/>
        </w:rPr>
        <w:t>联系电话：13881925626</w:t>
      </w:r>
    </w:p>
    <w:p>
      <w:pPr>
        <w:pStyle w:val="152"/>
        <w:spacing w:line="560" w:lineRule="exact"/>
        <w:ind w:firstLine="562"/>
        <w:rPr>
          <w:rFonts w:ascii="宋体" w:hAnsi="宋体"/>
          <w:b/>
          <w:color w:val="000000" w:themeColor="text1"/>
          <w:sz w:val="28"/>
          <w:szCs w:val="22"/>
        </w:rPr>
      </w:pPr>
      <w:r>
        <w:rPr>
          <w:rFonts w:hint="eastAsia" w:ascii="宋体" w:hAnsi="宋体"/>
          <w:b/>
          <w:color w:val="000000" w:themeColor="text1"/>
          <w:sz w:val="28"/>
          <w:szCs w:val="28"/>
        </w:rPr>
        <w:t>采购代理机构：成都云辉工程项目管理有限公司</w:t>
      </w:r>
    </w:p>
    <w:p>
      <w:pPr>
        <w:pStyle w:val="152"/>
        <w:spacing w:line="560" w:lineRule="exact"/>
        <w:ind w:firstLine="560"/>
        <w:rPr>
          <w:rFonts w:ascii="宋体" w:hAnsi="宋体"/>
          <w:color w:val="000000" w:themeColor="text1"/>
          <w:sz w:val="28"/>
          <w:szCs w:val="22"/>
        </w:rPr>
      </w:pPr>
      <w:r>
        <w:rPr>
          <w:rFonts w:hint="eastAsia" w:ascii="宋体" w:hAnsi="宋体"/>
          <w:color w:val="000000" w:themeColor="text1"/>
          <w:sz w:val="28"/>
          <w:szCs w:val="22"/>
        </w:rPr>
        <w:t>地  址：成都市龙泉驿区桃都大道吾悦广场写字楼2008室</w:t>
      </w:r>
    </w:p>
    <w:p>
      <w:pPr>
        <w:pStyle w:val="152"/>
        <w:spacing w:line="560" w:lineRule="exact"/>
        <w:ind w:firstLine="560"/>
        <w:rPr>
          <w:rFonts w:ascii="宋体" w:hAnsi="宋体"/>
          <w:color w:val="000000" w:themeColor="text1"/>
          <w:sz w:val="28"/>
          <w:szCs w:val="22"/>
        </w:rPr>
      </w:pPr>
      <w:r>
        <w:rPr>
          <w:rFonts w:hint="eastAsia" w:ascii="宋体" w:hAnsi="宋体"/>
          <w:color w:val="000000" w:themeColor="text1"/>
          <w:sz w:val="28"/>
          <w:szCs w:val="22"/>
        </w:rPr>
        <w:t>联系人：叶女士</w:t>
      </w:r>
    </w:p>
    <w:p>
      <w:pPr>
        <w:pStyle w:val="152"/>
        <w:spacing w:line="560" w:lineRule="exact"/>
        <w:ind w:firstLine="560"/>
        <w:rPr>
          <w:rFonts w:ascii="宋体" w:hAnsi="宋体"/>
          <w:color w:val="000000" w:themeColor="text1"/>
          <w:sz w:val="28"/>
          <w:szCs w:val="22"/>
        </w:rPr>
      </w:pPr>
      <w:r>
        <w:rPr>
          <w:rFonts w:hint="eastAsia" w:ascii="宋体" w:hAnsi="宋体"/>
          <w:color w:val="000000" w:themeColor="text1"/>
          <w:sz w:val="28"/>
          <w:szCs w:val="22"/>
        </w:rPr>
        <w:t>邮编：610100</w:t>
      </w:r>
    </w:p>
    <w:p>
      <w:pPr>
        <w:pStyle w:val="152"/>
        <w:spacing w:line="560" w:lineRule="exact"/>
        <w:ind w:firstLine="560"/>
        <w:rPr>
          <w:rFonts w:ascii="宋体" w:hAnsi="宋体"/>
          <w:color w:val="000000" w:themeColor="text1"/>
          <w:sz w:val="28"/>
        </w:rPr>
      </w:pPr>
      <w:r>
        <w:rPr>
          <w:rFonts w:hint="eastAsia" w:ascii="宋体" w:hAnsi="宋体"/>
          <w:color w:val="000000" w:themeColor="text1"/>
          <w:sz w:val="28"/>
          <w:szCs w:val="22"/>
        </w:rPr>
        <w:t>联系电话：028-84834650</w:t>
      </w:r>
    </w:p>
    <w:p>
      <w:pPr>
        <w:pStyle w:val="129"/>
        <w:tabs>
          <w:tab w:val="left" w:pos="900"/>
        </w:tabs>
        <w:spacing w:line="560" w:lineRule="exact"/>
        <w:ind w:firstLine="562"/>
        <w:jc w:val="left"/>
        <w:rPr>
          <w:rFonts w:ascii="宋体" w:hAnsi="宋体" w:cs="Times New Roman"/>
          <w:b/>
          <w:color w:val="000000" w:themeColor="text1"/>
          <w:sz w:val="28"/>
        </w:rPr>
      </w:pPr>
      <w:r>
        <w:rPr>
          <w:rFonts w:hint="eastAsia" w:ascii="宋体" w:hAnsi="宋体" w:cs="Times New Roman"/>
          <w:b/>
          <w:color w:val="000000" w:themeColor="text1"/>
          <w:sz w:val="28"/>
        </w:rPr>
        <w:t>采购监督机构：成都市龙泉驿区财政局</w:t>
      </w:r>
    </w:p>
    <w:p>
      <w:pPr>
        <w:pStyle w:val="129"/>
        <w:tabs>
          <w:tab w:val="left" w:pos="900"/>
        </w:tabs>
        <w:spacing w:line="560" w:lineRule="exact"/>
        <w:ind w:firstLine="560"/>
        <w:jc w:val="left"/>
        <w:rPr>
          <w:rFonts w:ascii="宋体" w:hAnsi="宋体" w:cs="Times New Roman"/>
          <w:color w:val="000000" w:themeColor="text1"/>
          <w:sz w:val="28"/>
        </w:rPr>
      </w:pPr>
      <w:r>
        <w:rPr>
          <w:rFonts w:hint="eastAsia" w:ascii="宋体" w:hAnsi="宋体" w:cs="Times New Roman"/>
          <w:color w:val="000000" w:themeColor="text1"/>
          <w:sz w:val="28"/>
        </w:rPr>
        <w:t>地 址：成都市龙泉驿区龙泉街道办事处中街117号</w:t>
      </w:r>
    </w:p>
    <w:p>
      <w:pPr>
        <w:pStyle w:val="129"/>
        <w:tabs>
          <w:tab w:val="left" w:pos="900"/>
        </w:tabs>
        <w:spacing w:line="560" w:lineRule="exact"/>
        <w:ind w:firstLine="560"/>
        <w:jc w:val="left"/>
        <w:rPr>
          <w:rFonts w:ascii="宋体" w:hAnsi="宋体"/>
          <w:color w:val="000000" w:themeColor="text1"/>
          <w:sz w:val="28"/>
          <w:szCs w:val="28"/>
        </w:rPr>
      </w:pPr>
      <w:r>
        <w:rPr>
          <w:rFonts w:hint="eastAsia" w:ascii="宋体" w:hAnsi="宋体" w:cs="Times New Roman"/>
          <w:color w:val="000000" w:themeColor="text1"/>
          <w:sz w:val="28"/>
        </w:rPr>
        <w:t>联系电话：028-84636986</w:t>
      </w: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129"/>
        <w:tabs>
          <w:tab w:val="left" w:pos="900"/>
        </w:tabs>
        <w:ind w:firstLine="560"/>
        <w:jc w:val="left"/>
        <w:rPr>
          <w:rFonts w:ascii="宋体" w:hAnsi="宋体"/>
          <w:color w:val="000000" w:themeColor="text1"/>
          <w:sz w:val="28"/>
          <w:szCs w:val="28"/>
        </w:rPr>
      </w:pPr>
    </w:p>
    <w:p>
      <w:pPr>
        <w:pStyle w:val="4"/>
        <w:numPr>
          <w:ilvl w:val="0"/>
          <w:numId w:val="4"/>
        </w:numPr>
        <w:spacing w:before="0" w:after="0" w:line="240" w:lineRule="auto"/>
        <w:ind w:left="0" w:firstLine="0"/>
        <w:rPr>
          <w:color w:val="000000" w:themeColor="text1"/>
        </w:rPr>
      </w:pPr>
      <w:bookmarkStart w:id="17" w:name="_Toc23978"/>
      <w:bookmarkStart w:id="18" w:name="_Toc22501"/>
      <w:bookmarkStart w:id="19" w:name="_Toc29693"/>
      <w:bookmarkStart w:id="20" w:name="_Toc11280"/>
      <w:bookmarkStart w:id="21" w:name="_Toc16071"/>
      <w:r>
        <w:rPr>
          <w:rFonts w:hint="eastAsia"/>
          <w:color w:val="000000" w:themeColor="text1"/>
        </w:rPr>
        <w:t>投标人须知</w:t>
      </w:r>
      <w:bookmarkEnd w:id="17"/>
      <w:bookmarkEnd w:id="18"/>
      <w:bookmarkEnd w:id="19"/>
      <w:bookmarkEnd w:id="20"/>
      <w:bookmarkEnd w:id="21"/>
    </w:p>
    <w:p>
      <w:pPr>
        <w:pStyle w:val="5"/>
        <w:numPr>
          <w:ilvl w:val="1"/>
          <w:numId w:val="4"/>
        </w:numPr>
        <w:spacing w:before="0" w:after="0" w:line="240" w:lineRule="auto"/>
        <w:ind w:left="2269" w:hanging="2127"/>
        <w:rPr>
          <w:color w:val="000000" w:themeColor="text1"/>
        </w:rPr>
      </w:pPr>
      <w:bookmarkStart w:id="22" w:name="_Toc213397010"/>
      <w:bookmarkStart w:id="23" w:name="_Toc217446032"/>
      <w:bookmarkStart w:id="24" w:name="_Toc32366"/>
      <w:bookmarkStart w:id="25" w:name="_Toc1773"/>
      <w:bookmarkStart w:id="26" w:name="_Toc15505"/>
      <w:bookmarkStart w:id="27" w:name="_Toc213396946"/>
      <w:bookmarkStart w:id="28" w:name="_Toc213496268"/>
      <w:bookmarkStart w:id="29" w:name="_Toc316462344"/>
      <w:bookmarkStart w:id="30" w:name="_Toc14528"/>
      <w:bookmarkStart w:id="31" w:name="_Toc213396760"/>
      <w:bookmarkStart w:id="32" w:name="_Toc26303"/>
      <w:bookmarkStart w:id="33" w:name="_Toc189727030"/>
      <w:r>
        <w:rPr>
          <w:rFonts w:hint="eastAsia"/>
          <w:color w:val="000000" w:themeColor="text1"/>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3"/>
        <w:tblW w:w="931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sz w:val="24"/>
              </w:rPr>
            </w:pPr>
            <w:r>
              <w:rPr>
                <w:rFonts w:hint="eastAsia" w:ascii="宋体" w:hAnsi="宋体"/>
                <w:b/>
                <w:color w:val="000000" w:themeColor="text1"/>
                <w:sz w:val="28"/>
                <w:szCs w:val="28"/>
                <w:lang w:val="zh-CN"/>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1"/>
              <w:ind w:left="38"/>
              <w:jc w:val="center"/>
              <w:rPr>
                <w:b/>
                <w:color w:val="000000" w:themeColor="text1"/>
                <w:kern w:val="2"/>
                <w:lang w:val="zh-CN"/>
              </w:rPr>
            </w:pPr>
            <w:r>
              <w:rPr>
                <w:rFonts w:hint="eastAsia"/>
                <w:b/>
                <w:color w:val="000000" w:themeColor="text1"/>
                <w:kern w:val="2"/>
                <w:sz w:val="28"/>
                <w:szCs w:val="28"/>
                <w:lang w:val="zh-CN"/>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1"/>
              <w:jc w:val="center"/>
              <w:rPr>
                <w:b/>
                <w:color w:val="000000" w:themeColor="text1"/>
                <w:kern w:val="2"/>
                <w:lang w:val="zh-CN"/>
              </w:rPr>
            </w:pPr>
            <w:r>
              <w:rPr>
                <w:rFonts w:hint="eastAsia"/>
                <w:b/>
                <w:color w:val="000000" w:themeColor="text1"/>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lang w:val="zh-CN"/>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lang w:val="zh-CN"/>
              </w:rPr>
            </w:pPr>
            <w:r>
              <w:rPr>
                <w:rFonts w:hint="eastAsia"/>
                <w:color w:val="000000" w:themeColor="text1"/>
                <w:kern w:val="2"/>
                <w:lang w:val="zh-CN"/>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b/>
                <w:color w:val="000000" w:themeColor="text1"/>
                <w:kern w:val="2"/>
                <w:lang w:val="zh-CN"/>
              </w:rPr>
            </w:pPr>
            <w:r>
              <w:rPr>
                <w:rFonts w:hint="eastAsia"/>
                <w:b/>
                <w:color w:val="000000" w:themeColor="text1"/>
                <w:kern w:val="2"/>
                <w:lang w:val="zh-CN"/>
              </w:rPr>
              <w:t>人民币</w:t>
            </w:r>
            <w:r>
              <w:rPr>
                <w:rFonts w:hint="eastAsia"/>
                <w:b/>
                <w:color w:val="000000" w:themeColor="text1"/>
                <w:kern w:val="2"/>
              </w:rPr>
              <w:t>800万</w:t>
            </w:r>
            <w:r>
              <w:rPr>
                <w:rFonts w:hint="eastAsia"/>
                <w:b/>
                <w:color w:val="000000" w:themeColor="text1"/>
                <w:kern w:val="2"/>
                <w:lang w:val="zh-CN"/>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lang w:val="zh-CN"/>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lang w:val="zh-CN"/>
              </w:rPr>
            </w:pPr>
            <w:r>
              <w:rPr>
                <w:rFonts w:hint="eastAsia"/>
                <w:color w:val="000000" w:themeColor="text1"/>
                <w:kern w:val="2"/>
                <w:lang w:val="zh-CN"/>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ind w:left="38"/>
              <w:rPr>
                <w:b/>
                <w:color w:val="000000" w:themeColor="text1"/>
                <w:kern w:val="2"/>
                <w:lang w:val="zh-CN"/>
              </w:rPr>
            </w:pPr>
            <w:r>
              <w:rPr>
                <w:rFonts w:hint="eastAsia"/>
                <w:b/>
                <w:color w:val="000000" w:themeColor="text1"/>
                <w:kern w:val="2"/>
                <w:lang w:val="zh-CN"/>
              </w:rPr>
              <w:t>本项目最高限价为人民币</w:t>
            </w:r>
            <w:r>
              <w:rPr>
                <w:rFonts w:hint="eastAsia"/>
                <w:b/>
                <w:color w:val="000000" w:themeColor="text1"/>
                <w:kern w:val="2"/>
              </w:rPr>
              <w:t>800万</w:t>
            </w:r>
            <w:r>
              <w:rPr>
                <w:rFonts w:hint="eastAsia"/>
                <w:b/>
                <w:color w:val="000000" w:themeColor="text1"/>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lang w:val="zh-CN"/>
              </w:rPr>
            </w:pPr>
            <w:r>
              <w:rPr>
                <w:rFonts w:hint="eastAsia"/>
                <w:color w:val="000000" w:themeColor="text1"/>
                <w:kern w:val="2"/>
                <w:lang w:val="zh-CN"/>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jc w:val="both"/>
              <w:rPr>
                <w:color w:val="000000" w:themeColor="text1"/>
                <w:kern w:val="2"/>
                <w:lang w:val="zh-CN"/>
              </w:rPr>
            </w:pPr>
            <w:r>
              <w:rPr>
                <w:rFonts w:hint="eastAsia"/>
                <w:color w:val="000000" w:themeColor="text1"/>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lang w:val="zh-CN"/>
              </w:rPr>
            </w:pPr>
            <w:r>
              <w:rPr>
                <w:rFonts w:hint="eastAsia"/>
                <w:color w:val="000000" w:themeColor="text1"/>
                <w:kern w:val="2"/>
                <w:lang w:val="zh-CN"/>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color w:val="000000" w:themeColor="text1"/>
                <w:kern w:val="2"/>
                <w:lang w:val="zh-CN"/>
              </w:rPr>
            </w:pPr>
            <w:r>
              <w:rPr>
                <w:rFonts w:hint="eastAsia"/>
                <w:color w:val="000000" w:themeColor="text1"/>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lang w:val="zh-CN"/>
              </w:rPr>
            </w:pPr>
            <w:r>
              <w:rPr>
                <w:rFonts w:hint="eastAsia"/>
                <w:color w:val="000000" w:themeColor="text1"/>
                <w:kern w:val="2"/>
                <w:lang w:val="zh-CN"/>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4"/>
              </w:rPr>
            </w:pPr>
            <w:r>
              <w:rPr>
                <w:rFonts w:hint="eastAsia" w:ascii="宋体" w:hAnsi="宋体" w:cs="宋体"/>
                <w:color w:val="000000" w:themeColor="text1"/>
                <w:sz w:val="24"/>
                <w:szCs w:val="24"/>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0"/>
              </w:tabs>
              <w:spacing w:line="360" w:lineRule="auto"/>
              <w:rPr>
                <w:color w:val="000000" w:themeColor="text1"/>
                <w:lang w:val="zh-CN"/>
              </w:rPr>
            </w:pPr>
            <w:r>
              <w:rPr>
                <w:rFonts w:hint="eastAsia" w:ascii="宋体" w:hAnsi="宋体" w:cs="宋体"/>
                <w:sz w:val="24"/>
                <w:szCs w:val="24"/>
                <w:lang w:val="zh-CN"/>
              </w:rPr>
              <w:t xml:space="preserve">是否专门面向中小企业的项目或专门面向监狱企业、残疾人福利单位采购的项目 </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rPr>
                <w:rFonts w:cs="仿宋"/>
              </w:rPr>
            </w:pPr>
            <w:r>
              <w:rPr>
                <w:rFonts w:hint="eastAsia" w:cs="仿宋"/>
              </w:rPr>
              <w:t>本项目专门面向中小企业、专门监狱企业、专门面向</w:t>
            </w:r>
            <w:r>
              <w:rPr>
                <w:rFonts w:hint="eastAsia"/>
                <w:lang w:val="zh-CN"/>
              </w:rPr>
              <w:t>残疾人福利单位</w:t>
            </w:r>
            <w:r>
              <w:rPr>
                <w:rFonts w:hint="eastAsia" w:cs="仿宋"/>
              </w:rPr>
              <w:t>，评审时不进行价格扣除。</w:t>
            </w:r>
          </w:p>
          <w:p>
            <w:pPr>
              <w:ind w:right="94" w:rightChars="45"/>
              <w:rPr>
                <w:rFonts w:ascii="宋体" w:hAnsi="宋体"/>
                <w:b/>
                <w:color w:val="000000" w:themeColor="text1"/>
                <w:sz w:val="24"/>
              </w:rPr>
            </w:pPr>
            <w:r>
              <w:rPr>
                <w:rFonts w:hint="eastAsia" w:cs="仿宋"/>
                <w:sz w:val="24"/>
                <w:szCs w:val="24"/>
              </w:rPr>
              <w:t>注：中小企业划分标准依据《工业和信息化部、国家统计局、国家发展和改革委员会、财政部关于印发中小企业划型标准规定的通知》（工信部联企业〔2011〕300号）规定。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widowControl/>
              <w:jc w:val="left"/>
            </w:pPr>
            <w:r>
              <w:rPr>
                <w:rFonts w:hint="eastAsia"/>
                <w:color w:val="000000" w:themeColor="text1"/>
              </w:rPr>
              <w:t xml:space="preserve"> </w:t>
            </w:r>
            <w:r>
              <w:rPr>
                <w:rFonts w:hint="eastAsia" w:hAnsi="宋体" w:cs="宋体"/>
                <w:sz w:val="24"/>
                <w:szCs w:val="24"/>
              </w:rPr>
              <w:t>失信企业</w:t>
            </w:r>
          </w:p>
          <w:p>
            <w:pPr>
              <w:pStyle w:val="121"/>
              <w:ind w:left="96"/>
              <w:rPr>
                <w:color w:val="000000" w:themeColor="text1"/>
                <w:kern w:val="2"/>
                <w:lang w:val="zh-CN"/>
              </w:rPr>
            </w:pPr>
          </w:p>
        </w:tc>
        <w:tc>
          <w:tcPr>
            <w:tcW w:w="6681"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rPr>
                <w:rFonts w:cs="仿宋"/>
              </w:rPr>
            </w:pPr>
            <w:r>
              <w:rPr>
                <w:rFonts w:hint="eastAsia" w:cs="仿宋"/>
              </w:rPr>
              <w:t xml:space="preserve">本项目禁止失信单位参与投标。 </w:t>
            </w:r>
          </w:p>
          <w:p>
            <w:pPr>
              <w:ind w:right="94" w:rightChars="45"/>
              <w:rPr>
                <w:rFonts w:ascii="宋体" w:hAnsi="宋体"/>
                <w:b/>
                <w:color w:val="000000" w:themeColor="text1"/>
                <w:sz w:val="24"/>
              </w:rPr>
            </w:pPr>
            <w:r>
              <w:rPr>
                <w:rFonts w:hint="eastAsia" w:cs="仿宋"/>
                <w:sz w:val="24"/>
                <w:szCs w:val="24"/>
              </w:rPr>
              <w:t>严格执行《四川省公共资源交易领域严重失信联合惩戒实施办法》（川发改信用规〔2019〕405 号）、《关于对政府采购领域严重违法失信主体 开展联合惩戒的合作备忘录》（发改财金〔2018〕1614 号）等相关规定。“信用中国”网站(www. credi tchina. gov. cn)中列入失信被执行 人和重大税收违法案件当事人名的供应商和“中国政府采购网”(www. ccgp. gov. cn)政府采购严重违法失信行为记录名单中被财政部门禁止参加政府采购活动的供应商参加本项目将作无效响应处理。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lang w:val="zh-CN"/>
              </w:rPr>
            </w:pPr>
            <w:r>
              <w:rPr>
                <w:rFonts w:hint="eastAsia"/>
                <w:color w:val="000000" w:themeColor="text1"/>
                <w:kern w:val="2"/>
                <w:lang w:val="zh-CN"/>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rPr>
                <w:rFonts w:ascii="宋体" w:hAnsi="宋体"/>
                <w:color w:val="000000" w:themeColor="text1"/>
                <w:sz w:val="24"/>
                <w:lang w:val="zh-CN"/>
              </w:rPr>
            </w:pPr>
            <w:r>
              <w:rPr>
                <w:rFonts w:hint="eastAsia" w:ascii="宋体" w:hAnsi="宋体"/>
                <w:color w:val="000000" w:themeColor="text1"/>
                <w:sz w:val="24"/>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rPr>
            </w:pPr>
            <w:r>
              <w:rPr>
                <w:rFonts w:hint="eastAsia" w:ascii="宋体" w:hAnsi="宋体" w:cs="宋体"/>
                <w:color w:val="000000" w:themeColor="text1"/>
                <w:kern w:val="0"/>
                <w:sz w:val="24"/>
                <w:szCs w:val="24"/>
                <w:lang w:val="zh-CN"/>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000000" w:themeColor="text1"/>
                <w:kern w:val="0"/>
                <w:sz w:val="24"/>
              </w:rPr>
            </w:pPr>
            <w:r>
              <w:rPr>
                <w:rFonts w:hint="eastAsia" w:ascii="宋体" w:hAnsi="宋体"/>
                <w:color w:val="000000" w:themeColor="text1"/>
                <w:kern w:val="0"/>
                <w:sz w:val="24"/>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000000" w:themeColor="text1"/>
                <w:sz w:val="24"/>
              </w:rPr>
            </w:pPr>
            <w:r>
              <w:rPr>
                <w:rFonts w:hint="eastAsia" w:ascii="Helvetica" w:hAnsi="Helvetica" w:cs="Helvetica"/>
                <w:color w:val="000000" w:themeColor="text1"/>
                <w:kern w:val="0"/>
                <w:sz w:val="24"/>
                <w:szCs w:val="24"/>
              </w:rPr>
              <w:t>提交投标文件的截止之日起</w:t>
            </w:r>
            <w:r>
              <w:rPr>
                <w:rFonts w:hint="eastAsia" w:ascii="宋体" w:hAnsi="宋体"/>
                <w:color w:val="000000" w:themeColor="text1"/>
                <w:sz w:val="24"/>
                <w:szCs w:val="24"/>
                <w:u w:val="single"/>
              </w:rPr>
              <w:t>90</w:t>
            </w:r>
            <w:r>
              <w:rPr>
                <w:rFonts w:hint="eastAsia" w:ascii="宋体" w:hAnsi="宋体"/>
                <w:color w:val="000000" w:themeColor="text1"/>
                <w:sz w:val="24"/>
                <w:szCs w:val="24"/>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详见投标人须知2.4.12</w:t>
            </w:r>
          </w:p>
          <w:p>
            <w:pPr>
              <w:tabs>
                <w:tab w:val="left" w:pos="7665"/>
              </w:tabs>
              <w:snapToGrid w:val="0"/>
              <w:jc w:val="left"/>
              <w:rPr>
                <w:color w:val="000000" w:themeColor="text1"/>
              </w:rPr>
            </w:pPr>
            <w:r>
              <w:rPr>
                <w:rFonts w:hint="eastAsia" w:ascii="宋体" w:hAnsi="宋体"/>
                <w:color w:val="000000" w:themeColor="text1"/>
                <w:sz w:val="24"/>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rPr>
            </w:pPr>
            <w:r>
              <w:rPr>
                <w:rFonts w:hint="eastAsia"/>
                <w:b/>
                <w:color w:val="000000" w:themeColor="text1"/>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rPr>
            </w:pPr>
            <w:r>
              <w:rPr>
                <w:rFonts w:hint="eastAsia" w:ascii="宋体" w:hAnsi="宋体"/>
                <w:b/>
                <w:color w:val="000000" w:themeColor="text1"/>
              </w:rPr>
              <w:t>详见投标人须知2.5.1。</w:t>
            </w:r>
          </w:p>
          <w:p>
            <w:pPr>
              <w:snapToGrid w:val="0"/>
              <w:spacing w:line="360" w:lineRule="auto"/>
              <w:rPr>
                <w:rFonts w:ascii="宋体" w:hAnsi="宋体"/>
                <w:b/>
                <w:color w:val="000000" w:themeColor="text1"/>
              </w:rPr>
            </w:pPr>
            <w:r>
              <w:rPr>
                <w:rFonts w:hint="eastAsia" w:ascii="宋体" w:hAnsi="宋体"/>
                <w:b/>
                <w:color w:val="000000" w:themeColor="text1"/>
              </w:rPr>
              <w:t>投标文件解密：开启解密后，投标人应在系统提示的解密开始时间后</w:t>
            </w:r>
            <w:r>
              <w:rPr>
                <w:rFonts w:ascii="宋体" w:hAnsi="宋体"/>
                <w:b/>
                <w:color w:val="000000" w:themeColor="text1"/>
              </w:rPr>
              <w:t>60</w:t>
            </w:r>
            <w:r>
              <w:rPr>
                <w:rFonts w:hint="eastAsia" w:ascii="宋体" w:hAnsi="宋体"/>
                <w:b/>
                <w:color w:val="000000" w:themeColor="text1"/>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rPr>
            </w:pPr>
            <w:r>
              <w:rPr>
                <w:rFonts w:hint="eastAsia" w:ascii="宋体" w:hAnsi="宋体"/>
                <w:b/>
                <w:color w:val="000000" w:themeColor="text1"/>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sz w:val="24"/>
              </w:rPr>
            </w:pPr>
            <w:r>
              <w:rPr>
                <w:rFonts w:hint="eastAsia" w:ascii="宋体" w:hAnsi="宋体"/>
                <w:b/>
                <w:color w:val="000000" w:themeColor="text1"/>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rPr>
            </w:pPr>
            <w:r>
              <w:rPr>
                <w:rFonts w:hint="eastAsia" w:ascii="宋体" w:hAnsi="宋体"/>
                <w:color w:val="000000" w:themeColor="text1"/>
                <w:sz w:val="24"/>
                <w:szCs w:val="24"/>
              </w:rPr>
              <w:t>对招标文件中供应商参加本次政府采购活动应当具备的条件，招标项目技术、商务及其他要求，评标细则及标准，以及关于资格审查的询问、质疑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rPr>
            </w:pPr>
            <w:r>
              <w:rPr>
                <w:rFonts w:hint="eastAsia" w:ascii="宋体" w:hAnsi="宋体"/>
                <w:color w:val="000000" w:themeColor="text1"/>
                <w:sz w:val="24"/>
                <w:szCs w:val="24"/>
              </w:rPr>
              <w:t>向采购人提出，并由</w:t>
            </w:r>
            <w:r>
              <w:rPr>
                <w:rFonts w:hint="eastAsia" w:ascii="宋体" w:hAnsi="宋体"/>
                <w:color w:val="000000" w:themeColor="text1"/>
                <w:kern w:val="0"/>
                <w:sz w:val="24"/>
              </w:rPr>
              <w:t>采购人</w:t>
            </w:r>
            <w:r>
              <w:rPr>
                <w:rFonts w:hint="eastAsia" w:ascii="宋体" w:hAnsi="宋体"/>
                <w:color w:val="000000" w:themeColor="text1"/>
                <w:sz w:val="24"/>
                <w:szCs w:val="24"/>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rPr>
            </w:pPr>
            <w:r>
              <w:rPr>
                <w:rFonts w:hint="eastAsia" w:ascii="宋体" w:hAnsi="宋体"/>
                <w:color w:val="000000" w:themeColor="text1"/>
                <w:sz w:val="24"/>
                <w:szCs w:val="24"/>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rPr>
            </w:pPr>
            <w:r>
              <w:rPr>
                <w:rFonts w:hint="eastAsia" w:ascii="宋体" w:hAnsi="宋体"/>
                <w:color w:val="000000" w:themeColor="text1"/>
                <w:kern w:val="0"/>
                <w:sz w:val="24"/>
              </w:rPr>
              <w:t>向成都云辉工程项目管理有限公司提出，</w:t>
            </w:r>
            <w:r>
              <w:rPr>
                <w:rFonts w:hint="eastAsia" w:ascii="宋体" w:hAnsi="宋体"/>
                <w:color w:val="000000" w:themeColor="text1"/>
                <w:sz w:val="24"/>
                <w:szCs w:val="24"/>
              </w:rPr>
              <w:t>并由成都云辉工程项目管理有限公司按相关规定作出答复（详见投标人须知2.8）。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4"/>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rPr>
            </w:pPr>
            <w:r>
              <w:rPr>
                <w:rFonts w:hint="eastAsia" w:ascii="宋体" w:hAnsi="宋体"/>
                <w:color w:val="000000" w:themeColor="text1"/>
                <w:sz w:val="24"/>
                <w:szCs w:val="24"/>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ightChars="100"/>
              <w:rPr>
                <w:rFonts w:ascii="宋体" w:hAnsi="宋体" w:eastAsia="仿宋_GB2312" w:cs="宋体"/>
                <w:color w:val="000000" w:themeColor="text1"/>
                <w:sz w:val="24"/>
                <w:szCs w:val="24"/>
              </w:rPr>
            </w:pPr>
            <w:r>
              <w:rPr>
                <w:rFonts w:hint="eastAsia" w:ascii="宋体" w:hAnsi="宋体"/>
                <w:color w:val="000000" w:themeColor="text1"/>
                <w:sz w:val="24"/>
                <w:szCs w:val="24"/>
              </w:rPr>
              <w:t>投诉受理单位：本项目同级财政部门，即</w:t>
            </w:r>
            <w:r>
              <w:rPr>
                <w:rFonts w:hint="eastAsia" w:ascii="宋体" w:hAnsi="宋体"/>
                <w:color w:val="000000" w:themeColor="text1"/>
                <w:sz w:val="24"/>
                <w:szCs w:val="24"/>
                <w:lang w:val="zh-CN"/>
              </w:rPr>
              <w:t>成都市龙泉驿区财政局</w:t>
            </w:r>
            <w:r>
              <w:rPr>
                <w:rFonts w:hint="eastAsia" w:ascii="宋体" w:hAnsi="宋体"/>
                <w:color w:val="000000" w:themeColor="text1"/>
                <w:sz w:val="24"/>
                <w:szCs w:val="24"/>
              </w:rPr>
              <w:t>。</w:t>
            </w:r>
          </w:p>
          <w:p>
            <w:pPr>
              <w:tabs>
                <w:tab w:val="left" w:pos="7665"/>
              </w:tabs>
              <w:snapToGrid w:val="0"/>
              <w:rPr>
                <w:rFonts w:ascii="宋体" w:hAnsi="宋体"/>
                <w:color w:val="000000" w:themeColor="text1"/>
                <w:sz w:val="24"/>
                <w:szCs w:val="24"/>
              </w:rPr>
            </w:pPr>
            <w:r>
              <w:rPr>
                <w:rFonts w:hint="eastAsia" w:ascii="宋体" w:hAnsi="宋体"/>
                <w:color w:val="000000" w:themeColor="text1"/>
                <w:sz w:val="24"/>
                <w:szCs w:val="24"/>
              </w:rPr>
              <w:t>联系电话： 028-84636986</w:t>
            </w:r>
          </w:p>
          <w:p>
            <w:pPr>
              <w:tabs>
                <w:tab w:val="left" w:pos="7665"/>
              </w:tabs>
              <w:snapToGrid w:val="0"/>
              <w:rPr>
                <w:rFonts w:ascii="宋体" w:hAnsi="宋体"/>
                <w:color w:val="000000" w:themeColor="text1"/>
                <w:sz w:val="24"/>
                <w:szCs w:val="24"/>
              </w:rPr>
            </w:pPr>
            <w:r>
              <w:rPr>
                <w:rFonts w:hint="eastAsia" w:ascii="宋体" w:hAnsi="宋体"/>
                <w:color w:val="000000" w:themeColor="text1"/>
                <w:sz w:val="24"/>
                <w:szCs w:val="24"/>
              </w:rPr>
              <w:t xml:space="preserve">地址：成都市龙泉驿区龙泉街道办事处中街117号 </w:t>
            </w:r>
          </w:p>
          <w:p>
            <w:pPr>
              <w:tabs>
                <w:tab w:val="left" w:pos="7665"/>
              </w:tabs>
              <w:snapToGrid w:val="0"/>
              <w:jc w:val="left"/>
              <w:rPr>
                <w:rFonts w:ascii="宋体" w:hAnsi="宋体"/>
                <w:color w:val="000000" w:themeColor="text1"/>
                <w:sz w:val="24"/>
              </w:rPr>
            </w:pPr>
            <w:r>
              <w:rPr>
                <w:rFonts w:hint="eastAsia" w:ascii="宋体" w:hAnsi="宋体"/>
                <w:color w:val="000000" w:themeColor="text1"/>
                <w:sz w:val="24"/>
                <w:szCs w:val="24"/>
              </w:rPr>
              <w:t>邮编：610100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000000" w:themeColor="text1"/>
                <w:kern w:val="0"/>
                <w:sz w:val="24"/>
                <w:szCs w:val="24"/>
                <w:lang w:val="zh-CN"/>
              </w:rPr>
            </w:pPr>
            <w:r>
              <w:rPr>
                <w:rFonts w:hint="eastAsia" w:ascii="宋体" w:hAnsi="宋体" w:cs="宋体"/>
                <w:color w:val="000000" w:themeColor="text1"/>
                <w:kern w:val="0"/>
                <w:sz w:val="24"/>
                <w:szCs w:val="24"/>
                <w:lang w:val="zh-CN"/>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color w:val="000000" w:themeColor="text1"/>
                <w:kern w:val="0"/>
                <w:sz w:val="24"/>
                <w:szCs w:val="24"/>
                <w:lang w:val="zh-CN"/>
              </w:rPr>
            </w:pPr>
            <w:r>
              <w:rPr>
                <w:rFonts w:hint="eastAsia" w:ascii="宋体" w:hAnsi="宋体" w:cs="宋体"/>
                <w:color w:val="000000" w:themeColor="text1"/>
                <w:kern w:val="0"/>
                <w:sz w:val="24"/>
                <w:szCs w:val="24"/>
                <w:lang w:val="zh-CN"/>
              </w:rPr>
              <w:t>所有</w:t>
            </w:r>
            <w:r>
              <w:rPr>
                <w:rFonts w:hint="eastAsia" w:ascii="宋体" w:hAnsi="宋体"/>
                <w:color w:val="000000" w:themeColor="text1"/>
                <w:sz w:val="24"/>
                <w:szCs w:val="24"/>
              </w:rPr>
              <w:t>投标人</w:t>
            </w:r>
            <w:r>
              <w:rPr>
                <w:rFonts w:hint="eastAsia" w:ascii="宋体" w:hAnsi="宋体" w:cs="宋体"/>
                <w:color w:val="000000" w:themeColor="text1"/>
                <w:kern w:val="0"/>
                <w:sz w:val="24"/>
                <w:szCs w:val="24"/>
                <w:lang w:val="zh-CN"/>
              </w:rPr>
              <w:t>投标文件资格性、符合性检查情况、采用综合评分法时的得分情况、评标结果等将在四川政府采购网上采购结果公告栏中予以公告。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szCs w:val="24"/>
              </w:rPr>
            </w:pPr>
            <w:r>
              <w:rPr>
                <w:rFonts w:hint="eastAsia" w:ascii="宋体" w:hAnsi="宋体" w:cs="宋体"/>
                <w:color w:val="000000" w:themeColor="text1"/>
                <w:kern w:val="0"/>
                <w:sz w:val="24"/>
                <w:szCs w:val="24"/>
                <w:lang w:val="zh-CN"/>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szCs w:val="24"/>
              </w:rPr>
            </w:pPr>
            <w:r>
              <w:rPr>
                <w:rFonts w:hint="eastAsia" w:ascii="宋体" w:hAnsi="宋体"/>
                <w:color w:val="000000" w:themeColor="text1"/>
                <w:kern w:val="0"/>
                <w:sz w:val="24"/>
                <w:szCs w:val="24"/>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rPr>
            </w:pPr>
            <w:r>
              <w:rPr>
                <w:rFonts w:hint="eastAsia" w:ascii="宋体" w:hAnsi="宋体"/>
                <w:color w:val="000000" w:themeColor="text1"/>
                <w:sz w:val="24"/>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rPr>
            </w:pPr>
            <w:r>
              <w:rPr>
                <w:rFonts w:hint="eastAsia" w:ascii="宋体" w:hAnsi="宋体"/>
                <w:color w:val="000000" w:themeColor="text1"/>
                <w:kern w:val="0"/>
                <w:sz w:val="24"/>
              </w:rPr>
              <w:t>四川省成都市龙泉驿区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000000" w:themeColor="text1"/>
                <w:sz w:val="24"/>
              </w:rPr>
            </w:pPr>
            <w:r>
              <w:rPr>
                <w:rFonts w:hint="eastAsia" w:ascii="宋体" w:hAnsi="宋体"/>
                <w:color w:val="000000" w:themeColor="text1"/>
                <w:sz w:val="24"/>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000000" w:themeColor="text1"/>
                <w:sz w:val="24"/>
              </w:rPr>
            </w:pPr>
            <w:r>
              <w:rPr>
                <w:rFonts w:hint="eastAsia" w:ascii="宋体"/>
                <w:color w:val="000000" w:themeColor="text1"/>
                <w:sz w:val="24"/>
              </w:rPr>
              <w:t>政府采购合同签订之日起2个工作日内，采购人将在四川政府采购网公告政府采购合同；</w:t>
            </w:r>
            <w:r>
              <w:rPr>
                <w:rFonts w:hint="eastAsia" w:ascii="宋体" w:hAnsi="宋体" w:cs="宋体"/>
                <w:color w:val="000000" w:themeColor="text1"/>
                <w:kern w:val="0"/>
                <w:sz w:val="24"/>
                <w:szCs w:val="24"/>
                <w:lang w:val="zh-CN"/>
              </w:rPr>
              <w:t>疫情防控期间，采购人原则上在</w:t>
            </w:r>
            <w:r>
              <w:rPr>
                <w:rFonts w:hint="eastAsia" w:ascii="宋体" w:hAnsi="宋体" w:cs="宋体"/>
                <w:color w:val="000000" w:themeColor="text1"/>
                <w:kern w:val="0"/>
                <w:sz w:val="24"/>
                <w:szCs w:val="24"/>
              </w:rPr>
              <w:t>1</w:t>
            </w:r>
            <w:r>
              <w:rPr>
                <w:rFonts w:hint="eastAsia" w:ascii="宋体" w:hAnsi="宋体" w:cs="宋体"/>
                <w:color w:val="000000" w:themeColor="text1"/>
                <w:kern w:val="0"/>
                <w:sz w:val="24"/>
                <w:szCs w:val="24"/>
                <w:lang w:val="zh-CN"/>
              </w:rPr>
              <w:t>5天内与供应商签订政府采购合同及向本采购项目同级财政部门，即成都市龙泉驿区财政局备案政府采购合同。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rPr>
                <w:rFonts w:ascii="宋体" w:hAnsi="宋体" w:cs="宋体"/>
                <w:color w:val="000000" w:themeColor="text1"/>
                <w:kern w:val="0"/>
                <w:sz w:val="24"/>
                <w:szCs w:val="24"/>
                <w:lang w:val="zh-CN"/>
              </w:rPr>
            </w:pPr>
            <w:r>
              <w:rPr>
                <w:rFonts w:hint="eastAsia" w:ascii="宋体" w:hAnsi="宋体" w:cs="宋体"/>
                <w:color w:val="000000" w:themeColor="text1"/>
                <w:kern w:val="0"/>
                <w:sz w:val="24"/>
                <w:szCs w:val="24"/>
                <w:lang w:val="zh-CN"/>
              </w:rPr>
              <w:t>中小企业政府采购信用融资（“蓉采贷”）</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s="宋体"/>
                <w:color w:val="000000" w:themeColor="text1"/>
                <w:kern w:val="0"/>
                <w:sz w:val="24"/>
                <w:szCs w:val="24"/>
                <w:lang w:val="zh-CN"/>
              </w:rPr>
            </w:pPr>
            <w:r>
              <w:rPr>
                <w:rFonts w:hint="eastAsia" w:ascii="宋体" w:hAnsi="宋体" w:cs="宋体"/>
                <w:color w:val="000000" w:themeColor="text1"/>
                <w:kern w:val="0"/>
                <w:sz w:val="24"/>
                <w:szCs w:val="24"/>
                <w:lang w:val="zh-CN"/>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rPr>
            </w:pPr>
            <w:r>
              <w:rPr>
                <w:rFonts w:hint="eastAsia" w:ascii="宋体" w:hAnsi="宋体"/>
                <w:color w:val="000000" w:themeColor="text1"/>
                <w:sz w:val="24"/>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sz w:val="24"/>
              </w:rPr>
            </w:pPr>
            <w:r>
              <w:rPr>
                <w:rFonts w:hint="eastAsia" w:ascii="宋体" w:hAnsi="宋体"/>
                <w:color w:val="000000" w:themeColor="text1"/>
                <w:sz w:val="24"/>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rPr>
            </w:pPr>
            <w:r>
              <w:rPr>
                <w:rFonts w:hint="eastAsia" w:ascii="宋体" w:hAnsi="宋体"/>
                <w:color w:val="000000" w:themeColor="text1"/>
                <w:sz w:val="24"/>
              </w:rPr>
              <w:t>节能、环保及无线局域网产品政府采购政策</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sz w:val="24"/>
              </w:rPr>
            </w:pPr>
            <w:r>
              <w:rPr>
                <w:rFonts w:hint="eastAsia" w:ascii="宋体" w:hAnsi="宋体"/>
                <w:color w:val="000000" w:themeColor="text1"/>
                <w:sz w:val="24"/>
              </w:rPr>
              <w:t xml:space="preserve">一、节能、环保产品 </w:t>
            </w:r>
          </w:p>
          <w:p>
            <w:pPr>
              <w:tabs>
                <w:tab w:val="left" w:pos="7665"/>
              </w:tabs>
              <w:snapToGrid w:val="0"/>
              <w:rPr>
                <w:rFonts w:ascii="宋体" w:hAnsi="宋体"/>
                <w:color w:val="000000" w:themeColor="text1"/>
                <w:sz w:val="24"/>
              </w:rPr>
            </w:pPr>
            <w:r>
              <w:rPr>
                <w:rFonts w:hint="eastAsia" w:ascii="宋体" w:hAnsi="宋体"/>
                <w:color w:val="000000" w:themeColor="text1"/>
                <w:sz w:val="24"/>
              </w:rPr>
              <w:t xml:space="preserve">严格执行《财政部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 </w:t>
            </w:r>
          </w:p>
          <w:p>
            <w:pPr>
              <w:tabs>
                <w:tab w:val="left" w:pos="7665"/>
              </w:tabs>
              <w:snapToGrid w:val="0"/>
              <w:rPr>
                <w:rFonts w:ascii="宋体" w:hAnsi="宋体"/>
                <w:color w:val="000000" w:themeColor="text1"/>
                <w:sz w:val="24"/>
              </w:rPr>
            </w:pPr>
            <w:r>
              <w:rPr>
                <w:rFonts w:hint="eastAsia" w:ascii="宋体" w:hAnsi="宋体"/>
                <w:color w:val="000000" w:themeColor="text1"/>
                <w:sz w:val="24"/>
              </w:rPr>
              <w:t xml:space="preserve">认证机构名录的公告（2019 年第 16 号），本次投标产品类别属于政府强制采购产品类别的，须按照要求提供依据国家确定的认证机构出具的、处于有效期之内的节能产品或环境标志产品认证证书，否则投标无效；属于政府优先采购产品类别的，须按照要求提供依据国家确定的认证机构出具 </w:t>
            </w:r>
          </w:p>
          <w:p>
            <w:pPr>
              <w:tabs>
                <w:tab w:val="left" w:pos="7665"/>
              </w:tabs>
              <w:snapToGrid w:val="0"/>
              <w:rPr>
                <w:rFonts w:ascii="宋体" w:hAnsi="宋体"/>
                <w:color w:val="000000" w:themeColor="text1"/>
                <w:sz w:val="24"/>
              </w:rPr>
            </w:pPr>
            <w:r>
              <w:rPr>
                <w:rFonts w:hint="eastAsia" w:ascii="宋体" w:hAnsi="宋体"/>
                <w:color w:val="000000" w:themeColor="text1"/>
                <w:sz w:val="24"/>
              </w:rPr>
              <w:t>的、处于有效期之内的节能产品或环境标志产品认证证书，否则不予认定。</w:t>
            </w:r>
          </w:p>
          <w:p>
            <w:pPr>
              <w:tabs>
                <w:tab w:val="left" w:pos="7665"/>
              </w:tabs>
              <w:snapToGrid w:val="0"/>
              <w:rPr>
                <w:rFonts w:ascii="宋体" w:hAnsi="宋体"/>
                <w:color w:val="000000" w:themeColor="text1"/>
                <w:sz w:val="24"/>
              </w:rPr>
            </w:pPr>
            <w:r>
              <w:rPr>
                <w:rFonts w:hint="eastAsia" w:ascii="宋体" w:hAnsi="宋体"/>
                <w:color w:val="000000" w:themeColor="text1"/>
                <w:sz w:val="24"/>
              </w:rPr>
              <w:t xml:space="preserve">二、无线局域网产品政府采购政策： </w:t>
            </w:r>
          </w:p>
          <w:p>
            <w:pPr>
              <w:tabs>
                <w:tab w:val="left" w:pos="7665"/>
              </w:tabs>
              <w:snapToGrid w:val="0"/>
              <w:rPr>
                <w:rFonts w:ascii="宋体" w:hAnsi="宋体"/>
                <w:color w:val="000000" w:themeColor="text1"/>
                <w:sz w:val="24"/>
              </w:rPr>
            </w:pPr>
            <w:r>
              <w:rPr>
                <w:rFonts w:hint="eastAsia" w:ascii="宋体" w:hAnsi="宋体"/>
                <w:color w:val="000000" w:themeColor="text1"/>
                <w:sz w:val="24"/>
              </w:rPr>
              <w:t>对认定为政府采购无线局域网产品的的实行优先采购。供应商须在投标文件中提供有效的《无线局域网认证产品政府采购清单》及相关证明资料（包括提供投标产品所在清单页复印件并加盖单位公章），否则不予认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rPr>
            </w:pPr>
            <w:r>
              <w:rPr>
                <w:rFonts w:hint="eastAsia" w:ascii="宋体" w:hAnsi="宋体"/>
                <w:color w:val="000000" w:themeColor="text1"/>
                <w:sz w:val="24"/>
              </w:rPr>
              <w:t>采购代理服务费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sz w:val="24"/>
              </w:rPr>
            </w:pPr>
            <w:r>
              <w:rPr>
                <w:rFonts w:hint="eastAsia" w:ascii="宋体" w:hAnsi="宋体"/>
                <w:color w:val="000000" w:themeColor="text1"/>
                <w:sz w:val="24"/>
              </w:rPr>
              <w:t>参照《国家计委关于印发〈招标代理服务费收费标准管理暂行办法〉的通知》（计价格[2002]1980号）和《国家发展改革委办公厅关于招标代理服务费有关问题的通知》（发改办价格[2003]857号）的有关规定标准执行，按货物招标类型收取，由中标（成交）供应商领取中标（成交）通知书前一次性付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1942" w:type="dxa"/>
            <w:tcBorders>
              <w:top w:val="single" w:color="auto" w:sz="4" w:space="0"/>
              <w:left w:val="single" w:color="auto" w:sz="8" w:space="0"/>
              <w:bottom w:val="single" w:color="auto" w:sz="4" w:space="0"/>
              <w:right w:val="single" w:color="auto" w:sz="8" w:space="0"/>
            </w:tcBorders>
            <w:vAlign w:val="center"/>
          </w:tcPr>
          <w:p>
            <w:pPr>
              <w:spacing w:line="360" w:lineRule="auto"/>
              <w:rPr>
                <w:rFonts w:hAnsi="宋体" w:cs="宋体"/>
                <w:sz w:val="24"/>
                <w:szCs w:val="24"/>
              </w:rPr>
            </w:pPr>
            <w:r>
              <w:rPr>
                <w:rFonts w:hint="eastAsia" w:hAnsi="宋体" w:cs="宋体"/>
                <w:sz w:val="24"/>
                <w:szCs w:val="24"/>
              </w:rPr>
              <w:t>扶持</w:t>
            </w:r>
            <w:r>
              <w:rPr>
                <w:rFonts w:hint="eastAsia" w:ascii="宋体" w:hAnsi="宋体" w:cs="宋体"/>
                <w:sz w:val="24"/>
                <w:szCs w:val="24"/>
              </w:rPr>
              <w:t>不发达地区和少数民族地区的企业</w:t>
            </w:r>
          </w:p>
        </w:tc>
        <w:tc>
          <w:tcPr>
            <w:tcW w:w="6681" w:type="dxa"/>
            <w:tcBorders>
              <w:top w:val="single" w:color="auto" w:sz="4" w:space="0"/>
              <w:left w:val="single" w:color="auto" w:sz="8" w:space="0"/>
              <w:bottom w:val="single" w:color="auto" w:sz="4" w:space="0"/>
              <w:right w:val="single" w:color="auto" w:sz="18" w:space="0"/>
            </w:tcBorders>
            <w:vAlign w:val="center"/>
          </w:tcPr>
          <w:p>
            <w:pPr>
              <w:spacing w:line="360" w:lineRule="auto"/>
              <w:rPr>
                <w:rFonts w:hAnsi="宋体" w:cs="宋体"/>
                <w:sz w:val="24"/>
                <w:szCs w:val="24"/>
              </w:rPr>
            </w:pPr>
            <w:r>
              <w:rPr>
                <w:rFonts w:hint="eastAsia" w:ascii="宋体" w:hAnsi="宋体" w:cs="宋体"/>
                <w:sz w:val="24"/>
                <w:szCs w:val="24"/>
              </w:rPr>
              <w:t>在同等条件下，优先选择不发达地区和少数民族地区的企业。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4"/>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rPr>
                <w:rFonts w:ascii="宋体" w:hAnsi="宋体"/>
                <w:color w:val="000000" w:themeColor="text1"/>
                <w:sz w:val="24"/>
              </w:rPr>
            </w:pPr>
            <w:r>
              <w:rPr>
                <w:rFonts w:hint="eastAsia" w:ascii="宋体" w:hAnsi="宋体"/>
                <w:color w:val="000000" w:themeColor="text1"/>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4"/>
        </w:numPr>
        <w:spacing w:before="0" w:after="0" w:line="240" w:lineRule="auto"/>
        <w:ind w:left="2269" w:hanging="2127"/>
        <w:rPr>
          <w:color w:val="000000" w:themeColor="text1"/>
        </w:rPr>
      </w:pPr>
      <w:bookmarkStart w:id="34" w:name="_Toc3223"/>
      <w:bookmarkStart w:id="35" w:name="_Toc10565"/>
      <w:bookmarkStart w:id="36" w:name="_Toc29824"/>
      <w:bookmarkStart w:id="37" w:name="_Toc30390"/>
      <w:bookmarkStart w:id="38" w:name="_Toc22447"/>
      <w:r>
        <w:rPr>
          <w:rFonts w:hint="eastAsia"/>
          <w:color w:val="000000" w:themeColor="text1"/>
        </w:rPr>
        <w:t>总则</w:t>
      </w:r>
      <w:bookmarkEnd w:id="34"/>
      <w:bookmarkEnd w:id="35"/>
      <w:bookmarkEnd w:id="36"/>
      <w:bookmarkEnd w:id="37"/>
      <w:bookmarkEnd w:id="38"/>
    </w:p>
    <w:p>
      <w:pPr>
        <w:pStyle w:val="6"/>
        <w:numPr>
          <w:ilvl w:val="2"/>
          <w:numId w:val="4"/>
        </w:numPr>
        <w:spacing w:after="200" w:line="240" w:lineRule="auto"/>
        <w:ind w:left="-141" w:leftChars="-67" w:firstLine="0"/>
        <w:rPr>
          <w:color w:val="000000" w:themeColor="text1"/>
        </w:rPr>
      </w:pPr>
      <w:r>
        <w:rPr>
          <w:rFonts w:hint="eastAsia"/>
          <w:color w:val="000000" w:themeColor="text1"/>
        </w:rPr>
        <w:t>适用范围</w:t>
      </w:r>
    </w:p>
    <w:p>
      <w:pPr>
        <w:numPr>
          <w:ilvl w:val="0"/>
          <w:numId w:val="7"/>
        </w:numPr>
        <w:tabs>
          <w:tab w:val="left" w:pos="1134"/>
        </w:tabs>
        <w:spacing w:after="200"/>
        <w:ind w:left="0" w:firstLine="565" w:firstLineChars="202"/>
        <w:rPr>
          <w:rFonts w:ascii="宋体" w:hAnsi="宋体"/>
          <w:color w:val="000000" w:themeColor="text1"/>
          <w:sz w:val="28"/>
          <w:szCs w:val="28"/>
        </w:rPr>
      </w:pPr>
      <w:r>
        <w:rPr>
          <w:rFonts w:hint="eastAsia" w:ascii="宋体" w:hAnsi="宋体"/>
          <w:color w:val="000000" w:themeColor="text1"/>
          <w:sz w:val="28"/>
          <w:szCs w:val="28"/>
        </w:rPr>
        <w:t>本招标文件仅适用于本次公开招标采购项目。</w:t>
      </w:r>
    </w:p>
    <w:p>
      <w:pPr>
        <w:numPr>
          <w:ilvl w:val="0"/>
          <w:numId w:val="7"/>
        </w:numPr>
        <w:tabs>
          <w:tab w:val="left" w:pos="1134"/>
        </w:tabs>
        <w:spacing w:after="200"/>
        <w:ind w:left="0" w:firstLine="565" w:firstLineChars="202"/>
        <w:rPr>
          <w:rFonts w:ascii="宋体" w:hAnsi="宋体"/>
          <w:color w:val="000000" w:themeColor="text1"/>
          <w:sz w:val="28"/>
          <w:szCs w:val="28"/>
        </w:rPr>
      </w:pPr>
      <w:r>
        <w:rPr>
          <w:rFonts w:hint="eastAsia" w:ascii="宋体" w:hAnsi="宋体"/>
          <w:color w:val="000000" w:themeColor="text1"/>
          <w:sz w:val="28"/>
          <w:szCs w:val="28"/>
        </w:rPr>
        <w:t>本招标文件的最终解释权由采购人或成都云辉工程项目管理有限公司享有。对招标文件中供应商参加本次政府采购活动应当具备的条件，招标项目服务、商务及其他要求，评标细则及标准由采购人负责解释。除上述招标文件内容，其他内容由成都云辉工程项目管理有限公司负责解释。</w:t>
      </w:r>
    </w:p>
    <w:p>
      <w:pPr>
        <w:pStyle w:val="6"/>
        <w:numPr>
          <w:ilvl w:val="2"/>
          <w:numId w:val="4"/>
        </w:numPr>
        <w:spacing w:after="200" w:line="240" w:lineRule="auto"/>
        <w:ind w:left="0" w:firstLine="0"/>
        <w:rPr>
          <w:color w:val="000000" w:themeColor="text1"/>
        </w:rPr>
      </w:pPr>
      <w:r>
        <w:rPr>
          <w:rFonts w:hint="eastAsia"/>
          <w:color w:val="000000" w:themeColor="text1"/>
        </w:rPr>
        <w:t>有关定义</w:t>
      </w:r>
    </w:p>
    <w:p>
      <w:pPr>
        <w:numPr>
          <w:ilvl w:val="0"/>
          <w:numId w:val="8"/>
        </w:numPr>
        <w:tabs>
          <w:tab w:val="left" w:pos="1134"/>
        </w:tabs>
        <w:spacing w:after="200"/>
        <w:ind w:left="0" w:firstLine="567"/>
        <w:jc w:val="left"/>
        <w:rPr>
          <w:rFonts w:ascii="宋体" w:hAnsi="宋体"/>
          <w:color w:val="000000" w:themeColor="text1"/>
          <w:sz w:val="28"/>
          <w:szCs w:val="28"/>
        </w:rPr>
      </w:pPr>
      <w:r>
        <w:rPr>
          <w:rFonts w:hint="eastAsia" w:ascii="宋体" w:hAnsi="宋体"/>
          <w:color w:val="000000" w:themeColor="text1"/>
          <w:sz w:val="28"/>
          <w:szCs w:val="28"/>
        </w:rPr>
        <w:t>“采购人”和“甲方”系指依法进行政府采购的成都市级机关、事业单位、团体组织。本次招标的采购人是</w:t>
      </w:r>
      <w:r>
        <w:rPr>
          <w:rFonts w:hint="eastAsia" w:ascii="宋体" w:hAnsi="宋体"/>
          <w:b/>
          <w:bCs/>
          <w:color w:val="000000" w:themeColor="text1"/>
          <w:sz w:val="28"/>
          <w:szCs w:val="28"/>
        </w:rPr>
        <w:t>成都市龙泉驿区城市管理局</w:t>
      </w:r>
      <w:r>
        <w:rPr>
          <w:rFonts w:hint="eastAsia" w:ascii="宋体" w:hAnsi="宋体"/>
          <w:color w:val="000000" w:themeColor="text1"/>
          <w:sz w:val="28"/>
          <w:szCs w:val="28"/>
        </w:rPr>
        <w:t>。</w:t>
      </w:r>
    </w:p>
    <w:p>
      <w:pPr>
        <w:numPr>
          <w:ilvl w:val="0"/>
          <w:numId w:val="8"/>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“投标人”系指在系统中成功提交《采购文件获取登记表》拟参加投标和向采购人提供货物及服务的供应商。</w:t>
      </w:r>
    </w:p>
    <w:p>
      <w:pPr>
        <w:numPr>
          <w:ilvl w:val="0"/>
          <w:numId w:val="8"/>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本招标文件各部分规定的“以上”、“以下”、“内”、“以内”，包括本数；所称的“不足”，不包括本数。</w:t>
      </w:r>
    </w:p>
    <w:p>
      <w:pPr>
        <w:numPr>
          <w:ilvl w:val="0"/>
          <w:numId w:val="8"/>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重大违法记录是指供应商因违法经营受到刑事处罚或者责令停产停业、吊销许可证或者执照、较大数额罚款等行政处罚。 </w:t>
      </w:r>
    </w:p>
    <w:p>
      <w:pPr>
        <w:pStyle w:val="6"/>
        <w:numPr>
          <w:ilvl w:val="2"/>
          <w:numId w:val="4"/>
        </w:numPr>
        <w:spacing w:after="200" w:line="240" w:lineRule="auto"/>
        <w:ind w:left="851"/>
        <w:rPr>
          <w:color w:val="000000" w:themeColor="text1"/>
        </w:rPr>
      </w:pPr>
      <w:bookmarkStart w:id="39" w:name="_Toc217390843"/>
      <w:bookmarkStart w:id="40" w:name="_Toc183582207"/>
      <w:bookmarkStart w:id="41" w:name="_Toc183682344"/>
      <w:bookmarkStart w:id="42" w:name="_Toc217446036"/>
      <w:r>
        <w:rPr>
          <w:rFonts w:hint="eastAsia"/>
          <w:color w:val="000000" w:themeColor="text1"/>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rPr>
      </w:pPr>
      <w:r>
        <w:rPr>
          <w:rFonts w:hint="eastAsia" w:ascii="宋体" w:hAnsi="宋体"/>
          <w:color w:val="000000" w:themeColor="text1"/>
          <w:sz w:val="28"/>
          <w:szCs w:val="28"/>
        </w:rPr>
        <w:t>合格的投标人应具备以下条件：</w:t>
      </w:r>
    </w:p>
    <w:p>
      <w:pPr>
        <w:numPr>
          <w:ilvl w:val="0"/>
          <w:numId w:val="9"/>
        </w:numPr>
        <w:tabs>
          <w:tab w:val="left" w:pos="1134"/>
        </w:tabs>
        <w:spacing w:after="200"/>
        <w:rPr>
          <w:rFonts w:ascii="宋体" w:hAnsi="宋体"/>
          <w:color w:val="000000" w:themeColor="text1"/>
          <w:sz w:val="28"/>
          <w:szCs w:val="28"/>
        </w:rPr>
      </w:pPr>
      <w:r>
        <w:rPr>
          <w:rFonts w:hint="eastAsia" w:ascii="宋体" w:hAnsi="宋体"/>
          <w:color w:val="000000" w:themeColor="text1"/>
          <w:sz w:val="28"/>
          <w:szCs w:val="28"/>
        </w:rPr>
        <w:t>本招标文件“投标邀请”第五条规定的条件；</w:t>
      </w:r>
    </w:p>
    <w:p>
      <w:pPr>
        <w:numPr>
          <w:ilvl w:val="0"/>
          <w:numId w:val="9"/>
        </w:numPr>
        <w:tabs>
          <w:tab w:val="left" w:pos="1134"/>
        </w:tabs>
        <w:spacing w:after="200"/>
        <w:ind w:left="0" w:firstLine="568"/>
        <w:rPr>
          <w:rFonts w:ascii="宋体" w:hAnsi="宋体"/>
          <w:color w:val="000000" w:themeColor="text1"/>
          <w:sz w:val="28"/>
          <w:szCs w:val="28"/>
        </w:rPr>
      </w:pPr>
      <w:r>
        <w:rPr>
          <w:rFonts w:hint="eastAsia" w:ascii="宋体" w:hAnsi="宋体"/>
          <w:color w:val="000000" w:themeColor="text1"/>
          <w:sz w:val="28"/>
          <w:szCs w:val="28"/>
        </w:rPr>
        <w:t>按照招标文件“投标邀请”中第六、七、八条规定获取了招标文件。</w:t>
      </w:r>
    </w:p>
    <w:p>
      <w:pPr>
        <w:pStyle w:val="6"/>
        <w:numPr>
          <w:ilvl w:val="2"/>
          <w:numId w:val="4"/>
        </w:numPr>
        <w:spacing w:after="200" w:line="240" w:lineRule="auto"/>
        <w:ind w:left="0" w:firstLine="0"/>
        <w:rPr>
          <w:color w:val="000000" w:themeColor="text1"/>
        </w:rPr>
      </w:pPr>
      <w:r>
        <w:rPr>
          <w:rFonts w:hint="eastAsia"/>
          <w:color w:val="000000" w:themeColor="text1"/>
        </w:rPr>
        <w:t>投标费用</w:t>
      </w:r>
    </w:p>
    <w:p>
      <w:pPr>
        <w:ind w:firstLine="660" w:firstLineChars="236"/>
        <w:rPr>
          <w:rFonts w:ascii="宋体" w:hAnsi="宋体"/>
          <w:color w:val="000000" w:themeColor="text1"/>
          <w:sz w:val="28"/>
          <w:szCs w:val="28"/>
        </w:rPr>
      </w:pPr>
      <w:r>
        <w:rPr>
          <w:rFonts w:hint="eastAsia" w:ascii="宋体" w:hAnsi="宋体"/>
          <w:color w:val="000000" w:themeColor="text1"/>
          <w:sz w:val="28"/>
          <w:szCs w:val="28"/>
        </w:rPr>
        <w:t>投标人应自行承担参加投标的全部费用。</w:t>
      </w:r>
    </w:p>
    <w:p>
      <w:pPr>
        <w:pStyle w:val="6"/>
        <w:numPr>
          <w:ilvl w:val="2"/>
          <w:numId w:val="4"/>
        </w:numPr>
        <w:spacing w:after="200" w:line="240" w:lineRule="auto"/>
        <w:ind w:left="0" w:firstLine="0"/>
        <w:rPr>
          <w:color w:val="000000" w:themeColor="text1"/>
        </w:rPr>
      </w:pPr>
      <w:r>
        <w:rPr>
          <w:rFonts w:hint="eastAsia"/>
          <w:color w:val="000000" w:themeColor="text1"/>
        </w:rPr>
        <w:t>充分、公平竞争保障措施（实质性要求）</w:t>
      </w:r>
    </w:p>
    <w:p>
      <w:pPr>
        <w:pStyle w:val="114"/>
        <w:tabs>
          <w:tab w:val="left" w:pos="851"/>
        </w:tabs>
        <w:spacing w:before="156" w:line="240" w:lineRule="auto"/>
        <w:ind w:firstLine="560" w:firstLineChars="200"/>
        <w:rPr>
          <w:rFonts w:hAnsi="宋体"/>
          <w:color w:val="000000" w:themeColor="text1"/>
          <w:sz w:val="28"/>
          <w:szCs w:val="28"/>
        </w:rPr>
      </w:pPr>
      <w:r>
        <w:rPr>
          <w:rFonts w:hint="eastAsia" w:hAnsi="宋体"/>
          <w:color w:val="000000" w:themeColor="text1"/>
          <w:sz w:val="28"/>
          <w:szCs w:val="28"/>
        </w:rPr>
        <w:t>一、</w:t>
      </w:r>
      <w:r>
        <w:rPr>
          <w:rFonts w:hint="eastAsia" w:hAnsi="宋体"/>
          <w:b/>
          <w:bCs/>
          <w:color w:val="000000" w:themeColor="text1"/>
          <w:sz w:val="28"/>
          <w:szCs w:val="28"/>
        </w:rPr>
        <w:t>利害关系投标人处理。</w:t>
      </w:r>
      <w:r>
        <w:rPr>
          <w:rFonts w:hint="eastAsia" w:hAnsi="宋体"/>
          <w:color w:val="000000" w:themeColor="text1"/>
          <w:sz w:val="28"/>
          <w:szCs w:val="28"/>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pStyle w:val="114"/>
        <w:tabs>
          <w:tab w:val="left" w:pos="851"/>
        </w:tabs>
        <w:spacing w:before="156" w:line="240" w:lineRule="auto"/>
        <w:ind w:left="-143" w:leftChars="-68" w:firstLine="700" w:firstLineChars="250"/>
        <w:rPr>
          <w:rFonts w:hAnsi="宋体"/>
          <w:color w:val="000000" w:themeColor="text1"/>
          <w:sz w:val="28"/>
          <w:szCs w:val="28"/>
        </w:rPr>
      </w:pPr>
      <w:r>
        <w:rPr>
          <w:rFonts w:hint="eastAsia" w:hAnsi="宋体"/>
          <w:color w:val="000000" w:themeColor="text1"/>
          <w:sz w:val="28"/>
          <w:szCs w:val="28"/>
        </w:rPr>
        <w:t>二、</w:t>
      </w:r>
      <w:r>
        <w:rPr>
          <w:rFonts w:hint="eastAsia" w:hAnsi="宋体"/>
          <w:b/>
          <w:bCs/>
          <w:color w:val="000000" w:themeColor="text1"/>
          <w:sz w:val="28"/>
          <w:szCs w:val="28"/>
        </w:rPr>
        <w:t>前期参与投标人处理。</w:t>
      </w:r>
      <w:r>
        <w:rPr>
          <w:rFonts w:hint="eastAsia" w:hAnsi="宋体"/>
          <w:color w:val="000000" w:themeColor="text1"/>
          <w:sz w:val="28"/>
          <w:szCs w:val="28"/>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pStyle w:val="114"/>
        <w:tabs>
          <w:tab w:val="left" w:pos="851"/>
        </w:tabs>
        <w:spacing w:before="156" w:line="240" w:lineRule="auto"/>
        <w:ind w:left="-143" w:leftChars="-68" w:firstLine="703" w:firstLineChars="250"/>
        <w:rPr>
          <w:rFonts w:hAnsi="宋体"/>
          <w:color w:val="000000" w:themeColor="text1"/>
          <w:sz w:val="28"/>
          <w:szCs w:val="28"/>
        </w:rPr>
      </w:pPr>
      <w:r>
        <w:rPr>
          <w:rFonts w:hint="eastAsia" w:hAnsi="宋体"/>
          <w:b/>
          <w:bCs/>
          <w:color w:val="000000" w:themeColor="text1"/>
          <w:sz w:val="28"/>
          <w:szCs w:val="28"/>
        </w:rPr>
        <w:t>三、利害关系代理人处理。</w:t>
      </w:r>
      <w:r>
        <w:rPr>
          <w:rFonts w:hint="eastAsia" w:hAnsi="宋体"/>
          <w:color w:val="000000" w:themeColor="text1"/>
          <w:sz w:val="28"/>
          <w:szCs w:val="28"/>
        </w:rPr>
        <w:t>2家以上的投标人不得在同一合同项下的采购项目中，同时委托同一个自然人、同一家庭的人员、同一单位的人员作为其代理人，否则，其投标文件作为无效处理。</w:t>
      </w:r>
    </w:p>
    <w:p>
      <w:pPr>
        <w:pStyle w:val="5"/>
        <w:numPr>
          <w:ilvl w:val="1"/>
          <w:numId w:val="4"/>
        </w:numPr>
        <w:spacing w:before="0" w:after="0" w:line="240" w:lineRule="auto"/>
        <w:ind w:left="2269" w:hanging="2127"/>
        <w:rPr>
          <w:color w:val="000000" w:themeColor="text1"/>
        </w:rPr>
      </w:pPr>
      <w:bookmarkStart w:id="43" w:name="_Toc14139"/>
      <w:bookmarkStart w:id="44" w:name="_Toc8997"/>
      <w:bookmarkStart w:id="45" w:name="_Toc2675"/>
      <w:bookmarkStart w:id="46" w:name="_Toc32420"/>
      <w:bookmarkStart w:id="47" w:name="_Toc12455"/>
      <w:r>
        <w:rPr>
          <w:rFonts w:hint="eastAsia"/>
          <w:color w:val="000000" w:themeColor="text1"/>
        </w:rPr>
        <w:t>招标文件</w:t>
      </w:r>
      <w:bookmarkEnd w:id="43"/>
      <w:bookmarkEnd w:id="44"/>
      <w:bookmarkEnd w:id="45"/>
      <w:bookmarkEnd w:id="46"/>
      <w:bookmarkEnd w:id="47"/>
    </w:p>
    <w:p>
      <w:pPr>
        <w:pStyle w:val="6"/>
        <w:numPr>
          <w:ilvl w:val="2"/>
          <w:numId w:val="4"/>
        </w:numPr>
        <w:spacing w:after="200" w:line="240" w:lineRule="auto"/>
        <w:ind w:left="0" w:firstLine="0"/>
        <w:rPr>
          <w:color w:val="000000" w:themeColor="text1"/>
        </w:rPr>
      </w:pPr>
      <w:bookmarkStart w:id="48" w:name="_Toc183682347"/>
      <w:bookmarkStart w:id="49" w:name="_Toc183582210"/>
      <w:bookmarkStart w:id="50" w:name="_Toc217446039"/>
      <w:r>
        <w:rPr>
          <w:rFonts w:hint="eastAsia"/>
          <w:color w:val="000000" w:themeColor="text1"/>
        </w:rPr>
        <w:t>招标文件的构成</w:t>
      </w:r>
      <w:bookmarkEnd w:id="48"/>
      <w:bookmarkEnd w:id="49"/>
      <w:bookmarkEnd w:id="50"/>
    </w:p>
    <w:p>
      <w:pPr>
        <w:numPr>
          <w:ilvl w:val="0"/>
          <w:numId w:val="10"/>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1"/>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投标邀请；</w:t>
      </w:r>
    </w:p>
    <w:p>
      <w:pPr>
        <w:numPr>
          <w:ilvl w:val="1"/>
          <w:numId w:val="11"/>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投标人须知；</w:t>
      </w:r>
    </w:p>
    <w:p>
      <w:pPr>
        <w:numPr>
          <w:ilvl w:val="1"/>
          <w:numId w:val="11"/>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投标文件格式；</w:t>
      </w:r>
    </w:p>
    <w:p>
      <w:pPr>
        <w:numPr>
          <w:ilvl w:val="1"/>
          <w:numId w:val="11"/>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招标项目技术、商务及其他要求；</w:t>
      </w:r>
    </w:p>
    <w:p>
      <w:pPr>
        <w:numPr>
          <w:ilvl w:val="1"/>
          <w:numId w:val="11"/>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资格性审查；</w:t>
      </w:r>
    </w:p>
    <w:p>
      <w:pPr>
        <w:numPr>
          <w:ilvl w:val="1"/>
          <w:numId w:val="11"/>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评标办法；</w:t>
      </w:r>
    </w:p>
    <w:p>
      <w:pPr>
        <w:numPr>
          <w:ilvl w:val="1"/>
          <w:numId w:val="11"/>
        </w:numPr>
        <w:tabs>
          <w:tab w:val="left" w:pos="1134"/>
        </w:tabs>
        <w:spacing w:after="200"/>
        <w:ind w:left="567" w:firstLine="0"/>
        <w:rPr>
          <w:rFonts w:ascii="宋体" w:hAnsi="宋体"/>
          <w:color w:val="000000" w:themeColor="text1"/>
          <w:sz w:val="28"/>
          <w:szCs w:val="28"/>
        </w:rPr>
      </w:pPr>
      <w:r>
        <w:rPr>
          <w:rFonts w:hint="eastAsia" w:ascii="宋体" w:hAnsi="宋体"/>
          <w:color w:val="000000" w:themeColor="text1"/>
          <w:sz w:val="28"/>
          <w:szCs w:val="28"/>
        </w:rPr>
        <w:t>拟签订合同文本。</w:t>
      </w:r>
    </w:p>
    <w:p>
      <w:pPr>
        <w:numPr>
          <w:ilvl w:val="0"/>
          <w:numId w:val="10"/>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4"/>
        </w:numPr>
        <w:spacing w:after="200" w:line="240" w:lineRule="auto"/>
        <w:ind w:left="0" w:firstLine="0"/>
        <w:rPr>
          <w:color w:val="000000" w:themeColor="text1"/>
        </w:rPr>
      </w:pPr>
      <w:bookmarkStart w:id="51" w:name="_Toc183582211"/>
      <w:bookmarkStart w:id="52" w:name="_Toc183682348"/>
      <w:bookmarkStart w:id="53" w:name="_Toc217446040"/>
      <w:r>
        <w:rPr>
          <w:rFonts w:hint="eastAsia"/>
          <w:color w:val="000000" w:themeColor="text1"/>
        </w:rPr>
        <w:t>招标文件的澄清</w:t>
      </w:r>
      <w:bookmarkEnd w:id="51"/>
      <w:bookmarkEnd w:id="52"/>
      <w:r>
        <w:rPr>
          <w:rFonts w:hint="eastAsia"/>
          <w:color w:val="000000" w:themeColor="text1"/>
        </w:rPr>
        <w:t>和修改</w:t>
      </w:r>
      <w:bookmarkEnd w:id="53"/>
      <w:bookmarkStart w:id="54" w:name="_Toc6071"/>
      <w:bookmarkStart w:id="55" w:name="_Toc183582214"/>
      <w:bookmarkStart w:id="56" w:name="_Toc27307"/>
      <w:bookmarkStart w:id="57" w:name="_Toc77400780"/>
      <w:bookmarkStart w:id="58" w:name="_Toc217446042"/>
      <w:bookmarkStart w:id="59" w:name="_Toc183682351"/>
      <w:bookmarkStart w:id="60" w:name="_Toc19128"/>
      <w:bookmarkStart w:id="61" w:name="_Toc31441"/>
      <w:bookmarkStart w:id="62" w:name="_Toc89075876"/>
    </w:p>
    <w:p>
      <w:pPr>
        <w:numPr>
          <w:ilvl w:val="0"/>
          <w:numId w:val="12"/>
        </w:numPr>
        <w:tabs>
          <w:tab w:val="left" w:pos="142"/>
          <w:tab w:val="left" w:pos="1134"/>
        </w:tabs>
        <w:spacing w:after="200" w:line="360" w:lineRule="auto"/>
        <w:ind w:left="0" w:firstLine="560"/>
        <w:rPr>
          <w:rFonts w:ascii="宋体" w:hAnsi="宋体"/>
          <w:color w:val="000000" w:themeColor="text1"/>
          <w:sz w:val="28"/>
          <w:szCs w:val="28"/>
        </w:rPr>
      </w:pPr>
      <w:r>
        <w:rPr>
          <w:rFonts w:hint="eastAsia" w:ascii="宋体" w:hAnsi="宋体"/>
          <w:color w:val="000000" w:themeColor="text1"/>
          <w:sz w:val="28"/>
          <w:szCs w:val="28"/>
        </w:rPr>
        <w:t>在投标截止时间前，采购人或者成都云辉工程项目管理有限公司可以对已发出的招标文件进行必要的澄清或者修改。</w:t>
      </w:r>
    </w:p>
    <w:p>
      <w:pPr>
        <w:numPr>
          <w:ilvl w:val="0"/>
          <w:numId w:val="12"/>
        </w:numPr>
        <w:spacing w:after="20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澄清或者修改的内容，成都云辉工程项目管理有限公司将在“四川政府采购网”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color w:val="000000" w:themeColor="text1"/>
          <w:sz w:val="28"/>
          <w:szCs w:val="28"/>
        </w:rPr>
      </w:pPr>
      <w:r>
        <w:rPr>
          <w:rFonts w:hint="eastAsia" w:ascii="宋体" w:hAnsi="宋体"/>
          <w:color w:val="000000" w:themeColor="text1"/>
          <w:sz w:val="28"/>
          <w:szCs w:val="28"/>
        </w:rPr>
        <w:t>澄清或者修改的内容可能影响投标文件编制的，成都云辉工程项目管理有限公司应当在投标截止时间至少15日前，通过政府采购云平台通知所有获取招标文件的潜在投标人；不足15日的，采购人或成都云辉工程项目管理有限公司应当顺延提交投标文件的截止时间。</w:t>
      </w:r>
    </w:p>
    <w:p>
      <w:pPr>
        <w:pStyle w:val="5"/>
        <w:numPr>
          <w:ilvl w:val="1"/>
          <w:numId w:val="4"/>
        </w:numPr>
        <w:spacing w:before="0" w:after="0" w:line="240" w:lineRule="auto"/>
        <w:ind w:left="2269" w:hanging="2127"/>
        <w:rPr>
          <w:color w:val="000000" w:themeColor="text1"/>
        </w:rPr>
      </w:pPr>
      <w:bookmarkStart w:id="63" w:name="_Toc32745"/>
      <w:r>
        <w:rPr>
          <w:rFonts w:hint="eastAsia"/>
          <w:color w:val="000000" w:themeColor="text1"/>
        </w:rPr>
        <w:t>投标文件</w:t>
      </w:r>
      <w:bookmarkEnd w:id="54"/>
      <w:bookmarkEnd w:id="55"/>
      <w:bookmarkEnd w:id="56"/>
      <w:bookmarkEnd w:id="57"/>
      <w:bookmarkEnd w:id="58"/>
      <w:bookmarkEnd w:id="59"/>
      <w:bookmarkEnd w:id="60"/>
      <w:bookmarkEnd w:id="61"/>
      <w:bookmarkEnd w:id="62"/>
      <w:bookmarkEnd w:id="63"/>
    </w:p>
    <w:p>
      <w:pPr>
        <w:pStyle w:val="6"/>
        <w:numPr>
          <w:ilvl w:val="2"/>
          <w:numId w:val="4"/>
        </w:numPr>
        <w:spacing w:after="200" w:line="240" w:lineRule="auto"/>
        <w:ind w:left="0" w:firstLine="0"/>
        <w:rPr>
          <w:color w:val="000000" w:themeColor="text1"/>
        </w:rPr>
      </w:pPr>
      <w:bookmarkStart w:id="64" w:name="_Toc183582215"/>
      <w:bookmarkStart w:id="65" w:name="_Toc217446043"/>
      <w:bookmarkStart w:id="66" w:name="_Toc183682352"/>
      <w:r>
        <w:rPr>
          <w:rFonts w:hint="eastAsia"/>
          <w:color w:val="000000" w:themeColor="text1"/>
        </w:rPr>
        <w:t>投标文件的语言</w:t>
      </w:r>
      <w:bookmarkEnd w:id="64"/>
      <w:bookmarkEnd w:id="65"/>
      <w:bookmarkEnd w:id="66"/>
    </w:p>
    <w:p>
      <w:pPr>
        <w:numPr>
          <w:ilvl w:val="0"/>
          <w:numId w:val="13"/>
        </w:numPr>
        <w:tabs>
          <w:tab w:val="left" w:pos="1134"/>
        </w:tabs>
        <w:spacing w:after="200"/>
        <w:ind w:left="0" w:firstLine="560"/>
        <w:rPr>
          <w:rFonts w:ascii="宋体" w:hAnsi="宋体"/>
          <w:color w:val="000000" w:themeColor="text1"/>
          <w:sz w:val="28"/>
          <w:szCs w:val="28"/>
        </w:rPr>
      </w:pPr>
      <w:r>
        <w:rPr>
          <w:rFonts w:hint="eastAsia" w:ascii="宋体" w:hAnsi="宋体"/>
          <w:color w:val="000000" w:themeColor="text1"/>
          <w:sz w:val="28"/>
          <w:szCs w:val="28"/>
        </w:rPr>
        <w:t>投标人提交的投标文件以及投标人与采购人或成都云辉工程项目管理有限公司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after="200"/>
        <w:ind w:left="0" w:firstLine="560"/>
        <w:rPr>
          <w:rFonts w:ascii="宋体" w:hAnsi="宋体"/>
          <w:color w:val="000000" w:themeColor="text1"/>
          <w:sz w:val="28"/>
          <w:szCs w:val="28"/>
        </w:rPr>
      </w:pPr>
      <w:r>
        <w:rPr>
          <w:rFonts w:hint="eastAsia" w:ascii="宋体" w:hAnsi="宋体"/>
          <w:color w:val="000000" w:themeColor="text1"/>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4"/>
        </w:numPr>
        <w:spacing w:after="200" w:line="240" w:lineRule="auto"/>
        <w:ind w:left="0" w:firstLine="0"/>
        <w:rPr>
          <w:color w:val="000000" w:themeColor="text1"/>
        </w:rPr>
      </w:pPr>
      <w:bookmarkStart w:id="67" w:name="_Toc183682353"/>
      <w:bookmarkStart w:id="68" w:name="_Toc217446044"/>
      <w:bookmarkStart w:id="69" w:name="_Toc183582216"/>
      <w:r>
        <w:rPr>
          <w:rFonts w:hint="eastAsia"/>
          <w:color w:val="000000" w:themeColor="text1"/>
        </w:rPr>
        <w:t>计量单位</w:t>
      </w:r>
      <w:bookmarkEnd w:id="67"/>
      <w:bookmarkEnd w:id="68"/>
      <w:bookmarkEnd w:id="69"/>
    </w:p>
    <w:p>
      <w:pPr>
        <w:tabs>
          <w:tab w:val="left" w:pos="7665"/>
        </w:tabs>
        <w:ind w:left="13" w:firstLine="554"/>
        <w:rPr>
          <w:rFonts w:ascii="宋体" w:hAnsi="宋体"/>
          <w:color w:val="000000" w:themeColor="text1"/>
          <w:sz w:val="28"/>
          <w:szCs w:val="28"/>
        </w:rPr>
      </w:pPr>
      <w:bookmarkStart w:id="70" w:name="_Toc217446045"/>
      <w:r>
        <w:rPr>
          <w:rFonts w:hint="eastAsia" w:ascii="宋体" w:hAnsi="宋体"/>
          <w:color w:val="000000" w:themeColor="text1"/>
          <w:sz w:val="28"/>
          <w:szCs w:val="28"/>
        </w:rPr>
        <w:t>除招标文件中另有规定外，本次采购项目所有合同项下的投标均采用国家法定的计量单位。</w:t>
      </w:r>
    </w:p>
    <w:p>
      <w:pPr>
        <w:pStyle w:val="6"/>
        <w:numPr>
          <w:ilvl w:val="2"/>
          <w:numId w:val="4"/>
        </w:numPr>
        <w:spacing w:after="200" w:line="240" w:lineRule="auto"/>
        <w:ind w:left="0" w:firstLine="0"/>
        <w:rPr>
          <w:color w:val="000000" w:themeColor="text1"/>
        </w:rPr>
      </w:pPr>
      <w:r>
        <w:rPr>
          <w:rFonts w:hint="eastAsia"/>
          <w:color w:val="000000" w:themeColor="text1"/>
        </w:rPr>
        <w:t>投标货币</w:t>
      </w:r>
      <w:bookmarkEnd w:id="70"/>
    </w:p>
    <w:p>
      <w:pPr>
        <w:tabs>
          <w:tab w:val="left" w:pos="7665"/>
        </w:tabs>
        <w:ind w:left="13" w:firstLine="554"/>
        <w:rPr>
          <w:rFonts w:ascii="宋体" w:hAnsi="宋体"/>
          <w:color w:val="000000" w:themeColor="text1"/>
          <w:sz w:val="28"/>
          <w:szCs w:val="28"/>
        </w:rPr>
      </w:pPr>
      <w:r>
        <w:rPr>
          <w:rFonts w:hint="eastAsia" w:ascii="宋体" w:hAnsi="宋体"/>
          <w:color w:val="000000" w:themeColor="text1"/>
          <w:sz w:val="28"/>
          <w:szCs w:val="28"/>
        </w:rPr>
        <w:t>本次招标项目的投标均以人民币报价。</w:t>
      </w:r>
    </w:p>
    <w:p>
      <w:pPr>
        <w:pStyle w:val="6"/>
        <w:numPr>
          <w:ilvl w:val="2"/>
          <w:numId w:val="4"/>
        </w:numPr>
        <w:spacing w:after="200" w:line="240" w:lineRule="auto"/>
        <w:ind w:left="0" w:firstLine="0"/>
        <w:rPr>
          <w:color w:val="000000" w:themeColor="text1"/>
        </w:rPr>
      </w:pPr>
      <w:bookmarkStart w:id="71" w:name="_Toc217446046"/>
      <w:r>
        <w:rPr>
          <w:rFonts w:hint="eastAsia"/>
          <w:color w:val="000000" w:themeColor="text1"/>
        </w:rPr>
        <w:t>联合体投标</w:t>
      </w:r>
      <w:bookmarkEnd w:id="71"/>
      <w:r>
        <w:rPr>
          <w:rFonts w:hint="eastAsia"/>
          <w:color w:val="000000" w:themeColor="text1"/>
        </w:rPr>
        <w:t>（实质性要求）</w:t>
      </w:r>
    </w:p>
    <w:p>
      <w:pPr>
        <w:tabs>
          <w:tab w:val="left" w:pos="1134"/>
        </w:tabs>
        <w:ind w:left="546"/>
        <w:rPr>
          <w:rFonts w:ascii="宋体" w:hAnsi="宋体"/>
          <w:color w:val="000000" w:themeColor="text1"/>
          <w:sz w:val="28"/>
          <w:szCs w:val="28"/>
        </w:rPr>
      </w:pPr>
      <w:bookmarkStart w:id="72" w:name="_Toc217446047"/>
      <w:r>
        <w:rPr>
          <w:rFonts w:hint="eastAsia" w:ascii="宋体" w:hAnsi="宋体"/>
          <w:color w:val="000000" w:themeColor="text1"/>
          <w:sz w:val="28"/>
          <w:szCs w:val="28"/>
        </w:rPr>
        <w:t>本次政府采购活动</w:t>
      </w:r>
      <w:r>
        <w:rPr>
          <w:rFonts w:hint="eastAsia" w:ascii="宋体" w:hAnsi="宋体"/>
          <w:b/>
          <w:color w:val="000000" w:themeColor="text1"/>
          <w:sz w:val="28"/>
          <w:szCs w:val="28"/>
        </w:rPr>
        <w:t>不接受</w:t>
      </w:r>
      <w:r>
        <w:rPr>
          <w:rFonts w:hint="eastAsia" w:ascii="宋体" w:hAnsi="宋体"/>
          <w:color w:val="000000" w:themeColor="text1"/>
          <w:sz w:val="28"/>
          <w:szCs w:val="28"/>
        </w:rPr>
        <w:t>联合体投标。</w:t>
      </w:r>
    </w:p>
    <w:p>
      <w:pPr>
        <w:pStyle w:val="6"/>
        <w:numPr>
          <w:ilvl w:val="2"/>
          <w:numId w:val="4"/>
        </w:numPr>
        <w:spacing w:after="200" w:line="240" w:lineRule="auto"/>
        <w:ind w:left="0" w:firstLine="0"/>
        <w:rPr>
          <w:color w:val="000000" w:themeColor="text1"/>
        </w:rPr>
      </w:pPr>
      <w:r>
        <w:rPr>
          <w:rFonts w:hint="eastAsia"/>
          <w:color w:val="000000" w:themeColor="text1"/>
        </w:rPr>
        <w:t>知识产权</w:t>
      </w:r>
      <w:bookmarkEnd w:id="72"/>
    </w:p>
    <w:p>
      <w:pPr>
        <w:pStyle w:val="155"/>
        <w:numPr>
          <w:ilvl w:val="0"/>
          <w:numId w:val="14"/>
        </w:numPr>
        <w:tabs>
          <w:tab w:val="left" w:pos="1134"/>
        </w:tabs>
        <w:spacing w:after="200"/>
        <w:ind w:left="0" w:firstLine="549" w:firstLineChars="0"/>
        <w:rPr>
          <w:rFonts w:ascii="宋体" w:hAnsi="宋体"/>
          <w:color w:val="000000" w:themeColor="text1"/>
          <w:sz w:val="28"/>
          <w:szCs w:val="28"/>
        </w:rPr>
      </w:pPr>
      <w:bookmarkStart w:id="73" w:name="_Toc183682354"/>
      <w:bookmarkStart w:id="74" w:name="_Toc183582217"/>
      <w:bookmarkStart w:id="75" w:name="_Toc217446048"/>
      <w:r>
        <w:rPr>
          <w:rFonts w:hint="eastAsia" w:ascii="宋体" w:hAnsi="宋体"/>
          <w:color w:val="000000" w:themeColor="text1"/>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5"/>
        <w:numPr>
          <w:ilvl w:val="0"/>
          <w:numId w:val="14"/>
        </w:numPr>
        <w:tabs>
          <w:tab w:val="left" w:pos="1134"/>
        </w:tabs>
        <w:spacing w:after="200"/>
        <w:ind w:left="0" w:firstLine="549" w:firstLineChars="0"/>
        <w:rPr>
          <w:rFonts w:ascii="宋体" w:hAnsi="宋体"/>
          <w:color w:val="000000" w:themeColor="text1"/>
          <w:sz w:val="28"/>
          <w:szCs w:val="28"/>
        </w:rPr>
      </w:pPr>
      <w:r>
        <w:rPr>
          <w:rFonts w:hint="eastAsia" w:ascii="宋体" w:hAnsi="宋体"/>
          <w:color w:val="000000" w:themeColor="text1"/>
          <w:sz w:val="28"/>
          <w:szCs w:val="28"/>
        </w:rPr>
        <w:t>采购人享有本项目实施过程中产生的知识成果及知识产权。</w:t>
      </w:r>
    </w:p>
    <w:p>
      <w:pPr>
        <w:pStyle w:val="155"/>
        <w:numPr>
          <w:ilvl w:val="0"/>
          <w:numId w:val="14"/>
        </w:numPr>
        <w:tabs>
          <w:tab w:val="left" w:pos="1134"/>
        </w:tabs>
        <w:spacing w:after="200"/>
        <w:ind w:left="0" w:firstLine="549" w:firstLineChars="0"/>
        <w:rPr>
          <w:rFonts w:ascii="宋体" w:hAnsi="宋体"/>
          <w:color w:val="000000" w:themeColor="text1"/>
          <w:sz w:val="28"/>
          <w:szCs w:val="28"/>
        </w:rPr>
      </w:pPr>
      <w:r>
        <w:rPr>
          <w:rFonts w:hint="eastAsia" w:ascii="宋体" w:hAnsi="宋体"/>
          <w:color w:val="000000" w:themeColor="text1"/>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5"/>
        <w:numPr>
          <w:ilvl w:val="0"/>
          <w:numId w:val="14"/>
        </w:numPr>
        <w:tabs>
          <w:tab w:val="left" w:pos="1134"/>
        </w:tabs>
        <w:spacing w:after="200"/>
        <w:ind w:left="0" w:firstLine="549" w:firstLineChars="0"/>
        <w:rPr>
          <w:rFonts w:ascii="宋体" w:hAnsi="宋体"/>
          <w:color w:val="000000" w:themeColor="text1"/>
          <w:sz w:val="28"/>
          <w:szCs w:val="28"/>
        </w:rPr>
      </w:pPr>
      <w:r>
        <w:rPr>
          <w:rFonts w:hint="eastAsia" w:ascii="宋体" w:hAnsi="宋体"/>
          <w:color w:val="000000" w:themeColor="text1"/>
          <w:sz w:val="28"/>
          <w:szCs w:val="28"/>
        </w:rPr>
        <w:t>如采用投标人所不拥有的知识产权，则在投标报价中必须包括合法获取该知识产权的相关费用。</w:t>
      </w:r>
    </w:p>
    <w:p>
      <w:pPr>
        <w:pStyle w:val="6"/>
        <w:numPr>
          <w:ilvl w:val="2"/>
          <w:numId w:val="4"/>
        </w:numPr>
        <w:spacing w:after="200" w:line="240" w:lineRule="auto"/>
        <w:ind w:left="0" w:firstLine="0"/>
        <w:rPr>
          <w:color w:val="000000" w:themeColor="text1"/>
        </w:rPr>
      </w:pPr>
      <w:r>
        <w:rPr>
          <w:rFonts w:hint="eastAsia"/>
          <w:color w:val="000000" w:themeColor="text1"/>
        </w:rPr>
        <w:t>投标文件的组成</w:t>
      </w:r>
      <w:bookmarkEnd w:id="73"/>
      <w:bookmarkEnd w:id="74"/>
      <w:bookmarkEnd w:id="75"/>
    </w:p>
    <w:p>
      <w:pPr>
        <w:ind w:firstLine="548" w:firstLineChars="196"/>
        <w:rPr>
          <w:rFonts w:ascii="宋体" w:hAnsi="宋体"/>
          <w:color w:val="000000" w:themeColor="text1"/>
          <w:sz w:val="28"/>
          <w:szCs w:val="28"/>
        </w:rPr>
      </w:pPr>
      <w:r>
        <w:rPr>
          <w:rFonts w:hint="eastAsia" w:ascii="宋体" w:hAnsi="宋体"/>
          <w:color w:val="000000" w:themeColor="text1"/>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ind w:left="546"/>
        <w:rPr>
          <w:rFonts w:ascii="宋体" w:hAnsi="宋体"/>
          <w:b/>
          <w:color w:val="000000" w:themeColor="text1"/>
          <w:kern w:val="0"/>
          <w:sz w:val="28"/>
          <w:szCs w:val="28"/>
        </w:rPr>
      </w:pPr>
      <w:r>
        <w:rPr>
          <w:rFonts w:hint="eastAsia" w:ascii="宋体" w:hAnsi="宋体"/>
          <w:b/>
          <w:color w:val="000000" w:themeColor="text1"/>
          <w:kern w:val="0"/>
          <w:sz w:val="28"/>
          <w:szCs w:val="28"/>
        </w:rPr>
        <w:t>资格性审查部分：</w:t>
      </w:r>
    </w:p>
    <w:p>
      <w:pPr>
        <w:ind w:left="546"/>
        <w:rPr>
          <w:rFonts w:ascii="宋体" w:hAnsi="宋体"/>
          <w:color w:val="000000" w:themeColor="text1"/>
          <w:sz w:val="28"/>
          <w:szCs w:val="28"/>
        </w:rPr>
      </w:pPr>
      <w:r>
        <w:rPr>
          <w:rFonts w:hint="eastAsia" w:ascii="宋体" w:hAnsi="宋体"/>
          <w:color w:val="000000" w:themeColor="text1"/>
          <w:sz w:val="28"/>
          <w:szCs w:val="28"/>
        </w:rPr>
        <w:t>严格按照第4、5章要求提供相关资格、资质性及其他类似效力要求</w:t>
      </w:r>
    </w:p>
    <w:p>
      <w:pPr>
        <w:rPr>
          <w:rFonts w:ascii="宋体" w:hAnsi="宋体"/>
          <w:b/>
          <w:color w:val="000000" w:themeColor="text1"/>
          <w:sz w:val="28"/>
          <w:szCs w:val="28"/>
        </w:rPr>
      </w:pPr>
      <w:r>
        <w:rPr>
          <w:rFonts w:hint="eastAsia" w:ascii="宋体" w:hAnsi="宋体"/>
          <w:color w:val="000000" w:themeColor="text1"/>
          <w:sz w:val="28"/>
          <w:szCs w:val="28"/>
        </w:rPr>
        <w:t>的相关证明材料。</w:t>
      </w:r>
    </w:p>
    <w:p>
      <w:pPr>
        <w:pStyle w:val="84"/>
        <w:ind w:left="546" w:firstLine="0" w:firstLineChars="0"/>
        <w:rPr>
          <w:b/>
          <w:color w:val="000000" w:themeColor="text1"/>
          <w:sz w:val="28"/>
        </w:rPr>
      </w:pPr>
      <w:r>
        <w:rPr>
          <w:rFonts w:hint="eastAsia"/>
          <w:b/>
          <w:color w:val="000000" w:themeColor="text1"/>
          <w:sz w:val="28"/>
        </w:rPr>
        <w:t>技术、商务及其他要求响应部分：</w:t>
      </w:r>
    </w:p>
    <w:p>
      <w:pPr>
        <w:numPr>
          <w:ilvl w:val="0"/>
          <w:numId w:val="15"/>
        </w:numPr>
        <w:ind w:firstLine="548" w:firstLineChars="196"/>
        <w:rPr>
          <w:rFonts w:ascii="宋体" w:hAnsi="宋体"/>
          <w:color w:val="000000" w:themeColor="text1"/>
          <w:sz w:val="28"/>
          <w:szCs w:val="28"/>
        </w:rPr>
      </w:pPr>
      <w:bookmarkStart w:id="76" w:name="_Toc316291395"/>
      <w:bookmarkEnd w:id="76"/>
      <w:bookmarkStart w:id="77" w:name="_Toc316292020"/>
      <w:bookmarkEnd w:id="77"/>
      <w:bookmarkStart w:id="78" w:name="_Toc316291396"/>
      <w:bookmarkEnd w:id="78"/>
      <w:bookmarkStart w:id="79" w:name="_Toc316292019"/>
      <w:bookmarkEnd w:id="79"/>
      <w:bookmarkStart w:id="80" w:name="_Toc183582218"/>
      <w:bookmarkStart w:id="81" w:name="_Toc217446049"/>
      <w:bookmarkStart w:id="82" w:name="_Toc183682355"/>
      <w:r>
        <w:rPr>
          <w:rFonts w:hint="eastAsia" w:ascii="宋体" w:hAnsi="宋体"/>
          <w:color w:val="000000" w:themeColor="text1"/>
          <w:sz w:val="28"/>
          <w:szCs w:val="28"/>
        </w:rPr>
        <w:t>投标函；</w:t>
      </w:r>
    </w:p>
    <w:p>
      <w:pPr>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承诺函（实质性要求）；</w:t>
      </w:r>
    </w:p>
    <w:p>
      <w:pPr>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开标一览表；</w:t>
      </w:r>
    </w:p>
    <w:p>
      <w:pPr>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报价明细表</w:t>
      </w:r>
    </w:p>
    <w:p>
      <w:pPr>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商务应答表；</w:t>
      </w:r>
    </w:p>
    <w:p>
      <w:pPr>
        <w:pStyle w:val="2"/>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技术及其他要求应答表；</w:t>
      </w:r>
    </w:p>
    <w:p>
      <w:pPr>
        <w:pStyle w:val="2"/>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投标人基本情况表；</w:t>
      </w:r>
    </w:p>
    <w:p>
      <w:pPr>
        <w:pStyle w:val="2"/>
        <w:numPr>
          <w:ilvl w:val="0"/>
          <w:numId w:val="15"/>
        </w:numPr>
        <w:ind w:firstLine="548" w:firstLineChars="196"/>
        <w:rPr>
          <w:rFonts w:ascii="宋体" w:hAnsi="宋体"/>
          <w:color w:val="000000" w:themeColor="text1"/>
          <w:sz w:val="28"/>
          <w:szCs w:val="28"/>
        </w:rPr>
      </w:pPr>
      <w:r>
        <w:rPr>
          <w:rFonts w:ascii="宋体" w:hAnsi="宋体"/>
          <w:color w:val="000000" w:themeColor="text1"/>
          <w:sz w:val="28"/>
          <w:szCs w:val="28"/>
        </w:rPr>
        <w:t>类似项目业绩一览表</w:t>
      </w:r>
      <w:r>
        <w:rPr>
          <w:rFonts w:hint="eastAsia" w:ascii="宋体" w:hAnsi="宋体"/>
          <w:color w:val="000000" w:themeColor="text1"/>
          <w:sz w:val="28"/>
          <w:szCs w:val="28"/>
        </w:rPr>
        <w:t>；</w:t>
      </w:r>
    </w:p>
    <w:p>
      <w:pPr>
        <w:pStyle w:val="2"/>
        <w:numPr>
          <w:ilvl w:val="0"/>
          <w:numId w:val="15"/>
        </w:numPr>
        <w:ind w:firstLine="548" w:firstLineChars="196"/>
        <w:rPr>
          <w:rFonts w:ascii="宋体" w:hAnsi="宋体"/>
          <w:color w:val="000000" w:themeColor="text1"/>
          <w:sz w:val="28"/>
          <w:szCs w:val="28"/>
        </w:rPr>
      </w:pPr>
      <w:r>
        <w:rPr>
          <w:rFonts w:ascii="宋体" w:hAnsi="宋体"/>
          <w:color w:val="000000" w:themeColor="text1"/>
          <w:sz w:val="28"/>
          <w:szCs w:val="28"/>
        </w:rPr>
        <w:t>投标人本项目管理、技术、服务人员情况表</w:t>
      </w:r>
      <w:r>
        <w:rPr>
          <w:rFonts w:hint="eastAsia" w:ascii="宋体" w:hAnsi="宋体"/>
          <w:color w:val="000000" w:themeColor="text1"/>
          <w:sz w:val="28"/>
          <w:szCs w:val="28"/>
        </w:rPr>
        <w:t>；</w:t>
      </w:r>
    </w:p>
    <w:p/>
    <w:p/>
    <w:p>
      <w:pPr>
        <w:pStyle w:val="2"/>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 xml:space="preserve">中小企业声明函； </w:t>
      </w:r>
    </w:p>
    <w:p>
      <w:pPr>
        <w:pStyle w:val="2"/>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 xml:space="preserve">残疾人福利性单位声明函（如涉及）； </w:t>
      </w:r>
    </w:p>
    <w:p>
      <w:pPr>
        <w:pStyle w:val="2"/>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 xml:space="preserve">监狱企业的证明文件（如涉及）； </w:t>
      </w:r>
    </w:p>
    <w:p>
      <w:pPr>
        <w:pStyle w:val="2"/>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招标代理服务费承诺函</w:t>
      </w:r>
    </w:p>
    <w:p>
      <w:pPr>
        <w:pStyle w:val="2"/>
        <w:numPr>
          <w:ilvl w:val="0"/>
          <w:numId w:val="15"/>
        </w:numPr>
        <w:ind w:firstLine="548" w:firstLineChars="196"/>
        <w:rPr>
          <w:rFonts w:ascii="宋体" w:hAnsi="宋体"/>
          <w:color w:val="000000" w:themeColor="text1"/>
          <w:sz w:val="28"/>
          <w:szCs w:val="28"/>
        </w:rPr>
      </w:pPr>
      <w:r>
        <w:rPr>
          <w:rFonts w:hint="eastAsia" w:ascii="宋体" w:hAnsi="宋体"/>
          <w:color w:val="000000" w:themeColor="text1"/>
          <w:sz w:val="28"/>
          <w:szCs w:val="28"/>
        </w:rPr>
        <w:t>其他供应商认为应当提供的文件和资料。</w:t>
      </w:r>
    </w:p>
    <w:p>
      <w:pPr>
        <w:pStyle w:val="6"/>
        <w:numPr>
          <w:ilvl w:val="2"/>
          <w:numId w:val="4"/>
        </w:numPr>
        <w:spacing w:after="200" w:line="240" w:lineRule="auto"/>
        <w:ind w:left="0" w:firstLine="0"/>
        <w:rPr>
          <w:color w:val="000000" w:themeColor="text1"/>
        </w:rPr>
      </w:pPr>
      <w:r>
        <w:rPr>
          <w:rFonts w:hint="eastAsia"/>
          <w:color w:val="000000" w:themeColor="text1"/>
        </w:rPr>
        <w:t>投标文件格式</w:t>
      </w:r>
      <w:bookmarkEnd w:id="80"/>
      <w:bookmarkEnd w:id="81"/>
      <w:bookmarkEnd w:id="82"/>
      <w:r>
        <w:rPr>
          <w:rFonts w:hint="eastAsia"/>
          <w:color w:val="000000" w:themeColor="text1"/>
        </w:rPr>
        <w:tab/>
      </w:r>
    </w:p>
    <w:p>
      <w:pPr>
        <w:numPr>
          <w:ilvl w:val="0"/>
          <w:numId w:val="16"/>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投标人应按照招标文件第3章中提供的“投标文件格式”填写相关内容。</w:t>
      </w:r>
    </w:p>
    <w:p>
      <w:pPr>
        <w:numPr>
          <w:ilvl w:val="0"/>
          <w:numId w:val="16"/>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对于没有格式要求的投标文件由投标人自行编写。</w:t>
      </w:r>
    </w:p>
    <w:p>
      <w:pPr>
        <w:pStyle w:val="6"/>
        <w:numPr>
          <w:ilvl w:val="2"/>
          <w:numId w:val="4"/>
        </w:numPr>
        <w:spacing w:after="200" w:line="240" w:lineRule="auto"/>
        <w:ind w:left="0" w:firstLine="0"/>
        <w:rPr>
          <w:color w:val="000000" w:themeColor="text1"/>
        </w:rPr>
      </w:pPr>
      <w:bookmarkStart w:id="83" w:name="_Toc183682360"/>
      <w:bookmarkStart w:id="84" w:name="_Toc217446050"/>
      <w:bookmarkStart w:id="85" w:name="_Toc183582223"/>
      <w:r>
        <w:rPr>
          <w:rFonts w:hint="eastAsia"/>
          <w:color w:val="000000" w:themeColor="text1"/>
        </w:rPr>
        <w:t>投标报价</w:t>
      </w:r>
    </w:p>
    <w:p>
      <w:pPr>
        <w:numPr>
          <w:ilvl w:val="0"/>
          <w:numId w:val="17"/>
        </w:numPr>
        <w:tabs>
          <w:tab w:val="left" w:pos="1134"/>
        </w:tabs>
        <w:spacing w:line="360" w:lineRule="auto"/>
        <w:ind w:left="0" w:firstLine="560"/>
        <w:rPr>
          <w:rFonts w:ascii="宋体" w:hAnsi="宋体"/>
          <w:color w:val="000000" w:themeColor="text1"/>
          <w:sz w:val="28"/>
          <w:szCs w:val="28"/>
        </w:rPr>
      </w:pPr>
      <w:r>
        <w:rPr>
          <w:rFonts w:hint="eastAsia" w:ascii="宋体" w:hAnsi="宋体"/>
          <w:color w:val="000000" w:themeColor="text1"/>
          <w:sz w:val="28"/>
          <w:szCs w:val="28"/>
        </w:rPr>
        <w:t>投标人的报价是投标人响应招标项目要求的全部工作内容的价格体现，包括投标人完成本项目所需的一切费用。</w:t>
      </w:r>
    </w:p>
    <w:p>
      <w:pPr>
        <w:numPr>
          <w:ilvl w:val="0"/>
          <w:numId w:val="17"/>
        </w:numPr>
        <w:tabs>
          <w:tab w:val="left" w:pos="1134"/>
        </w:tabs>
        <w:spacing w:line="360" w:lineRule="auto"/>
        <w:ind w:left="0" w:firstLine="560"/>
        <w:rPr>
          <w:rFonts w:ascii="宋体" w:hAnsi="宋体"/>
          <w:color w:val="000000" w:themeColor="text1"/>
          <w:sz w:val="28"/>
          <w:szCs w:val="28"/>
        </w:rPr>
      </w:pPr>
      <w:r>
        <w:rPr>
          <w:rFonts w:hint="eastAsia" w:ascii="宋体" w:hAnsi="宋体"/>
          <w:color w:val="000000" w:themeColor="text1"/>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rPr>
        <w:t>2</w:t>
      </w:r>
      <w:r>
        <w:rPr>
          <w:rFonts w:hint="eastAsia" w:ascii="宋体" w:hAnsi="宋体"/>
          <w:color w:val="000000" w:themeColor="text1"/>
          <w:sz w:val="28"/>
          <w:szCs w:val="28"/>
        </w:rPr>
        <w:t>）单价金额小数点或者百分比有明显错位的，应以总价为准，并修改单价；（</w:t>
      </w:r>
      <w:r>
        <w:rPr>
          <w:rFonts w:ascii="宋体" w:hAnsi="宋体"/>
          <w:color w:val="000000" w:themeColor="text1"/>
          <w:sz w:val="28"/>
          <w:szCs w:val="28"/>
        </w:rPr>
        <w:t>3</w:t>
      </w:r>
      <w:r>
        <w:rPr>
          <w:rFonts w:hint="eastAsia" w:ascii="宋体" w:hAnsi="宋体"/>
          <w:color w:val="000000" w:themeColor="text1"/>
          <w:sz w:val="28"/>
          <w:szCs w:val="28"/>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rPr>
      </w:pPr>
      <w:r>
        <w:rPr>
          <w:rFonts w:hint="eastAsia" w:cs="Arial"/>
          <w:color w:val="000000" w:themeColor="text1"/>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rPr>
        <w:t>如因断电、断网、系统故障或其他不可抗力等因素</w:t>
      </w:r>
      <w:r>
        <w:rPr>
          <w:rFonts w:hint="eastAsia" w:cs="Arial"/>
          <w:color w:val="000000" w:themeColor="text1"/>
          <w:sz w:val="28"/>
          <w:szCs w:val="28"/>
        </w:rPr>
        <w:t>，导致系统无法使用的，由投标人按评标委员会的要求进行澄清或者说明。</w:t>
      </w:r>
    </w:p>
    <w:p>
      <w:pPr>
        <w:pStyle w:val="6"/>
        <w:numPr>
          <w:ilvl w:val="2"/>
          <w:numId w:val="4"/>
        </w:numPr>
        <w:spacing w:after="200" w:line="240" w:lineRule="auto"/>
        <w:ind w:left="0" w:firstLine="0"/>
        <w:rPr>
          <w:color w:val="000000" w:themeColor="text1"/>
        </w:rPr>
      </w:pPr>
      <w:r>
        <w:rPr>
          <w:rFonts w:hint="eastAsia"/>
          <w:color w:val="000000" w:themeColor="text1"/>
        </w:rPr>
        <w:t>投标保证金</w:t>
      </w:r>
      <w:bookmarkEnd w:id="83"/>
      <w:bookmarkEnd w:id="84"/>
      <w:bookmarkEnd w:id="85"/>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本项目不收取投标保证金。</w:t>
      </w:r>
    </w:p>
    <w:p>
      <w:pPr>
        <w:pStyle w:val="2"/>
      </w:pPr>
    </w:p>
    <w:p>
      <w:pPr>
        <w:pStyle w:val="6"/>
        <w:numPr>
          <w:ilvl w:val="2"/>
          <w:numId w:val="4"/>
        </w:numPr>
        <w:tabs>
          <w:tab w:val="left" w:pos="851"/>
        </w:tabs>
        <w:spacing w:after="200" w:line="240" w:lineRule="auto"/>
        <w:ind w:left="0" w:firstLine="0"/>
        <w:rPr>
          <w:color w:val="000000" w:themeColor="text1"/>
        </w:rPr>
      </w:pPr>
      <w:bookmarkStart w:id="86" w:name="_Toc316292024"/>
      <w:bookmarkEnd w:id="86"/>
      <w:bookmarkStart w:id="87" w:name="_Toc316291400"/>
      <w:bookmarkEnd w:id="87"/>
      <w:bookmarkStart w:id="88" w:name="_Toc183682361"/>
      <w:bookmarkStart w:id="89" w:name="_Toc183582224"/>
      <w:bookmarkStart w:id="90" w:name="_Toc217446051"/>
      <w:r>
        <w:rPr>
          <w:rFonts w:hint="eastAsia"/>
          <w:color w:val="000000" w:themeColor="text1"/>
        </w:rPr>
        <w:t>投标有效期</w:t>
      </w:r>
      <w:bookmarkEnd w:id="88"/>
      <w:bookmarkEnd w:id="89"/>
      <w:bookmarkEnd w:id="90"/>
      <w:bookmarkStart w:id="91" w:name="_Toc183682362"/>
      <w:bookmarkStart w:id="92" w:name="_Toc217446052"/>
      <w:bookmarkStart w:id="93" w:name="_Toc183582225"/>
      <w:r>
        <w:rPr>
          <w:rFonts w:hint="eastAsia"/>
          <w:color w:val="000000" w:themeColor="text1"/>
        </w:rPr>
        <w:t>（实质性要求）</w:t>
      </w:r>
    </w:p>
    <w:p>
      <w:pPr>
        <w:pStyle w:val="2"/>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w:t>
      </w:r>
      <w:r>
        <w:rPr>
          <w:rFonts w:hint="eastAsia" w:ascii="宋体" w:hAnsi="宋体"/>
          <w:b/>
          <w:bCs/>
          <w:color w:val="000000" w:themeColor="text1"/>
          <w:sz w:val="28"/>
          <w:szCs w:val="28"/>
        </w:rPr>
        <w:t>本项目投标有效期为投标截止之日起90天</w:t>
      </w:r>
      <w:r>
        <w:rPr>
          <w:rFonts w:hint="eastAsia" w:ascii="宋体" w:hAnsi="宋体"/>
          <w:color w:val="000000" w:themeColor="text1"/>
          <w:sz w:val="28"/>
          <w:szCs w:val="28"/>
        </w:rPr>
        <w:t>（投标有效期从提交投标文件的截至之日起算）。投标人投标文件中必须载明投标有效期，投标文件中载明的投标有效期可以长于招标文件规定的期限，但不得短于招标文件规定的期限。否则，其投标文件将作为无效投标处理。</w:t>
      </w:r>
    </w:p>
    <w:p>
      <w:pPr>
        <w:pStyle w:val="2"/>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二、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pStyle w:val="2"/>
        <w:spacing w:line="360" w:lineRule="auto"/>
        <w:ind w:firstLine="560" w:firstLineChars="200"/>
      </w:pPr>
      <w:r>
        <w:rPr>
          <w:rFonts w:hint="eastAsia" w:ascii="宋体" w:hAnsi="宋体"/>
          <w:color w:val="000000" w:themeColor="text1"/>
          <w:sz w:val="28"/>
          <w:szCs w:val="28"/>
        </w:rPr>
        <w:t>三、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6"/>
        <w:numPr>
          <w:ilvl w:val="2"/>
          <w:numId w:val="4"/>
        </w:numPr>
        <w:tabs>
          <w:tab w:val="left" w:pos="851"/>
        </w:tabs>
        <w:spacing w:after="200" w:line="240" w:lineRule="auto"/>
        <w:ind w:left="0" w:firstLine="0"/>
        <w:rPr>
          <w:color w:val="000000" w:themeColor="text1"/>
        </w:rPr>
      </w:pPr>
      <w:r>
        <w:rPr>
          <w:rFonts w:hint="eastAsia"/>
          <w:color w:val="000000" w:themeColor="text1"/>
        </w:rPr>
        <w:t>投标文件的制作和签章、加密</w:t>
      </w:r>
      <w:bookmarkEnd w:id="91"/>
      <w:bookmarkEnd w:id="92"/>
      <w:bookmarkEnd w:id="93"/>
      <w:bookmarkStart w:id="94" w:name="_Toc316475578"/>
      <w:bookmarkEnd w:id="94"/>
      <w:bookmarkStart w:id="95" w:name="_Toc316475583"/>
      <w:bookmarkEnd w:id="95"/>
      <w:bookmarkStart w:id="96" w:name="_Toc316475580"/>
      <w:bookmarkEnd w:id="96"/>
      <w:bookmarkStart w:id="97" w:name="_Toc316475579"/>
      <w:bookmarkEnd w:id="97"/>
      <w:bookmarkStart w:id="98" w:name="_Toc316475582"/>
      <w:bookmarkEnd w:id="98"/>
      <w:bookmarkStart w:id="99" w:name="_Toc316475581"/>
      <w:bookmarkEnd w:id="99"/>
      <w:bookmarkStart w:id="100" w:name="_Toc316475577"/>
      <w:bookmarkEnd w:id="100"/>
      <w:bookmarkStart w:id="101" w:name="_Toc183682364"/>
      <w:bookmarkStart w:id="102" w:name="_Toc183582227"/>
      <w:bookmarkStart w:id="103" w:name="_Toc217446054"/>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二、投标文件制作详情：</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1、本项目实行电子投标。投标人应先安装“政采云投标客户端”（下载地址1：前往成都云辉工程项目管理有限公司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3、投标人应使用本企业CA数字证书对投标文件进行加密。</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6"/>
        <w:numPr>
          <w:ilvl w:val="2"/>
          <w:numId w:val="4"/>
        </w:numPr>
        <w:spacing w:after="200" w:line="240" w:lineRule="auto"/>
        <w:ind w:left="0" w:firstLine="0"/>
        <w:rPr>
          <w:color w:val="000000" w:themeColor="text1"/>
        </w:rPr>
      </w:pPr>
      <w:r>
        <w:rPr>
          <w:rFonts w:hint="eastAsia"/>
          <w:color w:val="000000" w:themeColor="text1"/>
        </w:rPr>
        <w:t>投标文件的</w:t>
      </w:r>
      <w:bookmarkEnd w:id="101"/>
      <w:bookmarkEnd w:id="102"/>
      <w:r>
        <w:rPr>
          <w:rFonts w:hint="eastAsia"/>
          <w:color w:val="000000" w:themeColor="text1"/>
        </w:rPr>
        <w:t>递交</w:t>
      </w:r>
      <w:bookmarkEnd w:id="103"/>
    </w:p>
    <w:p>
      <w:pPr>
        <w:tabs>
          <w:tab w:val="left" w:pos="0"/>
        </w:tabs>
        <w:spacing w:line="360" w:lineRule="auto"/>
        <w:ind w:firstLine="420" w:firstLineChars="150"/>
        <w:rPr>
          <w:rFonts w:ascii="宋体" w:hAnsi="宋体" w:eastAsiaTheme="minorEastAsia" w:cstheme="minorBidi"/>
          <w:bCs/>
          <w:color w:val="000000" w:themeColor="text1"/>
          <w:sz w:val="28"/>
          <w:szCs w:val="28"/>
        </w:rPr>
      </w:pPr>
      <w:r>
        <w:rPr>
          <w:rFonts w:hint="eastAsia" w:ascii="宋体" w:hAnsi="宋体" w:eastAsiaTheme="minorEastAsia" w:cstheme="minorBidi"/>
          <w:bCs/>
          <w:color w:val="000000" w:themeColor="text1"/>
          <w:sz w:val="28"/>
          <w:szCs w:val="28"/>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rPr>
      </w:pPr>
      <w:r>
        <w:rPr>
          <w:rFonts w:hint="eastAsia" w:ascii="宋体" w:hAnsi="宋体" w:eastAsiaTheme="minorEastAsia" w:cstheme="minorBidi"/>
          <w:bCs/>
          <w:color w:val="000000" w:themeColor="text1"/>
          <w:sz w:val="28"/>
          <w:szCs w:val="28"/>
        </w:rPr>
        <w:t>二、因招标文件的修改推迟投标截止日期的，投标人按成都云辉工程项目管理有限公司在“四川政府采购网”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000000" w:themeColor="text1"/>
          <w:sz w:val="28"/>
          <w:szCs w:val="28"/>
        </w:rPr>
      </w:pPr>
      <w:r>
        <w:rPr>
          <w:rFonts w:hint="eastAsia" w:ascii="宋体" w:hAnsi="宋体" w:eastAsiaTheme="minorEastAsia" w:cstheme="minorBidi"/>
          <w:bCs/>
          <w:color w:val="000000" w:themeColor="text1"/>
          <w:sz w:val="28"/>
          <w:szCs w:val="28"/>
        </w:rPr>
        <w:t>三、投标人应充分考虑递交文件的不可预见因素，未在投标截止时间前完成递交的，在投标截止时间后将无法递交</w:t>
      </w:r>
      <w:r>
        <w:rPr>
          <w:rFonts w:hint="eastAsia" w:ascii="宋体" w:hAnsi="宋体"/>
          <w:bCs/>
          <w:color w:val="000000" w:themeColor="text1"/>
          <w:sz w:val="28"/>
          <w:szCs w:val="28"/>
        </w:rPr>
        <w:t>。</w:t>
      </w:r>
    </w:p>
    <w:p>
      <w:pPr>
        <w:pStyle w:val="6"/>
        <w:numPr>
          <w:ilvl w:val="2"/>
          <w:numId w:val="4"/>
        </w:numPr>
        <w:spacing w:after="200" w:line="276" w:lineRule="auto"/>
        <w:ind w:left="0" w:firstLine="0"/>
        <w:rPr>
          <w:color w:val="000000" w:themeColor="text1"/>
        </w:rPr>
      </w:pPr>
      <w:r>
        <w:rPr>
          <w:rFonts w:hint="eastAsia"/>
          <w:color w:val="000000" w:themeColor="text1"/>
        </w:rPr>
        <w:t>投标文件的补充、修改</w:t>
      </w:r>
    </w:p>
    <w:p>
      <w:pPr>
        <w:numPr>
          <w:ilvl w:val="0"/>
          <w:numId w:val="18"/>
        </w:numPr>
        <w:spacing w:before="120" w:after="20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8"/>
        </w:numPr>
        <w:spacing w:before="120" w:after="20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在投标截止时间之后，投标人不得对其递交的投标文件做任何补充、修改。</w:t>
      </w:r>
    </w:p>
    <w:p>
      <w:pPr>
        <w:pStyle w:val="6"/>
        <w:numPr>
          <w:ilvl w:val="2"/>
          <w:numId w:val="4"/>
        </w:numPr>
        <w:spacing w:after="200"/>
        <w:ind w:left="851"/>
        <w:rPr>
          <w:color w:val="000000" w:themeColor="text1"/>
        </w:rPr>
      </w:pPr>
      <w:r>
        <w:rPr>
          <w:rFonts w:hint="eastAsia"/>
          <w:color w:val="000000" w:themeColor="text1"/>
        </w:rPr>
        <w:t>投标文件的撤回</w:t>
      </w:r>
    </w:p>
    <w:p>
      <w:pPr>
        <w:numPr>
          <w:ilvl w:val="0"/>
          <w:numId w:val="19"/>
        </w:numPr>
        <w:spacing w:before="120" w:after="200" w:line="360" w:lineRule="auto"/>
        <w:ind w:left="0" w:firstLine="567"/>
        <w:rPr>
          <w:rFonts w:ascii="宋体" w:hAnsi="宋体"/>
          <w:bCs/>
          <w:color w:val="000000" w:themeColor="text1"/>
          <w:sz w:val="28"/>
          <w:szCs w:val="28"/>
        </w:rPr>
      </w:pPr>
      <w:r>
        <w:rPr>
          <w:rFonts w:hint="eastAsia" w:ascii="宋体" w:hAnsi="宋体"/>
          <w:bCs/>
          <w:color w:val="000000" w:themeColor="text1"/>
          <w:sz w:val="28"/>
          <w:szCs w:val="28"/>
        </w:rPr>
        <w:t>在投标截止时间之前，投标人可对已递交的投标文件进行撤回。在投标截止时间之后，投标人不得撤回投标文件。</w:t>
      </w:r>
    </w:p>
    <w:p>
      <w:pPr>
        <w:pStyle w:val="6"/>
        <w:numPr>
          <w:ilvl w:val="2"/>
          <w:numId w:val="4"/>
        </w:numPr>
        <w:spacing w:after="200" w:line="240" w:lineRule="auto"/>
        <w:ind w:left="851"/>
        <w:rPr>
          <w:color w:val="000000" w:themeColor="text1"/>
        </w:rPr>
      </w:pPr>
      <w:r>
        <w:rPr>
          <w:rFonts w:hint="eastAsia"/>
          <w:color w:val="000000" w:themeColor="text1"/>
        </w:rPr>
        <w:t>投标文件的解密</w:t>
      </w:r>
    </w:p>
    <w:p>
      <w:pPr>
        <w:tabs>
          <w:tab w:val="left" w:pos="1134"/>
        </w:tabs>
        <w:spacing w:before="120" w:line="360" w:lineRule="auto"/>
        <w:ind w:firstLine="565" w:firstLineChars="202"/>
        <w:rPr>
          <w:rFonts w:ascii="宋体" w:hAnsi="宋体"/>
          <w:bCs/>
          <w:color w:val="000000" w:themeColor="text1"/>
          <w:sz w:val="28"/>
          <w:szCs w:val="28"/>
        </w:rPr>
      </w:pPr>
      <w:r>
        <w:rPr>
          <w:rFonts w:hint="eastAsia" w:ascii="宋体" w:hAnsi="宋体"/>
          <w:bCs/>
          <w:color w:val="000000" w:themeColor="text1"/>
          <w:sz w:val="28"/>
          <w:szCs w:val="28"/>
        </w:rPr>
        <w:t>投标人</w:t>
      </w:r>
      <w:r>
        <w:rPr>
          <w:rFonts w:hint="eastAsia" w:ascii="宋体" w:hAnsi="宋体"/>
          <w:color w:val="000000" w:themeColor="text1"/>
          <w:sz w:val="28"/>
          <w:szCs w:val="28"/>
        </w:rPr>
        <w:t>登录政府采购云平台，点击“项目采购—开标评标”模块，找到对应项目，进入“开标大厅”，等待成都云辉工程项目管理有限公司开启解密后，进行线上解密。</w:t>
      </w:r>
      <w:r>
        <w:rPr>
          <w:rFonts w:hint="eastAsia" w:ascii="宋体" w:hAnsi="宋体"/>
          <w:bCs/>
          <w:color w:val="000000" w:themeColor="text1"/>
          <w:sz w:val="28"/>
          <w:szCs w:val="28"/>
        </w:rPr>
        <w:t>除因成都云辉工程项目管理有限公司断电、断网、系统故障或其他不可抗力等因素，导致系统无法使用外，投标人在规定的解密时间内，未成功解密的投标文件将视为无效投标文件。</w:t>
      </w:r>
    </w:p>
    <w:p>
      <w:pPr>
        <w:pStyle w:val="5"/>
        <w:numPr>
          <w:ilvl w:val="1"/>
          <w:numId w:val="4"/>
        </w:numPr>
        <w:spacing w:before="0" w:after="0" w:line="240" w:lineRule="auto"/>
        <w:ind w:left="2269" w:hanging="2269"/>
        <w:rPr>
          <w:color w:val="000000" w:themeColor="text1"/>
        </w:rPr>
      </w:pPr>
      <w:bookmarkStart w:id="104" w:name="_Toc316475587"/>
      <w:bookmarkEnd w:id="104"/>
      <w:bookmarkStart w:id="105" w:name="_Toc316475586"/>
      <w:bookmarkEnd w:id="105"/>
      <w:bookmarkStart w:id="106" w:name="_Toc183582231"/>
      <w:bookmarkStart w:id="107" w:name="_Toc77400782"/>
      <w:bookmarkStart w:id="108" w:name="_Toc16979"/>
      <w:bookmarkStart w:id="109" w:name="_Toc217446056"/>
      <w:bookmarkStart w:id="110" w:name="_Toc28766"/>
      <w:bookmarkStart w:id="111" w:name="_Toc183682368"/>
      <w:bookmarkStart w:id="112" w:name="_Toc4457"/>
      <w:bookmarkStart w:id="113" w:name="_Toc7749"/>
      <w:bookmarkStart w:id="114" w:name="_Toc31524"/>
      <w:bookmarkStart w:id="115" w:name="_Toc89075878"/>
      <w:r>
        <w:rPr>
          <w:rFonts w:hint="eastAsia"/>
          <w:color w:val="000000" w:themeColor="text1"/>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4"/>
        </w:numPr>
        <w:spacing w:line="360" w:lineRule="auto"/>
        <w:ind w:left="0" w:firstLine="0"/>
        <w:outlineLvl w:val="2"/>
        <w:rPr>
          <w:rFonts w:ascii="宋体" w:hAnsi="宋体"/>
          <w:b/>
          <w:bCs/>
          <w:color w:val="000000" w:themeColor="text1"/>
          <w:sz w:val="28"/>
          <w:szCs w:val="28"/>
        </w:rPr>
      </w:pPr>
      <w:bookmarkStart w:id="116" w:name="_Toc183682369"/>
      <w:bookmarkStart w:id="117" w:name="_Toc217446057"/>
      <w:bookmarkStart w:id="118" w:name="_Toc183582232"/>
      <w:r>
        <w:rPr>
          <w:rFonts w:hint="eastAsia" w:ascii="宋体" w:hAnsi="宋体"/>
          <w:b/>
          <w:bCs/>
          <w:color w:val="000000" w:themeColor="text1"/>
          <w:sz w:val="28"/>
          <w:szCs w:val="28"/>
        </w:rPr>
        <w:t>开标</w:t>
      </w:r>
      <w:bookmarkEnd w:id="116"/>
      <w:bookmarkEnd w:id="117"/>
      <w:bookmarkEnd w:id="118"/>
      <w:r>
        <w:rPr>
          <w:rFonts w:hint="eastAsia" w:ascii="宋体" w:hAnsi="宋体"/>
          <w:b/>
          <w:bCs/>
          <w:color w:val="000000" w:themeColor="text1"/>
          <w:sz w:val="28"/>
          <w:szCs w:val="28"/>
        </w:rPr>
        <w:t>及开标程序</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本项目为不见面开标项目。递交电子投标文件的投标人不足3家的，不予开标。</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开标准备工作。投标人需在开标当日、投标截止时间前登录“政府采购云平台”，通过“开标大厅”参与不见面开标。登录成都公共资源交易中心门户网站（https://www.cdggzy.com/）—政府采购云平台—项目采购—开标评标—开标大厅（找到对应项目）。提示：投标人未按时登录不见面开标系统，错过开标解密时间的，由投标人自行承担不利后果。</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解密投标文件。等待开启解密后，投标人进行线上解密。开启解密后，投标人应在60分钟内，使用加密该投标文件的CA数字证书在线完成投标文件的解密。除因成都云辉工程项目管理有限公司断电、断网、系统故障或其他不可抗力等因素，导致系统无法使用外，投标人在规定的解密时间内，未成功解密的投标文件将视为无效投标文件。</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投标人对开标过程和开标记录有疑义，以及认为采购人、成都云辉工程项目管理有限公司相关工作人员有需要回避的情形的，及时向工作人员提出询问或者回避申请。采购人、成都云辉工程项目管理有限公司对投标人提出的询问或者回避申请应当及时处理。</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因断电、断网、系统故障或其他不可抗力等因素导致不见面开标系统无法正常运行的，开标活动中止或延迟，待系统恢复正常后继续进行开标活动。</w:t>
      </w:r>
    </w:p>
    <w:p>
      <w:pPr>
        <w:pStyle w:val="84"/>
        <w:numPr>
          <w:ilvl w:val="0"/>
          <w:numId w:val="20"/>
        </w:numPr>
        <w:spacing w:before="120" w:after="200" w:line="360" w:lineRule="auto"/>
        <w:ind w:left="0" w:right="210" w:firstLine="567" w:firstLineChars="0"/>
        <w:rPr>
          <w:rFonts w:ascii="宋体" w:hAnsi="宋体" w:eastAsia="宋体" w:cs="宋体"/>
          <w:b/>
          <w:color w:val="000000" w:themeColor="text1"/>
          <w:sz w:val="28"/>
          <w:szCs w:val="28"/>
        </w:rPr>
      </w:pPr>
      <w:r>
        <w:rPr>
          <w:rFonts w:hint="eastAsia" w:ascii="宋体" w:hAnsi="宋体" w:eastAsia="宋体" w:cs="宋体"/>
          <w:b/>
          <w:color w:val="000000" w:themeColor="text1"/>
          <w:sz w:val="28"/>
          <w:szCs w:val="28"/>
        </w:rPr>
        <w:t>不见面开标过程中，各方主体均应遵守互联网有关规定，不得发表与交易活动无关的言论。</w:t>
      </w:r>
    </w:p>
    <w:p>
      <w:pPr>
        <w:pStyle w:val="6"/>
        <w:numPr>
          <w:ilvl w:val="2"/>
          <w:numId w:val="4"/>
        </w:numPr>
        <w:spacing w:after="200" w:line="240" w:lineRule="auto"/>
        <w:ind w:left="0" w:firstLine="0"/>
        <w:rPr>
          <w:color w:val="000000" w:themeColor="text1"/>
        </w:rPr>
      </w:pPr>
      <w:r>
        <w:rPr>
          <w:rFonts w:hint="eastAsia"/>
          <w:color w:val="000000" w:themeColor="text1"/>
        </w:rPr>
        <w:t>资格审查</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详见招标文件第5章。</w:t>
      </w:r>
    </w:p>
    <w:p>
      <w:pPr>
        <w:pStyle w:val="6"/>
        <w:numPr>
          <w:ilvl w:val="2"/>
          <w:numId w:val="4"/>
        </w:numPr>
        <w:spacing w:after="200" w:line="240" w:lineRule="auto"/>
        <w:ind w:left="0" w:firstLine="0"/>
        <w:rPr>
          <w:color w:val="000000" w:themeColor="text1"/>
        </w:rPr>
      </w:pPr>
      <w:r>
        <w:rPr>
          <w:rFonts w:hint="eastAsia"/>
          <w:color w:val="000000" w:themeColor="text1"/>
        </w:rPr>
        <w:t>评标</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详见招标文件第6章。</w:t>
      </w:r>
    </w:p>
    <w:p>
      <w:pPr>
        <w:pStyle w:val="6"/>
        <w:numPr>
          <w:ilvl w:val="2"/>
          <w:numId w:val="4"/>
        </w:numPr>
        <w:spacing w:after="200" w:line="240" w:lineRule="auto"/>
        <w:ind w:left="0" w:firstLine="0"/>
        <w:rPr>
          <w:color w:val="000000" w:themeColor="text1"/>
        </w:rPr>
      </w:pPr>
      <w:bookmarkStart w:id="119" w:name="_Toc183582238"/>
      <w:bookmarkStart w:id="120" w:name="_Toc183682375"/>
      <w:bookmarkStart w:id="121" w:name="_Toc217446063"/>
      <w:r>
        <w:rPr>
          <w:rFonts w:hint="eastAsia"/>
          <w:color w:val="000000" w:themeColor="text1"/>
        </w:rPr>
        <w:t>中标通知</w:t>
      </w:r>
      <w:bookmarkEnd w:id="119"/>
      <w:bookmarkEnd w:id="120"/>
      <w:r>
        <w:rPr>
          <w:rFonts w:hint="eastAsia"/>
          <w:color w:val="000000" w:themeColor="text1"/>
        </w:rPr>
        <w:t>书</w:t>
      </w:r>
      <w:bookmarkEnd w:id="121"/>
    </w:p>
    <w:p>
      <w:pPr>
        <w:widowControl/>
        <w:ind w:right="210" w:firstLine="560" w:firstLineChars="200"/>
        <w:jc w:val="left"/>
        <w:rPr>
          <w:rFonts w:ascii="宋体" w:hAnsi="宋体"/>
          <w:color w:val="000000" w:themeColor="text1"/>
          <w:sz w:val="28"/>
          <w:szCs w:val="28"/>
        </w:rPr>
      </w:pPr>
      <w:bookmarkStart w:id="122" w:name="_Toc217446064"/>
      <w:bookmarkStart w:id="123" w:name="_Toc183582240"/>
      <w:bookmarkStart w:id="124" w:name="_Toc183682377"/>
      <w:r>
        <w:rPr>
          <w:rFonts w:hint="eastAsia" w:ascii="宋体" w:hAnsi="宋体"/>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三、中标公告在四川政府采购网上公告后，中标供应商自行登录政府采购云平台下载中标通知书。</w:t>
      </w:r>
    </w:p>
    <w:p>
      <w:pPr>
        <w:pStyle w:val="5"/>
        <w:numPr>
          <w:ilvl w:val="1"/>
          <w:numId w:val="4"/>
        </w:numPr>
        <w:spacing w:before="0" w:after="0" w:line="240" w:lineRule="auto"/>
        <w:ind w:left="2269" w:hanging="2269"/>
        <w:rPr>
          <w:color w:val="000000" w:themeColor="text1"/>
        </w:rPr>
      </w:pPr>
      <w:bookmarkStart w:id="125" w:name="_Toc6010"/>
      <w:bookmarkStart w:id="126" w:name="_Toc18993"/>
      <w:bookmarkStart w:id="127" w:name="_Toc9060"/>
      <w:bookmarkStart w:id="128" w:name="_Toc19973"/>
      <w:bookmarkStart w:id="129" w:name="_Toc12385"/>
      <w:r>
        <w:rPr>
          <w:rFonts w:hint="eastAsia"/>
          <w:color w:val="000000" w:themeColor="text1"/>
        </w:rPr>
        <w:t>签订及履行合同</w:t>
      </w:r>
      <w:bookmarkEnd w:id="122"/>
      <w:r>
        <w:rPr>
          <w:rFonts w:hint="eastAsia"/>
          <w:color w:val="000000" w:themeColor="text1"/>
        </w:rPr>
        <w:t>和验收</w:t>
      </w:r>
      <w:bookmarkEnd w:id="125"/>
      <w:bookmarkEnd w:id="126"/>
      <w:bookmarkEnd w:id="127"/>
      <w:bookmarkEnd w:id="128"/>
      <w:bookmarkEnd w:id="129"/>
    </w:p>
    <w:p>
      <w:pPr>
        <w:pStyle w:val="6"/>
        <w:numPr>
          <w:ilvl w:val="2"/>
          <w:numId w:val="4"/>
        </w:numPr>
        <w:spacing w:after="200" w:line="240" w:lineRule="auto"/>
        <w:ind w:left="0" w:firstLine="0"/>
        <w:rPr>
          <w:color w:val="000000" w:themeColor="text1"/>
        </w:rPr>
      </w:pPr>
      <w:bookmarkStart w:id="130" w:name="_Toc217446065"/>
      <w:r>
        <w:rPr>
          <w:rFonts w:hint="eastAsia"/>
          <w:color w:val="000000" w:themeColor="text1"/>
        </w:rPr>
        <w:t>签订合同</w:t>
      </w:r>
      <w:bookmarkEnd w:id="130"/>
    </w:p>
    <w:p>
      <w:pPr>
        <w:numPr>
          <w:ilvl w:val="0"/>
          <w:numId w:val="21"/>
        </w:numPr>
        <w:tabs>
          <w:tab w:val="left" w:pos="1134"/>
        </w:tabs>
        <w:spacing w:after="200"/>
        <w:ind w:left="0" w:firstLine="565" w:firstLineChars="202"/>
        <w:rPr>
          <w:rFonts w:ascii="宋体" w:hAnsi="宋体"/>
          <w:color w:val="000000" w:themeColor="text1"/>
          <w:sz w:val="28"/>
          <w:szCs w:val="28"/>
        </w:rPr>
      </w:pPr>
      <w:r>
        <w:rPr>
          <w:rFonts w:hint="eastAsia" w:ascii="宋体" w:hAnsi="宋体"/>
          <w:color w:val="000000" w:themeColor="text1"/>
          <w:sz w:val="28"/>
          <w:szCs w:val="28"/>
        </w:rPr>
        <w:t>疫情防控期间，采购人原则上在中标通知书发出之日起15天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rPr>
      </w:pPr>
      <w:r>
        <w:rPr>
          <w:rFonts w:hint="eastAsia" w:ascii="宋体" w:hAnsi="宋体"/>
          <w:color w:val="000000" w:themeColor="text1"/>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rPr>
      </w:pPr>
      <w:r>
        <w:rPr>
          <w:rFonts w:hint="eastAsia" w:ascii="宋体" w:hAnsi="宋体"/>
          <w:color w:val="000000" w:themeColor="text1"/>
          <w:sz w:val="28"/>
          <w:szCs w:val="28"/>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rPr>
      </w:pPr>
      <w:r>
        <w:rPr>
          <w:rFonts w:hint="eastAsia" w:ascii="宋体" w:hAnsi="宋体"/>
          <w:color w:val="000000" w:themeColor="text1"/>
          <w:kern w:val="0"/>
          <w:sz w:val="28"/>
          <w:szCs w:val="28"/>
        </w:rPr>
        <w:t>询问或者质疑事项可能影响中标、成交结果的，采购人应当暂停签订合同，已经签订合同的，应当中止履行合同。</w:t>
      </w:r>
    </w:p>
    <w:p>
      <w:pPr>
        <w:pStyle w:val="6"/>
        <w:numPr>
          <w:ilvl w:val="2"/>
          <w:numId w:val="4"/>
        </w:numPr>
        <w:spacing w:after="200" w:line="240" w:lineRule="auto"/>
        <w:ind w:left="0" w:firstLine="0"/>
        <w:rPr>
          <w:color w:val="000000" w:themeColor="text1"/>
        </w:rPr>
      </w:pPr>
      <w:bookmarkStart w:id="131" w:name="_Toc315871033"/>
      <w:bookmarkEnd w:id="131"/>
      <w:bookmarkStart w:id="132" w:name="_Toc217446066"/>
      <w:bookmarkStart w:id="133" w:name="_Toc217446069"/>
      <w:r>
        <w:rPr>
          <w:rFonts w:hint="eastAsia"/>
          <w:color w:val="000000" w:themeColor="text1"/>
        </w:rPr>
        <w:t>合同分包</w:t>
      </w:r>
      <w:bookmarkEnd w:id="132"/>
      <w:r>
        <w:rPr>
          <w:rFonts w:hint="eastAsia"/>
          <w:color w:val="000000" w:themeColor="text1"/>
        </w:rPr>
        <w:t>和转包</w:t>
      </w:r>
    </w:p>
    <w:p>
      <w:pPr>
        <w:pStyle w:val="6"/>
        <w:numPr>
          <w:ilvl w:val="3"/>
          <w:numId w:val="4"/>
        </w:numPr>
        <w:spacing w:after="200" w:line="240" w:lineRule="auto"/>
        <w:rPr>
          <w:color w:val="000000" w:themeColor="text1"/>
        </w:rPr>
      </w:pPr>
      <w:bookmarkStart w:id="134" w:name="_Toc217446067"/>
      <w:r>
        <w:rPr>
          <w:rFonts w:hint="eastAsia"/>
          <w:color w:val="000000" w:themeColor="text1"/>
        </w:rPr>
        <w:t>合同分包</w:t>
      </w:r>
    </w:p>
    <w:p>
      <w:pPr>
        <w:pStyle w:val="121"/>
        <w:spacing w:line="360" w:lineRule="auto"/>
        <w:ind w:firstLine="560" w:firstLineChars="200"/>
        <w:rPr>
          <w:rFonts w:cs="Times New Roman"/>
          <w:color w:val="000000" w:themeColor="text1"/>
          <w:sz w:val="28"/>
          <w:szCs w:val="28"/>
          <w:lang w:val="zh-CN"/>
        </w:rPr>
      </w:pPr>
      <w:r>
        <w:rPr>
          <w:rFonts w:hint="eastAsia" w:cs="Times New Roman"/>
          <w:color w:val="000000" w:themeColor="text1"/>
          <w:sz w:val="28"/>
          <w:szCs w:val="28"/>
          <w:lang w:val="zh-CN"/>
        </w:rPr>
        <w:t>☑ 本</w:t>
      </w:r>
      <w:r>
        <w:rPr>
          <w:rFonts w:cs="Times New Roman"/>
          <w:color w:val="000000" w:themeColor="text1"/>
          <w:sz w:val="28"/>
          <w:szCs w:val="28"/>
          <w:lang w:val="zh-CN"/>
        </w:rPr>
        <w:t>项目不允许分包</w:t>
      </w:r>
      <w:r>
        <w:rPr>
          <w:rFonts w:hint="eastAsia" w:cs="Times New Roman"/>
          <w:color w:val="000000" w:themeColor="text1"/>
          <w:sz w:val="28"/>
          <w:szCs w:val="28"/>
          <w:lang w:val="zh-CN"/>
        </w:rPr>
        <w:t xml:space="preserve"> </w:t>
      </w:r>
    </w:p>
    <w:p>
      <w:pPr>
        <w:pStyle w:val="121"/>
        <w:spacing w:line="360" w:lineRule="auto"/>
        <w:ind w:firstLine="560" w:firstLineChars="200"/>
        <w:rPr>
          <w:rFonts w:cs="Times New Roman"/>
          <w:color w:val="000000" w:themeColor="text1"/>
          <w:sz w:val="28"/>
          <w:szCs w:val="28"/>
          <w:lang w:val="zh-CN"/>
        </w:rPr>
      </w:pPr>
      <w:r>
        <w:rPr>
          <w:rFonts w:hint="eastAsia" w:cs="Times New Roman"/>
          <w:color w:val="000000" w:themeColor="text1"/>
          <w:sz w:val="28"/>
          <w:szCs w:val="28"/>
          <w:lang w:val="zh-CN"/>
        </w:rPr>
        <w:t>□ 本</w:t>
      </w:r>
      <w:r>
        <w:rPr>
          <w:rFonts w:cs="Times New Roman"/>
          <w:color w:val="000000" w:themeColor="text1"/>
          <w:sz w:val="28"/>
          <w:szCs w:val="28"/>
          <w:lang w:val="zh-CN"/>
        </w:rPr>
        <w:t>项目允许分包</w:t>
      </w:r>
      <w:r>
        <w:rPr>
          <w:rFonts w:hint="eastAsia" w:cs="Times New Roman"/>
          <w:color w:val="000000" w:themeColor="text1"/>
          <w:sz w:val="28"/>
          <w:szCs w:val="28"/>
          <w:lang w:val="zh-CN"/>
        </w:rPr>
        <w:t>，</w:t>
      </w:r>
      <w:r>
        <w:rPr>
          <w:rFonts w:cs="Times New Roman"/>
          <w:color w:val="000000" w:themeColor="text1"/>
          <w:sz w:val="28"/>
          <w:szCs w:val="28"/>
          <w:lang w:val="zh-CN"/>
        </w:rPr>
        <w:t>具体要求如下：</w:t>
      </w:r>
    </w:p>
    <w:p>
      <w:pPr>
        <w:pStyle w:val="121"/>
        <w:spacing w:line="360" w:lineRule="auto"/>
        <w:ind w:firstLine="560" w:firstLineChars="200"/>
        <w:rPr>
          <w:rFonts w:cs="Times New Roman"/>
          <w:color w:val="000000" w:themeColor="text1"/>
          <w:sz w:val="28"/>
          <w:szCs w:val="28"/>
          <w:lang w:val="zh-CN"/>
        </w:rPr>
      </w:pPr>
      <w:r>
        <w:rPr>
          <w:rFonts w:hint="eastAsia" w:cs="Times New Roman"/>
          <w:color w:val="000000" w:themeColor="text1"/>
          <w:sz w:val="28"/>
          <w:szCs w:val="28"/>
          <w:lang w:val="zh-CN"/>
        </w:rPr>
        <w:t>一、本项目XX、XX，中标人可以依法采取分包方式履行合同。</w:t>
      </w:r>
    </w:p>
    <w:p>
      <w:pPr>
        <w:pStyle w:val="121"/>
        <w:spacing w:line="360" w:lineRule="auto"/>
        <w:ind w:firstLine="560" w:firstLineChars="200"/>
        <w:rPr>
          <w:rFonts w:cs="Times New Roman"/>
          <w:color w:val="000000" w:themeColor="text1"/>
          <w:sz w:val="28"/>
          <w:szCs w:val="28"/>
          <w:lang w:val="zh-CN"/>
        </w:rPr>
      </w:pPr>
      <w:r>
        <w:rPr>
          <w:rFonts w:hint="eastAsia" w:cs="Times New Roman"/>
          <w:color w:val="000000" w:themeColor="text1"/>
          <w:sz w:val="28"/>
          <w:szCs w:val="28"/>
          <w:lang w:val="zh-CN"/>
        </w:rPr>
        <w:t>二、分包履行合同的部分应当为采购项目的非主体、非关键性工作， 不属于中标供应商的主要合同义务。</w:t>
      </w:r>
    </w:p>
    <w:p>
      <w:pPr>
        <w:pStyle w:val="121"/>
        <w:spacing w:line="360" w:lineRule="auto"/>
        <w:ind w:firstLine="560" w:firstLineChars="200"/>
        <w:rPr>
          <w:rFonts w:cs="Times New Roman"/>
          <w:color w:val="000000" w:themeColor="text1"/>
          <w:sz w:val="28"/>
          <w:szCs w:val="28"/>
          <w:lang w:val="zh-CN"/>
        </w:rPr>
      </w:pPr>
      <w:r>
        <w:rPr>
          <w:rFonts w:hint="eastAsia" w:cs="Times New Roman"/>
          <w:color w:val="000000" w:themeColor="text1"/>
          <w:sz w:val="28"/>
          <w:szCs w:val="28"/>
          <w:lang w:val="zh-CN"/>
        </w:rPr>
        <w:t>三、采购合同实行分包履行的，中标供应商就采购项目和分包项目向采购人负责，分包供应商就分包项目承担责任。</w:t>
      </w:r>
    </w:p>
    <w:p>
      <w:pPr>
        <w:pStyle w:val="121"/>
        <w:spacing w:line="360" w:lineRule="auto"/>
        <w:ind w:firstLine="560" w:firstLineChars="200"/>
        <w:rPr>
          <w:rFonts w:cs="Times New Roman"/>
          <w:color w:val="000000" w:themeColor="text1"/>
          <w:sz w:val="28"/>
          <w:szCs w:val="28"/>
          <w:lang w:val="zh-CN"/>
        </w:rPr>
      </w:pPr>
      <w:r>
        <w:rPr>
          <w:rFonts w:hint="eastAsia" w:cs="Times New Roman"/>
          <w:color w:val="000000" w:themeColor="text1"/>
          <w:sz w:val="28"/>
          <w:szCs w:val="28"/>
          <w:lang w:val="zh-CN"/>
        </w:rPr>
        <w:t>四、中小企业依据《政府采购促进中小企业发展管理办法》（财库</w:t>
      </w:r>
      <w:r>
        <w:rPr>
          <w:rFonts w:cs="Times New Roman"/>
          <w:color w:val="000000" w:themeColor="text1"/>
          <w:sz w:val="28"/>
          <w:szCs w:val="28"/>
          <w:lang w:val="zh-CN"/>
        </w:rPr>
        <w:t xml:space="preserve">[2020]46 </w:t>
      </w:r>
      <w:r>
        <w:rPr>
          <w:rFonts w:hint="eastAsia" w:cs="Times New Roman"/>
          <w:color w:val="000000" w:themeColor="text1"/>
          <w:sz w:val="28"/>
          <w:szCs w:val="28"/>
          <w:lang w:val="zh-CN"/>
        </w:rPr>
        <w:t>号）规定享受扶持政策获得政府采购合同的，小微企业、监狱企业、残疾人福利性单位，不得将合同分包给大中型企业，中型企业不得将合同分包给大型企业。</w:t>
      </w:r>
    </w:p>
    <w:p>
      <w:pPr>
        <w:pStyle w:val="6"/>
        <w:numPr>
          <w:ilvl w:val="3"/>
          <w:numId w:val="4"/>
        </w:numPr>
        <w:spacing w:after="200" w:line="240" w:lineRule="auto"/>
        <w:rPr>
          <w:color w:val="000000" w:themeColor="text1"/>
        </w:rPr>
      </w:pPr>
      <w:r>
        <w:rPr>
          <w:rFonts w:hint="eastAsia"/>
          <w:color w:val="000000" w:themeColor="text1"/>
        </w:rPr>
        <w:t>合同转包</w:t>
      </w:r>
    </w:p>
    <w:p>
      <w:pPr>
        <w:ind w:firstLine="560" w:firstLineChars="200"/>
        <w:rPr>
          <w:rFonts w:ascii="宋体" w:hAnsi="宋体" w:cs="宋体"/>
          <w:color w:val="000000" w:themeColor="text1"/>
          <w:kern w:val="0"/>
          <w:sz w:val="28"/>
          <w:szCs w:val="28"/>
        </w:rPr>
      </w:pPr>
      <w:r>
        <w:rPr>
          <w:rFonts w:hint="eastAsia" w:ascii="宋体" w:hAnsi="宋体"/>
          <w:color w:val="000000" w:themeColor="text1"/>
          <w:sz w:val="28"/>
          <w:szCs w:val="28"/>
        </w:rPr>
        <w:t>一、严禁中标供应商将本项目转包。本项目所称转包，是指</w:t>
      </w:r>
      <w:r>
        <w:rPr>
          <w:rFonts w:hint="eastAsia" w:ascii="宋体" w:hAnsi="宋体" w:cs="宋体"/>
          <w:color w:val="000000" w:themeColor="text1"/>
          <w:kern w:val="0"/>
          <w:sz w:val="28"/>
          <w:szCs w:val="28"/>
        </w:rPr>
        <w:t xml:space="preserve">将本项目转给他人或者将本项目全部肢解以后以分包的名义分别转给他人的行为。 </w:t>
      </w:r>
    </w:p>
    <w:p>
      <w:pPr>
        <w:ind w:firstLine="495"/>
        <w:rPr>
          <w:rFonts w:ascii="宋体" w:hAnsi="宋体"/>
          <w:color w:val="000000" w:themeColor="text1"/>
          <w:sz w:val="28"/>
          <w:szCs w:val="28"/>
        </w:rPr>
      </w:pPr>
      <w:r>
        <w:rPr>
          <w:rFonts w:hint="eastAsia" w:ascii="宋体" w:hAnsi="宋体"/>
          <w:color w:val="000000" w:themeColor="text1"/>
          <w:sz w:val="28"/>
          <w:szCs w:val="28"/>
        </w:rPr>
        <w:t>二、中标供应商转包的，视同拒绝履行政府采购合同，将依法追究法律责任。</w:t>
      </w:r>
    </w:p>
    <w:p>
      <w:pPr>
        <w:pStyle w:val="6"/>
        <w:numPr>
          <w:ilvl w:val="2"/>
          <w:numId w:val="4"/>
        </w:numPr>
        <w:spacing w:after="200" w:line="240" w:lineRule="auto"/>
        <w:ind w:left="0" w:firstLine="0"/>
        <w:rPr>
          <w:color w:val="000000" w:themeColor="text1"/>
        </w:rPr>
      </w:pPr>
      <w:r>
        <w:rPr>
          <w:rFonts w:hint="eastAsia"/>
          <w:color w:val="000000" w:themeColor="text1"/>
        </w:rPr>
        <w:t>采购人增加合同标的的权</w:t>
      </w:r>
      <w:bookmarkEnd w:id="134"/>
      <w:r>
        <w:rPr>
          <w:rFonts w:hint="eastAsia"/>
          <w:color w:val="000000" w:themeColor="text1"/>
        </w:rPr>
        <w:t>利</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4"/>
        </w:numPr>
        <w:spacing w:after="200" w:line="240" w:lineRule="auto"/>
        <w:ind w:left="0" w:firstLine="0"/>
        <w:rPr>
          <w:color w:val="000000" w:themeColor="text1"/>
        </w:rPr>
      </w:pPr>
      <w:bookmarkStart w:id="135" w:name="_Toc217446068"/>
      <w:r>
        <w:rPr>
          <w:rFonts w:hint="eastAsia"/>
          <w:color w:val="000000" w:themeColor="text1"/>
        </w:rPr>
        <w:t>履约保证金</w:t>
      </w:r>
      <w:bookmarkEnd w:id="135"/>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本项目不</w:t>
      </w:r>
      <w:r>
        <w:rPr>
          <w:rFonts w:ascii="宋体" w:hAnsi="宋体"/>
          <w:color w:val="000000" w:themeColor="text1"/>
          <w:sz w:val="28"/>
          <w:szCs w:val="28"/>
        </w:rPr>
        <w:t>收取履约保证金</w:t>
      </w:r>
      <w:r>
        <w:rPr>
          <w:rFonts w:hint="eastAsia" w:ascii="宋体" w:hAnsi="宋体"/>
          <w:color w:val="000000" w:themeColor="text1"/>
          <w:sz w:val="28"/>
          <w:szCs w:val="28"/>
        </w:rPr>
        <w:t>。</w:t>
      </w:r>
    </w:p>
    <w:p>
      <w:pPr>
        <w:pStyle w:val="6"/>
        <w:numPr>
          <w:ilvl w:val="2"/>
          <w:numId w:val="4"/>
        </w:numPr>
        <w:spacing w:after="200" w:line="240" w:lineRule="auto"/>
        <w:ind w:left="0" w:firstLine="0"/>
        <w:rPr>
          <w:color w:val="000000" w:themeColor="text1"/>
        </w:rPr>
      </w:pPr>
      <w:r>
        <w:rPr>
          <w:rFonts w:hint="eastAsia"/>
          <w:color w:val="000000" w:themeColor="text1"/>
        </w:rPr>
        <w:t>合同公告</w:t>
      </w:r>
    </w:p>
    <w:p>
      <w:pPr>
        <w:pStyle w:val="14"/>
        <w:spacing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采购人应当自政府采购合同签订之日起2个工作日内，在四川政府采购网公告，但政府采购合同中涉及国家秘密、商业秘密的内容除外。</w:t>
      </w:r>
    </w:p>
    <w:p>
      <w:pPr>
        <w:pStyle w:val="6"/>
        <w:numPr>
          <w:ilvl w:val="2"/>
          <w:numId w:val="4"/>
        </w:numPr>
        <w:spacing w:after="200" w:line="240" w:lineRule="auto"/>
        <w:ind w:left="0" w:firstLine="0"/>
        <w:rPr>
          <w:color w:val="000000" w:themeColor="text1"/>
        </w:rPr>
      </w:pPr>
      <w:r>
        <w:rPr>
          <w:rFonts w:hint="eastAsia"/>
          <w:color w:val="000000" w:themeColor="text1"/>
        </w:rPr>
        <w:t>合同备案</w:t>
      </w:r>
    </w:p>
    <w:p>
      <w:pPr>
        <w:tabs>
          <w:tab w:val="left" w:pos="1134"/>
        </w:tabs>
        <w:ind w:firstLine="560" w:firstLineChars="200"/>
        <w:rPr>
          <w:rFonts w:ascii="宋体" w:hAnsi="宋体"/>
          <w:color w:val="000000" w:themeColor="text1"/>
          <w:sz w:val="28"/>
          <w:szCs w:val="28"/>
        </w:rPr>
      </w:pPr>
      <w:r>
        <w:rPr>
          <w:rFonts w:hint="eastAsia" w:ascii="宋体" w:hAnsi="宋体"/>
          <w:color w:val="000000" w:themeColor="text1"/>
          <w:sz w:val="28"/>
          <w:szCs w:val="28"/>
        </w:rPr>
        <w:t>疫情防控期间，采购人原则上在15天内与供应商签订政府采购合同及按成都市龙泉驿区财政局的要求完成合同备案工作。</w:t>
      </w:r>
    </w:p>
    <w:p>
      <w:pPr>
        <w:pStyle w:val="6"/>
        <w:numPr>
          <w:ilvl w:val="2"/>
          <w:numId w:val="4"/>
        </w:numPr>
        <w:spacing w:after="200" w:line="240" w:lineRule="auto"/>
        <w:ind w:left="0" w:firstLine="0"/>
        <w:rPr>
          <w:color w:val="000000" w:themeColor="text1"/>
        </w:rPr>
      </w:pPr>
      <w:r>
        <w:rPr>
          <w:rFonts w:hint="eastAsia"/>
          <w:color w:val="000000" w:themeColor="text1"/>
        </w:rPr>
        <w:t>履行合同</w:t>
      </w:r>
      <w:bookmarkEnd w:id="133"/>
    </w:p>
    <w:p>
      <w:pPr>
        <w:numPr>
          <w:ilvl w:val="0"/>
          <w:numId w:val="22"/>
        </w:numPr>
        <w:tabs>
          <w:tab w:val="left" w:pos="1134"/>
        </w:tabs>
        <w:spacing w:after="200"/>
        <w:ind w:left="0" w:firstLine="565" w:firstLineChars="202"/>
        <w:rPr>
          <w:rFonts w:ascii="宋体" w:hAnsi="宋体"/>
          <w:color w:val="000000" w:themeColor="text1"/>
          <w:sz w:val="28"/>
          <w:szCs w:val="28"/>
        </w:rPr>
      </w:pPr>
      <w:r>
        <w:rPr>
          <w:rFonts w:hint="eastAsia" w:ascii="宋体" w:hAnsi="宋体"/>
          <w:color w:val="000000" w:themeColor="text1"/>
          <w:sz w:val="28"/>
          <w:szCs w:val="28"/>
        </w:rPr>
        <w:t>合同一经签订，双方应严格履行合同规定的义务。</w:t>
      </w:r>
    </w:p>
    <w:p>
      <w:pPr>
        <w:numPr>
          <w:ilvl w:val="0"/>
          <w:numId w:val="22"/>
        </w:numPr>
        <w:tabs>
          <w:tab w:val="left" w:pos="1134"/>
        </w:tabs>
        <w:spacing w:after="200"/>
        <w:ind w:left="0" w:firstLine="565" w:firstLineChars="202"/>
        <w:rPr>
          <w:rFonts w:ascii="宋体" w:hAnsi="宋体"/>
          <w:color w:val="000000" w:themeColor="text1"/>
          <w:sz w:val="28"/>
          <w:szCs w:val="28"/>
        </w:rPr>
      </w:pPr>
      <w:r>
        <w:rPr>
          <w:rFonts w:hint="eastAsia" w:ascii="宋体" w:hAnsi="宋体"/>
          <w:color w:val="000000" w:themeColor="text1"/>
          <w:sz w:val="28"/>
          <w:szCs w:val="28"/>
        </w:rPr>
        <w:t>在合同履行过程中，如发生合同纠纷，合同双方应按照《中华人民共和国民法典》及合同条款的有关规定进行处理。</w:t>
      </w:r>
    </w:p>
    <w:p>
      <w:pPr>
        <w:pStyle w:val="6"/>
        <w:numPr>
          <w:ilvl w:val="2"/>
          <w:numId w:val="4"/>
        </w:numPr>
        <w:spacing w:after="200" w:line="240" w:lineRule="auto"/>
        <w:ind w:left="0" w:firstLine="0"/>
        <w:rPr>
          <w:color w:val="000000" w:themeColor="text1"/>
        </w:rPr>
      </w:pPr>
      <w:bookmarkStart w:id="136" w:name="_Toc217446070"/>
      <w:r>
        <w:rPr>
          <w:rFonts w:hint="eastAsia"/>
          <w:color w:val="000000" w:themeColor="text1"/>
        </w:rPr>
        <w:t>验收或考核</w:t>
      </w:r>
    </w:p>
    <w:p>
      <w:pPr>
        <w:pStyle w:val="14"/>
        <w:spacing w:after="0" w:line="240" w:lineRule="auto"/>
        <w:ind w:firstLine="560" w:firstLineChars="200"/>
        <w:rPr>
          <w:rFonts w:ascii="宋体" w:hAnsi="宋体"/>
          <w:b/>
          <w:color w:val="000000" w:themeColor="text1"/>
        </w:rPr>
      </w:pPr>
      <w:bookmarkStart w:id="137" w:name="_Toc217446071"/>
      <w:r>
        <w:rPr>
          <w:rFonts w:hint="eastAsia" w:ascii="宋体" w:hAnsi="宋体"/>
          <w:color w:val="000000" w:themeColor="text1"/>
          <w:sz w:val="28"/>
          <w:szCs w:val="28"/>
        </w:rPr>
        <w:t>采购人严格按照国家相关法律法规的要求组织验收或考核。</w:t>
      </w:r>
      <w:bookmarkEnd w:id="137"/>
    </w:p>
    <w:p>
      <w:pPr>
        <w:pStyle w:val="6"/>
        <w:numPr>
          <w:ilvl w:val="2"/>
          <w:numId w:val="4"/>
        </w:numPr>
        <w:spacing w:after="200" w:line="240" w:lineRule="auto"/>
        <w:ind w:left="0" w:firstLine="0"/>
        <w:rPr>
          <w:color w:val="000000" w:themeColor="text1"/>
        </w:rPr>
      </w:pPr>
      <w:r>
        <w:rPr>
          <w:rFonts w:hint="eastAsia"/>
          <w:color w:val="000000" w:themeColor="text1"/>
        </w:rPr>
        <w:t>资金支付</w:t>
      </w:r>
    </w:p>
    <w:p>
      <w:pPr>
        <w:pStyle w:val="40"/>
        <w:shd w:val="clear" w:color="auto" w:fill="FFFFFF"/>
        <w:spacing w:before="0" w:beforeAutospacing="0" w:after="0" w:afterAutospacing="0"/>
        <w:ind w:firstLine="570"/>
        <w:rPr>
          <w:rFonts w:cs="Helvetica"/>
          <w:color w:val="000000" w:themeColor="text1"/>
          <w:sz w:val="28"/>
          <w:szCs w:val="28"/>
        </w:rPr>
      </w:pPr>
      <w:r>
        <w:rPr>
          <w:rFonts w:hint="eastAsia" w:cs="Helvetica"/>
          <w:color w:val="000000" w:themeColor="text1"/>
          <w:sz w:val="28"/>
          <w:szCs w:val="28"/>
        </w:rPr>
        <w:t>采购人按财政部门的相关规定及采购合同的约定进行支付。</w:t>
      </w:r>
    </w:p>
    <w:bookmarkEnd w:id="123"/>
    <w:bookmarkEnd w:id="124"/>
    <w:bookmarkEnd w:id="136"/>
    <w:p>
      <w:pPr>
        <w:pStyle w:val="5"/>
        <w:numPr>
          <w:ilvl w:val="1"/>
          <w:numId w:val="4"/>
        </w:numPr>
        <w:spacing w:before="0" w:after="0" w:line="240" w:lineRule="auto"/>
        <w:ind w:left="2269" w:hanging="2269"/>
        <w:rPr>
          <w:color w:val="000000" w:themeColor="text1"/>
        </w:rPr>
      </w:pPr>
      <w:bookmarkStart w:id="138" w:name="_Toc217446074"/>
      <w:bookmarkStart w:id="139" w:name="_Toc30945"/>
      <w:bookmarkStart w:id="140" w:name="_Toc14559"/>
      <w:bookmarkStart w:id="141" w:name="_Toc12434"/>
      <w:bookmarkStart w:id="142" w:name="_Toc13859"/>
      <w:bookmarkStart w:id="143" w:name="_Toc6102"/>
      <w:bookmarkStart w:id="144" w:name="_Toc183682380"/>
      <w:bookmarkStart w:id="145" w:name="_Toc183582243"/>
      <w:r>
        <w:rPr>
          <w:rFonts w:hint="eastAsia"/>
          <w:color w:val="000000" w:themeColor="text1"/>
        </w:rPr>
        <w:t>投标纪律要求</w:t>
      </w:r>
      <w:bookmarkEnd w:id="138"/>
      <w:bookmarkEnd w:id="139"/>
      <w:bookmarkEnd w:id="140"/>
      <w:bookmarkEnd w:id="141"/>
      <w:bookmarkEnd w:id="142"/>
      <w:bookmarkEnd w:id="143"/>
    </w:p>
    <w:p>
      <w:pPr>
        <w:pStyle w:val="6"/>
        <w:numPr>
          <w:ilvl w:val="2"/>
          <w:numId w:val="4"/>
        </w:numPr>
        <w:spacing w:after="200" w:line="240" w:lineRule="auto"/>
        <w:ind w:left="0" w:firstLine="0"/>
        <w:rPr>
          <w:color w:val="000000" w:themeColor="text1"/>
        </w:rPr>
      </w:pPr>
      <w:bookmarkStart w:id="146" w:name="_Toc217446075"/>
      <w:r>
        <w:rPr>
          <w:rFonts w:hint="eastAsia"/>
          <w:color w:val="000000" w:themeColor="text1"/>
        </w:rPr>
        <w:t>投标人不得具有的情形</w:t>
      </w:r>
      <w:bookmarkEnd w:id="146"/>
    </w:p>
    <w:p>
      <w:pPr>
        <w:pStyle w:val="14"/>
        <w:spacing w:line="240" w:lineRule="auto"/>
        <w:ind w:firstLine="567"/>
        <w:rPr>
          <w:rFonts w:ascii="宋体" w:hAnsi="宋体"/>
          <w:color w:val="000000" w:themeColor="text1"/>
          <w:sz w:val="28"/>
          <w:szCs w:val="28"/>
        </w:rPr>
      </w:pPr>
      <w:bookmarkStart w:id="147" w:name="_Toc314574786"/>
      <w:r>
        <w:rPr>
          <w:rFonts w:hint="eastAsia" w:ascii="宋体" w:hAnsi="宋体"/>
          <w:color w:val="000000" w:themeColor="text1"/>
          <w:sz w:val="28"/>
          <w:szCs w:val="28"/>
        </w:rPr>
        <w:t>投标人参加投标不得有下列情形：</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有下列情形之一的，视为投标人串通投标：</w:t>
      </w:r>
    </w:p>
    <w:p>
      <w:pPr>
        <w:tabs>
          <w:tab w:val="left" w:pos="1134"/>
        </w:tabs>
        <w:ind w:left="420"/>
        <w:rPr>
          <w:rFonts w:ascii="宋体" w:hAnsi="宋体"/>
          <w:color w:val="000000" w:themeColor="text1"/>
          <w:sz w:val="28"/>
          <w:szCs w:val="28"/>
        </w:rPr>
      </w:pPr>
      <w:r>
        <w:rPr>
          <w:rFonts w:hint="eastAsia" w:ascii="宋体" w:hAnsi="宋体"/>
          <w:color w:val="000000" w:themeColor="text1"/>
          <w:sz w:val="28"/>
          <w:szCs w:val="28"/>
        </w:rPr>
        <w:t>（一）不同投标人的投标文件由同一单位或者个人编制；</w:t>
      </w:r>
    </w:p>
    <w:p>
      <w:pPr>
        <w:tabs>
          <w:tab w:val="left" w:pos="1134"/>
        </w:tabs>
        <w:ind w:left="420"/>
        <w:rPr>
          <w:rFonts w:ascii="宋体" w:hAnsi="宋体"/>
          <w:color w:val="000000" w:themeColor="text1"/>
          <w:sz w:val="28"/>
          <w:szCs w:val="28"/>
        </w:rPr>
      </w:pPr>
      <w:r>
        <w:rPr>
          <w:rFonts w:hint="eastAsia" w:ascii="宋体" w:hAnsi="宋体"/>
          <w:color w:val="000000" w:themeColor="text1"/>
          <w:sz w:val="28"/>
          <w:szCs w:val="28"/>
        </w:rPr>
        <w:t>（二）不同投标人委托同一单位或者个人办理投标事宜；</w:t>
      </w:r>
    </w:p>
    <w:p>
      <w:pPr>
        <w:tabs>
          <w:tab w:val="left" w:pos="1134"/>
        </w:tabs>
        <w:ind w:firstLine="425" w:firstLineChars="152"/>
        <w:rPr>
          <w:rFonts w:ascii="宋体" w:hAnsi="宋体"/>
          <w:color w:val="000000" w:themeColor="text1"/>
          <w:sz w:val="28"/>
          <w:szCs w:val="28"/>
        </w:rPr>
      </w:pPr>
      <w:r>
        <w:rPr>
          <w:rFonts w:hint="eastAsia" w:ascii="宋体" w:hAnsi="宋体"/>
          <w:color w:val="000000" w:themeColor="text1"/>
          <w:sz w:val="28"/>
          <w:szCs w:val="28"/>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rPr>
      </w:pPr>
      <w:r>
        <w:rPr>
          <w:rFonts w:hint="eastAsia" w:ascii="宋体" w:hAnsi="宋体"/>
          <w:color w:val="000000" w:themeColor="text1"/>
          <w:sz w:val="28"/>
          <w:szCs w:val="28"/>
        </w:rPr>
        <w:t>（四）不同投标人的投标文件异常一致或者投标报价呈规律性差异；</w:t>
      </w:r>
    </w:p>
    <w:p>
      <w:pPr>
        <w:tabs>
          <w:tab w:val="left" w:pos="1134"/>
        </w:tabs>
        <w:ind w:firstLine="420" w:firstLineChars="150"/>
        <w:rPr>
          <w:rFonts w:ascii="宋体" w:hAnsi="宋体"/>
          <w:color w:val="000000" w:themeColor="text1"/>
          <w:sz w:val="28"/>
          <w:szCs w:val="28"/>
        </w:rPr>
      </w:pPr>
      <w:r>
        <w:rPr>
          <w:rFonts w:hint="eastAsia" w:ascii="宋体" w:hAnsi="宋体"/>
          <w:color w:val="000000" w:themeColor="text1"/>
          <w:sz w:val="28"/>
          <w:szCs w:val="28"/>
        </w:rPr>
        <w:t>（五）不同投标人的投标文件相互混装；</w:t>
      </w:r>
    </w:p>
    <w:p>
      <w:pPr>
        <w:tabs>
          <w:tab w:val="left" w:pos="1134"/>
        </w:tabs>
        <w:ind w:left="420"/>
        <w:rPr>
          <w:rFonts w:ascii="宋体" w:hAnsi="宋体"/>
          <w:color w:val="000000" w:themeColor="text1"/>
          <w:sz w:val="28"/>
          <w:szCs w:val="28"/>
        </w:rPr>
      </w:pPr>
      <w:r>
        <w:rPr>
          <w:rFonts w:hint="eastAsia" w:ascii="宋体" w:hAnsi="宋体"/>
          <w:color w:val="000000" w:themeColor="text1"/>
          <w:sz w:val="28"/>
          <w:szCs w:val="28"/>
        </w:rPr>
        <w:t>（六）不同投标人的投标保证金从同一单位或者个人的账户转出；</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提供虚假材料谋取中标；</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采取不正当手段诋毁、排挤其他投标人；</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与采购人或成都云辉工程项目管理有限公司、其他投标人恶意串通；</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向采购人或成都云辉工程项目管理有限公司、评标委员会成员行贿或者提供其他不正当利益；</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在招标过程中与采购人或成都云辉工程项目管理有限公司进行协商谈判；</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中标后无正当理由拒不与采购人签订政府采购合同；</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未按照采购文件确定的事项签订政府采购合同；</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将政府采购合同转包或者违规分包；</w:t>
      </w:r>
    </w:p>
    <w:p>
      <w:pPr>
        <w:numPr>
          <w:ilvl w:val="1"/>
          <w:numId w:val="23"/>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提供假冒伪劣产品；</w:t>
      </w:r>
    </w:p>
    <w:p>
      <w:pPr>
        <w:numPr>
          <w:ilvl w:val="1"/>
          <w:numId w:val="23"/>
        </w:numPr>
        <w:tabs>
          <w:tab w:val="left" w:pos="1134"/>
          <w:tab w:val="left" w:pos="1418"/>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擅自变更、中止或者终止政府采购合同；</w:t>
      </w:r>
    </w:p>
    <w:p>
      <w:pPr>
        <w:tabs>
          <w:tab w:val="left" w:pos="1134"/>
        </w:tabs>
        <w:ind w:firstLine="560" w:firstLineChars="200"/>
        <w:rPr>
          <w:rFonts w:ascii="宋体" w:hAnsi="宋体"/>
          <w:color w:val="000000" w:themeColor="text1"/>
          <w:sz w:val="28"/>
          <w:szCs w:val="28"/>
        </w:rPr>
      </w:pPr>
      <w:r>
        <w:rPr>
          <w:rFonts w:hint="eastAsia" w:ascii="宋体" w:hAnsi="宋体"/>
          <w:color w:val="000000" w:themeColor="text1"/>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rPr>
      </w:pPr>
      <w:r>
        <w:rPr>
          <w:rFonts w:hint="eastAsia" w:ascii="宋体" w:hAnsi="宋体"/>
          <w:color w:val="000000" w:themeColor="text1"/>
          <w:sz w:val="28"/>
          <w:szCs w:val="28"/>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rPr>
      </w:pPr>
      <w:r>
        <w:rPr>
          <w:rFonts w:hint="eastAsia" w:ascii="宋体" w:hAnsi="宋体"/>
          <w:color w:val="000000" w:themeColor="text1"/>
          <w:sz w:val="28"/>
          <w:szCs w:val="28"/>
        </w:rPr>
        <w:t>十四、处于被行政部门禁止参与政府采购活动的期限内；</w:t>
      </w:r>
    </w:p>
    <w:p>
      <w:pPr>
        <w:tabs>
          <w:tab w:val="left" w:pos="1134"/>
        </w:tabs>
        <w:ind w:firstLine="565" w:firstLineChars="202"/>
        <w:rPr>
          <w:rFonts w:ascii="宋体" w:hAnsi="宋体"/>
          <w:color w:val="000000" w:themeColor="text1"/>
          <w:sz w:val="28"/>
          <w:szCs w:val="28"/>
        </w:rPr>
      </w:pPr>
      <w:r>
        <w:rPr>
          <w:rFonts w:hint="eastAsia" w:ascii="宋体" w:hAnsi="宋体"/>
          <w:color w:val="000000" w:themeColor="text1"/>
          <w:sz w:val="28"/>
          <w:szCs w:val="28"/>
        </w:rPr>
        <w:t>十五、拒绝有关部门的监督检查或者向监督检查部门提供虚假情况；</w:t>
      </w:r>
    </w:p>
    <w:p>
      <w:pPr>
        <w:pStyle w:val="14"/>
        <w:spacing w:line="24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十六、法律法规规定的其他情形。</w:t>
      </w:r>
    </w:p>
    <w:p>
      <w:pPr>
        <w:tabs>
          <w:tab w:val="left" w:pos="1134"/>
        </w:tabs>
        <w:ind w:firstLine="568" w:firstLineChars="202"/>
        <w:rPr>
          <w:rFonts w:ascii="宋体" w:hAnsi="宋体"/>
          <w:b/>
          <w:color w:val="000000" w:themeColor="text1"/>
          <w:sz w:val="28"/>
          <w:szCs w:val="28"/>
        </w:rPr>
      </w:pPr>
      <w:r>
        <w:rPr>
          <w:rFonts w:hint="eastAsia" w:ascii="宋体" w:hAnsi="宋体"/>
          <w:b/>
          <w:color w:val="000000" w:themeColor="text1"/>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4"/>
        </w:numPr>
        <w:spacing w:after="200" w:line="240" w:lineRule="auto"/>
        <w:ind w:left="0" w:firstLine="0"/>
        <w:rPr>
          <w:color w:val="000000" w:themeColor="text1"/>
        </w:rPr>
      </w:pPr>
      <w:r>
        <w:rPr>
          <w:rFonts w:hint="eastAsia"/>
          <w:color w:val="000000" w:themeColor="text1"/>
        </w:rPr>
        <w:t>保密</w:t>
      </w:r>
      <w:bookmarkEnd w:id="147"/>
    </w:p>
    <w:p>
      <w:pPr>
        <w:pStyle w:val="14"/>
        <w:numPr>
          <w:ilvl w:val="0"/>
          <w:numId w:val="24"/>
        </w:numPr>
        <w:tabs>
          <w:tab w:val="left" w:pos="1134"/>
        </w:tabs>
        <w:spacing w:after="0" w:line="240" w:lineRule="auto"/>
        <w:ind w:left="0" w:firstLine="567"/>
        <w:rPr>
          <w:rFonts w:ascii="宋体" w:hAnsi="宋体"/>
          <w:color w:val="000000" w:themeColor="text1"/>
          <w:sz w:val="28"/>
          <w:szCs w:val="28"/>
        </w:rPr>
      </w:pPr>
      <w:r>
        <w:rPr>
          <w:rFonts w:hint="eastAsia" w:ascii="宋体" w:hAnsi="宋体"/>
          <w:color w:val="000000" w:themeColor="text1"/>
          <w:sz w:val="28"/>
          <w:szCs w:val="28"/>
        </w:rPr>
        <w:t>不得透露有关在系统中成功提交《采购文件获取登记表》的潜在投标人的任何情况。</w:t>
      </w:r>
    </w:p>
    <w:p>
      <w:pPr>
        <w:pStyle w:val="14"/>
        <w:numPr>
          <w:ilvl w:val="0"/>
          <w:numId w:val="24"/>
        </w:numPr>
        <w:tabs>
          <w:tab w:val="left" w:pos="1134"/>
        </w:tabs>
        <w:spacing w:after="0" w:line="240" w:lineRule="auto"/>
        <w:ind w:left="0" w:firstLine="567"/>
        <w:rPr>
          <w:rFonts w:ascii="宋体" w:hAnsi="宋体"/>
          <w:color w:val="000000" w:themeColor="text1"/>
          <w:sz w:val="28"/>
          <w:szCs w:val="28"/>
        </w:rPr>
      </w:pPr>
      <w:r>
        <w:rPr>
          <w:rFonts w:hint="eastAsia" w:ascii="宋体" w:hAnsi="宋体"/>
          <w:color w:val="000000" w:themeColor="text1"/>
          <w:sz w:val="28"/>
          <w:szCs w:val="28"/>
        </w:rPr>
        <w:t>有关投标文件的审查、澄清、评估和比较以及合同授予意向等情况都不得对外透露。</w:t>
      </w:r>
    </w:p>
    <w:p>
      <w:pPr>
        <w:pStyle w:val="6"/>
        <w:numPr>
          <w:ilvl w:val="2"/>
          <w:numId w:val="4"/>
        </w:numPr>
        <w:spacing w:after="200" w:line="240" w:lineRule="auto"/>
        <w:ind w:left="0" w:firstLine="0"/>
        <w:rPr>
          <w:color w:val="000000" w:themeColor="text1"/>
        </w:rPr>
      </w:pPr>
      <w:r>
        <w:rPr>
          <w:rFonts w:hint="eastAsia"/>
          <w:color w:val="000000" w:themeColor="text1"/>
        </w:rPr>
        <w:t>回避</w:t>
      </w:r>
    </w:p>
    <w:p>
      <w:pPr>
        <w:pStyle w:val="40"/>
        <w:shd w:val="clear" w:color="auto" w:fill="FFFFFF"/>
        <w:spacing w:before="0" w:beforeAutospacing="0" w:after="0" w:afterAutospacing="0"/>
        <w:ind w:firstLine="560" w:firstLineChars="200"/>
        <w:rPr>
          <w:rFonts w:cs="Helvetica"/>
          <w:color w:val="000000" w:themeColor="text1"/>
          <w:sz w:val="28"/>
          <w:szCs w:val="28"/>
        </w:rPr>
      </w:pPr>
      <w:r>
        <w:rPr>
          <w:rFonts w:hint="eastAsia" w:cs="Helvetica"/>
          <w:color w:val="000000" w:themeColor="text1"/>
          <w:sz w:val="28"/>
          <w:szCs w:val="28"/>
        </w:rPr>
        <w:t>在政府采购活动中，采购人员（如</w:t>
      </w:r>
      <w:r>
        <w:rPr>
          <w:rFonts w:hint="eastAsia"/>
          <w:color w:val="000000" w:themeColor="text1"/>
          <w:sz w:val="28"/>
          <w:szCs w:val="28"/>
        </w:rPr>
        <w:t>采购人内部负责采购项目的具体经办工作人员或直接分管采购项目的负责人、成都云辉工程项目管理有限公司负责采购项目的具体经办工作人员或直接分管采购活动的负责人等</w:t>
      </w:r>
      <w:r>
        <w:rPr>
          <w:rFonts w:hint="eastAsia" w:cs="Helvetica"/>
          <w:color w:val="000000" w:themeColor="text1"/>
          <w:sz w:val="28"/>
          <w:szCs w:val="28"/>
        </w:rPr>
        <w:t>）及相关人员与供应商有下列利害关系之一的，应当回避：</w:t>
      </w:r>
    </w:p>
    <w:p>
      <w:pPr>
        <w:pStyle w:val="40"/>
        <w:shd w:val="clear" w:color="auto" w:fill="FFFFFF"/>
        <w:spacing w:before="0" w:beforeAutospacing="0" w:after="0" w:afterAutospacing="0"/>
        <w:ind w:firstLine="560" w:firstLineChars="200"/>
        <w:rPr>
          <w:rFonts w:cs="Helvetica"/>
          <w:color w:val="000000" w:themeColor="text1"/>
          <w:sz w:val="28"/>
          <w:szCs w:val="28"/>
        </w:rPr>
      </w:pPr>
      <w:r>
        <w:rPr>
          <w:rFonts w:hint="eastAsia" w:cs="Helvetica"/>
          <w:color w:val="000000" w:themeColor="text1"/>
          <w:sz w:val="28"/>
          <w:szCs w:val="28"/>
        </w:rPr>
        <w:t>（一）参加采购活动前3年内与供应商存在劳动关系；</w:t>
      </w:r>
    </w:p>
    <w:p>
      <w:pPr>
        <w:pStyle w:val="40"/>
        <w:shd w:val="clear" w:color="auto" w:fill="FFFFFF"/>
        <w:spacing w:before="0" w:beforeAutospacing="0" w:after="0" w:afterAutospacing="0"/>
        <w:ind w:firstLine="560" w:firstLineChars="200"/>
        <w:rPr>
          <w:rFonts w:cs="Helvetica"/>
          <w:color w:val="000000" w:themeColor="text1"/>
          <w:sz w:val="28"/>
          <w:szCs w:val="28"/>
        </w:rPr>
      </w:pPr>
      <w:r>
        <w:rPr>
          <w:rFonts w:hint="eastAsia" w:cs="Helvetica"/>
          <w:color w:val="000000" w:themeColor="text1"/>
          <w:sz w:val="28"/>
          <w:szCs w:val="28"/>
        </w:rPr>
        <w:t>（二）参加采购活动前3年内担任供应商的董事、监事；</w:t>
      </w:r>
    </w:p>
    <w:p>
      <w:pPr>
        <w:pStyle w:val="40"/>
        <w:shd w:val="clear" w:color="auto" w:fill="FFFFFF"/>
        <w:spacing w:before="0" w:beforeAutospacing="0" w:after="0" w:afterAutospacing="0"/>
        <w:ind w:firstLine="562" w:firstLineChars="201"/>
        <w:rPr>
          <w:rFonts w:cs="Helvetica"/>
          <w:color w:val="000000" w:themeColor="text1"/>
          <w:sz w:val="28"/>
          <w:szCs w:val="28"/>
        </w:rPr>
      </w:pPr>
      <w:r>
        <w:rPr>
          <w:rFonts w:hint="eastAsia" w:cs="Helvetica"/>
          <w:color w:val="000000" w:themeColor="text1"/>
          <w:sz w:val="28"/>
          <w:szCs w:val="28"/>
        </w:rPr>
        <w:t>（三）参加采购活动前3年内是供应商的控股股东或者实际控制人；</w:t>
      </w:r>
    </w:p>
    <w:p>
      <w:pPr>
        <w:pStyle w:val="40"/>
        <w:shd w:val="clear" w:color="auto" w:fill="FFFFFF"/>
        <w:spacing w:before="0" w:beforeAutospacing="0" w:after="0" w:afterAutospacing="0"/>
        <w:ind w:firstLine="560" w:firstLineChars="200"/>
        <w:rPr>
          <w:rFonts w:cs="Helvetica"/>
          <w:color w:val="000000" w:themeColor="text1"/>
          <w:sz w:val="28"/>
          <w:szCs w:val="28"/>
        </w:rPr>
      </w:pPr>
      <w:r>
        <w:rPr>
          <w:rFonts w:hint="eastAsia" w:cs="Helvetica"/>
          <w:color w:val="000000" w:themeColor="text1"/>
          <w:sz w:val="28"/>
          <w:szCs w:val="28"/>
        </w:rPr>
        <w:t>（四）与供应商的法定代表人或者负责人有夫妻、直系血亲、三代以内旁系血亲或者近姻亲关系；</w:t>
      </w:r>
    </w:p>
    <w:p>
      <w:pPr>
        <w:pStyle w:val="40"/>
        <w:shd w:val="clear" w:color="auto" w:fill="FFFFFF"/>
        <w:spacing w:before="0" w:beforeAutospacing="0" w:after="0" w:afterAutospacing="0"/>
        <w:ind w:firstLine="560" w:firstLineChars="200"/>
        <w:rPr>
          <w:rFonts w:cs="Helvetica"/>
          <w:color w:val="000000" w:themeColor="text1"/>
          <w:sz w:val="28"/>
          <w:szCs w:val="28"/>
        </w:rPr>
      </w:pPr>
      <w:r>
        <w:rPr>
          <w:rFonts w:hint="eastAsia" w:cs="Helvetica"/>
          <w:color w:val="000000" w:themeColor="text1"/>
          <w:sz w:val="28"/>
          <w:szCs w:val="28"/>
        </w:rPr>
        <w:t>（五）与供应商有其他可能影响政府采购活动公平、公正进行的关系。</w:t>
      </w:r>
    </w:p>
    <w:p>
      <w:pPr>
        <w:pStyle w:val="40"/>
        <w:shd w:val="clear" w:color="auto" w:fill="FFFFFF"/>
        <w:spacing w:before="0" w:beforeAutospacing="0" w:after="0" w:afterAutospacing="0"/>
        <w:ind w:firstLine="560" w:firstLineChars="200"/>
        <w:rPr>
          <w:color w:val="000000" w:themeColor="text1"/>
          <w:sz w:val="28"/>
          <w:szCs w:val="28"/>
        </w:rPr>
      </w:pPr>
      <w:r>
        <w:rPr>
          <w:rFonts w:hint="eastAsia"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5"/>
        <w:numPr>
          <w:ilvl w:val="1"/>
          <w:numId w:val="4"/>
        </w:numPr>
        <w:spacing w:before="0" w:after="0" w:line="240" w:lineRule="auto"/>
        <w:ind w:left="993" w:hanging="993"/>
        <w:rPr>
          <w:color w:val="000000" w:themeColor="text1"/>
        </w:rPr>
      </w:pPr>
      <w:bookmarkStart w:id="148" w:name="_Toc15833"/>
      <w:bookmarkStart w:id="149" w:name="_Toc31126"/>
      <w:bookmarkStart w:id="150" w:name="_Toc8315"/>
      <w:bookmarkStart w:id="151" w:name="_Toc21164"/>
      <w:bookmarkStart w:id="152" w:name="_Toc217446078"/>
      <w:bookmarkStart w:id="153" w:name="_Toc446402234"/>
      <w:bookmarkStart w:id="154" w:name="_Toc26656"/>
      <w:bookmarkStart w:id="155" w:name="_Toc379536619"/>
      <w:bookmarkStart w:id="156" w:name="_Toc374971122"/>
      <w:r>
        <w:rPr>
          <w:rFonts w:hint="eastAsia"/>
          <w:color w:val="000000" w:themeColor="text1"/>
        </w:rPr>
        <w:t>询问、质疑和投诉</w:t>
      </w:r>
      <w:bookmarkEnd w:id="148"/>
      <w:bookmarkEnd w:id="149"/>
      <w:bookmarkEnd w:id="150"/>
      <w:bookmarkEnd w:id="151"/>
      <w:bookmarkEnd w:id="152"/>
      <w:bookmarkEnd w:id="153"/>
      <w:bookmarkEnd w:id="154"/>
      <w:bookmarkStart w:id="157" w:name="_Toc217446079"/>
    </w:p>
    <w:p>
      <w:pPr>
        <w:numPr>
          <w:ilvl w:val="0"/>
          <w:numId w:val="25"/>
        </w:numPr>
        <w:spacing w:line="500" w:lineRule="exact"/>
        <w:ind w:left="0" w:firstLine="567"/>
        <w:jc w:val="left"/>
        <w:rPr>
          <w:color w:val="000000" w:themeColor="text1"/>
          <w:sz w:val="28"/>
          <w:szCs w:val="28"/>
        </w:rPr>
      </w:pPr>
      <w:r>
        <w:rPr>
          <w:rFonts w:hint="eastAsia"/>
          <w:color w:val="000000" w:themeColor="text1"/>
          <w:sz w:val="28"/>
          <w:szCs w:val="28"/>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rPr>
        <w:t>87</w:t>
      </w:r>
      <w:r>
        <w:rPr>
          <w:rFonts w:hint="eastAsia"/>
          <w:color w:val="000000" w:themeColor="text1"/>
          <w:sz w:val="28"/>
          <w:szCs w:val="28"/>
        </w:rPr>
        <w:t>号令）和《政府采购质疑和投诉办法》（财政部</w:t>
      </w:r>
      <w:r>
        <w:rPr>
          <w:color w:val="000000" w:themeColor="text1"/>
          <w:sz w:val="28"/>
          <w:szCs w:val="28"/>
        </w:rPr>
        <w:t>94</w:t>
      </w:r>
      <w:r>
        <w:rPr>
          <w:rFonts w:hint="eastAsia"/>
          <w:color w:val="000000" w:themeColor="text1"/>
          <w:sz w:val="28"/>
          <w:szCs w:val="28"/>
        </w:rPr>
        <w:t>号令）的规定办理。</w:t>
      </w:r>
    </w:p>
    <w:p>
      <w:pPr>
        <w:numPr>
          <w:ilvl w:val="0"/>
          <w:numId w:val="25"/>
        </w:numPr>
        <w:spacing w:line="500" w:lineRule="exact"/>
        <w:ind w:left="0" w:firstLine="567"/>
        <w:jc w:val="left"/>
        <w:rPr>
          <w:color w:val="000000" w:themeColor="text1"/>
          <w:sz w:val="28"/>
          <w:szCs w:val="28"/>
        </w:rPr>
      </w:pPr>
      <w:r>
        <w:rPr>
          <w:rFonts w:hint="eastAsia"/>
          <w:color w:val="000000" w:themeColor="text1"/>
          <w:sz w:val="28"/>
          <w:szCs w:val="28"/>
        </w:rPr>
        <w:t>供应商</w:t>
      </w:r>
      <w:r>
        <w:rPr>
          <w:rFonts w:hint="eastAsia" w:ascii="宋体" w:hAnsi="宋体"/>
          <w:color w:val="000000" w:themeColor="text1"/>
          <w:sz w:val="28"/>
          <w:szCs w:val="28"/>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rPr>
      </w:pPr>
      <w:r>
        <w:rPr>
          <w:rFonts w:hint="eastAsia"/>
          <w:color w:val="000000" w:themeColor="text1"/>
          <w:sz w:val="28"/>
          <w:szCs w:val="28"/>
        </w:rPr>
        <w:t>供应商</w:t>
      </w:r>
      <w:r>
        <w:rPr>
          <w:rFonts w:hint="eastAsia" w:ascii="宋体" w:hAnsi="宋体"/>
          <w:color w:val="000000" w:themeColor="text1"/>
          <w:sz w:val="28"/>
          <w:szCs w:val="28"/>
        </w:rPr>
        <w:t>对招标文件中</w:t>
      </w:r>
      <w:r>
        <w:rPr>
          <w:rFonts w:hint="eastAsia"/>
          <w:color w:val="000000" w:themeColor="text1"/>
          <w:sz w:val="28"/>
          <w:szCs w:val="28"/>
        </w:rPr>
        <w:t>供应商</w:t>
      </w:r>
      <w:r>
        <w:rPr>
          <w:rFonts w:hint="eastAsia" w:ascii="宋体" w:hAnsi="宋体"/>
          <w:color w:val="000000" w:themeColor="text1"/>
          <w:sz w:val="28"/>
          <w:szCs w:val="28"/>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rPr>
        <w:t>“政府采购云平台”</w:t>
      </w:r>
      <w:r>
        <w:rPr>
          <w:rFonts w:hint="eastAsia" w:ascii="宋体" w:hAnsi="宋体"/>
          <w:color w:val="000000" w:themeColor="text1"/>
          <w:sz w:val="28"/>
          <w:szCs w:val="28"/>
        </w:rPr>
        <w:t>向采购人提出；</w:t>
      </w:r>
    </w:p>
    <w:p>
      <w:pPr>
        <w:numPr>
          <w:ilvl w:val="1"/>
          <w:numId w:val="26"/>
        </w:numPr>
        <w:spacing w:after="120" w:line="500" w:lineRule="exact"/>
        <w:ind w:left="0" w:firstLine="567"/>
        <w:rPr>
          <w:rFonts w:ascii="宋体" w:hAnsi="宋体"/>
          <w:color w:val="000000" w:themeColor="text1"/>
          <w:sz w:val="28"/>
          <w:szCs w:val="28"/>
        </w:rPr>
      </w:pPr>
      <w:r>
        <w:rPr>
          <w:rFonts w:hint="eastAsia"/>
          <w:color w:val="000000" w:themeColor="text1"/>
          <w:sz w:val="28"/>
          <w:szCs w:val="28"/>
        </w:rPr>
        <w:t>供应商对除上述招标文件中的其他内容，采购过程及中标结果（除资格审查）提出询问或质疑的，应通过“政府采购云平台”向成都云辉工程项目管理有限公司提出</w:t>
      </w:r>
      <w:r>
        <w:rPr>
          <w:rFonts w:hint="eastAsia" w:ascii="宋体" w:hAnsi="宋体"/>
          <w:color w:val="000000" w:themeColor="text1"/>
          <w:sz w:val="28"/>
          <w:szCs w:val="28"/>
        </w:rPr>
        <w:t>。</w:t>
      </w:r>
    </w:p>
    <w:p>
      <w:pPr>
        <w:numPr>
          <w:ilvl w:val="0"/>
          <w:numId w:val="25"/>
        </w:numPr>
        <w:tabs>
          <w:tab w:val="left" w:pos="1134"/>
        </w:tabs>
        <w:spacing w:after="120" w:line="500" w:lineRule="exact"/>
        <w:ind w:left="0" w:firstLine="567"/>
        <w:rPr>
          <w:rFonts w:ascii="宋体" w:hAnsi="宋体"/>
          <w:color w:val="000000" w:themeColor="text1"/>
          <w:sz w:val="28"/>
          <w:szCs w:val="28"/>
        </w:rPr>
      </w:pPr>
      <w:r>
        <w:rPr>
          <w:rFonts w:hint="eastAsia" w:ascii="宋体" w:hAnsi="宋体"/>
          <w:color w:val="000000" w:themeColor="text1"/>
          <w:sz w:val="28"/>
          <w:szCs w:val="28"/>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rPr>
      </w:pPr>
      <w:r>
        <w:rPr>
          <w:rFonts w:hint="eastAsia" w:ascii="宋体" w:hAnsi="宋体"/>
          <w:color w:val="000000" w:themeColor="text1"/>
          <w:sz w:val="28"/>
          <w:szCs w:val="28"/>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rPr>
      </w:pPr>
      <w:r>
        <w:rPr>
          <w:rFonts w:hint="eastAsia" w:ascii="宋体" w:hAnsi="宋体"/>
          <w:color w:val="000000" w:themeColor="text1"/>
          <w:sz w:val="28"/>
          <w:szCs w:val="28"/>
        </w:rPr>
        <w:t>供应商提出质疑时应当准备的资料</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rPr>
      </w:pPr>
      <w:r>
        <w:rPr>
          <w:rFonts w:hint="eastAsia" w:cs="Helvetica"/>
          <w:color w:val="000000" w:themeColor="text1"/>
          <w:sz w:val="28"/>
          <w:szCs w:val="28"/>
        </w:rPr>
        <w:t>（一）质疑书正本1份；</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rPr>
      </w:pPr>
      <w:r>
        <w:rPr>
          <w:rFonts w:hint="eastAsia" w:cs="Helvetica"/>
          <w:color w:val="000000" w:themeColor="text1"/>
          <w:sz w:val="28"/>
          <w:szCs w:val="28"/>
        </w:rPr>
        <w:t>（二）法定代表人授权委托书1份（委托代理人办理质疑事宜的需提供）；</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rPr>
      </w:pPr>
      <w:r>
        <w:rPr>
          <w:rFonts w:hint="eastAsia" w:cs="Helvetica"/>
          <w:color w:val="000000" w:themeColor="text1"/>
          <w:sz w:val="28"/>
          <w:szCs w:val="28"/>
        </w:rPr>
        <w:t>（三）营业执照或法人证书复印件1份（加盖公章）；</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rPr>
      </w:pPr>
      <w:r>
        <w:rPr>
          <w:rFonts w:hint="eastAsia" w:cs="Helvetica"/>
          <w:color w:val="000000" w:themeColor="text1"/>
          <w:sz w:val="28"/>
          <w:szCs w:val="28"/>
        </w:rPr>
        <w:t>（四）法定代表人身份证复印件1份；</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rPr>
      </w:pPr>
      <w:r>
        <w:rPr>
          <w:rFonts w:hint="eastAsia" w:cs="Helvetica"/>
          <w:color w:val="000000" w:themeColor="text1"/>
          <w:sz w:val="28"/>
          <w:szCs w:val="28"/>
        </w:rPr>
        <w:t>（五）委托代理人身份证复印件1份（委托代理人办理质疑事宜的需提供）；</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rPr>
      </w:pPr>
      <w:r>
        <w:rPr>
          <w:rFonts w:hint="eastAsia" w:cs="Helvetica"/>
          <w:color w:val="000000" w:themeColor="text1"/>
          <w:sz w:val="28"/>
          <w:szCs w:val="28"/>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rPr>
      </w:pPr>
      <w:r>
        <w:rPr>
          <w:rFonts w:hint="eastAsia" w:ascii="宋体" w:hAnsi="宋体"/>
          <w:color w:val="000000" w:themeColor="text1"/>
          <w:sz w:val="28"/>
          <w:szCs w:val="28"/>
        </w:rPr>
        <w:t>供应商对采购人</w:t>
      </w:r>
      <w:r>
        <w:rPr>
          <w:rFonts w:ascii="宋体" w:hAnsi="宋体"/>
          <w:color w:val="000000" w:themeColor="text1"/>
          <w:sz w:val="28"/>
          <w:szCs w:val="28"/>
        </w:rPr>
        <w:t>或</w:t>
      </w:r>
      <w:r>
        <w:rPr>
          <w:rFonts w:hint="eastAsia" w:ascii="宋体" w:hAnsi="宋体"/>
          <w:color w:val="000000" w:themeColor="text1"/>
          <w:sz w:val="28"/>
          <w:szCs w:val="28"/>
        </w:rPr>
        <w:t>成都云辉工程项目管理有限公司的质疑答复不满意，或者采购人</w:t>
      </w:r>
      <w:r>
        <w:rPr>
          <w:rFonts w:ascii="宋体" w:hAnsi="宋体"/>
          <w:color w:val="000000" w:themeColor="text1"/>
          <w:sz w:val="28"/>
          <w:szCs w:val="28"/>
        </w:rPr>
        <w:t>或</w:t>
      </w:r>
      <w:r>
        <w:rPr>
          <w:rFonts w:hint="eastAsia" w:ascii="宋体" w:hAnsi="宋体"/>
          <w:color w:val="000000" w:themeColor="text1"/>
          <w:sz w:val="28"/>
          <w:szCs w:val="28"/>
        </w:rPr>
        <w:t>成都云辉工程项目管理有限公司未在规定期限内作出答复的，供应商可以在答复期满后15个工作日内向同级财政部门提起投诉。</w:t>
      </w:r>
    </w:p>
    <w:bookmarkEnd w:id="157"/>
    <w:p>
      <w:pPr>
        <w:pStyle w:val="5"/>
        <w:numPr>
          <w:ilvl w:val="1"/>
          <w:numId w:val="4"/>
        </w:numPr>
        <w:spacing w:before="0" w:after="0" w:line="240" w:lineRule="auto"/>
        <w:ind w:left="2269" w:hanging="2269"/>
        <w:rPr>
          <w:color w:val="000000" w:themeColor="text1"/>
          <w:sz w:val="36"/>
          <w:szCs w:val="36"/>
        </w:rPr>
      </w:pPr>
      <w:bookmarkStart w:id="158" w:name="_Toc11597"/>
      <w:bookmarkStart w:id="159" w:name="_Toc8941"/>
      <w:bookmarkStart w:id="160" w:name="_Toc10245"/>
      <w:bookmarkStart w:id="161" w:name="_Toc9450"/>
      <w:bookmarkStart w:id="162" w:name="_Toc1212"/>
      <w:r>
        <w:rPr>
          <w:rFonts w:hint="eastAsia"/>
          <w:color w:val="000000" w:themeColor="text1"/>
        </w:rPr>
        <w:t>中小企业政府采购信用融资</w:t>
      </w:r>
      <w:bookmarkEnd w:id="155"/>
      <w:bookmarkEnd w:id="156"/>
      <w:bookmarkEnd w:id="158"/>
      <w:bookmarkEnd w:id="159"/>
      <w:bookmarkEnd w:id="160"/>
      <w:bookmarkEnd w:id="161"/>
      <w:bookmarkEnd w:id="162"/>
    </w:p>
    <w:p>
      <w:pPr>
        <w:numPr>
          <w:ilvl w:val="2"/>
          <w:numId w:val="27"/>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after="200"/>
        <w:ind w:left="0" w:firstLine="567"/>
        <w:rPr>
          <w:rFonts w:ascii="宋体" w:hAnsi="宋体"/>
          <w:color w:val="000000" w:themeColor="text1"/>
          <w:sz w:val="28"/>
          <w:szCs w:val="28"/>
        </w:rPr>
      </w:pPr>
      <w:r>
        <w:rPr>
          <w:rFonts w:hint="eastAsia" w:ascii="宋体" w:hAnsi="宋体"/>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pStyle w:val="2"/>
        <w:rPr>
          <w:rFonts w:ascii="宋体" w:hAnsi="宋体"/>
          <w:color w:val="000000" w:themeColor="text1"/>
          <w:sz w:val="28"/>
          <w:szCs w:val="28"/>
        </w:rPr>
      </w:pPr>
    </w:p>
    <w:p>
      <w:pPr>
        <w:rPr>
          <w:rFonts w:ascii="宋体" w:hAnsi="宋体"/>
          <w:color w:val="000000" w:themeColor="text1"/>
          <w:sz w:val="28"/>
          <w:szCs w:val="28"/>
        </w:rPr>
      </w:pPr>
    </w:p>
    <w:p>
      <w:pPr>
        <w:pStyle w:val="2"/>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pStyle w:val="3"/>
        <w:ind w:firstLine="280"/>
        <w:rPr>
          <w:rFonts w:ascii="宋体" w:hAnsi="宋体"/>
          <w:color w:val="000000" w:themeColor="text1"/>
          <w:sz w:val="28"/>
          <w:szCs w:val="28"/>
        </w:rPr>
      </w:pPr>
    </w:p>
    <w:p>
      <w:pPr>
        <w:rPr>
          <w:rFonts w:ascii="宋体" w:hAnsi="宋体"/>
          <w:color w:val="000000" w:themeColor="text1"/>
          <w:sz w:val="28"/>
          <w:szCs w:val="28"/>
        </w:rPr>
      </w:pPr>
    </w:p>
    <w:p>
      <w:pPr>
        <w:pStyle w:val="4"/>
        <w:numPr>
          <w:ilvl w:val="0"/>
          <w:numId w:val="4"/>
        </w:numPr>
        <w:spacing w:line="240" w:lineRule="auto"/>
        <w:rPr>
          <w:color w:val="000000" w:themeColor="text1"/>
        </w:rPr>
      </w:pPr>
      <w:bookmarkStart w:id="163" w:name="_Toc315871047"/>
      <w:bookmarkEnd w:id="163"/>
      <w:bookmarkStart w:id="164" w:name="_Toc315871046"/>
      <w:bookmarkEnd w:id="164"/>
      <w:bookmarkStart w:id="165" w:name="_Toc316292050"/>
      <w:bookmarkEnd w:id="165"/>
      <w:bookmarkStart w:id="166" w:name="_Toc315871050"/>
      <w:bookmarkEnd w:id="166"/>
      <w:bookmarkStart w:id="167" w:name="_Toc316292048"/>
      <w:bookmarkEnd w:id="167"/>
      <w:bookmarkStart w:id="168" w:name="_Toc316292051"/>
      <w:bookmarkEnd w:id="168"/>
      <w:bookmarkStart w:id="169" w:name="_Toc315871045"/>
      <w:bookmarkEnd w:id="169"/>
      <w:bookmarkStart w:id="170" w:name="_Toc316292052"/>
      <w:bookmarkEnd w:id="170"/>
      <w:bookmarkStart w:id="171" w:name="_Toc316292049"/>
      <w:bookmarkEnd w:id="171"/>
      <w:bookmarkStart w:id="172" w:name="_Toc315871048"/>
      <w:bookmarkEnd w:id="172"/>
      <w:bookmarkStart w:id="173" w:name="_Toc315871049"/>
      <w:bookmarkEnd w:id="173"/>
      <w:bookmarkStart w:id="174" w:name="_Toc7565"/>
      <w:bookmarkStart w:id="175" w:name="_Toc8836"/>
      <w:bookmarkStart w:id="176" w:name="_Toc29131"/>
      <w:bookmarkStart w:id="177" w:name="_Toc17383"/>
      <w:bookmarkStart w:id="178" w:name="_Toc18353"/>
      <w:r>
        <w:rPr>
          <w:rFonts w:hint="eastAsia"/>
          <w:color w:val="000000" w:themeColor="text1"/>
        </w:rPr>
        <w:t>投标文件格式</w:t>
      </w:r>
      <w:bookmarkEnd w:id="174"/>
      <w:bookmarkEnd w:id="175"/>
      <w:bookmarkEnd w:id="176"/>
      <w:bookmarkEnd w:id="177"/>
      <w:bookmarkEnd w:id="178"/>
    </w:p>
    <w:p>
      <w:pPr>
        <w:tabs>
          <w:tab w:val="left" w:pos="900"/>
        </w:tabs>
        <w:spacing w:line="360" w:lineRule="auto"/>
        <w:jc w:val="center"/>
        <w:rPr>
          <w:rFonts w:ascii="宋体" w:hAnsi="宋体" w:cs="仿宋"/>
          <w:b/>
          <w:sz w:val="32"/>
        </w:rPr>
      </w:pPr>
      <w:bookmarkStart w:id="179" w:name="_Toc217446082"/>
      <w:r>
        <w:rPr>
          <w:rFonts w:hint="eastAsia" w:ascii="宋体" w:hAnsi="宋体" w:cs="仿宋"/>
          <w:b/>
          <w:sz w:val="32"/>
        </w:rPr>
        <w:t>第一部分     “资格性投标文件”格式</w:t>
      </w:r>
    </w:p>
    <w:p>
      <w:pPr>
        <w:spacing w:line="360" w:lineRule="auto"/>
        <w:rPr>
          <w:rFonts w:ascii="宋体" w:hAnsi="宋体" w:cs="仿宋"/>
          <w:b/>
          <w:sz w:val="32"/>
          <w:szCs w:val="32"/>
        </w:rPr>
      </w:pPr>
      <w:r>
        <w:rPr>
          <w:rFonts w:hint="eastAsia" w:ascii="宋体" w:hAnsi="宋体" w:cs="仿宋"/>
          <w:b/>
          <w:sz w:val="32"/>
          <w:szCs w:val="32"/>
        </w:rPr>
        <w:t>格式1-1</w:t>
      </w:r>
    </w:p>
    <w:p>
      <w:pPr>
        <w:spacing w:line="360" w:lineRule="auto"/>
        <w:rPr>
          <w:rFonts w:ascii="宋体" w:hAnsi="宋体" w:cs="仿宋"/>
          <w:b/>
          <w:sz w:val="32"/>
          <w:szCs w:val="32"/>
        </w:rPr>
      </w:pPr>
      <w:r>
        <w:rPr>
          <w:rFonts w:hint="eastAsia" w:ascii="宋体" w:hAnsi="宋体" w:cs="仿宋"/>
          <w:b/>
          <w:sz w:val="32"/>
          <w:szCs w:val="32"/>
        </w:rPr>
        <w:t>封面：</w:t>
      </w:r>
    </w:p>
    <w:p>
      <w:pPr>
        <w:spacing w:line="360" w:lineRule="auto"/>
        <w:jc w:val="right"/>
        <w:rPr>
          <w:rFonts w:ascii="宋体" w:hAnsi="宋体" w:cs="仿宋"/>
          <w:b/>
          <w:sz w:val="36"/>
        </w:rPr>
      </w:pPr>
      <w:r>
        <w:rPr>
          <w:rFonts w:hint="eastAsia" w:ascii="宋体" w:hAnsi="宋体" w:cs="仿宋"/>
          <w:b/>
          <w:sz w:val="36"/>
        </w:rPr>
        <w:t>（正本/副本）</w:t>
      </w:r>
    </w:p>
    <w:p>
      <w:pPr>
        <w:spacing w:line="360" w:lineRule="auto"/>
        <w:rPr>
          <w:rFonts w:ascii="宋体" w:hAnsi="宋体" w:cs="仿宋"/>
          <w:b/>
          <w:sz w:val="32"/>
          <w:szCs w:val="32"/>
        </w:rPr>
      </w:pPr>
    </w:p>
    <w:p>
      <w:pPr>
        <w:spacing w:line="360" w:lineRule="auto"/>
        <w:rPr>
          <w:rFonts w:ascii="宋体" w:hAnsi="宋体" w:cs="仿宋"/>
          <w:b/>
          <w:sz w:val="32"/>
          <w:szCs w:val="32"/>
        </w:rPr>
      </w:pPr>
    </w:p>
    <w:p>
      <w:pPr>
        <w:spacing w:line="360" w:lineRule="auto"/>
        <w:jc w:val="center"/>
        <w:rPr>
          <w:rFonts w:ascii="宋体" w:hAnsi="宋体" w:cs="仿宋"/>
          <w:b/>
          <w:sz w:val="72"/>
        </w:rPr>
      </w:pPr>
      <w:r>
        <w:rPr>
          <w:rFonts w:hint="eastAsia" w:ascii="宋体" w:hAnsi="宋体" w:cs="仿宋"/>
          <w:b/>
          <w:sz w:val="40"/>
          <w:szCs w:val="48"/>
          <w:u w:val="single"/>
        </w:rPr>
        <w:t xml:space="preserve">                      </w:t>
      </w:r>
      <w:r>
        <w:rPr>
          <w:rFonts w:hint="eastAsia" w:ascii="宋体" w:hAnsi="宋体" w:cs="仿宋"/>
          <w:b/>
          <w:sz w:val="40"/>
          <w:szCs w:val="48"/>
        </w:rPr>
        <w:t>项目</w:t>
      </w:r>
    </w:p>
    <w:p>
      <w:pPr>
        <w:spacing w:line="360" w:lineRule="auto"/>
        <w:rPr>
          <w:rFonts w:ascii="宋体" w:hAnsi="宋体" w:cs="仿宋"/>
          <w:b/>
          <w:sz w:val="52"/>
          <w:szCs w:val="52"/>
        </w:rPr>
      </w:pPr>
    </w:p>
    <w:p>
      <w:pPr>
        <w:spacing w:line="360" w:lineRule="auto"/>
        <w:jc w:val="center"/>
        <w:rPr>
          <w:rFonts w:ascii="宋体" w:hAnsi="宋体" w:cs="仿宋"/>
          <w:b/>
          <w:sz w:val="32"/>
          <w:szCs w:val="32"/>
        </w:rPr>
      </w:pPr>
      <w:r>
        <w:rPr>
          <w:rFonts w:hint="eastAsia" w:ascii="宋体" w:hAnsi="宋体" w:cs="仿宋"/>
          <w:b/>
          <w:sz w:val="52"/>
          <w:szCs w:val="52"/>
        </w:rPr>
        <w:t>资格性投标文件</w:t>
      </w:r>
    </w:p>
    <w:p>
      <w:pPr>
        <w:spacing w:line="360" w:lineRule="auto"/>
        <w:rPr>
          <w:rFonts w:ascii="宋体" w:hAnsi="宋体" w:cs="仿宋"/>
          <w:b/>
          <w:sz w:val="36"/>
        </w:rPr>
      </w:pPr>
    </w:p>
    <w:p>
      <w:pPr>
        <w:spacing w:line="360" w:lineRule="auto"/>
        <w:rPr>
          <w:rFonts w:ascii="宋体" w:hAnsi="宋体" w:cs="仿宋"/>
          <w:b/>
          <w:sz w:val="36"/>
        </w:rPr>
      </w:pPr>
    </w:p>
    <w:p>
      <w:pPr>
        <w:spacing w:line="360" w:lineRule="auto"/>
        <w:ind w:firstLine="643" w:firstLineChars="200"/>
        <w:jc w:val="left"/>
        <w:rPr>
          <w:rFonts w:ascii="宋体" w:hAnsi="宋体" w:cs="仿宋"/>
          <w:b/>
          <w:sz w:val="32"/>
          <w:u w:val="single"/>
        </w:rPr>
      </w:pPr>
      <w:bookmarkStart w:id="180" w:name="_Hlk534971390"/>
      <w:r>
        <w:rPr>
          <w:rFonts w:hint="eastAsia" w:ascii="宋体" w:hAnsi="宋体" w:cs="仿宋"/>
          <w:b/>
          <w:sz w:val="32"/>
        </w:rPr>
        <w:t>投标人名称：</w:t>
      </w:r>
      <w:r>
        <w:rPr>
          <w:rFonts w:hint="eastAsia" w:ascii="宋体" w:hAnsi="宋体" w:cs="仿宋"/>
          <w:b/>
          <w:sz w:val="32"/>
          <w:u w:val="single"/>
        </w:rPr>
        <w:t xml:space="preserve">                                 </w:t>
      </w:r>
    </w:p>
    <w:p>
      <w:pPr>
        <w:spacing w:line="360" w:lineRule="auto"/>
        <w:ind w:firstLine="643" w:firstLineChars="200"/>
        <w:jc w:val="left"/>
        <w:rPr>
          <w:rFonts w:ascii="宋体" w:hAnsi="宋体" w:cs="仿宋"/>
          <w:b/>
          <w:sz w:val="32"/>
          <w:u w:val="single"/>
        </w:rPr>
      </w:pPr>
      <w:r>
        <w:rPr>
          <w:rFonts w:hint="eastAsia" w:ascii="宋体" w:hAnsi="宋体" w:cs="仿宋"/>
          <w:b/>
          <w:sz w:val="32"/>
        </w:rPr>
        <w:t>招 标 编号：</w:t>
      </w:r>
      <w:r>
        <w:rPr>
          <w:rFonts w:hint="eastAsia" w:ascii="宋体" w:hAnsi="宋体" w:cs="仿宋"/>
          <w:b/>
          <w:sz w:val="32"/>
          <w:u w:val="single"/>
        </w:rPr>
        <w:t xml:space="preserve">                                 </w:t>
      </w:r>
    </w:p>
    <w:bookmarkEnd w:id="180"/>
    <w:p>
      <w:pPr>
        <w:spacing w:line="360" w:lineRule="auto"/>
        <w:ind w:firstLine="790" w:firstLineChars="246"/>
        <w:jc w:val="center"/>
        <w:rPr>
          <w:rFonts w:ascii="宋体" w:hAnsi="宋体" w:cs="仿宋"/>
          <w:b/>
          <w:sz w:val="32"/>
        </w:rPr>
      </w:pPr>
    </w:p>
    <w:p>
      <w:pPr>
        <w:pStyle w:val="2"/>
        <w:rPr>
          <w:rFonts w:ascii="宋体" w:hAnsi="宋体" w:cs="仿宋"/>
        </w:rPr>
      </w:pPr>
    </w:p>
    <w:p>
      <w:pPr>
        <w:spacing w:line="360" w:lineRule="auto"/>
        <w:jc w:val="center"/>
        <w:rPr>
          <w:rFonts w:ascii="宋体" w:hAnsi="宋体" w:cs="仿宋"/>
          <w:b/>
          <w:sz w:val="32"/>
        </w:rPr>
      </w:pPr>
      <w:r>
        <w:rPr>
          <w:rFonts w:hint="eastAsia" w:ascii="宋体" w:hAnsi="宋体" w:cs="仿宋"/>
          <w:b/>
          <w:sz w:val="32"/>
        </w:rPr>
        <w:t>投标日期：</w:t>
      </w:r>
      <w:r>
        <w:rPr>
          <w:rFonts w:hint="eastAsia" w:ascii="宋体" w:hAnsi="宋体" w:cs="仿宋"/>
          <w:b/>
          <w:sz w:val="32"/>
          <w:u w:val="single"/>
        </w:rPr>
        <w:t xml:space="preserve">    </w:t>
      </w:r>
      <w:r>
        <w:rPr>
          <w:rFonts w:hint="eastAsia" w:ascii="宋体" w:hAnsi="宋体" w:cs="仿宋"/>
          <w:b/>
          <w:sz w:val="32"/>
        </w:rPr>
        <w:t>年</w:t>
      </w:r>
      <w:r>
        <w:rPr>
          <w:rFonts w:hint="eastAsia" w:ascii="宋体" w:hAnsi="宋体" w:cs="仿宋"/>
          <w:b/>
          <w:sz w:val="32"/>
          <w:u w:val="single"/>
        </w:rPr>
        <w:t xml:space="preserve">   </w:t>
      </w:r>
      <w:r>
        <w:rPr>
          <w:rFonts w:hint="eastAsia" w:ascii="宋体" w:hAnsi="宋体" w:cs="仿宋"/>
          <w:b/>
          <w:sz w:val="32"/>
        </w:rPr>
        <w:t>月</w:t>
      </w:r>
      <w:r>
        <w:rPr>
          <w:rFonts w:hint="eastAsia" w:ascii="宋体" w:hAnsi="宋体" w:cs="仿宋"/>
          <w:b/>
          <w:sz w:val="32"/>
          <w:u w:val="single"/>
        </w:rPr>
        <w:t xml:space="preserve">   </w:t>
      </w:r>
      <w:r>
        <w:rPr>
          <w:rFonts w:hint="eastAsia" w:ascii="宋体" w:hAnsi="宋体" w:cs="仿宋"/>
          <w:b/>
          <w:sz w:val="32"/>
        </w:rPr>
        <w:t>日</w:t>
      </w:r>
    </w:p>
    <w:p>
      <w:pPr>
        <w:spacing w:line="360" w:lineRule="auto"/>
        <w:rPr>
          <w:rFonts w:ascii="宋体" w:hAnsi="宋体" w:cs="仿宋"/>
          <w:b/>
          <w:sz w:val="32"/>
          <w:szCs w:val="32"/>
        </w:rPr>
      </w:pPr>
      <w:r>
        <w:rPr>
          <w:rFonts w:hint="eastAsia" w:ascii="宋体" w:hAnsi="宋体" w:cs="仿宋"/>
          <w:b/>
          <w:sz w:val="32"/>
        </w:rPr>
        <w:br w:type="page"/>
      </w:r>
      <w:r>
        <w:rPr>
          <w:rFonts w:hint="eastAsia" w:ascii="宋体" w:hAnsi="宋体" w:cs="仿宋"/>
          <w:b/>
          <w:sz w:val="32"/>
          <w:szCs w:val="32"/>
        </w:rPr>
        <w:t>格式1-2</w:t>
      </w:r>
    </w:p>
    <w:p>
      <w:pPr>
        <w:spacing w:line="360" w:lineRule="auto"/>
        <w:ind w:firstLine="790" w:firstLineChars="246"/>
        <w:jc w:val="center"/>
        <w:rPr>
          <w:rFonts w:ascii="宋体" w:hAnsi="宋体" w:cs="仿宋"/>
          <w:b/>
          <w:sz w:val="24"/>
        </w:rPr>
      </w:pPr>
      <w:r>
        <w:rPr>
          <w:rFonts w:hint="eastAsia" w:ascii="宋体" w:hAnsi="宋体" w:cs="仿宋"/>
          <w:b/>
          <w:sz w:val="32"/>
          <w:szCs w:val="32"/>
        </w:rPr>
        <w:t>一、法定代表人/单位负责人授权书</w:t>
      </w:r>
    </w:p>
    <w:p>
      <w:pPr>
        <w:widowControl/>
        <w:spacing w:line="360" w:lineRule="atLeast"/>
        <w:ind w:firstLine="472" w:firstLineChars="196"/>
        <w:jc w:val="left"/>
        <w:outlineLvl w:val="1"/>
        <w:rPr>
          <w:rFonts w:ascii="宋体" w:hAnsi="宋体" w:cs="仿宋"/>
          <w:b/>
          <w:sz w:val="24"/>
        </w:rPr>
      </w:pPr>
    </w:p>
    <w:p>
      <w:pPr>
        <w:widowControl/>
        <w:spacing w:line="360" w:lineRule="auto"/>
        <w:jc w:val="left"/>
        <w:outlineLvl w:val="1"/>
        <w:rPr>
          <w:rFonts w:ascii="宋体" w:hAnsi="宋体" w:cs="仿宋"/>
          <w:sz w:val="28"/>
          <w:szCs w:val="28"/>
        </w:rPr>
      </w:pPr>
      <w:bookmarkStart w:id="181" w:name="_Hlk534971416"/>
      <w:r>
        <w:rPr>
          <w:rFonts w:hint="eastAsia" w:ascii="宋体" w:hAnsi="宋体" w:cs="仿宋"/>
          <w:b/>
          <w:sz w:val="28"/>
          <w:szCs w:val="28"/>
          <w:u w:val="single"/>
        </w:rPr>
        <w:t xml:space="preserve">           </w:t>
      </w:r>
      <w:bookmarkStart w:id="182" w:name="_Toc27011"/>
      <w:r>
        <w:rPr>
          <w:rFonts w:hint="eastAsia" w:ascii="宋体" w:hAnsi="宋体" w:cs="仿宋"/>
          <w:sz w:val="28"/>
          <w:szCs w:val="28"/>
        </w:rPr>
        <w:t>（采购代理机构名称）：</w:t>
      </w:r>
      <w:bookmarkEnd w:id="182"/>
    </w:p>
    <w:p>
      <w:pPr>
        <w:widowControl/>
        <w:spacing w:line="360" w:lineRule="auto"/>
        <w:ind w:firstLine="548" w:firstLineChars="196"/>
        <w:jc w:val="left"/>
        <w:outlineLvl w:val="1"/>
        <w:rPr>
          <w:rFonts w:ascii="宋体" w:hAnsi="宋体" w:cs="仿宋"/>
          <w:sz w:val="28"/>
          <w:szCs w:val="28"/>
        </w:rPr>
      </w:pPr>
      <w:bookmarkStart w:id="183" w:name="_Toc15435"/>
      <w:r>
        <w:rPr>
          <w:rFonts w:hint="eastAsia" w:ascii="宋体" w:hAnsi="宋体" w:cs="仿宋"/>
          <w:sz w:val="28"/>
          <w:szCs w:val="28"/>
        </w:rPr>
        <w:t>本授权声明：</w:t>
      </w:r>
      <w:r>
        <w:rPr>
          <w:rFonts w:hint="eastAsia" w:ascii="宋体" w:hAnsi="宋体" w:cs="仿宋"/>
          <w:b/>
          <w:sz w:val="28"/>
          <w:szCs w:val="28"/>
          <w:u w:val="single"/>
        </w:rPr>
        <w:t xml:space="preserve">           </w:t>
      </w:r>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（法定代表人/单位负责人姓名、职务）授权</w:t>
      </w:r>
      <w:r>
        <w:rPr>
          <w:rFonts w:hint="eastAsia" w:ascii="宋体" w:hAnsi="宋体" w:cs="仿宋"/>
          <w:b/>
          <w:sz w:val="28"/>
          <w:szCs w:val="28"/>
          <w:u w:val="single"/>
        </w:rPr>
        <w:t xml:space="preserve">           </w:t>
      </w:r>
      <w:r>
        <w:rPr>
          <w:rFonts w:hint="eastAsia" w:ascii="宋体" w:hAnsi="宋体" w:cs="仿宋"/>
          <w:sz w:val="28"/>
          <w:szCs w:val="28"/>
        </w:rPr>
        <w:t>（被授权人姓名、职务）为我方 “</w:t>
      </w:r>
      <w:r>
        <w:rPr>
          <w:rFonts w:hint="eastAsia" w:ascii="宋体" w:hAnsi="宋体" w:cs="仿宋"/>
          <w:b/>
          <w:sz w:val="28"/>
          <w:szCs w:val="28"/>
          <w:u w:val="single"/>
        </w:rPr>
        <w:t xml:space="preserve">           </w:t>
      </w:r>
      <w:r>
        <w:rPr>
          <w:rFonts w:hint="eastAsia" w:ascii="宋体" w:hAnsi="宋体" w:cs="仿宋"/>
          <w:sz w:val="28"/>
          <w:szCs w:val="28"/>
        </w:rPr>
        <w:t>” 项目（招标编号：</w:t>
      </w:r>
      <w:r>
        <w:rPr>
          <w:rFonts w:hint="eastAsia" w:ascii="宋体" w:hAnsi="宋体" w:cs="仿宋"/>
          <w:b/>
          <w:sz w:val="28"/>
          <w:szCs w:val="28"/>
          <w:u w:val="single"/>
        </w:rPr>
        <w:t xml:space="preserve">           </w:t>
      </w:r>
      <w:r>
        <w:rPr>
          <w:rFonts w:hint="eastAsia" w:ascii="宋体" w:hAnsi="宋体" w:cs="仿宋"/>
          <w:sz w:val="28"/>
          <w:szCs w:val="28"/>
        </w:rPr>
        <w:t>）投标活动的合法代表，以我方名义全权处理该项目有关投标、签订合同以及执行合同等一切事宜。</w:t>
      </w:r>
      <w:bookmarkEnd w:id="183"/>
    </w:p>
    <w:p>
      <w:pPr>
        <w:widowControl/>
        <w:spacing w:line="360" w:lineRule="auto"/>
        <w:ind w:firstLine="548" w:firstLineChars="196"/>
        <w:jc w:val="left"/>
        <w:outlineLvl w:val="1"/>
        <w:rPr>
          <w:rFonts w:ascii="宋体" w:hAnsi="宋体" w:cs="仿宋"/>
          <w:sz w:val="28"/>
          <w:szCs w:val="28"/>
        </w:rPr>
      </w:pPr>
      <w:bookmarkStart w:id="184" w:name="_Toc22313"/>
      <w:r>
        <w:rPr>
          <w:rFonts w:hint="eastAsia" w:ascii="宋体" w:hAnsi="宋体" w:cs="仿宋"/>
          <w:sz w:val="28"/>
          <w:szCs w:val="28"/>
        </w:rPr>
        <w:t>特此声明。</w:t>
      </w:r>
      <w:bookmarkEnd w:id="184"/>
    </w:p>
    <w:p>
      <w:pPr>
        <w:widowControl/>
        <w:spacing w:line="360" w:lineRule="auto"/>
        <w:ind w:firstLine="548" w:firstLineChars="196"/>
        <w:jc w:val="left"/>
        <w:outlineLvl w:val="1"/>
        <w:rPr>
          <w:rFonts w:ascii="宋体" w:hAnsi="宋体" w:cs="仿宋"/>
          <w:sz w:val="28"/>
          <w:szCs w:val="28"/>
        </w:rPr>
      </w:pPr>
    </w:p>
    <w:p>
      <w:pPr>
        <w:widowControl/>
        <w:ind w:firstLine="548" w:firstLineChars="196"/>
        <w:jc w:val="left"/>
        <w:outlineLvl w:val="1"/>
        <w:rPr>
          <w:rFonts w:ascii="宋体" w:hAnsi="宋体" w:cs="仿宋"/>
          <w:sz w:val="28"/>
          <w:szCs w:val="28"/>
        </w:rPr>
      </w:pPr>
      <w:bookmarkStart w:id="185" w:name="_Toc22816"/>
      <w:r>
        <w:rPr>
          <w:rFonts w:hint="eastAsia" w:ascii="宋体" w:hAnsi="宋体" w:cs="仿宋"/>
          <w:sz w:val="28"/>
          <w:szCs w:val="28"/>
        </w:rPr>
        <w:t>法定代表人/单位负责人（委托人）签字：</w:t>
      </w:r>
      <w:r>
        <w:rPr>
          <w:rFonts w:hint="eastAsia" w:ascii="宋体" w:hAnsi="宋体" w:cs="仿宋"/>
          <w:b/>
          <w:sz w:val="28"/>
          <w:szCs w:val="28"/>
          <w:u w:val="single"/>
        </w:rPr>
        <w:t xml:space="preserve">           </w:t>
      </w:r>
      <w:r>
        <w:rPr>
          <w:rFonts w:hint="eastAsia" w:ascii="宋体" w:hAnsi="宋体" w:cs="仿宋"/>
          <w:sz w:val="28"/>
          <w:szCs w:val="28"/>
        </w:rPr>
        <w:t>。</w:t>
      </w:r>
      <w:bookmarkEnd w:id="185"/>
    </w:p>
    <w:p>
      <w:pPr>
        <w:widowControl/>
        <w:ind w:firstLine="548" w:firstLineChars="196"/>
        <w:jc w:val="left"/>
        <w:outlineLvl w:val="1"/>
        <w:rPr>
          <w:rFonts w:ascii="宋体" w:hAnsi="宋体" w:cs="仿宋"/>
          <w:sz w:val="28"/>
          <w:szCs w:val="28"/>
        </w:rPr>
      </w:pPr>
    </w:p>
    <w:p>
      <w:pPr>
        <w:widowControl/>
        <w:ind w:firstLine="548" w:firstLineChars="196"/>
        <w:jc w:val="left"/>
        <w:outlineLvl w:val="1"/>
        <w:rPr>
          <w:rFonts w:ascii="宋体" w:hAnsi="宋体" w:cs="仿宋"/>
          <w:sz w:val="28"/>
          <w:szCs w:val="28"/>
        </w:rPr>
      </w:pPr>
      <w:bookmarkStart w:id="186" w:name="_Toc30459"/>
      <w:r>
        <w:rPr>
          <w:rFonts w:hint="eastAsia" w:ascii="宋体" w:hAnsi="宋体" w:cs="仿宋"/>
          <w:sz w:val="28"/>
          <w:szCs w:val="28"/>
        </w:rPr>
        <w:t>授权代表（被授权人）签字：</w:t>
      </w:r>
      <w:r>
        <w:rPr>
          <w:rFonts w:hint="eastAsia" w:ascii="宋体" w:hAnsi="宋体" w:cs="仿宋"/>
          <w:b/>
          <w:sz w:val="28"/>
          <w:szCs w:val="28"/>
          <w:u w:val="single"/>
        </w:rPr>
        <w:t xml:space="preserve">           </w:t>
      </w:r>
      <w:r>
        <w:rPr>
          <w:rFonts w:hint="eastAsia" w:ascii="宋体" w:hAnsi="宋体" w:cs="仿宋"/>
          <w:sz w:val="28"/>
          <w:szCs w:val="28"/>
        </w:rPr>
        <w:t>。</w:t>
      </w:r>
      <w:bookmarkEnd w:id="186"/>
    </w:p>
    <w:p>
      <w:pPr>
        <w:widowControl/>
        <w:ind w:firstLine="548" w:firstLineChars="196"/>
        <w:jc w:val="left"/>
        <w:outlineLvl w:val="1"/>
        <w:rPr>
          <w:rFonts w:ascii="宋体" w:hAnsi="宋体" w:cs="仿宋"/>
          <w:sz w:val="28"/>
          <w:szCs w:val="28"/>
        </w:rPr>
      </w:pPr>
    </w:p>
    <w:p>
      <w:pPr>
        <w:widowControl/>
        <w:ind w:firstLine="548" w:firstLineChars="196"/>
        <w:jc w:val="left"/>
        <w:outlineLvl w:val="1"/>
        <w:rPr>
          <w:rFonts w:ascii="宋体" w:hAnsi="宋体" w:cs="仿宋"/>
          <w:sz w:val="28"/>
          <w:szCs w:val="28"/>
        </w:rPr>
      </w:pPr>
      <w:bookmarkStart w:id="187" w:name="_Toc8153"/>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187"/>
    </w:p>
    <w:p>
      <w:pPr>
        <w:widowControl/>
        <w:ind w:firstLine="548" w:firstLineChars="196"/>
        <w:jc w:val="left"/>
        <w:outlineLvl w:val="1"/>
        <w:rPr>
          <w:rFonts w:ascii="宋体" w:hAnsi="宋体" w:cs="仿宋"/>
          <w:sz w:val="28"/>
          <w:szCs w:val="28"/>
        </w:rPr>
      </w:pPr>
    </w:p>
    <w:p>
      <w:pPr>
        <w:widowControl/>
        <w:ind w:firstLine="548" w:firstLineChars="196"/>
        <w:jc w:val="left"/>
        <w:outlineLvl w:val="1"/>
        <w:rPr>
          <w:rFonts w:ascii="宋体" w:hAnsi="宋体" w:cs="仿宋"/>
          <w:sz w:val="28"/>
          <w:szCs w:val="28"/>
        </w:rPr>
      </w:pPr>
      <w:bookmarkStart w:id="188" w:name="_Toc5340"/>
      <w:r>
        <w:rPr>
          <w:rFonts w:hint="eastAsia" w:ascii="宋体" w:hAnsi="宋体" w:cs="仿宋"/>
          <w:sz w:val="28"/>
          <w:szCs w:val="28"/>
        </w:rPr>
        <w:t>投标日期：</w:t>
      </w:r>
      <w:r>
        <w:rPr>
          <w:rFonts w:hint="eastAsia" w:ascii="宋体" w:hAnsi="宋体" w:cs="仿宋"/>
          <w:b/>
          <w:sz w:val="28"/>
          <w:szCs w:val="28"/>
          <w:u w:val="single"/>
        </w:rPr>
        <w:t xml:space="preserve">           </w:t>
      </w:r>
      <w:r>
        <w:rPr>
          <w:rFonts w:hint="eastAsia" w:ascii="宋体" w:hAnsi="宋体" w:cs="仿宋"/>
          <w:sz w:val="28"/>
          <w:szCs w:val="28"/>
        </w:rPr>
        <w:t>。</w:t>
      </w:r>
      <w:bookmarkEnd w:id="188"/>
    </w:p>
    <w:bookmarkEnd w:id="181"/>
    <w:p>
      <w:pPr>
        <w:widowControl/>
        <w:spacing w:line="360" w:lineRule="atLeast"/>
        <w:jc w:val="left"/>
        <w:outlineLvl w:val="1"/>
        <w:rPr>
          <w:rFonts w:ascii="宋体" w:hAnsi="宋体" w:cs="仿宋"/>
          <w:b/>
          <w:sz w:val="28"/>
          <w:szCs w:val="28"/>
        </w:rPr>
      </w:pPr>
      <w:bookmarkStart w:id="189" w:name="_Toc217446084"/>
    </w:p>
    <w:p>
      <w:pPr>
        <w:widowControl/>
        <w:spacing w:line="360" w:lineRule="atLeast"/>
        <w:jc w:val="left"/>
        <w:outlineLvl w:val="1"/>
        <w:rPr>
          <w:rFonts w:ascii="宋体" w:hAnsi="宋体" w:cs="仿宋"/>
          <w:b/>
          <w:sz w:val="28"/>
          <w:szCs w:val="28"/>
        </w:rPr>
      </w:pPr>
    </w:p>
    <w:p>
      <w:pPr>
        <w:widowControl/>
        <w:spacing w:line="360" w:lineRule="atLeast"/>
        <w:jc w:val="left"/>
        <w:outlineLvl w:val="1"/>
        <w:rPr>
          <w:rFonts w:ascii="宋体" w:hAnsi="宋体" w:cs="仿宋"/>
          <w:b/>
          <w:sz w:val="28"/>
          <w:szCs w:val="28"/>
        </w:rPr>
      </w:pPr>
    </w:p>
    <w:p>
      <w:pPr>
        <w:widowControl/>
        <w:spacing w:line="360" w:lineRule="atLeast"/>
        <w:jc w:val="left"/>
        <w:outlineLvl w:val="1"/>
        <w:rPr>
          <w:rFonts w:ascii="宋体" w:hAnsi="宋体" w:cs="仿宋"/>
          <w:b/>
          <w:sz w:val="28"/>
          <w:szCs w:val="28"/>
        </w:rPr>
      </w:pPr>
    </w:p>
    <w:p>
      <w:pPr>
        <w:spacing w:line="400" w:lineRule="exact"/>
        <w:ind w:left="980" w:hanging="980" w:hangingChars="350"/>
        <w:jc w:val="left"/>
        <w:rPr>
          <w:rFonts w:ascii="宋体" w:hAnsi="宋体" w:cs="仿宋"/>
          <w:sz w:val="28"/>
          <w:szCs w:val="28"/>
        </w:rPr>
      </w:pPr>
      <w:r>
        <w:rPr>
          <w:rFonts w:hint="eastAsia" w:ascii="宋体" w:hAnsi="宋体" w:cs="仿宋"/>
          <w:sz w:val="28"/>
          <w:szCs w:val="28"/>
        </w:rPr>
        <w:t>注：</w:t>
      </w:r>
    </w:p>
    <w:p>
      <w:pPr>
        <w:spacing w:line="400" w:lineRule="exact"/>
        <w:ind w:firstLine="560" w:firstLineChars="200"/>
        <w:rPr>
          <w:rFonts w:ascii="宋体" w:hAnsi="宋体" w:cs="仿宋"/>
          <w:sz w:val="28"/>
          <w:szCs w:val="28"/>
        </w:rPr>
      </w:pPr>
      <w:r>
        <w:rPr>
          <w:rFonts w:hint="eastAsia" w:ascii="宋体" w:hAnsi="宋体" w:cs="仿宋"/>
          <w:sz w:val="28"/>
          <w:szCs w:val="28"/>
        </w:rPr>
        <w:t>1、投标人为法人单位时提供“法定代表人授权书”，投标人为其他组织时提供“单位负责人授权书”，投标人为自然人时提供“自然人身份证明材料”。</w:t>
      </w:r>
    </w:p>
    <w:p>
      <w:pPr>
        <w:spacing w:line="400" w:lineRule="exact"/>
        <w:ind w:firstLine="560" w:firstLineChars="200"/>
        <w:rPr>
          <w:rFonts w:ascii="宋体" w:hAnsi="宋体" w:cs="仿宋"/>
          <w:sz w:val="28"/>
          <w:szCs w:val="28"/>
        </w:rPr>
      </w:pPr>
      <w:r>
        <w:rPr>
          <w:rFonts w:hint="eastAsia" w:ascii="宋体" w:hAnsi="宋体" w:cs="仿宋"/>
          <w:sz w:val="28"/>
          <w:szCs w:val="28"/>
        </w:rPr>
        <w:t>2、应附法定代表人身份证明材料复印件和授权代表身份证明材料复印件。</w:t>
      </w:r>
    </w:p>
    <w:p>
      <w:pPr>
        <w:spacing w:line="400" w:lineRule="exact"/>
        <w:ind w:firstLine="560" w:firstLineChars="200"/>
        <w:rPr>
          <w:rFonts w:ascii="宋体" w:hAnsi="宋体" w:cs="仿宋"/>
          <w:sz w:val="28"/>
          <w:szCs w:val="28"/>
        </w:rPr>
      </w:pPr>
      <w:r>
        <w:rPr>
          <w:rFonts w:hint="eastAsia" w:ascii="宋体" w:hAnsi="宋体" w:cs="仿宋"/>
          <w:sz w:val="28"/>
          <w:szCs w:val="28"/>
        </w:rPr>
        <w:t>3、身份证明材料包括居民身份证或户口本或军官证或护照等。</w:t>
      </w:r>
    </w:p>
    <w:p>
      <w:pPr>
        <w:spacing w:line="400" w:lineRule="exact"/>
        <w:ind w:firstLine="560" w:firstLineChars="200"/>
        <w:rPr>
          <w:rFonts w:ascii="宋体" w:hAnsi="宋体" w:cs="仿宋"/>
          <w:sz w:val="28"/>
          <w:szCs w:val="28"/>
        </w:rPr>
      </w:pPr>
      <w:r>
        <w:rPr>
          <w:rFonts w:hint="eastAsia" w:ascii="宋体" w:hAnsi="宋体" w:cs="仿宋"/>
          <w:sz w:val="28"/>
          <w:szCs w:val="28"/>
        </w:rPr>
        <w:t>4、身份证明材料应同时提供其在有效期的材料，如居民身份证正、反面复印件。</w:t>
      </w:r>
    </w:p>
    <w:p>
      <w:pPr>
        <w:spacing w:line="400" w:lineRule="exact"/>
        <w:jc w:val="center"/>
        <w:rPr>
          <w:rFonts w:ascii="宋体" w:hAnsi="宋体" w:cs="仿宋"/>
          <w:sz w:val="24"/>
        </w:rPr>
      </w:pPr>
      <w:r>
        <w:rPr>
          <w:rFonts w:hint="eastAsia" w:ascii="宋体" w:hAnsi="宋体" w:cs="仿宋"/>
          <w:sz w:val="24"/>
        </w:rPr>
        <w:br w:type="page"/>
      </w:r>
      <w:r>
        <w:rPr>
          <w:rFonts w:hint="eastAsia" w:ascii="宋体" w:hAnsi="宋体" w:cs="仿宋"/>
          <w:b/>
          <w:sz w:val="32"/>
          <w:szCs w:val="32"/>
        </w:rPr>
        <w:t>二、法定代表人/单位负责人身份证明</w:t>
      </w:r>
    </w:p>
    <w:p>
      <w:pPr>
        <w:tabs>
          <w:tab w:val="left" w:pos="6300"/>
        </w:tabs>
        <w:spacing w:line="520" w:lineRule="exact"/>
        <w:ind w:firstLine="573"/>
        <w:rPr>
          <w:rFonts w:ascii="宋体" w:hAnsi="宋体" w:cs="仿宋"/>
          <w:sz w:val="24"/>
          <w:lang w:val="zh-CN"/>
        </w:rPr>
      </w:pPr>
    </w:p>
    <w:p>
      <w:pPr>
        <w:tabs>
          <w:tab w:val="left" w:pos="6300"/>
        </w:tabs>
        <w:spacing w:line="360" w:lineRule="auto"/>
        <w:rPr>
          <w:rFonts w:ascii="宋体" w:hAnsi="宋体" w:cs="仿宋"/>
          <w:sz w:val="24"/>
          <w:lang w:val="zh-CN"/>
        </w:rPr>
      </w:pPr>
      <w:bookmarkStart w:id="190" w:name="_Hlk534971439"/>
      <w:r>
        <w:rPr>
          <w:rFonts w:hint="eastAsia" w:ascii="宋体" w:hAnsi="宋体" w:cs="仿宋"/>
          <w:b/>
          <w:sz w:val="32"/>
          <w:u w:val="single"/>
        </w:rPr>
        <w:t xml:space="preserve">           </w:t>
      </w:r>
      <w:r>
        <w:rPr>
          <w:rFonts w:hint="eastAsia" w:ascii="宋体" w:hAnsi="宋体" w:cs="仿宋"/>
          <w:sz w:val="24"/>
        </w:rPr>
        <w:t>（采购代理机构名称）</w:t>
      </w:r>
      <w:r>
        <w:rPr>
          <w:rFonts w:hint="eastAsia" w:ascii="宋体" w:hAnsi="宋体" w:cs="仿宋"/>
          <w:sz w:val="24"/>
          <w:lang w:val="zh-CN"/>
        </w:rPr>
        <w:t>：</w:t>
      </w:r>
    </w:p>
    <w:p>
      <w:pPr>
        <w:tabs>
          <w:tab w:val="left" w:pos="6300"/>
        </w:tabs>
        <w:spacing w:line="360" w:lineRule="auto"/>
        <w:ind w:firstLine="573"/>
        <w:rPr>
          <w:rFonts w:ascii="宋体" w:hAnsi="宋体" w:cs="仿宋"/>
          <w:sz w:val="28"/>
          <w:szCs w:val="28"/>
          <w:lang w:val="zh-CN"/>
        </w:rPr>
      </w:pPr>
      <w:r>
        <w:rPr>
          <w:rFonts w:hint="eastAsia" w:ascii="宋体" w:hAnsi="宋体" w:cs="仿宋"/>
          <w:b/>
          <w:sz w:val="28"/>
          <w:szCs w:val="28"/>
          <w:u w:val="single"/>
        </w:rPr>
        <w:t xml:space="preserve">           </w:t>
      </w:r>
      <w:r>
        <w:rPr>
          <w:rFonts w:hint="eastAsia" w:ascii="宋体" w:hAnsi="宋体" w:cs="仿宋"/>
          <w:sz w:val="28"/>
          <w:szCs w:val="28"/>
          <w:u w:val="single"/>
          <w:lang w:val="zh-CN"/>
        </w:rPr>
        <w:t>（法定代表人/单位负责人姓名）</w:t>
      </w:r>
      <w:r>
        <w:rPr>
          <w:rFonts w:hint="eastAsia" w:ascii="宋体" w:hAnsi="宋体" w:cs="仿宋"/>
          <w:sz w:val="28"/>
          <w:szCs w:val="28"/>
          <w:lang w:val="zh-CN"/>
        </w:rPr>
        <w:t>在</w:t>
      </w:r>
      <w:r>
        <w:rPr>
          <w:rFonts w:hint="eastAsia" w:ascii="宋体" w:hAnsi="宋体" w:cs="仿宋"/>
          <w:b/>
          <w:sz w:val="28"/>
          <w:szCs w:val="28"/>
          <w:u w:val="single"/>
        </w:rPr>
        <w:t xml:space="preserve">           </w:t>
      </w:r>
      <w:r>
        <w:rPr>
          <w:rFonts w:hint="eastAsia" w:ascii="宋体" w:hAnsi="宋体" w:cs="仿宋"/>
          <w:sz w:val="28"/>
          <w:szCs w:val="28"/>
          <w:u w:val="single"/>
          <w:lang w:val="zh-CN"/>
        </w:rPr>
        <w:t xml:space="preserve">（投标人名称）  </w:t>
      </w:r>
      <w:r>
        <w:rPr>
          <w:rFonts w:hint="eastAsia" w:ascii="宋体" w:hAnsi="宋体" w:cs="仿宋"/>
          <w:sz w:val="28"/>
          <w:szCs w:val="28"/>
          <w:lang w:val="zh-CN"/>
        </w:rPr>
        <w:t>处任</w:t>
      </w:r>
      <w:r>
        <w:rPr>
          <w:rFonts w:hint="eastAsia" w:ascii="宋体" w:hAnsi="宋体" w:cs="仿宋"/>
          <w:b/>
          <w:sz w:val="28"/>
          <w:szCs w:val="28"/>
          <w:u w:val="single"/>
        </w:rPr>
        <w:t xml:space="preserve">           </w:t>
      </w:r>
      <w:r>
        <w:rPr>
          <w:rFonts w:hint="eastAsia" w:ascii="宋体" w:hAnsi="宋体" w:cs="仿宋"/>
          <w:sz w:val="28"/>
          <w:szCs w:val="28"/>
          <w:u w:val="single"/>
          <w:lang w:val="zh-CN"/>
        </w:rPr>
        <w:t>（职务名称）</w:t>
      </w:r>
      <w:r>
        <w:rPr>
          <w:rFonts w:hint="eastAsia" w:ascii="宋体" w:hAnsi="宋体" w:cs="仿宋"/>
          <w:sz w:val="28"/>
          <w:szCs w:val="28"/>
          <w:lang w:val="zh-CN"/>
        </w:rPr>
        <w:t>职务，是</w:t>
      </w:r>
      <w:r>
        <w:rPr>
          <w:rFonts w:hint="eastAsia" w:ascii="宋体" w:hAnsi="宋体" w:cs="仿宋"/>
          <w:b/>
          <w:sz w:val="28"/>
          <w:szCs w:val="28"/>
          <w:u w:val="single"/>
        </w:rPr>
        <w:t xml:space="preserve">           </w:t>
      </w:r>
      <w:r>
        <w:rPr>
          <w:rFonts w:hint="eastAsia" w:ascii="宋体" w:hAnsi="宋体" w:cs="仿宋"/>
          <w:sz w:val="28"/>
          <w:szCs w:val="28"/>
          <w:u w:val="single"/>
          <w:lang w:val="zh-CN"/>
        </w:rPr>
        <w:t>（投标人名称）</w:t>
      </w:r>
      <w:r>
        <w:rPr>
          <w:rFonts w:hint="eastAsia" w:ascii="宋体" w:hAnsi="宋体" w:cs="仿宋"/>
          <w:sz w:val="28"/>
          <w:szCs w:val="28"/>
          <w:lang w:val="zh-CN"/>
        </w:rPr>
        <w:t>的法定代表人/单位负责人。</w:t>
      </w:r>
    </w:p>
    <w:p>
      <w:pPr>
        <w:tabs>
          <w:tab w:val="left" w:pos="6300"/>
        </w:tabs>
        <w:spacing w:line="360" w:lineRule="auto"/>
        <w:ind w:firstLine="573"/>
        <w:rPr>
          <w:rFonts w:ascii="宋体" w:hAnsi="宋体" w:cs="仿宋"/>
          <w:sz w:val="28"/>
          <w:szCs w:val="28"/>
          <w:lang w:val="zh-CN"/>
        </w:rPr>
      </w:pPr>
      <w:r>
        <w:rPr>
          <w:rFonts w:hint="eastAsia" w:ascii="宋体" w:hAnsi="宋体" w:cs="仿宋"/>
          <w:sz w:val="28"/>
          <w:szCs w:val="28"/>
          <w:lang w:val="zh-CN"/>
        </w:rPr>
        <w:t>法定代表人/单位负责人联系方式：</w:t>
      </w:r>
      <w:r>
        <w:rPr>
          <w:rFonts w:hint="eastAsia" w:ascii="宋体" w:hAnsi="宋体" w:cs="仿宋"/>
          <w:b/>
          <w:sz w:val="28"/>
          <w:szCs w:val="28"/>
          <w:u w:val="single"/>
        </w:rPr>
        <w:t xml:space="preserve">           </w:t>
      </w:r>
      <w:r>
        <w:rPr>
          <w:rFonts w:hint="eastAsia" w:ascii="宋体" w:hAnsi="宋体" w:cs="仿宋"/>
          <w:sz w:val="28"/>
          <w:szCs w:val="28"/>
          <w:lang w:val="zh-CN"/>
        </w:rPr>
        <w:t>。</w:t>
      </w:r>
    </w:p>
    <w:p>
      <w:pPr>
        <w:tabs>
          <w:tab w:val="left" w:pos="6300"/>
        </w:tabs>
        <w:spacing w:line="520" w:lineRule="exact"/>
        <w:ind w:firstLine="573"/>
        <w:rPr>
          <w:rFonts w:ascii="宋体" w:hAnsi="宋体" w:cs="仿宋"/>
          <w:sz w:val="28"/>
          <w:szCs w:val="28"/>
          <w:lang w:val="zh-CN"/>
        </w:rPr>
      </w:pPr>
    </w:p>
    <w:p>
      <w:pPr>
        <w:tabs>
          <w:tab w:val="left" w:pos="6300"/>
        </w:tabs>
        <w:spacing w:line="520" w:lineRule="exact"/>
        <w:ind w:firstLine="573"/>
        <w:rPr>
          <w:rFonts w:ascii="宋体" w:hAnsi="宋体" w:cs="仿宋"/>
          <w:sz w:val="28"/>
          <w:szCs w:val="28"/>
          <w:lang w:val="zh-CN"/>
        </w:rPr>
      </w:pPr>
      <w:r>
        <w:rPr>
          <w:rFonts w:hint="eastAsia" w:ascii="宋体" w:hAnsi="宋体" w:cs="仿宋"/>
          <w:sz w:val="28"/>
          <w:szCs w:val="28"/>
          <w:lang w:val="zh-CN"/>
        </w:rPr>
        <w:t>特此证明。</w:t>
      </w:r>
    </w:p>
    <w:p>
      <w:pPr>
        <w:tabs>
          <w:tab w:val="left" w:pos="6300"/>
        </w:tabs>
        <w:spacing w:line="520" w:lineRule="exact"/>
        <w:rPr>
          <w:rFonts w:ascii="宋体" w:hAnsi="宋体" w:cs="仿宋"/>
          <w:sz w:val="28"/>
          <w:szCs w:val="28"/>
          <w:lang w:val="zh-CN"/>
        </w:rPr>
      </w:pPr>
    </w:p>
    <w:p>
      <w:pPr>
        <w:spacing w:line="520" w:lineRule="exact"/>
        <w:ind w:firstLine="480"/>
        <w:jc w:val="left"/>
        <w:rPr>
          <w:rFonts w:ascii="宋体" w:hAnsi="宋体" w:cs="仿宋"/>
          <w:sz w:val="28"/>
          <w:szCs w:val="28"/>
        </w:rPr>
      </w:pPr>
      <w:r>
        <w:rPr>
          <w:rFonts w:hint="eastAsia" w:ascii="宋体" w:hAnsi="宋体" w:cs="仿宋"/>
          <w:sz w:val="28"/>
          <w:szCs w:val="28"/>
        </w:rPr>
        <w:t>投标人名称（单位公章）：</w:t>
      </w:r>
      <w:r>
        <w:rPr>
          <w:rFonts w:hint="eastAsia" w:ascii="宋体" w:hAnsi="宋体" w:cs="仿宋"/>
          <w:b/>
          <w:sz w:val="28"/>
          <w:szCs w:val="28"/>
          <w:u w:val="single"/>
        </w:rPr>
        <w:t xml:space="preserve">           </w:t>
      </w:r>
    </w:p>
    <w:p>
      <w:pPr>
        <w:spacing w:line="520" w:lineRule="exact"/>
        <w:ind w:firstLine="480"/>
        <w:jc w:val="left"/>
        <w:rPr>
          <w:rFonts w:ascii="宋体" w:hAnsi="宋体" w:cs="仿宋"/>
          <w:sz w:val="28"/>
          <w:szCs w:val="28"/>
        </w:rPr>
      </w:pPr>
      <w:r>
        <w:rPr>
          <w:rFonts w:hint="eastAsia" w:ascii="宋体" w:hAnsi="宋体" w:cs="仿宋"/>
          <w:sz w:val="28"/>
          <w:szCs w:val="28"/>
        </w:rPr>
        <w:t>法定代表人/单位负责人（签字）：</w:t>
      </w:r>
      <w:r>
        <w:rPr>
          <w:rFonts w:hint="eastAsia" w:ascii="宋体" w:hAnsi="宋体" w:cs="仿宋"/>
          <w:b/>
          <w:sz w:val="28"/>
          <w:szCs w:val="28"/>
          <w:u w:val="single"/>
        </w:rPr>
        <w:t xml:space="preserve">           </w:t>
      </w:r>
    </w:p>
    <w:p>
      <w:pPr>
        <w:spacing w:line="520" w:lineRule="exact"/>
        <w:ind w:firstLine="560" w:firstLineChars="200"/>
        <w:rPr>
          <w:rFonts w:ascii="宋体" w:hAnsi="宋体" w:cs="仿宋"/>
          <w:sz w:val="28"/>
          <w:szCs w:val="28"/>
          <w:lang w:val="zh-CN"/>
        </w:rPr>
      </w:pPr>
      <w:r>
        <w:rPr>
          <w:rFonts w:hint="eastAsia" w:ascii="宋体" w:hAnsi="宋体" w:cs="仿宋"/>
          <w:sz w:val="28"/>
          <w:szCs w:val="28"/>
        </w:rPr>
        <w:t>投标日期:</w:t>
      </w:r>
      <w:r>
        <w:rPr>
          <w:rFonts w:hint="eastAsia" w:ascii="宋体" w:hAnsi="宋体" w:cs="仿宋"/>
          <w:b/>
          <w:sz w:val="28"/>
          <w:szCs w:val="28"/>
          <w:u w:val="single"/>
        </w:rPr>
        <w:t xml:space="preserve">           </w:t>
      </w:r>
    </w:p>
    <w:bookmarkEnd w:id="190"/>
    <w:p>
      <w:pPr>
        <w:spacing w:line="520" w:lineRule="exact"/>
        <w:ind w:firstLine="280" w:firstLineChars="100"/>
        <w:rPr>
          <w:rFonts w:ascii="宋体" w:hAnsi="宋体" w:cs="仿宋"/>
          <w:sz w:val="28"/>
          <w:szCs w:val="28"/>
          <w:lang w:val="zh-CN"/>
        </w:rPr>
      </w:pPr>
      <w:r>
        <w:rPr>
          <w:rFonts w:hint="eastAsia" w:ascii="宋体" w:hAnsi="宋体" w:cs="仿宋"/>
          <w:sz w:val="28"/>
          <w:szCs w:val="28"/>
        </w:rPr>
        <w:t xml:space="preserve"> </w:t>
      </w:r>
      <w:r>
        <w:rPr>
          <w:rFonts w:hint="eastAsia" w:ascii="宋体" w:hAnsi="宋体" w:cs="仿宋"/>
          <w:sz w:val="28"/>
          <w:szCs w:val="28"/>
          <w:lang w:val="zh-CN"/>
        </w:rPr>
        <w:t xml:space="preserve"> </w:t>
      </w:r>
    </w:p>
    <w:p>
      <w:pPr>
        <w:tabs>
          <w:tab w:val="left" w:pos="720"/>
          <w:tab w:val="left" w:pos="6300"/>
        </w:tabs>
        <w:spacing w:line="520" w:lineRule="exact"/>
        <w:ind w:firstLine="573"/>
        <w:rPr>
          <w:rFonts w:ascii="宋体" w:hAnsi="宋体" w:cs="仿宋"/>
          <w:b/>
          <w:sz w:val="28"/>
          <w:szCs w:val="28"/>
          <w:lang w:val="zh-CN"/>
        </w:rPr>
      </w:pPr>
      <w:r>
        <w:rPr>
          <w:rFonts w:hint="eastAsia" w:ascii="宋体" w:hAnsi="宋体" w:cs="仿宋"/>
          <w:b/>
          <w:sz w:val="28"/>
          <w:szCs w:val="28"/>
          <w:lang w:val="zh-CN"/>
        </w:rPr>
        <w:t>注：1、法定代表人/单位负责人亲自参加投标时提供此证明，授权代表参加投标时无须提供；</w:t>
      </w:r>
    </w:p>
    <w:p>
      <w:pPr>
        <w:tabs>
          <w:tab w:val="left" w:pos="720"/>
          <w:tab w:val="left" w:pos="6300"/>
        </w:tabs>
        <w:spacing w:line="520" w:lineRule="exact"/>
        <w:ind w:firstLine="573"/>
        <w:rPr>
          <w:rFonts w:ascii="宋体" w:hAnsi="宋体" w:cs="仿宋"/>
          <w:b/>
          <w:sz w:val="28"/>
          <w:szCs w:val="28"/>
          <w:lang w:val="zh-CN"/>
        </w:rPr>
      </w:pPr>
      <w:r>
        <w:rPr>
          <w:rFonts w:hint="eastAsia" w:ascii="宋体" w:hAnsi="宋体" w:cs="仿宋"/>
          <w:b/>
          <w:sz w:val="28"/>
          <w:szCs w:val="28"/>
        </w:rPr>
        <w:t xml:space="preserve">    2、投标人为法人单位时提供“法定代表人身份证明”，投标人为其他组织时提供“单位负责人身份证明”，投标人为自然人时无须提供。</w:t>
      </w:r>
    </w:p>
    <w:p>
      <w:pPr>
        <w:tabs>
          <w:tab w:val="left" w:pos="720"/>
          <w:tab w:val="left" w:pos="6300"/>
        </w:tabs>
        <w:spacing w:line="520" w:lineRule="exact"/>
        <w:ind w:firstLine="573"/>
        <w:rPr>
          <w:rFonts w:ascii="宋体" w:hAnsi="宋体" w:cs="仿宋"/>
          <w:b/>
          <w:sz w:val="28"/>
          <w:szCs w:val="28"/>
        </w:rPr>
      </w:pPr>
      <w:r>
        <w:rPr>
          <w:rFonts w:hint="eastAsia" w:ascii="宋体" w:hAnsi="宋体" w:cs="仿宋"/>
          <w:b/>
          <w:sz w:val="28"/>
          <w:szCs w:val="28"/>
          <w:lang w:val="zh-CN"/>
        </w:rPr>
        <w:t xml:space="preserve">    3、上述证明文件在投标文件中附有法定代表人/单位负责人身份证复印件（身份证两面均应复印）时才能生效,不允许粘贴。</w:t>
      </w:r>
    </w:p>
    <w:p>
      <w:pPr>
        <w:tabs>
          <w:tab w:val="left" w:pos="720"/>
          <w:tab w:val="left" w:pos="6300"/>
        </w:tabs>
        <w:ind w:firstLine="573"/>
        <w:rPr>
          <w:rFonts w:ascii="宋体" w:hAnsi="宋体" w:cs="仿宋"/>
          <w:b/>
          <w:sz w:val="28"/>
          <w:szCs w:val="28"/>
          <w:lang w:val="zh-CN"/>
        </w:rPr>
      </w:pPr>
      <w:r>
        <w:rPr>
          <w:rFonts w:ascii="宋体" w:hAnsi="宋体" w:cs="仿宋"/>
          <w:b/>
          <w:sz w:val="28"/>
          <w:szCs w:val="28"/>
        </w:rPr>
        <w:pict>
          <v:shape id="_x0000_s1026" o:spid="_x0000_s1026" o:spt="202" type="#_x0000_t202" style="position:absolute;left:0pt;margin-left:228.35pt;margin-top:49.45pt;height:115.1pt;width:189.4pt;mso-wrap-distance-bottom:0pt;mso-wrap-distance-left:9pt;mso-wrap-distance-right:9pt;mso-wrap-distance-top:0pt;z-index:251662336;mso-width-relative:page;mso-height-relative:page;" coordsize="21600,21600" o:gfxdata="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hTgL2QAA&#10;AAoBAAAPAAAAAAAAAAEAIAAAACIAAABkcnMvZG93bnJldi54bWxQSwECFAAUAAAACACHTuJArebC&#10;4FYCAACwBAAADgAAAAAAAAABACAAAAAoAQAAZHJzL2Uyb0RvYy54bWxQSwUGAAAAAAYABgBZAQAA&#10;8AUAAAAA&#10;">
            <v:path/>
            <v:fill focussize="0,0"/>
            <v:stroke dashstyle="dash"/>
            <v:imagedata o:title=""/>
            <o:lock v:ext="edit"/>
            <v:textbox>
              <w:txbxContent>
                <w:p>
                  <w:pPr>
                    <w:rPr>
                      <w:rFonts w:ascii="宋体" w:hAnsi="宋体"/>
                      <w:b/>
                      <w:sz w:val="24"/>
                      <w:lang w:val="zh-CN"/>
                    </w:rPr>
                  </w:pPr>
                </w:p>
                <w:p>
                  <w:pPr>
                    <w:rPr>
                      <w:rFonts w:ascii="宋体" w:hAnsi="宋体"/>
                      <w:b/>
                      <w:sz w:val="24"/>
                      <w:lang w:val="zh-CN"/>
                    </w:rPr>
                  </w:pPr>
                </w:p>
                <w:p>
                  <w:pPr>
                    <w:jc w:val="center"/>
                    <w:rPr>
                      <w:rFonts w:ascii="仿宋" w:hAnsi="仿宋" w:eastAsia="仿宋" w:cs="仿宋"/>
                    </w:rPr>
                  </w:pPr>
                  <w:r>
                    <w:rPr>
                      <w:rFonts w:hint="eastAsia" w:ascii="仿宋" w:hAnsi="仿宋" w:eastAsia="仿宋" w:cs="仿宋"/>
                      <w:b/>
                      <w:sz w:val="24"/>
                      <w:lang w:val="zh-CN"/>
                    </w:rPr>
                    <w:t>身份证复印件背面</w:t>
                  </w:r>
                </w:p>
              </w:txbxContent>
            </v:textbox>
            <w10:wrap type="square"/>
          </v:shape>
        </w:pict>
      </w:r>
      <w:r>
        <w:rPr>
          <w:rFonts w:ascii="宋体" w:hAnsi="宋体" w:cs="仿宋"/>
          <w:b/>
          <w:sz w:val="28"/>
          <w:szCs w:val="28"/>
        </w:rPr>
        <w:pict>
          <v:shape id="_x0000_s1027" o:spid="_x0000_s1027" o:spt="202" type="#_x0000_t202" style="position:absolute;left:0pt;margin-left:27.1pt;margin-top:49.45pt;height:115.1pt;width:189.4pt;mso-wrap-distance-bottom:0pt;mso-wrap-distance-left:9pt;mso-wrap-distance-right:9pt;mso-wrap-distance-top:0pt;z-index:251661312;mso-width-relative:page;mso-height-relative:page;" coordsize="21600,21600" o:gfxdata="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Mit32AAAAAkB&#10;AAAPAAAAAAAAAAEAIAAAACIAAABkcnMvZG93bnJldi54bWxQSwECFAAUAAAACACHTuJA9R7g+lQC&#10;AACwBAAADgAAAAAAAAABACAAAAAnAQAAZHJzL2Uyb0RvYy54bWxQSwUGAAAAAAYABgBZAQAA7QUA&#10;AAAA&#10;">
            <v:path/>
            <v:fill focussize="0,0"/>
            <v:stroke dashstyle="dash"/>
            <v:imagedata o:title=""/>
            <o:lock v:ext="edit"/>
            <v:textbox>
              <w:txbxContent>
                <w:p>
                  <w:pPr>
                    <w:rPr>
                      <w:rFonts w:ascii="宋体" w:hAnsi="宋体"/>
                      <w:b/>
                      <w:sz w:val="24"/>
                      <w:lang w:val="zh-CN"/>
                    </w:rPr>
                  </w:pPr>
                </w:p>
                <w:p>
                  <w:pPr>
                    <w:rPr>
                      <w:rFonts w:ascii="宋体" w:hAnsi="宋体"/>
                      <w:b/>
                      <w:sz w:val="24"/>
                      <w:lang w:val="zh-CN"/>
                    </w:rPr>
                  </w:pPr>
                </w:p>
                <w:p>
                  <w:pPr>
                    <w:jc w:val="center"/>
                    <w:rPr>
                      <w:rFonts w:ascii="仿宋" w:hAnsi="仿宋" w:eastAsia="仿宋" w:cs="仿宋"/>
                    </w:rPr>
                  </w:pPr>
                  <w:r>
                    <w:rPr>
                      <w:rFonts w:hint="eastAsia" w:ascii="仿宋" w:hAnsi="仿宋" w:eastAsia="仿宋" w:cs="仿宋"/>
                      <w:b/>
                      <w:sz w:val="24"/>
                      <w:lang w:val="zh-CN"/>
                    </w:rPr>
                    <w:t>身份证复印件正面</w:t>
                  </w:r>
                </w:p>
              </w:txbxContent>
            </v:textbox>
            <w10:wrap type="square"/>
          </v:shape>
        </w:pict>
      </w:r>
    </w:p>
    <w:p>
      <w:pPr>
        <w:tabs>
          <w:tab w:val="left" w:pos="720"/>
          <w:tab w:val="left" w:pos="6300"/>
        </w:tabs>
        <w:ind w:firstLine="573"/>
        <w:rPr>
          <w:rFonts w:ascii="宋体" w:hAnsi="宋体" w:cs="仿宋"/>
          <w:b/>
          <w:sz w:val="28"/>
          <w:szCs w:val="28"/>
          <w:lang w:val="zh-CN"/>
        </w:rPr>
      </w:pPr>
      <w:r>
        <w:rPr>
          <w:rFonts w:hint="eastAsia" w:ascii="宋体" w:hAnsi="宋体" w:cs="仿宋"/>
          <w:b/>
          <w:sz w:val="28"/>
          <w:szCs w:val="28"/>
          <w:lang w:val="zh-CN"/>
        </w:rPr>
        <w:t>法定代表人/单位负责人身份证样式(仅供参考)：</w:t>
      </w:r>
    </w:p>
    <w:p>
      <w:pPr>
        <w:tabs>
          <w:tab w:val="left" w:pos="720"/>
          <w:tab w:val="left" w:pos="6300"/>
        </w:tabs>
        <w:ind w:firstLine="573"/>
        <w:rPr>
          <w:rFonts w:ascii="宋体" w:hAnsi="宋体" w:cs="仿宋"/>
          <w:b/>
          <w:sz w:val="28"/>
          <w:szCs w:val="28"/>
          <w:lang w:val="zh-CN"/>
        </w:rPr>
      </w:pPr>
    </w:p>
    <w:bookmarkEnd w:id="189"/>
    <w:p>
      <w:pPr>
        <w:spacing w:line="360" w:lineRule="auto"/>
        <w:rPr>
          <w:rFonts w:hint="eastAsia" w:ascii="宋体" w:hAnsi="宋体" w:cs="仿宋"/>
          <w:b/>
          <w:sz w:val="32"/>
          <w:szCs w:val="32"/>
        </w:rPr>
        <w:sectPr>
          <w:footerReference r:id="rId5" w:type="default"/>
          <w:pgSz w:w="11907" w:h="16840"/>
          <w:pgMar w:top="1440" w:right="1474" w:bottom="1440" w:left="1474" w:header="851" w:footer="992" w:gutter="0"/>
          <w:pgNumType w:start="1"/>
          <w:cols w:space="720" w:num="1"/>
          <w:docGrid w:linePitch="312" w:charSpace="0"/>
        </w:sectPr>
      </w:pPr>
    </w:p>
    <w:p>
      <w:pPr>
        <w:spacing w:line="360" w:lineRule="auto"/>
        <w:rPr>
          <w:rFonts w:ascii="宋体" w:hAnsi="宋体" w:cs="仿宋"/>
          <w:b/>
          <w:sz w:val="32"/>
          <w:szCs w:val="32"/>
        </w:rPr>
      </w:pPr>
      <w:r>
        <w:rPr>
          <w:rFonts w:hint="eastAsia" w:ascii="宋体" w:hAnsi="宋体" w:cs="仿宋"/>
          <w:b/>
          <w:sz w:val="32"/>
          <w:szCs w:val="32"/>
        </w:rPr>
        <w:t>格式1-3</w:t>
      </w:r>
    </w:p>
    <w:p>
      <w:pPr>
        <w:widowControl/>
        <w:spacing w:line="360" w:lineRule="atLeast"/>
        <w:jc w:val="center"/>
        <w:outlineLvl w:val="1"/>
        <w:rPr>
          <w:rFonts w:ascii="宋体" w:hAnsi="宋体" w:cs="仿宋"/>
          <w:b/>
          <w:sz w:val="32"/>
          <w:szCs w:val="32"/>
        </w:rPr>
      </w:pPr>
      <w:bookmarkStart w:id="191" w:name="_Toc16942"/>
      <w:r>
        <w:rPr>
          <w:rFonts w:hint="eastAsia" w:ascii="宋体" w:hAnsi="宋体" w:cs="仿宋"/>
          <w:b/>
          <w:sz w:val="32"/>
          <w:szCs w:val="32"/>
        </w:rPr>
        <w:t>三、承诺函</w:t>
      </w:r>
      <w:bookmarkEnd w:id="191"/>
    </w:p>
    <w:p>
      <w:pPr>
        <w:widowControl/>
        <w:spacing w:line="360" w:lineRule="atLeast"/>
        <w:jc w:val="center"/>
        <w:outlineLvl w:val="1"/>
        <w:rPr>
          <w:rFonts w:ascii="宋体" w:hAnsi="宋体" w:cs="仿宋"/>
          <w:b/>
          <w:sz w:val="24"/>
        </w:rPr>
      </w:pPr>
    </w:p>
    <w:p>
      <w:pPr>
        <w:widowControl/>
        <w:spacing w:line="360" w:lineRule="auto"/>
        <w:jc w:val="left"/>
        <w:outlineLvl w:val="1"/>
        <w:rPr>
          <w:rFonts w:ascii="宋体" w:hAnsi="宋体" w:cs="仿宋"/>
          <w:sz w:val="28"/>
          <w:szCs w:val="28"/>
        </w:rPr>
      </w:pPr>
      <w:bookmarkStart w:id="192" w:name="_Hlk534971479"/>
      <w:r>
        <w:rPr>
          <w:rFonts w:hint="eastAsia" w:ascii="宋体" w:hAnsi="宋体" w:cs="仿宋"/>
          <w:b/>
          <w:sz w:val="28"/>
          <w:szCs w:val="28"/>
          <w:u w:val="single"/>
        </w:rPr>
        <w:t xml:space="preserve">           </w:t>
      </w:r>
      <w:bookmarkStart w:id="193" w:name="_Toc17308"/>
      <w:r>
        <w:rPr>
          <w:rFonts w:hint="eastAsia" w:ascii="宋体" w:hAnsi="宋体" w:cs="仿宋"/>
          <w:sz w:val="28"/>
          <w:szCs w:val="28"/>
        </w:rPr>
        <w:t>（</w:t>
      </w:r>
      <w:bookmarkEnd w:id="192"/>
      <w:r>
        <w:rPr>
          <w:rFonts w:hint="eastAsia" w:ascii="宋体" w:hAnsi="宋体" w:cs="仿宋"/>
          <w:sz w:val="28"/>
          <w:szCs w:val="28"/>
        </w:rPr>
        <w:t>采购代理机构名称）：</w:t>
      </w:r>
      <w:bookmarkEnd w:id="193"/>
    </w:p>
    <w:p>
      <w:pPr>
        <w:widowControl/>
        <w:spacing w:line="360" w:lineRule="auto"/>
        <w:ind w:firstLine="560" w:firstLineChars="200"/>
        <w:jc w:val="left"/>
        <w:outlineLvl w:val="1"/>
        <w:rPr>
          <w:rFonts w:ascii="宋体" w:hAnsi="宋体" w:cs="仿宋"/>
          <w:sz w:val="28"/>
          <w:szCs w:val="28"/>
        </w:rPr>
      </w:pPr>
      <w:bookmarkStart w:id="194" w:name="_Toc22481"/>
      <w:r>
        <w:rPr>
          <w:rFonts w:hint="eastAsia" w:ascii="宋体" w:hAnsi="宋体" w:cs="仿宋"/>
          <w:sz w:val="28"/>
          <w:szCs w:val="28"/>
        </w:rPr>
        <w:t>我单位作为本次采购项目的投标人，根据招标文件要求，现郑重承诺如下：</w:t>
      </w:r>
      <w:bookmarkEnd w:id="194"/>
    </w:p>
    <w:p>
      <w:pPr>
        <w:widowControl/>
        <w:spacing w:line="360" w:lineRule="auto"/>
        <w:ind w:firstLine="560" w:firstLineChars="200"/>
        <w:jc w:val="left"/>
        <w:outlineLvl w:val="1"/>
        <w:rPr>
          <w:rFonts w:ascii="宋体" w:hAnsi="宋体" w:cs="仿宋"/>
          <w:sz w:val="28"/>
          <w:szCs w:val="28"/>
        </w:rPr>
      </w:pPr>
      <w:bookmarkStart w:id="195" w:name="_Toc29603"/>
      <w:r>
        <w:rPr>
          <w:rFonts w:hint="eastAsia" w:ascii="宋体" w:hAnsi="宋体" w:cs="仿宋"/>
          <w:sz w:val="28"/>
          <w:szCs w:val="28"/>
        </w:rPr>
        <w:t>一、具备《中华人民共和国政府采购法》第二十二条第一款和本项目规定的条件：</w:t>
      </w:r>
      <w:bookmarkEnd w:id="195"/>
    </w:p>
    <w:p>
      <w:pPr>
        <w:widowControl/>
        <w:spacing w:line="360" w:lineRule="auto"/>
        <w:ind w:firstLine="560" w:firstLineChars="200"/>
        <w:jc w:val="left"/>
        <w:outlineLvl w:val="1"/>
        <w:rPr>
          <w:rFonts w:ascii="宋体" w:hAnsi="宋体" w:cs="仿宋"/>
          <w:sz w:val="28"/>
          <w:szCs w:val="28"/>
        </w:rPr>
      </w:pPr>
      <w:bookmarkStart w:id="196" w:name="_Toc28939"/>
      <w:r>
        <w:rPr>
          <w:rFonts w:hint="eastAsia" w:ascii="宋体" w:hAnsi="宋体" w:cs="仿宋"/>
          <w:sz w:val="28"/>
          <w:szCs w:val="28"/>
        </w:rPr>
        <w:t>（一）具有独立承担民事责任的能力；</w:t>
      </w:r>
      <w:bookmarkEnd w:id="196"/>
    </w:p>
    <w:p>
      <w:pPr>
        <w:widowControl/>
        <w:spacing w:line="360" w:lineRule="auto"/>
        <w:ind w:firstLine="560" w:firstLineChars="200"/>
        <w:jc w:val="left"/>
        <w:outlineLvl w:val="1"/>
        <w:rPr>
          <w:rFonts w:ascii="宋体" w:hAnsi="宋体" w:cs="仿宋"/>
          <w:sz w:val="28"/>
          <w:szCs w:val="28"/>
        </w:rPr>
      </w:pPr>
      <w:bookmarkStart w:id="197" w:name="_Toc14251"/>
      <w:r>
        <w:rPr>
          <w:rFonts w:hint="eastAsia" w:ascii="宋体" w:hAnsi="宋体" w:cs="仿宋"/>
          <w:sz w:val="28"/>
          <w:szCs w:val="28"/>
        </w:rPr>
        <w:t>（二）具有良好的商业信誉和健全的财务会计制度；</w:t>
      </w:r>
      <w:bookmarkEnd w:id="197"/>
    </w:p>
    <w:p>
      <w:pPr>
        <w:widowControl/>
        <w:spacing w:line="360" w:lineRule="auto"/>
        <w:ind w:firstLine="560" w:firstLineChars="200"/>
        <w:jc w:val="left"/>
        <w:outlineLvl w:val="1"/>
        <w:rPr>
          <w:rFonts w:ascii="宋体" w:hAnsi="宋体" w:cs="仿宋"/>
          <w:sz w:val="28"/>
          <w:szCs w:val="28"/>
        </w:rPr>
      </w:pPr>
      <w:bookmarkStart w:id="198" w:name="_Toc21236"/>
      <w:r>
        <w:rPr>
          <w:rFonts w:hint="eastAsia" w:ascii="宋体" w:hAnsi="宋体" w:cs="仿宋"/>
          <w:sz w:val="28"/>
          <w:szCs w:val="28"/>
        </w:rPr>
        <w:t>（三）具有履行合同所必需的设备和专业技术能力；</w:t>
      </w:r>
      <w:bookmarkEnd w:id="198"/>
    </w:p>
    <w:p>
      <w:pPr>
        <w:widowControl/>
        <w:spacing w:line="360" w:lineRule="auto"/>
        <w:ind w:firstLine="560" w:firstLineChars="200"/>
        <w:jc w:val="left"/>
        <w:outlineLvl w:val="1"/>
        <w:rPr>
          <w:rFonts w:ascii="宋体" w:hAnsi="宋体" w:cs="仿宋"/>
          <w:sz w:val="28"/>
          <w:szCs w:val="28"/>
        </w:rPr>
      </w:pPr>
      <w:bookmarkStart w:id="199" w:name="_Toc28809"/>
      <w:r>
        <w:rPr>
          <w:rFonts w:hint="eastAsia" w:ascii="宋体" w:hAnsi="宋体" w:cs="仿宋"/>
          <w:sz w:val="28"/>
          <w:szCs w:val="28"/>
        </w:rPr>
        <w:t>（四）有依法缴纳税收和社会保障资金的良好记录；</w:t>
      </w:r>
      <w:bookmarkEnd w:id="199"/>
    </w:p>
    <w:p>
      <w:pPr>
        <w:widowControl/>
        <w:spacing w:line="360" w:lineRule="auto"/>
        <w:ind w:firstLine="560" w:firstLineChars="200"/>
        <w:jc w:val="left"/>
        <w:outlineLvl w:val="1"/>
        <w:rPr>
          <w:rFonts w:ascii="宋体" w:hAnsi="宋体" w:cs="仿宋"/>
          <w:sz w:val="28"/>
          <w:szCs w:val="28"/>
        </w:rPr>
      </w:pPr>
      <w:bookmarkStart w:id="200" w:name="_Toc21161"/>
      <w:r>
        <w:rPr>
          <w:rFonts w:hint="eastAsia" w:ascii="宋体" w:hAnsi="宋体" w:cs="仿宋"/>
          <w:sz w:val="28"/>
          <w:szCs w:val="28"/>
        </w:rPr>
        <w:t>（五）参加政府采购活动前三年内，在经营活动中没有重大违法记录；</w:t>
      </w:r>
      <w:bookmarkEnd w:id="200"/>
    </w:p>
    <w:p>
      <w:pPr>
        <w:widowControl/>
        <w:spacing w:line="360" w:lineRule="auto"/>
        <w:ind w:firstLine="560" w:firstLineChars="200"/>
        <w:jc w:val="left"/>
        <w:outlineLvl w:val="1"/>
        <w:rPr>
          <w:rFonts w:ascii="宋体" w:hAnsi="宋体" w:cs="仿宋"/>
          <w:sz w:val="28"/>
          <w:szCs w:val="28"/>
        </w:rPr>
      </w:pPr>
      <w:bookmarkStart w:id="201" w:name="_Toc8224"/>
      <w:r>
        <w:rPr>
          <w:rFonts w:hint="eastAsia" w:ascii="宋体" w:hAnsi="宋体" w:cs="仿宋"/>
          <w:sz w:val="28"/>
          <w:szCs w:val="28"/>
        </w:rPr>
        <w:t>（六）法律、行政法规规定的其他条件；</w:t>
      </w:r>
      <w:bookmarkEnd w:id="201"/>
    </w:p>
    <w:p>
      <w:pPr>
        <w:pStyle w:val="2"/>
        <w:spacing w:line="360" w:lineRule="auto"/>
      </w:pPr>
      <w:r>
        <w:rPr>
          <w:rFonts w:hint="eastAsia" w:ascii="宋体" w:hAnsi="宋体" w:cs="仿宋"/>
          <w:sz w:val="28"/>
          <w:szCs w:val="28"/>
        </w:rPr>
        <w:t xml:space="preserve">      1.我单位及其现任法定代表人、主要负责人在参加本项目政府采购活动前三年无行贿犯罪记录；</w:t>
      </w:r>
    </w:p>
    <w:p>
      <w:pPr>
        <w:pStyle w:val="2"/>
        <w:spacing w:line="360" w:lineRule="auto"/>
        <w:ind w:firstLine="840" w:firstLineChars="300"/>
        <w:rPr>
          <w:rFonts w:ascii="宋体" w:hAnsi="宋体" w:cs="仿宋"/>
          <w:sz w:val="28"/>
          <w:szCs w:val="28"/>
        </w:rPr>
      </w:pPr>
      <w:bookmarkStart w:id="202" w:name="_Hlk534972380"/>
      <w:r>
        <w:rPr>
          <w:rFonts w:hint="eastAsia" w:ascii="宋体" w:hAnsi="宋体" w:cs="仿宋"/>
          <w:sz w:val="28"/>
          <w:szCs w:val="28"/>
        </w:rPr>
        <w:t>2.我单位截至投标截止日未被列入失信被执行人、重大税收违法案件当事人名单、政府采购严重违法失信行为记录名单；</w:t>
      </w:r>
    </w:p>
    <w:p>
      <w:pPr>
        <w:spacing w:line="360" w:lineRule="auto"/>
        <w:rPr>
          <w:rFonts w:ascii="宋体" w:hAnsi="宋体" w:cs="仿宋"/>
          <w:sz w:val="28"/>
          <w:szCs w:val="28"/>
        </w:rPr>
      </w:pPr>
      <w:r>
        <w:rPr>
          <w:rFonts w:hint="eastAsia" w:ascii="宋体" w:hAnsi="宋体" w:cs="仿宋"/>
          <w:sz w:val="28"/>
          <w:szCs w:val="28"/>
        </w:rPr>
        <w:t xml:space="preserve">      3.我单位参加本次招标采购活动，不存在与单位负责人为同一人或者存在直接控股、管理关系的其他供应商参与同一合同项下的政府采购活动的行为；</w:t>
      </w:r>
    </w:p>
    <w:p>
      <w:pPr>
        <w:pStyle w:val="2"/>
        <w:spacing w:line="360" w:lineRule="auto"/>
        <w:rPr>
          <w:rFonts w:ascii="宋体" w:hAnsi="宋体" w:cs="仿宋"/>
          <w:sz w:val="28"/>
          <w:szCs w:val="28"/>
        </w:rPr>
      </w:pPr>
      <w:r>
        <w:rPr>
          <w:rFonts w:hint="eastAsia" w:ascii="宋体" w:hAnsi="宋体" w:cs="仿宋"/>
          <w:sz w:val="28"/>
          <w:szCs w:val="28"/>
        </w:rPr>
        <w:t xml:space="preserve">      4.我单位参加本次招标采购活动，不存在和其他供应商在同一合同项下的采购项目中，同时委托同一个自然人、同一家庭的人员、同一单位的人员作为代理人的行为；</w:t>
      </w:r>
    </w:p>
    <w:p>
      <w:pPr>
        <w:pStyle w:val="2"/>
        <w:spacing w:line="360" w:lineRule="auto"/>
        <w:ind w:firstLine="840" w:firstLineChars="300"/>
        <w:rPr>
          <w:rFonts w:ascii="宋体" w:hAnsi="宋体" w:cs="仿宋"/>
          <w:sz w:val="28"/>
          <w:szCs w:val="28"/>
        </w:rPr>
      </w:pPr>
      <w:r>
        <w:rPr>
          <w:rFonts w:hint="eastAsia" w:ascii="宋体" w:hAnsi="宋体" w:cs="仿宋"/>
          <w:sz w:val="28"/>
          <w:szCs w:val="28"/>
        </w:rPr>
        <w:t>5.我单位参加本次采购活动，未对本次采购项目提供过整体设计、规范编制或者项目管理、监理、检测等服务的承诺函；</w:t>
      </w:r>
    </w:p>
    <w:p>
      <w:pPr>
        <w:pStyle w:val="2"/>
        <w:spacing w:line="360" w:lineRule="auto"/>
        <w:ind w:firstLine="840" w:firstLineChars="300"/>
      </w:pPr>
      <w:r>
        <w:rPr>
          <w:rFonts w:hint="eastAsia" w:ascii="宋体" w:hAnsi="宋体" w:cs="仿宋"/>
          <w:sz w:val="28"/>
          <w:szCs w:val="28"/>
        </w:rPr>
        <w:t>6.我单位不存在受到财政部门或有关部门认定的失信行为（有效期内），认定次数为</w:t>
      </w:r>
      <w:r>
        <w:rPr>
          <w:rFonts w:hint="eastAsia" w:ascii="宋体" w:hAnsi="宋体" w:cs="仿宋"/>
          <w:sz w:val="28"/>
          <w:szCs w:val="28"/>
          <w:u w:val="single"/>
        </w:rPr>
        <w:t xml:space="preserve">     </w:t>
      </w:r>
      <w:r>
        <w:rPr>
          <w:rFonts w:hint="eastAsia" w:ascii="宋体" w:hAnsi="宋体" w:cs="仿宋"/>
          <w:sz w:val="28"/>
          <w:szCs w:val="28"/>
        </w:rPr>
        <w:t>；</w:t>
      </w:r>
    </w:p>
    <w:p>
      <w:pPr>
        <w:widowControl/>
        <w:spacing w:line="360" w:lineRule="auto"/>
        <w:ind w:firstLine="560" w:firstLineChars="200"/>
        <w:jc w:val="left"/>
        <w:outlineLvl w:val="1"/>
        <w:rPr>
          <w:rFonts w:ascii="宋体" w:hAnsi="宋体" w:cs="仿宋"/>
          <w:sz w:val="28"/>
          <w:szCs w:val="28"/>
        </w:rPr>
      </w:pPr>
      <w:bookmarkStart w:id="203" w:name="_Toc12011"/>
      <w:r>
        <w:rPr>
          <w:rFonts w:hint="eastAsia" w:ascii="宋体" w:hAnsi="宋体" w:cs="仿宋"/>
          <w:sz w:val="28"/>
          <w:szCs w:val="28"/>
        </w:rPr>
        <w:t>（七）根据采购项目提出的特殊条件；</w:t>
      </w:r>
      <w:bookmarkEnd w:id="203"/>
    </w:p>
    <w:p>
      <w:pPr>
        <w:pStyle w:val="2"/>
        <w:spacing w:line="360" w:lineRule="auto"/>
      </w:pPr>
      <w:r>
        <w:rPr>
          <w:rFonts w:hint="eastAsia" w:ascii="宋体" w:hAnsi="宋体" w:cs="仿宋"/>
          <w:sz w:val="28"/>
          <w:szCs w:val="28"/>
        </w:rPr>
        <w:t xml:space="preserve">    （八）我单位参加本次招标采购活动，不属于联合体投标。</w:t>
      </w:r>
    </w:p>
    <w:p>
      <w:pPr>
        <w:pStyle w:val="2"/>
        <w:spacing w:line="360" w:lineRule="auto"/>
      </w:pPr>
    </w:p>
    <w:bookmarkEnd w:id="202"/>
    <w:p>
      <w:pPr>
        <w:widowControl/>
        <w:spacing w:line="360" w:lineRule="auto"/>
        <w:ind w:firstLine="560" w:firstLineChars="200"/>
        <w:jc w:val="left"/>
        <w:outlineLvl w:val="1"/>
        <w:rPr>
          <w:rFonts w:ascii="宋体" w:hAnsi="宋体" w:cs="仿宋"/>
          <w:sz w:val="28"/>
          <w:szCs w:val="28"/>
        </w:rPr>
      </w:pPr>
      <w:bookmarkStart w:id="204" w:name="_Toc25829"/>
      <w:r>
        <w:rPr>
          <w:rFonts w:hint="eastAsia" w:ascii="宋体" w:hAnsi="宋体" w:cs="仿宋"/>
          <w:sz w:val="28"/>
          <w:szCs w:val="28"/>
        </w:rPr>
        <w:t>本单位对上述承诺的内容事项真实性负责。如经查实上述承诺的内容事项存在虚假，我单位愿意接受以提供虚假材料谋取中标追究法律责任。</w:t>
      </w:r>
      <w:bookmarkEnd w:id="204"/>
    </w:p>
    <w:p>
      <w:pPr>
        <w:widowControl/>
        <w:spacing w:line="360" w:lineRule="auto"/>
        <w:ind w:firstLine="548" w:firstLineChars="196"/>
        <w:jc w:val="left"/>
        <w:outlineLvl w:val="1"/>
        <w:rPr>
          <w:rFonts w:ascii="宋体" w:hAnsi="宋体" w:cs="仿宋"/>
          <w:sz w:val="28"/>
          <w:szCs w:val="28"/>
        </w:rPr>
      </w:pPr>
    </w:p>
    <w:p>
      <w:pPr>
        <w:widowControl/>
        <w:spacing w:line="360" w:lineRule="auto"/>
        <w:ind w:firstLine="548" w:firstLineChars="196"/>
        <w:jc w:val="left"/>
        <w:outlineLvl w:val="1"/>
        <w:rPr>
          <w:rFonts w:ascii="宋体" w:hAnsi="宋体" w:cs="仿宋"/>
          <w:sz w:val="28"/>
          <w:szCs w:val="28"/>
        </w:rPr>
      </w:pPr>
      <w:bookmarkStart w:id="205" w:name="_Toc1042"/>
      <w:bookmarkStart w:id="206" w:name="_Hlk534971470"/>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205"/>
    </w:p>
    <w:p>
      <w:pPr>
        <w:widowControl/>
        <w:spacing w:line="360" w:lineRule="auto"/>
        <w:ind w:firstLine="548" w:firstLineChars="196"/>
        <w:jc w:val="left"/>
        <w:outlineLvl w:val="1"/>
        <w:rPr>
          <w:rFonts w:ascii="宋体" w:hAnsi="宋体" w:cs="仿宋"/>
          <w:sz w:val="28"/>
          <w:szCs w:val="28"/>
        </w:rPr>
      </w:pPr>
      <w:bookmarkStart w:id="207" w:name="_Toc27305"/>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207"/>
    </w:p>
    <w:p>
      <w:pPr>
        <w:widowControl/>
        <w:spacing w:line="360" w:lineRule="auto"/>
        <w:ind w:firstLine="548" w:firstLineChars="196"/>
        <w:jc w:val="left"/>
        <w:outlineLvl w:val="1"/>
        <w:rPr>
          <w:rFonts w:ascii="宋体" w:hAnsi="宋体" w:cs="仿宋"/>
          <w:sz w:val="28"/>
          <w:szCs w:val="28"/>
        </w:rPr>
      </w:pPr>
      <w:bookmarkStart w:id="208" w:name="_Toc5177"/>
      <w:r>
        <w:rPr>
          <w:rFonts w:hint="eastAsia" w:ascii="宋体" w:hAnsi="宋体" w:cs="仿宋"/>
          <w:sz w:val="28"/>
          <w:szCs w:val="28"/>
        </w:rPr>
        <w:t>投标日期：</w:t>
      </w:r>
      <w:r>
        <w:rPr>
          <w:rFonts w:hint="eastAsia" w:ascii="宋体" w:hAnsi="宋体" w:cs="仿宋"/>
          <w:b/>
          <w:sz w:val="28"/>
          <w:szCs w:val="28"/>
          <w:u w:val="single"/>
        </w:rPr>
        <w:t xml:space="preserve">           </w:t>
      </w:r>
      <w:r>
        <w:rPr>
          <w:rFonts w:hint="eastAsia" w:ascii="宋体" w:hAnsi="宋体" w:cs="仿宋"/>
          <w:sz w:val="28"/>
          <w:szCs w:val="28"/>
        </w:rPr>
        <w:t>。</w:t>
      </w:r>
      <w:bookmarkEnd w:id="208"/>
    </w:p>
    <w:bookmarkEnd w:id="206"/>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pStyle w:val="2"/>
        <w:rPr>
          <w:rFonts w:ascii="宋体" w:hAnsi="宋体" w:cs="仿宋"/>
          <w:sz w:val="24"/>
        </w:rPr>
      </w:pPr>
    </w:p>
    <w:p>
      <w:pPr>
        <w:rPr>
          <w:rFonts w:ascii="宋体" w:hAnsi="宋体" w:cs="仿宋"/>
          <w:sz w:val="24"/>
        </w:rPr>
      </w:pPr>
    </w:p>
    <w:p>
      <w:pPr>
        <w:pStyle w:val="2"/>
        <w:rPr>
          <w:rFonts w:ascii="宋体" w:hAnsi="宋体" w:cs="仿宋"/>
          <w:sz w:val="24"/>
        </w:rPr>
      </w:pPr>
    </w:p>
    <w:p>
      <w:pPr>
        <w:rPr>
          <w:rFonts w:ascii="宋体" w:hAnsi="宋体" w:cs="仿宋"/>
          <w:sz w:val="24"/>
        </w:rPr>
      </w:pPr>
    </w:p>
    <w:p>
      <w:pPr>
        <w:pStyle w:val="2"/>
      </w:pPr>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b/>
          <w:sz w:val="32"/>
          <w:szCs w:val="32"/>
        </w:rPr>
      </w:pPr>
      <w:r>
        <w:rPr>
          <w:rFonts w:hint="eastAsia" w:ascii="宋体" w:hAnsi="宋体" w:cs="仿宋"/>
          <w:b/>
          <w:sz w:val="32"/>
          <w:szCs w:val="32"/>
        </w:rPr>
        <w:t>格式1-4</w:t>
      </w:r>
    </w:p>
    <w:p>
      <w:pPr>
        <w:widowControl/>
        <w:numPr>
          <w:ilvl w:val="0"/>
          <w:numId w:val="28"/>
        </w:numPr>
        <w:spacing w:line="360" w:lineRule="atLeast"/>
        <w:jc w:val="center"/>
        <w:outlineLvl w:val="1"/>
        <w:rPr>
          <w:rFonts w:hint="eastAsia" w:ascii="宋体" w:hAnsi="宋体" w:cs="仿宋"/>
          <w:b/>
          <w:sz w:val="32"/>
          <w:szCs w:val="32"/>
        </w:rPr>
      </w:pPr>
      <w:r>
        <w:rPr>
          <w:rFonts w:hint="eastAsia" w:ascii="宋体" w:hAnsi="宋体" w:cs="仿宋"/>
          <w:b/>
          <w:sz w:val="32"/>
          <w:szCs w:val="32"/>
        </w:rPr>
        <w:t>中小企业声明函</w:t>
      </w:r>
    </w:p>
    <w:p>
      <w:pPr>
        <w:pStyle w:val="2"/>
        <w:numPr>
          <w:numId w:val="0"/>
        </w:numPr>
      </w:pPr>
    </w:p>
    <w:p>
      <w:pPr>
        <w:spacing w:line="400" w:lineRule="exact"/>
        <w:ind w:firstLine="584" w:firstLineChars="200"/>
        <w:rPr>
          <w:rFonts w:cs="宋体"/>
          <w:spacing w:val="6"/>
          <w:sz w:val="28"/>
          <w:szCs w:val="28"/>
        </w:rPr>
      </w:pPr>
      <w:r>
        <w:rPr>
          <w:rFonts w:hint="eastAsia" w:cs="宋体"/>
          <w:spacing w:val="6"/>
          <w:sz w:val="28"/>
          <w:szCs w:val="28"/>
        </w:rPr>
        <w:t>本公司（联合体）郑重声明，根据《政府采购促进中小企业发展管理办法》（财库﹝2020﹞46 号）的规定，本公司（联合体）参加</w:t>
      </w:r>
      <w:r>
        <w:rPr>
          <w:rFonts w:hint="eastAsia" w:cs="宋体"/>
          <w:spacing w:val="6"/>
          <w:sz w:val="28"/>
          <w:szCs w:val="28"/>
          <w:u w:val="single"/>
        </w:rPr>
        <w:t xml:space="preserve">   （单位名称）</w:t>
      </w:r>
      <w:r>
        <w:rPr>
          <w:rFonts w:hint="eastAsia" w:cs="宋体"/>
          <w:spacing w:val="6"/>
          <w:sz w:val="28"/>
          <w:szCs w:val="28"/>
        </w:rPr>
        <w:t>的</w:t>
      </w:r>
      <w:r>
        <w:rPr>
          <w:rFonts w:hint="eastAsia" w:cs="宋体"/>
          <w:spacing w:val="6"/>
          <w:sz w:val="28"/>
          <w:szCs w:val="28"/>
          <w:u w:val="single"/>
        </w:rPr>
        <w:t xml:space="preserve">  （项目名称）  </w:t>
      </w:r>
      <w:r>
        <w:rPr>
          <w:rFonts w:hint="eastAsia" w:cs="宋体"/>
          <w:spacing w:val="6"/>
          <w:sz w:val="28"/>
          <w:szCs w:val="28"/>
        </w:rPr>
        <w:t>采购活动，</w:t>
      </w:r>
      <w:r>
        <w:rPr>
          <w:rFonts w:hint="eastAsia" w:cs="宋体"/>
          <w:spacing w:val="6"/>
          <w:sz w:val="28"/>
          <w:szCs w:val="28"/>
          <w:lang w:eastAsia="zh-CN"/>
        </w:rPr>
        <w:t>提供的货物全部</w:t>
      </w:r>
      <w:r>
        <w:rPr>
          <w:rFonts w:hint="eastAsia" w:cs="宋体"/>
          <w:spacing w:val="6"/>
          <w:sz w:val="28"/>
          <w:szCs w:val="28"/>
        </w:rPr>
        <w:t>由符合政策要求的中小企业</w:t>
      </w:r>
      <w:r>
        <w:rPr>
          <w:rFonts w:hint="eastAsia" w:cs="宋体"/>
          <w:spacing w:val="6"/>
          <w:sz w:val="28"/>
          <w:szCs w:val="28"/>
          <w:lang w:eastAsia="zh-CN"/>
        </w:rPr>
        <w:t>制造</w:t>
      </w:r>
      <w:r>
        <w:rPr>
          <w:rFonts w:hint="eastAsia" w:cs="宋体"/>
          <w:spacing w:val="6"/>
          <w:sz w:val="28"/>
          <w:szCs w:val="28"/>
        </w:rPr>
        <w:t>。相关企业（含联合体中的中小企业</w:t>
      </w:r>
      <w:r>
        <w:rPr>
          <w:rFonts w:hint="eastAsia" w:cs="宋体"/>
          <w:spacing w:val="6"/>
          <w:sz w:val="28"/>
          <w:szCs w:val="28"/>
          <w:lang w:eastAsia="zh-CN"/>
        </w:rPr>
        <w:t>、签订分包意向协议的中小企业</w:t>
      </w:r>
      <w:r>
        <w:rPr>
          <w:rFonts w:hint="eastAsia" w:cs="宋体"/>
          <w:spacing w:val="6"/>
          <w:sz w:val="28"/>
          <w:szCs w:val="28"/>
        </w:rPr>
        <w:t>）的具体情况如下：</w:t>
      </w:r>
    </w:p>
    <w:p>
      <w:pPr>
        <w:spacing w:line="400" w:lineRule="exact"/>
        <w:ind w:firstLine="584" w:firstLineChars="200"/>
        <w:rPr>
          <w:rFonts w:cs="宋体"/>
          <w:spacing w:val="6"/>
          <w:sz w:val="28"/>
          <w:szCs w:val="28"/>
        </w:rPr>
      </w:pPr>
      <w:r>
        <w:rPr>
          <w:rFonts w:hint="eastAsia" w:cs="宋体"/>
          <w:spacing w:val="6"/>
          <w:sz w:val="28"/>
          <w:szCs w:val="28"/>
        </w:rPr>
        <w:t xml:space="preserve">1. </w:t>
      </w:r>
      <w:r>
        <w:rPr>
          <w:rFonts w:hint="eastAsia" w:cs="宋体"/>
          <w:spacing w:val="6"/>
          <w:sz w:val="28"/>
          <w:szCs w:val="28"/>
          <w:u w:val="single"/>
        </w:rPr>
        <w:t xml:space="preserve">         （标的名称）</w:t>
      </w:r>
      <w:r>
        <w:rPr>
          <w:rFonts w:hint="eastAsia" w:cs="宋体"/>
          <w:spacing w:val="6"/>
          <w:sz w:val="28"/>
          <w:szCs w:val="28"/>
        </w:rPr>
        <w:t>，属于</w:t>
      </w:r>
      <w:r>
        <w:rPr>
          <w:rFonts w:hint="eastAsia" w:cs="宋体"/>
          <w:spacing w:val="6"/>
          <w:sz w:val="28"/>
          <w:szCs w:val="28"/>
          <w:u w:val="single"/>
        </w:rPr>
        <w:t xml:space="preserve">         （采购文件中明确的所属行业）</w:t>
      </w:r>
      <w:r>
        <w:rPr>
          <w:rFonts w:hint="eastAsia" w:cs="宋体"/>
          <w:spacing w:val="6"/>
          <w:sz w:val="28"/>
          <w:szCs w:val="28"/>
        </w:rPr>
        <w:t>；</w:t>
      </w:r>
      <w:r>
        <w:rPr>
          <w:rFonts w:hint="eastAsia" w:cs="宋体"/>
          <w:spacing w:val="6"/>
          <w:sz w:val="28"/>
          <w:szCs w:val="28"/>
          <w:lang w:eastAsia="zh-CN"/>
        </w:rPr>
        <w:t>制造商</w:t>
      </w:r>
      <w:r>
        <w:rPr>
          <w:rFonts w:hint="eastAsia" w:cs="宋体"/>
          <w:spacing w:val="6"/>
          <w:sz w:val="28"/>
          <w:szCs w:val="28"/>
        </w:rPr>
        <w:t>为</w:t>
      </w:r>
      <w:r>
        <w:rPr>
          <w:rFonts w:hint="eastAsia" w:cs="宋体"/>
          <w:spacing w:val="6"/>
          <w:sz w:val="28"/>
          <w:szCs w:val="28"/>
          <w:u w:val="single"/>
        </w:rPr>
        <w:t xml:space="preserve"> （企业名称</w:t>
      </w:r>
      <w:r>
        <w:rPr>
          <w:rFonts w:hint="eastAsia" w:cs="宋体"/>
          <w:spacing w:val="6"/>
          <w:sz w:val="28"/>
          <w:szCs w:val="28"/>
        </w:rPr>
        <w:t>），从业人员</w:t>
      </w:r>
      <w:r>
        <w:rPr>
          <w:rFonts w:hint="eastAsia" w:cs="宋体"/>
          <w:spacing w:val="6"/>
          <w:sz w:val="28"/>
          <w:szCs w:val="28"/>
          <w:u w:val="single"/>
        </w:rPr>
        <w:t xml:space="preserve">         </w:t>
      </w:r>
      <w:r>
        <w:rPr>
          <w:rFonts w:hint="eastAsia" w:cs="宋体"/>
          <w:spacing w:val="6"/>
          <w:sz w:val="28"/>
          <w:szCs w:val="28"/>
        </w:rPr>
        <w:t>人，营业收入为</w:t>
      </w:r>
      <w:r>
        <w:rPr>
          <w:rFonts w:hint="eastAsia" w:cs="宋体"/>
          <w:spacing w:val="6"/>
          <w:sz w:val="28"/>
          <w:szCs w:val="28"/>
          <w:u w:val="single"/>
        </w:rPr>
        <w:t xml:space="preserve">         </w:t>
      </w:r>
      <w:r>
        <w:rPr>
          <w:rFonts w:hint="eastAsia" w:cs="宋体"/>
          <w:spacing w:val="6"/>
          <w:sz w:val="28"/>
          <w:szCs w:val="28"/>
        </w:rPr>
        <w:t>万元，资产总额为</w:t>
      </w:r>
      <w:r>
        <w:rPr>
          <w:rFonts w:hint="eastAsia" w:cs="宋体"/>
          <w:spacing w:val="6"/>
          <w:sz w:val="28"/>
          <w:szCs w:val="28"/>
          <w:u w:val="single"/>
        </w:rPr>
        <w:t xml:space="preserve">         </w:t>
      </w:r>
      <w:r>
        <w:rPr>
          <w:rFonts w:hint="eastAsia" w:cs="宋体"/>
          <w:spacing w:val="6"/>
          <w:sz w:val="28"/>
          <w:szCs w:val="28"/>
        </w:rPr>
        <w:t>万元，属于</w:t>
      </w:r>
      <w:r>
        <w:rPr>
          <w:rFonts w:hint="eastAsia" w:cs="宋体"/>
          <w:spacing w:val="6"/>
          <w:sz w:val="28"/>
          <w:szCs w:val="28"/>
          <w:u w:val="single"/>
        </w:rPr>
        <w:t xml:space="preserve">         （中型企业、小型企业、微型企业）</w:t>
      </w:r>
      <w:r>
        <w:rPr>
          <w:rFonts w:hint="eastAsia" w:cs="宋体"/>
          <w:spacing w:val="6"/>
          <w:sz w:val="28"/>
          <w:szCs w:val="28"/>
        </w:rPr>
        <w:t xml:space="preserve">； </w:t>
      </w:r>
    </w:p>
    <w:p>
      <w:pPr>
        <w:spacing w:line="400" w:lineRule="exact"/>
        <w:ind w:firstLine="584" w:firstLineChars="200"/>
        <w:rPr>
          <w:rFonts w:cs="宋体"/>
          <w:spacing w:val="6"/>
          <w:sz w:val="28"/>
          <w:szCs w:val="28"/>
        </w:rPr>
      </w:pPr>
      <w:r>
        <w:rPr>
          <w:rFonts w:hint="eastAsia" w:cs="宋体"/>
          <w:spacing w:val="6"/>
          <w:sz w:val="28"/>
          <w:szCs w:val="28"/>
        </w:rPr>
        <w:t xml:space="preserve">2. </w:t>
      </w:r>
      <w:r>
        <w:rPr>
          <w:rFonts w:hint="eastAsia" w:cs="宋体"/>
          <w:spacing w:val="6"/>
          <w:sz w:val="28"/>
          <w:szCs w:val="28"/>
          <w:u w:val="single"/>
        </w:rPr>
        <w:t xml:space="preserve">         （标的名称）</w:t>
      </w:r>
      <w:r>
        <w:rPr>
          <w:rFonts w:hint="eastAsia" w:cs="宋体"/>
          <w:spacing w:val="6"/>
          <w:sz w:val="28"/>
          <w:szCs w:val="28"/>
        </w:rPr>
        <w:t>，属于</w:t>
      </w:r>
      <w:r>
        <w:rPr>
          <w:rFonts w:hint="eastAsia" w:cs="宋体"/>
          <w:spacing w:val="6"/>
          <w:sz w:val="28"/>
          <w:szCs w:val="28"/>
          <w:u w:val="single"/>
        </w:rPr>
        <w:t xml:space="preserve">         </w:t>
      </w:r>
      <w:r>
        <w:rPr>
          <w:rFonts w:hint="eastAsia" w:cs="宋体"/>
          <w:spacing w:val="6"/>
          <w:sz w:val="28"/>
          <w:szCs w:val="28"/>
        </w:rPr>
        <w:t>（采购文件中明确的所属行业）；</w:t>
      </w:r>
      <w:r>
        <w:rPr>
          <w:rFonts w:hint="eastAsia" w:cs="宋体"/>
          <w:spacing w:val="6"/>
          <w:sz w:val="28"/>
          <w:szCs w:val="28"/>
          <w:lang w:eastAsia="zh-CN"/>
        </w:rPr>
        <w:t>制造商为</w:t>
      </w:r>
      <w:r>
        <w:rPr>
          <w:rFonts w:hint="eastAsia" w:cs="宋体"/>
          <w:spacing w:val="6"/>
          <w:sz w:val="28"/>
          <w:szCs w:val="28"/>
        </w:rPr>
        <w:t>企业为</w:t>
      </w:r>
      <w:r>
        <w:rPr>
          <w:rFonts w:hint="eastAsia" w:cs="宋体"/>
          <w:spacing w:val="6"/>
          <w:sz w:val="28"/>
          <w:szCs w:val="28"/>
          <w:u w:val="single"/>
        </w:rPr>
        <w:t xml:space="preserve">  （企业名称）</w:t>
      </w:r>
      <w:r>
        <w:rPr>
          <w:rFonts w:hint="eastAsia" w:cs="宋体"/>
          <w:spacing w:val="6"/>
          <w:sz w:val="28"/>
          <w:szCs w:val="28"/>
        </w:rPr>
        <w:t>，从业人员</w:t>
      </w:r>
      <w:r>
        <w:rPr>
          <w:rFonts w:hint="eastAsia" w:cs="宋体"/>
          <w:spacing w:val="6"/>
          <w:sz w:val="28"/>
          <w:szCs w:val="28"/>
          <w:u w:val="single"/>
        </w:rPr>
        <w:t xml:space="preserve">         </w:t>
      </w:r>
      <w:r>
        <w:rPr>
          <w:rFonts w:hint="eastAsia" w:cs="宋体"/>
          <w:spacing w:val="6"/>
          <w:sz w:val="28"/>
          <w:szCs w:val="28"/>
        </w:rPr>
        <w:t>人，营业收入为</w:t>
      </w:r>
      <w:r>
        <w:rPr>
          <w:rFonts w:hint="eastAsia" w:cs="宋体"/>
          <w:spacing w:val="6"/>
          <w:sz w:val="28"/>
          <w:szCs w:val="28"/>
          <w:u w:val="single"/>
        </w:rPr>
        <w:t xml:space="preserve">         </w:t>
      </w:r>
      <w:r>
        <w:rPr>
          <w:rFonts w:hint="eastAsia" w:cs="宋体"/>
          <w:spacing w:val="6"/>
          <w:sz w:val="28"/>
          <w:szCs w:val="28"/>
        </w:rPr>
        <w:t>万元，资产总额为</w:t>
      </w:r>
      <w:r>
        <w:rPr>
          <w:rFonts w:hint="eastAsia" w:cs="宋体"/>
          <w:spacing w:val="6"/>
          <w:sz w:val="28"/>
          <w:szCs w:val="28"/>
          <w:u w:val="single"/>
        </w:rPr>
        <w:t xml:space="preserve">         </w:t>
      </w:r>
      <w:r>
        <w:rPr>
          <w:rFonts w:hint="eastAsia" w:cs="宋体"/>
          <w:spacing w:val="6"/>
          <w:sz w:val="28"/>
          <w:szCs w:val="28"/>
        </w:rPr>
        <w:t>万元，属于</w:t>
      </w:r>
      <w:r>
        <w:rPr>
          <w:rFonts w:hint="eastAsia" w:cs="宋体"/>
          <w:spacing w:val="6"/>
          <w:sz w:val="28"/>
          <w:szCs w:val="28"/>
          <w:u w:val="single"/>
        </w:rPr>
        <w:t xml:space="preserve">         （中型企业、小型企业、微型企业</w:t>
      </w:r>
      <w:r>
        <w:rPr>
          <w:rFonts w:hint="eastAsia" w:cs="宋体"/>
          <w:spacing w:val="6"/>
          <w:sz w:val="28"/>
          <w:szCs w:val="28"/>
        </w:rPr>
        <w:t xml:space="preserve">）； </w:t>
      </w:r>
    </w:p>
    <w:p>
      <w:pPr>
        <w:spacing w:line="400" w:lineRule="exact"/>
        <w:ind w:firstLine="584" w:firstLineChars="200"/>
        <w:rPr>
          <w:rFonts w:cs="宋体"/>
          <w:spacing w:val="6"/>
          <w:sz w:val="28"/>
          <w:szCs w:val="28"/>
        </w:rPr>
      </w:pPr>
      <w:r>
        <w:rPr>
          <w:rFonts w:hint="eastAsia" w:cs="宋体"/>
          <w:spacing w:val="6"/>
          <w:sz w:val="28"/>
          <w:szCs w:val="28"/>
        </w:rPr>
        <w:t>……</w:t>
      </w:r>
    </w:p>
    <w:p>
      <w:pPr>
        <w:spacing w:line="400" w:lineRule="exact"/>
        <w:ind w:firstLine="584" w:firstLineChars="200"/>
        <w:rPr>
          <w:rFonts w:cs="宋体"/>
          <w:spacing w:val="6"/>
          <w:sz w:val="28"/>
          <w:szCs w:val="28"/>
        </w:rPr>
      </w:pPr>
      <w:r>
        <w:rPr>
          <w:rFonts w:hint="eastAsia" w:cs="宋体"/>
          <w:spacing w:val="6"/>
          <w:sz w:val="28"/>
          <w:szCs w:val="28"/>
        </w:rPr>
        <w:t>以上企业，不属于大企业的分支机构，不存在控股股东为大企业的情形，也不存在与大企业的负责人为同一人的情形。</w:t>
      </w:r>
    </w:p>
    <w:p>
      <w:pPr>
        <w:spacing w:line="400" w:lineRule="exact"/>
        <w:ind w:firstLine="584" w:firstLineChars="200"/>
        <w:rPr>
          <w:sz w:val="28"/>
          <w:szCs w:val="28"/>
        </w:rPr>
      </w:pPr>
      <w:r>
        <w:rPr>
          <w:rFonts w:hint="eastAsia" w:cs="宋体"/>
          <w:spacing w:val="6"/>
          <w:sz w:val="28"/>
          <w:szCs w:val="28"/>
        </w:rPr>
        <w:t>本企业对上述声明内容的真实性负责。如有虚假，将依法承担相应责任。</w:t>
      </w:r>
    </w:p>
    <w:p>
      <w:pPr>
        <w:spacing w:line="360" w:lineRule="exact"/>
        <w:ind w:firstLine="733" w:firstLineChars="250"/>
        <w:rPr>
          <w:rFonts w:cs="宋体"/>
          <w:b/>
          <w:bCs/>
          <w:spacing w:val="6"/>
          <w:sz w:val="28"/>
          <w:szCs w:val="28"/>
        </w:rPr>
      </w:pPr>
      <w:r>
        <w:rPr>
          <w:rFonts w:hint="eastAsia" w:cs="宋体"/>
          <w:b/>
          <w:bCs/>
          <w:spacing w:val="6"/>
          <w:sz w:val="28"/>
          <w:szCs w:val="28"/>
        </w:rPr>
        <w:t>从业人员、营业收入、资产总额填报上一年度数据，无上一年度数据的新成立企业可不填报。</w:t>
      </w:r>
    </w:p>
    <w:p>
      <w:pPr>
        <w:spacing w:line="360" w:lineRule="exact"/>
        <w:ind w:firstLine="733" w:firstLineChars="250"/>
        <w:rPr>
          <w:rFonts w:cs="宋体"/>
          <w:b/>
          <w:bCs/>
          <w:spacing w:val="6"/>
          <w:sz w:val="28"/>
          <w:szCs w:val="28"/>
        </w:rPr>
      </w:pPr>
      <w:r>
        <w:rPr>
          <w:rFonts w:hint="eastAsia" w:cs="宋体"/>
          <w:b/>
          <w:bCs/>
          <w:spacing w:val="6"/>
          <w:sz w:val="28"/>
          <w:szCs w:val="28"/>
        </w:rPr>
        <w:t>说明：供应商为监狱企业的，提供由省级以上监狱管理局、戒毒管理局（含新疆生产建设兵团）出具的供应商属于监狱企业的证明文件复印件。监狱企业视同小型、微型企业。如提供虚假中小企业声明函的，则采购人有权</w:t>
      </w:r>
      <w:r>
        <w:rPr>
          <w:rFonts w:hint="eastAsia" w:cs="宋体"/>
          <w:b/>
          <w:bCs/>
          <w:spacing w:val="6"/>
          <w:sz w:val="28"/>
          <w:szCs w:val="28"/>
          <w:lang w:eastAsia="zh-CN"/>
        </w:rPr>
        <w:t>中标</w:t>
      </w:r>
      <w:r>
        <w:rPr>
          <w:rFonts w:hint="eastAsia" w:cs="宋体"/>
          <w:b/>
          <w:bCs/>
          <w:spacing w:val="6"/>
          <w:sz w:val="28"/>
          <w:szCs w:val="28"/>
        </w:rPr>
        <w:t>资格，有权终止合同，并报政府采购监管部门。</w:t>
      </w:r>
    </w:p>
    <w:p>
      <w:pPr>
        <w:spacing w:line="360" w:lineRule="exact"/>
        <w:ind w:firstLine="733" w:firstLineChars="250"/>
        <w:rPr>
          <w:rFonts w:cs="宋体"/>
          <w:b/>
          <w:spacing w:val="6"/>
          <w:sz w:val="28"/>
          <w:szCs w:val="28"/>
        </w:rPr>
      </w:pPr>
      <w:r>
        <w:rPr>
          <w:rFonts w:hint="eastAsia" w:cs="宋体"/>
          <w:b/>
          <w:bCs/>
          <w:spacing w:val="6"/>
          <w:sz w:val="28"/>
          <w:szCs w:val="28"/>
        </w:rPr>
        <w:t>本项目采购标的对应的中小企业划分标准所属行业为</w:t>
      </w:r>
      <w:r>
        <w:rPr>
          <w:rFonts w:hint="eastAsia" w:cs="宋体"/>
          <w:b/>
          <w:bCs/>
          <w:spacing w:val="6"/>
          <w:sz w:val="28"/>
          <w:szCs w:val="28"/>
          <w:u w:val="single"/>
        </w:rPr>
        <w:t>其他未列明行业</w:t>
      </w:r>
      <w:r>
        <w:rPr>
          <w:rFonts w:hint="eastAsia" w:cs="宋体"/>
          <w:b/>
          <w:spacing w:val="6"/>
          <w:sz w:val="28"/>
          <w:szCs w:val="28"/>
          <w:u w:val="single"/>
        </w:rPr>
        <w:t>。</w:t>
      </w:r>
    </w:p>
    <w:p>
      <w:pPr>
        <w:widowControl/>
        <w:spacing w:line="360" w:lineRule="atLeast"/>
        <w:jc w:val="left"/>
        <w:outlineLvl w:val="1"/>
        <w:rPr>
          <w:rFonts w:hint="eastAsia" w:ascii="宋体" w:hAnsi="宋体" w:cs="仿宋"/>
          <w:sz w:val="28"/>
          <w:szCs w:val="28"/>
        </w:rPr>
      </w:pPr>
    </w:p>
    <w:p>
      <w:pPr>
        <w:widowControl/>
        <w:spacing w:line="360" w:lineRule="atLeast"/>
        <w:jc w:val="left"/>
        <w:outlineLvl w:val="1"/>
        <w:rPr>
          <w:rFonts w:ascii="宋体" w:hAnsi="宋体" w:cs="仿宋"/>
          <w:sz w:val="28"/>
          <w:szCs w:val="28"/>
        </w:rPr>
      </w:pPr>
      <w:bookmarkStart w:id="562" w:name="_GoBack"/>
      <w:bookmarkEnd w:id="562"/>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p>
    <w:p>
      <w:pPr>
        <w:widowControl/>
        <w:spacing w:line="360" w:lineRule="atLeast"/>
        <w:jc w:val="left"/>
        <w:outlineLvl w:val="1"/>
        <w:rPr>
          <w:rFonts w:ascii="宋体" w:hAnsi="宋体" w:cs="仿宋"/>
          <w:sz w:val="28"/>
          <w:szCs w:val="28"/>
        </w:rPr>
      </w:pPr>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p>
    <w:p>
      <w:pPr>
        <w:spacing w:line="360" w:lineRule="auto"/>
        <w:jc w:val="left"/>
        <w:rPr>
          <w:rFonts w:ascii="宋体" w:hAnsi="宋体" w:cs="仿宋"/>
          <w:sz w:val="28"/>
          <w:szCs w:val="28"/>
        </w:rPr>
      </w:pPr>
      <w:r>
        <w:rPr>
          <w:rFonts w:hint="eastAsia" w:ascii="宋体" w:hAnsi="宋体" w:cs="仿宋"/>
          <w:sz w:val="28"/>
          <w:szCs w:val="28"/>
        </w:rPr>
        <w:t xml:space="preserve">投标日期: </w:t>
      </w:r>
      <w:r>
        <w:rPr>
          <w:rFonts w:hint="eastAsia" w:ascii="宋体" w:hAnsi="宋体" w:cs="仿宋"/>
          <w:b/>
          <w:sz w:val="28"/>
          <w:szCs w:val="28"/>
          <w:u w:val="single"/>
        </w:rPr>
        <w:t xml:space="preserve">           </w:t>
      </w:r>
      <w:r>
        <w:rPr>
          <w:rFonts w:hint="eastAsia" w:ascii="宋体" w:hAnsi="宋体" w:cs="仿宋"/>
          <w:sz w:val="28"/>
          <w:szCs w:val="28"/>
        </w:rPr>
        <w:t>。</w:t>
      </w:r>
    </w:p>
    <w:p>
      <w:pPr>
        <w:pStyle w:val="2"/>
      </w:pPr>
    </w:p>
    <w:p>
      <w:pPr>
        <w:pStyle w:val="3"/>
      </w:pPr>
    </w:p>
    <w:p>
      <w:pPr>
        <w:pStyle w:val="3"/>
      </w:pPr>
    </w:p>
    <w:p>
      <w:pPr>
        <w:spacing w:line="360" w:lineRule="auto"/>
        <w:ind w:firstLine="790" w:firstLineChars="246"/>
        <w:jc w:val="center"/>
        <w:rPr>
          <w:rFonts w:ascii="宋体" w:hAnsi="宋体" w:cs="仿宋"/>
          <w:b/>
          <w:sz w:val="32"/>
          <w:szCs w:val="32"/>
        </w:rPr>
      </w:pPr>
      <w:r>
        <w:rPr>
          <w:rFonts w:hint="eastAsia" w:ascii="宋体" w:hAnsi="宋体" w:cs="仿宋"/>
          <w:b/>
          <w:sz w:val="32"/>
          <w:szCs w:val="32"/>
        </w:rPr>
        <w:t>五、投标人和投标产品其他资格、资质性及其他类似效力要求的相关证明材料</w:t>
      </w:r>
    </w:p>
    <w:p>
      <w:pPr>
        <w:spacing w:line="360" w:lineRule="auto"/>
        <w:rPr>
          <w:rFonts w:ascii="宋体" w:hAnsi="宋体" w:cs="仿宋"/>
          <w:bCs/>
          <w:sz w:val="28"/>
          <w:szCs w:val="28"/>
        </w:rPr>
      </w:pPr>
      <w:r>
        <w:rPr>
          <w:rFonts w:hint="eastAsia" w:ascii="宋体" w:hAnsi="宋体" w:cs="仿宋"/>
          <w:bCs/>
          <w:sz w:val="28"/>
          <w:szCs w:val="28"/>
        </w:rPr>
        <w:t>注：投标人应按招标文件第5章相关要求提供佐证材料，有格式要求的从其要求，无格式要求的格式自拟。</w:t>
      </w:r>
    </w:p>
    <w:p>
      <w:pPr>
        <w:spacing w:line="360" w:lineRule="auto"/>
        <w:rPr>
          <w:rFonts w:ascii="宋体" w:hAnsi="宋体" w:cs="仿宋"/>
          <w:bCs/>
          <w:sz w:val="24"/>
        </w:rPr>
      </w:pPr>
    </w:p>
    <w:p>
      <w:pPr>
        <w:tabs>
          <w:tab w:val="left" w:pos="900"/>
        </w:tabs>
        <w:spacing w:line="360" w:lineRule="auto"/>
        <w:jc w:val="center"/>
        <w:rPr>
          <w:rFonts w:ascii="宋体" w:hAnsi="宋体" w:cs="仿宋"/>
          <w:b/>
          <w:sz w:val="32"/>
        </w:rPr>
      </w:pPr>
      <w:r>
        <w:rPr>
          <w:rFonts w:hint="eastAsia" w:ascii="宋体" w:hAnsi="宋体" w:cs="仿宋"/>
          <w:b/>
          <w:sz w:val="32"/>
          <w:szCs w:val="32"/>
        </w:rPr>
        <w:br w:type="page"/>
      </w:r>
      <w:r>
        <w:rPr>
          <w:rFonts w:hint="eastAsia" w:ascii="宋体" w:hAnsi="宋体" w:cs="仿宋"/>
          <w:b/>
          <w:sz w:val="32"/>
        </w:rPr>
        <w:t>第二部分     “其他响应性投标文件”格式</w:t>
      </w:r>
    </w:p>
    <w:p>
      <w:pPr>
        <w:spacing w:line="360" w:lineRule="auto"/>
        <w:rPr>
          <w:rFonts w:ascii="宋体" w:hAnsi="宋体" w:cs="仿宋"/>
          <w:b/>
          <w:sz w:val="32"/>
          <w:szCs w:val="32"/>
        </w:rPr>
      </w:pPr>
      <w:r>
        <w:rPr>
          <w:rFonts w:hint="eastAsia" w:ascii="宋体" w:hAnsi="宋体" w:cs="仿宋"/>
          <w:b/>
          <w:sz w:val="32"/>
          <w:szCs w:val="32"/>
        </w:rPr>
        <w:t>格式2-1</w:t>
      </w:r>
    </w:p>
    <w:p>
      <w:pPr>
        <w:spacing w:line="360" w:lineRule="auto"/>
        <w:rPr>
          <w:rFonts w:ascii="宋体" w:hAnsi="宋体" w:cs="仿宋"/>
          <w:b/>
          <w:sz w:val="32"/>
          <w:szCs w:val="32"/>
        </w:rPr>
      </w:pPr>
      <w:r>
        <w:rPr>
          <w:rFonts w:hint="eastAsia" w:ascii="宋体" w:hAnsi="宋体" w:cs="仿宋"/>
          <w:b/>
          <w:sz w:val="32"/>
          <w:szCs w:val="32"/>
        </w:rPr>
        <w:t>封面：</w:t>
      </w:r>
    </w:p>
    <w:p>
      <w:pPr>
        <w:spacing w:line="360" w:lineRule="auto"/>
        <w:jc w:val="right"/>
        <w:rPr>
          <w:rFonts w:ascii="宋体" w:hAnsi="宋体" w:cs="仿宋"/>
          <w:b/>
          <w:sz w:val="36"/>
        </w:rPr>
      </w:pPr>
      <w:r>
        <w:rPr>
          <w:rFonts w:hint="eastAsia" w:ascii="宋体" w:hAnsi="宋体" w:cs="仿宋"/>
          <w:b/>
          <w:sz w:val="36"/>
        </w:rPr>
        <w:t>（正本/副本）</w:t>
      </w:r>
    </w:p>
    <w:p>
      <w:pPr>
        <w:spacing w:line="360" w:lineRule="auto"/>
        <w:rPr>
          <w:rFonts w:ascii="宋体" w:hAnsi="宋体" w:cs="仿宋"/>
          <w:b/>
          <w:sz w:val="32"/>
          <w:szCs w:val="32"/>
        </w:rPr>
      </w:pPr>
    </w:p>
    <w:p>
      <w:pPr>
        <w:spacing w:line="360" w:lineRule="auto"/>
        <w:rPr>
          <w:rFonts w:ascii="宋体" w:hAnsi="宋体" w:cs="仿宋"/>
          <w:b/>
          <w:sz w:val="32"/>
          <w:szCs w:val="32"/>
        </w:rPr>
      </w:pPr>
    </w:p>
    <w:p>
      <w:pPr>
        <w:spacing w:line="360" w:lineRule="auto"/>
        <w:jc w:val="center"/>
        <w:rPr>
          <w:rFonts w:ascii="宋体" w:hAnsi="宋体" w:cs="仿宋"/>
          <w:b/>
          <w:sz w:val="72"/>
        </w:rPr>
      </w:pPr>
      <w:r>
        <w:rPr>
          <w:rFonts w:hint="eastAsia" w:ascii="宋体" w:hAnsi="宋体" w:cs="仿宋"/>
          <w:b/>
          <w:sz w:val="40"/>
          <w:szCs w:val="48"/>
          <w:u w:val="single"/>
        </w:rPr>
        <w:t xml:space="preserve">                      </w:t>
      </w:r>
      <w:r>
        <w:rPr>
          <w:rFonts w:hint="eastAsia" w:ascii="宋体" w:hAnsi="宋体" w:cs="仿宋"/>
          <w:b/>
          <w:sz w:val="40"/>
          <w:szCs w:val="48"/>
        </w:rPr>
        <w:t>项目</w:t>
      </w:r>
    </w:p>
    <w:p>
      <w:pPr>
        <w:spacing w:line="360" w:lineRule="auto"/>
        <w:rPr>
          <w:rFonts w:ascii="宋体" w:hAnsi="宋体" w:cs="仿宋"/>
          <w:b/>
          <w:sz w:val="52"/>
          <w:szCs w:val="52"/>
        </w:rPr>
      </w:pPr>
    </w:p>
    <w:p>
      <w:pPr>
        <w:spacing w:line="360" w:lineRule="auto"/>
        <w:rPr>
          <w:rFonts w:ascii="宋体" w:hAnsi="宋体" w:cs="仿宋"/>
          <w:b/>
          <w:sz w:val="52"/>
          <w:szCs w:val="52"/>
        </w:rPr>
      </w:pPr>
    </w:p>
    <w:p>
      <w:pPr>
        <w:spacing w:line="360" w:lineRule="auto"/>
        <w:jc w:val="center"/>
        <w:rPr>
          <w:rFonts w:ascii="宋体" w:hAnsi="宋体" w:cs="仿宋"/>
          <w:b/>
          <w:sz w:val="32"/>
          <w:szCs w:val="32"/>
        </w:rPr>
      </w:pPr>
      <w:r>
        <w:rPr>
          <w:rFonts w:hint="eastAsia" w:ascii="宋体" w:hAnsi="宋体" w:cs="仿宋"/>
          <w:b/>
          <w:sz w:val="52"/>
          <w:szCs w:val="52"/>
        </w:rPr>
        <w:t>其他响应性投标文件</w:t>
      </w:r>
    </w:p>
    <w:p>
      <w:pPr>
        <w:spacing w:line="360" w:lineRule="auto"/>
        <w:rPr>
          <w:rFonts w:ascii="宋体" w:hAnsi="宋体" w:cs="仿宋"/>
          <w:b/>
          <w:sz w:val="36"/>
        </w:rPr>
      </w:pPr>
    </w:p>
    <w:p>
      <w:pPr>
        <w:spacing w:line="360" w:lineRule="auto"/>
        <w:rPr>
          <w:rFonts w:ascii="宋体" w:hAnsi="宋体" w:cs="仿宋"/>
          <w:b/>
          <w:sz w:val="36"/>
        </w:rPr>
      </w:pPr>
    </w:p>
    <w:p>
      <w:pPr>
        <w:spacing w:line="360" w:lineRule="auto"/>
        <w:rPr>
          <w:rFonts w:ascii="宋体" w:hAnsi="宋体" w:cs="仿宋"/>
          <w:b/>
          <w:sz w:val="36"/>
        </w:rPr>
      </w:pPr>
    </w:p>
    <w:p>
      <w:pPr>
        <w:spacing w:line="360" w:lineRule="auto"/>
        <w:ind w:firstLine="643" w:firstLineChars="200"/>
        <w:jc w:val="left"/>
        <w:rPr>
          <w:rFonts w:ascii="宋体" w:hAnsi="宋体" w:cs="仿宋"/>
          <w:b/>
          <w:sz w:val="32"/>
          <w:u w:val="single"/>
        </w:rPr>
      </w:pPr>
      <w:bookmarkStart w:id="209" w:name="_Hlk534971499"/>
      <w:r>
        <w:rPr>
          <w:rFonts w:hint="eastAsia" w:ascii="宋体" w:hAnsi="宋体" w:cs="仿宋"/>
          <w:b/>
          <w:sz w:val="32"/>
        </w:rPr>
        <w:t>投标人名称：</w:t>
      </w:r>
      <w:r>
        <w:rPr>
          <w:rFonts w:hint="eastAsia" w:ascii="宋体" w:hAnsi="宋体" w:cs="仿宋"/>
          <w:b/>
          <w:sz w:val="32"/>
          <w:u w:val="single"/>
        </w:rPr>
        <w:t xml:space="preserve">                                 </w:t>
      </w:r>
    </w:p>
    <w:p>
      <w:pPr>
        <w:spacing w:line="360" w:lineRule="auto"/>
        <w:ind w:firstLine="643" w:firstLineChars="200"/>
        <w:jc w:val="left"/>
        <w:rPr>
          <w:rFonts w:ascii="宋体" w:hAnsi="宋体" w:cs="仿宋"/>
          <w:b/>
          <w:sz w:val="32"/>
          <w:u w:val="single"/>
        </w:rPr>
      </w:pPr>
      <w:r>
        <w:rPr>
          <w:rFonts w:hint="eastAsia" w:ascii="宋体" w:hAnsi="宋体" w:cs="仿宋"/>
          <w:b/>
          <w:sz w:val="32"/>
        </w:rPr>
        <w:t>招 标 编号：</w:t>
      </w:r>
      <w:r>
        <w:rPr>
          <w:rFonts w:hint="eastAsia" w:ascii="宋体" w:hAnsi="宋体" w:cs="仿宋"/>
          <w:b/>
          <w:sz w:val="32"/>
          <w:u w:val="single"/>
        </w:rPr>
        <w:t xml:space="preserve">                                 </w:t>
      </w:r>
    </w:p>
    <w:p>
      <w:pPr>
        <w:spacing w:line="360" w:lineRule="auto"/>
        <w:ind w:firstLine="643" w:firstLineChars="200"/>
        <w:jc w:val="left"/>
        <w:rPr>
          <w:rFonts w:ascii="宋体" w:hAnsi="宋体" w:cs="仿宋"/>
          <w:b/>
          <w:sz w:val="32"/>
          <w:u w:val="single"/>
        </w:rPr>
      </w:pPr>
    </w:p>
    <w:bookmarkEnd w:id="209"/>
    <w:p>
      <w:pPr>
        <w:spacing w:line="360" w:lineRule="auto"/>
        <w:ind w:firstLine="790" w:firstLineChars="246"/>
        <w:jc w:val="center"/>
        <w:rPr>
          <w:rFonts w:ascii="宋体" w:hAnsi="宋体" w:cs="仿宋"/>
          <w:b/>
          <w:sz w:val="32"/>
        </w:rPr>
      </w:pPr>
    </w:p>
    <w:p>
      <w:pPr>
        <w:spacing w:line="360" w:lineRule="auto"/>
        <w:jc w:val="center"/>
        <w:rPr>
          <w:rFonts w:ascii="宋体" w:hAnsi="宋体" w:cs="仿宋"/>
          <w:b/>
          <w:sz w:val="32"/>
        </w:rPr>
      </w:pPr>
      <w:r>
        <w:rPr>
          <w:rFonts w:hint="eastAsia" w:ascii="宋体" w:hAnsi="宋体" w:cs="仿宋"/>
          <w:b/>
          <w:sz w:val="32"/>
        </w:rPr>
        <w:t>投标日期：</w:t>
      </w:r>
      <w:r>
        <w:rPr>
          <w:rFonts w:hint="eastAsia" w:ascii="宋体" w:hAnsi="宋体" w:cs="仿宋"/>
          <w:b/>
          <w:sz w:val="32"/>
          <w:u w:val="single"/>
        </w:rPr>
        <w:t xml:space="preserve">    </w:t>
      </w:r>
      <w:r>
        <w:rPr>
          <w:rFonts w:hint="eastAsia" w:ascii="宋体" w:hAnsi="宋体" w:cs="仿宋"/>
          <w:b/>
          <w:sz w:val="32"/>
        </w:rPr>
        <w:t>年</w:t>
      </w:r>
      <w:r>
        <w:rPr>
          <w:rFonts w:hint="eastAsia" w:ascii="宋体" w:hAnsi="宋体" w:cs="仿宋"/>
          <w:b/>
          <w:sz w:val="32"/>
          <w:u w:val="single"/>
        </w:rPr>
        <w:t xml:space="preserve">   </w:t>
      </w:r>
      <w:r>
        <w:rPr>
          <w:rFonts w:hint="eastAsia" w:ascii="宋体" w:hAnsi="宋体" w:cs="仿宋"/>
          <w:b/>
          <w:sz w:val="32"/>
        </w:rPr>
        <w:t>月</w:t>
      </w:r>
      <w:r>
        <w:rPr>
          <w:rFonts w:hint="eastAsia" w:ascii="宋体" w:hAnsi="宋体" w:cs="仿宋"/>
          <w:b/>
          <w:sz w:val="32"/>
          <w:u w:val="single"/>
        </w:rPr>
        <w:t xml:space="preserve">   </w:t>
      </w:r>
      <w:r>
        <w:rPr>
          <w:rFonts w:hint="eastAsia" w:ascii="宋体" w:hAnsi="宋体" w:cs="仿宋"/>
          <w:b/>
          <w:sz w:val="32"/>
        </w:rPr>
        <w:t>日</w:t>
      </w:r>
    </w:p>
    <w:p>
      <w:pPr>
        <w:spacing w:line="360" w:lineRule="auto"/>
        <w:rPr>
          <w:rFonts w:ascii="宋体" w:hAnsi="宋体" w:cs="仿宋"/>
          <w:b/>
          <w:sz w:val="32"/>
          <w:szCs w:val="32"/>
        </w:rPr>
      </w:pPr>
      <w:r>
        <w:rPr>
          <w:rFonts w:hint="eastAsia" w:ascii="宋体" w:hAnsi="宋体" w:cs="仿宋"/>
          <w:b/>
          <w:sz w:val="32"/>
        </w:rPr>
        <w:br w:type="page"/>
      </w:r>
      <w:r>
        <w:rPr>
          <w:rFonts w:hint="eastAsia" w:ascii="宋体" w:hAnsi="宋体" w:cs="仿宋"/>
          <w:b/>
          <w:sz w:val="32"/>
          <w:szCs w:val="32"/>
        </w:rPr>
        <w:t>格式2-2</w:t>
      </w:r>
    </w:p>
    <w:p>
      <w:pPr>
        <w:widowControl/>
        <w:spacing w:line="360" w:lineRule="atLeast"/>
        <w:jc w:val="center"/>
        <w:outlineLvl w:val="1"/>
        <w:rPr>
          <w:rFonts w:ascii="宋体" w:hAnsi="宋体" w:cs="仿宋"/>
          <w:b/>
          <w:sz w:val="32"/>
          <w:szCs w:val="32"/>
        </w:rPr>
      </w:pPr>
      <w:bookmarkStart w:id="210" w:name="_Toc3693"/>
      <w:r>
        <w:rPr>
          <w:rFonts w:hint="eastAsia" w:ascii="宋体" w:hAnsi="宋体" w:cs="仿宋"/>
          <w:b/>
          <w:sz w:val="32"/>
          <w:szCs w:val="32"/>
        </w:rPr>
        <w:t>一、投 标 函（实质性要求）</w:t>
      </w:r>
      <w:bookmarkEnd w:id="210"/>
    </w:p>
    <w:p>
      <w:pPr>
        <w:widowControl/>
        <w:spacing w:line="360" w:lineRule="atLeast"/>
        <w:jc w:val="center"/>
        <w:outlineLvl w:val="1"/>
        <w:rPr>
          <w:rFonts w:ascii="宋体" w:hAnsi="宋体" w:cs="仿宋"/>
          <w:b/>
          <w:sz w:val="24"/>
        </w:rPr>
      </w:pPr>
    </w:p>
    <w:p>
      <w:pPr>
        <w:widowControl/>
        <w:spacing w:line="360" w:lineRule="auto"/>
        <w:jc w:val="left"/>
        <w:outlineLvl w:val="1"/>
        <w:rPr>
          <w:rFonts w:ascii="宋体" w:hAnsi="宋体" w:cs="仿宋"/>
          <w:sz w:val="28"/>
          <w:szCs w:val="28"/>
        </w:rPr>
      </w:pPr>
      <w:r>
        <w:rPr>
          <w:rFonts w:hint="eastAsia" w:ascii="宋体" w:hAnsi="宋体" w:cs="仿宋"/>
          <w:b/>
          <w:sz w:val="28"/>
          <w:szCs w:val="28"/>
          <w:u w:val="single"/>
        </w:rPr>
        <w:t xml:space="preserve">           </w:t>
      </w:r>
      <w:bookmarkStart w:id="211" w:name="_Toc23284"/>
      <w:r>
        <w:rPr>
          <w:rFonts w:hint="eastAsia" w:ascii="宋体" w:hAnsi="宋体" w:cs="仿宋"/>
          <w:sz w:val="28"/>
          <w:szCs w:val="28"/>
        </w:rPr>
        <w:t>（采购代理机构名称）：</w:t>
      </w:r>
      <w:bookmarkEnd w:id="211"/>
    </w:p>
    <w:p>
      <w:pPr>
        <w:widowControl/>
        <w:spacing w:line="360" w:lineRule="auto"/>
        <w:ind w:firstLine="548" w:firstLineChars="196"/>
        <w:jc w:val="left"/>
        <w:outlineLvl w:val="1"/>
        <w:rPr>
          <w:rFonts w:ascii="宋体" w:hAnsi="宋体" w:cs="仿宋"/>
          <w:sz w:val="28"/>
          <w:szCs w:val="28"/>
        </w:rPr>
      </w:pPr>
      <w:bookmarkStart w:id="212" w:name="_Toc16039"/>
      <w:r>
        <w:rPr>
          <w:rFonts w:hint="eastAsia" w:ascii="宋体" w:hAnsi="宋体" w:cs="仿宋"/>
          <w:sz w:val="28"/>
          <w:szCs w:val="28"/>
        </w:rPr>
        <w:t>我方全面研究了“</w:t>
      </w:r>
      <w:r>
        <w:rPr>
          <w:rFonts w:hint="eastAsia" w:ascii="宋体" w:hAnsi="宋体" w:cs="仿宋"/>
          <w:b/>
          <w:sz w:val="28"/>
          <w:szCs w:val="28"/>
          <w:u w:val="single"/>
        </w:rPr>
        <w:t xml:space="preserve">           </w:t>
      </w:r>
      <w:r>
        <w:rPr>
          <w:rFonts w:hint="eastAsia" w:ascii="宋体" w:hAnsi="宋体" w:cs="仿宋"/>
          <w:sz w:val="28"/>
          <w:szCs w:val="28"/>
        </w:rPr>
        <w:t>”项目（招标编号：</w:t>
      </w:r>
      <w:r>
        <w:rPr>
          <w:rFonts w:hint="eastAsia" w:ascii="宋体" w:hAnsi="宋体" w:cs="仿宋"/>
          <w:b/>
          <w:sz w:val="28"/>
          <w:szCs w:val="28"/>
          <w:u w:val="single"/>
        </w:rPr>
        <w:t xml:space="preserve">           </w:t>
      </w:r>
      <w:r>
        <w:rPr>
          <w:rFonts w:hint="eastAsia" w:ascii="宋体" w:hAnsi="宋体" w:cs="仿宋"/>
          <w:sz w:val="28"/>
          <w:szCs w:val="28"/>
        </w:rPr>
        <w:t>）招标文件，决定参加贵单位组织的本项目投标。我方授权</w:t>
      </w:r>
      <w:r>
        <w:rPr>
          <w:rFonts w:hint="eastAsia" w:ascii="宋体" w:hAnsi="宋体" w:cs="仿宋"/>
          <w:b/>
          <w:sz w:val="28"/>
          <w:szCs w:val="28"/>
          <w:u w:val="single"/>
        </w:rPr>
        <w:t xml:space="preserve">           </w:t>
      </w:r>
      <w:r>
        <w:rPr>
          <w:rFonts w:hint="eastAsia" w:ascii="宋体" w:hAnsi="宋体" w:cs="仿宋"/>
          <w:sz w:val="28"/>
          <w:szCs w:val="28"/>
        </w:rPr>
        <w:t>（姓名、职务）代表我方</w:t>
      </w:r>
      <w:r>
        <w:rPr>
          <w:rFonts w:hint="eastAsia" w:ascii="宋体" w:hAnsi="宋体" w:cs="仿宋"/>
          <w:b/>
          <w:sz w:val="28"/>
          <w:szCs w:val="28"/>
          <w:u w:val="single"/>
        </w:rPr>
        <w:t xml:space="preserve">           </w:t>
      </w:r>
      <w:r>
        <w:rPr>
          <w:rFonts w:hint="eastAsia" w:ascii="宋体" w:hAnsi="宋体" w:cs="仿宋"/>
          <w:sz w:val="28"/>
          <w:szCs w:val="28"/>
        </w:rPr>
        <w:t>（投标单位名称）全权处理本项目投标的有关事宜。</w:t>
      </w:r>
      <w:bookmarkEnd w:id="212"/>
    </w:p>
    <w:p>
      <w:pPr>
        <w:widowControl/>
        <w:spacing w:line="360" w:lineRule="auto"/>
        <w:ind w:firstLine="548" w:firstLineChars="196"/>
        <w:jc w:val="left"/>
        <w:outlineLvl w:val="1"/>
        <w:rPr>
          <w:rFonts w:ascii="宋体" w:hAnsi="宋体" w:cs="仿宋"/>
          <w:sz w:val="28"/>
          <w:szCs w:val="28"/>
        </w:rPr>
      </w:pPr>
      <w:bookmarkStart w:id="213" w:name="_Toc21796"/>
      <w:r>
        <w:rPr>
          <w:rFonts w:hint="eastAsia" w:ascii="宋体" w:hAnsi="宋体" w:cs="仿宋"/>
          <w:sz w:val="28"/>
          <w:szCs w:val="28"/>
        </w:rPr>
        <w:t>一、我方自愿按照招标文件规定的各项要求向采购人提供所需货物，总投标价见</w:t>
      </w:r>
      <w:bookmarkStart w:id="214" w:name="_Hlk534971575"/>
      <w:r>
        <w:rPr>
          <w:rFonts w:hint="eastAsia" w:ascii="宋体" w:hAnsi="宋体" w:cs="仿宋"/>
          <w:b/>
          <w:sz w:val="28"/>
          <w:szCs w:val="28"/>
        </w:rPr>
        <w:t>开标一览表</w:t>
      </w:r>
      <w:bookmarkEnd w:id="214"/>
      <w:r>
        <w:rPr>
          <w:rFonts w:hint="eastAsia" w:ascii="宋体" w:hAnsi="宋体" w:cs="仿宋"/>
          <w:sz w:val="28"/>
          <w:szCs w:val="28"/>
        </w:rPr>
        <w:t>。</w:t>
      </w:r>
      <w:bookmarkEnd w:id="213"/>
    </w:p>
    <w:p>
      <w:pPr>
        <w:widowControl/>
        <w:spacing w:line="360" w:lineRule="auto"/>
        <w:ind w:firstLine="548" w:firstLineChars="196"/>
        <w:jc w:val="left"/>
        <w:outlineLvl w:val="1"/>
        <w:rPr>
          <w:rFonts w:ascii="宋体" w:hAnsi="宋体" w:cs="仿宋"/>
          <w:sz w:val="28"/>
          <w:szCs w:val="28"/>
        </w:rPr>
      </w:pPr>
      <w:bookmarkStart w:id="215" w:name="_Toc13468"/>
      <w:r>
        <w:rPr>
          <w:rFonts w:hint="eastAsia" w:ascii="宋体" w:hAnsi="宋体" w:cs="仿宋"/>
          <w:sz w:val="28"/>
          <w:szCs w:val="28"/>
        </w:rPr>
        <w:t>二、一旦我方中标，我方将严格履行政府采购合同规定的责任和义务。</w:t>
      </w:r>
      <w:bookmarkEnd w:id="215"/>
    </w:p>
    <w:p>
      <w:pPr>
        <w:widowControl/>
        <w:spacing w:line="360" w:lineRule="auto"/>
        <w:ind w:firstLine="548" w:firstLineChars="196"/>
        <w:jc w:val="left"/>
        <w:outlineLvl w:val="1"/>
        <w:rPr>
          <w:rFonts w:ascii="宋体" w:hAnsi="宋体" w:cs="仿宋"/>
          <w:sz w:val="28"/>
          <w:szCs w:val="28"/>
        </w:rPr>
      </w:pPr>
      <w:bookmarkStart w:id="216" w:name="_Toc13916"/>
      <w:r>
        <w:rPr>
          <w:rFonts w:hint="eastAsia" w:ascii="宋体" w:hAnsi="宋体" w:cs="仿宋"/>
          <w:sz w:val="28"/>
          <w:szCs w:val="28"/>
        </w:rPr>
        <w:t>三、我方同意本招标文件依据《四川省公共资源交易领域严重失信联合惩戒实施办法》（川发改信用规〔2019〕405 号）、《关于对政府采购领域严重违法失信主体开展联合惩戒的合作备忘录》（发改财金〔2018〕1614 号）等相关规定对我方可能存在的失信行为进行的惩戒。</w:t>
      </w:r>
      <w:bookmarkEnd w:id="216"/>
    </w:p>
    <w:p>
      <w:pPr>
        <w:widowControl/>
        <w:spacing w:line="360" w:lineRule="auto"/>
        <w:ind w:firstLine="548" w:firstLineChars="196"/>
        <w:jc w:val="left"/>
        <w:outlineLvl w:val="1"/>
        <w:rPr>
          <w:rFonts w:ascii="宋体" w:hAnsi="宋体" w:cs="仿宋"/>
          <w:sz w:val="28"/>
          <w:szCs w:val="28"/>
        </w:rPr>
      </w:pPr>
      <w:bookmarkStart w:id="217" w:name="_Toc30166"/>
      <w:r>
        <w:rPr>
          <w:rFonts w:hint="eastAsia" w:ascii="宋体" w:hAnsi="宋体" w:cs="仿宋"/>
          <w:sz w:val="28"/>
          <w:szCs w:val="28"/>
        </w:rPr>
        <w:t>四、我方同意本次招标的投标有效期为投标截止之日起</w:t>
      </w:r>
      <w:r>
        <w:rPr>
          <w:rFonts w:hint="eastAsia" w:ascii="宋体" w:hAnsi="宋体" w:cs="仿宋"/>
          <w:sz w:val="28"/>
          <w:szCs w:val="28"/>
          <w:u w:val="single"/>
        </w:rPr>
        <w:t xml:space="preserve">    </w:t>
      </w:r>
      <w:r>
        <w:rPr>
          <w:rFonts w:hint="eastAsia" w:ascii="宋体" w:hAnsi="宋体" w:cs="仿宋"/>
          <w:sz w:val="28"/>
          <w:szCs w:val="28"/>
        </w:rPr>
        <w:t>天。</w:t>
      </w:r>
      <w:bookmarkEnd w:id="217"/>
    </w:p>
    <w:p>
      <w:pPr>
        <w:widowControl/>
        <w:spacing w:line="360" w:lineRule="auto"/>
        <w:ind w:firstLine="548" w:firstLineChars="196"/>
        <w:jc w:val="left"/>
        <w:outlineLvl w:val="1"/>
        <w:rPr>
          <w:rFonts w:ascii="宋体" w:hAnsi="宋体" w:cs="仿宋"/>
          <w:sz w:val="28"/>
          <w:szCs w:val="28"/>
        </w:rPr>
      </w:pPr>
      <w:bookmarkStart w:id="218" w:name="_Toc14764"/>
      <w:r>
        <w:rPr>
          <w:rFonts w:hint="eastAsia" w:ascii="宋体" w:hAnsi="宋体" w:cs="仿宋"/>
          <w:sz w:val="28"/>
          <w:szCs w:val="28"/>
        </w:rPr>
        <w:t>五、我方愿意提供贵单位可能另外要求的，与投标有关的文件资料，并保证我方已提供和将要提供的文件资料是真实、准确的。</w:t>
      </w:r>
      <w:bookmarkEnd w:id="218"/>
    </w:p>
    <w:p>
      <w:pPr>
        <w:widowControl/>
        <w:spacing w:line="360" w:lineRule="auto"/>
        <w:ind w:firstLine="548" w:firstLineChars="196"/>
        <w:jc w:val="left"/>
        <w:outlineLvl w:val="1"/>
        <w:rPr>
          <w:rFonts w:ascii="宋体" w:hAnsi="宋体" w:cs="仿宋"/>
          <w:sz w:val="28"/>
          <w:szCs w:val="28"/>
        </w:rPr>
      </w:pPr>
    </w:p>
    <w:p>
      <w:pPr>
        <w:widowControl/>
        <w:spacing w:line="360" w:lineRule="auto"/>
        <w:ind w:firstLine="548" w:firstLineChars="196"/>
        <w:jc w:val="left"/>
        <w:outlineLvl w:val="1"/>
        <w:rPr>
          <w:rFonts w:ascii="宋体" w:hAnsi="宋体" w:cs="仿宋"/>
          <w:sz w:val="28"/>
          <w:szCs w:val="28"/>
        </w:rPr>
      </w:pPr>
      <w:bookmarkStart w:id="219" w:name="_Toc13838"/>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219"/>
    </w:p>
    <w:p>
      <w:pPr>
        <w:widowControl/>
        <w:spacing w:line="360" w:lineRule="auto"/>
        <w:ind w:firstLine="548" w:firstLineChars="196"/>
        <w:jc w:val="left"/>
        <w:outlineLvl w:val="1"/>
        <w:rPr>
          <w:rFonts w:ascii="宋体" w:hAnsi="宋体" w:cs="仿宋"/>
          <w:sz w:val="28"/>
          <w:szCs w:val="28"/>
        </w:rPr>
      </w:pPr>
      <w:bookmarkStart w:id="220" w:name="_Toc15657"/>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220"/>
    </w:p>
    <w:p>
      <w:pPr>
        <w:widowControl/>
        <w:spacing w:line="360" w:lineRule="auto"/>
        <w:ind w:firstLine="548" w:firstLineChars="196"/>
        <w:jc w:val="left"/>
        <w:outlineLvl w:val="1"/>
        <w:rPr>
          <w:rFonts w:ascii="宋体" w:hAnsi="宋体" w:cs="仿宋"/>
          <w:sz w:val="28"/>
          <w:szCs w:val="28"/>
        </w:rPr>
      </w:pPr>
      <w:bookmarkStart w:id="221" w:name="_Toc30526"/>
      <w:r>
        <w:rPr>
          <w:rFonts w:hint="eastAsia" w:ascii="宋体" w:hAnsi="宋体" w:cs="仿宋"/>
          <w:sz w:val="28"/>
          <w:szCs w:val="28"/>
        </w:rPr>
        <w:t>通讯地址：</w:t>
      </w:r>
      <w:r>
        <w:rPr>
          <w:rFonts w:hint="eastAsia" w:ascii="宋体" w:hAnsi="宋体" w:cs="仿宋"/>
          <w:b/>
          <w:sz w:val="28"/>
          <w:szCs w:val="28"/>
          <w:u w:val="single"/>
        </w:rPr>
        <w:t xml:space="preserve">           </w:t>
      </w:r>
      <w:r>
        <w:rPr>
          <w:rFonts w:hint="eastAsia" w:ascii="宋体" w:hAnsi="宋体" w:cs="仿宋"/>
          <w:sz w:val="28"/>
          <w:szCs w:val="28"/>
        </w:rPr>
        <w:t>。</w:t>
      </w:r>
      <w:bookmarkEnd w:id="221"/>
    </w:p>
    <w:p>
      <w:pPr>
        <w:widowControl/>
        <w:spacing w:line="360" w:lineRule="auto"/>
        <w:ind w:firstLine="548" w:firstLineChars="196"/>
        <w:jc w:val="left"/>
        <w:outlineLvl w:val="1"/>
        <w:rPr>
          <w:rFonts w:ascii="宋体" w:hAnsi="宋体" w:cs="仿宋"/>
          <w:sz w:val="28"/>
          <w:szCs w:val="28"/>
        </w:rPr>
      </w:pPr>
      <w:bookmarkStart w:id="222" w:name="_Toc20029"/>
      <w:r>
        <w:rPr>
          <w:rFonts w:hint="eastAsia" w:ascii="宋体" w:hAnsi="宋体" w:cs="仿宋"/>
          <w:sz w:val="28"/>
          <w:szCs w:val="28"/>
        </w:rPr>
        <w:t>邮政编码：</w:t>
      </w:r>
      <w:r>
        <w:rPr>
          <w:rFonts w:hint="eastAsia" w:ascii="宋体" w:hAnsi="宋体" w:cs="仿宋"/>
          <w:b/>
          <w:sz w:val="28"/>
          <w:szCs w:val="28"/>
          <w:u w:val="single"/>
        </w:rPr>
        <w:t xml:space="preserve">           </w:t>
      </w:r>
      <w:r>
        <w:rPr>
          <w:rFonts w:hint="eastAsia" w:ascii="宋体" w:hAnsi="宋体" w:cs="仿宋"/>
          <w:sz w:val="28"/>
          <w:szCs w:val="28"/>
        </w:rPr>
        <w:t>。</w:t>
      </w:r>
      <w:bookmarkEnd w:id="222"/>
    </w:p>
    <w:p>
      <w:pPr>
        <w:widowControl/>
        <w:spacing w:line="360" w:lineRule="auto"/>
        <w:ind w:firstLine="548" w:firstLineChars="196"/>
        <w:jc w:val="left"/>
        <w:outlineLvl w:val="1"/>
        <w:rPr>
          <w:rFonts w:ascii="宋体" w:hAnsi="宋体" w:cs="仿宋"/>
          <w:sz w:val="28"/>
          <w:szCs w:val="28"/>
        </w:rPr>
      </w:pPr>
      <w:bookmarkStart w:id="223" w:name="_Toc7992"/>
      <w:r>
        <w:rPr>
          <w:rFonts w:hint="eastAsia" w:ascii="宋体" w:hAnsi="宋体" w:cs="仿宋"/>
          <w:sz w:val="28"/>
          <w:szCs w:val="28"/>
        </w:rPr>
        <w:t>联系电话：</w:t>
      </w:r>
      <w:r>
        <w:rPr>
          <w:rFonts w:hint="eastAsia" w:ascii="宋体" w:hAnsi="宋体" w:cs="仿宋"/>
          <w:b/>
          <w:sz w:val="28"/>
          <w:szCs w:val="28"/>
          <w:u w:val="single"/>
        </w:rPr>
        <w:t xml:space="preserve">           </w:t>
      </w:r>
      <w:r>
        <w:rPr>
          <w:rFonts w:hint="eastAsia" w:ascii="宋体" w:hAnsi="宋体" w:cs="仿宋"/>
          <w:sz w:val="28"/>
          <w:szCs w:val="28"/>
        </w:rPr>
        <w:t>。</w:t>
      </w:r>
      <w:bookmarkEnd w:id="223"/>
    </w:p>
    <w:p>
      <w:pPr>
        <w:widowControl/>
        <w:spacing w:line="360" w:lineRule="auto"/>
        <w:ind w:firstLine="548" w:firstLineChars="196"/>
        <w:jc w:val="left"/>
        <w:outlineLvl w:val="1"/>
        <w:rPr>
          <w:rFonts w:ascii="宋体" w:hAnsi="宋体" w:cs="仿宋"/>
          <w:sz w:val="28"/>
          <w:szCs w:val="28"/>
        </w:rPr>
      </w:pPr>
      <w:bookmarkStart w:id="224" w:name="_Toc14674"/>
      <w:r>
        <w:rPr>
          <w:rFonts w:hint="eastAsia" w:ascii="宋体" w:hAnsi="宋体" w:cs="仿宋"/>
          <w:sz w:val="28"/>
          <w:szCs w:val="28"/>
        </w:rPr>
        <w:t>传    真：</w:t>
      </w:r>
      <w:r>
        <w:rPr>
          <w:rFonts w:hint="eastAsia" w:ascii="宋体" w:hAnsi="宋体" w:cs="仿宋"/>
          <w:b/>
          <w:sz w:val="28"/>
          <w:szCs w:val="28"/>
          <w:u w:val="single"/>
        </w:rPr>
        <w:t xml:space="preserve">           </w:t>
      </w:r>
      <w:r>
        <w:rPr>
          <w:rFonts w:hint="eastAsia" w:ascii="宋体" w:hAnsi="宋体" w:cs="仿宋"/>
          <w:sz w:val="28"/>
          <w:szCs w:val="28"/>
        </w:rPr>
        <w:t>。</w:t>
      </w:r>
      <w:bookmarkEnd w:id="224"/>
    </w:p>
    <w:p>
      <w:pPr>
        <w:widowControl/>
        <w:spacing w:line="360" w:lineRule="auto"/>
        <w:ind w:firstLine="548" w:firstLineChars="196"/>
        <w:jc w:val="left"/>
        <w:outlineLvl w:val="1"/>
        <w:rPr>
          <w:rFonts w:ascii="宋体" w:hAnsi="宋体" w:cs="仿宋"/>
          <w:sz w:val="28"/>
          <w:szCs w:val="28"/>
        </w:rPr>
      </w:pPr>
      <w:bookmarkStart w:id="225" w:name="_Hlk534971565"/>
      <w:bookmarkStart w:id="226" w:name="_Toc22289"/>
      <w:r>
        <w:rPr>
          <w:rFonts w:hint="eastAsia" w:ascii="宋体" w:hAnsi="宋体" w:cs="仿宋"/>
          <w:sz w:val="28"/>
          <w:szCs w:val="28"/>
        </w:rPr>
        <w:t>投标日期</w:t>
      </w:r>
      <w:bookmarkEnd w:id="225"/>
      <w:r>
        <w:rPr>
          <w:rFonts w:hint="eastAsia" w:ascii="宋体" w:hAnsi="宋体" w:cs="仿宋"/>
          <w:sz w:val="28"/>
          <w:szCs w:val="28"/>
        </w:rPr>
        <w:t>：</w:t>
      </w:r>
      <w:r>
        <w:rPr>
          <w:rFonts w:hint="eastAsia" w:ascii="宋体" w:hAnsi="宋体" w:cs="仿宋"/>
          <w:b/>
          <w:sz w:val="28"/>
          <w:szCs w:val="28"/>
          <w:u w:val="single"/>
        </w:rPr>
        <w:t xml:space="preserve">           </w:t>
      </w:r>
      <w:r>
        <w:rPr>
          <w:rFonts w:hint="eastAsia" w:ascii="宋体" w:hAnsi="宋体" w:cs="仿宋"/>
          <w:sz w:val="28"/>
          <w:szCs w:val="28"/>
        </w:rPr>
        <w:t>。</w:t>
      </w:r>
      <w:bookmarkEnd w:id="226"/>
    </w:p>
    <w:p>
      <w:pPr>
        <w:spacing w:line="360" w:lineRule="auto"/>
        <w:rPr>
          <w:rFonts w:ascii="宋体" w:hAnsi="宋体" w:cs="仿宋"/>
          <w:b/>
          <w:sz w:val="32"/>
          <w:szCs w:val="32"/>
        </w:rPr>
      </w:pPr>
      <w:bookmarkStart w:id="227" w:name="_Toc308164824"/>
      <w:r>
        <w:rPr>
          <w:rFonts w:hint="eastAsia" w:ascii="宋体" w:hAnsi="宋体" w:cs="仿宋"/>
          <w:b/>
          <w:sz w:val="32"/>
          <w:szCs w:val="32"/>
        </w:rPr>
        <w:br w:type="page"/>
      </w:r>
      <w:r>
        <w:rPr>
          <w:rFonts w:hint="eastAsia" w:ascii="宋体" w:hAnsi="宋体" w:cs="仿宋"/>
          <w:b/>
          <w:sz w:val="32"/>
          <w:szCs w:val="32"/>
        </w:rPr>
        <w:t>格式2-3</w:t>
      </w:r>
    </w:p>
    <w:p>
      <w:pPr>
        <w:widowControl/>
        <w:spacing w:line="360" w:lineRule="atLeast"/>
        <w:jc w:val="center"/>
        <w:outlineLvl w:val="1"/>
        <w:rPr>
          <w:rFonts w:ascii="宋体" w:hAnsi="宋体" w:cs="仿宋"/>
          <w:b/>
          <w:sz w:val="32"/>
          <w:szCs w:val="32"/>
        </w:rPr>
      </w:pPr>
      <w:bookmarkStart w:id="228" w:name="_Toc16408"/>
      <w:r>
        <w:rPr>
          <w:rFonts w:hint="eastAsia" w:ascii="宋体" w:hAnsi="宋体" w:cs="仿宋"/>
          <w:b/>
          <w:sz w:val="32"/>
          <w:szCs w:val="32"/>
        </w:rPr>
        <w:t>二、承诺函（实质性要求）</w:t>
      </w:r>
      <w:bookmarkEnd w:id="228"/>
    </w:p>
    <w:p>
      <w:pPr>
        <w:widowControl/>
        <w:spacing w:line="360" w:lineRule="atLeast"/>
        <w:jc w:val="center"/>
        <w:outlineLvl w:val="1"/>
        <w:rPr>
          <w:rFonts w:ascii="宋体" w:hAnsi="宋体" w:cs="仿宋"/>
          <w:b/>
          <w:sz w:val="24"/>
        </w:rPr>
      </w:pPr>
    </w:p>
    <w:p>
      <w:pPr>
        <w:widowControl/>
        <w:spacing w:line="360" w:lineRule="auto"/>
        <w:jc w:val="left"/>
        <w:outlineLvl w:val="1"/>
        <w:rPr>
          <w:rFonts w:ascii="宋体" w:hAnsi="宋体" w:cs="仿宋"/>
          <w:sz w:val="28"/>
          <w:szCs w:val="28"/>
        </w:rPr>
      </w:pPr>
      <w:r>
        <w:rPr>
          <w:rFonts w:hint="eastAsia" w:ascii="宋体" w:hAnsi="宋体" w:cs="仿宋"/>
          <w:b/>
          <w:sz w:val="28"/>
          <w:szCs w:val="28"/>
          <w:u w:val="single"/>
        </w:rPr>
        <w:t xml:space="preserve">           </w:t>
      </w:r>
      <w:bookmarkStart w:id="229" w:name="_Toc27370"/>
      <w:r>
        <w:rPr>
          <w:rFonts w:hint="eastAsia" w:ascii="宋体" w:hAnsi="宋体" w:cs="仿宋"/>
          <w:sz w:val="28"/>
          <w:szCs w:val="28"/>
        </w:rPr>
        <w:t>（采购代理机构名称）：</w:t>
      </w:r>
      <w:bookmarkEnd w:id="229"/>
    </w:p>
    <w:p>
      <w:pPr>
        <w:widowControl/>
        <w:spacing w:line="360" w:lineRule="auto"/>
        <w:ind w:firstLine="560" w:firstLineChars="200"/>
        <w:jc w:val="left"/>
        <w:outlineLvl w:val="1"/>
        <w:rPr>
          <w:rFonts w:ascii="宋体" w:hAnsi="宋体" w:cs="仿宋"/>
          <w:sz w:val="28"/>
          <w:szCs w:val="28"/>
        </w:rPr>
      </w:pPr>
      <w:bookmarkStart w:id="230" w:name="_Toc29362"/>
      <w:r>
        <w:rPr>
          <w:rFonts w:hint="eastAsia" w:ascii="宋体" w:hAnsi="宋体" w:cs="仿宋"/>
          <w:sz w:val="28"/>
          <w:szCs w:val="28"/>
        </w:rPr>
        <w:t>我单位作为本次采购项目的投标人，根据招标文件要求，现郑重承诺如下：</w:t>
      </w:r>
      <w:bookmarkEnd w:id="230"/>
    </w:p>
    <w:p>
      <w:pPr>
        <w:widowControl/>
        <w:spacing w:line="360" w:lineRule="auto"/>
        <w:ind w:firstLine="560" w:firstLineChars="200"/>
        <w:jc w:val="left"/>
        <w:outlineLvl w:val="1"/>
        <w:rPr>
          <w:rFonts w:ascii="宋体" w:hAnsi="宋体" w:cs="仿宋"/>
          <w:sz w:val="28"/>
          <w:szCs w:val="28"/>
        </w:rPr>
      </w:pPr>
      <w:bookmarkStart w:id="231" w:name="_Toc21712"/>
      <w:bookmarkStart w:id="232" w:name="_Hlk534971616"/>
      <w:r>
        <w:rPr>
          <w:rFonts w:hint="eastAsia" w:ascii="宋体" w:hAnsi="宋体" w:cs="仿宋"/>
          <w:sz w:val="28"/>
          <w:szCs w:val="28"/>
        </w:rPr>
        <w:t>一、我方已认真阅读并接受本项目招标文件第二章的全部实质性要求，如对招标文件有异议，已依法进行维权救济，不存在对招标文件有异议的同时又参加投标以求侥幸中标或者为实现其他非法目的的行为。</w:t>
      </w:r>
      <w:bookmarkEnd w:id="231"/>
    </w:p>
    <w:p>
      <w:pPr>
        <w:widowControl/>
        <w:spacing w:line="360" w:lineRule="auto"/>
        <w:ind w:firstLine="560" w:firstLineChars="200"/>
        <w:jc w:val="left"/>
        <w:outlineLvl w:val="1"/>
        <w:rPr>
          <w:rFonts w:ascii="宋体" w:hAnsi="宋体" w:cs="仿宋"/>
          <w:sz w:val="28"/>
          <w:szCs w:val="28"/>
        </w:rPr>
      </w:pPr>
      <w:bookmarkStart w:id="233" w:name="_Toc19339"/>
      <w:r>
        <w:rPr>
          <w:rFonts w:hint="eastAsia" w:ascii="宋体" w:hAnsi="宋体" w:cs="仿宋"/>
          <w:sz w:val="28"/>
          <w:szCs w:val="28"/>
        </w:rPr>
        <w:t>二、参加本次招标采购活动，不存在与单位负责人为同一人或者存在直接控股、管理关系的其他投标人参与同一合同项下的政府采购活动的行为。</w:t>
      </w:r>
      <w:bookmarkEnd w:id="233"/>
    </w:p>
    <w:p>
      <w:pPr>
        <w:widowControl/>
        <w:spacing w:line="360" w:lineRule="auto"/>
        <w:ind w:firstLine="560" w:firstLineChars="200"/>
        <w:jc w:val="left"/>
        <w:outlineLvl w:val="1"/>
        <w:rPr>
          <w:rFonts w:ascii="宋体" w:hAnsi="宋体" w:cs="仿宋"/>
          <w:sz w:val="28"/>
          <w:szCs w:val="28"/>
        </w:rPr>
      </w:pPr>
      <w:bookmarkStart w:id="234" w:name="_Toc13258"/>
      <w:r>
        <w:rPr>
          <w:rFonts w:hint="eastAsia" w:ascii="宋体" w:hAnsi="宋体" w:cs="仿宋"/>
          <w:sz w:val="28"/>
          <w:szCs w:val="28"/>
        </w:rPr>
        <w:t>三、为采购项目提供整体设计、规范编制或者项目管理、监理、检测等服务的投标人，不得再参加该采购项目的其他采购活动，我方承诺不属于此类禁止参加本项目的投标人。</w:t>
      </w:r>
      <w:bookmarkEnd w:id="234"/>
    </w:p>
    <w:p>
      <w:pPr>
        <w:widowControl/>
        <w:spacing w:line="360" w:lineRule="auto"/>
        <w:ind w:firstLine="560" w:firstLineChars="200"/>
        <w:jc w:val="left"/>
        <w:outlineLvl w:val="1"/>
        <w:rPr>
          <w:rFonts w:ascii="宋体" w:hAnsi="宋体" w:cs="仿宋"/>
          <w:sz w:val="28"/>
          <w:szCs w:val="28"/>
        </w:rPr>
      </w:pPr>
      <w:bookmarkStart w:id="235" w:name="_Toc14430"/>
      <w:r>
        <w:rPr>
          <w:rFonts w:hint="eastAsia" w:ascii="宋体" w:hAnsi="宋体" w:cs="仿宋"/>
          <w:sz w:val="28"/>
          <w:szCs w:val="28"/>
        </w:rPr>
        <w:t>四、参加本次招标采购活动，不存在和其他投标人在同一合同项下的采购项目中，同时委托同一个自然人、同一家庭的人员、同一单位的人员作为代理人的行为。</w:t>
      </w:r>
      <w:bookmarkEnd w:id="235"/>
    </w:p>
    <w:p>
      <w:pPr>
        <w:widowControl/>
        <w:spacing w:line="360" w:lineRule="auto"/>
        <w:ind w:firstLine="560" w:firstLineChars="200"/>
        <w:jc w:val="left"/>
        <w:outlineLvl w:val="1"/>
        <w:rPr>
          <w:rFonts w:ascii="宋体" w:hAnsi="宋体" w:cs="仿宋"/>
          <w:sz w:val="28"/>
          <w:szCs w:val="28"/>
        </w:rPr>
      </w:pPr>
      <w:bookmarkStart w:id="236" w:name="_Toc29879"/>
      <w:r>
        <w:rPr>
          <w:rFonts w:hint="eastAsia" w:ascii="宋体" w:hAnsi="宋体" w:cs="仿宋"/>
          <w:sz w:val="28"/>
          <w:szCs w:val="28"/>
        </w:rPr>
        <w:t>五、如果有《四川省公共资源交易领域严重失信联合惩戒实施办法》（川发改信用规〔2019〕405 号）、《关于对政府采购领域严重违法失信主体开展联合惩戒的合作备忘录》（发改财金〔2018〕1614 号）等相关规定的失信行为，将在投标文件中全面如实反映。</w:t>
      </w:r>
      <w:bookmarkEnd w:id="236"/>
    </w:p>
    <w:p>
      <w:pPr>
        <w:widowControl/>
        <w:spacing w:line="360" w:lineRule="auto"/>
        <w:ind w:firstLine="560" w:firstLineChars="200"/>
        <w:jc w:val="left"/>
        <w:outlineLvl w:val="1"/>
        <w:rPr>
          <w:rFonts w:ascii="宋体" w:hAnsi="宋体" w:cs="仿宋"/>
          <w:sz w:val="28"/>
          <w:szCs w:val="28"/>
        </w:rPr>
      </w:pPr>
      <w:bookmarkStart w:id="237" w:name="_Toc6657"/>
      <w:r>
        <w:rPr>
          <w:rFonts w:hint="eastAsia" w:ascii="宋体" w:hAnsi="宋体" w:cs="仿宋"/>
          <w:sz w:val="28"/>
          <w:szCs w:val="28"/>
        </w:rPr>
        <w:t>六、投标文件中提供的能够给予我方带来优惠、好处的任何材料资料和技术、服务、商务、响应产品等响应承诺情况都是真实的、有效的、合法的。</w:t>
      </w:r>
      <w:bookmarkEnd w:id="237"/>
    </w:p>
    <w:p>
      <w:pPr>
        <w:widowControl/>
        <w:spacing w:line="360" w:lineRule="auto"/>
        <w:ind w:firstLine="560" w:firstLineChars="200"/>
        <w:jc w:val="left"/>
        <w:outlineLvl w:val="1"/>
        <w:rPr>
          <w:rFonts w:ascii="宋体" w:hAnsi="宋体" w:cs="仿宋"/>
          <w:sz w:val="28"/>
          <w:szCs w:val="28"/>
        </w:rPr>
      </w:pPr>
      <w:bookmarkStart w:id="238" w:name="_Toc31502"/>
      <w:r>
        <w:rPr>
          <w:rFonts w:hint="eastAsia" w:ascii="宋体" w:hAnsi="宋体" w:cs="仿宋"/>
          <w:sz w:val="28"/>
          <w:szCs w:val="28"/>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bookmarkEnd w:id="238"/>
    </w:p>
    <w:p>
      <w:pPr>
        <w:widowControl/>
        <w:spacing w:line="360" w:lineRule="auto"/>
        <w:ind w:firstLine="560" w:firstLineChars="200"/>
        <w:jc w:val="left"/>
        <w:outlineLvl w:val="1"/>
        <w:rPr>
          <w:rFonts w:ascii="宋体" w:hAnsi="宋体" w:cs="仿宋"/>
          <w:sz w:val="28"/>
          <w:szCs w:val="28"/>
        </w:rPr>
      </w:pPr>
      <w:bookmarkStart w:id="239" w:name="_Toc1368"/>
      <w:r>
        <w:rPr>
          <w:rFonts w:hint="eastAsia" w:ascii="宋体" w:hAnsi="宋体" w:cs="仿宋"/>
          <w:sz w:val="28"/>
          <w:szCs w:val="28"/>
        </w:rPr>
        <w:t>八、国家或行业主管部门对采购产品的技术标准、质量标准和资格资质条件等有强制性规定的，我方承诺符合其要求。</w:t>
      </w:r>
      <w:bookmarkEnd w:id="239"/>
    </w:p>
    <w:p>
      <w:pPr>
        <w:widowControl/>
        <w:spacing w:line="360" w:lineRule="auto"/>
        <w:ind w:firstLine="560" w:firstLineChars="200"/>
        <w:jc w:val="left"/>
        <w:outlineLvl w:val="1"/>
        <w:rPr>
          <w:rFonts w:ascii="宋体" w:hAnsi="宋体" w:cs="仿宋"/>
          <w:sz w:val="28"/>
          <w:szCs w:val="28"/>
        </w:rPr>
      </w:pPr>
      <w:bookmarkStart w:id="240" w:name="_Toc15767"/>
      <w:r>
        <w:rPr>
          <w:rFonts w:hint="eastAsia" w:ascii="宋体" w:hAnsi="宋体" w:cs="仿宋"/>
          <w:sz w:val="28"/>
          <w:szCs w:val="28"/>
        </w:rPr>
        <w:t>九、参加本次招标采购活动，我方完全同意招标文件第二章关于“投标费用”、“合同分包”、“合同转包”、“履约保证金”的实质性要求，并承诺严格按照招标文件要求履行。</w:t>
      </w:r>
      <w:bookmarkEnd w:id="240"/>
    </w:p>
    <w:p>
      <w:pPr>
        <w:widowControl/>
        <w:spacing w:line="360" w:lineRule="auto"/>
        <w:ind w:firstLine="560" w:firstLineChars="200"/>
        <w:jc w:val="left"/>
        <w:outlineLvl w:val="1"/>
        <w:rPr>
          <w:rFonts w:ascii="宋体" w:hAnsi="宋体" w:cs="仿宋"/>
          <w:sz w:val="28"/>
          <w:szCs w:val="28"/>
        </w:rPr>
      </w:pPr>
      <w:bookmarkStart w:id="241" w:name="_Toc12596"/>
      <w:r>
        <w:rPr>
          <w:rFonts w:hint="eastAsia" w:ascii="宋体" w:hAnsi="宋体" w:cs="仿宋"/>
          <w:sz w:val="28"/>
          <w:szCs w:val="28"/>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bookmarkEnd w:id="241"/>
    </w:p>
    <w:bookmarkEnd w:id="232"/>
    <w:p>
      <w:pPr>
        <w:widowControl/>
        <w:spacing w:line="360" w:lineRule="auto"/>
        <w:ind w:firstLine="560" w:firstLineChars="200"/>
        <w:jc w:val="left"/>
        <w:outlineLvl w:val="1"/>
        <w:rPr>
          <w:rFonts w:ascii="宋体" w:hAnsi="宋体" w:cs="仿宋"/>
          <w:sz w:val="28"/>
          <w:szCs w:val="28"/>
        </w:rPr>
      </w:pPr>
      <w:bookmarkStart w:id="242" w:name="_Toc23615"/>
      <w:r>
        <w:rPr>
          <w:rFonts w:hint="eastAsia" w:ascii="宋体" w:hAnsi="宋体" w:cs="仿宋"/>
          <w:sz w:val="28"/>
          <w:szCs w:val="28"/>
        </w:rPr>
        <w:t>本单位对上述承诺的内容事项真实性负责。如经查实上述承诺的内容事项存在虚假，我单位愿意接受以提供虚假材料谋取中标追究法律责任。</w:t>
      </w:r>
      <w:bookmarkEnd w:id="242"/>
    </w:p>
    <w:p>
      <w:pPr>
        <w:pStyle w:val="6"/>
        <w:numPr>
          <w:ilvl w:val="2"/>
          <w:numId w:val="0"/>
        </w:numPr>
        <w:spacing w:line="400" w:lineRule="exact"/>
        <w:ind w:left="420" w:leftChars="200"/>
        <w:rPr>
          <w:rFonts w:cs="仿宋"/>
          <w:color w:val="auto"/>
        </w:rPr>
      </w:pPr>
      <w:r>
        <w:rPr>
          <w:rFonts w:hint="eastAsia" w:cs="仿宋"/>
          <w:color w:val="auto"/>
        </w:rPr>
        <w:t>十一、 完全相应招标文件充分、公平竞争保障措施</w:t>
      </w:r>
    </w:p>
    <w:p>
      <w:pPr>
        <w:pStyle w:val="114"/>
        <w:spacing w:line="460" w:lineRule="exact"/>
        <w:ind w:left="1" w:firstLine="562" w:firstLineChars="200"/>
        <w:rPr>
          <w:rFonts w:hAnsi="宋体" w:cs="仿宋"/>
          <w:sz w:val="28"/>
          <w:szCs w:val="28"/>
        </w:rPr>
      </w:pPr>
      <w:r>
        <w:rPr>
          <w:rFonts w:hint="eastAsia" w:hAnsi="宋体" w:cs="仿宋"/>
          <w:b/>
          <w:sz w:val="28"/>
          <w:szCs w:val="28"/>
        </w:rPr>
        <w:t>11.1利害关系投标人处理。</w:t>
      </w:r>
      <w:r>
        <w:rPr>
          <w:rFonts w:hint="eastAsia" w:hAnsi="宋体" w:cs="仿宋"/>
          <w:sz w:val="28"/>
          <w:szCs w:val="28"/>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pStyle w:val="114"/>
        <w:spacing w:line="400" w:lineRule="exact"/>
        <w:ind w:left="1" w:firstLine="562" w:firstLineChars="200"/>
        <w:rPr>
          <w:rFonts w:hAnsi="宋体" w:cs="仿宋"/>
          <w:sz w:val="28"/>
          <w:szCs w:val="28"/>
        </w:rPr>
      </w:pPr>
      <w:r>
        <w:rPr>
          <w:rFonts w:hint="eastAsia" w:hAnsi="宋体" w:cs="仿宋"/>
          <w:b/>
          <w:sz w:val="28"/>
          <w:szCs w:val="28"/>
        </w:rPr>
        <w:t>11.2 前期参与投标人处理。</w:t>
      </w:r>
      <w:r>
        <w:rPr>
          <w:rFonts w:hint="eastAsia" w:hAnsi="宋体" w:cs="仿宋"/>
          <w:sz w:val="28"/>
          <w:szCs w:val="28"/>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pStyle w:val="114"/>
        <w:spacing w:line="400" w:lineRule="exact"/>
        <w:ind w:left="1" w:firstLine="562" w:firstLineChars="200"/>
        <w:rPr>
          <w:rFonts w:hAnsi="宋体" w:cs="仿宋"/>
          <w:sz w:val="28"/>
          <w:szCs w:val="28"/>
        </w:rPr>
      </w:pPr>
      <w:r>
        <w:rPr>
          <w:rFonts w:hint="eastAsia" w:hAnsi="宋体" w:cs="仿宋"/>
          <w:b/>
          <w:sz w:val="28"/>
          <w:szCs w:val="28"/>
        </w:rPr>
        <w:t>11.3 利害关系代理人处理。</w:t>
      </w:r>
      <w:r>
        <w:rPr>
          <w:rFonts w:hint="eastAsia" w:hAnsi="宋体" w:cs="仿宋"/>
          <w:sz w:val="28"/>
          <w:szCs w:val="28"/>
        </w:rPr>
        <w:t>2家以上的投标人不得在同一合同项下的采购项目中，同时委托同一个自然人、同一家庭的人员、同一单位的人员作为其代理人，否则，其投标文件作为无效处理。</w:t>
      </w:r>
    </w:p>
    <w:p>
      <w:pPr>
        <w:pStyle w:val="6"/>
        <w:numPr>
          <w:ilvl w:val="2"/>
          <w:numId w:val="0"/>
        </w:numPr>
        <w:spacing w:line="400" w:lineRule="exact"/>
        <w:ind w:left="420" w:leftChars="200"/>
        <w:rPr>
          <w:rFonts w:cs="仿宋"/>
          <w:b w:val="0"/>
          <w:bCs w:val="0"/>
          <w:color w:val="auto"/>
        </w:rPr>
      </w:pPr>
      <w:r>
        <w:rPr>
          <w:rFonts w:hint="eastAsia" w:cs="仿宋"/>
          <w:color w:val="auto"/>
        </w:rPr>
        <w:t>十二、完全相应招标文件关于联合体投标的要求：</w:t>
      </w:r>
      <w:r>
        <w:rPr>
          <w:rFonts w:hint="eastAsia" w:cs="仿宋"/>
          <w:b w:val="0"/>
          <w:bCs w:val="0"/>
          <w:color w:val="auto"/>
        </w:rPr>
        <w:t>本次政府采购活动</w:t>
      </w:r>
    </w:p>
    <w:p>
      <w:pPr>
        <w:pStyle w:val="6"/>
        <w:numPr>
          <w:ilvl w:val="2"/>
          <w:numId w:val="0"/>
        </w:numPr>
        <w:spacing w:line="400" w:lineRule="exact"/>
      </w:pPr>
      <w:r>
        <w:rPr>
          <w:rFonts w:hint="eastAsia" w:cs="仿宋"/>
          <w:b w:val="0"/>
          <w:bCs w:val="0"/>
          <w:color w:val="auto"/>
        </w:rPr>
        <w:t>不接受联合体投标。</w:t>
      </w:r>
      <w:r>
        <w:rPr>
          <w:rFonts w:hint="eastAsia"/>
        </w:rPr>
        <w:t xml:space="preserve">  </w:t>
      </w:r>
    </w:p>
    <w:p>
      <w:pPr>
        <w:pStyle w:val="6"/>
        <w:numPr>
          <w:ilvl w:val="2"/>
          <w:numId w:val="0"/>
        </w:numPr>
        <w:spacing w:line="400" w:lineRule="exact"/>
        <w:ind w:left="420" w:leftChars="200"/>
        <w:rPr>
          <w:rFonts w:cs="仿宋"/>
          <w:bCs w:val="0"/>
          <w:color w:val="auto"/>
        </w:rPr>
      </w:pPr>
      <w:r>
        <w:rPr>
          <w:rFonts w:hint="eastAsia" w:cs="仿宋"/>
          <w:bCs w:val="0"/>
          <w:color w:val="auto"/>
        </w:rPr>
        <w:t>十三、完全相应招标文件关于投标有效期的要求</w:t>
      </w:r>
    </w:p>
    <w:p>
      <w:pPr>
        <w:tabs>
          <w:tab w:val="left" w:pos="7665"/>
        </w:tabs>
        <w:spacing w:line="400" w:lineRule="exact"/>
        <w:ind w:left="13" w:leftChars="6" w:firstLine="560" w:firstLineChars="200"/>
        <w:rPr>
          <w:rFonts w:ascii="宋体" w:hAnsi="宋体" w:cs="仿宋"/>
          <w:sz w:val="28"/>
          <w:szCs w:val="28"/>
        </w:rPr>
      </w:pPr>
      <w:r>
        <w:rPr>
          <w:rFonts w:hint="eastAsia" w:ascii="宋体" w:hAnsi="宋体" w:cs="仿宋"/>
          <w:sz w:val="28"/>
          <w:szCs w:val="28"/>
        </w:rPr>
        <w:t>13.1</w:t>
      </w:r>
      <w:r>
        <w:rPr>
          <w:rFonts w:hint="eastAsia" w:ascii="宋体" w:hAnsi="宋体" w:cs="仿宋"/>
          <w:b/>
          <w:sz w:val="28"/>
          <w:szCs w:val="28"/>
        </w:rPr>
        <w:t>本项目投标有效期为投标截止之日起90天</w:t>
      </w:r>
      <w:r>
        <w:rPr>
          <w:rFonts w:hint="eastAsia" w:ascii="宋体" w:hAnsi="宋体" w:cs="仿宋"/>
          <w:sz w:val="28"/>
          <w:szCs w:val="28"/>
        </w:rPr>
        <w:t>（投标有效期从提交投标文件的截至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420" w:firstLineChars="150"/>
        <w:rPr>
          <w:rFonts w:ascii="宋体" w:hAnsi="宋体" w:cs="仿宋"/>
          <w:sz w:val="28"/>
          <w:szCs w:val="28"/>
        </w:rPr>
      </w:pPr>
      <w:r>
        <w:rPr>
          <w:rFonts w:hint="eastAsia" w:ascii="宋体" w:hAnsi="宋体" w:cs="仿宋"/>
          <w:sz w:val="28"/>
          <w:szCs w:val="28"/>
        </w:rPr>
        <w:t xml:space="preserve">13.2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420" w:firstLineChars="150"/>
        <w:rPr>
          <w:rFonts w:ascii="宋体" w:hAnsi="宋体" w:cs="仿宋"/>
          <w:sz w:val="28"/>
          <w:szCs w:val="28"/>
        </w:rPr>
      </w:pPr>
      <w:r>
        <w:rPr>
          <w:rFonts w:hint="eastAsia" w:ascii="宋体" w:hAnsi="宋体" w:cs="仿宋"/>
          <w:sz w:val="28"/>
          <w:szCs w:val="28"/>
        </w:rPr>
        <w:t>13.3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widowControl/>
        <w:spacing w:line="360" w:lineRule="auto"/>
        <w:ind w:firstLine="548" w:firstLineChars="196"/>
        <w:jc w:val="left"/>
        <w:outlineLvl w:val="1"/>
        <w:rPr>
          <w:rFonts w:ascii="宋体" w:hAnsi="宋体" w:cs="仿宋"/>
          <w:sz w:val="28"/>
          <w:szCs w:val="28"/>
        </w:rPr>
      </w:pPr>
    </w:p>
    <w:p>
      <w:pPr>
        <w:widowControl/>
        <w:spacing w:line="360" w:lineRule="auto"/>
        <w:ind w:firstLine="548" w:firstLineChars="196"/>
        <w:jc w:val="left"/>
        <w:outlineLvl w:val="1"/>
        <w:rPr>
          <w:rFonts w:ascii="宋体" w:hAnsi="宋体" w:cs="仿宋"/>
          <w:sz w:val="28"/>
          <w:szCs w:val="28"/>
        </w:rPr>
      </w:pPr>
      <w:bookmarkStart w:id="243" w:name="_Toc30889"/>
      <w:bookmarkStart w:id="244" w:name="_Hlk534971743"/>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243"/>
    </w:p>
    <w:p>
      <w:pPr>
        <w:widowControl/>
        <w:spacing w:line="360" w:lineRule="auto"/>
        <w:ind w:firstLine="548" w:firstLineChars="196"/>
        <w:jc w:val="left"/>
        <w:outlineLvl w:val="1"/>
        <w:rPr>
          <w:rFonts w:ascii="宋体" w:hAnsi="宋体" w:cs="仿宋"/>
          <w:sz w:val="28"/>
          <w:szCs w:val="28"/>
        </w:rPr>
      </w:pPr>
      <w:bookmarkStart w:id="245" w:name="_Toc32062"/>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245"/>
    </w:p>
    <w:p>
      <w:pPr>
        <w:widowControl/>
        <w:spacing w:line="360" w:lineRule="auto"/>
        <w:ind w:firstLine="548" w:firstLineChars="196"/>
        <w:jc w:val="left"/>
        <w:outlineLvl w:val="1"/>
        <w:rPr>
          <w:rFonts w:ascii="宋体" w:hAnsi="宋体" w:cs="仿宋"/>
          <w:sz w:val="28"/>
          <w:szCs w:val="28"/>
        </w:rPr>
      </w:pPr>
      <w:bookmarkStart w:id="246" w:name="_Toc2742"/>
      <w:r>
        <w:rPr>
          <w:rFonts w:hint="eastAsia" w:ascii="宋体" w:hAnsi="宋体" w:cs="仿宋"/>
          <w:sz w:val="28"/>
          <w:szCs w:val="28"/>
        </w:rPr>
        <w:t>投标日期：</w:t>
      </w:r>
      <w:r>
        <w:rPr>
          <w:rFonts w:hint="eastAsia" w:ascii="宋体" w:hAnsi="宋体" w:cs="仿宋"/>
          <w:b/>
          <w:sz w:val="28"/>
          <w:szCs w:val="28"/>
          <w:u w:val="single"/>
        </w:rPr>
        <w:t xml:space="preserve">           </w:t>
      </w:r>
      <w:r>
        <w:rPr>
          <w:rFonts w:hint="eastAsia" w:ascii="宋体" w:hAnsi="宋体" w:cs="仿宋"/>
          <w:sz w:val="28"/>
          <w:szCs w:val="28"/>
        </w:rPr>
        <w:t>。</w:t>
      </w:r>
      <w:bookmarkEnd w:id="246"/>
    </w:p>
    <w:bookmarkEnd w:id="244"/>
    <w:p>
      <w:pPr>
        <w:spacing w:line="360" w:lineRule="auto"/>
        <w:rPr>
          <w:rFonts w:ascii="宋体" w:hAnsi="宋体" w:cs="仿宋"/>
          <w:b/>
          <w:sz w:val="32"/>
          <w:szCs w:val="32"/>
        </w:rPr>
      </w:pPr>
      <w:r>
        <w:rPr>
          <w:rFonts w:hint="eastAsia" w:ascii="宋体" w:hAnsi="宋体" w:cs="仿宋"/>
          <w:b/>
          <w:sz w:val="32"/>
          <w:szCs w:val="32"/>
        </w:rPr>
        <w:br w:type="page"/>
      </w:r>
      <w:r>
        <w:rPr>
          <w:rFonts w:hint="eastAsia" w:ascii="宋体" w:hAnsi="宋体" w:cs="仿宋"/>
          <w:b/>
          <w:sz w:val="32"/>
          <w:szCs w:val="32"/>
        </w:rPr>
        <w:t>格式2-4</w:t>
      </w:r>
    </w:p>
    <w:bookmarkEnd w:id="227"/>
    <w:p>
      <w:pPr>
        <w:spacing w:line="400" w:lineRule="exact"/>
        <w:ind w:firstLine="643" w:firstLineChars="200"/>
        <w:jc w:val="center"/>
        <w:rPr>
          <w:rFonts w:ascii="宋体" w:hAnsi="宋体" w:cs="仿宋"/>
          <w:b/>
          <w:sz w:val="32"/>
          <w:szCs w:val="32"/>
        </w:rPr>
      </w:pPr>
      <w:bookmarkStart w:id="247" w:name="_Toc217446085"/>
      <w:r>
        <w:rPr>
          <w:rFonts w:hint="eastAsia" w:ascii="宋体" w:hAnsi="宋体" w:cs="仿宋"/>
          <w:b/>
          <w:sz w:val="32"/>
          <w:szCs w:val="32"/>
        </w:rPr>
        <w:t>三、开标一览表</w:t>
      </w:r>
      <w:bookmarkEnd w:id="247"/>
      <w:r>
        <w:rPr>
          <w:rFonts w:hint="eastAsia" w:ascii="宋体" w:hAnsi="宋体" w:cs="仿宋"/>
          <w:b/>
          <w:sz w:val="32"/>
          <w:szCs w:val="32"/>
        </w:rPr>
        <w:t>（实质性要求）</w:t>
      </w:r>
    </w:p>
    <w:p>
      <w:pPr>
        <w:spacing w:line="480" w:lineRule="exact"/>
        <w:ind w:firstLine="509" w:firstLineChars="182"/>
        <w:rPr>
          <w:rFonts w:ascii="宋体" w:hAnsi="宋体" w:cs="仿宋"/>
          <w:sz w:val="28"/>
          <w:szCs w:val="28"/>
        </w:rPr>
      </w:pPr>
      <w:bookmarkStart w:id="248" w:name="_Hlk534971645"/>
    </w:p>
    <w:p>
      <w:pPr>
        <w:spacing w:line="480" w:lineRule="exact"/>
        <w:ind w:firstLine="509" w:firstLineChars="182"/>
        <w:rPr>
          <w:rFonts w:ascii="宋体" w:hAnsi="宋体" w:cs="仿宋"/>
          <w:sz w:val="28"/>
          <w:szCs w:val="28"/>
        </w:rPr>
      </w:pPr>
      <w:r>
        <w:rPr>
          <w:rFonts w:hint="eastAsia" w:ascii="宋体" w:hAnsi="宋体" w:cs="仿宋"/>
          <w:sz w:val="28"/>
          <w:szCs w:val="28"/>
        </w:rPr>
        <w:t>项目名称：</w:t>
      </w:r>
      <w:r>
        <w:rPr>
          <w:rFonts w:hint="eastAsia" w:ascii="宋体" w:hAnsi="宋体" w:cs="仿宋"/>
          <w:b/>
          <w:sz w:val="28"/>
          <w:szCs w:val="28"/>
          <w:u w:val="single"/>
        </w:rPr>
        <w:t xml:space="preserve">           </w:t>
      </w:r>
    </w:p>
    <w:p>
      <w:pPr>
        <w:spacing w:line="480" w:lineRule="exact"/>
        <w:ind w:firstLine="509" w:firstLineChars="182"/>
        <w:rPr>
          <w:rFonts w:ascii="宋体" w:hAnsi="宋体" w:cs="仿宋"/>
          <w:sz w:val="28"/>
          <w:szCs w:val="28"/>
        </w:rPr>
      </w:pPr>
      <w:r>
        <w:rPr>
          <w:rFonts w:hint="eastAsia" w:ascii="宋体" w:hAnsi="宋体" w:cs="仿宋"/>
          <w:sz w:val="28"/>
          <w:szCs w:val="28"/>
        </w:rPr>
        <w:t>招标编号：</w:t>
      </w:r>
      <w:r>
        <w:rPr>
          <w:rFonts w:hint="eastAsia" w:ascii="宋体" w:hAnsi="宋体" w:cs="仿宋"/>
          <w:b/>
          <w:sz w:val="28"/>
          <w:szCs w:val="28"/>
          <w:u w:val="single"/>
        </w:rPr>
        <w:t xml:space="preserve">           </w:t>
      </w:r>
      <w:r>
        <w:rPr>
          <w:rFonts w:hint="eastAsia" w:ascii="宋体" w:hAnsi="宋体" w:cs="仿宋"/>
          <w:sz w:val="28"/>
          <w:szCs w:val="28"/>
        </w:rPr>
        <w:t xml:space="preserve">       </w:t>
      </w:r>
    </w:p>
    <w:p>
      <w:pPr>
        <w:spacing w:line="480" w:lineRule="exact"/>
        <w:ind w:firstLine="509" w:firstLineChars="182"/>
        <w:rPr>
          <w:rFonts w:ascii="宋体" w:hAnsi="宋体" w:cs="仿宋"/>
          <w:sz w:val="28"/>
          <w:szCs w:val="28"/>
        </w:rPr>
      </w:pPr>
      <w:r>
        <w:rPr>
          <w:rFonts w:hint="eastAsia" w:ascii="宋体" w:hAnsi="宋体" w:cs="仿宋"/>
          <w:sz w:val="28"/>
          <w:szCs w:val="28"/>
        </w:rPr>
        <w:t xml:space="preserve">            </w:t>
      </w:r>
    </w:p>
    <w:bookmarkEnd w:id="248"/>
    <w:tbl>
      <w:tblPr>
        <w:tblStyle w:val="43"/>
        <w:tblW w:w="10396" w:type="dxa"/>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300"/>
        <w:gridCol w:w="1917"/>
        <w:gridCol w:w="627"/>
        <w:gridCol w:w="1396"/>
        <w:gridCol w:w="1597"/>
        <w:gridCol w:w="1250"/>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trPr>
        <w:tc>
          <w:tcPr>
            <w:tcW w:w="1196"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序号</w:t>
            </w:r>
          </w:p>
        </w:tc>
        <w:tc>
          <w:tcPr>
            <w:tcW w:w="1300"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类别名称</w:t>
            </w:r>
          </w:p>
        </w:tc>
        <w:tc>
          <w:tcPr>
            <w:tcW w:w="1917"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制造商家及规格型号</w:t>
            </w:r>
          </w:p>
        </w:tc>
        <w:tc>
          <w:tcPr>
            <w:tcW w:w="627"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数量</w:t>
            </w:r>
          </w:p>
        </w:tc>
        <w:tc>
          <w:tcPr>
            <w:tcW w:w="1396"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单价  （万元）</w:t>
            </w:r>
          </w:p>
        </w:tc>
        <w:tc>
          <w:tcPr>
            <w:tcW w:w="1597"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总价    （万元）</w:t>
            </w:r>
          </w:p>
        </w:tc>
        <w:tc>
          <w:tcPr>
            <w:tcW w:w="1250"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项目完成时间</w:t>
            </w:r>
          </w:p>
        </w:tc>
        <w:tc>
          <w:tcPr>
            <w:tcW w:w="1113" w:type="dxa"/>
            <w:vAlign w:val="center"/>
          </w:tcPr>
          <w:p>
            <w:pPr>
              <w:spacing w:line="360" w:lineRule="auto"/>
              <w:ind w:left="414" w:hanging="414" w:hangingChars="148"/>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96" w:type="dxa"/>
          </w:tcPr>
          <w:p>
            <w:pPr>
              <w:spacing w:line="360" w:lineRule="auto"/>
              <w:rPr>
                <w:rFonts w:asciiTheme="minorEastAsia" w:hAnsiTheme="minorEastAsia" w:eastAsiaTheme="minorEastAsia" w:cstheme="minorEastAsia"/>
                <w:color w:val="000000"/>
                <w:sz w:val="28"/>
                <w:szCs w:val="28"/>
              </w:rPr>
            </w:pPr>
          </w:p>
        </w:tc>
        <w:tc>
          <w:tcPr>
            <w:tcW w:w="1300" w:type="dxa"/>
          </w:tcPr>
          <w:p>
            <w:pPr>
              <w:spacing w:line="360" w:lineRule="auto"/>
              <w:rPr>
                <w:rFonts w:asciiTheme="minorEastAsia" w:hAnsiTheme="minorEastAsia" w:eastAsiaTheme="minorEastAsia" w:cstheme="minorEastAsia"/>
                <w:color w:val="000000"/>
                <w:sz w:val="28"/>
                <w:szCs w:val="28"/>
              </w:rPr>
            </w:pPr>
          </w:p>
        </w:tc>
        <w:tc>
          <w:tcPr>
            <w:tcW w:w="1917" w:type="dxa"/>
          </w:tcPr>
          <w:p>
            <w:pPr>
              <w:spacing w:line="360" w:lineRule="auto"/>
              <w:rPr>
                <w:rFonts w:asciiTheme="minorEastAsia" w:hAnsiTheme="minorEastAsia" w:eastAsiaTheme="minorEastAsia" w:cstheme="minorEastAsia"/>
                <w:color w:val="000000"/>
                <w:sz w:val="28"/>
                <w:szCs w:val="28"/>
              </w:rPr>
            </w:pPr>
          </w:p>
        </w:tc>
        <w:tc>
          <w:tcPr>
            <w:tcW w:w="627" w:type="dxa"/>
          </w:tcPr>
          <w:p>
            <w:pPr>
              <w:spacing w:line="360" w:lineRule="auto"/>
              <w:rPr>
                <w:rFonts w:asciiTheme="minorEastAsia" w:hAnsiTheme="minorEastAsia" w:eastAsiaTheme="minorEastAsia" w:cstheme="minorEastAsia"/>
                <w:color w:val="000000"/>
                <w:sz w:val="28"/>
                <w:szCs w:val="28"/>
              </w:rPr>
            </w:pPr>
          </w:p>
        </w:tc>
        <w:tc>
          <w:tcPr>
            <w:tcW w:w="1396" w:type="dxa"/>
          </w:tcPr>
          <w:p>
            <w:pPr>
              <w:spacing w:line="360" w:lineRule="auto"/>
              <w:rPr>
                <w:rFonts w:asciiTheme="minorEastAsia" w:hAnsiTheme="minorEastAsia" w:eastAsiaTheme="minorEastAsia" w:cstheme="minorEastAsia"/>
                <w:color w:val="000000"/>
                <w:sz w:val="28"/>
                <w:szCs w:val="28"/>
              </w:rPr>
            </w:pPr>
          </w:p>
        </w:tc>
        <w:tc>
          <w:tcPr>
            <w:tcW w:w="1597" w:type="dxa"/>
          </w:tcPr>
          <w:p>
            <w:pPr>
              <w:spacing w:line="360" w:lineRule="auto"/>
              <w:rPr>
                <w:rFonts w:asciiTheme="minorEastAsia" w:hAnsiTheme="minorEastAsia" w:eastAsiaTheme="minorEastAsia" w:cstheme="minorEastAsia"/>
                <w:color w:val="000000"/>
                <w:sz w:val="28"/>
                <w:szCs w:val="28"/>
              </w:rPr>
            </w:pPr>
          </w:p>
        </w:tc>
        <w:tc>
          <w:tcPr>
            <w:tcW w:w="1250" w:type="dxa"/>
          </w:tcPr>
          <w:p>
            <w:pPr>
              <w:spacing w:line="360" w:lineRule="auto"/>
              <w:rPr>
                <w:rFonts w:asciiTheme="minorEastAsia" w:hAnsiTheme="minorEastAsia" w:eastAsiaTheme="minorEastAsia" w:cstheme="minorEastAsia"/>
                <w:color w:val="000000"/>
                <w:sz w:val="28"/>
                <w:szCs w:val="28"/>
              </w:rPr>
            </w:pPr>
          </w:p>
        </w:tc>
        <w:tc>
          <w:tcPr>
            <w:tcW w:w="1113" w:type="dxa"/>
          </w:tcPr>
          <w:p>
            <w:pPr>
              <w:spacing w:line="360" w:lineRule="auto"/>
              <w:rPr>
                <w:rFonts w:asciiTheme="minorEastAsia" w:hAnsiTheme="minorEastAsia" w:eastAsiaTheme="minorEastAsia" w:cstheme="minorEastAsia"/>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96" w:type="dxa"/>
          </w:tcPr>
          <w:p>
            <w:pPr>
              <w:spacing w:line="360" w:lineRule="auto"/>
              <w:rPr>
                <w:rFonts w:asciiTheme="minorEastAsia" w:hAnsiTheme="minorEastAsia" w:eastAsiaTheme="minorEastAsia" w:cstheme="minorEastAsia"/>
                <w:color w:val="000000"/>
                <w:sz w:val="28"/>
                <w:szCs w:val="28"/>
              </w:rPr>
            </w:pPr>
          </w:p>
        </w:tc>
        <w:tc>
          <w:tcPr>
            <w:tcW w:w="1300" w:type="dxa"/>
          </w:tcPr>
          <w:p>
            <w:pPr>
              <w:spacing w:line="360" w:lineRule="auto"/>
              <w:rPr>
                <w:rFonts w:asciiTheme="minorEastAsia" w:hAnsiTheme="minorEastAsia" w:eastAsiaTheme="minorEastAsia" w:cstheme="minorEastAsia"/>
                <w:color w:val="000000"/>
                <w:sz w:val="28"/>
                <w:szCs w:val="28"/>
              </w:rPr>
            </w:pPr>
          </w:p>
        </w:tc>
        <w:tc>
          <w:tcPr>
            <w:tcW w:w="1917" w:type="dxa"/>
          </w:tcPr>
          <w:p>
            <w:pPr>
              <w:spacing w:line="360" w:lineRule="auto"/>
              <w:rPr>
                <w:rFonts w:asciiTheme="minorEastAsia" w:hAnsiTheme="minorEastAsia" w:eastAsiaTheme="minorEastAsia" w:cstheme="minorEastAsia"/>
                <w:color w:val="000000"/>
                <w:sz w:val="28"/>
                <w:szCs w:val="28"/>
              </w:rPr>
            </w:pPr>
          </w:p>
        </w:tc>
        <w:tc>
          <w:tcPr>
            <w:tcW w:w="627" w:type="dxa"/>
          </w:tcPr>
          <w:p>
            <w:pPr>
              <w:spacing w:line="360" w:lineRule="auto"/>
              <w:rPr>
                <w:rFonts w:asciiTheme="minorEastAsia" w:hAnsiTheme="minorEastAsia" w:eastAsiaTheme="minorEastAsia" w:cstheme="minorEastAsia"/>
                <w:color w:val="000000"/>
                <w:sz w:val="28"/>
                <w:szCs w:val="28"/>
              </w:rPr>
            </w:pPr>
          </w:p>
        </w:tc>
        <w:tc>
          <w:tcPr>
            <w:tcW w:w="1396" w:type="dxa"/>
          </w:tcPr>
          <w:p>
            <w:pPr>
              <w:spacing w:line="360" w:lineRule="auto"/>
              <w:rPr>
                <w:rFonts w:asciiTheme="minorEastAsia" w:hAnsiTheme="minorEastAsia" w:eastAsiaTheme="minorEastAsia" w:cstheme="minorEastAsia"/>
                <w:color w:val="000000"/>
                <w:sz w:val="28"/>
                <w:szCs w:val="28"/>
              </w:rPr>
            </w:pPr>
          </w:p>
        </w:tc>
        <w:tc>
          <w:tcPr>
            <w:tcW w:w="1597" w:type="dxa"/>
          </w:tcPr>
          <w:p>
            <w:pPr>
              <w:spacing w:line="360" w:lineRule="auto"/>
              <w:rPr>
                <w:rFonts w:asciiTheme="minorEastAsia" w:hAnsiTheme="minorEastAsia" w:eastAsiaTheme="minorEastAsia" w:cstheme="minorEastAsia"/>
                <w:color w:val="000000"/>
                <w:sz w:val="28"/>
                <w:szCs w:val="28"/>
              </w:rPr>
            </w:pPr>
          </w:p>
        </w:tc>
        <w:tc>
          <w:tcPr>
            <w:tcW w:w="1250" w:type="dxa"/>
          </w:tcPr>
          <w:p>
            <w:pPr>
              <w:spacing w:line="360" w:lineRule="auto"/>
              <w:rPr>
                <w:rFonts w:asciiTheme="minorEastAsia" w:hAnsiTheme="minorEastAsia" w:eastAsiaTheme="minorEastAsia" w:cstheme="minorEastAsia"/>
                <w:color w:val="000000"/>
                <w:sz w:val="28"/>
                <w:szCs w:val="28"/>
              </w:rPr>
            </w:pPr>
          </w:p>
        </w:tc>
        <w:tc>
          <w:tcPr>
            <w:tcW w:w="1113" w:type="dxa"/>
          </w:tcPr>
          <w:p>
            <w:pPr>
              <w:spacing w:line="360" w:lineRule="auto"/>
              <w:rPr>
                <w:rFonts w:asciiTheme="minorEastAsia" w:hAnsiTheme="minorEastAsia" w:eastAsiaTheme="minorEastAsia" w:cstheme="minorEastAsia"/>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196" w:type="dxa"/>
          </w:tcPr>
          <w:p>
            <w:pPr>
              <w:spacing w:line="360" w:lineRule="auto"/>
              <w:rPr>
                <w:rFonts w:asciiTheme="minorEastAsia" w:hAnsiTheme="minorEastAsia" w:eastAsiaTheme="minorEastAsia" w:cstheme="minorEastAsia"/>
                <w:color w:val="000000"/>
                <w:sz w:val="28"/>
                <w:szCs w:val="28"/>
              </w:rPr>
            </w:pPr>
          </w:p>
        </w:tc>
        <w:tc>
          <w:tcPr>
            <w:tcW w:w="1300" w:type="dxa"/>
          </w:tcPr>
          <w:p>
            <w:pPr>
              <w:spacing w:line="360" w:lineRule="auto"/>
              <w:rPr>
                <w:rFonts w:asciiTheme="minorEastAsia" w:hAnsiTheme="minorEastAsia" w:eastAsiaTheme="minorEastAsia" w:cstheme="minorEastAsia"/>
                <w:color w:val="000000"/>
                <w:sz w:val="28"/>
                <w:szCs w:val="28"/>
              </w:rPr>
            </w:pPr>
          </w:p>
        </w:tc>
        <w:tc>
          <w:tcPr>
            <w:tcW w:w="1917" w:type="dxa"/>
          </w:tcPr>
          <w:p>
            <w:pPr>
              <w:spacing w:line="360" w:lineRule="auto"/>
              <w:rPr>
                <w:rFonts w:asciiTheme="minorEastAsia" w:hAnsiTheme="minorEastAsia" w:eastAsiaTheme="minorEastAsia" w:cstheme="minorEastAsia"/>
                <w:color w:val="000000"/>
                <w:sz w:val="28"/>
                <w:szCs w:val="28"/>
              </w:rPr>
            </w:pPr>
          </w:p>
        </w:tc>
        <w:tc>
          <w:tcPr>
            <w:tcW w:w="627" w:type="dxa"/>
          </w:tcPr>
          <w:p>
            <w:pPr>
              <w:spacing w:line="360" w:lineRule="auto"/>
              <w:rPr>
                <w:rFonts w:asciiTheme="minorEastAsia" w:hAnsiTheme="minorEastAsia" w:eastAsiaTheme="minorEastAsia" w:cstheme="minorEastAsia"/>
                <w:color w:val="000000"/>
                <w:sz w:val="28"/>
                <w:szCs w:val="28"/>
              </w:rPr>
            </w:pPr>
          </w:p>
        </w:tc>
        <w:tc>
          <w:tcPr>
            <w:tcW w:w="1396" w:type="dxa"/>
          </w:tcPr>
          <w:p>
            <w:pPr>
              <w:spacing w:line="360" w:lineRule="auto"/>
              <w:rPr>
                <w:rFonts w:asciiTheme="minorEastAsia" w:hAnsiTheme="minorEastAsia" w:eastAsiaTheme="minorEastAsia" w:cstheme="minorEastAsia"/>
                <w:color w:val="000000"/>
                <w:sz w:val="28"/>
                <w:szCs w:val="28"/>
              </w:rPr>
            </w:pPr>
          </w:p>
        </w:tc>
        <w:tc>
          <w:tcPr>
            <w:tcW w:w="1597" w:type="dxa"/>
          </w:tcPr>
          <w:p>
            <w:pPr>
              <w:spacing w:line="360" w:lineRule="auto"/>
              <w:rPr>
                <w:rFonts w:asciiTheme="minorEastAsia" w:hAnsiTheme="minorEastAsia" w:eastAsiaTheme="minorEastAsia" w:cstheme="minorEastAsia"/>
                <w:color w:val="000000"/>
                <w:sz w:val="28"/>
                <w:szCs w:val="28"/>
              </w:rPr>
            </w:pPr>
          </w:p>
        </w:tc>
        <w:tc>
          <w:tcPr>
            <w:tcW w:w="1250" w:type="dxa"/>
          </w:tcPr>
          <w:p>
            <w:pPr>
              <w:spacing w:line="360" w:lineRule="auto"/>
              <w:rPr>
                <w:rFonts w:asciiTheme="minorEastAsia" w:hAnsiTheme="minorEastAsia" w:eastAsiaTheme="minorEastAsia" w:cstheme="minorEastAsia"/>
                <w:color w:val="000000"/>
                <w:sz w:val="28"/>
                <w:szCs w:val="28"/>
              </w:rPr>
            </w:pPr>
          </w:p>
        </w:tc>
        <w:tc>
          <w:tcPr>
            <w:tcW w:w="1113" w:type="dxa"/>
          </w:tcPr>
          <w:p>
            <w:pPr>
              <w:spacing w:line="360" w:lineRule="auto"/>
              <w:rPr>
                <w:rFonts w:asciiTheme="minorEastAsia" w:hAnsiTheme="minorEastAsia" w:eastAsiaTheme="minorEastAsia" w:cstheme="minorEastAsia"/>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396" w:type="dxa"/>
            <w:gridSpan w:val="8"/>
          </w:tcPr>
          <w:p>
            <w:pPr>
              <w:spacing w:line="360" w:lineRule="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eastAsia="zh-CN"/>
              </w:rPr>
              <w:t>合计</w:t>
            </w:r>
            <w:r>
              <w:rPr>
                <w:rFonts w:hint="eastAsia" w:asciiTheme="minorEastAsia" w:hAnsiTheme="minorEastAsia" w:eastAsiaTheme="minorEastAsia" w:cstheme="minorEastAsia"/>
                <w:color w:val="000000"/>
                <w:sz w:val="28"/>
                <w:szCs w:val="28"/>
                <w:lang w:val="en-US" w:eastAsia="zh-CN"/>
              </w:rPr>
              <w:t>:XXX(大写：XXX)</w:t>
            </w:r>
          </w:p>
        </w:tc>
      </w:tr>
    </w:tbl>
    <w:p>
      <w:pPr>
        <w:widowControl/>
        <w:spacing w:line="360" w:lineRule="atLeast"/>
        <w:jc w:val="left"/>
        <w:outlineLvl w:val="1"/>
        <w:rPr>
          <w:rFonts w:ascii="宋体" w:hAnsi="宋体" w:cs="仿宋"/>
          <w:sz w:val="28"/>
          <w:szCs w:val="28"/>
        </w:rPr>
      </w:pPr>
    </w:p>
    <w:p>
      <w:pPr>
        <w:widowControl/>
        <w:spacing w:line="360" w:lineRule="auto"/>
        <w:ind w:firstLine="548" w:firstLineChars="196"/>
        <w:jc w:val="left"/>
        <w:outlineLvl w:val="1"/>
        <w:rPr>
          <w:rFonts w:ascii="宋体" w:hAnsi="宋体" w:cs="仿宋"/>
          <w:sz w:val="28"/>
          <w:szCs w:val="28"/>
        </w:rPr>
      </w:pPr>
      <w:bookmarkStart w:id="249" w:name="_Toc15124"/>
      <w:r>
        <w:rPr>
          <w:rFonts w:hint="eastAsia" w:ascii="宋体" w:hAnsi="宋体" w:cs="仿宋"/>
          <w:sz w:val="28"/>
          <w:szCs w:val="28"/>
        </w:rPr>
        <w:t>注：1. 报价应是最终用户验收合格后的总价，</w:t>
      </w:r>
      <w:bookmarkEnd w:id="249"/>
      <w:r>
        <w:rPr>
          <w:rFonts w:hint="eastAsia" w:ascii="宋体" w:hAnsi="宋体" w:cs="仿宋"/>
          <w:sz w:val="28"/>
          <w:szCs w:val="28"/>
        </w:rPr>
        <w:t>总价即为履行合同的固定价格。运输、安装、调试、检验、售后、税金和保险等费用、采购代理服务费以及采购文件规定的其他费用均应包含在报价中。</w:t>
      </w:r>
    </w:p>
    <w:p>
      <w:pPr>
        <w:widowControl/>
        <w:spacing w:line="360" w:lineRule="auto"/>
        <w:ind w:firstLine="548" w:firstLineChars="196"/>
        <w:jc w:val="left"/>
        <w:outlineLvl w:val="1"/>
        <w:rPr>
          <w:rFonts w:ascii="宋体" w:hAnsi="宋体" w:cs="仿宋"/>
          <w:sz w:val="28"/>
          <w:szCs w:val="28"/>
        </w:rPr>
      </w:pPr>
      <w:bookmarkStart w:id="250" w:name="_Toc8529"/>
      <w:r>
        <w:rPr>
          <w:rFonts w:hint="eastAsia" w:ascii="宋体" w:hAnsi="宋体" w:cs="仿宋"/>
          <w:sz w:val="28"/>
          <w:szCs w:val="28"/>
        </w:rPr>
        <w:t>2.“开标一览表”为多页的，每页均需由法定代表人/单位负责人或授权代表签字并盖投标人印章。</w:t>
      </w:r>
      <w:bookmarkEnd w:id="250"/>
    </w:p>
    <w:p>
      <w:pPr>
        <w:widowControl/>
        <w:spacing w:line="360" w:lineRule="auto"/>
        <w:ind w:firstLine="548" w:firstLineChars="196"/>
        <w:jc w:val="left"/>
        <w:outlineLvl w:val="1"/>
        <w:rPr>
          <w:rFonts w:ascii="宋体" w:hAnsi="宋体" w:cs="仿宋"/>
          <w:sz w:val="28"/>
          <w:szCs w:val="28"/>
        </w:rPr>
      </w:pPr>
    </w:p>
    <w:p>
      <w:pPr>
        <w:widowControl/>
        <w:spacing w:line="360" w:lineRule="auto"/>
        <w:ind w:firstLine="548" w:firstLineChars="196"/>
        <w:jc w:val="left"/>
        <w:outlineLvl w:val="1"/>
        <w:rPr>
          <w:rFonts w:ascii="宋体" w:hAnsi="宋体" w:cs="仿宋"/>
          <w:sz w:val="28"/>
          <w:szCs w:val="28"/>
        </w:rPr>
      </w:pPr>
      <w:bookmarkStart w:id="251" w:name="_Toc16109"/>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251"/>
    </w:p>
    <w:p>
      <w:pPr>
        <w:widowControl/>
        <w:spacing w:line="360" w:lineRule="auto"/>
        <w:ind w:firstLine="548" w:firstLineChars="196"/>
        <w:jc w:val="left"/>
        <w:outlineLvl w:val="1"/>
        <w:rPr>
          <w:rFonts w:ascii="宋体" w:hAnsi="宋体" w:cs="仿宋"/>
          <w:sz w:val="28"/>
          <w:szCs w:val="28"/>
        </w:rPr>
      </w:pPr>
      <w:bookmarkStart w:id="252" w:name="_Toc29013"/>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252"/>
    </w:p>
    <w:p>
      <w:pPr>
        <w:widowControl/>
        <w:spacing w:line="360" w:lineRule="auto"/>
        <w:ind w:firstLine="548" w:firstLineChars="196"/>
        <w:jc w:val="left"/>
        <w:outlineLvl w:val="1"/>
        <w:rPr>
          <w:rFonts w:ascii="宋体" w:hAnsi="宋体" w:cs="仿宋"/>
          <w:b/>
          <w:sz w:val="28"/>
          <w:szCs w:val="28"/>
        </w:rPr>
        <w:sectPr>
          <w:footerReference r:id="rId6" w:type="default"/>
          <w:pgSz w:w="11907" w:h="16840"/>
          <w:pgMar w:top="1440" w:right="1474" w:bottom="1440" w:left="1474" w:header="851" w:footer="992" w:gutter="0"/>
          <w:pgNumType w:start="28"/>
          <w:cols w:space="720" w:num="1"/>
          <w:docGrid w:linePitch="312" w:charSpace="0"/>
        </w:sectPr>
      </w:pPr>
      <w:bookmarkStart w:id="253" w:name="_Toc984"/>
      <w:r>
        <w:rPr>
          <w:rFonts w:hint="eastAsia" w:ascii="宋体" w:hAnsi="宋体" w:cs="仿宋"/>
          <w:sz w:val="28"/>
          <w:szCs w:val="28"/>
        </w:rPr>
        <w:t>投标日期：</w:t>
      </w:r>
      <w:r>
        <w:rPr>
          <w:rFonts w:hint="eastAsia" w:ascii="宋体" w:hAnsi="宋体" w:cs="仿宋"/>
          <w:b/>
          <w:sz w:val="28"/>
          <w:szCs w:val="28"/>
          <w:u w:val="single"/>
        </w:rPr>
        <w:t xml:space="preserve">           </w:t>
      </w:r>
      <w:r>
        <w:rPr>
          <w:rFonts w:hint="eastAsia" w:ascii="宋体" w:hAnsi="宋体" w:cs="仿宋"/>
          <w:sz w:val="28"/>
          <w:szCs w:val="28"/>
        </w:rPr>
        <w:t>。</w:t>
      </w:r>
      <w:bookmarkEnd w:id="253"/>
    </w:p>
    <w:p>
      <w:pPr>
        <w:widowControl/>
        <w:spacing w:line="360" w:lineRule="atLeast"/>
        <w:ind w:firstLine="630" w:firstLineChars="196"/>
        <w:jc w:val="left"/>
        <w:outlineLvl w:val="1"/>
        <w:rPr>
          <w:rFonts w:ascii="宋体" w:hAnsi="宋体" w:cs="仿宋"/>
          <w:b/>
          <w:sz w:val="32"/>
          <w:szCs w:val="32"/>
        </w:rPr>
      </w:pPr>
      <w:bookmarkStart w:id="254" w:name="_Toc11466"/>
      <w:bookmarkStart w:id="255" w:name="_Toc217446087"/>
      <w:r>
        <w:rPr>
          <w:rFonts w:hint="eastAsia" w:ascii="宋体" w:hAnsi="宋体" w:cs="仿宋"/>
          <w:b/>
          <w:sz w:val="32"/>
          <w:szCs w:val="32"/>
        </w:rPr>
        <w:t>格式2-5</w:t>
      </w:r>
      <w:bookmarkEnd w:id="254"/>
    </w:p>
    <w:p>
      <w:pPr>
        <w:spacing w:line="400" w:lineRule="exact"/>
        <w:ind w:firstLine="643" w:firstLineChars="200"/>
        <w:jc w:val="center"/>
        <w:rPr>
          <w:rFonts w:ascii="宋体" w:hAnsi="宋体" w:cs="仿宋"/>
          <w:b/>
          <w:sz w:val="32"/>
          <w:szCs w:val="32"/>
        </w:rPr>
      </w:pPr>
      <w:bookmarkStart w:id="256" w:name="_Toc14189"/>
      <w:r>
        <w:rPr>
          <w:rFonts w:hint="eastAsia" w:ascii="宋体" w:hAnsi="宋体" w:cs="仿宋"/>
          <w:b/>
          <w:sz w:val="32"/>
          <w:szCs w:val="32"/>
        </w:rPr>
        <w:t>四、报价明细表</w:t>
      </w:r>
    </w:p>
    <w:p>
      <w:pPr>
        <w:spacing w:line="480" w:lineRule="exact"/>
        <w:ind w:firstLine="509" w:firstLineChars="182"/>
        <w:rPr>
          <w:rFonts w:ascii="宋体" w:hAnsi="宋体" w:cs="仿宋"/>
          <w:sz w:val="28"/>
          <w:szCs w:val="28"/>
        </w:rPr>
      </w:pPr>
    </w:p>
    <w:p>
      <w:pPr>
        <w:spacing w:line="480" w:lineRule="exact"/>
        <w:ind w:firstLine="509" w:firstLineChars="182"/>
        <w:rPr>
          <w:rFonts w:ascii="宋体" w:hAnsi="宋体" w:cs="仿宋"/>
          <w:sz w:val="28"/>
          <w:szCs w:val="28"/>
        </w:rPr>
      </w:pPr>
      <w:r>
        <w:rPr>
          <w:rFonts w:hint="eastAsia" w:ascii="宋体" w:hAnsi="宋体" w:cs="仿宋"/>
          <w:sz w:val="28"/>
          <w:szCs w:val="28"/>
        </w:rPr>
        <w:t>项目名称：</w:t>
      </w:r>
      <w:r>
        <w:rPr>
          <w:rFonts w:hint="eastAsia" w:ascii="宋体" w:hAnsi="宋体" w:cs="仿宋"/>
          <w:b/>
          <w:sz w:val="28"/>
          <w:szCs w:val="28"/>
          <w:u w:val="single"/>
        </w:rPr>
        <w:t xml:space="preserve">           </w:t>
      </w:r>
    </w:p>
    <w:p>
      <w:pPr>
        <w:spacing w:line="480" w:lineRule="exact"/>
        <w:ind w:firstLine="509" w:firstLineChars="182"/>
        <w:rPr>
          <w:rFonts w:ascii="宋体" w:hAnsi="宋体" w:cs="仿宋"/>
          <w:sz w:val="28"/>
          <w:szCs w:val="28"/>
        </w:rPr>
      </w:pPr>
      <w:r>
        <w:rPr>
          <w:rFonts w:hint="eastAsia" w:ascii="宋体" w:hAnsi="宋体" w:cs="仿宋"/>
          <w:sz w:val="28"/>
          <w:szCs w:val="28"/>
        </w:rPr>
        <w:t>招标编号：</w:t>
      </w:r>
      <w:r>
        <w:rPr>
          <w:rFonts w:hint="eastAsia" w:ascii="宋体" w:hAnsi="宋体" w:cs="仿宋"/>
          <w:b/>
          <w:sz w:val="28"/>
          <w:szCs w:val="28"/>
          <w:u w:val="single"/>
        </w:rPr>
        <w:t xml:space="preserve">           </w:t>
      </w:r>
      <w:r>
        <w:rPr>
          <w:rFonts w:hint="eastAsia" w:ascii="宋体" w:hAnsi="宋体" w:cs="仿宋"/>
          <w:sz w:val="28"/>
          <w:szCs w:val="28"/>
        </w:rPr>
        <w:t xml:space="preserve">       </w:t>
      </w:r>
    </w:p>
    <w:p>
      <w:pPr>
        <w:spacing w:line="480" w:lineRule="exact"/>
        <w:ind w:firstLine="509" w:firstLineChars="182"/>
        <w:rPr>
          <w:rFonts w:ascii="宋体" w:hAnsi="宋体" w:cs="仿宋"/>
          <w:sz w:val="28"/>
          <w:szCs w:val="28"/>
        </w:rPr>
      </w:pPr>
      <w:r>
        <w:rPr>
          <w:rFonts w:hint="eastAsia" w:ascii="宋体" w:hAnsi="宋体" w:cs="仿宋"/>
          <w:sz w:val="28"/>
          <w:szCs w:val="28"/>
        </w:rPr>
        <w:t xml:space="preserve">            </w:t>
      </w:r>
    </w:p>
    <w:tbl>
      <w:tblPr>
        <w:tblStyle w:val="43"/>
        <w:tblW w:w="10396" w:type="dxa"/>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300"/>
        <w:gridCol w:w="1918"/>
        <w:gridCol w:w="626"/>
        <w:gridCol w:w="1396"/>
        <w:gridCol w:w="1598"/>
        <w:gridCol w:w="124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trPr>
        <w:tc>
          <w:tcPr>
            <w:tcW w:w="1196"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序号</w:t>
            </w:r>
          </w:p>
        </w:tc>
        <w:tc>
          <w:tcPr>
            <w:tcW w:w="1300"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类别名称</w:t>
            </w:r>
          </w:p>
        </w:tc>
        <w:tc>
          <w:tcPr>
            <w:tcW w:w="1918"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制造商家及规格型号</w:t>
            </w:r>
          </w:p>
        </w:tc>
        <w:tc>
          <w:tcPr>
            <w:tcW w:w="626"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数量</w:t>
            </w:r>
          </w:p>
        </w:tc>
        <w:tc>
          <w:tcPr>
            <w:tcW w:w="1396"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单价  （万元）</w:t>
            </w:r>
          </w:p>
        </w:tc>
        <w:tc>
          <w:tcPr>
            <w:tcW w:w="1598"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总价    （万元）</w:t>
            </w:r>
          </w:p>
        </w:tc>
        <w:tc>
          <w:tcPr>
            <w:tcW w:w="1249" w:type="dxa"/>
            <w:vAlign w:val="center"/>
          </w:tcPr>
          <w:p>
            <w:pPr>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项目完成时间</w:t>
            </w:r>
          </w:p>
        </w:tc>
        <w:tc>
          <w:tcPr>
            <w:tcW w:w="1113" w:type="dxa"/>
            <w:vAlign w:val="center"/>
          </w:tcPr>
          <w:p>
            <w:pPr>
              <w:spacing w:line="360" w:lineRule="auto"/>
              <w:ind w:left="414" w:hanging="414" w:hangingChars="148"/>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96" w:type="dxa"/>
          </w:tcPr>
          <w:p>
            <w:pPr>
              <w:spacing w:line="360" w:lineRule="auto"/>
              <w:rPr>
                <w:rFonts w:asciiTheme="minorEastAsia" w:hAnsiTheme="minorEastAsia" w:eastAsiaTheme="minorEastAsia" w:cstheme="minorEastAsia"/>
                <w:color w:val="000000"/>
                <w:sz w:val="28"/>
                <w:szCs w:val="28"/>
              </w:rPr>
            </w:pPr>
          </w:p>
        </w:tc>
        <w:tc>
          <w:tcPr>
            <w:tcW w:w="1300" w:type="dxa"/>
          </w:tcPr>
          <w:p>
            <w:pPr>
              <w:spacing w:line="360" w:lineRule="auto"/>
              <w:rPr>
                <w:rFonts w:asciiTheme="minorEastAsia" w:hAnsiTheme="minorEastAsia" w:eastAsiaTheme="minorEastAsia" w:cstheme="minorEastAsia"/>
                <w:color w:val="000000"/>
                <w:sz w:val="28"/>
                <w:szCs w:val="28"/>
              </w:rPr>
            </w:pPr>
          </w:p>
        </w:tc>
        <w:tc>
          <w:tcPr>
            <w:tcW w:w="1918" w:type="dxa"/>
          </w:tcPr>
          <w:p>
            <w:pPr>
              <w:spacing w:line="360" w:lineRule="auto"/>
              <w:rPr>
                <w:rFonts w:asciiTheme="minorEastAsia" w:hAnsiTheme="minorEastAsia" w:eastAsiaTheme="minorEastAsia" w:cstheme="minorEastAsia"/>
                <w:color w:val="000000"/>
                <w:sz w:val="28"/>
                <w:szCs w:val="28"/>
              </w:rPr>
            </w:pPr>
          </w:p>
        </w:tc>
        <w:tc>
          <w:tcPr>
            <w:tcW w:w="626" w:type="dxa"/>
          </w:tcPr>
          <w:p>
            <w:pPr>
              <w:spacing w:line="360" w:lineRule="auto"/>
              <w:rPr>
                <w:rFonts w:asciiTheme="minorEastAsia" w:hAnsiTheme="minorEastAsia" w:eastAsiaTheme="minorEastAsia" w:cstheme="minorEastAsia"/>
                <w:color w:val="000000"/>
                <w:sz w:val="28"/>
                <w:szCs w:val="28"/>
              </w:rPr>
            </w:pPr>
          </w:p>
        </w:tc>
        <w:tc>
          <w:tcPr>
            <w:tcW w:w="1396" w:type="dxa"/>
          </w:tcPr>
          <w:p>
            <w:pPr>
              <w:spacing w:line="360" w:lineRule="auto"/>
              <w:rPr>
                <w:rFonts w:asciiTheme="minorEastAsia" w:hAnsiTheme="minorEastAsia" w:eastAsiaTheme="minorEastAsia" w:cstheme="minorEastAsia"/>
                <w:color w:val="000000"/>
                <w:sz w:val="28"/>
                <w:szCs w:val="28"/>
              </w:rPr>
            </w:pPr>
          </w:p>
        </w:tc>
        <w:tc>
          <w:tcPr>
            <w:tcW w:w="1598" w:type="dxa"/>
          </w:tcPr>
          <w:p>
            <w:pPr>
              <w:spacing w:line="360" w:lineRule="auto"/>
              <w:rPr>
                <w:rFonts w:asciiTheme="minorEastAsia" w:hAnsiTheme="minorEastAsia" w:eastAsiaTheme="minorEastAsia" w:cstheme="minorEastAsia"/>
                <w:color w:val="000000"/>
                <w:sz w:val="28"/>
                <w:szCs w:val="28"/>
              </w:rPr>
            </w:pPr>
          </w:p>
        </w:tc>
        <w:tc>
          <w:tcPr>
            <w:tcW w:w="1249" w:type="dxa"/>
          </w:tcPr>
          <w:p>
            <w:pPr>
              <w:spacing w:line="360" w:lineRule="auto"/>
              <w:rPr>
                <w:rFonts w:asciiTheme="minorEastAsia" w:hAnsiTheme="minorEastAsia" w:eastAsiaTheme="minorEastAsia" w:cstheme="minorEastAsia"/>
                <w:color w:val="000000"/>
                <w:sz w:val="28"/>
                <w:szCs w:val="28"/>
              </w:rPr>
            </w:pPr>
          </w:p>
        </w:tc>
        <w:tc>
          <w:tcPr>
            <w:tcW w:w="1113" w:type="dxa"/>
          </w:tcPr>
          <w:p>
            <w:pPr>
              <w:spacing w:line="360" w:lineRule="auto"/>
              <w:rPr>
                <w:rFonts w:asciiTheme="minorEastAsia" w:hAnsiTheme="minorEastAsia" w:eastAsiaTheme="minorEastAsia" w:cstheme="minorEastAsia"/>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96" w:type="dxa"/>
          </w:tcPr>
          <w:p>
            <w:pPr>
              <w:spacing w:line="360" w:lineRule="auto"/>
              <w:rPr>
                <w:rFonts w:asciiTheme="minorEastAsia" w:hAnsiTheme="minorEastAsia" w:eastAsiaTheme="minorEastAsia" w:cstheme="minorEastAsia"/>
                <w:color w:val="000000"/>
                <w:sz w:val="28"/>
                <w:szCs w:val="28"/>
              </w:rPr>
            </w:pPr>
          </w:p>
        </w:tc>
        <w:tc>
          <w:tcPr>
            <w:tcW w:w="1300" w:type="dxa"/>
          </w:tcPr>
          <w:p>
            <w:pPr>
              <w:spacing w:line="360" w:lineRule="auto"/>
              <w:rPr>
                <w:rFonts w:asciiTheme="minorEastAsia" w:hAnsiTheme="minorEastAsia" w:eastAsiaTheme="minorEastAsia" w:cstheme="minorEastAsia"/>
                <w:color w:val="000000"/>
                <w:sz w:val="28"/>
                <w:szCs w:val="28"/>
              </w:rPr>
            </w:pPr>
          </w:p>
        </w:tc>
        <w:tc>
          <w:tcPr>
            <w:tcW w:w="1918" w:type="dxa"/>
          </w:tcPr>
          <w:p>
            <w:pPr>
              <w:spacing w:line="360" w:lineRule="auto"/>
              <w:rPr>
                <w:rFonts w:asciiTheme="minorEastAsia" w:hAnsiTheme="minorEastAsia" w:eastAsiaTheme="minorEastAsia" w:cstheme="minorEastAsia"/>
                <w:color w:val="000000"/>
                <w:sz w:val="28"/>
                <w:szCs w:val="28"/>
              </w:rPr>
            </w:pPr>
          </w:p>
        </w:tc>
        <w:tc>
          <w:tcPr>
            <w:tcW w:w="626" w:type="dxa"/>
          </w:tcPr>
          <w:p>
            <w:pPr>
              <w:spacing w:line="360" w:lineRule="auto"/>
              <w:rPr>
                <w:rFonts w:asciiTheme="minorEastAsia" w:hAnsiTheme="minorEastAsia" w:eastAsiaTheme="minorEastAsia" w:cstheme="minorEastAsia"/>
                <w:color w:val="000000"/>
                <w:sz w:val="28"/>
                <w:szCs w:val="28"/>
              </w:rPr>
            </w:pPr>
          </w:p>
        </w:tc>
        <w:tc>
          <w:tcPr>
            <w:tcW w:w="1396" w:type="dxa"/>
          </w:tcPr>
          <w:p>
            <w:pPr>
              <w:spacing w:line="360" w:lineRule="auto"/>
              <w:rPr>
                <w:rFonts w:asciiTheme="minorEastAsia" w:hAnsiTheme="minorEastAsia" w:eastAsiaTheme="minorEastAsia" w:cstheme="minorEastAsia"/>
                <w:color w:val="000000"/>
                <w:sz w:val="28"/>
                <w:szCs w:val="28"/>
              </w:rPr>
            </w:pPr>
          </w:p>
        </w:tc>
        <w:tc>
          <w:tcPr>
            <w:tcW w:w="1598" w:type="dxa"/>
          </w:tcPr>
          <w:p>
            <w:pPr>
              <w:spacing w:line="360" w:lineRule="auto"/>
              <w:rPr>
                <w:rFonts w:asciiTheme="minorEastAsia" w:hAnsiTheme="minorEastAsia" w:eastAsiaTheme="minorEastAsia" w:cstheme="minorEastAsia"/>
                <w:color w:val="000000"/>
                <w:sz w:val="28"/>
                <w:szCs w:val="28"/>
              </w:rPr>
            </w:pPr>
          </w:p>
        </w:tc>
        <w:tc>
          <w:tcPr>
            <w:tcW w:w="1249" w:type="dxa"/>
          </w:tcPr>
          <w:p>
            <w:pPr>
              <w:spacing w:line="360" w:lineRule="auto"/>
              <w:rPr>
                <w:rFonts w:asciiTheme="minorEastAsia" w:hAnsiTheme="minorEastAsia" w:eastAsiaTheme="minorEastAsia" w:cstheme="minorEastAsia"/>
                <w:color w:val="000000"/>
                <w:sz w:val="28"/>
                <w:szCs w:val="28"/>
              </w:rPr>
            </w:pPr>
          </w:p>
        </w:tc>
        <w:tc>
          <w:tcPr>
            <w:tcW w:w="1113" w:type="dxa"/>
          </w:tcPr>
          <w:p>
            <w:pPr>
              <w:spacing w:line="360" w:lineRule="auto"/>
              <w:rPr>
                <w:rFonts w:asciiTheme="minorEastAsia" w:hAnsiTheme="minorEastAsia" w:eastAsiaTheme="minorEastAsia" w:cstheme="minorEastAsia"/>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0396" w:type="dxa"/>
            <w:gridSpan w:val="8"/>
          </w:tcPr>
          <w:p>
            <w:pPr>
              <w:spacing w:line="360" w:lineRule="auto"/>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eastAsia="zh-CN"/>
              </w:rPr>
              <w:t>合计</w:t>
            </w:r>
            <w:r>
              <w:rPr>
                <w:rFonts w:hint="eastAsia" w:asciiTheme="minorEastAsia" w:hAnsiTheme="minorEastAsia" w:eastAsiaTheme="minorEastAsia" w:cstheme="minorEastAsia"/>
                <w:color w:val="000000"/>
                <w:sz w:val="28"/>
                <w:szCs w:val="28"/>
                <w:lang w:val="en-US" w:eastAsia="zh-CN"/>
              </w:rPr>
              <w:t>:XXX(大写：XXX)</w:t>
            </w:r>
          </w:p>
        </w:tc>
      </w:tr>
    </w:tbl>
    <w:p>
      <w:pPr>
        <w:widowControl/>
        <w:spacing w:line="360" w:lineRule="auto"/>
        <w:ind w:firstLine="548" w:firstLineChars="196"/>
        <w:jc w:val="left"/>
        <w:outlineLvl w:val="1"/>
        <w:rPr>
          <w:rFonts w:ascii="宋体" w:hAnsi="宋体" w:cs="仿宋"/>
          <w:sz w:val="28"/>
          <w:szCs w:val="28"/>
        </w:rPr>
      </w:pPr>
      <w:r>
        <w:rPr>
          <w:rFonts w:hint="eastAsia" w:ascii="宋体" w:hAnsi="宋体" w:cs="仿宋"/>
          <w:sz w:val="28"/>
          <w:szCs w:val="28"/>
        </w:rPr>
        <w:t>注：1. 报价应是最终用户验收合格后的总价，总价即为履行合同的固定价格。运输、安装、调试、检验、售后、税金和保险等费用、采购代理服务费以及采购文件规定的其他费用均应包含在报价中。</w:t>
      </w:r>
    </w:p>
    <w:p>
      <w:pPr>
        <w:pStyle w:val="3"/>
        <w:ind w:firstLine="281"/>
        <w:rPr>
          <w:rFonts w:ascii="宋体" w:hAnsi="宋体" w:cs="仿宋"/>
          <w:b/>
          <w:sz w:val="28"/>
          <w:szCs w:val="28"/>
        </w:rPr>
      </w:pPr>
    </w:p>
    <w:p>
      <w:pPr>
        <w:widowControl/>
        <w:spacing w:line="360" w:lineRule="auto"/>
        <w:ind w:firstLine="548" w:firstLineChars="196"/>
        <w:jc w:val="left"/>
        <w:outlineLvl w:val="1"/>
        <w:rPr>
          <w:rFonts w:ascii="宋体" w:hAnsi="宋体" w:cs="仿宋"/>
          <w:sz w:val="28"/>
          <w:szCs w:val="28"/>
        </w:rPr>
      </w:pPr>
    </w:p>
    <w:p>
      <w:pPr>
        <w:widowControl/>
        <w:spacing w:line="360" w:lineRule="auto"/>
        <w:ind w:firstLine="548" w:firstLineChars="196"/>
        <w:jc w:val="left"/>
        <w:outlineLvl w:val="1"/>
        <w:rPr>
          <w:rFonts w:ascii="宋体" w:hAnsi="宋体" w:cs="仿宋"/>
          <w:sz w:val="28"/>
          <w:szCs w:val="28"/>
        </w:rPr>
      </w:pPr>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p>
    <w:p>
      <w:pPr>
        <w:widowControl/>
        <w:spacing w:line="360" w:lineRule="auto"/>
        <w:ind w:firstLine="548" w:firstLineChars="196"/>
        <w:jc w:val="left"/>
        <w:outlineLvl w:val="1"/>
        <w:rPr>
          <w:rFonts w:ascii="宋体" w:hAnsi="宋体" w:cs="仿宋"/>
          <w:sz w:val="28"/>
          <w:szCs w:val="28"/>
        </w:rPr>
      </w:pPr>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p>
    <w:p>
      <w:pPr>
        <w:widowControl/>
        <w:spacing w:line="360" w:lineRule="auto"/>
        <w:ind w:firstLine="548" w:firstLineChars="196"/>
        <w:jc w:val="left"/>
        <w:outlineLvl w:val="1"/>
        <w:rPr>
          <w:rFonts w:ascii="宋体" w:hAnsi="宋体" w:cs="仿宋"/>
          <w:b/>
          <w:sz w:val="28"/>
          <w:szCs w:val="28"/>
        </w:rPr>
        <w:sectPr>
          <w:footerReference r:id="rId7" w:type="default"/>
          <w:pgSz w:w="11907" w:h="16840"/>
          <w:pgMar w:top="1440" w:right="1474" w:bottom="1440" w:left="1474" w:header="851" w:footer="992" w:gutter="0"/>
          <w:cols w:space="720" w:num="1"/>
          <w:docGrid w:linePitch="312" w:charSpace="0"/>
        </w:sectPr>
      </w:pPr>
      <w:r>
        <w:rPr>
          <w:rFonts w:hint="eastAsia" w:ascii="宋体" w:hAnsi="宋体" w:cs="仿宋"/>
          <w:sz w:val="28"/>
          <w:szCs w:val="28"/>
        </w:rPr>
        <w:t>投标日期：</w:t>
      </w:r>
      <w:r>
        <w:rPr>
          <w:rFonts w:hint="eastAsia" w:ascii="宋体" w:hAnsi="宋体" w:cs="仿宋"/>
          <w:b/>
          <w:sz w:val="28"/>
          <w:szCs w:val="28"/>
          <w:u w:val="single"/>
        </w:rPr>
        <w:t xml:space="preserve">           </w:t>
      </w:r>
      <w:r>
        <w:rPr>
          <w:rFonts w:hint="eastAsia" w:ascii="宋体" w:hAnsi="宋体" w:cs="仿宋"/>
          <w:sz w:val="28"/>
          <w:szCs w:val="28"/>
        </w:rPr>
        <w:t>。</w:t>
      </w:r>
    </w:p>
    <w:p>
      <w:pPr>
        <w:widowControl/>
        <w:spacing w:line="360" w:lineRule="atLeast"/>
        <w:ind w:firstLine="630" w:firstLineChars="196"/>
        <w:jc w:val="left"/>
        <w:outlineLvl w:val="1"/>
        <w:rPr>
          <w:rFonts w:ascii="宋体" w:hAnsi="宋体" w:cs="仿宋"/>
          <w:b/>
          <w:sz w:val="32"/>
          <w:szCs w:val="32"/>
        </w:rPr>
      </w:pPr>
      <w:r>
        <w:rPr>
          <w:rFonts w:hint="eastAsia" w:ascii="宋体" w:hAnsi="宋体" w:cs="仿宋"/>
          <w:b/>
          <w:sz w:val="32"/>
          <w:szCs w:val="32"/>
        </w:rPr>
        <w:t>格式2-6</w:t>
      </w:r>
    </w:p>
    <w:p>
      <w:pPr>
        <w:widowControl/>
        <w:spacing w:line="360" w:lineRule="atLeast"/>
        <w:jc w:val="center"/>
        <w:outlineLvl w:val="1"/>
        <w:rPr>
          <w:rFonts w:ascii="宋体" w:hAnsi="宋体" w:cs="仿宋"/>
          <w:b/>
          <w:sz w:val="28"/>
          <w:szCs w:val="28"/>
        </w:rPr>
      </w:pPr>
      <w:r>
        <w:rPr>
          <w:rFonts w:hint="eastAsia" w:ascii="宋体" w:hAnsi="宋体" w:cs="仿宋"/>
          <w:b/>
          <w:sz w:val="28"/>
          <w:szCs w:val="28"/>
        </w:rPr>
        <w:t>五、商务应答表</w:t>
      </w:r>
      <w:bookmarkEnd w:id="255"/>
      <w:bookmarkEnd w:id="256"/>
    </w:p>
    <w:p>
      <w:pPr>
        <w:spacing w:line="480" w:lineRule="exact"/>
        <w:ind w:firstLine="509" w:firstLineChars="182"/>
        <w:rPr>
          <w:rFonts w:ascii="宋体" w:hAnsi="宋体" w:cs="仿宋"/>
          <w:sz w:val="28"/>
          <w:szCs w:val="28"/>
        </w:rPr>
      </w:pPr>
      <w:bookmarkStart w:id="257" w:name="_Hlk534971837"/>
      <w:r>
        <w:rPr>
          <w:rFonts w:hint="eastAsia" w:ascii="宋体" w:hAnsi="宋体" w:cs="仿宋"/>
          <w:sz w:val="28"/>
          <w:szCs w:val="28"/>
        </w:rPr>
        <w:t>项目名称：</w:t>
      </w:r>
      <w:r>
        <w:rPr>
          <w:rFonts w:hint="eastAsia" w:ascii="宋体" w:hAnsi="宋体" w:cs="仿宋"/>
          <w:b/>
          <w:sz w:val="28"/>
          <w:szCs w:val="28"/>
          <w:u w:val="single"/>
        </w:rPr>
        <w:t xml:space="preserve">           </w:t>
      </w:r>
    </w:p>
    <w:p>
      <w:pPr>
        <w:spacing w:line="480" w:lineRule="exact"/>
        <w:ind w:firstLine="509" w:firstLineChars="182"/>
        <w:rPr>
          <w:rFonts w:ascii="宋体" w:hAnsi="宋体" w:cs="仿宋"/>
          <w:sz w:val="28"/>
          <w:szCs w:val="28"/>
        </w:rPr>
      </w:pPr>
      <w:r>
        <w:rPr>
          <w:rFonts w:hint="eastAsia" w:ascii="宋体" w:hAnsi="宋体" w:cs="仿宋"/>
          <w:sz w:val="28"/>
          <w:szCs w:val="28"/>
        </w:rPr>
        <w:t>招标编号：</w:t>
      </w:r>
      <w:r>
        <w:rPr>
          <w:rFonts w:hint="eastAsia" w:ascii="宋体" w:hAnsi="宋体" w:cs="仿宋"/>
          <w:b/>
          <w:sz w:val="28"/>
          <w:szCs w:val="28"/>
          <w:u w:val="single"/>
        </w:rPr>
        <w:t xml:space="preserve">           </w:t>
      </w:r>
      <w:r>
        <w:rPr>
          <w:rFonts w:hint="eastAsia" w:ascii="宋体" w:hAnsi="宋体" w:cs="仿宋"/>
          <w:sz w:val="28"/>
          <w:szCs w:val="28"/>
        </w:rPr>
        <w:t xml:space="preserve">                  </w:t>
      </w:r>
      <w:bookmarkEnd w:id="257"/>
    </w:p>
    <w:tbl>
      <w:tblPr>
        <w:tblStyle w:val="43"/>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16"/>
        <w:gridCol w:w="3068"/>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07" w:type="dxa"/>
            <w:vAlign w:val="center"/>
          </w:tcPr>
          <w:p>
            <w:pPr>
              <w:widowControl/>
              <w:spacing w:line="360" w:lineRule="atLeast"/>
              <w:jc w:val="center"/>
              <w:outlineLvl w:val="1"/>
              <w:rPr>
                <w:rFonts w:ascii="宋体" w:hAnsi="宋体" w:cs="仿宋"/>
                <w:sz w:val="28"/>
                <w:szCs w:val="28"/>
              </w:rPr>
            </w:pPr>
            <w:bookmarkStart w:id="258" w:name="_Toc21066"/>
            <w:r>
              <w:rPr>
                <w:rFonts w:hint="eastAsia" w:ascii="宋体" w:hAnsi="宋体" w:cs="仿宋"/>
                <w:sz w:val="28"/>
                <w:szCs w:val="28"/>
              </w:rPr>
              <w:t>序号</w:t>
            </w:r>
            <w:bookmarkEnd w:id="258"/>
          </w:p>
        </w:tc>
        <w:tc>
          <w:tcPr>
            <w:tcW w:w="1916" w:type="dxa"/>
            <w:vAlign w:val="center"/>
          </w:tcPr>
          <w:p>
            <w:pPr>
              <w:widowControl/>
              <w:spacing w:line="360" w:lineRule="atLeast"/>
              <w:jc w:val="center"/>
              <w:outlineLvl w:val="1"/>
              <w:rPr>
                <w:rFonts w:ascii="宋体" w:hAnsi="宋体" w:cs="仿宋"/>
                <w:sz w:val="28"/>
                <w:szCs w:val="28"/>
              </w:rPr>
            </w:pPr>
            <w:bookmarkStart w:id="259" w:name="_Toc12246"/>
            <w:r>
              <w:rPr>
                <w:rFonts w:hint="eastAsia" w:ascii="宋体" w:hAnsi="宋体" w:cs="仿宋"/>
                <w:sz w:val="28"/>
                <w:szCs w:val="28"/>
              </w:rPr>
              <w:t>招标要求</w:t>
            </w:r>
            <w:bookmarkEnd w:id="259"/>
          </w:p>
        </w:tc>
        <w:tc>
          <w:tcPr>
            <w:tcW w:w="3068" w:type="dxa"/>
            <w:vAlign w:val="center"/>
          </w:tcPr>
          <w:p>
            <w:pPr>
              <w:widowControl/>
              <w:spacing w:line="360" w:lineRule="atLeast"/>
              <w:jc w:val="center"/>
              <w:outlineLvl w:val="1"/>
              <w:rPr>
                <w:rFonts w:ascii="宋体" w:hAnsi="宋体" w:cs="仿宋"/>
                <w:sz w:val="28"/>
                <w:szCs w:val="28"/>
              </w:rPr>
            </w:pPr>
            <w:bookmarkStart w:id="260" w:name="_Toc12669"/>
            <w:r>
              <w:rPr>
                <w:rFonts w:hint="eastAsia" w:ascii="宋体" w:hAnsi="宋体" w:cs="仿宋"/>
                <w:sz w:val="28"/>
                <w:szCs w:val="28"/>
              </w:rPr>
              <w:t>投标应答</w:t>
            </w:r>
            <w:bookmarkEnd w:id="260"/>
          </w:p>
        </w:tc>
        <w:tc>
          <w:tcPr>
            <w:tcW w:w="3068" w:type="dxa"/>
            <w:vAlign w:val="center"/>
          </w:tcPr>
          <w:p>
            <w:pPr>
              <w:widowControl/>
              <w:spacing w:line="360" w:lineRule="atLeast"/>
              <w:jc w:val="center"/>
              <w:outlineLvl w:val="1"/>
              <w:rPr>
                <w:rFonts w:ascii="宋体" w:hAnsi="宋体" w:cs="仿宋"/>
                <w:sz w:val="28"/>
                <w:szCs w:val="28"/>
              </w:rPr>
            </w:pPr>
            <w:bookmarkStart w:id="261" w:name="_Toc12181"/>
            <w:r>
              <w:rPr>
                <w:rFonts w:hint="eastAsia" w:ascii="宋体" w:hAnsi="宋体" w:cs="仿宋"/>
                <w:sz w:val="28"/>
                <w:szCs w:val="28"/>
              </w:rPr>
              <w:t>偏离说明</w:t>
            </w:r>
            <w:bookmarkEnd w:id="2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07" w:type="dxa"/>
          </w:tcPr>
          <w:p>
            <w:pPr>
              <w:widowControl/>
              <w:spacing w:line="360" w:lineRule="atLeast"/>
              <w:ind w:firstLine="548" w:firstLineChars="196"/>
              <w:jc w:val="left"/>
              <w:outlineLvl w:val="1"/>
              <w:rPr>
                <w:rFonts w:ascii="宋体" w:hAnsi="宋体" w:cs="仿宋"/>
                <w:sz w:val="28"/>
                <w:szCs w:val="28"/>
              </w:rPr>
            </w:pPr>
          </w:p>
        </w:tc>
        <w:tc>
          <w:tcPr>
            <w:tcW w:w="1916"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07" w:type="dxa"/>
          </w:tcPr>
          <w:p>
            <w:pPr>
              <w:widowControl/>
              <w:spacing w:line="360" w:lineRule="atLeast"/>
              <w:ind w:firstLine="548" w:firstLineChars="196"/>
              <w:jc w:val="left"/>
              <w:outlineLvl w:val="1"/>
              <w:rPr>
                <w:rFonts w:ascii="宋体" w:hAnsi="宋体" w:cs="仿宋"/>
                <w:sz w:val="28"/>
                <w:szCs w:val="28"/>
              </w:rPr>
            </w:pPr>
          </w:p>
        </w:tc>
        <w:tc>
          <w:tcPr>
            <w:tcW w:w="1916"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07" w:type="dxa"/>
          </w:tcPr>
          <w:p>
            <w:pPr>
              <w:widowControl/>
              <w:spacing w:line="360" w:lineRule="atLeast"/>
              <w:ind w:firstLine="548" w:firstLineChars="196"/>
              <w:jc w:val="left"/>
              <w:outlineLvl w:val="1"/>
              <w:rPr>
                <w:rFonts w:ascii="宋体" w:hAnsi="宋体" w:cs="仿宋"/>
                <w:sz w:val="28"/>
                <w:szCs w:val="28"/>
              </w:rPr>
            </w:pPr>
          </w:p>
        </w:tc>
        <w:tc>
          <w:tcPr>
            <w:tcW w:w="1916"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207" w:type="dxa"/>
          </w:tcPr>
          <w:p>
            <w:pPr>
              <w:widowControl/>
              <w:spacing w:line="360" w:lineRule="atLeast"/>
              <w:ind w:firstLine="548" w:firstLineChars="196"/>
              <w:jc w:val="left"/>
              <w:outlineLvl w:val="1"/>
              <w:rPr>
                <w:rFonts w:ascii="宋体" w:hAnsi="宋体" w:cs="仿宋"/>
                <w:sz w:val="28"/>
                <w:szCs w:val="28"/>
              </w:rPr>
            </w:pPr>
          </w:p>
        </w:tc>
        <w:tc>
          <w:tcPr>
            <w:tcW w:w="1916"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c>
          <w:tcPr>
            <w:tcW w:w="3068" w:type="dxa"/>
          </w:tcPr>
          <w:p>
            <w:pPr>
              <w:widowControl/>
              <w:spacing w:line="360" w:lineRule="atLeast"/>
              <w:ind w:firstLine="548" w:firstLineChars="196"/>
              <w:jc w:val="left"/>
              <w:outlineLvl w:val="1"/>
              <w:rPr>
                <w:rFonts w:ascii="宋体" w:hAnsi="宋体" w:cs="仿宋"/>
                <w:sz w:val="28"/>
                <w:szCs w:val="28"/>
              </w:rPr>
            </w:pPr>
          </w:p>
        </w:tc>
      </w:tr>
    </w:tbl>
    <w:p>
      <w:pPr>
        <w:pStyle w:val="2"/>
        <w:rPr>
          <w:sz w:val="28"/>
          <w:szCs w:val="28"/>
        </w:rPr>
      </w:pPr>
      <w:r>
        <w:rPr>
          <w:rFonts w:hint="eastAsia"/>
          <w:sz w:val="28"/>
          <w:szCs w:val="28"/>
        </w:rPr>
        <w:t>注：1、供应商根据招标文件第6章商务要求（包括但不限于）据实填写。2、以上表格格式行、列可增减。3、投标人所有商务条款均完全响应“招标文件”第6章中商务要求的，若未在上表中声明响应情况，视为完全响应不存在任何偏离。4、特别提醒：供应商必须按照招标文件据实填写，不得虚假应答，凡经查实，将取消其成交资格，并上报财政部门，处以采购金额5‰以上10‰以下的罚款，列入不良行为记录名单，在1-3年内禁止参加政府采购活动。</w:t>
      </w:r>
    </w:p>
    <w:p>
      <w:pPr>
        <w:pStyle w:val="3"/>
        <w:ind w:firstLine="180"/>
      </w:pPr>
    </w:p>
    <w:p>
      <w:pPr>
        <w:widowControl/>
        <w:spacing w:line="360" w:lineRule="atLeast"/>
        <w:ind w:firstLine="548" w:firstLineChars="196"/>
        <w:jc w:val="left"/>
        <w:outlineLvl w:val="1"/>
        <w:rPr>
          <w:rFonts w:ascii="宋体" w:hAnsi="宋体" w:cs="仿宋"/>
          <w:sz w:val="28"/>
          <w:szCs w:val="28"/>
        </w:rPr>
      </w:pPr>
      <w:bookmarkStart w:id="262" w:name="_Toc16486"/>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262"/>
    </w:p>
    <w:p>
      <w:pPr>
        <w:widowControl/>
        <w:spacing w:line="360" w:lineRule="atLeast"/>
        <w:ind w:firstLine="548" w:firstLineChars="196"/>
        <w:jc w:val="left"/>
        <w:outlineLvl w:val="1"/>
        <w:rPr>
          <w:rFonts w:ascii="宋体" w:hAnsi="宋体" w:cs="仿宋"/>
          <w:sz w:val="28"/>
          <w:szCs w:val="28"/>
        </w:rPr>
      </w:pPr>
      <w:bookmarkStart w:id="263" w:name="_Toc8942"/>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263"/>
    </w:p>
    <w:p>
      <w:pPr>
        <w:widowControl/>
        <w:spacing w:line="360" w:lineRule="atLeast"/>
        <w:ind w:firstLine="548" w:firstLineChars="196"/>
        <w:jc w:val="left"/>
        <w:outlineLvl w:val="1"/>
        <w:rPr>
          <w:rFonts w:ascii="宋体" w:hAnsi="宋体" w:cs="仿宋"/>
          <w:sz w:val="28"/>
          <w:szCs w:val="28"/>
        </w:rPr>
      </w:pPr>
      <w:bookmarkStart w:id="264" w:name="_Toc9761"/>
      <w:r>
        <w:rPr>
          <w:rFonts w:hint="eastAsia" w:ascii="宋体" w:hAnsi="宋体" w:cs="仿宋"/>
          <w:sz w:val="28"/>
          <w:szCs w:val="28"/>
        </w:rPr>
        <w:t xml:space="preserve">投标日期: </w:t>
      </w:r>
      <w:r>
        <w:rPr>
          <w:rFonts w:hint="eastAsia" w:ascii="宋体" w:hAnsi="宋体" w:cs="仿宋"/>
          <w:b/>
          <w:sz w:val="28"/>
          <w:szCs w:val="28"/>
          <w:u w:val="single"/>
        </w:rPr>
        <w:t xml:space="preserve">           </w:t>
      </w:r>
      <w:r>
        <w:rPr>
          <w:rFonts w:hint="eastAsia" w:ascii="宋体" w:hAnsi="宋体" w:cs="仿宋"/>
          <w:sz w:val="28"/>
          <w:szCs w:val="28"/>
        </w:rPr>
        <w:t>。</w:t>
      </w:r>
      <w:bookmarkEnd w:id="264"/>
    </w:p>
    <w:p>
      <w:pPr>
        <w:spacing w:line="360" w:lineRule="auto"/>
        <w:rPr>
          <w:rFonts w:ascii="宋体" w:hAnsi="宋体" w:cs="仿宋"/>
          <w:sz w:val="24"/>
        </w:rPr>
      </w:pPr>
    </w:p>
    <w:p>
      <w:pPr>
        <w:spacing w:line="360" w:lineRule="auto"/>
        <w:rPr>
          <w:rFonts w:ascii="宋体" w:hAnsi="宋体" w:cs="仿宋"/>
          <w:sz w:val="24"/>
        </w:rPr>
      </w:pPr>
    </w:p>
    <w:p>
      <w:pPr>
        <w:spacing w:line="360" w:lineRule="auto"/>
        <w:rPr>
          <w:rFonts w:ascii="宋体" w:hAnsi="宋体" w:cs="仿宋"/>
          <w:sz w:val="24"/>
        </w:rPr>
      </w:pPr>
    </w:p>
    <w:p>
      <w:pPr>
        <w:widowControl/>
        <w:spacing w:line="360" w:lineRule="atLeast"/>
        <w:ind w:firstLine="630" w:firstLineChars="196"/>
        <w:jc w:val="left"/>
        <w:outlineLvl w:val="1"/>
        <w:rPr>
          <w:rFonts w:ascii="宋体" w:hAnsi="宋体" w:cs="仿宋"/>
          <w:b/>
          <w:sz w:val="32"/>
          <w:szCs w:val="32"/>
        </w:rPr>
      </w:pPr>
      <w:bookmarkStart w:id="265" w:name="_Toc5457"/>
      <w:r>
        <w:rPr>
          <w:rFonts w:hint="eastAsia" w:ascii="宋体" w:hAnsi="宋体" w:cs="仿宋"/>
          <w:b/>
          <w:sz w:val="32"/>
          <w:szCs w:val="32"/>
        </w:rPr>
        <w:t>格式2-</w:t>
      </w:r>
      <w:bookmarkEnd w:id="265"/>
      <w:r>
        <w:rPr>
          <w:rFonts w:hint="eastAsia" w:ascii="宋体" w:hAnsi="宋体" w:cs="仿宋"/>
          <w:b/>
          <w:sz w:val="32"/>
          <w:szCs w:val="32"/>
        </w:rPr>
        <w:t>7</w:t>
      </w:r>
    </w:p>
    <w:p>
      <w:pPr>
        <w:widowControl/>
        <w:spacing w:line="360" w:lineRule="atLeast"/>
        <w:jc w:val="center"/>
        <w:outlineLvl w:val="1"/>
        <w:rPr>
          <w:rFonts w:ascii="宋体" w:hAnsi="宋体" w:cs="仿宋"/>
          <w:b/>
          <w:sz w:val="32"/>
          <w:szCs w:val="32"/>
        </w:rPr>
      </w:pPr>
      <w:bookmarkStart w:id="266" w:name="_Toc12755"/>
      <w:r>
        <w:rPr>
          <w:rFonts w:hint="eastAsia" w:ascii="宋体" w:hAnsi="宋体" w:cs="仿宋"/>
          <w:b/>
          <w:sz w:val="32"/>
          <w:szCs w:val="32"/>
        </w:rPr>
        <w:t>六、技术及其他要求应答表</w:t>
      </w:r>
      <w:bookmarkEnd w:id="266"/>
    </w:p>
    <w:p>
      <w:pPr>
        <w:spacing w:line="360" w:lineRule="auto"/>
        <w:ind w:firstLine="509" w:firstLineChars="182"/>
        <w:rPr>
          <w:rFonts w:ascii="宋体" w:hAnsi="宋体" w:cs="仿宋"/>
          <w:sz w:val="28"/>
          <w:szCs w:val="28"/>
        </w:rPr>
      </w:pPr>
      <w:bookmarkStart w:id="267" w:name="_Hlk534971966"/>
      <w:r>
        <w:rPr>
          <w:rFonts w:hint="eastAsia" w:ascii="宋体" w:hAnsi="宋体" w:cs="仿宋"/>
          <w:sz w:val="28"/>
          <w:szCs w:val="28"/>
        </w:rPr>
        <w:t>项目名称：</w:t>
      </w:r>
      <w:r>
        <w:rPr>
          <w:rFonts w:hint="eastAsia" w:ascii="宋体" w:hAnsi="宋体" w:cs="仿宋"/>
          <w:b/>
          <w:sz w:val="28"/>
          <w:szCs w:val="28"/>
          <w:u w:val="single"/>
        </w:rPr>
        <w:t xml:space="preserve">           </w:t>
      </w:r>
    </w:p>
    <w:p>
      <w:pPr>
        <w:widowControl/>
        <w:spacing w:line="360" w:lineRule="auto"/>
        <w:ind w:firstLine="548" w:firstLineChars="196"/>
        <w:jc w:val="left"/>
        <w:outlineLvl w:val="1"/>
        <w:rPr>
          <w:rFonts w:ascii="宋体" w:hAnsi="宋体" w:cs="仿宋"/>
          <w:sz w:val="28"/>
          <w:szCs w:val="28"/>
        </w:rPr>
      </w:pPr>
      <w:bookmarkStart w:id="268" w:name="_Toc24778"/>
      <w:r>
        <w:rPr>
          <w:rFonts w:hint="eastAsia" w:ascii="宋体" w:hAnsi="宋体" w:cs="仿宋"/>
          <w:sz w:val="28"/>
          <w:szCs w:val="28"/>
        </w:rPr>
        <w:t>招标编号：</w:t>
      </w:r>
      <w:bookmarkEnd w:id="268"/>
      <w:r>
        <w:rPr>
          <w:rFonts w:hint="eastAsia" w:ascii="宋体" w:hAnsi="宋体" w:cs="仿宋"/>
          <w:b/>
          <w:sz w:val="28"/>
          <w:szCs w:val="28"/>
          <w:u w:val="single"/>
        </w:rPr>
        <w:t xml:space="preserve">           </w:t>
      </w:r>
      <w:r>
        <w:rPr>
          <w:rFonts w:hint="eastAsia" w:ascii="宋体" w:hAnsi="宋体" w:cs="仿宋"/>
          <w:sz w:val="28"/>
          <w:szCs w:val="28"/>
        </w:rPr>
        <w:t xml:space="preserve">                 </w:t>
      </w:r>
    </w:p>
    <w:bookmarkEnd w:id="267"/>
    <w:tbl>
      <w:tblPr>
        <w:tblStyle w:val="43"/>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279"/>
        <w:gridCol w:w="2657"/>
        <w:gridCol w:w="2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vAlign w:val="center"/>
          </w:tcPr>
          <w:p>
            <w:pPr>
              <w:widowControl/>
              <w:spacing w:line="360" w:lineRule="auto"/>
              <w:jc w:val="left"/>
              <w:outlineLvl w:val="1"/>
              <w:rPr>
                <w:rFonts w:ascii="宋体" w:hAnsi="宋体" w:cs="仿宋"/>
                <w:sz w:val="28"/>
                <w:szCs w:val="28"/>
              </w:rPr>
            </w:pPr>
            <w:bookmarkStart w:id="269" w:name="_Toc15966"/>
            <w:r>
              <w:rPr>
                <w:rFonts w:hint="eastAsia" w:ascii="宋体" w:hAnsi="宋体" w:cs="仿宋"/>
                <w:sz w:val="28"/>
                <w:szCs w:val="28"/>
              </w:rPr>
              <w:t>序号</w:t>
            </w:r>
            <w:bookmarkEnd w:id="269"/>
          </w:p>
        </w:tc>
        <w:tc>
          <w:tcPr>
            <w:tcW w:w="2279" w:type="dxa"/>
            <w:vAlign w:val="center"/>
          </w:tcPr>
          <w:p>
            <w:pPr>
              <w:widowControl/>
              <w:spacing w:line="360" w:lineRule="auto"/>
              <w:jc w:val="center"/>
              <w:outlineLvl w:val="1"/>
              <w:rPr>
                <w:rFonts w:ascii="宋体" w:hAnsi="宋体" w:cs="仿宋"/>
                <w:sz w:val="28"/>
                <w:szCs w:val="28"/>
              </w:rPr>
            </w:pPr>
            <w:bookmarkStart w:id="270" w:name="_Toc15977"/>
            <w:r>
              <w:rPr>
                <w:rFonts w:hint="eastAsia" w:ascii="宋体" w:hAnsi="宋体" w:cs="仿宋"/>
                <w:sz w:val="28"/>
                <w:szCs w:val="28"/>
              </w:rPr>
              <w:t>招标文件要求</w:t>
            </w:r>
            <w:bookmarkEnd w:id="270"/>
          </w:p>
        </w:tc>
        <w:tc>
          <w:tcPr>
            <w:tcW w:w="2657" w:type="dxa"/>
            <w:vAlign w:val="center"/>
          </w:tcPr>
          <w:p>
            <w:pPr>
              <w:widowControl/>
              <w:spacing w:line="360" w:lineRule="auto"/>
              <w:jc w:val="center"/>
              <w:outlineLvl w:val="1"/>
              <w:rPr>
                <w:rFonts w:ascii="宋体" w:hAnsi="宋体" w:cs="仿宋"/>
                <w:sz w:val="28"/>
                <w:szCs w:val="28"/>
              </w:rPr>
            </w:pPr>
            <w:bookmarkStart w:id="271" w:name="_Toc11106"/>
            <w:r>
              <w:rPr>
                <w:rFonts w:hint="eastAsia" w:ascii="宋体" w:hAnsi="宋体" w:cs="仿宋"/>
                <w:sz w:val="28"/>
                <w:szCs w:val="28"/>
              </w:rPr>
              <w:t>投标文件应答</w:t>
            </w:r>
            <w:bookmarkEnd w:id="271"/>
          </w:p>
        </w:tc>
        <w:tc>
          <w:tcPr>
            <w:tcW w:w="2961" w:type="dxa"/>
            <w:vAlign w:val="center"/>
          </w:tcPr>
          <w:p>
            <w:pPr>
              <w:widowControl/>
              <w:spacing w:line="360" w:lineRule="auto"/>
              <w:jc w:val="center"/>
              <w:outlineLvl w:val="1"/>
              <w:rPr>
                <w:rFonts w:ascii="宋体" w:hAnsi="宋体" w:cs="仿宋"/>
                <w:sz w:val="28"/>
                <w:szCs w:val="28"/>
              </w:rPr>
            </w:pPr>
            <w:bookmarkStart w:id="272" w:name="_Toc14040"/>
            <w:r>
              <w:rPr>
                <w:rFonts w:hint="eastAsia" w:ascii="宋体" w:hAnsi="宋体" w:cs="仿宋"/>
                <w:sz w:val="28"/>
                <w:szCs w:val="28"/>
              </w:rPr>
              <w:t>偏离说明</w:t>
            </w:r>
            <w:bookmarkEnd w:id="2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uto"/>
              <w:ind w:firstLine="548" w:firstLineChars="196"/>
              <w:jc w:val="left"/>
              <w:outlineLvl w:val="1"/>
              <w:rPr>
                <w:rFonts w:ascii="宋体" w:hAnsi="宋体" w:cs="仿宋"/>
                <w:sz w:val="28"/>
                <w:szCs w:val="28"/>
              </w:rPr>
            </w:pPr>
          </w:p>
        </w:tc>
        <w:tc>
          <w:tcPr>
            <w:tcW w:w="2279" w:type="dxa"/>
          </w:tcPr>
          <w:p>
            <w:pPr>
              <w:widowControl/>
              <w:spacing w:line="360" w:lineRule="auto"/>
              <w:ind w:firstLine="548" w:firstLineChars="196"/>
              <w:jc w:val="left"/>
              <w:outlineLvl w:val="1"/>
              <w:rPr>
                <w:rFonts w:ascii="宋体" w:hAnsi="宋体" w:cs="仿宋"/>
                <w:sz w:val="28"/>
                <w:szCs w:val="28"/>
              </w:rPr>
            </w:pPr>
          </w:p>
        </w:tc>
        <w:tc>
          <w:tcPr>
            <w:tcW w:w="2657" w:type="dxa"/>
          </w:tcPr>
          <w:p>
            <w:pPr>
              <w:widowControl/>
              <w:spacing w:line="360" w:lineRule="auto"/>
              <w:ind w:firstLine="548" w:firstLineChars="196"/>
              <w:jc w:val="left"/>
              <w:outlineLvl w:val="1"/>
              <w:rPr>
                <w:rFonts w:ascii="宋体" w:hAnsi="宋体" w:cs="仿宋"/>
                <w:sz w:val="28"/>
                <w:szCs w:val="28"/>
              </w:rPr>
            </w:pPr>
          </w:p>
        </w:tc>
        <w:tc>
          <w:tcPr>
            <w:tcW w:w="2961" w:type="dxa"/>
          </w:tcPr>
          <w:p>
            <w:pPr>
              <w:widowControl/>
              <w:spacing w:line="360" w:lineRule="auto"/>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18" w:type="dxa"/>
          </w:tcPr>
          <w:p>
            <w:pPr>
              <w:widowControl/>
              <w:spacing w:line="360" w:lineRule="auto"/>
              <w:ind w:firstLine="548" w:firstLineChars="196"/>
              <w:jc w:val="left"/>
              <w:outlineLvl w:val="1"/>
              <w:rPr>
                <w:rFonts w:ascii="宋体" w:hAnsi="宋体" w:cs="仿宋"/>
                <w:sz w:val="28"/>
                <w:szCs w:val="28"/>
              </w:rPr>
            </w:pPr>
          </w:p>
        </w:tc>
        <w:tc>
          <w:tcPr>
            <w:tcW w:w="2279" w:type="dxa"/>
          </w:tcPr>
          <w:p>
            <w:pPr>
              <w:widowControl/>
              <w:spacing w:line="360" w:lineRule="auto"/>
              <w:ind w:firstLine="548" w:firstLineChars="196"/>
              <w:jc w:val="left"/>
              <w:outlineLvl w:val="1"/>
              <w:rPr>
                <w:rFonts w:ascii="宋体" w:hAnsi="宋体" w:cs="仿宋"/>
                <w:sz w:val="28"/>
                <w:szCs w:val="28"/>
              </w:rPr>
            </w:pPr>
          </w:p>
        </w:tc>
        <w:tc>
          <w:tcPr>
            <w:tcW w:w="2657" w:type="dxa"/>
          </w:tcPr>
          <w:p>
            <w:pPr>
              <w:widowControl/>
              <w:spacing w:line="360" w:lineRule="auto"/>
              <w:ind w:firstLine="548" w:firstLineChars="196"/>
              <w:jc w:val="left"/>
              <w:outlineLvl w:val="1"/>
              <w:rPr>
                <w:rFonts w:ascii="宋体" w:hAnsi="宋体" w:cs="仿宋"/>
                <w:sz w:val="28"/>
                <w:szCs w:val="28"/>
              </w:rPr>
            </w:pPr>
          </w:p>
        </w:tc>
        <w:tc>
          <w:tcPr>
            <w:tcW w:w="2961" w:type="dxa"/>
          </w:tcPr>
          <w:p>
            <w:pPr>
              <w:widowControl/>
              <w:spacing w:line="360" w:lineRule="auto"/>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uto"/>
              <w:ind w:firstLine="548" w:firstLineChars="196"/>
              <w:jc w:val="left"/>
              <w:outlineLvl w:val="1"/>
              <w:rPr>
                <w:rFonts w:ascii="宋体" w:hAnsi="宋体" w:cs="仿宋"/>
                <w:sz w:val="28"/>
                <w:szCs w:val="28"/>
              </w:rPr>
            </w:pPr>
          </w:p>
        </w:tc>
        <w:tc>
          <w:tcPr>
            <w:tcW w:w="2279" w:type="dxa"/>
          </w:tcPr>
          <w:p>
            <w:pPr>
              <w:widowControl/>
              <w:spacing w:line="360" w:lineRule="auto"/>
              <w:ind w:firstLine="548" w:firstLineChars="196"/>
              <w:jc w:val="left"/>
              <w:outlineLvl w:val="1"/>
              <w:rPr>
                <w:rFonts w:ascii="宋体" w:hAnsi="宋体" w:cs="仿宋"/>
                <w:sz w:val="28"/>
                <w:szCs w:val="28"/>
              </w:rPr>
            </w:pPr>
          </w:p>
        </w:tc>
        <w:tc>
          <w:tcPr>
            <w:tcW w:w="2657" w:type="dxa"/>
          </w:tcPr>
          <w:p>
            <w:pPr>
              <w:widowControl/>
              <w:spacing w:line="360" w:lineRule="auto"/>
              <w:ind w:firstLine="548" w:firstLineChars="196"/>
              <w:jc w:val="left"/>
              <w:outlineLvl w:val="1"/>
              <w:rPr>
                <w:rFonts w:ascii="宋体" w:hAnsi="宋体" w:cs="仿宋"/>
                <w:sz w:val="28"/>
                <w:szCs w:val="28"/>
              </w:rPr>
            </w:pPr>
          </w:p>
        </w:tc>
        <w:tc>
          <w:tcPr>
            <w:tcW w:w="2961" w:type="dxa"/>
          </w:tcPr>
          <w:p>
            <w:pPr>
              <w:widowControl/>
              <w:spacing w:line="360" w:lineRule="auto"/>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uto"/>
              <w:ind w:firstLine="548" w:firstLineChars="196"/>
              <w:jc w:val="left"/>
              <w:outlineLvl w:val="1"/>
              <w:rPr>
                <w:rFonts w:ascii="宋体" w:hAnsi="宋体" w:cs="仿宋"/>
                <w:sz w:val="28"/>
                <w:szCs w:val="28"/>
              </w:rPr>
            </w:pPr>
          </w:p>
        </w:tc>
        <w:tc>
          <w:tcPr>
            <w:tcW w:w="2279" w:type="dxa"/>
          </w:tcPr>
          <w:p>
            <w:pPr>
              <w:widowControl/>
              <w:spacing w:line="360" w:lineRule="auto"/>
              <w:ind w:firstLine="548" w:firstLineChars="196"/>
              <w:jc w:val="left"/>
              <w:outlineLvl w:val="1"/>
              <w:rPr>
                <w:rFonts w:ascii="宋体" w:hAnsi="宋体" w:cs="仿宋"/>
                <w:sz w:val="28"/>
                <w:szCs w:val="28"/>
              </w:rPr>
            </w:pPr>
          </w:p>
        </w:tc>
        <w:tc>
          <w:tcPr>
            <w:tcW w:w="2657" w:type="dxa"/>
          </w:tcPr>
          <w:p>
            <w:pPr>
              <w:widowControl/>
              <w:spacing w:line="360" w:lineRule="auto"/>
              <w:ind w:firstLine="548" w:firstLineChars="196"/>
              <w:jc w:val="left"/>
              <w:outlineLvl w:val="1"/>
              <w:rPr>
                <w:rFonts w:ascii="宋体" w:hAnsi="宋体" w:cs="仿宋"/>
                <w:sz w:val="28"/>
                <w:szCs w:val="28"/>
              </w:rPr>
            </w:pPr>
          </w:p>
        </w:tc>
        <w:tc>
          <w:tcPr>
            <w:tcW w:w="2961" w:type="dxa"/>
          </w:tcPr>
          <w:p>
            <w:pPr>
              <w:widowControl/>
              <w:spacing w:line="360" w:lineRule="auto"/>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uto"/>
              <w:ind w:firstLine="548" w:firstLineChars="196"/>
              <w:jc w:val="left"/>
              <w:outlineLvl w:val="1"/>
              <w:rPr>
                <w:rFonts w:ascii="宋体" w:hAnsi="宋体" w:cs="仿宋"/>
                <w:sz w:val="28"/>
                <w:szCs w:val="28"/>
              </w:rPr>
            </w:pPr>
          </w:p>
        </w:tc>
        <w:tc>
          <w:tcPr>
            <w:tcW w:w="2279" w:type="dxa"/>
          </w:tcPr>
          <w:p>
            <w:pPr>
              <w:widowControl/>
              <w:spacing w:line="360" w:lineRule="auto"/>
              <w:ind w:firstLine="548" w:firstLineChars="196"/>
              <w:jc w:val="left"/>
              <w:outlineLvl w:val="1"/>
              <w:rPr>
                <w:rFonts w:ascii="宋体" w:hAnsi="宋体" w:cs="仿宋"/>
                <w:sz w:val="28"/>
                <w:szCs w:val="28"/>
              </w:rPr>
            </w:pPr>
          </w:p>
        </w:tc>
        <w:tc>
          <w:tcPr>
            <w:tcW w:w="2657" w:type="dxa"/>
          </w:tcPr>
          <w:p>
            <w:pPr>
              <w:widowControl/>
              <w:spacing w:line="360" w:lineRule="auto"/>
              <w:ind w:firstLine="548" w:firstLineChars="196"/>
              <w:jc w:val="left"/>
              <w:outlineLvl w:val="1"/>
              <w:rPr>
                <w:rFonts w:ascii="宋体" w:hAnsi="宋体" w:cs="仿宋"/>
                <w:sz w:val="28"/>
                <w:szCs w:val="28"/>
              </w:rPr>
            </w:pPr>
          </w:p>
        </w:tc>
        <w:tc>
          <w:tcPr>
            <w:tcW w:w="2961" w:type="dxa"/>
          </w:tcPr>
          <w:p>
            <w:pPr>
              <w:widowControl/>
              <w:spacing w:line="360" w:lineRule="auto"/>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18" w:type="dxa"/>
          </w:tcPr>
          <w:p>
            <w:pPr>
              <w:widowControl/>
              <w:spacing w:line="360" w:lineRule="auto"/>
              <w:ind w:firstLine="548" w:firstLineChars="196"/>
              <w:jc w:val="left"/>
              <w:outlineLvl w:val="1"/>
              <w:rPr>
                <w:rFonts w:ascii="宋体" w:hAnsi="宋体" w:cs="仿宋"/>
                <w:sz w:val="28"/>
                <w:szCs w:val="28"/>
              </w:rPr>
            </w:pPr>
          </w:p>
        </w:tc>
        <w:tc>
          <w:tcPr>
            <w:tcW w:w="2279" w:type="dxa"/>
          </w:tcPr>
          <w:p>
            <w:pPr>
              <w:widowControl/>
              <w:spacing w:line="360" w:lineRule="auto"/>
              <w:ind w:firstLine="548" w:firstLineChars="196"/>
              <w:jc w:val="left"/>
              <w:outlineLvl w:val="1"/>
              <w:rPr>
                <w:rFonts w:ascii="宋体" w:hAnsi="宋体" w:cs="仿宋"/>
                <w:sz w:val="28"/>
                <w:szCs w:val="28"/>
              </w:rPr>
            </w:pPr>
          </w:p>
        </w:tc>
        <w:tc>
          <w:tcPr>
            <w:tcW w:w="2657" w:type="dxa"/>
          </w:tcPr>
          <w:p>
            <w:pPr>
              <w:widowControl/>
              <w:spacing w:line="360" w:lineRule="auto"/>
              <w:ind w:firstLine="548" w:firstLineChars="196"/>
              <w:jc w:val="left"/>
              <w:outlineLvl w:val="1"/>
              <w:rPr>
                <w:rFonts w:ascii="宋体" w:hAnsi="宋体" w:cs="仿宋"/>
                <w:sz w:val="28"/>
                <w:szCs w:val="28"/>
              </w:rPr>
            </w:pPr>
          </w:p>
        </w:tc>
        <w:tc>
          <w:tcPr>
            <w:tcW w:w="2961" w:type="dxa"/>
          </w:tcPr>
          <w:p>
            <w:pPr>
              <w:widowControl/>
              <w:spacing w:line="360" w:lineRule="auto"/>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8" w:type="dxa"/>
          </w:tcPr>
          <w:p>
            <w:pPr>
              <w:widowControl/>
              <w:spacing w:line="360" w:lineRule="auto"/>
              <w:ind w:firstLine="548" w:firstLineChars="196"/>
              <w:jc w:val="left"/>
              <w:outlineLvl w:val="1"/>
              <w:rPr>
                <w:rFonts w:ascii="宋体" w:hAnsi="宋体" w:cs="仿宋"/>
                <w:sz w:val="28"/>
                <w:szCs w:val="28"/>
              </w:rPr>
            </w:pPr>
          </w:p>
        </w:tc>
        <w:tc>
          <w:tcPr>
            <w:tcW w:w="2279" w:type="dxa"/>
          </w:tcPr>
          <w:p>
            <w:pPr>
              <w:widowControl/>
              <w:spacing w:line="360" w:lineRule="auto"/>
              <w:ind w:firstLine="548" w:firstLineChars="196"/>
              <w:jc w:val="left"/>
              <w:outlineLvl w:val="1"/>
              <w:rPr>
                <w:rFonts w:ascii="宋体" w:hAnsi="宋体" w:cs="仿宋"/>
                <w:sz w:val="28"/>
                <w:szCs w:val="28"/>
              </w:rPr>
            </w:pPr>
          </w:p>
        </w:tc>
        <w:tc>
          <w:tcPr>
            <w:tcW w:w="2657" w:type="dxa"/>
          </w:tcPr>
          <w:p>
            <w:pPr>
              <w:widowControl/>
              <w:spacing w:line="360" w:lineRule="auto"/>
              <w:ind w:firstLine="548" w:firstLineChars="196"/>
              <w:jc w:val="left"/>
              <w:outlineLvl w:val="1"/>
              <w:rPr>
                <w:rFonts w:ascii="宋体" w:hAnsi="宋体" w:cs="仿宋"/>
                <w:sz w:val="28"/>
                <w:szCs w:val="28"/>
              </w:rPr>
            </w:pPr>
          </w:p>
        </w:tc>
        <w:tc>
          <w:tcPr>
            <w:tcW w:w="2961" w:type="dxa"/>
          </w:tcPr>
          <w:p>
            <w:pPr>
              <w:widowControl/>
              <w:spacing w:line="360" w:lineRule="auto"/>
              <w:ind w:firstLine="548" w:firstLineChars="196"/>
              <w:jc w:val="left"/>
              <w:outlineLvl w:val="1"/>
              <w:rPr>
                <w:rFonts w:ascii="宋体" w:hAnsi="宋体" w:cs="仿宋"/>
                <w:sz w:val="28"/>
                <w:szCs w:val="28"/>
              </w:rPr>
            </w:pPr>
          </w:p>
        </w:tc>
      </w:tr>
    </w:tbl>
    <w:p>
      <w:pPr>
        <w:widowControl/>
        <w:spacing w:line="360" w:lineRule="auto"/>
        <w:ind w:firstLine="548" w:firstLineChars="196"/>
        <w:jc w:val="left"/>
        <w:outlineLvl w:val="1"/>
        <w:rPr>
          <w:rFonts w:ascii="宋体" w:hAnsi="宋体" w:cs="仿宋"/>
          <w:sz w:val="28"/>
          <w:szCs w:val="28"/>
        </w:rPr>
      </w:pPr>
      <w:r>
        <w:rPr>
          <w:rFonts w:hint="eastAsia" w:ascii="宋体" w:hAnsi="宋体" w:cs="仿宋"/>
          <w:sz w:val="28"/>
          <w:szCs w:val="28"/>
        </w:rPr>
        <w:t>注：1、以上表格格式行、列可增减。</w:t>
      </w:r>
    </w:p>
    <w:p>
      <w:pPr>
        <w:widowControl/>
        <w:spacing w:line="360" w:lineRule="auto"/>
        <w:ind w:firstLine="548" w:firstLineChars="196"/>
        <w:jc w:val="left"/>
        <w:outlineLvl w:val="1"/>
        <w:rPr>
          <w:rFonts w:ascii="宋体" w:hAnsi="宋体" w:cs="仿宋"/>
          <w:sz w:val="28"/>
          <w:szCs w:val="28"/>
        </w:rPr>
      </w:pPr>
      <w:r>
        <w:rPr>
          <w:rFonts w:hint="eastAsia" w:ascii="宋体" w:hAnsi="宋体" w:cs="仿宋"/>
          <w:sz w:val="28"/>
          <w:szCs w:val="28"/>
        </w:rPr>
        <w:t>2、供应商必须把招标项目的全部技术参数列入此表，若未在上表中声明响应情况，视为完全响应不存在任何偏离。</w:t>
      </w:r>
    </w:p>
    <w:p>
      <w:pPr>
        <w:widowControl/>
        <w:spacing w:line="360" w:lineRule="auto"/>
        <w:ind w:firstLine="548" w:firstLineChars="196"/>
        <w:jc w:val="left"/>
        <w:outlineLvl w:val="1"/>
        <w:rPr>
          <w:rFonts w:ascii="宋体" w:hAnsi="宋体" w:cs="仿宋"/>
          <w:sz w:val="28"/>
          <w:szCs w:val="28"/>
        </w:rPr>
      </w:pPr>
      <w:r>
        <w:rPr>
          <w:rFonts w:hint="eastAsia" w:ascii="宋体" w:hAnsi="宋体" w:cs="仿宋"/>
          <w:sz w:val="28"/>
          <w:szCs w:val="28"/>
        </w:rPr>
        <w:t>3、供应商必须不得虚假响应，凡经查实，将取消其成交资格；并上报财政部门，处以采购金额5‰以上10‰以下的罚款，列入不良行为记录名单，在1-3年内禁止参加政府采购活动。</w:t>
      </w:r>
    </w:p>
    <w:p>
      <w:pPr>
        <w:widowControl/>
        <w:spacing w:line="360" w:lineRule="auto"/>
        <w:ind w:firstLine="548" w:firstLineChars="196"/>
        <w:jc w:val="left"/>
        <w:outlineLvl w:val="1"/>
        <w:rPr>
          <w:rFonts w:ascii="宋体" w:hAnsi="宋体" w:cs="仿宋"/>
          <w:sz w:val="28"/>
          <w:szCs w:val="28"/>
        </w:rPr>
      </w:pPr>
      <w:bookmarkStart w:id="273" w:name="_Toc30650"/>
      <w:bookmarkStart w:id="274" w:name="_Hlk534972025"/>
    </w:p>
    <w:p>
      <w:pPr>
        <w:widowControl/>
        <w:spacing w:line="360" w:lineRule="auto"/>
        <w:ind w:firstLine="548" w:firstLineChars="196"/>
        <w:jc w:val="left"/>
        <w:outlineLvl w:val="1"/>
        <w:rPr>
          <w:rFonts w:ascii="宋体" w:hAnsi="宋体" w:cs="仿宋"/>
          <w:sz w:val="28"/>
          <w:szCs w:val="28"/>
        </w:rPr>
      </w:pPr>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273"/>
    </w:p>
    <w:p>
      <w:pPr>
        <w:widowControl/>
        <w:spacing w:line="360" w:lineRule="auto"/>
        <w:ind w:firstLine="548" w:firstLineChars="196"/>
        <w:jc w:val="left"/>
        <w:outlineLvl w:val="1"/>
        <w:rPr>
          <w:rFonts w:ascii="宋体" w:hAnsi="宋体" w:cs="仿宋"/>
          <w:sz w:val="28"/>
          <w:szCs w:val="28"/>
        </w:rPr>
      </w:pPr>
      <w:bookmarkStart w:id="275" w:name="_Toc28816"/>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275"/>
    </w:p>
    <w:p>
      <w:pPr>
        <w:widowControl/>
        <w:spacing w:line="360" w:lineRule="auto"/>
        <w:ind w:firstLine="548" w:firstLineChars="196"/>
        <w:jc w:val="left"/>
        <w:outlineLvl w:val="1"/>
        <w:rPr>
          <w:rFonts w:ascii="宋体" w:hAnsi="宋体" w:cs="仿宋"/>
          <w:sz w:val="28"/>
          <w:szCs w:val="28"/>
        </w:rPr>
      </w:pPr>
      <w:bookmarkStart w:id="276" w:name="_Toc6444"/>
      <w:r>
        <w:rPr>
          <w:rFonts w:hint="eastAsia" w:ascii="宋体" w:hAnsi="宋体" w:cs="仿宋"/>
          <w:sz w:val="28"/>
          <w:szCs w:val="28"/>
        </w:rPr>
        <w:t xml:space="preserve">投标日期: </w:t>
      </w:r>
      <w:r>
        <w:rPr>
          <w:rFonts w:hint="eastAsia" w:ascii="宋体" w:hAnsi="宋体" w:cs="仿宋"/>
          <w:b/>
          <w:sz w:val="28"/>
          <w:szCs w:val="28"/>
          <w:u w:val="single"/>
        </w:rPr>
        <w:t xml:space="preserve">           </w:t>
      </w:r>
      <w:r>
        <w:rPr>
          <w:rFonts w:hint="eastAsia" w:ascii="宋体" w:hAnsi="宋体" w:cs="仿宋"/>
          <w:sz w:val="28"/>
          <w:szCs w:val="28"/>
        </w:rPr>
        <w:t>。</w:t>
      </w:r>
      <w:bookmarkEnd w:id="276"/>
    </w:p>
    <w:bookmarkEnd w:id="274"/>
    <w:p>
      <w:pPr>
        <w:spacing w:line="360" w:lineRule="auto"/>
        <w:rPr>
          <w:rFonts w:ascii="宋体" w:hAnsi="宋体" w:cs="仿宋"/>
          <w:b/>
          <w:sz w:val="32"/>
          <w:szCs w:val="32"/>
        </w:rPr>
      </w:pPr>
      <w:r>
        <w:rPr>
          <w:rFonts w:hint="eastAsia" w:ascii="宋体" w:hAnsi="宋体" w:cs="仿宋"/>
          <w:b/>
          <w:sz w:val="32"/>
          <w:szCs w:val="32"/>
        </w:rPr>
        <w:t>格式2-8</w:t>
      </w:r>
    </w:p>
    <w:p>
      <w:pPr>
        <w:widowControl/>
        <w:spacing w:line="360" w:lineRule="atLeast"/>
        <w:jc w:val="center"/>
        <w:outlineLvl w:val="1"/>
        <w:rPr>
          <w:rFonts w:ascii="宋体" w:hAnsi="宋体" w:cs="仿宋"/>
          <w:b/>
          <w:sz w:val="32"/>
          <w:szCs w:val="32"/>
        </w:rPr>
      </w:pPr>
      <w:bookmarkStart w:id="277" w:name="_Toc217446088"/>
      <w:bookmarkStart w:id="278" w:name="_Toc17389"/>
      <w:r>
        <w:rPr>
          <w:rFonts w:hint="eastAsia" w:ascii="宋体" w:hAnsi="宋体" w:cs="仿宋"/>
          <w:b/>
          <w:sz w:val="32"/>
          <w:szCs w:val="32"/>
        </w:rPr>
        <w:t>七、投标人基本情况表</w:t>
      </w:r>
      <w:bookmarkEnd w:id="277"/>
      <w:bookmarkEnd w:id="278"/>
    </w:p>
    <w:tbl>
      <w:tblPr>
        <w:tblStyle w:val="43"/>
        <w:tblW w:w="9159"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839"/>
        <w:gridCol w:w="1095"/>
        <w:gridCol w:w="1210"/>
        <w:gridCol w:w="1390"/>
        <w:gridCol w:w="1471"/>
        <w:gridCol w:w="429"/>
        <w:gridCol w:w="518"/>
        <w:gridCol w:w="120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93" w:hRule="atLeast"/>
        </w:trPr>
        <w:tc>
          <w:tcPr>
            <w:tcW w:w="1839" w:type="dxa"/>
            <w:vAlign w:val="center"/>
          </w:tcPr>
          <w:p>
            <w:pPr>
              <w:widowControl/>
              <w:spacing w:line="360" w:lineRule="atLeast"/>
              <w:jc w:val="left"/>
              <w:outlineLvl w:val="1"/>
              <w:rPr>
                <w:rFonts w:ascii="宋体" w:hAnsi="宋体" w:cs="仿宋"/>
                <w:sz w:val="28"/>
                <w:szCs w:val="28"/>
              </w:rPr>
            </w:pPr>
            <w:bookmarkStart w:id="279" w:name="_Toc31775"/>
            <w:r>
              <w:rPr>
                <w:rFonts w:hint="eastAsia" w:ascii="宋体" w:hAnsi="宋体" w:cs="仿宋"/>
                <w:sz w:val="28"/>
                <w:szCs w:val="28"/>
              </w:rPr>
              <w:t>投标人名称</w:t>
            </w:r>
            <w:bookmarkEnd w:id="279"/>
          </w:p>
        </w:tc>
        <w:tc>
          <w:tcPr>
            <w:tcW w:w="7320" w:type="dxa"/>
            <w:gridSpan w:val="7"/>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80" w:hRule="atLeast"/>
        </w:trPr>
        <w:tc>
          <w:tcPr>
            <w:tcW w:w="1839" w:type="dxa"/>
            <w:vAlign w:val="center"/>
          </w:tcPr>
          <w:p>
            <w:pPr>
              <w:widowControl/>
              <w:spacing w:line="360" w:lineRule="atLeast"/>
              <w:jc w:val="left"/>
              <w:outlineLvl w:val="1"/>
              <w:rPr>
                <w:rFonts w:ascii="宋体" w:hAnsi="宋体" w:cs="仿宋"/>
                <w:sz w:val="28"/>
                <w:szCs w:val="28"/>
              </w:rPr>
            </w:pPr>
            <w:bookmarkStart w:id="280" w:name="_Toc30620"/>
            <w:r>
              <w:rPr>
                <w:rFonts w:hint="eastAsia" w:ascii="宋体" w:hAnsi="宋体" w:cs="仿宋"/>
                <w:sz w:val="28"/>
                <w:szCs w:val="28"/>
              </w:rPr>
              <w:t>注册地址</w:t>
            </w:r>
            <w:bookmarkEnd w:id="280"/>
          </w:p>
        </w:tc>
        <w:tc>
          <w:tcPr>
            <w:tcW w:w="3695" w:type="dxa"/>
            <w:gridSpan w:val="3"/>
            <w:vAlign w:val="center"/>
          </w:tcPr>
          <w:p>
            <w:pPr>
              <w:widowControl/>
              <w:spacing w:line="360" w:lineRule="atLeast"/>
              <w:ind w:firstLine="548" w:firstLineChars="196"/>
              <w:jc w:val="left"/>
              <w:outlineLvl w:val="1"/>
              <w:rPr>
                <w:rFonts w:ascii="宋体" w:hAnsi="宋体" w:cs="仿宋"/>
                <w:sz w:val="28"/>
                <w:szCs w:val="28"/>
              </w:rPr>
            </w:pPr>
          </w:p>
        </w:tc>
        <w:tc>
          <w:tcPr>
            <w:tcW w:w="1471" w:type="dxa"/>
            <w:vAlign w:val="center"/>
          </w:tcPr>
          <w:p>
            <w:pPr>
              <w:widowControl/>
              <w:spacing w:line="360" w:lineRule="atLeast"/>
              <w:jc w:val="left"/>
              <w:outlineLvl w:val="1"/>
              <w:rPr>
                <w:rFonts w:ascii="宋体" w:hAnsi="宋体" w:cs="仿宋"/>
                <w:sz w:val="28"/>
                <w:szCs w:val="28"/>
              </w:rPr>
            </w:pPr>
            <w:bookmarkStart w:id="281" w:name="_Toc28830"/>
            <w:r>
              <w:rPr>
                <w:rFonts w:hint="eastAsia" w:ascii="宋体" w:hAnsi="宋体" w:cs="仿宋"/>
                <w:sz w:val="28"/>
                <w:szCs w:val="28"/>
              </w:rPr>
              <w:t>邮政编码</w:t>
            </w:r>
            <w:bookmarkEnd w:id="281"/>
          </w:p>
        </w:tc>
        <w:tc>
          <w:tcPr>
            <w:tcW w:w="2154" w:type="dxa"/>
            <w:gridSpan w:val="3"/>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80" w:hRule="atLeast"/>
        </w:trPr>
        <w:tc>
          <w:tcPr>
            <w:tcW w:w="1839" w:type="dxa"/>
            <w:vMerge w:val="restart"/>
            <w:vAlign w:val="center"/>
          </w:tcPr>
          <w:p>
            <w:pPr>
              <w:widowControl/>
              <w:spacing w:line="360" w:lineRule="atLeast"/>
              <w:jc w:val="left"/>
              <w:outlineLvl w:val="1"/>
              <w:rPr>
                <w:rFonts w:ascii="宋体" w:hAnsi="宋体" w:cs="仿宋"/>
                <w:sz w:val="28"/>
                <w:szCs w:val="28"/>
              </w:rPr>
            </w:pPr>
            <w:bookmarkStart w:id="282" w:name="_Toc31772"/>
            <w:r>
              <w:rPr>
                <w:rFonts w:hint="eastAsia" w:ascii="宋体" w:hAnsi="宋体" w:cs="仿宋"/>
                <w:sz w:val="28"/>
                <w:szCs w:val="28"/>
              </w:rPr>
              <w:t>联系方式</w:t>
            </w:r>
            <w:bookmarkEnd w:id="282"/>
          </w:p>
        </w:tc>
        <w:tc>
          <w:tcPr>
            <w:tcW w:w="1095" w:type="dxa"/>
            <w:vAlign w:val="center"/>
          </w:tcPr>
          <w:p>
            <w:pPr>
              <w:widowControl/>
              <w:spacing w:line="360" w:lineRule="atLeast"/>
              <w:jc w:val="left"/>
              <w:outlineLvl w:val="1"/>
              <w:rPr>
                <w:rFonts w:ascii="宋体" w:hAnsi="宋体" w:cs="仿宋"/>
                <w:sz w:val="28"/>
                <w:szCs w:val="28"/>
              </w:rPr>
            </w:pPr>
            <w:bookmarkStart w:id="283" w:name="_Toc2887"/>
            <w:r>
              <w:rPr>
                <w:rFonts w:hint="eastAsia" w:ascii="宋体" w:hAnsi="宋体" w:cs="仿宋"/>
                <w:sz w:val="28"/>
                <w:szCs w:val="28"/>
              </w:rPr>
              <w:t>联系人</w:t>
            </w:r>
            <w:bookmarkEnd w:id="283"/>
          </w:p>
        </w:tc>
        <w:tc>
          <w:tcPr>
            <w:tcW w:w="2600"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1471" w:type="dxa"/>
            <w:vAlign w:val="center"/>
          </w:tcPr>
          <w:p>
            <w:pPr>
              <w:widowControl/>
              <w:spacing w:line="360" w:lineRule="atLeast"/>
              <w:ind w:firstLine="548" w:firstLineChars="196"/>
              <w:jc w:val="left"/>
              <w:outlineLvl w:val="1"/>
              <w:rPr>
                <w:rFonts w:ascii="宋体" w:hAnsi="宋体" w:cs="仿宋"/>
                <w:sz w:val="28"/>
                <w:szCs w:val="28"/>
              </w:rPr>
            </w:pPr>
            <w:bookmarkStart w:id="284" w:name="_Toc18757"/>
            <w:r>
              <w:rPr>
                <w:rFonts w:hint="eastAsia" w:ascii="宋体" w:hAnsi="宋体" w:cs="仿宋"/>
                <w:sz w:val="28"/>
                <w:szCs w:val="28"/>
              </w:rPr>
              <w:t>电话</w:t>
            </w:r>
            <w:bookmarkEnd w:id="284"/>
          </w:p>
        </w:tc>
        <w:tc>
          <w:tcPr>
            <w:tcW w:w="2154" w:type="dxa"/>
            <w:gridSpan w:val="3"/>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80" w:hRule="atLeast"/>
        </w:trPr>
        <w:tc>
          <w:tcPr>
            <w:tcW w:w="1839" w:type="dxa"/>
            <w:vMerge w:val="continue"/>
            <w:vAlign w:val="center"/>
          </w:tcPr>
          <w:p>
            <w:pPr>
              <w:rPr>
                <w:rFonts w:ascii="宋体" w:hAnsi="宋体" w:cs="仿宋"/>
                <w:sz w:val="28"/>
                <w:szCs w:val="28"/>
              </w:rPr>
            </w:pPr>
          </w:p>
        </w:tc>
        <w:tc>
          <w:tcPr>
            <w:tcW w:w="1095" w:type="dxa"/>
            <w:vAlign w:val="center"/>
          </w:tcPr>
          <w:p>
            <w:pPr>
              <w:widowControl/>
              <w:spacing w:line="360" w:lineRule="atLeast"/>
              <w:jc w:val="left"/>
              <w:outlineLvl w:val="1"/>
              <w:rPr>
                <w:rFonts w:ascii="宋体" w:hAnsi="宋体" w:cs="仿宋"/>
                <w:sz w:val="28"/>
                <w:szCs w:val="28"/>
              </w:rPr>
            </w:pPr>
            <w:bookmarkStart w:id="285" w:name="_Toc2938"/>
            <w:r>
              <w:rPr>
                <w:rFonts w:hint="eastAsia" w:ascii="宋体" w:hAnsi="宋体" w:cs="仿宋"/>
                <w:sz w:val="28"/>
                <w:szCs w:val="28"/>
              </w:rPr>
              <w:t>传真</w:t>
            </w:r>
            <w:bookmarkEnd w:id="285"/>
          </w:p>
        </w:tc>
        <w:tc>
          <w:tcPr>
            <w:tcW w:w="2600"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1471" w:type="dxa"/>
            <w:vAlign w:val="center"/>
          </w:tcPr>
          <w:p>
            <w:pPr>
              <w:widowControl/>
              <w:spacing w:line="360" w:lineRule="atLeast"/>
              <w:ind w:firstLine="548" w:firstLineChars="196"/>
              <w:jc w:val="left"/>
              <w:outlineLvl w:val="1"/>
              <w:rPr>
                <w:rFonts w:ascii="宋体" w:hAnsi="宋体" w:cs="仿宋"/>
                <w:sz w:val="28"/>
                <w:szCs w:val="28"/>
              </w:rPr>
            </w:pPr>
            <w:bookmarkStart w:id="286" w:name="_Toc21563"/>
            <w:r>
              <w:rPr>
                <w:rFonts w:hint="eastAsia" w:ascii="宋体" w:hAnsi="宋体" w:cs="仿宋"/>
                <w:sz w:val="28"/>
                <w:szCs w:val="28"/>
              </w:rPr>
              <w:t>网址</w:t>
            </w:r>
            <w:bookmarkEnd w:id="286"/>
          </w:p>
        </w:tc>
        <w:tc>
          <w:tcPr>
            <w:tcW w:w="2154" w:type="dxa"/>
            <w:gridSpan w:val="3"/>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80" w:hRule="atLeast"/>
        </w:trPr>
        <w:tc>
          <w:tcPr>
            <w:tcW w:w="1839" w:type="dxa"/>
            <w:vAlign w:val="center"/>
          </w:tcPr>
          <w:p>
            <w:pPr>
              <w:widowControl/>
              <w:spacing w:line="360" w:lineRule="atLeast"/>
              <w:jc w:val="left"/>
              <w:outlineLvl w:val="1"/>
              <w:rPr>
                <w:rFonts w:ascii="宋体" w:hAnsi="宋体" w:cs="仿宋"/>
                <w:sz w:val="28"/>
                <w:szCs w:val="28"/>
              </w:rPr>
            </w:pPr>
            <w:bookmarkStart w:id="287" w:name="_Toc11"/>
            <w:r>
              <w:rPr>
                <w:rFonts w:hint="eastAsia" w:ascii="宋体" w:hAnsi="宋体" w:cs="仿宋"/>
                <w:sz w:val="28"/>
                <w:szCs w:val="28"/>
              </w:rPr>
              <w:t>组织结构</w:t>
            </w:r>
            <w:bookmarkEnd w:id="287"/>
          </w:p>
        </w:tc>
        <w:tc>
          <w:tcPr>
            <w:tcW w:w="7320" w:type="dxa"/>
            <w:gridSpan w:val="7"/>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839" w:type="dxa"/>
            <w:vAlign w:val="center"/>
          </w:tcPr>
          <w:p>
            <w:pPr>
              <w:widowControl/>
              <w:spacing w:line="360" w:lineRule="atLeast"/>
              <w:jc w:val="left"/>
              <w:outlineLvl w:val="1"/>
              <w:rPr>
                <w:rFonts w:ascii="宋体" w:hAnsi="宋体" w:cs="仿宋"/>
                <w:sz w:val="28"/>
                <w:szCs w:val="28"/>
              </w:rPr>
            </w:pPr>
            <w:bookmarkStart w:id="288" w:name="_Toc3541"/>
            <w:r>
              <w:rPr>
                <w:rFonts w:hint="eastAsia" w:ascii="宋体" w:hAnsi="宋体" w:cs="仿宋"/>
                <w:sz w:val="28"/>
                <w:szCs w:val="28"/>
              </w:rPr>
              <w:t>法定代表人</w:t>
            </w:r>
            <w:bookmarkEnd w:id="288"/>
          </w:p>
        </w:tc>
        <w:tc>
          <w:tcPr>
            <w:tcW w:w="1095" w:type="dxa"/>
            <w:vAlign w:val="center"/>
          </w:tcPr>
          <w:p>
            <w:pPr>
              <w:widowControl/>
              <w:spacing w:line="360" w:lineRule="atLeast"/>
              <w:jc w:val="left"/>
              <w:outlineLvl w:val="1"/>
              <w:rPr>
                <w:rFonts w:ascii="宋体" w:hAnsi="宋体" w:cs="仿宋"/>
                <w:sz w:val="28"/>
                <w:szCs w:val="28"/>
              </w:rPr>
            </w:pPr>
            <w:bookmarkStart w:id="289" w:name="_Toc1657"/>
            <w:r>
              <w:rPr>
                <w:rFonts w:hint="eastAsia" w:ascii="宋体" w:hAnsi="宋体" w:cs="仿宋"/>
                <w:sz w:val="28"/>
                <w:szCs w:val="28"/>
              </w:rPr>
              <w:t>姓名</w:t>
            </w:r>
            <w:bookmarkEnd w:id="289"/>
          </w:p>
        </w:tc>
        <w:tc>
          <w:tcPr>
            <w:tcW w:w="1210" w:type="dxa"/>
            <w:vAlign w:val="center"/>
          </w:tcPr>
          <w:p>
            <w:pPr>
              <w:widowControl/>
              <w:spacing w:line="360" w:lineRule="atLeast"/>
              <w:ind w:firstLine="548" w:firstLineChars="196"/>
              <w:jc w:val="left"/>
              <w:outlineLvl w:val="1"/>
              <w:rPr>
                <w:rFonts w:ascii="宋体" w:hAnsi="宋体" w:cs="仿宋"/>
                <w:sz w:val="28"/>
                <w:szCs w:val="28"/>
              </w:rPr>
            </w:pPr>
          </w:p>
        </w:tc>
        <w:tc>
          <w:tcPr>
            <w:tcW w:w="1390" w:type="dxa"/>
            <w:vAlign w:val="center"/>
          </w:tcPr>
          <w:p>
            <w:pPr>
              <w:widowControl/>
              <w:spacing w:line="360" w:lineRule="atLeast"/>
              <w:jc w:val="left"/>
              <w:outlineLvl w:val="1"/>
              <w:rPr>
                <w:rFonts w:ascii="宋体" w:hAnsi="宋体" w:cs="仿宋"/>
                <w:sz w:val="28"/>
                <w:szCs w:val="28"/>
              </w:rPr>
            </w:pPr>
            <w:bookmarkStart w:id="290" w:name="_Toc30068"/>
            <w:r>
              <w:rPr>
                <w:rFonts w:hint="eastAsia" w:ascii="宋体" w:hAnsi="宋体" w:cs="仿宋"/>
                <w:sz w:val="28"/>
                <w:szCs w:val="28"/>
              </w:rPr>
              <w:t>技术职称</w:t>
            </w:r>
            <w:bookmarkEnd w:id="290"/>
          </w:p>
        </w:tc>
        <w:tc>
          <w:tcPr>
            <w:tcW w:w="1471" w:type="dxa"/>
            <w:vAlign w:val="center"/>
          </w:tcPr>
          <w:p>
            <w:pPr>
              <w:widowControl/>
              <w:spacing w:line="360" w:lineRule="atLeast"/>
              <w:ind w:firstLine="548" w:firstLineChars="196"/>
              <w:jc w:val="left"/>
              <w:outlineLvl w:val="1"/>
              <w:rPr>
                <w:rFonts w:ascii="宋体" w:hAnsi="宋体" w:cs="仿宋"/>
                <w:sz w:val="28"/>
                <w:szCs w:val="28"/>
              </w:rPr>
            </w:pPr>
          </w:p>
        </w:tc>
        <w:tc>
          <w:tcPr>
            <w:tcW w:w="947" w:type="dxa"/>
            <w:gridSpan w:val="2"/>
            <w:vAlign w:val="center"/>
          </w:tcPr>
          <w:p>
            <w:pPr>
              <w:widowControl/>
              <w:spacing w:line="360" w:lineRule="atLeast"/>
              <w:jc w:val="left"/>
              <w:outlineLvl w:val="1"/>
              <w:rPr>
                <w:rFonts w:ascii="宋体" w:hAnsi="宋体" w:cs="仿宋"/>
                <w:sz w:val="28"/>
                <w:szCs w:val="28"/>
              </w:rPr>
            </w:pPr>
            <w:bookmarkStart w:id="291" w:name="_Toc8446"/>
            <w:r>
              <w:rPr>
                <w:rFonts w:hint="eastAsia" w:ascii="宋体" w:hAnsi="宋体" w:cs="仿宋"/>
                <w:sz w:val="28"/>
                <w:szCs w:val="28"/>
              </w:rPr>
              <w:t>电话</w:t>
            </w:r>
            <w:bookmarkEnd w:id="291"/>
          </w:p>
        </w:tc>
        <w:tc>
          <w:tcPr>
            <w:tcW w:w="1207" w:type="dxa"/>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839" w:type="dxa"/>
            <w:vAlign w:val="center"/>
          </w:tcPr>
          <w:p>
            <w:pPr>
              <w:widowControl/>
              <w:spacing w:line="360" w:lineRule="atLeast"/>
              <w:jc w:val="left"/>
              <w:outlineLvl w:val="1"/>
              <w:rPr>
                <w:rFonts w:ascii="宋体" w:hAnsi="宋体" w:cs="仿宋"/>
                <w:sz w:val="28"/>
                <w:szCs w:val="28"/>
              </w:rPr>
            </w:pPr>
            <w:bookmarkStart w:id="292" w:name="_Toc27486"/>
            <w:r>
              <w:rPr>
                <w:rFonts w:hint="eastAsia" w:ascii="宋体" w:hAnsi="宋体" w:cs="仿宋"/>
                <w:sz w:val="28"/>
                <w:szCs w:val="28"/>
              </w:rPr>
              <w:t>技术负责人</w:t>
            </w:r>
            <w:bookmarkEnd w:id="292"/>
          </w:p>
        </w:tc>
        <w:tc>
          <w:tcPr>
            <w:tcW w:w="1095" w:type="dxa"/>
            <w:vAlign w:val="center"/>
          </w:tcPr>
          <w:p>
            <w:pPr>
              <w:widowControl/>
              <w:spacing w:line="360" w:lineRule="atLeast"/>
              <w:jc w:val="left"/>
              <w:outlineLvl w:val="1"/>
              <w:rPr>
                <w:rFonts w:ascii="宋体" w:hAnsi="宋体" w:cs="仿宋"/>
                <w:sz w:val="28"/>
                <w:szCs w:val="28"/>
              </w:rPr>
            </w:pPr>
            <w:bookmarkStart w:id="293" w:name="_Toc16880"/>
            <w:r>
              <w:rPr>
                <w:rFonts w:hint="eastAsia" w:ascii="宋体" w:hAnsi="宋体" w:cs="仿宋"/>
                <w:sz w:val="28"/>
                <w:szCs w:val="28"/>
              </w:rPr>
              <w:t>姓名</w:t>
            </w:r>
            <w:bookmarkEnd w:id="293"/>
          </w:p>
        </w:tc>
        <w:tc>
          <w:tcPr>
            <w:tcW w:w="1210" w:type="dxa"/>
            <w:vAlign w:val="center"/>
          </w:tcPr>
          <w:p>
            <w:pPr>
              <w:widowControl/>
              <w:spacing w:line="360" w:lineRule="atLeast"/>
              <w:ind w:firstLine="548" w:firstLineChars="196"/>
              <w:jc w:val="left"/>
              <w:outlineLvl w:val="1"/>
              <w:rPr>
                <w:rFonts w:ascii="宋体" w:hAnsi="宋体" w:cs="仿宋"/>
                <w:sz w:val="28"/>
                <w:szCs w:val="28"/>
              </w:rPr>
            </w:pPr>
          </w:p>
        </w:tc>
        <w:tc>
          <w:tcPr>
            <w:tcW w:w="1390" w:type="dxa"/>
            <w:vAlign w:val="center"/>
          </w:tcPr>
          <w:p>
            <w:pPr>
              <w:widowControl/>
              <w:spacing w:line="360" w:lineRule="atLeast"/>
              <w:jc w:val="left"/>
              <w:outlineLvl w:val="1"/>
              <w:rPr>
                <w:rFonts w:ascii="宋体" w:hAnsi="宋体" w:cs="仿宋"/>
                <w:sz w:val="28"/>
                <w:szCs w:val="28"/>
              </w:rPr>
            </w:pPr>
            <w:bookmarkStart w:id="294" w:name="_Toc1813"/>
            <w:r>
              <w:rPr>
                <w:rFonts w:hint="eastAsia" w:ascii="宋体" w:hAnsi="宋体" w:cs="仿宋"/>
                <w:sz w:val="28"/>
                <w:szCs w:val="28"/>
              </w:rPr>
              <w:t>技术职称</w:t>
            </w:r>
            <w:bookmarkEnd w:id="294"/>
          </w:p>
        </w:tc>
        <w:tc>
          <w:tcPr>
            <w:tcW w:w="1471" w:type="dxa"/>
            <w:vAlign w:val="center"/>
          </w:tcPr>
          <w:p>
            <w:pPr>
              <w:widowControl/>
              <w:spacing w:line="360" w:lineRule="atLeast"/>
              <w:ind w:firstLine="548" w:firstLineChars="196"/>
              <w:jc w:val="left"/>
              <w:outlineLvl w:val="1"/>
              <w:rPr>
                <w:rFonts w:ascii="宋体" w:hAnsi="宋体" w:cs="仿宋"/>
                <w:sz w:val="28"/>
                <w:szCs w:val="28"/>
              </w:rPr>
            </w:pPr>
          </w:p>
        </w:tc>
        <w:tc>
          <w:tcPr>
            <w:tcW w:w="947" w:type="dxa"/>
            <w:gridSpan w:val="2"/>
            <w:vAlign w:val="center"/>
          </w:tcPr>
          <w:p>
            <w:pPr>
              <w:widowControl/>
              <w:spacing w:line="360" w:lineRule="atLeast"/>
              <w:jc w:val="left"/>
              <w:outlineLvl w:val="1"/>
              <w:rPr>
                <w:rFonts w:ascii="宋体" w:hAnsi="宋体" w:cs="仿宋"/>
                <w:sz w:val="28"/>
                <w:szCs w:val="28"/>
              </w:rPr>
            </w:pPr>
            <w:bookmarkStart w:id="295" w:name="_Toc24390"/>
            <w:r>
              <w:rPr>
                <w:rFonts w:hint="eastAsia" w:ascii="宋体" w:hAnsi="宋体" w:cs="仿宋"/>
                <w:sz w:val="28"/>
                <w:szCs w:val="28"/>
              </w:rPr>
              <w:t>电话</w:t>
            </w:r>
            <w:bookmarkEnd w:id="295"/>
          </w:p>
        </w:tc>
        <w:tc>
          <w:tcPr>
            <w:tcW w:w="1207" w:type="dxa"/>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80" w:hRule="atLeast"/>
        </w:trPr>
        <w:tc>
          <w:tcPr>
            <w:tcW w:w="1839" w:type="dxa"/>
            <w:vAlign w:val="center"/>
          </w:tcPr>
          <w:p>
            <w:pPr>
              <w:widowControl/>
              <w:spacing w:line="360" w:lineRule="atLeast"/>
              <w:jc w:val="left"/>
              <w:outlineLvl w:val="1"/>
              <w:rPr>
                <w:rFonts w:ascii="宋体" w:hAnsi="宋体" w:cs="仿宋"/>
                <w:sz w:val="28"/>
                <w:szCs w:val="28"/>
              </w:rPr>
            </w:pPr>
            <w:bookmarkStart w:id="296" w:name="_Toc6468"/>
            <w:r>
              <w:rPr>
                <w:rFonts w:hint="eastAsia" w:ascii="宋体" w:hAnsi="宋体" w:cs="仿宋"/>
                <w:sz w:val="28"/>
                <w:szCs w:val="28"/>
              </w:rPr>
              <w:t>成立时间</w:t>
            </w:r>
            <w:bookmarkEnd w:id="296"/>
          </w:p>
        </w:tc>
        <w:tc>
          <w:tcPr>
            <w:tcW w:w="2305"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5015" w:type="dxa"/>
            <w:gridSpan w:val="5"/>
            <w:vAlign w:val="center"/>
          </w:tcPr>
          <w:p>
            <w:pPr>
              <w:widowControl/>
              <w:spacing w:line="360" w:lineRule="atLeast"/>
              <w:jc w:val="left"/>
              <w:outlineLvl w:val="1"/>
              <w:rPr>
                <w:rFonts w:ascii="宋体" w:hAnsi="宋体" w:cs="仿宋"/>
                <w:sz w:val="28"/>
                <w:szCs w:val="28"/>
              </w:rPr>
            </w:pPr>
            <w:bookmarkStart w:id="297" w:name="_Toc14152"/>
            <w:r>
              <w:rPr>
                <w:rFonts w:hint="eastAsia" w:ascii="宋体" w:hAnsi="宋体" w:cs="仿宋"/>
                <w:sz w:val="28"/>
                <w:szCs w:val="28"/>
              </w:rPr>
              <w:t>员工总人数：</w:t>
            </w:r>
            <w:bookmarkEnd w:id="297"/>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52" w:hRule="atLeast"/>
        </w:trPr>
        <w:tc>
          <w:tcPr>
            <w:tcW w:w="1839" w:type="dxa"/>
            <w:vAlign w:val="center"/>
          </w:tcPr>
          <w:p>
            <w:pPr>
              <w:widowControl/>
              <w:spacing w:line="360" w:lineRule="atLeast"/>
              <w:jc w:val="left"/>
              <w:outlineLvl w:val="1"/>
              <w:rPr>
                <w:rFonts w:ascii="宋体" w:hAnsi="宋体" w:cs="仿宋"/>
                <w:sz w:val="28"/>
                <w:szCs w:val="28"/>
              </w:rPr>
            </w:pPr>
            <w:bookmarkStart w:id="298" w:name="_Toc32310"/>
            <w:r>
              <w:rPr>
                <w:rFonts w:hint="eastAsia" w:ascii="宋体" w:hAnsi="宋体" w:cs="仿宋"/>
                <w:sz w:val="28"/>
                <w:szCs w:val="28"/>
              </w:rPr>
              <w:t>企业资质等级</w:t>
            </w:r>
            <w:bookmarkEnd w:id="298"/>
          </w:p>
        </w:tc>
        <w:tc>
          <w:tcPr>
            <w:tcW w:w="2305"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1390" w:type="dxa"/>
            <w:vMerge w:val="restart"/>
            <w:vAlign w:val="center"/>
          </w:tcPr>
          <w:p>
            <w:pPr>
              <w:widowControl/>
              <w:spacing w:line="360" w:lineRule="atLeast"/>
              <w:ind w:firstLine="548" w:firstLineChars="196"/>
              <w:jc w:val="left"/>
              <w:outlineLvl w:val="1"/>
              <w:rPr>
                <w:rFonts w:ascii="宋体" w:hAnsi="宋体" w:cs="仿宋"/>
                <w:sz w:val="28"/>
                <w:szCs w:val="28"/>
              </w:rPr>
            </w:pPr>
            <w:bookmarkStart w:id="299" w:name="_Toc30635"/>
            <w:r>
              <w:rPr>
                <w:rFonts w:hint="eastAsia" w:ascii="宋体" w:hAnsi="宋体" w:cs="仿宋"/>
                <w:sz w:val="28"/>
                <w:szCs w:val="28"/>
              </w:rPr>
              <w:t>其中</w:t>
            </w:r>
            <w:bookmarkEnd w:id="299"/>
          </w:p>
        </w:tc>
        <w:tc>
          <w:tcPr>
            <w:tcW w:w="1900" w:type="dxa"/>
            <w:gridSpan w:val="2"/>
            <w:vAlign w:val="center"/>
          </w:tcPr>
          <w:p>
            <w:pPr>
              <w:widowControl/>
              <w:spacing w:line="360" w:lineRule="atLeast"/>
              <w:jc w:val="left"/>
              <w:outlineLvl w:val="1"/>
              <w:rPr>
                <w:rFonts w:ascii="宋体" w:hAnsi="宋体" w:cs="仿宋"/>
                <w:sz w:val="28"/>
                <w:szCs w:val="28"/>
              </w:rPr>
            </w:pPr>
            <w:bookmarkStart w:id="300" w:name="_Toc19707"/>
            <w:r>
              <w:rPr>
                <w:rFonts w:hint="eastAsia" w:ascii="宋体" w:hAnsi="宋体" w:cs="仿宋"/>
                <w:sz w:val="28"/>
                <w:szCs w:val="28"/>
              </w:rPr>
              <w:t>项目经理</w:t>
            </w:r>
            <w:bookmarkEnd w:id="300"/>
          </w:p>
        </w:tc>
        <w:tc>
          <w:tcPr>
            <w:tcW w:w="1725" w:type="dxa"/>
            <w:gridSpan w:val="2"/>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52" w:hRule="atLeast"/>
        </w:trPr>
        <w:tc>
          <w:tcPr>
            <w:tcW w:w="1839" w:type="dxa"/>
            <w:vAlign w:val="center"/>
          </w:tcPr>
          <w:p>
            <w:pPr>
              <w:widowControl/>
              <w:spacing w:line="360" w:lineRule="atLeast"/>
              <w:jc w:val="left"/>
              <w:outlineLvl w:val="1"/>
              <w:rPr>
                <w:rFonts w:ascii="宋体" w:hAnsi="宋体" w:cs="仿宋"/>
                <w:sz w:val="28"/>
                <w:szCs w:val="28"/>
              </w:rPr>
            </w:pPr>
            <w:bookmarkStart w:id="301" w:name="_Toc17070"/>
            <w:r>
              <w:rPr>
                <w:rFonts w:hint="eastAsia" w:ascii="宋体" w:hAnsi="宋体" w:cs="仿宋"/>
                <w:sz w:val="28"/>
                <w:szCs w:val="28"/>
              </w:rPr>
              <w:t>营业执照号</w:t>
            </w:r>
            <w:bookmarkEnd w:id="301"/>
          </w:p>
        </w:tc>
        <w:tc>
          <w:tcPr>
            <w:tcW w:w="2305"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1390" w:type="dxa"/>
            <w:vMerge w:val="continue"/>
            <w:vAlign w:val="center"/>
          </w:tcPr>
          <w:p>
            <w:pPr>
              <w:rPr>
                <w:rFonts w:ascii="宋体" w:hAnsi="宋体" w:cs="仿宋"/>
                <w:sz w:val="28"/>
                <w:szCs w:val="28"/>
              </w:rPr>
            </w:pPr>
          </w:p>
        </w:tc>
        <w:tc>
          <w:tcPr>
            <w:tcW w:w="1900" w:type="dxa"/>
            <w:gridSpan w:val="2"/>
            <w:vAlign w:val="center"/>
          </w:tcPr>
          <w:p>
            <w:pPr>
              <w:widowControl/>
              <w:spacing w:line="360" w:lineRule="atLeast"/>
              <w:jc w:val="left"/>
              <w:outlineLvl w:val="1"/>
              <w:rPr>
                <w:rFonts w:ascii="宋体" w:hAnsi="宋体" w:cs="仿宋"/>
                <w:sz w:val="28"/>
                <w:szCs w:val="28"/>
              </w:rPr>
            </w:pPr>
            <w:bookmarkStart w:id="302" w:name="_Toc4253"/>
            <w:r>
              <w:rPr>
                <w:rFonts w:hint="eastAsia" w:ascii="宋体" w:hAnsi="宋体" w:cs="仿宋"/>
                <w:sz w:val="28"/>
                <w:szCs w:val="28"/>
              </w:rPr>
              <w:t>高级职称人员</w:t>
            </w:r>
            <w:bookmarkEnd w:id="302"/>
          </w:p>
        </w:tc>
        <w:tc>
          <w:tcPr>
            <w:tcW w:w="1725" w:type="dxa"/>
            <w:gridSpan w:val="2"/>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52" w:hRule="atLeast"/>
        </w:trPr>
        <w:tc>
          <w:tcPr>
            <w:tcW w:w="1839" w:type="dxa"/>
            <w:vAlign w:val="center"/>
          </w:tcPr>
          <w:p>
            <w:pPr>
              <w:widowControl/>
              <w:spacing w:line="360" w:lineRule="atLeast"/>
              <w:jc w:val="left"/>
              <w:outlineLvl w:val="1"/>
              <w:rPr>
                <w:rFonts w:ascii="宋体" w:hAnsi="宋体" w:cs="仿宋"/>
                <w:sz w:val="28"/>
                <w:szCs w:val="28"/>
              </w:rPr>
            </w:pPr>
            <w:bookmarkStart w:id="303" w:name="_Toc10734"/>
            <w:r>
              <w:rPr>
                <w:rFonts w:hint="eastAsia" w:ascii="宋体" w:hAnsi="宋体" w:cs="仿宋"/>
                <w:sz w:val="28"/>
                <w:szCs w:val="28"/>
              </w:rPr>
              <w:t>注册资金</w:t>
            </w:r>
            <w:bookmarkEnd w:id="303"/>
          </w:p>
        </w:tc>
        <w:tc>
          <w:tcPr>
            <w:tcW w:w="2305"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1390" w:type="dxa"/>
            <w:vMerge w:val="continue"/>
            <w:vAlign w:val="center"/>
          </w:tcPr>
          <w:p>
            <w:pPr>
              <w:rPr>
                <w:rFonts w:ascii="宋体" w:hAnsi="宋体" w:cs="仿宋"/>
                <w:sz w:val="28"/>
                <w:szCs w:val="28"/>
              </w:rPr>
            </w:pPr>
          </w:p>
        </w:tc>
        <w:tc>
          <w:tcPr>
            <w:tcW w:w="1900" w:type="dxa"/>
            <w:gridSpan w:val="2"/>
            <w:vAlign w:val="center"/>
          </w:tcPr>
          <w:p>
            <w:pPr>
              <w:widowControl/>
              <w:spacing w:line="360" w:lineRule="atLeast"/>
              <w:jc w:val="left"/>
              <w:outlineLvl w:val="1"/>
              <w:rPr>
                <w:rFonts w:ascii="宋体" w:hAnsi="宋体" w:cs="仿宋"/>
                <w:sz w:val="28"/>
                <w:szCs w:val="28"/>
              </w:rPr>
            </w:pPr>
            <w:bookmarkStart w:id="304" w:name="_Toc25618"/>
            <w:r>
              <w:rPr>
                <w:rFonts w:hint="eastAsia" w:ascii="宋体" w:hAnsi="宋体" w:cs="仿宋"/>
                <w:sz w:val="28"/>
                <w:szCs w:val="28"/>
              </w:rPr>
              <w:t>中级职称人员</w:t>
            </w:r>
            <w:bookmarkEnd w:id="304"/>
          </w:p>
        </w:tc>
        <w:tc>
          <w:tcPr>
            <w:tcW w:w="1725" w:type="dxa"/>
            <w:gridSpan w:val="2"/>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52" w:hRule="atLeast"/>
        </w:trPr>
        <w:tc>
          <w:tcPr>
            <w:tcW w:w="1839" w:type="dxa"/>
            <w:vAlign w:val="center"/>
          </w:tcPr>
          <w:p>
            <w:pPr>
              <w:widowControl/>
              <w:spacing w:line="360" w:lineRule="atLeast"/>
              <w:jc w:val="left"/>
              <w:outlineLvl w:val="1"/>
              <w:rPr>
                <w:rFonts w:ascii="宋体" w:hAnsi="宋体" w:cs="仿宋"/>
                <w:sz w:val="28"/>
                <w:szCs w:val="28"/>
              </w:rPr>
            </w:pPr>
            <w:bookmarkStart w:id="305" w:name="_Toc13579"/>
            <w:r>
              <w:rPr>
                <w:rFonts w:hint="eastAsia" w:ascii="宋体" w:hAnsi="宋体" w:cs="仿宋"/>
                <w:sz w:val="28"/>
                <w:szCs w:val="28"/>
              </w:rPr>
              <w:t>开户银行</w:t>
            </w:r>
            <w:bookmarkEnd w:id="305"/>
          </w:p>
        </w:tc>
        <w:tc>
          <w:tcPr>
            <w:tcW w:w="2305"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1390" w:type="dxa"/>
            <w:vMerge w:val="continue"/>
            <w:vAlign w:val="center"/>
          </w:tcPr>
          <w:p>
            <w:pPr>
              <w:rPr>
                <w:rFonts w:ascii="宋体" w:hAnsi="宋体" w:cs="仿宋"/>
                <w:sz w:val="28"/>
                <w:szCs w:val="28"/>
              </w:rPr>
            </w:pPr>
          </w:p>
        </w:tc>
        <w:tc>
          <w:tcPr>
            <w:tcW w:w="1900" w:type="dxa"/>
            <w:gridSpan w:val="2"/>
            <w:vAlign w:val="center"/>
          </w:tcPr>
          <w:p>
            <w:pPr>
              <w:widowControl/>
              <w:spacing w:line="360" w:lineRule="atLeast"/>
              <w:jc w:val="left"/>
              <w:outlineLvl w:val="1"/>
              <w:rPr>
                <w:rFonts w:ascii="宋体" w:hAnsi="宋体" w:cs="仿宋"/>
                <w:sz w:val="28"/>
                <w:szCs w:val="28"/>
              </w:rPr>
            </w:pPr>
            <w:bookmarkStart w:id="306" w:name="_Toc20190"/>
            <w:r>
              <w:rPr>
                <w:rFonts w:hint="eastAsia" w:ascii="宋体" w:hAnsi="宋体" w:cs="仿宋"/>
                <w:sz w:val="28"/>
                <w:szCs w:val="28"/>
              </w:rPr>
              <w:t>初级职称人员</w:t>
            </w:r>
            <w:bookmarkEnd w:id="306"/>
          </w:p>
        </w:tc>
        <w:tc>
          <w:tcPr>
            <w:tcW w:w="1725" w:type="dxa"/>
            <w:gridSpan w:val="2"/>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80" w:hRule="atLeast"/>
        </w:trPr>
        <w:tc>
          <w:tcPr>
            <w:tcW w:w="1839" w:type="dxa"/>
            <w:vAlign w:val="center"/>
          </w:tcPr>
          <w:p>
            <w:pPr>
              <w:widowControl/>
              <w:spacing w:line="360" w:lineRule="atLeast"/>
              <w:ind w:firstLine="548" w:firstLineChars="196"/>
              <w:jc w:val="left"/>
              <w:outlineLvl w:val="1"/>
              <w:rPr>
                <w:rFonts w:ascii="宋体" w:hAnsi="宋体" w:cs="仿宋"/>
                <w:sz w:val="28"/>
                <w:szCs w:val="28"/>
              </w:rPr>
            </w:pPr>
            <w:bookmarkStart w:id="307" w:name="_Toc31324"/>
            <w:r>
              <w:rPr>
                <w:rFonts w:hint="eastAsia" w:ascii="宋体" w:hAnsi="宋体" w:cs="仿宋"/>
                <w:sz w:val="28"/>
                <w:szCs w:val="28"/>
              </w:rPr>
              <w:t>账号</w:t>
            </w:r>
            <w:bookmarkEnd w:id="307"/>
          </w:p>
        </w:tc>
        <w:tc>
          <w:tcPr>
            <w:tcW w:w="2305" w:type="dxa"/>
            <w:gridSpan w:val="2"/>
            <w:vAlign w:val="center"/>
          </w:tcPr>
          <w:p>
            <w:pPr>
              <w:widowControl/>
              <w:spacing w:line="360" w:lineRule="atLeast"/>
              <w:ind w:firstLine="548" w:firstLineChars="196"/>
              <w:jc w:val="left"/>
              <w:outlineLvl w:val="1"/>
              <w:rPr>
                <w:rFonts w:ascii="宋体" w:hAnsi="宋体" w:cs="仿宋"/>
                <w:sz w:val="28"/>
                <w:szCs w:val="28"/>
              </w:rPr>
            </w:pPr>
          </w:p>
        </w:tc>
        <w:tc>
          <w:tcPr>
            <w:tcW w:w="1390" w:type="dxa"/>
            <w:vMerge w:val="continue"/>
            <w:vAlign w:val="center"/>
          </w:tcPr>
          <w:p>
            <w:pPr>
              <w:rPr>
                <w:rFonts w:ascii="宋体" w:hAnsi="宋体" w:cs="仿宋"/>
                <w:sz w:val="28"/>
                <w:szCs w:val="28"/>
              </w:rPr>
            </w:pPr>
          </w:p>
        </w:tc>
        <w:tc>
          <w:tcPr>
            <w:tcW w:w="1900" w:type="dxa"/>
            <w:gridSpan w:val="2"/>
            <w:vAlign w:val="center"/>
          </w:tcPr>
          <w:p>
            <w:pPr>
              <w:widowControl/>
              <w:spacing w:line="360" w:lineRule="atLeast"/>
              <w:ind w:firstLine="548" w:firstLineChars="196"/>
              <w:jc w:val="left"/>
              <w:outlineLvl w:val="1"/>
              <w:rPr>
                <w:rFonts w:ascii="宋体" w:hAnsi="宋体" w:cs="仿宋"/>
                <w:sz w:val="28"/>
                <w:szCs w:val="28"/>
              </w:rPr>
            </w:pPr>
            <w:bookmarkStart w:id="308" w:name="_Toc28529"/>
            <w:r>
              <w:rPr>
                <w:rFonts w:hint="eastAsia" w:ascii="宋体" w:hAnsi="宋体" w:cs="仿宋"/>
                <w:sz w:val="28"/>
                <w:szCs w:val="28"/>
              </w:rPr>
              <w:t>技工</w:t>
            </w:r>
            <w:bookmarkEnd w:id="308"/>
          </w:p>
        </w:tc>
        <w:tc>
          <w:tcPr>
            <w:tcW w:w="1725" w:type="dxa"/>
            <w:gridSpan w:val="2"/>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trPr>
        <w:tc>
          <w:tcPr>
            <w:tcW w:w="1839" w:type="dxa"/>
            <w:vAlign w:val="center"/>
          </w:tcPr>
          <w:p>
            <w:pPr>
              <w:widowControl/>
              <w:spacing w:line="360" w:lineRule="atLeast"/>
              <w:jc w:val="left"/>
              <w:outlineLvl w:val="1"/>
              <w:rPr>
                <w:rFonts w:ascii="宋体" w:hAnsi="宋体" w:cs="仿宋"/>
                <w:sz w:val="28"/>
                <w:szCs w:val="28"/>
              </w:rPr>
            </w:pPr>
            <w:bookmarkStart w:id="309" w:name="_Toc16951"/>
            <w:r>
              <w:rPr>
                <w:rFonts w:hint="eastAsia" w:ascii="宋体" w:hAnsi="宋体" w:cs="仿宋"/>
                <w:sz w:val="28"/>
                <w:szCs w:val="28"/>
              </w:rPr>
              <w:t>经营范围</w:t>
            </w:r>
            <w:bookmarkEnd w:id="309"/>
          </w:p>
        </w:tc>
        <w:tc>
          <w:tcPr>
            <w:tcW w:w="7320" w:type="dxa"/>
            <w:gridSpan w:val="7"/>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0" w:hRule="atLeast"/>
        </w:trPr>
        <w:tc>
          <w:tcPr>
            <w:tcW w:w="1839" w:type="dxa"/>
          </w:tcPr>
          <w:p>
            <w:pPr>
              <w:widowControl/>
              <w:spacing w:line="360" w:lineRule="atLeast"/>
              <w:ind w:firstLine="548" w:firstLineChars="196"/>
              <w:jc w:val="left"/>
              <w:outlineLvl w:val="1"/>
              <w:rPr>
                <w:rFonts w:ascii="宋体" w:hAnsi="宋体" w:cs="仿宋"/>
                <w:sz w:val="28"/>
                <w:szCs w:val="28"/>
              </w:rPr>
            </w:pPr>
            <w:bookmarkStart w:id="310" w:name="_Toc10694"/>
            <w:r>
              <w:rPr>
                <w:rFonts w:hint="eastAsia" w:ascii="宋体" w:hAnsi="宋体" w:cs="仿宋"/>
                <w:sz w:val="28"/>
                <w:szCs w:val="28"/>
              </w:rPr>
              <w:t>备注</w:t>
            </w:r>
            <w:bookmarkEnd w:id="310"/>
          </w:p>
        </w:tc>
        <w:tc>
          <w:tcPr>
            <w:tcW w:w="7320" w:type="dxa"/>
            <w:gridSpan w:val="7"/>
          </w:tcPr>
          <w:p>
            <w:pPr>
              <w:widowControl/>
              <w:spacing w:line="360" w:lineRule="atLeast"/>
              <w:ind w:firstLine="548" w:firstLineChars="196"/>
              <w:jc w:val="left"/>
              <w:outlineLvl w:val="1"/>
              <w:rPr>
                <w:rFonts w:ascii="宋体" w:hAnsi="宋体" w:cs="仿宋"/>
                <w:sz w:val="28"/>
                <w:szCs w:val="28"/>
              </w:rPr>
            </w:pPr>
          </w:p>
        </w:tc>
      </w:tr>
    </w:tbl>
    <w:p>
      <w:pPr>
        <w:widowControl/>
        <w:spacing w:line="360" w:lineRule="atLeast"/>
        <w:ind w:firstLine="548" w:firstLineChars="196"/>
        <w:jc w:val="left"/>
        <w:outlineLvl w:val="1"/>
        <w:rPr>
          <w:rFonts w:ascii="宋体" w:hAnsi="宋体" w:cs="仿宋"/>
          <w:sz w:val="28"/>
          <w:szCs w:val="28"/>
        </w:rPr>
      </w:pPr>
      <w:bookmarkStart w:id="311" w:name="_Toc12706"/>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311"/>
    </w:p>
    <w:p>
      <w:pPr>
        <w:widowControl/>
        <w:spacing w:line="360" w:lineRule="atLeast"/>
        <w:ind w:firstLine="548" w:firstLineChars="196"/>
        <w:jc w:val="left"/>
        <w:outlineLvl w:val="1"/>
        <w:rPr>
          <w:rFonts w:ascii="宋体" w:hAnsi="宋体" w:cs="仿宋"/>
          <w:sz w:val="28"/>
          <w:szCs w:val="28"/>
        </w:rPr>
      </w:pPr>
      <w:bookmarkStart w:id="312" w:name="_Toc991"/>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312"/>
    </w:p>
    <w:p>
      <w:pPr>
        <w:widowControl/>
        <w:spacing w:line="360" w:lineRule="atLeast"/>
        <w:ind w:firstLine="548" w:firstLineChars="196"/>
        <w:jc w:val="left"/>
        <w:outlineLvl w:val="1"/>
        <w:rPr>
          <w:rFonts w:ascii="宋体" w:hAnsi="宋体" w:cs="仿宋"/>
          <w:sz w:val="28"/>
          <w:szCs w:val="28"/>
        </w:rPr>
      </w:pPr>
      <w:bookmarkStart w:id="313" w:name="_Toc8042"/>
      <w:r>
        <w:rPr>
          <w:rFonts w:hint="eastAsia" w:ascii="宋体" w:hAnsi="宋体" w:cs="仿宋"/>
          <w:sz w:val="28"/>
          <w:szCs w:val="28"/>
        </w:rPr>
        <w:t xml:space="preserve">投标日期: </w:t>
      </w:r>
      <w:r>
        <w:rPr>
          <w:rFonts w:hint="eastAsia" w:ascii="宋体" w:hAnsi="宋体" w:cs="仿宋"/>
          <w:b/>
          <w:sz w:val="28"/>
          <w:szCs w:val="28"/>
          <w:u w:val="single"/>
        </w:rPr>
        <w:t xml:space="preserve">           </w:t>
      </w:r>
      <w:r>
        <w:rPr>
          <w:rFonts w:hint="eastAsia" w:ascii="宋体" w:hAnsi="宋体" w:cs="仿宋"/>
          <w:sz w:val="28"/>
          <w:szCs w:val="28"/>
        </w:rPr>
        <w:t>。</w:t>
      </w:r>
      <w:bookmarkEnd w:id="313"/>
    </w:p>
    <w:p>
      <w:pPr>
        <w:spacing w:line="360" w:lineRule="auto"/>
        <w:rPr>
          <w:rFonts w:ascii="宋体" w:hAnsi="宋体" w:cs="仿宋"/>
          <w:b/>
          <w:sz w:val="32"/>
          <w:szCs w:val="32"/>
        </w:rPr>
      </w:pPr>
      <w:bookmarkStart w:id="314" w:name="_Toc217446089"/>
      <w:r>
        <w:rPr>
          <w:rFonts w:hint="eastAsia" w:ascii="宋体" w:hAnsi="宋体" w:cs="仿宋"/>
          <w:b/>
          <w:sz w:val="36"/>
          <w:szCs w:val="36"/>
        </w:rPr>
        <w:br w:type="page"/>
      </w:r>
      <w:r>
        <w:rPr>
          <w:rFonts w:hint="eastAsia" w:ascii="宋体" w:hAnsi="宋体" w:cs="仿宋"/>
          <w:b/>
          <w:sz w:val="32"/>
          <w:szCs w:val="32"/>
        </w:rPr>
        <w:t>格式2-9</w:t>
      </w:r>
    </w:p>
    <w:p>
      <w:pPr>
        <w:widowControl/>
        <w:spacing w:line="360" w:lineRule="atLeast"/>
        <w:jc w:val="center"/>
        <w:outlineLvl w:val="1"/>
        <w:rPr>
          <w:rFonts w:ascii="宋体" w:hAnsi="宋体" w:cs="仿宋"/>
          <w:b/>
          <w:sz w:val="32"/>
          <w:szCs w:val="32"/>
        </w:rPr>
      </w:pPr>
      <w:bookmarkStart w:id="315" w:name="_Toc26362"/>
      <w:r>
        <w:rPr>
          <w:rFonts w:hint="eastAsia" w:ascii="宋体" w:hAnsi="宋体" w:cs="仿宋"/>
          <w:b/>
          <w:sz w:val="32"/>
          <w:szCs w:val="32"/>
        </w:rPr>
        <w:t>八、类似项目业绩一览表</w:t>
      </w:r>
      <w:bookmarkEnd w:id="314"/>
      <w:bookmarkEnd w:id="315"/>
    </w:p>
    <w:p>
      <w:pPr>
        <w:widowControl/>
        <w:spacing w:line="360" w:lineRule="atLeast"/>
        <w:ind w:firstLine="472" w:firstLineChars="196"/>
        <w:jc w:val="left"/>
        <w:outlineLvl w:val="1"/>
        <w:rPr>
          <w:rFonts w:ascii="宋体" w:hAnsi="宋体" w:cs="仿宋"/>
          <w:b/>
          <w:sz w:val="24"/>
        </w:rPr>
      </w:pPr>
    </w:p>
    <w:tbl>
      <w:tblPr>
        <w:tblStyle w:val="43"/>
        <w:tblW w:w="923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62"/>
        <w:gridCol w:w="1924"/>
        <w:gridCol w:w="1764"/>
        <w:gridCol w:w="1551"/>
        <w:gridCol w:w="1710"/>
        <w:gridCol w:w="13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5" w:hRule="atLeast"/>
          <w:jc w:val="center"/>
        </w:trPr>
        <w:tc>
          <w:tcPr>
            <w:tcW w:w="962" w:type="dxa"/>
            <w:tcBorders>
              <w:top w:val="single" w:color="auto" w:sz="4" w:space="0"/>
            </w:tcBorders>
            <w:vAlign w:val="center"/>
          </w:tcPr>
          <w:p>
            <w:pPr>
              <w:widowControl/>
              <w:spacing w:line="360" w:lineRule="atLeast"/>
              <w:jc w:val="left"/>
              <w:outlineLvl w:val="1"/>
              <w:rPr>
                <w:rFonts w:ascii="宋体" w:hAnsi="宋体" w:cs="仿宋"/>
                <w:sz w:val="28"/>
                <w:szCs w:val="28"/>
              </w:rPr>
            </w:pPr>
            <w:bookmarkStart w:id="316" w:name="_Toc3811"/>
            <w:r>
              <w:rPr>
                <w:rFonts w:hint="eastAsia" w:ascii="宋体" w:hAnsi="宋体" w:cs="仿宋"/>
                <w:sz w:val="28"/>
                <w:szCs w:val="28"/>
              </w:rPr>
              <w:t>年份</w:t>
            </w:r>
            <w:bookmarkEnd w:id="316"/>
          </w:p>
        </w:tc>
        <w:tc>
          <w:tcPr>
            <w:tcW w:w="1924" w:type="dxa"/>
            <w:vAlign w:val="center"/>
          </w:tcPr>
          <w:p>
            <w:pPr>
              <w:widowControl/>
              <w:spacing w:line="360" w:lineRule="atLeast"/>
              <w:jc w:val="left"/>
              <w:outlineLvl w:val="1"/>
              <w:rPr>
                <w:rFonts w:ascii="宋体" w:hAnsi="宋体" w:cs="仿宋"/>
                <w:sz w:val="28"/>
                <w:szCs w:val="28"/>
              </w:rPr>
            </w:pPr>
            <w:bookmarkStart w:id="317" w:name="_Toc29639"/>
            <w:r>
              <w:rPr>
                <w:rFonts w:hint="eastAsia" w:ascii="宋体" w:hAnsi="宋体" w:cs="仿宋"/>
                <w:sz w:val="28"/>
                <w:szCs w:val="28"/>
              </w:rPr>
              <w:t>用户名称</w:t>
            </w:r>
            <w:bookmarkEnd w:id="317"/>
          </w:p>
        </w:tc>
        <w:tc>
          <w:tcPr>
            <w:tcW w:w="1764" w:type="dxa"/>
            <w:vAlign w:val="center"/>
          </w:tcPr>
          <w:p>
            <w:pPr>
              <w:widowControl/>
              <w:spacing w:line="360" w:lineRule="atLeast"/>
              <w:jc w:val="left"/>
              <w:outlineLvl w:val="1"/>
              <w:rPr>
                <w:rFonts w:ascii="宋体" w:hAnsi="宋体" w:cs="仿宋"/>
                <w:sz w:val="28"/>
                <w:szCs w:val="28"/>
              </w:rPr>
            </w:pPr>
            <w:bookmarkStart w:id="318" w:name="_Toc26099"/>
            <w:r>
              <w:rPr>
                <w:rFonts w:hint="eastAsia" w:ascii="宋体" w:hAnsi="宋体" w:cs="仿宋"/>
                <w:sz w:val="28"/>
                <w:szCs w:val="28"/>
              </w:rPr>
              <w:t>项目名称</w:t>
            </w:r>
            <w:bookmarkEnd w:id="318"/>
          </w:p>
        </w:tc>
        <w:tc>
          <w:tcPr>
            <w:tcW w:w="1551" w:type="dxa"/>
            <w:vAlign w:val="center"/>
          </w:tcPr>
          <w:p>
            <w:pPr>
              <w:widowControl/>
              <w:spacing w:line="360" w:lineRule="atLeast"/>
              <w:jc w:val="left"/>
              <w:outlineLvl w:val="1"/>
              <w:rPr>
                <w:rFonts w:ascii="宋体" w:hAnsi="宋体" w:cs="仿宋"/>
                <w:sz w:val="28"/>
                <w:szCs w:val="28"/>
              </w:rPr>
            </w:pPr>
            <w:bookmarkStart w:id="319" w:name="_Toc18652"/>
            <w:r>
              <w:rPr>
                <w:rFonts w:hint="eastAsia" w:ascii="宋体" w:hAnsi="宋体" w:cs="仿宋"/>
                <w:sz w:val="28"/>
                <w:szCs w:val="28"/>
              </w:rPr>
              <w:t>完成时间</w:t>
            </w:r>
            <w:bookmarkEnd w:id="319"/>
          </w:p>
        </w:tc>
        <w:tc>
          <w:tcPr>
            <w:tcW w:w="1710" w:type="dxa"/>
            <w:vAlign w:val="center"/>
          </w:tcPr>
          <w:p>
            <w:pPr>
              <w:widowControl/>
              <w:spacing w:line="360" w:lineRule="atLeast"/>
              <w:jc w:val="left"/>
              <w:outlineLvl w:val="1"/>
              <w:rPr>
                <w:rFonts w:ascii="宋体" w:hAnsi="宋体" w:cs="仿宋"/>
                <w:sz w:val="28"/>
                <w:szCs w:val="28"/>
              </w:rPr>
            </w:pPr>
            <w:bookmarkStart w:id="320" w:name="_Toc24584"/>
            <w:r>
              <w:rPr>
                <w:rFonts w:hint="eastAsia" w:ascii="宋体" w:hAnsi="宋体" w:cs="仿宋"/>
                <w:sz w:val="28"/>
                <w:szCs w:val="28"/>
              </w:rPr>
              <w:t>合同金额</w:t>
            </w:r>
            <w:bookmarkEnd w:id="320"/>
          </w:p>
        </w:tc>
        <w:tc>
          <w:tcPr>
            <w:tcW w:w="1325" w:type="dxa"/>
            <w:tcBorders>
              <w:left w:val="single" w:color="auto" w:sz="4" w:space="0"/>
            </w:tcBorders>
            <w:vAlign w:val="center"/>
          </w:tcPr>
          <w:p>
            <w:pPr>
              <w:widowControl/>
              <w:spacing w:line="360" w:lineRule="atLeast"/>
              <w:jc w:val="left"/>
              <w:outlineLvl w:val="1"/>
              <w:rPr>
                <w:rFonts w:ascii="宋体" w:hAnsi="宋体" w:cs="仿宋"/>
                <w:sz w:val="28"/>
                <w:szCs w:val="28"/>
              </w:rPr>
            </w:pPr>
            <w:bookmarkStart w:id="321" w:name="_Toc22075"/>
            <w:r>
              <w:rPr>
                <w:rFonts w:hint="eastAsia" w:ascii="宋体" w:hAnsi="宋体" w:cs="仿宋"/>
                <w:sz w:val="28"/>
                <w:szCs w:val="28"/>
              </w:rPr>
              <w:t>备注</w:t>
            </w:r>
            <w:bookmarkEnd w:id="321"/>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vAlign w:val="center"/>
          </w:tcPr>
          <w:p>
            <w:pPr>
              <w:widowControl/>
              <w:spacing w:line="360" w:lineRule="atLeast"/>
              <w:ind w:firstLine="548" w:firstLineChars="196"/>
              <w:jc w:val="left"/>
              <w:outlineLvl w:val="1"/>
              <w:rPr>
                <w:rFonts w:ascii="宋体" w:hAnsi="宋体" w:cs="仿宋"/>
                <w:sz w:val="28"/>
                <w:szCs w:val="28"/>
              </w:rPr>
            </w:pPr>
          </w:p>
        </w:tc>
        <w:tc>
          <w:tcPr>
            <w:tcW w:w="1924" w:type="dxa"/>
            <w:vAlign w:val="center"/>
          </w:tcPr>
          <w:p>
            <w:pPr>
              <w:widowControl/>
              <w:spacing w:line="360" w:lineRule="atLeast"/>
              <w:ind w:firstLine="548" w:firstLineChars="196"/>
              <w:jc w:val="left"/>
              <w:outlineLvl w:val="1"/>
              <w:rPr>
                <w:rFonts w:ascii="宋体" w:hAnsi="宋体" w:cs="仿宋"/>
                <w:sz w:val="28"/>
                <w:szCs w:val="28"/>
              </w:rPr>
            </w:pPr>
          </w:p>
        </w:tc>
        <w:tc>
          <w:tcPr>
            <w:tcW w:w="1764" w:type="dxa"/>
            <w:vAlign w:val="center"/>
          </w:tcPr>
          <w:p>
            <w:pPr>
              <w:widowControl/>
              <w:spacing w:line="360" w:lineRule="atLeast"/>
              <w:ind w:firstLine="548" w:firstLineChars="196"/>
              <w:jc w:val="left"/>
              <w:outlineLvl w:val="1"/>
              <w:rPr>
                <w:rFonts w:ascii="宋体" w:hAnsi="宋体" w:cs="仿宋"/>
                <w:sz w:val="28"/>
                <w:szCs w:val="28"/>
              </w:rPr>
            </w:pPr>
          </w:p>
        </w:tc>
        <w:tc>
          <w:tcPr>
            <w:tcW w:w="1551" w:type="dxa"/>
            <w:vAlign w:val="center"/>
          </w:tcPr>
          <w:p>
            <w:pPr>
              <w:widowControl/>
              <w:spacing w:line="360" w:lineRule="atLeast"/>
              <w:ind w:firstLine="548" w:firstLineChars="196"/>
              <w:jc w:val="left"/>
              <w:outlineLvl w:val="1"/>
              <w:rPr>
                <w:rFonts w:ascii="宋体" w:hAnsi="宋体" w:cs="仿宋"/>
                <w:sz w:val="28"/>
                <w:szCs w:val="28"/>
              </w:rPr>
            </w:pPr>
          </w:p>
        </w:tc>
        <w:tc>
          <w:tcPr>
            <w:tcW w:w="1710" w:type="dxa"/>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vAlign w:val="center"/>
          </w:tcPr>
          <w:p>
            <w:pPr>
              <w:widowControl/>
              <w:spacing w:line="360" w:lineRule="atLeast"/>
              <w:ind w:firstLine="548" w:firstLineChars="196"/>
              <w:jc w:val="left"/>
              <w:outlineLvl w:val="1"/>
              <w:rPr>
                <w:rFonts w:ascii="宋体" w:hAnsi="宋体" w:cs="仿宋"/>
                <w:sz w:val="28"/>
                <w:szCs w:val="28"/>
              </w:rPr>
            </w:pPr>
          </w:p>
        </w:tc>
        <w:tc>
          <w:tcPr>
            <w:tcW w:w="1924" w:type="dxa"/>
            <w:vAlign w:val="center"/>
          </w:tcPr>
          <w:p>
            <w:pPr>
              <w:widowControl/>
              <w:spacing w:line="360" w:lineRule="atLeast"/>
              <w:ind w:firstLine="548" w:firstLineChars="196"/>
              <w:jc w:val="left"/>
              <w:outlineLvl w:val="1"/>
              <w:rPr>
                <w:rFonts w:ascii="宋体" w:hAnsi="宋体" w:cs="仿宋"/>
                <w:sz w:val="28"/>
                <w:szCs w:val="28"/>
              </w:rPr>
            </w:pPr>
          </w:p>
        </w:tc>
        <w:tc>
          <w:tcPr>
            <w:tcW w:w="1764" w:type="dxa"/>
            <w:vAlign w:val="center"/>
          </w:tcPr>
          <w:p>
            <w:pPr>
              <w:widowControl/>
              <w:spacing w:line="360" w:lineRule="atLeast"/>
              <w:ind w:firstLine="548" w:firstLineChars="196"/>
              <w:jc w:val="left"/>
              <w:outlineLvl w:val="1"/>
              <w:rPr>
                <w:rFonts w:ascii="宋体" w:hAnsi="宋体" w:cs="仿宋"/>
                <w:sz w:val="28"/>
                <w:szCs w:val="28"/>
              </w:rPr>
            </w:pPr>
          </w:p>
        </w:tc>
        <w:tc>
          <w:tcPr>
            <w:tcW w:w="1551" w:type="dxa"/>
            <w:vAlign w:val="center"/>
          </w:tcPr>
          <w:p>
            <w:pPr>
              <w:widowControl/>
              <w:spacing w:line="360" w:lineRule="atLeast"/>
              <w:ind w:firstLine="548" w:firstLineChars="196"/>
              <w:jc w:val="left"/>
              <w:outlineLvl w:val="1"/>
              <w:rPr>
                <w:rFonts w:ascii="宋体" w:hAnsi="宋体" w:cs="仿宋"/>
                <w:sz w:val="28"/>
                <w:szCs w:val="28"/>
              </w:rPr>
            </w:pPr>
          </w:p>
        </w:tc>
        <w:tc>
          <w:tcPr>
            <w:tcW w:w="1710" w:type="dxa"/>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vAlign w:val="center"/>
          </w:tcPr>
          <w:p>
            <w:pPr>
              <w:widowControl/>
              <w:spacing w:line="360" w:lineRule="atLeast"/>
              <w:ind w:firstLine="548" w:firstLineChars="196"/>
              <w:jc w:val="left"/>
              <w:outlineLvl w:val="1"/>
              <w:rPr>
                <w:rFonts w:ascii="宋体" w:hAnsi="宋体" w:cs="仿宋"/>
                <w:sz w:val="28"/>
                <w:szCs w:val="28"/>
              </w:rPr>
            </w:pPr>
          </w:p>
        </w:tc>
        <w:tc>
          <w:tcPr>
            <w:tcW w:w="1924" w:type="dxa"/>
            <w:vAlign w:val="center"/>
          </w:tcPr>
          <w:p>
            <w:pPr>
              <w:widowControl/>
              <w:spacing w:line="360" w:lineRule="atLeast"/>
              <w:ind w:firstLine="548" w:firstLineChars="196"/>
              <w:jc w:val="left"/>
              <w:outlineLvl w:val="1"/>
              <w:rPr>
                <w:rFonts w:ascii="宋体" w:hAnsi="宋体" w:cs="仿宋"/>
                <w:sz w:val="28"/>
                <w:szCs w:val="28"/>
              </w:rPr>
            </w:pPr>
          </w:p>
        </w:tc>
        <w:tc>
          <w:tcPr>
            <w:tcW w:w="1764" w:type="dxa"/>
            <w:vAlign w:val="center"/>
          </w:tcPr>
          <w:p>
            <w:pPr>
              <w:widowControl/>
              <w:spacing w:line="360" w:lineRule="atLeast"/>
              <w:ind w:firstLine="548" w:firstLineChars="196"/>
              <w:jc w:val="left"/>
              <w:outlineLvl w:val="1"/>
              <w:rPr>
                <w:rFonts w:ascii="宋体" w:hAnsi="宋体" w:cs="仿宋"/>
                <w:sz w:val="28"/>
                <w:szCs w:val="28"/>
              </w:rPr>
            </w:pPr>
          </w:p>
        </w:tc>
        <w:tc>
          <w:tcPr>
            <w:tcW w:w="1551" w:type="dxa"/>
            <w:vAlign w:val="center"/>
          </w:tcPr>
          <w:p>
            <w:pPr>
              <w:widowControl/>
              <w:spacing w:line="360" w:lineRule="atLeast"/>
              <w:ind w:firstLine="548" w:firstLineChars="196"/>
              <w:jc w:val="left"/>
              <w:outlineLvl w:val="1"/>
              <w:rPr>
                <w:rFonts w:ascii="宋体" w:hAnsi="宋体" w:cs="仿宋"/>
                <w:sz w:val="28"/>
                <w:szCs w:val="28"/>
              </w:rPr>
            </w:pPr>
          </w:p>
        </w:tc>
        <w:tc>
          <w:tcPr>
            <w:tcW w:w="1710" w:type="dxa"/>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vAlign w:val="center"/>
          </w:tcPr>
          <w:p>
            <w:pPr>
              <w:widowControl/>
              <w:spacing w:line="360" w:lineRule="atLeast"/>
              <w:ind w:firstLine="548" w:firstLineChars="196"/>
              <w:jc w:val="left"/>
              <w:outlineLvl w:val="1"/>
              <w:rPr>
                <w:rFonts w:ascii="宋体" w:hAnsi="宋体" w:cs="仿宋"/>
                <w:sz w:val="28"/>
                <w:szCs w:val="28"/>
              </w:rPr>
            </w:pPr>
          </w:p>
        </w:tc>
        <w:tc>
          <w:tcPr>
            <w:tcW w:w="1924" w:type="dxa"/>
            <w:tcBorders>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64"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551" w:type="dxa"/>
            <w:vAlign w:val="center"/>
          </w:tcPr>
          <w:p>
            <w:pPr>
              <w:widowControl/>
              <w:spacing w:line="360" w:lineRule="atLeast"/>
              <w:ind w:firstLine="548" w:firstLineChars="196"/>
              <w:jc w:val="left"/>
              <w:outlineLvl w:val="1"/>
              <w:rPr>
                <w:rFonts w:ascii="宋体" w:hAnsi="宋体" w:cs="仿宋"/>
                <w:sz w:val="28"/>
                <w:szCs w:val="28"/>
              </w:rPr>
            </w:pPr>
          </w:p>
        </w:tc>
        <w:tc>
          <w:tcPr>
            <w:tcW w:w="1710" w:type="dxa"/>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tcBorders>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924" w:type="dxa"/>
            <w:tcBorders>
              <w:left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64" w:type="dxa"/>
            <w:tcBorders>
              <w:left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551" w:type="dxa"/>
            <w:tcBorders>
              <w:left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left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vAlign w:val="center"/>
          </w:tcPr>
          <w:p>
            <w:pPr>
              <w:widowControl/>
              <w:spacing w:line="360" w:lineRule="atLeast"/>
              <w:ind w:firstLine="548" w:firstLineChars="196"/>
              <w:jc w:val="left"/>
              <w:outlineLvl w:val="1"/>
              <w:rPr>
                <w:rFonts w:ascii="宋体" w:hAnsi="宋体" w:cs="仿宋"/>
                <w:sz w:val="28"/>
                <w:szCs w:val="28"/>
              </w:rPr>
            </w:pPr>
          </w:p>
        </w:tc>
        <w:tc>
          <w:tcPr>
            <w:tcW w:w="1924" w:type="dxa"/>
            <w:vAlign w:val="center"/>
          </w:tcPr>
          <w:p>
            <w:pPr>
              <w:widowControl/>
              <w:spacing w:line="360" w:lineRule="atLeast"/>
              <w:ind w:firstLine="548" w:firstLineChars="196"/>
              <w:jc w:val="left"/>
              <w:outlineLvl w:val="1"/>
              <w:rPr>
                <w:rFonts w:ascii="宋体" w:hAnsi="宋体" w:cs="仿宋"/>
                <w:sz w:val="28"/>
                <w:szCs w:val="28"/>
              </w:rPr>
            </w:pPr>
          </w:p>
        </w:tc>
        <w:tc>
          <w:tcPr>
            <w:tcW w:w="1764" w:type="dxa"/>
            <w:vAlign w:val="center"/>
          </w:tcPr>
          <w:p>
            <w:pPr>
              <w:widowControl/>
              <w:spacing w:line="360" w:lineRule="atLeast"/>
              <w:ind w:firstLine="548" w:firstLineChars="196"/>
              <w:jc w:val="left"/>
              <w:outlineLvl w:val="1"/>
              <w:rPr>
                <w:rFonts w:ascii="宋体" w:hAnsi="宋体" w:cs="仿宋"/>
                <w:sz w:val="28"/>
                <w:szCs w:val="28"/>
              </w:rPr>
            </w:pPr>
          </w:p>
        </w:tc>
        <w:tc>
          <w:tcPr>
            <w:tcW w:w="1551" w:type="dxa"/>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vAlign w:val="center"/>
          </w:tcPr>
          <w:p>
            <w:pPr>
              <w:widowControl/>
              <w:spacing w:line="360" w:lineRule="atLeast"/>
              <w:ind w:firstLine="548" w:firstLineChars="196"/>
              <w:jc w:val="left"/>
              <w:outlineLvl w:val="1"/>
              <w:rPr>
                <w:rFonts w:ascii="宋体" w:hAnsi="宋体" w:cs="仿宋"/>
                <w:sz w:val="28"/>
                <w:szCs w:val="28"/>
              </w:rPr>
            </w:pPr>
          </w:p>
        </w:tc>
        <w:tc>
          <w:tcPr>
            <w:tcW w:w="1924" w:type="dxa"/>
            <w:vAlign w:val="center"/>
          </w:tcPr>
          <w:p>
            <w:pPr>
              <w:widowControl/>
              <w:spacing w:line="360" w:lineRule="atLeast"/>
              <w:ind w:firstLine="548" w:firstLineChars="196"/>
              <w:jc w:val="left"/>
              <w:outlineLvl w:val="1"/>
              <w:rPr>
                <w:rFonts w:ascii="宋体" w:hAnsi="宋体" w:cs="仿宋"/>
                <w:sz w:val="28"/>
                <w:szCs w:val="28"/>
              </w:rPr>
            </w:pPr>
          </w:p>
        </w:tc>
        <w:tc>
          <w:tcPr>
            <w:tcW w:w="1764" w:type="dxa"/>
            <w:vAlign w:val="center"/>
          </w:tcPr>
          <w:p>
            <w:pPr>
              <w:widowControl/>
              <w:spacing w:line="360" w:lineRule="atLeast"/>
              <w:ind w:firstLine="548" w:firstLineChars="196"/>
              <w:jc w:val="left"/>
              <w:outlineLvl w:val="1"/>
              <w:rPr>
                <w:rFonts w:ascii="宋体" w:hAnsi="宋体" w:cs="仿宋"/>
                <w:sz w:val="28"/>
                <w:szCs w:val="28"/>
              </w:rPr>
            </w:pPr>
          </w:p>
        </w:tc>
        <w:tc>
          <w:tcPr>
            <w:tcW w:w="1551" w:type="dxa"/>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vAlign w:val="center"/>
          </w:tcPr>
          <w:p>
            <w:pPr>
              <w:widowControl/>
              <w:spacing w:line="360" w:lineRule="atLeast"/>
              <w:ind w:firstLine="548" w:firstLineChars="196"/>
              <w:jc w:val="left"/>
              <w:outlineLvl w:val="1"/>
              <w:rPr>
                <w:rFonts w:ascii="宋体" w:hAnsi="宋体" w:cs="仿宋"/>
                <w:sz w:val="28"/>
                <w:szCs w:val="28"/>
              </w:rPr>
            </w:pPr>
          </w:p>
        </w:tc>
        <w:tc>
          <w:tcPr>
            <w:tcW w:w="1924" w:type="dxa"/>
            <w:vAlign w:val="center"/>
          </w:tcPr>
          <w:p>
            <w:pPr>
              <w:widowControl/>
              <w:spacing w:line="360" w:lineRule="atLeast"/>
              <w:ind w:firstLine="548" w:firstLineChars="196"/>
              <w:jc w:val="left"/>
              <w:outlineLvl w:val="1"/>
              <w:rPr>
                <w:rFonts w:ascii="宋体" w:hAnsi="宋体" w:cs="仿宋"/>
                <w:sz w:val="28"/>
                <w:szCs w:val="28"/>
              </w:rPr>
            </w:pPr>
          </w:p>
        </w:tc>
        <w:tc>
          <w:tcPr>
            <w:tcW w:w="1764" w:type="dxa"/>
            <w:vAlign w:val="center"/>
          </w:tcPr>
          <w:p>
            <w:pPr>
              <w:widowControl/>
              <w:spacing w:line="360" w:lineRule="atLeast"/>
              <w:ind w:firstLine="548" w:firstLineChars="196"/>
              <w:jc w:val="left"/>
              <w:outlineLvl w:val="1"/>
              <w:rPr>
                <w:rFonts w:ascii="宋体" w:hAnsi="宋体" w:cs="仿宋"/>
                <w:sz w:val="28"/>
                <w:szCs w:val="28"/>
              </w:rPr>
            </w:pPr>
          </w:p>
        </w:tc>
        <w:tc>
          <w:tcPr>
            <w:tcW w:w="1551" w:type="dxa"/>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62" w:type="dxa"/>
            <w:tcBorders>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924" w:type="dxa"/>
            <w:tcBorders>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64" w:type="dxa"/>
            <w:tcBorders>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551" w:type="dxa"/>
            <w:tcBorders>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bottom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left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8" w:hRule="atLeast"/>
          <w:jc w:val="center"/>
        </w:trPr>
        <w:tc>
          <w:tcPr>
            <w:tcW w:w="962"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924"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64"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551"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top w:val="single" w:color="auto" w:sz="4" w:space="0"/>
              <w:bottom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top w:val="single" w:color="auto" w:sz="4" w:space="0"/>
              <w:left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8" w:hRule="atLeast"/>
          <w:jc w:val="center"/>
        </w:trPr>
        <w:tc>
          <w:tcPr>
            <w:tcW w:w="962"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924"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64"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551"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top w:val="single" w:color="auto" w:sz="4" w:space="0"/>
              <w:bottom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top w:val="single" w:color="auto" w:sz="4" w:space="0"/>
              <w:left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5" w:hRule="atLeast"/>
          <w:jc w:val="center"/>
        </w:trPr>
        <w:tc>
          <w:tcPr>
            <w:tcW w:w="962"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924"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64"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551" w:type="dxa"/>
            <w:tcBorders>
              <w:top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top w:val="single" w:color="auto" w:sz="4" w:space="0"/>
              <w:bottom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top w:val="single" w:color="auto" w:sz="4" w:space="0"/>
              <w:left w:val="single" w:color="auto" w:sz="4" w:space="0"/>
              <w:bottom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5" w:hRule="atLeast"/>
          <w:jc w:val="center"/>
        </w:trPr>
        <w:tc>
          <w:tcPr>
            <w:tcW w:w="962" w:type="dxa"/>
            <w:tcBorders>
              <w:top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924" w:type="dxa"/>
            <w:tcBorders>
              <w:top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64" w:type="dxa"/>
            <w:tcBorders>
              <w:top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551" w:type="dxa"/>
            <w:tcBorders>
              <w:top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710" w:type="dxa"/>
            <w:tcBorders>
              <w:top w:val="single" w:color="auto" w:sz="4" w:space="0"/>
              <w:righ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c>
          <w:tcPr>
            <w:tcW w:w="1325" w:type="dxa"/>
            <w:tcBorders>
              <w:top w:val="single" w:color="auto" w:sz="4" w:space="0"/>
              <w:left w:val="single" w:color="auto" w:sz="4" w:space="0"/>
            </w:tcBorders>
            <w:vAlign w:val="center"/>
          </w:tcPr>
          <w:p>
            <w:pPr>
              <w:widowControl/>
              <w:spacing w:line="360" w:lineRule="atLeast"/>
              <w:ind w:firstLine="548" w:firstLineChars="196"/>
              <w:jc w:val="left"/>
              <w:outlineLvl w:val="1"/>
              <w:rPr>
                <w:rFonts w:ascii="宋体" w:hAnsi="宋体" w:cs="仿宋"/>
                <w:sz w:val="28"/>
                <w:szCs w:val="28"/>
              </w:rPr>
            </w:pPr>
          </w:p>
        </w:tc>
      </w:tr>
    </w:tbl>
    <w:p>
      <w:pPr>
        <w:widowControl/>
        <w:spacing w:line="360" w:lineRule="atLeast"/>
        <w:ind w:firstLine="548" w:firstLineChars="196"/>
        <w:jc w:val="left"/>
        <w:outlineLvl w:val="1"/>
        <w:rPr>
          <w:rFonts w:ascii="宋体" w:hAnsi="宋体" w:cs="仿宋"/>
          <w:sz w:val="28"/>
          <w:szCs w:val="28"/>
        </w:rPr>
      </w:pPr>
      <w:bookmarkStart w:id="322" w:name="_Toc3628"/>
      <w:r>
        <w:rPr>
          <w:rFonts w:hint="eastAsia" w:ascii="宋体" w:hAnsi="宋体" w:cs="仿宋"/>
          <w:sz w:val="28"/>
          <w:szCs w:val="28"/>
        </w:rPr>
        <w:t>注：以上业绩需提供招标文件要求的有关书面证明材料。</w:t>
      </w:r>
      <w:bookmarkEnd w:id="322"/>
    </w:p>
    <w:p>
      <w:pPr>
        <w:widowControl/>
        <w:spacing w:line="360" w:lineRule="atLeast"/>
        <w:ind w:firstLine="548" w:firstLineChars="196"/>
        <w:jc w:val="left"/>
        <w:outlineLvl w:val="1"/>
        <w:rPr>
          <w:rFonts w:ascii="宋体" w:hAnsi="宋体" w:cs="仿宋"/>
          <w:sz w:val="28"/>
          <w:szCs w:val="28"/>
        </w:rPr>
      </w:pPr>
      <w:bookmarkStart w:id="323" w:name="_Toc28078"/>
      <w:bookmarkStart w:id="324" w:name="_Hlk534971958"/>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323"/>
    </w:p>
    <w:p>
      <w:pPr>
        <w:widowControl/>
        <w:spacing w:line="360" w:lineRule="atLeast"/>
        <w:ind w:firstLine="548" w:firstLineChars="196"/>
        <w:jc w:val="left"/>
        <w:outlineLvl w:val="1"/>
        <w:rPr>
          <w:rFonts w:ascii="宋体" w:hAnsi="宋体" w:cs="仿宋"/>
          <w:sz w:val="28"/>
          <w:szCs w:val="28"/>
        </w:rPr>
      </w:pPr>
      <w:bookmarkStart w:id="325" w:name="_Toc29784"/>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325"/>
    </w:p>
    <w:p>
      <w:pPr>
        <w:widowControl/>
        <w:spacing w:line="360" w:lineRule="atLeast"/>
        <w:ind w:firstLine="548" w:firstLineChars="196"/>
        <w:jc w:val="left"/>
        <w:outlineLvl w:val="1"/>
        <w:rPr>
          <w:rFonts w:ascii="宋体" w:hAnsi="宋体" w:cs="仿宋"/>
          <w:sz w:val="24"/>
        </w:rPr>
      </w:pPr>
      <w:bookmarkStart w:id="326" w:name="_Toc32569"/>
      <w:r>
        <w:rPr>
          <w:rFonts w:hint="eastAsia" w:ascii="宋体" w:hAnsi="宋体" w:cs="仿宋"/>
          <w:sz w:val="28"/>
          <w:szCs w:val="28"/>
        </w:rPr>
        <w:t xml:space="preserve">投标日期: </w:t>
      </w:r>
      <w:r>
        <w:rPr>
          <w:rFonts w:hint="eastAsia" w:ascii="宋体" w:hAnsi="宋体" w:cs="仿宋"/>
          <w:b/>
          <w:sz w:val="28"/>
          <w:szCs w:val="28"/>
          <w:u w:val="single"/>
        </w:rPr>
        <w:t xml:space="preserve">           </w:t>
      </w:r>
      <w:r>
        <w:rPr>
          <w:rFonts w:hint="eastAsia" w:ascii="宋体" w:hAnsi="宋体" w:cs="仿宋"/>
          <w:sz w:val="28"/>
          <w:szCs w:val="28"/>
        </w:rPr>
        <w:t>。</w:t>
      </w:r>
      <w:bookmarkEnd w:id="326"/>
    </w:p>
    <w:bookmarkEnd w:id="324"/>
    <w:p>
      <w:pPr>
        <w:widowControl/>
        <w:spacing w:line="360" w:lineRule="atLeast"/>
        <w:jc w:val="left"/>
        <w:outlineLvl w:val="1"/>
        <w:rPr>
          <w:rFonts w:ascii="宋体" w:hAnsi="宋体" w:cs="仿宋"/>
          <w:b/>
          <w:sz w:val="24"/>
        </w:rPr>
      </w:pPr>
      <w:bookmarkStart w:id="327" w:name="_Toc217446090"/>
    </w:p>
    <w:p>
      <w:pPr>
        <w:spacing w:line="360" w:lineRule="auto"/>
        <w:rPr>
          <w:rFonts w:ascii="宋体" w:hAnsi="宋体" w:cs="仿宋"/>
          <w:b/>
          <w:sz w:val="32"/>
          <w:szCs w:val="32"/>
        </w:rPr>
      </w:pPr>
      <w:r>
        <w:rPr>
          <w:rFonts w:hint="eastAsia" w:ascii="宋体" w:hAnsi="宋体" w:cs="仿宋"/>
          <w:b/>
          <w:sz w:val="32"/>
          <w:szCs w:val="32"/>
        </w:rPr>
        <w:br w:type="page"/>
      </w:r>
      <w:r>
        <w:rPr>
          <w:rFonts w:hint="eastAsia" w:ascii="宋体" w:hAnsi="宋体" w:cs="仿宋"/>
          <w:b/>
          <w:sz w:val="32"/>
          <w:szCs w:val="32"/>
        </w:rPr>
        <w:t>格式2-10</w:t>
      </w:r>
    </w:p>
    <w:bookmarkEnd w:id="327"/>
    <w:p>
      <w:pPr>
        <w:widowControl/>
        <w:spacing w:line="360" w:lineRule="atLeast"/>
        <w:jc w:val="center"/>
        <w:outlineLvl w:val="1"/>
        <w:rPr>
          <w:rFonts w:ascii="宋体" w:hAnsi="宋体" w:cs="仿宋"/>
          <w:b/>
          <w:sz w:val="32"/>
          <w:szCs w:val="32"/>
        </w:rPr>
      </w:pPr>
      <w:bookmarkStart w:id="328" w:name="_Toc217446091"/>
      <w:bookmarkStart w:id="329" w:name="_Toc5805"/>
      <w:r>
        <w:rPr>
          <w:rFonts w:hint="eastAsia" w:ascii="宋体" w:hAnsi="宋体" w:cs="仿宋"/>
          <w:b/>
          <w:sz w:val="32"/>
          <w:szCs w:val="32"/>
        </w:rPr>
        <w:t>九、投标人本项目管理、技术、服务人员情况表</w:t>
      </w:r>
      <w:bookmarkEnd w:id="328"/>
      <w:bookmarkEnd w:id="329"/>
    </w:p>
    <w:p>
      <w:pPr>
        <w:spacing w:line="480" w:lineRule="exact"/>
        <w:ind w:firstLine="509" w:firstLineChars="182"/>
        <w:rPr>
          <w:rFonts w:ascii="宋体" w:hAnsi="宋体" w:cs="仿宋"/>
          <w:sz w:val="28"/>
          <w:szCs w:val="28"/>
        </w:rPr>
      </w:pPr>
      <w:bookmarkStart w:id="330" w:name="_Hlk534972032"/>
      <w:r>
        <w:rPr>
          <w:rFonts w:hint="eastAsia" w:ascii="宋体" w:hAnsi="宋体" w:cs="仿宋"/>
          <w:sz w:val="28"/>
          <w:szCs w:val="28"/>
        </w:rPr>
        <w:t>项目名称：</w:t>
      </w:r>
      <w:r>
        <w:rPr>
          <w:rFonts w:hint="eastAsia" w:ascii="宋体" w:hAnsi="宋体" w:cs="仿宋"/>
          <w:b/>
          <w:sz w:val="28"/>
          <w:szCs w:val="28"/>
          <w:u w:val="single"/>
        </w:rPr>
        <w:t xml:space="preserve">           </w:t>
      </w:r>
    </w:p>
    <w:p>
      <w:pPr>
        <w:widowControl/>
        <w:spacing w:line="360" w:lineRule="atLeast"/>
        <w:ind w:firstLine="548" w:firstLineChars="196"/>
        <w:jc w:val="left"/>
        <w:outlineLvl w:val="1"/>
        <w:rPr>
          <w:rFonts w:ascii="宋体" w:hAnsi="宋体" w:cs="仿宋"/>
          <w:sz w:val="28"/>
          <w:szCs w:val="28"/>
        </w:rPr>
      </w:pPr>
      <w:bookmarkStart w:id="331" w:name="_Toc10746"/>
      <w:r>
        <w:rPr>
          <w:rFonts w:hint="eastAsia" w:ascii="宋体" w:hAnsi="宋体" w:cs="仿宋"/>
          <w:sz w:val="28"/>
          <w:szCs w:val="28"/>
        </w:rPr>
        <w:t>招标编号：</w:t>
      </w:r>
      <w:bookmarkEnd w:id="331"/>
      <w:r>
        <w:rPr>
          <w:rFonts w:hint="eastAsia" w:ascii="宋体" w:hAnsi="宋体" w:cs="仿宋"/>
          <w:b/>
          <w:sz w:val="28"/>
          <w:szCs w:val="28"/>
          <w:u w:val="single"/>
        </w:rPr>
        <w:t xml:space="preserve">           </w:t>
      </w:r>
      <w:r>
        <w:rPr>
          <w:rFonts w:hint="eastAsia" w:ascii="宋体" w:hAnsi="宋体" w:cs="仿宋"/>
          <w:sz w:val="28"/>
          <w:szCs w:val="28"/>
        </w:rPr>
        <w:t xml:space="preserve">                  </w:t>
      </w:r>
    </w:p>
    <w:bookmarkEnd w:id="330"/>
    <w:tbl>
      <w:tblPr>
        <w:tblStyle w:val="43"/>
        <w:tblW w:w="8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082"/>
        <w:gridCol w:w="1082"/>
        <w:gridCol w:w="1082"/>
        <w:gridCol w:w="1140"/>
        <w:gridCol w:w="1287"/>
        <w:gridCol w:w="1135"/>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vMerge w:val="restart"/>
            <w:vAlign w:val="center"/>
          </w:tcPr>
          <w:p>
            <w:pPr>
              <w:widowControl/>
              <w:spacing w:line="360" w:lineRule="atLeast"/>
              <w:jc w:val="left"/>
              <w:outlineLvl w:val="1"/>
              <w:rPr>
                <w:rFonts w:ascii="宋体" w:hAnsi="宋体" w:cs="仿宋"/>
                <w:sz w:val="28"/>
                <w:szCs w:val="28"/>
              </w:rPr>
            </w:pPr>
            <w:bookmarkStart w:id="332" w:name="_Toc7496"/>
            <w:r>
              <w:rPr>
                <w:rFonts w:hint="eastAsia" w:ascii="宋体" w:hAnsi="宋体" w:cs="仿宋"/>
                <w:sz w:val="28"/>
                <w:szCs w:val="28"/>
              </w:rPr>
              <w:t>职务</w:t>
            </w:r>
            <w:bookmarkEnd w:id="332"/>
          </w:p>
        </w:tc>
        <w:tc>
          <w:tcPr>
            <w:tcW w:w="1082" w:type="dxa"/>
            <w:vMerge w:val="restart"/>
            <w:vAlign w:val="center"/>
          </w:tcPr>
          <w:p>
            <w:pPr>
              <w:widowControl/>
              <w:spacing w:line="360" w:lineRule="atLeast"/>
              <w:jc w:val="left"/>
              <w:outlineLvl w:val="1"/>
              <w:rPr>
                <w:rFonts w:ascii="宋体" w:hAnsi="宋体" w:cs="仿宋"/>
                <w:sz w:val="28"/>
                <w:szCs w:val="28"/>
              </w:rPr>
            </w:pPr>
            <w:bookmarkStart w:id="333" w:name="_Toc19757"/>
            <w:r>
              <w:rPr>
                <w:rFonts w:hint="eastAsia" w:ascii="宋体" w:hAnsi="宋体" w:cs="仿宋"/>
                <w:sz w:val="28"/>
                <w:szCs w:val="28"/>
              </w:rPr>
              <w:t>姓名</w:t>
            </w:r>
            <w:bookmarkEnd w:id="333"/>
          </w:p>
        </w:tc>
        <w:tc>
          <w:tcPr>
            <w:tcW w:w="1082" w:type="dxa"/>
            <w:vMerge w:val="restart"/>
            <w:vAlign w:val="center"/>
          </w:tcPr>
          <w:p>
            <w:pPr>
              <w:widowControl/>
              <w:spacing w:line="360" w:lineRule="atLeast"/>
              <w:jc w:val="left"/>
              <w:outlineLvl w:val="1"/>
              <w:rPr>
                <w:rFonts w:ascii="宋体" w:hAnsi="宋体" w:cs="仿宋"/>
                <w:sz w:val="28"/>
                <w:szCs w:val="28"/>
              </w:rPr>
            </w:pPr>
            <w:bookmarkStart w:id="334" w:name="_Toc11200"/>
            <w:r>
              <w:rPr>
                <w:rFonts w:hint="eastAsia" w:ascii="宋体" w:hAnsi="宋体" w:cs="仿宋"/>
                <w:sz w:val="28"/>
                <w:szCs w:val="28"/>
              </w:rPr>
              <w:t>职称</w:t>
            </w:r>
            <w:bookmarkEnd w:id="334"/>
          </w:p>
        </w:tc>
        <w:tc>
          <w:tcPr>
            <w:tcW w:w="1082" w:type="dxa"/>
            <w:vMerge w:val="restart"/>
            <w:vAlign w:val="center"/>
          </w:tcPr>
          <w:p>
            <w:pPr>
              <w:widowControl/>
              <w:spacing w:line="360" w:lineRule="atLeast"/>
              <w:jc w:val="left"/>
              <w:outlineLvl w:val="1"/>
              <w:rPr>
                <w:rFonts w:ascii="宋体" w:hAnsi="宋体" w:cs="仿宋"/>
                <w:sz w:val="28"/>
                <w:szCs w:val="28"/>
              </w:rPr>
            </w:pPr>
            <w:bookmarkStart w:id="335" w:name="_Toc25137"/>
            <w:r>
              <w:rPr>
                <w:rFonts w:hint="eastAsia" w:ascii="宋体" w:hAnsi="宋体" w:cs="仿宋"/>
                <w:sz w:val="28"/>
                <w:szCs w:val="28"/>
              </w:rPr>
              <w:t>常住地</w:t>
            </w:r>
            <w:bookmarkEnd w:id="335"/>
          </w:p>
        </w:tc>
        <w:tc>
          <w:tcPr>
            <w:tcW w:w="4546" w:type="dxa"/>
            <w:gridSpan w:val="4"/>
            <w:vAlign w:val="center"/>
          </w:tcPr>
          <w:p>
            <w:pPr>
              <w:widowControl/>
              <w:spacing w:line="360" w:lineRule="atLeast"/>
              <w:ind w:firstLine="548" w:firstLineChars="196"/>
              <w:jc w:val="left"/>
              <w:outlineLvl w:val="1"/>
              <w:rPr>
                <w:rFonts w:ascii="宋体" w:hAnsi="宋体" w:cs="仿宋"/>
                <w:sz w:val="28"/>
                <w:szCs w:val="28"/>
              </w:rPr>
            </w:pPr>
            <w:bookmarkStart w:id="336" w:name="_Toc12692"/>
            <w:r>
              <w:rPr>
                <w:rFonts w:hint="eastAsia" w:ascii="宋体" w:hAnsi="宋体" w:cs="仿宋"/>
                <w:sz w:val="28"/>
                <w:szCs w:val="28"/>
              </w:rPr>
              <w:t>资格证明（附复印件）</w:t>
            </w:r>
            <w:bookmarkEnd w:id="3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vMerge w:val="continue"/>
            <w:vAlign w:val="center"/>
          </w:tcPr>
          <w:p>
            <w:pPr>
              <w:rPr>
                <w:rFonts w:ascii="宋体" w:hAnsi="宋体" w:cs="仿宋"/>
                <w:sz w:val="28"/>
                <w:szCs w:val="28"/>
              </w:rPr>
            </w:pPr>
          </w:p>
        </w:tc>
        <w:tc>
          <w:tcPr>
            <w:tcW w:w="1082" w:type="dxa"/>
            <w:vMerge w:val="continue"/>
            <w:vAlign w:val="center"/>
          </w:tcPr>
          <w:p>
            <w:pPr>
              <w:rPr>
                <w:rFonts w:ascii="宋体" w:hAnsi="宋体" w:cs="仿宋"/>
                <w:sz w:val="28"/>
                <w:szCs w:val="28"/>
              </w:rPr>
            </w:pPr>
          </w:p>
        </w:tc>
        <w:tc>
          <w:tcPr>
            <w:tcW w:w="1082" w:type="dxa"/>
            <w:vMerge w:val="continue"/>
            <w:vAlign w:val="center"/>
          </w:tcPr>
          <w:p>
            <w:pPr>
              <w:rPr>
                <w:rFonts w:ascii="宋体" w:hAnsi="宋体" w:cs="仿宋"/>
                <w:sz w:val="28"/>
                <w:szCs w:val="28"/>
              </w:rPr>
            </w:pPr>
          </w:p>
        </w:tc>
        <w:tc>
          <w:tcPr>
            <w:tcW w:w="1082" w:type="dxa"/>
            <w:vMerge w:val="continue"/>
            <w:vAlign w:val="center"/>
          </w:tcPr>
          <w:p>
            <w:pPr>
              <w:rPr>
                <w:rFonts w:ascii="宋体" w:hAnsi="宋体" w:cs="仿宋"/>
                <w:sz w:val="28"/>
                <w:szCs w:val="28"/>
              </w:rPr>
            </w:pPr>
          </w:p>
        </w:tc>
        <w:tc>
          <w:tcPr>
            <w:tcW w:w="1140" w:type="dxa"/>
            <w:vAlign w:val="center"/>
          </w:tcPr>
          <w:p>
            <w:pPr>
              <w:widowControl/>
              <w:spacing w:line="360" w:lineRule="atLeast"/>
              <w:jc w:val="center"/>
              <w:outlineLvl w:val="1"/>
              <w:rPr>
                <w:rFonts w:ascii="宋体" w:hAnsi="宋体" w:cs="仿宋"/>
                <w:sz w:val="28"/>
                <w:szCs w:val="28"/>
              </w:rPr>
            </w:pPr>
            <w:bookmarkStart w:id="337" w:name="_Toc28600"/>
            <w:r>
              <w:rPr>
                <w:rFonts w:hint="eastAsia" w:ascii="宋体" w:hAnsi="宋体" w:cs="仿宋"/>
                <w:sz w:val="28"/>
                <w:szCs w:val="28"/>
              </w:rPr>
              <w:t>证书</w:t>
            </w:r>
            <w:bookmarkEnd w:id="337"/>
          </w:p>
          <w:p>
            <w:pPr>
              <w:widowControl/>
              <w:spacing w:line="360" w:lineRule="atLeast"/>
              <w:jc w:val="center"/>
              <w:outlineLvl w:val="1"/>
              <w:rPr>
                <w:rFonts w:ascii="宋体" w:hAnsi="宋体" w:cs="仿宋"/>
                <w:sz w:val="28"/>
                <w:szCs w:val="28"/>
              </w:rPr>
            </w:pPr>
            <w:bookmarkStart w:id="338" w:name="_Toc25365"/>
            <w:r>
              <w:rPr>
                <w:rFonts w:hint="eastAsia" w:ascii="宋体" w:hAnsi="宋体" w:cs="仿宋"/>
                <w:sz w:val="28"/>
                <w:szCs w:val="28"/>
              </w:rPr>
              <w:t>名称</w:t>
            </w:r>
            <w:bookmarkEnd w:id="338"/>
          </w:p>
        </w:tc>
        <w:tc>
          <w:tcPr>
            <w:tcW w:w="1287" w:type="dxa"/>
            <w:vAlign w:val="center"/>
          </w:tcPr>
          <w:p>
            <w:pPr>
              <w:widowControl/>
              <w:spacing w:line="360" w:lineRule="atLeast"/>
              <w:jc w:val="center"/>
              <w:outlineLvl w:val="1"/>
              <w:rPr>
                <w:rFonts w:ascii="宋体" w:hAnsi="宋体" w:cs="仿宋"/>
                <w:sz w:val="28"/>
                <w:szCs w:val="28"/>
              </w:rPr>
            </w:pPr>
            <w:bookmarkStart w:id="339" w:name="_Toc10130"/>
            <w:r>
              <w:rPr>
                <w:rFonts w:hint="eastAsia" w:ascii="宋体" w:hAnsi="宋体" w:cs="仿宋"/>
                <w:sz w:val="28"/>
                <w:szCs w:val="28"/>
              </w:rPr>
              <w:t>级别</w:t>
            </w:r>
            <w:bookmarkEnd w:id="339"/>
          </w:p>
        </w:tc>
        <w:tc>
          <w:tcPr>
            <w:tcW w:w="1135" w:type="dxa"/>
            <w:vAlign w:val="center"/>
          </w:tcPr>
          <w:p>
            <w:pPr>
              <w:widowControl/>
              <w:spacing w:line="360" w:lineRule="atLeast"/>
              <w:jc w:val="center"/>
              <w:outlineLvl w:val="1"/>
              <w:rPr>
                <w:rFonts w:ascii="宋体" w:hAnsi="宋体" w:cs="仿宋"/>
                <w:sz w:val="28"/>
                <w:szCs w:val="28"/>
              </w:rPr>
            </w:pPr>
            <w:bookmarkStart w:id="340" w:name="_Toc18062"/>
            <w:r>
              <w:rPr>
                <w:rFonts w:hint="eastAsia" w:ascii="宋体" w:hAnsi="宋体" w:cs="仿宋"/>
                <w:sz w:val="28"/>
                <w:szCs w:val="28"/>
              </w:rPr>
              <w:t>证号</w:t>
            </w:r>
            <w:bookmarkEnd w:id="340"/>
          </w:p>
        </w:tc>
        <w:tc>
          <w:tcPr>
            <w:tcW w:w="984" w:type="dxa"/>
            <w:vAlign w:val="center"/>
          </w:tcPr>
          <w:p>
            <w:pPr>
              <w:widowControl/>
              <w:spacing w:line="360" w:lineRule="atLeast"/>
              <w:jc w:val="center"/>
              <w:outlineLvl w:val="1"/>
              <w:rPr>
                <w:rFonts w:ascii="宋体" w:hAnsi="宋体" w:cs="仿宋"/>
                <w:sz w:val="28"/>
                <w:szCs w:val="28"/>
              </w:rPr>
            </w:pPr>
            <w:bookmarkStart w:id="341" w:name="_Toc2992"/>
            <w:r>
              <w:rPr>
                <w:rFonts w:hint="eastAsia" w:ascii="宋体" w:hAnsi="宋体" w:cs="仿宋"/>
                <w:sz w:val="28"/>
                <w:szCs w:val="28"/>
              </w:rPr>
              <w:t>专业</w:t>
            </w:r>
            <w:bookmarkEnd w:id="3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82" w:type="dxa"/>
            <w:tcBorders>
              <w:bottom w:val="single" w:color="auto" w:sz="4" w:space="0"/>
            </w:tcBorders>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082" w:type="dxa"/>
          </w:tcPr>
          <w:p>
            <w:pPr>
              <w:widowControl/>
              <w:spacing w:line="360" w:lineRule="atLeast"/>
              <w:ind w:firstLine="548" w:firstLineChars="196"/>
              <w:jc w:val="left"/>
              <w:outlineLvl w:val="1"/>
              <w:rPr>
                <w:rFonts w:ascii="宋体" w:hAnsi="宋体" w:cs="仿宋"/>
                <w:sz w:val="28"/>
                <w:szCs w:val="28"/>
              </w:rPr>
            </w:pPr>
          </w:p>
        </w:tc>
        <w:tc>
          <w:tcPr>
            <w:tcW w:w="1140" w:type="dxa"/>
          </w:tcPr>
          <w:p>
            <w:pPr>
              <w:widowControl/>
              <w:spacing w:line="360" w:lineRule="atLeast"/>
              <w:ind w:firstLine="548" w:firstLineChars="196"/>
              <w:jc w:val="left"/>
              <w:outlineLvl w:val="1"/>
              <w:rPr>
                <w:rFonts w:ascii="宋体" w:hAnsi="宋体" w:cs="仿宋"/>
                <w:sz w:val="28"/>
                <w:szCs w:val="28"/>
              </w:rPr>
            </w:pPr>
          </w:p>
        </w:tc>
        <w:tc>
          <w:tcPr>
            <w:tcW w:w="1287" w:type="dxa"/>
          </w:tcPr>
          <w:p>
            <w:pPr>
              <w:widowControl/>
              <w:spacing w:line="360" w:lineRule="atLeast"/>
              <w:ind w:firstLine="548" w:firstLineChars="196"/>
              <w:jc w:val="left"/>
              <w:outlineLvl w:val="1"/>
              <w:rPr>
                <w:rFonts w:ascii="宋体" w:hAnsi="宋体" w:cs="仿宋"/>
                <w:sz w:val="28"/>
                <w:szCs w:val="28"/>
              </w:rPr>
            </w:pPr>
          </w:p>
        </w:tc>
        <w:tc>
          <w:tcPr>
            <w:tcW w:w="1135" w:type="dxa"/>
          </w:tcPr>
          <w:p>
            <w:pPr>
              <w:widowControl/>
              <w:spacing w:line="360" w:lineRule="atLeast"/>
              <w:ind w:firstLine="548" w:firstLineChars="196"/>
              <w:jc w:val="left"/>
              <w:outlineLvl w:val="1"/>
              <w:rPr>
                <w:rFonts w:ascii="宋体" w:hAnsi="宋体" w:cs="仿宋"/>
                <w:sz w:val="28"/>
                <w:szCs w:val="28"/>
              </w:rPr>
            </w:pPr>
          </w:p>
        </w:tc>
        <w:tc>
          <w:tcPr>
            <w:tcW w:w="984" w:type="dxa"/>
          </w:tcPr>
          <w:p>
            <w:pPr>
              <w:widowControl/>
              <w:spacing w:line="360" w:lineRule="atLeast"/>
              <w:ind w:firstLine="548" w:firstLineChars="196"/>
              <w:jc w:val="left"/>
              <w:outlineLvl w:val="1"/>
              <w:rPr>
                <w:rFonts w:ascii="宋体" w:hAnsi="宋体" w:cs="仿宋"/>
                <w:sz w:val="28"/>
                <w:szCs w:val="28"/>
              </w:rPr>
            </w:pPr>
          </w:p>
        </w:tc>
      </w:tr>
    </w:tbl>
    <w:p>
      <w:pPr>
        <w:widowControl/>
        <w:spacing w:line="360" w:lineRule="atLeast"/>
        <w:ind w:firstLine="548" w:firstLineChars="196"/>
        <w:jc w:val="left"/>
        <w:outlineLvl w:val="1"/>
        <w:rPr>
          <w:rFonts w:ascii="宋体" w:hAnsi="宋体" w:cs="仿宋"/>
          <w:sz w:val="28"/>
          <w:szCs w:val="28"/>
        </w:rPr>
      </w:pPr>
    </w:p>
    <w:p>
      <w:pPr>
        <w:widowControl/>
        <w:spacing w:line="360" w:lineRule="atLeast"/>
        <w:ind w:firstLine="548" w:firstLineChars="196"/>
        <w:jc w:val="left"/>
        <w:outlineLvl w:val="1"/>
        <w:rPr>
          <w:rFonts w:ascii="宋体" w:hAnsi="宋体" w:cs="仿宋"/>
          <w:sz w:val="28"/>
          <w:szCs w:val="28"/>
        </w:rPr>
      </w:pPr>
      <w:bookmarkStart w:id="342" w:name="_Toc24503"/>
      <w:bookmarkStart w:id="343" w:name="_Hlk534972056"/>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342"/>
    </w:p>
    <w:p>
      <w:pPr>
        <w:widowControl/>
        <w:spacing w:line="360" w:lineRule="atLeast"/>
        <w:ind w:firstLine="548" w:firstLineChars="196"/>
        <w:jc w:val="left"/>
        <w:outlineLvl w:val="1"/>
        <w:rPr>
          <w:rFonts w:ascii="宋体" w:hAnsi="宋体" w:cs="仿宋"/>
          <w:sz w:val="28"/>
          <w:szCs w:val="28"/>
        </w:rPr>
      </w:pPr>
      <w:bookmarkStart w:id="344" w:name="_Toc7245"/>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344"/>
    </w:p>
    <w:p>
      <w:pPr>
        <w:widowControl/>
        <w:spacing w:line="360" w:lineRule="atLeast"/>
        <w:ind w:firstLine="548" w:firstLineChars="196"/>
        <w:jc w:val="left"/>
        <w:outlineLvl w:val="1"/>
        <w:rPr>
          <w:rFonts w:ascii="宋体" w:hAnsi="宋体" w:cs="仿宋"/>
          <w:sz w:val="28"/>
          <w:szCs w:val="28"/>
        </w:rPr>
      </w:pPr>
      <w:bookmarkStart w:id="345" w:name="_Toc5046"/>
      <w:r>
        <w:rPr>
          <w:rFonts w:hint="eastAsia" w:ascii="宋体" w:hAnsi="宋体" w:cs="仿宋"/>
          <w:sz w:val="28"/>
          <w:szCs w:val="28"/>
        </w:rPr>
        <w:t xml:space="preserve">投标日期: </w:t>
      </w:r>
      <w:r>
        <w:rPr>
          <w:rFonts w:hint="eastAsia" w:ascii="宋体" w:hAnsi="宋体" w:cs="仿宋"/>
          <w:b/>
          <w:sz w:val="28"/>
          <w:szCs w:val="28"/>
          <w:u w:val="single"/>
        </w:rPr>
        <w:t xml:space="preserve">           </w:t>
      </w:r>
      <w:r>
        <w:rPr>
          <w:rFonts w:hint="eastAsia" w:ascii="宋体" w:hAnsi="宋体" w:cs="仿宋"/>
          <w:sz w:val="28"/>
          <w:szCs w:val="28"/>
        </w:rPr>
        <w:t>。</w:t>
      </w:r>
      <w:bookmarkEnd w:id="343"/>
      <w:bookmarkEnd w:id="345"/>
    </w:p>
    <w:p>
      <w:pPr>
        <w:spacing w:line="360" w:lineRule="auto"/>
        <w:rPr>
          <w:rFonts w:ascii="宋体" w:hAnsi="宋体" w:cs="仿宋"/>
          <w:b/>
          <w:sz w:val="32"/>
          <w:szCs w:val="32"/>
        </w:rPr>
      </w:pPr>
      <w:r>
        <w:rPr>
          <w:rFonts w:hint="eastAsia" w:ascii="宋体" w:hAnsi="宋体" w:cs="仿宋"/>
          <w:b/>
          <w:sz w:val="24"/>
        </w:rPr>
        <w:br w:type="page"/>
      </w:r>
      <w:r>
        <w:rPr>
          <w:rFonts w:hint="eastAsia" w:ascii="宋体" w:hAnsi="宋体" w:cs="仿宋"/>
          <w:b/>
          <w:sz w:val="32"/>
          <w:szCs w:val="32"/>
        </w:rPr>
        <w:t>格式2-11</w:t>
      </w:r>
    </w:p>
    <w:p>
      <w:pPr>
        <w:widowControl/>
        <w:spacing w:line="360" w:lineRule="atLeast"/>
        <w:jc w:val="center"/>
        <w:outlineLvl w:val="1"/>
        <w:rPr>
          <w:rFonts w:ascii="宋体" w:hAnsi="宋体" w:cs="仿宋"/>
          <w:b/>
          <w:sz w:val="32"/>
          <w:szCs w:val="32"/>
        </w:rPr>
      </w:pPr>
      <w:bookmarkStart w:id="346" w:name="_Toc24680"/>
      <w:r>
        <w:rPr>
          <w:rFonts w:hint="eastAsia" w:ascii="宋体" w:hAnsi="宋体" w:cs="仿宋"/>
          <w:b/>
          <w:sz w:val="32"/>
          <w:szCs w:val="32"/>
        </w:rPr>
        <w:t>十、中小企业声明函</w:t>
      </w:r>
      <w:bookmarkEnd w:id="346"/>
    </w:p>
    <w:p>
      <w:pPr>
        <w:spacing w:line="400" w:lineRule="exact"/>
        <w:ind w:firstLine="584" w:firstLineChars="200"/>
        <w:rPr>
          <w:rFonts w:cs="宋体"/>
          <w:spacing w:val="6"/>
          <w:sz w:val="28"/>
          <w:szCs w:val="28"/>
        </w:rPr>
      </w:pPr>
      <w:r>
        <w:rPr>
          <w:rFonts w:hint="eastAsia" w:cs="宋体"/>
          <w:spacing w:val="6"/>
          <w:sz w:val="28"/>
          <w:szCs w:val="28"/>
        </w:rPr>
        <w:t>本公司（联合体）郑重声明，根据《政府采购促进中小企业发展管理办法》（财库﹝2020﹞46 号）的规定，本公司（联合体）参加</w:t>
      </w:r>
      <w:r>
        <w:rPr>
          <w:rFonts w:hint="eastAsia" w:cs="宋体"/>
          <w:spacing w:val="6"/>
          <w:sz w:val="28"/>
          <w:szCs w:val="28"/>
          <w:u w:val="single"/>
        </w:rPr>
        <w:t xml:space="preserve">   （单位名称）</w:t>
      </w:r>
      <w:r>
        <w:rPr>
          <w:rFonts w:hint="eastAsia" w:cs="宋体"/>
          <w:spacing w:val="6"/>
          <w:sz w:val="28"/>
          <w:szCs w:val="28"/>
        </w:rPr>
        <w:t>的</w:t>
      </w:r>
      <w:r>
        <w:rPr>
          <w:rFonts w:hint="eastAsia" w:cs="宋体"/>
          <w:spacing w:val="6"/>
          <w:sz w:val="28"/>
          <w:szCs w:val="28"/>
          <w:u w:val="single"/>
        </w:rPr>
        <w:t xml:space="preserve">  （项目名称）  </w:t>
      </w:r>
      <w:r>
        <w:rPr>
          <w:rFonts w:hint="eastAsia" w:cs="宋体"/>
          <w:spacing w:val="6"/>
          <w:sz w:val="28"/>
          <w:szCs w:val="28"/>
        </w:rPr>
        <w:t>采购活动，</w:t>
      </w:r>
      <w:r>
        <w:rPr>
          <w:rFonts w:hint="eastAsia" w:cs="宋体"/>
          <w:spacing w:val="6"/>
          <w:sz w:val="28"/>
          <w:szCs w:val="28"/>
          <w:lang w:eastAsia="zh-CN"/>
        </w:rPr>
        <w:t>提供的货物全部</w:t>
      </w:r>
      <w:r>
        <w:rPr>
          <w:rFonts w:hint="eastAsia" w:cs="宋体"/>
          <w:spacing w:val="6"/>
          <w:sz w:val="28"/>
          <w:szCs w:val="28"/>
        </w:rPr>
        <w:t>由符合政策要求的中小企业</w:t>
      </w:r>
      <w:r>
        <w:rPr>
          <w:rFonts w:hint="eastAsia" w:cs="宋体"/>
          <w:spacing w:val="6"/>
          <w:sz w:val="28"/>
          <w:szCs w:val="28"/>
          <w:lang w:eastAsia="zh-CN"/>
        </w:rPr>
        <w:t>制造</w:t>
      </w:r>
      <w:r>
        <w:rPr>
          <w:rFonts w:hint="eastAsia" w:cs="宋体"/>
          <w:spacing w:val="6"/>
          <w:sz w:val="28"/>
          <w:szCs w:val="28"/>
        </w:rPr>
        <w:t>。相关企业（含联合体中的中小企业</w:t>
      </w:r>
      <w:r>
        <w:rPr>
          <w:rFonts w:hint="eastAsia" w:cs="宋体"/>
          <w:spacing w:val="6"/>
          <w:sz w:val="28"/>
          <w:szCs w:val="28"/>
          <w:lang w:eastAsia="zh-CN"/>
        </w:rPr>
        <w:t>、签订分包意向协议的中小企业</w:t>
      </w:r>
      <w:r>
        <w:rPr>
          <w:rFonts w:hint="eastAsia" w:cs="宋体"/>
          <w:spacing w:val="6"/>
          <w:sz w:val="28"/>
          <w:szCs w:val="28"/>
        </w:rPr>
        <w:t>）的具体情况如下：</w:t>
      </w:r>
    </w:p>
    <w:p>
      <w:pPr>
        <w:spacing w:line="400" w:lineRule="exact"/>
        <w:ind w:firstLine="584" w:firstLineChars="200"/>
        <w:rPr>
          <w:rFonts w:cs="宋体"/>
          <w:spacing w:val="6"/>
          <w:sz w:val="28"/>
          <w:szCs w:val="28"/>
        </w:rPr>
      </w:pPr>
      <w:r>
        <w:rPr>
          <w:rFonts w:hint="eastAsia" w:cs="宋体"/>
          <w:spacing w:val="6"/>
          <w:sz w:val="28"/>
          <w:szCs w:val="28"/>
        </w:rPr>
        <w:t xml:space="preserve">1. </w:t>
      </w:r>
      <w:r>
        <w:rPr>
          <w:rFonts w:hint="eastAsia" w:cs="宋体"/>
          <w:spacing w:val="6"/>
          <w:sz w:val="28"/>
          <w:szCs w:val="28"/>
          <w:u w:val="single"/>
        </w:rPr>
        <w:t xml:space="preserve">         （标的名称）</w:t>
      </w:r>
      <w:r>
        <w:rPr>
          <w:rFonts w:hint="eastAsia" w:cs="宋体"/>
          <w:spacing w:val="6"/>
          <w:sz w:val="28"/>
          <w:szCs w:val="28"/>
        </w:rPr>
        <w:t>，属于</w:t>
      </w:r>
      <w:r>
        <w:rPr>
          <w:rFonts w:hint="eastAsia" w:cs="宋体"/>
          <w:spacing w:val="6"/>
          <w:sz w:val="28"/>
          <w:szCs w:val="28"/>
          <w:u w:val="single"/>
        </w:rPr>
        <w:t xml:space="preserve">         （采购文件中明确的所属行业）</w:t>
      </w:r>
      <w:r>
        <w:rPr>
          <w:rFonts w:hint="eastAsia" w:cs="宋体"/>
          <w:spacing w:val="6"/>
          <w:sz w:val="28"/>
          <w:szCs w:val="28"/>
        </w:rPr>
        <w:t>；</w:t>
      </w:r>
      <w:r>
        <w:rPr>
          <w:rFonts w:hint="eastAsia" w:cs="宋体"/>
          <w:spacing w:val="6"/>
          <w:sz w:val="28"/>
          <w:szCs w:val="28"/>
          <w:lang w:eastAsia="zh-CN"/>
        </w:rPr>
        <w:t>制造商</w:t>
      </w:r>
      <w:r>
        <w:rPr>
          <w:rFonts w:hint="eastAsia" w:cs="宋体"/>
          <w:spacing w:val="6"/>
          <w:sz w:val="28"/>
          <w:szCs w:val="28"/>
        </w:rPr>
        <w:t>为</w:t>
      </w:r>
      <w:r>
        <w:rPr>
          <w:rFonts w:hint="eastAsia" w:cs="宋体"/>
          <w:spacing w:val="6"/>
          <w:sz w:val="28"/>
          <w:szCs w:val="28"/>
          <w:u w:val="single"/>
        </w:rPr>
        <w:t xml:space="preserve"> （企业名称</w:t>
      </w:r>
      <w:r>
        <w:rPr>
          <w:rFonts w:hint="eastAsia" w:cs="宋体"/>
          <w:spacing w:val="6"/>
          <w:sz w:val="28"/>
          <w:szCs w:val="28"/>
        </w:rPr>
        <w:t>），从业人员</w:t>
      </w:r>
      <w:r>
        <w:rPr>
          <w:rFonts w:hint="eastAsia" w:cs="宋体"/>
          <w:spacing w:val="6"/>
          <w:sz w:val="28"/>
          <w:szCs w:val="28"/>
          <w:u w:val="single"/>
        </w:rPr>
        <w:t xml:space="preserve">         </w:t>
      </w:r>
      <w:r>
        <w:rPr>
          <w:rFonts w:hint="eastAsia" w:cs="宋体"/>
          <w:spacing w:val="6"/>
          <w:sz w:val="28"/>
          <w:szCs w:val="28"/>
        </w:rPr>
        <w:t>人，营业收入为</w:t>
      </w:r>
      <w:r>
        <w:rPr>
          <w:rFonts w:hint="eastAsia" w:cs="宋体"/>
          <w:spacing w:val="6"/>
          <w:sz w:val="28"/>
          <w:szCs w:val="28"/>
          <w:u w:val="single"/>
        </w:rPr>
        <w:t xml:space="preserve">         </w:t>
      </w:r>
      <w:r>
        <w:rPr>
          <w:rFonts w:hint="eastAsia" w:cs="宋体"/>
          <w:spacing w:val="6"/>
          <w:sz w:val="28"/>
          <w:szCs w:val="28"/>
        </w:rPr>
        <w:t>万元，资产总额为</w:t>
      </w:r>
      <w:r>
        <w:rPr>
          <w:rFonts w:hint="eastAsia" w:cs="宋体"/>
          <w:spacing w:val="6"/>
          <w:sz w:val="28"/>
          <w:szCs w:val="28"/>
          <w:u w:val="single"/>
        </w:rPr>
        <w:t xml:space="preserve">         </w:t>
      </w:r>
      <w:r>
        <w:rPr>
          <w:rFonts w:hint="eastAsia" w:cs="宋体"/>
          <w:spacing w:val="6"/>
          <w:sz w:val="28"/>
          <w:szCs w:val="28"/>
        </w:rPr>
        <w:t>万元，属于</w:t>
      </w:r>
      <w:r>
        <w:rPr>
          <w:rFonts w:hint="eastAsia" w:cs="宋体"/>
          <w:spacing w:val="6"/>
          <w:sz w:val="28"/>
          <w:szCs w:val="28"/>
          <w:u w:val="single"/>
        </w:rPr>
        <w:t xml:space="preserve">         （中型企业、小型企业、微型企业）</w:t>
      </w:r>
      <w:r>
        <w:rPr>
          <w:rFonts w:hint="eastAsia" w:cs="宋体"/>
          <w:spacing w:val="6"/>
          <w:sz w:val="28"/>
          <w:szCs w:val="28"/>
        </w:rPr>
        <w:t xml:space="preserve">； </w:t>
      </w:r>
    </w:p>
    <w:p>
      <w:pPr>
        <w:spacing w:line="400" w:lineRule="exact"/>
        <w:ind w:firstLine="584" w:firstLineChars="200"/>
        <w:rPr>
          <w:rFonts w:cs="宋体"/>
          <w:spacing w:val="6"/>
          <w:sz w:val="28"/>
          <w:szCs w:val="28"/>
        </w:rPr>
      </w:pPr>
      <w:r>
        <w:rPr>
          <w:rFonts w:hint="eastAsia" w:cs="宋体"/>
          <w:spacing w:val="6"/>
          <w:sz w:val="28"/>
          <w:szCs w:val="28"/>
        </w:rPr>
        <w:t xml:space="preserve">2. </w:t>
      </w:r>
      <w:r>
        <w:rPr>
          <w:rFonts w:hint="eastAsia" w:cs="宋体"/>
          <w:spacing w:val="6"/>
          <w:sz w:val="28"/>
          <w:szCs w:val="28"/>
          <w:u w:val="single"/>
        </w:rPr>
        <w:t xml:space="preserve">         （标的名称）</w:t>
      </w:r>
      <w:r>
        <w:rPr>
          <w:rFonts w:hint="eastAsia" w:cs="宋体"/>
          <w:spacing w:val="6"/>
          <w:sz w:val="28"/>
          <w:szCs w:val="28"/>
        </w:rPr>
        <w:t>，属于</w:t>
      </w:r>
      <w:r>
        <w:rPr>
          <w:rFonts w:hint="eastAsia" w:cs="宋体"/>
          <w:spacing w:val="6"/>
          <w:sz w:val="28"/>
          <w:szCs w:val="28"/>
          <w:u w:val="single"/>
        </w:rPr>
        <w:t xml:space="preserve">         </w:t>
      </w:r>
      <w:r>
        <w:rPr>
          <w:rFonts w:hint="eastAsia" w:cs="宋体"/>
          <w:spacing w:val="6"/>
          <w:sz w:val="28"/>
          <w:szCs w:val="28"/>
        </w:rPr>
        <w:t>（采购文件中明确的所属行业）；</w:t>
      </w:r>
      <w:r>
        <w:rPr>
          <w:rFonts w:hint="eastAsia" w:cs="宋体"/>
          <w:spacing w:val="6"/>
          <w:sz w:val="28"/>
          <w:szCs w:val="28"/>
          <w:lang w:eastAsia="zh-CN"/>
        </w:rPr>
        <w:t>制造商为</w:t>
      </w:r>
      <w:r>
        <w:rPr>
          <w:rFonts w:hint="eastAsia" w:cs="宋体"/>
          <w:spacing w:val="6"/>
          <w:sz w:val="28"/>
          <w:szCs w:val="28"/>
        </w:rPr>
        <w:t>企业为</w:t>
      </w:r>
      <w:r>
        <w:rPr>
          <w:rFonts w:hint="eastAsia" w:cs="宋体"/>
          <w:spacing w:val="6"/>
          <w:sz w:val="28"/>
          <w:szCs w:val="28"/>
          <w:u w:val="single"/>
        </w:rPr>
        <w:t xml:space="preserve">  （企业名称）</w:t>
      </w:r>
      <w:r>
        <w:rPr>
          <w:rFonts w:hint="eastAsia" w:cs="宋体"/>
          <w:spacing w:val="6"/>
          <w:sz w:val="28"/>
          <w:szCs w:val="28"/>
        </w:rPr>
        <w:t>，从业人员</w:t>
      </w:r>
      <w:r>
        <w:rPr>
          <w:rFonts w:hint="eastAsia" w:cs="宋体"/>
          <w:spacing w:val="6"/>
          <w:sz w:val="28"/>
          <w:szCs w:val="28"/>
          <w:u w:val="single"/>
        </w:rPr>
        <w:t xml:space="preserve">         </w:t>
      </w:r>
      <w:r>
        <w:rPr>
          <w:rFonts w:hint="eastAsia" w:cs="宋体"/>
          <w:spacing w:val="6"/>
          <w:sz w:val="28"/>
          <w:szCs w:val="28"/>
        </w:rPr>
        <w:t>人，营业收入为</w:t>
      </w:r>
      <w:r>
        <w:rPr>
          <w:rFonts w:hint="eastAsia" w:cs="宋体"/>
          <w:spacing w:val="6"/>
          <w:sz w:val="28"/>
          <w:szCs w:val="28"/>
          <w:u w:val="single"/>
        </w:rPr>
        <w:t xml:space="preserve">         </w:t>
      </w:r>
      <w:r>
        <w:rPr>
          <w:rFonts w:hint="eastAsia" w:cs="宋体"/>
          <w:spacing w:val="6"/>
          <w:sz w:val="28"/>
          <w:szCs w:val="28"/>
        </w:rPr>
        <w:t>万元，资产总额为</w:t>
      </w:r>
      <w:r>
        <w:rPr>
          <w:rFonts w:hint="eastAsia" w:cs="宋体"/>
          <w:spacing w:val="6"/>
          <w:sz w:val="28"/>
          <w:szCs w:val="28"/>
          <w:u w:val="single"/>
        </w:rPr>
        <w:t xml:space="preserve">         </w:t>
      </w:r>
      <w:r>
        <w:rPr>
          <w:rFonts w:hint="eastAsia" w:cs="宋体"/>
          <w:spacing w:val="6"/>
          <w:sz w:val="28"/>
          <w:szCs w:val="28"/>
        </w:rPr>
        <w:t>万元，属于</w:t>
      </w:r>
      <w:r>
        <w:rPr>
          <w:rFonts w:hint="eastAsia" w:cs="宋体"/>
          <w:spacing w:val="6"/>
          <w:sz w:val="28"/>
          <w:szCs w:val="28"/>
          <w:u w:val="single"/>
        </w:rPr>
        <w:t xml:space="preserve">         （中型企业、小型企业、微型企业</w:t>
      </w:r>
      <w:r>
        <w:rPr>
          <w:rFonts w:hint="eastAsia" w:cs="宋体"/>
          <w:spacing w:val="6"/>
          <w:sz w:val="28"/>
          <w:szCs w:val="28"/>
        </w:rPr>
        <w:t xml:space="preserve">）； </w:t>
      </w:r>
    </w:p>
    <w:p>
      <w:pPr>
        <w:spacing w:line="400" w:lineRule="exact"/>
        <w:ind w:firstLine="584" w:firstLineChars="200"/>
        <w:rPr>
          <w:rFonts w:cs="宋体"/>
          <w:spacing w:val="6"/>
          <w:sz w:val="28"/>
          <w:szCs w:val="28"/>
        </w:rPr>
      </w:pPr>
      <w:r>
        <w:rPr>
          <w:rFonts w:hint="eastAsia" w:cs="宋体"/>
          <w:spacing w:val="6"/>
          <w:sz w:val="28"/>
          <w:szCs w:val="28"/>
        </w:rPr>
        <w:t>……</w:t>
      </w:r>
    </w:p>
    <w:p>
      <w:pPr>
        <w:spacing w:line="400" w:lineRule="exact"/>
        <w:ind w:firstLine="584" w:firstLineChars="200"/>
        <w:rPr>
          <w:rFonts w:cs="宋体"/>
          <w:spacing w:val="6"/>
          <w:sz w:val="28"/>
          <w:szCs w:val="28"/>
        </w:rPr>
      </w:pPr>
      <w:r>
        <w:rPr>
          <w:rFonts w:hint="eastAsia" w:cs="宋体"/>
          <w:spacing w:val="6"/>
          <w:sz w:val="28"/>
          <w:szCs w:val="28"/>
        </w:rPr>
        <w:t>以上企业，不属于大企业的分支机构，不存在控股股东为大企业的情形，也不存在与大企业的负责人为同一人的情形。</w:t>
      </w:r>
    </w:p>
    <w:p>
      <w:pPr>
        <w:spacing w:line="400" w:lineRule="exact"/>
        <w:ind w:firstLine="584" w:firstLineChars="200"/>
        <w:rPr>
          <w:sz w:val="28"/>
          <w:szCs w:val="28"/>
        </w:rPr>
      </w:pPr>
      <w:r>
        <w:rPr>
          <w:rFonts w:hint="eastAsia" w:cs="宋体"/>
          <w:spacing w:val="6"/>
          <w:sz w:val="28"/>
          <w:szCs w:val="28"/>
        </w:rPr>
        <w:t>本企业对上述声明内容的真实性负责。如有虚假，将依法承担相应责任。</w:t>
      </w:r>
    </w:p>
    <w:p>
      <w:pPr>
        <w:spacing w:line="360" w:lineRule="exact"/>
        <w:ind w:firstLine="733" w:firstLineChars="250"/>
        <w:rPr>
          <w:rFonts w:cs="宋体"/>
          <w:b/>
          <w:bCs/>
          <w:spacing w:val="6"/>
          <w:sz w:val="28"/>
          <w:szCs w:val="28"/>
        </w:rPr>
      </w:pPr>
      <w:r>
        <w:rPr>
          <w:rFonts w:hint="eastAsia" w:cs="宋体"/>
          <w:b/>
          <w:bCs/>
          <w:spacing w:val="6"/>
          <w:sz w:val="28"/>
          <w:szCs w:val="28"/>
        </w:rPr>
        <w:t>从业人员、营业收入、资产总额填报上一年度数据，无上一年度数据的新成立企业可不填报。</w:t>
      </w:r>
    </w:p>
    <w:p>
      <w:pPr>
        <w:spacing w:line="360" w:lineRule="exact"/>
        <w:ind w:firstLine="733" w:firstLineChars="250"/>
        <w:rPr>
          <w:rFonts w:cs="宋体"/>
          <w:b/>
          <w:bCs/>
          <w:spacing w:val="6"/>
          <w:sz w:val="28"/>
          <w:szCs w:val="28"/>
        </w:rPr>
      </w:pPr>
      <w:r>
        <w:rPr>
          <w:rFonts w:hint="eastAsia" w:cs="宋体"/>
          <w:b/>
          <w:bCs/>
          <w:spacing w:val="6"/>
          <w:sz w:val="28"/>
          <w:szCs w:val="28"/>
        </w:rPr>
        <w:t>说明：供应商为监狱企业的，提供由省级以上监狱管理局、戒毒管理局（含新疆生产建设兵团）出具的供应商属于监狱企业的证明文件复印件。监狱企业视同小型、微型企业。如提供虚假中小企业声明函的，则采购人有权</w:t>
      </w:r>
      <w:r>
        <w:rPr>
          <w:rFonts w:hint="eastAsia" w:cs="宋体"/>
          <w:b/>
          <w:bCs/>
          <w:spacing w:val="6"/>
          <w:sz w:val="28"/>
          <w:szCs w:val="28"/>
          <w:lang w:eastAsia="zh-CN"/>
        </w:rPr>
        <w:t>中标</w:t>
      </w:r>
      <w:r>
        <w:rPr>
          <w:rFonts w:hint="eastAsia" w:cs="宋体"/>
          <w:b/>
          <w:bCs/>
          <w:spacing w:val="6"/>
          <w:sz w:val="28"/>
          <w:szCs w:val="28"/>
        </w:rPr>
        <w:t>资格，有权终止合同，并报政府采购监管部门。</w:t>
      </w:r>
    </w:p>
    <w:p>
      <w:pPr>
        <w:spacing w:line="360" w:lineRule="exact"/>
        <w:ind w:firstLine="733" w:firstLineChars="250"/>
        <w:rPr>
          <w:rFonts w:cs="宋体"/>
          <w:b/>
          <w:spacing w:val="6"/>
          <w:sz w:val="28"/>
          <w:szCs w:val="28"/>
        </w:rPr>
      </w:pPr>
      <w:r>
        <w:rPr>
          <w:rFonts w:hint="eastAsia" w:cs="宋体"/>
          <w:b/>
          <w:bCs/>
          <w:spacing w:val="6"/>
          <w:sz w:val="28"/>
          <w:szCs w:val="28"/>
        </w:rPr>
        <w:t>本项目采购标的对应的中小企业划分标准所属行业为</w:t>
      </w:r>
      <w:r>
        <w:rPr>
          <w:rFonts w:hint="eastAsia" w:cs="宋体"/>
          <w:b/>
          <w:bCs/>
          <w:spacing w:val="6"/>
          <w:sz w:val="28"/>
          <w:szCs w:val="28"/>
          <w:u w:val="single"/>
        </w:rPr>
        <w:t>其他未列明行业</w:t>
      </w:r>
      <w:r>
        <w:rPr>
          <w:rFonts w:hint="eastAsia" w:cs="宋体"/>
          <w:b/>
          <w:spacing w:val="6"/>
          <w:sz w:val="28"/>
          <w:szCs w:val="28"/>
          <w:u w:val="single"/>
        </w:rPr>
        <w:t>。</w:t>
      </w:r>
    </w:p>
    <w:p>
      <w:pPr>
        <w:widowControl/>
        <w:spacing w:line="360" w:lineRule="atLeast"/>
        <w:jc w:val="left"/>
        <w:outlineLvl w:val="1"/>
        <w:rPr>
          <w:rFonts w:ascii="宋体" w:hAnsi="宋体" w:cs="仿宋"/>
          <w:sz w:val="28"/>
          <w:szCs w:val="28"/>
        </w:rPr>
      </w:pPr>
      <w:bookmarkStart w:id="347" w:name="_Toc29247"/>
      <w:bookmarkStart w:id="348" w:name="_Hlk534972108"/>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347"/>
    </w:p>
    <w:p>
      <w:pPr>
        <w:widowControl/>
        <w:spacing w:line="360" w:lineRule="atLeast"/>
        <w:jc w:val="left"/>
        <w:outlineLvl w:val="1"/>
        <w:rPr>
          <w:rFonts w:ascii="宋体" w:hAnsi="宋体" w:cs="仿宋"/>
          <w:sz w:val="28"/>
          <w:szCs w:val="28"/>
        </w:rPr>
      </w:pPr>
      <w:bookmarkStart w:id="349" w:name="_Toc25321"/>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349"/>
    </w:p>
    <w:p>
      <w:pPr>
        <w:spacing w:line="360" w:lineRule="auto"/>
        <w:jc w:val="left"/>
        <w:rPr>
          <w:rFonts w:ascii="宋体" w:hAnsi="宋体" w:cs="仿宋"/>
          <w:sz w:val="28"/>
          <w:szCs w:val="28"/>
        </w:rPr>
      </w:pPr>
      <w:r>
        <w:rPr>
          <w:rFonts w:hint="eastAsia" w:ascii="宋体" w:hAnsi="宋体" w:cs="仿宋"/>
          <w:sz w:val="28"/>
          <w:szCs w:val="28"/>
        </w:rPr>
        <w:t xml:space="preserve">投标日期: </w:t>
      </w:r>
      <w:r>
        <w:rPr>
          <w:rFonts w:hint="eastAsia" w:ascii="宋体" w:hAnsi="宋体" w:cs="仿宋"/>
          <w:b/>
          <w:sz w:val="28"/>
          <w:szCs w:val="28"/>
          <w:u w:val="single"/>
        </w:rPr>
        <w:t xml:space="preserve">           </w:t>
      </w:r>
      <w:r>
        <w:rPr>
          <w:rFonts w:hint="eastAsia" w:ascii="宋体" w:hAnsi="宋体" w:cs="仿宋"/>
          <w:sz w:val="28"/>
          <w:szCs w:val="28"/>
        </w:rPr>
        <w:t>。</w:t>
      </w:r>
    </w:p>
    <w:bookmarkEnd w:id="348"/>
    <w:p>
      <w:pPr>
        <w:spacing w:line="360" w:lineRule="auto"/>
        <w:rPr>
          <w:rFonts w:ascii="宋体" w:hAnsi="宋体" w:cs="仿宋"/>
          <w:b/>
          <w:sz w:val="32"/>
          <w:szCs w:val="32"/>
        </w:rPr>
      </w:pPr>
      <w:r>
        <w:rPr>
          <w:rFonts w:hint="eastAsia" w:ascii="宋体" w:hAnsi="宋体" w:cs="仿宋"/>
          <w:sz w:val="24"/>
        </w:rPr>
        <w:br w:type="page"/>
      </w:r>
      <w:r>
        <w:rPr>
          <w:rFonts w:hint="eastAsia" w:ascii="宋体" w:hAnsi="宋体" w:cs="仿宋"/>
          <w:b/>
          <w:sz w:val="32"/>
          <w:szCs w:val="32"/>
        </w:rPr>
        <w:t>格式2-12</w:t>
      </w:r>
    </w:p>
    <w:p>
      <w:pPr>
        <w:jc w:val="center"/>
        <w:rPr>
          <w:rFonts w:ascii="宋体" w:hAnsi="宋体" w:cs="仿宋"/>
          <w:b/>
          <w:sz w:val="32"/>
          <w:szCs w:val="32"/>
        </w:rPr>
      </w:pPr>
      <w:r>
        <w:rPr>
          <w:rFonts w:hint="eastAsia" w:ascii="宋体" w:hAnsi="宋体" w:cs="仿宋"/>
          <w:b/>
          <w:sz w:val="32"/>
          <w:szCs w:val="32"/>
        </w:rPr>
        <w:t>十一、</w:t>
      </w:r>
      <w:bookmarkStart w:id="350" w:name="OLE_LINK13"/>
      <w:bookmarkStart w:id="351" w:name="OLE_LINK14"/>
      <w:r>
        <w:rPr>
          <w:rFonts w:hint="eastAsia" w:ascii="宋体" w:hAnsi="宋体" w:cs="仿宋"/>
          <w:b/>
          <w:sz w:val="32"/>
          <w:szCs w:val="32"/>
        </w:rPr>
        <w:t>残疾人福利性单位声明函</w:t>
      </w:r>
    </w:p>
    <w:bookmarkEnd w:id="350"/>
    <w:bookmarkEnd w:id="351"/>
    <w:p>
      <w:pPr>
        <w:spacing w:line="588" w:lineRule="exact"/>
        <w:ind w:firstLine="584" w:firstLineChars="200"/>
        <w:rPr>
          <w:rFonts w:ascii="宋体" w:hAnsi="宋体" w:cs="仿宋"/>
          <w:spacing w:val="6"/>
          <w:sz w:val="28"/>
          <w:szCs w:val="28"/>
        </w:rPr>
      </w:pPr>
      <w:r>
        <w:rPr>
          <w:rFonts w:hint="eastAsia" w:ascii="宋体" w:hAnsi="宋体" w:cs="仿宋"/>
          <w:spacing w:val="6"/>
          <w:sz w:val="28"/>
          <w:szCs w:val="28"/>
        </w:rPr>
        <w:t>本单位郑重声明，根据《财政部 民政部 中国残疾人联合会关于促进残疾人就业政府采购政策的通知》（财库</w:t>
      </w:r>
      <w:r>
        <w:rPr>
          <w:rFonts w:hint="eastAsia" w:ascii="宋体" w:hAnsi="宋体" w:cs="仿宋"/>
          <w:sz w:val="28"/>
          <w:szCs w:val="28"/>
        </w:rPr>
        <w:t>〔2017〕 141</w:t>
      </w:r>
      <w:r>
        <w:rPr>
          <w:rFonts w:hint="eastAsia" w:ascii="宋体" w:hAnsi="宋体" w:cs="仿宋"/>
          <w:spacing w:val="6"/>
          <w:sz w:val="28"/>
          <w:szCs w:val="28"/>
        </w:rPr>
        <w:t>号）的规定，本单位为符合条件的残疾人福利性单位，且本单位参加</w:t>
      </w:r>
      <w:r>
        <w:rPr>
          <w:rFonts w:hint="eastAsia" w:ascii="宋体" w:hAnsi="宋体" w:cs="仿宋"/>
          <w:spacing w:val="6"/>
          <w:sz w:val="28"/>
          <w:szCs w:val="28"/>
          <w:u w:val="single"/>
        </w:rPr>
        <w:t xml:space="preserve">      </w:t>
      </w:r>
      <w:r>
        <w:rPr>
          <w:rFonts w:hint="eastAsia" w:ascii="宋体" w:hAnsi="宋体" w:cs="仿宋"/>
          <w:spacing w:val="6"/>
          <w:sz w:val="28"/>
          <w:szCs w:val="28"/>
        </w:rPr>
        <w:t>单位的</w:t>
      </w:r>
      <w:r>
        <w:rPr>
          <w:rFonts w:hint="eastAsia" w:ascii="宋体" w:hAnsi="宋体" w:cs="仿宋"/>
          <w:spacing w:val="6"/>
          <w:sz w:val="28"/>
          <w:szCs w:val="28"/>
          <w:u w:val="single"/>
        </w:rPr>
        <w:t xml:space="preserve">      </w:t>
      </w:r>
      <w:r>
        <w:rPr>
          <w:rFonts w:hint="eastAsia" w:ascii="宋体" w:hAnsi="宋体" w:cs="仿宋"/>
          <w:spacing w:val="6"/>
          <w:sz w:val="28"/>
          <w:szCs w:val="28"/>
        </w:rPr>
        <w:t>项目采购活动提供本单位制造的货物（由本单位承担工程/提供服务），或者提供其他残疾人福利性单位制造的货物（不包括使用非残疾人福利性单位注册商标的货物）。</w:t>
      </w:r>
    </w:p>
    <w:p>
      <w:pPr>
        <w:spacing w:line="588" w:lineRule="exact"/>
        <w:ind w:firstLine="584" w:firstLineChars="200"/>
        <w:rPr>
          <w:rFonts w:ascii="宋体" w:hAnsi="宋体" w:cs="仿宋"/>
          <w:spacing w:val="6"/>
          <w:sz w:val="28"/>
          <w:szCs w:val="28"/>
        </w:rPr>
      </w:pPr>
      <w:r>
        <w:rPr>
          <w:rFonts w:hint="eastAsia" w:ascii="宋体" w:hAnsi="宋体" w:cs="仿宋"/>
          <w:spacing w:val="6"/>
          <w:sz w:val="28"/>
          <w:szCs w:val="28"/>
        </w:rPr>
        <w:t>本单位对上述声明的真实性负责。如有虚假，将依法承担相应责任。</w:t>
      </w:r>
    </w:p>
    <w:p>
      <w:pPr>
        <w:spacing w:line="588" w:lineRule="exact"/>
        <w:rPr>
          <w:rFonts w:ascii="宋体" w:hAnsi="宋体" w:cs="仿宋"/>
          <w:spacing w:val="6"/>
          <w:sz w:val="28"/>
          <w:szCs w:val="28"/>
        </w:rPr>
      </w:pPr>
    </w:p>
    <w:p>
      <w:pPr>
        <w:widowControl/>
        <w:spacing w:line="360" w:lineRule="atLeast"/>
        <w:jc w:val="left"/>
        <w:outlineLvl w:val="1"/>
        <w:rPr>
          <w:rFonts w:ascii="宋体" w:hAnsi="宋体" w:cs="仿宋"/>
          <w:sz w:val="28"/>
          <w:szCs w:val="28"/>
        </w:rPr>
      </w:pPr>
      <w:bookmarkStart w:id="352" w:name="_Toc13452"/>
      <w:bookmarkStart w:id="353" w:name="_Hlk534972136"/>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352"/>
    </w:p>
    <w:p>
      <w:pPr>
        <w:widowControl/>
        <w:spacing w:line="360" w:lineRule="atLeast"/>
        <w:jc w:val="left"/>
        <w:outlineLvl w:val="1"/>
        <w:rPr>
          <w:rFonts w:ascii="宋体" w:hAnsi="宋体" w:cs="仿宋"/>
          <w:sz w:val="28"/>
          <w:szCs w:val="28"/>
        </w:rPr>
      </w:pPr>
      <w:bookmarkStart w:id="354" w:name="_Toc21041"/>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354"/>
    </w:p>
    <w:p>
      <w:pPr>
        <w:rPr>
          <w:rFonts w:ascii="宋体" w:hAnsi="宋体" w:cs="仿宋"/>
          <w:spacing w:val="6"/>
          <w:sz w:val="28"/>
          <w:szCs w:val="28"/>
        </w:rPr>
      </w:pPr>
      <w:r>
        <w:rPr>
          <w:rFonts w:hint="eastAsia" w:ascii="宋体" w:hAnsi="宋体" w:cs="仿宋"/>
          <w:sz w:val="28"/>
          <w:szCs w:val="28"/>
        </w:rPr>
        <w:t>投标日期:</w:t>
      </w:r>
      <w:r>
        <w:rPr>
          <w:rFonts w:hint="eastAsia" w:ascii="宋体" w:hAnsi="宋体" w:cs="仿宋"/>
          <w:b/>
          <w:sz w:val="28"/>
          <w:szCs w:val="28"/>
          <w:u w:val="single"/>
        </w:rPr>
        <w:t xml:space="preserve">           </w:t>
      </w:r>
      <w:r>
        <w:rPr>
          <w:rFonts w:hint="eastAsia" w:ascii="宋体" w:hAnsi="宋体" w:cs="仿宋"/>
          <w:sz w:val="28"/>
          <w:szCs w:val="28"/>
        </w:rPr>
        <w:t>。</w:t>
      </w:r>
    </w:p>
    <w:bookmarkEnd w:id="353"/>
    <w:p>
      <w:pPr>
        <w:spacing w:line="360" w:lineRule="auto"/>
        <w:rPr>
          <w:rFonts w:ascii="宋体" w:hAnsi="宋体" w:cs="仿宋"/>
          <w:sz w:val="28"/>
          <w:szCs w:val="28"/>
        </w:rPr>
      </w:pPr>
    </w:p>
    <w:p>
      <w:pPr>
        <w:spacing w:line="360" w:lineRule="auto"/>
        <w:rPr>
          <w:rFonts w:ascii="宋体" w:hAnsi="宋体" w:cs="仿宋"/>
          <w:sz w:val="28"/>
          <w:szCs w:val="28"/>
        </w:rPr>
      </w:pPr>
      <w:r>
        <w:rPr>
          <w:rFonts w:hint="eastAsia" w:ascii="宋体" w:hAnsi="宋体" w:cs="仿宋"/>
          <w:sz w:val="28"/>
          <w:szCs w:val="28"/>
        </w:rPr>
        <w:t>注：</w:t>
      </w:r>
    </w:p>
    <w:p>
      <w:pPr>
        <w:numPr>
          <w:ilvl w:val="0"/>
          <w:numId w:val="29"/>
        </w:numPr>
        <w:spacing w:line="360" w:lineRule="auto"/>
        <w:rPr>
          <w:rFonts w:ascii="宋体" w:hAnsi="宋体" w:cs="仿宋"/>
          <w:sz w:val="28"/>
          <w:szCs w:val="28"/>
        </w:rPr>
      </w:pPr>
      <w:r>
        <w:rPr>
          <w:rFonts w:hint="eastAsia" w:ascii="宋体" w:hAnsi="宋体" w:cs="仿宋"/>
          <w:sz w:val="28"/>
          <w:szCs w:val="28"/>
        </w:rPr>
        <w:t>残疾人福利性单位视同小型、微型企业，享受预留份额</w:t>
      </w:r>
      <w:r>
        <w:rPr>
          <w:rFonts w:hint="eastAsia" w:hAnsi="宋体"/>
          <w:spacing w:val="6"/>
          <w:sz w:val="28"/>
          <w:szCs w:val="28"/>
        </w:rPr>
        <w:t>享受预留份额等政府采购促进中小企业发展的政府采购政策。</w:t>
      </w:r>
      <w:r>
        <w:rPr>
          <w:rFonts w:hint="eastAsia" w:ascii="宋体" w:hAnsi="宋体" w:cs="仿宋"/>
          <w:sz w:val="28"/>
          <w:szCs w:val="28"/>
        </w:rPr>
        <w:t>残疾人福利性单位属于小型、微型企业的，不重复享受政策。</w:t>
      </w:r>
    </w:p>
    <w:p>
      <w:pPr>
        <w:numPr>
          <w:ilvl w:val="0"/>
          <w:numId w:val="29"/>
        </w:numPr>
        <w:spacing w:line="360" w:lineRule="auto"/>
        <w:rPr>
          <w:rFonts w:ascii="宋体" w:hAnsi="宋体" w:cs="仿宋"/>
          <w:sz w:val="28"/>
          <w:szCs w:val="28"/>
        </w:rPr>
      </w:pPr>
      <w:r>
        <w:rPr>
          <w:rFonts w:hint="eastAsia" w:ascii="宋体" w:hAnsi="宋体" w:cs="仿宋"/>
          <w:sz w:val="28"/>
          <w:szCs w:val="28"/>
        </w:rPr>
        <w:t>投标人为非残疾人福利性单位的，可不提供此声明。</w:t>
      </w:r>
    </w:p>
    <w:p>
      <w:pPr>
        <w:rPr>
          <w:rFonts w:ascii="宋体" w:hAnsi="宋体" w:cs="仿宋"/>
          <w:sz w:val="24"/>
        </w:rPr>
      </w:pPr>
      <w:r>
        <w:rPr>
          <w:rFonts w:hint="eastAsia" w:ascii="宋体" w:hAnsi="宋体" w:cs="仿宋"/>
          <w:sz w:val="24"/>
        </w:rPr>
        <w:br w:type="page"/>
      </w:r>
    </w:p>
    <w:p>
      <w:pPr>
        <w:pStyle w:val="2"/>
        <w:rPr>
          <w:rFonts w:ascii="宋体" w:hAnsi="宋体" w:cs="仿宋"/>
          <w:b/>
          <w:sz w:val="32"/>
          <w:szCs w:val="32"/>
        </w:rPr>
      </w:pPr>
      <w:r>
        <w:rPr>
          <w:rFonts w:hint="eastAsia" w:ascii="宋体" w:hAnsi="宋体" w:cs="仿宋"/>
          <w:b/>
          <w:sz w:val="32"/>
          <w:szCs w:val="32"/>
        </w:rPr>
        <w:t>格式2-13</w:t>
      </w:r>
    </w:p>
    <w:p>
      <w:pPr>
        <w:pStyle w:val="5"/>
        <w:numPr>
          <w:ilvl w:val="1"/>
          <w:numId w:val="0"/>
        </w:numPr>
        <w:jc w:val="center"/>
        <w:rPr>
          <w:rFonts w:ascii="Times New Roman"/>
          <w:sz w:val="32"/>
          <w:szCs w:val="32"/>
        </w:rPr>
      </w:pPr>
      <w:bookmarkStart w:id="355" w:name="_Toc2376"/>
      <w:r>
        <w:rPr>
          <w:rFonts w:hint="eastAsia"/>
          <w:sz w:val="32"/>
          <w:szCs w:val="32"/>
        </w:rPr>
        <w:t>十二、</w:t>
      </w:r>
      <w:r>
        <w:rPr>
          <w:sz w:val="32"/>
          <w:szCs w:val="32"/>
        </w:rPr>
        <w:t>监狱企业</w:t>
      </w:r>
      <w:bookmarkEnd w:id="355"/>
    </w:p>
    <w:p>
      <w:pPr>
        <w:adjustRightInd w:val="0"/>
        <w:snapToGrid w:val="0"/>
        <w:spacing w:line="360" w:lineRule="auto"/>
        <w:ind w:firstLine="524" w:firstLineChars="200"/>
        <w:rPr>
          <w:rFonts w:hAnsi="宋体" w:eastAsia="Times New Roman" w:cs="宋体"/>
          <w:spacing w:val="11"/>
          <w:sz w:val="24"/>
        </w:rPr>
      </w:pPr>
    </w:p>
    <w:p>
      <w:pPr>
        <w:adjustRightInd w:val="0"/>
        <w:snapToGrid w:val="0"/>
        <w:spacing w:line="360" w:lineRule="auto"/>
        <w:ind w:firstLine="604" w:firstLineChars="200"/>
        <w:rPr>
          <w:rFonts w:hAnsi="宋体"/>
          <w:spacing w:val="6"/>
          <w:sz w:val="28"/>
          <w:szCs w:val="28"/>
        </w:rPr>
      </w:pPr>
      <w:r>
        <w:rPr>
          <w:rFonts w:hAnsi="宋体" w:eastAsia="Times New Roman" w:cs="宋体"/>
          <w:spacing w:val="11"/>
          <w:sz w:val="28"/>
          <w:szCs w:val="28"/>
        </w:rPr>
        <w:t>根</w:t>
      </w:r>
      <w:r>
        <w:rPr>
          <w:rFonts w:hint="eastAsia" w:hAnsi="宋体"/>
          <w:spacing w:val="6"/>
          <w:sz w:val="28"/>
          <w:szCs w:val="28"/>
        </w:rPr>
        <w:t>据《政府采购支持监狱企业发展有关问题的通知》（财库〔2014〕</w:t>
      </w:r>
    </w:p>
    <w:p>
      <w:pPr>
        <w:adjustRightInd w:val="0"/>
        <w:snapToGrid w:val="0"/>
        <w:spacing w:line="360" w:lineRule="auto"/>
        <w:rPr>
          <w:rFonts w:hAnsi="宋体"/>
          <w:spacing w:val="6"/>
          <w:sz w:val="28"/>
          <w:szCs w:val="28"/>
        </w:rPr>
      </w:pPr>
      <w:r>
        <w:rPr>
          <w:rFonts w:hint="eastAsia" w:hAnsi="宋体"/>
          <w:spacing w:val="6"/>
          <w:sz w:val="28"/>
          <w:szCs w:val="28"/>
        </w:rPr>
        <w:t>68号）的规定监狱企业参加采购活动的，应提供由省级以上监狱管理局、</w:t>
      </w:r>
    </w:p>
    <w:p>
      <w:pPr>
        <w:adjustRightInd w:val="0"/>
        <w:snapToGrid w:val="0"/>
        <w:spacing w:line="360" w:lineRule="auto"/>
        <w:rPr>
          <w:rFonts w:hAnsi="宋体"/>
          <w:spacing w:val="6"/>
          <w:sz w:val="28"/>
          <w:szCs w:val="28"/>
        </w:rPr>
      </w:pPr>
      <w:r>
        <w:rPr>
          <w:rFonts w:hint="eastAsia" w:hAnsi="宋体"/>
          <w:spacing w:val="6"/>
          <w:sz w:val="28"/>
          <w:szCs w:val="28"/>
        </w:rPr>
        <w:t>戒毒管理局(含新疆生产建设兵团)出具的属于监狱企业的证明文件。</w:t>
      </w:r>
    </w:p>
    <w:p>
      <w:pPr>
        <w:adjustRightInd w:val="0"/>
        <w:snapToGrid w:val="0"/>
        <w:spacing w:line="360" w:lineRule="auto"/>
        <w:ind w:firstLine="584" w:firstLineChars="200"/>
        <w:rPr>
          <w:rFonts w:hAnsi="宋体"/>
          <w:spacing w:val="6"/>
          <w:sz w:val="28"/>
          <w:szCs w:val="28"/>
        </w:rPr>
      </w:pPr>
      <w:r>
        <w:rPr>
          <w:rFonts w:hint="eastAsia" w:hAnsi="宋体"/>
          <w:spacing w:val="6"/>
          <w:sz w:val="28"/>
          <w:szCs w:val="28"/>
        </w:rPr>
        <w:t>注：</w:t>
      </w:r>
    </w:p>
    <w:p>
      <w:pPr>
        <w:adjustRightInd w:val="0"/>
        <w:snapToGrid w:val="0"/>
        <w:spacing w:line="360" w:lineRule="auto"/>
        <w:ind w:firstLine="584" w:firstLineChars="200"/>
        <w:rPr>
          <w:rFonts w:hAnsi="宋体"/>
          <w:spacing w:val="6"/>
          <w:sz w:val="28"/>
          <w:szCs w:val="28"/>
        </w:rPr>
      </w:pPr>
      <w:r>
        <w:rPr>
          <w:rFonts w:hint="eastAsia" w:hAnsi="宋体"/>
          <w:spacing w:val="6"/>
          <w:sz w:val="28"/>
          <w:szCs w:val="28"/>
        </w:rPr>
        <w:t>1、投标人符合《政府采购支持监狱企业发展有关问题的通知》（财库〔2014〕68 号）规定的划分标准为监狱企业适用。</w:t>
      </w:r>
    </w:p>
    <w:p>
      <w:pPr>
        <w:spacing w:line="360" w:lineRule="auto"/>
        <w:ind w:firstLine="584" w:firstLineChars="200"/>
        <w:rPr>
          <w:rFonts w:ascii="宋体" w:hAnsi="宋体" w:cs="仿宋"/>
          <w:sz w:val="28"/>
          <w:szCs w:val="28"/>
        </w:rPr>
      </w:pPr>
      <w:r>
        <w:rPr>
          <w:rFonts w:hint="eastAsia" w:hAnsi="宋体"/>
          <w:spacing w:val="6"/>
          <w:sz w:val="28"/>
          <w:szCs w:val="28"/>
        </w:rPr>
        <w:t>2、在政府采购活动中，监狱企业视同小型、微型企业，享受预留份额等政府采购促进中小企业发展的政府采购政策。监狱企业</w:t>
      </w:r>
      <w:r>
        <w:rPr>
          <w:rFonts w:hint="eastAsia" w:ascii="宋体" w:hAnsi="宋体" w:cs="仿宋"/>
          <w:sz w:val="28"/>
          <w:szCs w:val="28"/>
        </w:rPr>
        <w:t>属于小型、微型企业的，不重复享受政策。</w:t>
      </w:r>
    </w:p>
    <w:p>
      <w:pPr>
        <w:adjustRightInd w:val="0"/>
        <w:snapToGrid w:val="0"/>
        <w:spacing w:line="360" w:lineRule="auto"/>
        <w:ind w:firstLine="584" w:firstLineChars="200"/>
        <w:rPr>
          <w:rFonts w:hAnsi="宋体"/>
          <w:spacing w:val="6"/>
          <w:sz w:val="28"/>
          <w:szCs w:val="28"/>
        </w:rPr>
      </w:pPr>
    </w:p>
    <w:p>
      <w:pPr>
        <w:pStyle w:val="2"/>
        <w:rPr>
          <w:rFonts w:hAnsi="宋体"/>
          <w:spacing w:val="6"/>
          <w:sz w:val="24"/>
        </w:rPr>
      </w:pPr>
    </w:p>
    <w:p>
      <w:pPr>
        <w:rPr>
          <w:rFonts w:hAnsi="宋体"/>
          <w:spacing w:val="6"/>
          <w:sz w:val="24"/>
        </w:rPr>
      </w:pPr>
    </w:p>
    <w:p>
      <w:pPr>
        <w:pStyle w:val="2"/>
        <w:rPr>
          <w:rFonts w:hAnsi="宋体"/>
          <w:spacing w:val="6"/>
          <w:sz w:val="24"/>
        </w:rPr>
      </w:pPr>
    </w:p>
    <w:p>
      <w:pPr>
        <w:rPr>
          <w:rFonts w:hAnsi="宋体"/>
          <w:spacing w:val="6"/>
          <w:sz w:val="24"/>
        </w:rPr>
      </w:pPr>
    </w:p>
    <w:p>
      <w:pPr>
        <w:pStyle w:val="2"/>
        <w:rPr>
          <w:rFonts w:hAnsi="宋体"/>
          <w:spacing w:val="6"/>
          <w:sz w:val="24"/>
        </w:rPr>
      </w:pPr>
    </w:p>
    <w:p>
      <w:pPr>
        <w:rPr>
          <w:rFonts w:hAnsi="宋体"/>
          <w:spacing w:val="6"/>
          <w:sz w:val="24"/>
        </w:rPr>
      </w:pPr>
    </w:p>
    <w:p>
      <w:pPr>
        <w:pStyle w:val="2"/>
        <w:rPr>
          <w:rFonts w:hAnsi="宋体"/>
          <w:spacing w:val="6"/>
          <w:sz w:val="24"/>
        </w:rPr>
      </w:pPr>
    </w:p>
    <w:p>
      <w:pPr>
        <w:rPr>
          <w:rFonts w:hAnsi="宋体"/>
          <w:spacing w:val="6"/>
          <w:sz w:val="24"/>
        </w:rPr>
      </w:pPr>
    </w:p>
    <w:p>
      <w:pPr>
        <w:pStyle w:val="2"/>
        <w:rPr>
          <w:rFonts w:hAnsi="宋体"/>
          <w:spacing w:val="6"/>
          <w:sz w:val="24"/>
        </w:rPr>
      </w:pPr>
    </w:p>
    <w:p>
      <w:pPr>
        <w:rPr>
          <w:rFonts w:hAnsi="宋体"/>
          <w:spacing w:val="6"/>
          <w:sz w:val="24"/>
        </w:rPr>
      </w:pPr>
    </w:p>
    <w:p>
      <w:pPr>
        <w:pStyle w:val="2"/>
        <w:rPr>
          <w:rFonts w:hAnsi="宋体"/>
          <w:spacing w:val="6"/>
          <w:sz w:val="24"/>
        </w:rPr>
      </w:pPr>
    </w:p>
    <w:p>
      <w:pPr>
        <w:rPr>
          <w:rFonts w:hAnsi="宋体"/>
          <w:spacing w:val="6"/>
          <w:sz w:val="24"/>
        </w:rPr>
      </w:pPr>
    </w:p>
    <w:p>
      <w:pPr>
        <w:pStyle w:val="23"/>
        <w:rPr>
          <w:rFonts w:hAnsi="宋体"/>
          <w:spacing w:val="6"/>
          <w:sz w:val="24"/>
        </w:rPr>
      </w:pPr>
      <w:r>
        <w:rPr>
          <w:rFonts w:hint="eastAsia" w:hAnsi="宋体" w:cs="仿宋"/>
          <w:b/>
          <w:sz w:val="32"/>
          <w:szCs w:val="32"/>
        </w:rPr>
        <w:t>格式2-14</w:t>
      </w:r>
    </w:p>
    <w:p>
      <w:pPr>
        <w:pStyle w:val="5"/>
        <w:numPr>
          <w:ilvl w:val="1"/>
          <w:numId w:val="0"/>
        </w:numPr>
        <w:jc w:val="center"/>
        <w:rPr>
          <w:sz w:val="32"/>
          <w:szCs w:val="32"/>
        </w:rPr>
      </w:pPr>
      <w:bookmarkStart w:id="356" w:name="_Toc7395"/>
      <w:r>
        <w:rPr>
          <w:rFonts w:hint="eastAsia"/>
          <w:sz w:val="32"/>
          <w:szCs w:val="32"/>
        </w:rPr>
        <w:t>十三、招标代理服务费承诺函</w:t>
      </w:r>
      <w:bookmarkEnd w:id="356"/>
    </w:p>
    <w:p>
      <w:pPr>
        <w:adjustRightInd w:val="0"/>
        <w:snapToGrid w:val="0"/>
        <w:spacing w:line="480" w:lineRule="auto"/>
        <w:rPr>
          <w:rFonts w:hAnsi="宋体"/>
          <w:spacing w:val="6"/>
          <w:sz w:val="28"/>
          <w:szCs w:val="28"/>
        </w:rPr>
      </w:pPr>
      <w:r>
        <w:rPr>
          <w:rFonts w:hint="eastAsia" w:hAnsi="宋体"/>
          <w:spacing w:val="6"/>
          <w:sz w:val="28"/>
          <w:szCs w:val="28"/>
        </w:rPr>
        <w:t xml:space="preserve">成都云辉工程项目管理有限公司： </w:t>
      </w:r>
    </w:p>
    <w:p>
      <w:pPr>
        <w:adjustRightInd w:val="0"/>
        <w:snapToGrid w:val="0"/>
        <w:spacing w:line="480" w:lineRule="auto"/>
        <w:ind w:firstLine="584" w:firstLineChars="200"/>
        <w:rPr>
          <w:rFonts w:hAnsi="宋体"/>
          <w:spacing w:val="6"/>
          <w:sz w:val="28"/>
          <w:szCs w:val="28"/>
        </w:rPr>
      </w:pPr>
      <w:r>
        <w:rPr>
          <w:rFonts w:hint="eastAsia" w:hAnsi="宋体"/>
          <w:spacing w:val="6"/>
          <w:sz w:val="28"/>
          <w:szCs w:val="28"/>
        </w:rPr>
        <w:t>我公司在贵公司代理的</w:t>
      </w:r>
      <w:r>
        <w:rPr>
          <w:rFonts w:hint="eastAsia" w:hAnsi="宋体"/>
          <w:spacing w:val="6"/>
          <w:sz w:val="28"/>
          <w:szCs w:val="28"/>
          <w:u w:val="single"/>
        </w:rPr>
        <w:t xml:space="preserve">            </w:t>
      </w:r>
      <w:r>
        <w:rPr>
          <w:rFonts w:hint="eastAsia" w:hAnsi="宋体"/>
          <w:spacing w:val="6"/>
          <w:sz w:val="28"/>
          <w:szCs w:val="28"/>
        </w:rPr>
        <w:t>项目（项目编号：</w:t>
      </w:r>
      <w:r>
        <w:rPr>
          <w:rFonts w:hint="eastAsia" w:hAnsi="宋体"/>
          <w:spacing w:val="6"/>
          <w:sz w:val="28"/>
          <w:szCs w:val="28"/>
          <w:u w:val="single"/>
        </w:rPr>
        <w:t xml:space="preserve">           </w:t>
      </w:r>
      <w:r>
        <w:rPr>
          <w:rFonts w:hint="eastAsia" w:hAnsi="宋体"/>
          <w:spacing w:val="6"/>
          <w:sz w:val="28"/>
          <w:szCs w:val="28"/>
        </w:rPr>
        <w:t>）公开招标中若获中标，我公司保证按照招标文件中招标代理服务费收取标准在领取中标通知书前以支票、银行汇票、电汇、现金或经贵公司认可的一种方式，一次性向贵公司（成都云辉工程项目管理有限公司）支付本采购项目招标代理服务费。</w:t>
      </w:r>
    </w:p>
    <w:p>
      <w:pPr>
        <w:adjustRightInd w:val="0"/>
        <w:snapToGrid w:val="0"/>
        <w:spacing w:line="480" w:lineRule="auto"/>
        <w:ind w:firstLine="586" w:firstLineChars="200"/>
        <w:rPr>
          <w:rFonts w:hAnsi="宋体"/>
          <w:b/>
          <w:bCs/>
          <w:spacing w:val="6"/>
          <w:sz w:val="28"/>
          <w:szCs w:val="28"/>
        </w:rPr>
      </w:pPr>
      <w:r>
        <w:rPr>
          <w:rFonts w:hint="eastAsia" w:hAnsi="宋体"/>
          <w:b/>
          <w:bCs/>
          <w:spacing w:val="6"/>
          <w:sz w:val="28"/>
          <w:szCs w:val="28"/>
        </w:rPr>
        <w:t xml:space="preserve">特此承诺。 </w:t>
      </w:r>
    </w:p>
    <w:p>
      <w:pPr>
        <w:adjustRightInd w:val="0"/>
        <w:snapToGrid w:val="0"/>
        <w:spacing w:line="480" w:lineRule="auto"/>
        <w:ind w:firstLine="2044" w:firstLineChars="700"/>
        <w:jc w:val="right"/>
        <w:rPr>
          <w:rFonts w:hAnsi="宋体"/>
          <w:spacing w:val="6"/>
          <w:sz w:val="28"/>
          <w:szCs w:val="28"/>
        </w:rPr>
      </w:pPr>
    </w:p>
    <w:p>
      <w:pPr>
        <w:widowControl/>
        <w:spacing w:line="480" w:lineRule="auto"/>
        <w:jc w:val="left"/>
        <w:outlineLvl w:val="1"/>
        <w:rPr>
          <w:rFonts w:ascii="宋体" w:hAnsi="宋体" w:cs="仿宋"/>
          <w:sz w:val="28"/>
          <w:szCs w:val="28"/>
        </w:rPr>
      </w:pPr>
      <w:bookmarkStart w:id="357" w:name="_Toc15522"/>
      <w:r>
        <w:rPr>
          <w:rFonts w:hint="eastAsia" w:ascii="宋体" w:hAnsi="宋体" w:cs="仿宋"/>
          <w:sz w:val="28"/>
          <w:szCs w:val="28"/>
        </w:rPr>
        <w:t>投标人名称：</w:t>
      </w:r>
      <w:r>
        <w:rPr>
          <w:rFonts w:hint="eastAsia" w:ascii="宋体" w:hAnsi="宋体" w:cs="仿宋"/>
          <w:b/>
          <w:sz w:val="28"/>
          <w:szCs w:val="28"/>
          <w:u w:val="single"/>
        </w:rPr>
        <w:t xml:space="preserve">           </w:t>
      </w:r>
      <w:r>
        <w:rPr>
          <w:rFonts w:hint="eastAsia" w:ascii="宋体" w:hAnsi="宋体" w:cs="仿宋"/>
          <w:sz w:val="28"/>
          <w:szCs w:val="28"/>
        </w:rPr>
        <w:t>（单位公章）。</w:t>
      </w:r>
      <w:bookmarkEnd w:id="357"/>
    </w:p>
    <w:p>
      <w:pPr>
        <w:widowControl/>
        <w:spacing w:line="480" w:lineRule="auto"/>
        <w:jc w:val="left"/>
        <w:outlineLvl w:val="1"/>
        <w:rPr>
          <w:rFonts w:ascii="宋体" w:hAnsi="宋体" w:cs="仿宋"/>
          <w:sz w:val="28"/>
          <w:szCs w:val="28"/>
        </w:rPr>
      </w:pPr>
      <w:bookmarkStart w:id="358" w:name="_Toc32288"/>
      <w:r>
        <w:rPr>
          <w:rFonts w:hint="eastAsia" w:ascii="宋体" w:hAnsi="宋体" w:cs="仿宋"/>
          <w:sz w:val="28"/>
          <w:szCs w:val="28"/>
        </w:rPr>
        <w:t>法定代表人/单位负责人或授权代表（签字）：</w:t>
      </w:r>
      <w:r>
        <w:rPr>
          <w:rFonts w:hint="eastAsia" w:ascii="宋体" w:hAnsi="宋体" w:cs="仿宋"/>
          <w:b/>
          <w:sz w:val="28"/>
          <w:szCs w:val="28"/>
          <w:u w:val="single"/>
        </w:rPr>
        <w:t xml:space="preserve">           </w:t>
      </w:r>
      <w:r>
        <w:rPr>
          <w:rFonts w:hint="eastAsia" w:ascii="宋体" w:hAnsi="宋体" w:cs="仿宋"/>
          <w:sz w:val="28"/>
          <w:szCs w:val="28"/>
        </w:rPr>
        <w:t>。</w:t>
      </w:r>
      <w:bookmarkEnd w:id="358"/>
    </w:p>
    <w:p>
      <w:pPr>
        <w:spacing w:line="480" w:lineRule="auto"/>
        <w:rPr>
          <w:rFonts w:ascii="宋体" w:hAnsi="宋体" w:cs="仿宋"/>
          <w:spacing w:val="6"/>
          <w:sz w:val="28"/>
          <w:szCs w:val="28"/>
        </w:rPr>
      </w:pPr>
      <w:r>
        <w:rPr>
          <w:rFonts w:hint="eastAsia" w:ascii="宋体" w:hAnsi="宋体" w:cs="仿宋"/>
          <w:sz w:val="28"/>
          <w:szCs w:val="28"/>
        </w:rPr>
        <w:t>投标日期:</w:t>
      </w:r>
      <w:r>
        <w:rPr>
          <w:rFonts w:hint="eastAsia" w:ascii="宋体" w:hAnsi="宋体" w:cs="仿宋"/>
          <w:b/>
          <w:sz w:val="28"/>
          <w:szCs w:val="28"/>
          <w:u w:val="single"/>
        </w:rPr>
        <w:t xml:space="preserve">           </w:t>
      </w:r>
      <w:r>
        <w:rPr>
          <w:rFonts w:hint="eastAsia" w:ascii="宋体" w:hAnsi="宋体" w:cs="仿宋"/>
          <w:sz w:val="28"/>
          <w:szCs w:val="28"/>
        </w:rPr>
        <w:t>。</w:t>
      </w:r>
    </w:p>
    <w:p>
      <w:pPr>
        <w:pStyle w:val="24"/>
        <w:spacing w:line="480" w:lineRule="auto"/>
      </w:pPr>
    </w:p>
    <w:p>
      <w:pPr>
        <w:pStyle w:val="23"/>
        <w:rPr>
          <w:rFonts w:hAnsi="宋体" w:cs="仿宋"/>
          <w:b/>
          <w:sz w:val="32"/>
          <w:szCs w:val="32"/>
        </w:rPr>
      </w:pPr>
    </w:p>
    <w:p>
      <w:pPr>
        <w:pStyle w:val="24"/>
        <w:rPr>
          <w:rFonts w:ascii="宋体" w:hAnsi="宋体" w:cs="仿宋"/>
          <w:b/>
          <w:sz w:val="32"/>
          <w:szCs w:val="32"/>
        </w:rPr>
      </w:pPr>
    </w:p>
    <w:p>
      <w:pPr>
        <w:rPr>
          <w:rFonts w:ascii="宋体" w:hAnsi="宋体" w:cs="仿宋"/>
          <w:b/>
          <w:sz w:val="32"/>
          <w:szCs w:val="32"/>
        </w:rPr>
      </w:pPr>
    </w:p>
    <w:p>
      <w:pPr>
        <w:pStyle w:val="2"/>
        <w:rPr>
          <w:rFonts w:ascii="宋体" w:hAnsi="宋体" w:cs="仿宋"/>
          <w:b/>
          <w:sz w:val="32"/>
          <w:szCs w:val="32"/>
        </w:rPr>
      </w:pPr>
    </w:p>
    <w:p>
      <w:pPr>
        <w:pStyle w:val="23"/>
        <w:rPr>
          <w:rFonts w:hAnsi="宋体" w:cs="仿宋"/>
          <w:b/>
          <w:sz w:val="32"/>
          <w:szCs w:val="32"/>
        </w:rPr>
      </w:pPr>
    </w:p>
    <w:p>
      <w:pPr>
        <w:pStyle w:val="23"/>
      </w:pPr>
      <w:r>
        <w:rPr>
          <w:rFonts w:hint="eastAsia" w:hAnsi="宋体" w:cs="仿宋"/>
          <w:b/>
          <w:sz w:val="32"/>
          <w:szCs w:val="32"/>
        </w:rPr>
        <w:t xml:space="preserve">格式2-15 </w:t>
      </w:r>
    </w:p>
    <w:p>
      <w:pPr>
        <w:pStyle w:val="4"/>
        <w:numPr>
          <w:ilvl w:val="0"/>
          <w:numId w:val="0"/>
        </w:numPr>
        <w:rPr>
          <w:rFonts w:cs="仿宋"/>
          <w:bCs w:val="0"/>
          <w:kern w:val="2"/>
        </w:rPr>
      </w:pPr>
      <w:bookmarkStart w:id="359" w:name="_Toc1570"/>
      <w:r>
        <w:rPr>
          <w:rFonts w:hint="eastAsia" w:cs="仿宋"/>
          <w:bCs w:val="0"/>
          <w:kern w:val="2"/>
        </w:rPr>
        <w:t>十四、投标人认为需要补充的其他证明材料</w:t>
      </w:r>
      <w:bookmarkEnd w:id="359"/>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p>
      <w:pPr>
        <w:pStyle w:val="208"/>
        <w:rPr>
          <w:color w:val="000000" w:themeColor="text1"/>
        </w:rPr>
      </w:pPr>
    </w:p>
    <w:bookmarkEnd w:id="179"/>
    <w:p>
      <w:pPr>
        <w:pStyle w:val="27"/>
        <w:spacing w:line="500" w:lineRule="exact"/>
        <w:ind w:firstLine="145" w:firstLineChars="52"/>
        <w:rPr>
          <w:rFonts w:ascii="宋体" w:hAnsi="宋体"/>
          <w:bCs/>
          <w:color w:val="000000" w:themeColor="text1"/>
          <w:sz w:val="28"/>
        </w:rPr>
      </w:pPr>
      <w:bookmarkStart w:id="360" w:name="_Toc263768873"/>
      <w:bookmarkStart w:id="361" w:name="_Toc263753615"/>
      <w:bookmarkStart w:id="362" w:name="_Toc217446083"/>
      <w:bookmarkStart w:id="363" w:name="_Toc220299404"/>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66" w:firstLineChars="52"/>
        <w:rPr>
          <w:rFonts w:ascii="宋体" w:hAnsi="宋体"/>
          <w:bCs/>
          <w:color w:val="000000" w:themeColor="text1"/>
          <w:sz w:val="32"/>
          <w:szCs w:val="32"/>
        </w:rPr>
      </w:pPr>
    </w:p>
    <w:p>
      <w:pPr>
        <w:pStyle w:val="4"/>
        <w:rPr>
          <w:rFonts w:cs="仿宋"/>
        </w:rPr>
      </w:pPr>
      <w:r>
        <w:rPr>
          <w:rFonts w:hint="eastAsia" w:cs="仿宋"/>
        </w:rPr>
        <w:t xml:space="preserve"> </w:t>
      </w:r>
      <w:bookmarkStart w:id="364" w:name="_Toc15512"/>
      <w:r>
        <w:rPr>
          <w:rFonts w:hint="eastAsia" w:cs="仿宋"/>
        </w:rPr>
        <w:t>投标人和投标产品的资格、资质性及其他类似效力要求</w:t>
      </w:r>
      <w:bookmarkEnd w:id="364"/>
    </w:p>
    <w:p>
      <w:pPr>
        <w:pStyle w:val="5"/>
        <w:numPr>
          <w:ilvl w:val="1"/>
          <w:numId w:val="0"/>
        </w:numPr>
        <w:spacing w:line="240" w:lineRule="auto"/>
        <w:rPr>
          <w:rFonts w:cs="仿宋"/>
        </w:rPr>
      </w:pPr>
      <w:bookmarkStart w:id="365" w:name="_Toc20981"/>
      <w:r>
        <w:rPr>
          <w:rFonts w:hint="eastAsia" w:cs="仿宋"/>
        </w:rPr>
        <w:t>一、投标人资格、资质性及其他类似效力要求</w:t>
      </w:r>
      <w:bookmarkEnd w:id="365"/>
    </w:p>
    <w:p>
      <w:pPr>
        <w:pStyle w:val="152"/>
        <w:spacing w:line="240" w:lineRule="auto"/>
        <w:ind w:firstLine="0" w:firstLineChars="0"/>
        <w:rPr>
          <w:rFonts w:hAnsi="宋体" w:cs="仿宋"/>
          <w:b/>
          <w:bCs/>
          <w:sz w:val="28"/>
          <w:szCs w:val="28"/>
        </w:rPr>
      </w:pPr>
      <w:r>
        <w:rPr>
          <w:rFonts w:hint="eastAsia" w:hAnsi="宋体" w:cs="仿宋"/>
          <w:b/>
          <w:bCs/>
          <w:sz w:val="28"/>
          <w:szCs w:val="28"/>
        </w:rPr>
        <w:t>（一）资格要求：</w:t>
      </w:r>
    </w:p>
    <w:p>
      <w:pPr>
        <w:pStyle w:val="152"/>
        <w:spacing w:line="240" w:lineRule="auto"/>
        <w:ind w:firstLine="560"/>
        <w:rPr>
          <w:rFonts w:hAnsi="宋体" w:cs="仿宋"/>
          <w:sz w:val="28"/>
          <w:szCs w:val="28"/>
        </w:rPr>
      </w:pPr>
      <w:bookmarkStart w:id="366" w:name="_Hlk534972469"/>
      <w:r>
        <w:rPr>
          <w:rFonts w:hint="eastAsia" w:hAnsi="宋体" w:cs="仿宋"/>
          <w:sz w:val="28"/>
          <w:szCs w:val="28"/>
        </w:rPr>
        <w:t>1.具有独立承担民事责任的能力；</w:t>
      </w:r>
    </w:p>
    <w:p>
      <w:pPr>
        <w:pStyle w:val="152"/>
        <w:spacing w:line="240" w:lineRule="auto"/>
        <w:ind w:firstLine="560"/>
        <w:rPr>
          <w:rFonts w:hAnsi="宋体" w:cs="仿宋"/>
          <w:sz w:val="28"/>
          <w:szCs w:val="28"/>
        </w:rPr>
      </w:pPr>
      <w:r>
        <w:rPr>
          <w:rFonts w:hint="eastAsia" w:hAnsi="宋体" w:cs="仿宋"/>
          <w:sz w:val="28"/>
          <w:szCs w:val="28"/>
        </w:rPr>
        <w:t>2.具有良好的商业信誉和健全的财务会计制度；</w:t>
      </w:r>
    </w:p>
    <w:p>
      <w:pPr>
        <w:pStyle w:val="152"/>
        <w:spacing w:line="240" w:lineRule="auto"/>
        <w:ind w:firstLine="560"/>
        <w:rPr>
          <w:rFonts w:hAnsi="宋体" w:cs="仿宋"/>
          <w:sz w:val="28"/>
          <w:szCs w:val="28"/>
        </w:rPr>
      </w:pPr>
      <w:r>
        <w:rPr>
          <w:rFonts w:hint="eastAsia" w:hAnsi="宋体" w:cs="仿宋"/>
          <w:sz w:val="28"/>
          <w:szCs w:val="28"/>
        </w:rPr>
        <w:t>3.具有履行合同所必须的设备和专业技术能力；</w:t>
      </w:r>
    </w:p>
    <w:p>
      <w:pPr>
        <w:tabs>
          <w:tab w:val="left" w:pos="7665"/>
        </w:tabs>
        <w:ind w:firstLine="560" w:firstLineChars="200"/>
        <w:rPr>
          <w:rFonts w:ascii="宋体" w:hAnsi="宋体" w:cs="仿宋"/>
          <w:sz w:val="28"/>
          <w:szCs w:val="28"/>
        </w:rPr>
      </w:pPr>
      <w:r>
        <w:rPr>
          <w:rFonts w:hint="eastAsia" w:ascii="宋体" w:hAnsi="宋体" w:cs="仿宋"/>
          <w:sz w:val="28"/>
          <w:szCs w:val="28"/>
        </w:rPr>
        <w:t>4.具有依法缴纳税收和社会保障资金的良好记录；</w:t>
      </w:r>
    </w:p>
    <w:p>
      <w:pPr>
        <w:tabs>
          <w:tab w:val="left" w:pos="7665"/>
        </w:tabs>
        <w:ind w:firstLine="560" w:firstLineChars="200"/>
        <w:rPr>
          <w:rFonts w:ascii="宋体" w:hAnsi="宋体" w:cs="仿宋"/>
          <w:sz w:val="28"/>
          <w:szCs w:val="28"/>
        </w:rPr>
      </w:pPr>
      <w:r>
        <w:rPr>
          <w:rFonts w:hint="eastAsia" w:ascii="宋体" w:hAnsi="宋体" w:cs="仿宋"/>
          <w:sz w:val="28"/>
          <w:szCs w:val="28"/>
        </w:rPr>
        <w:t>5.参加政府采购活动前三年内，在经营活动中没有重大违法记录；</w:t>
      </w:r>
    </w:p>
    <w:p>
      <w:pPr>
        <w:pStyle w:val="152"/>
        <w:spacing w:line="240" w:lineRule="auto"/>
        <w:ind w:firstLine="560"/>
        <w:rPr>
          <w:rFonts w:hAnsi="宋体" w:cs="仿宋"/>
          <w:sz w:val="28"/>
          <w:szCs w:val="28"/>
        </w:rPr>
      </w:pPr>
      <w:r>
        <w:rPr>
          <w:rFonts w:hint="eastAsia" w:hAnsi="宋体" w:cs="仿宋"/>
          <w:sz w:val="28"/>
          <w:szCs w:val="28"/>
        </w:rPr>
        <w:t>6.符合法律、行政法规规定的其他条件；</w:t>
      </w:r>
    </w:p>
    <w:p>
      <w:pPr>
        <w:pStyle w:val="152"/>
        <w:spacing w:line="240" w:lineRule="auto"/>
        <w:ind w:firstLine="840" w:firstLineChars="300"/>
        <w:rPr>
          <w:sz w:val="28"/>
          <w:szCs w:val="28"/>
        </w:rPr>
      </w:pPr>
      <w:r>
        <w:rPr>
          <w:rFonts w:hint="eastAsia"/>
          <w:sz w:val="28"/>
          <w:szCs w:val="28"/>
        </w:rPr>
        <w:t>（1）投标人及其现任法定代表人、主要负责人在参加本项目政府采购活动前三年无行贿犯罪记录；</w:t>
      </w:r>
    </w:p>
    <w:p>
      <w:pPr>
        <w:pStyle w:val="152"/>
        <w:spacing w:line="240" w:lineRule="auto"/>
        <w:ind w:firstLine="840" w:firstLineChars="300"/>
        <w:rPr>
          <w:sz w:val="28"/>
          <w:szCs w:val="28"/>
        </w:rPr>
      </w:pPr>
      <w:r>
        <w:rPr>
          <w:rFonts w:hint="eastAsia"/>
          <w:sz w:val="28"/>
          <w:szCs w:val="28"/>
        </w:rPr>
        <w:t>（2）投标人须提供“截至</w:t>
      </w:r>
      <w:r>
        <w:rPr>
          <w:rFonts w:hint="eastAsia"/>
          <w:sz w:val="28"/>
          <w:szCs w:val="28"/>
          <w:lang w:eastAsia="zh-CN"/>
        </w:rPr>
        <w:t>投标</w:t>
      </w:r>
      <w:r>
        <w:rPr>
          <w:rFonts w:hint="eastAsia"/>
          <w:sz w:val="28"/>
          <w:szCs w:val="28"/>
        </w:rPr>
        <w:t>截止日未被列入失信被执行人、重大税收违法案件当事人名单、政府采购严重违法失信行为记录名单的承诺函”；</w:t>
      </w:r>
    </w:p>
    <w:p>
      <w:pPr>
        <w:pStyle w:val="152"/>
        <w:spacing w:line="240" w:lineRule="auto"/>
        <w:ind w:firstLine="560"/>
        <w:rPr>
          <w:sz w:val="28"/>
          <w:szCs w:val="28"/>
        </w:rPr>
      </w:pPr>
      <w:r>
        <w:rPr>
          <w:rFonts w:hint="eastAsia"/>
          <w:sz w:val="28"/>
          <w:szCs w:val="28"/>
        </w:rPr>
        <w:t>注：采购人或采购代理机构将于本项目</w:t>
      </w:r>
      <w:r>
        <w:rPr>
          <w:rFonts w:hint="eastAsia"/>
          <w:sz w:val="28"/>
          <w:szCs w:val="28"/>
          <w:lang w:eastAsia="zh-CN"/>
        </w:rPr>
        <w:t>投标</w:t>
      </w:r>
      <w:r>
        <w:rPr>
          <w:rFonts w:hint="eastAsia"/>
          <w:sz w:val="28"/>
          <w:szCs w:val="28"/>
        </w:rPr>
        <w:t>截止日在‘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p>
    <w:p>
      <w:pPr>
        <w:pStyle w:val="152"/>
        <w:spacing w:line="240" w:lineRule="auto"/>
        <w:ind w:firstLine="560"/>
        <w:rPr>
          <w:sz w:val="28"/>
          <w:szCs w:val="28"/>
        </w:rPr>
      </w:pPr>
      <w:r>
        <w:rPr>
          <w:rFonts w:hint="eastAsia"/>
          <w:sz w:val="28"/>
          <w:szCs w:val="28"/>
        </w:rPr>
        <w:t>（3）参加本次招标采购活动，不存在与单位负责人为同一人或者存在直接控股、管理关系的其他供应商参与同一合同项下的政府采购活动的行为；</w:t>
      </w:r>
    </w:p>
    <w:p>
      <w:pPr>
        <w:pStyle w:val="152"/>
        <w:spacing w:line="240" w:lineRule="auto"/>
        <w:ind w:firstLine="560"/>
        <w:rPr>
          <w:sz w:val="28"/>
          <w:szCs w:val="28"/>
        </w:rPr>
      </w:pPr>
      <w:r>
        <w:rPr>
          <w:rFonts w:hint="eastAsia"/>
          <w:sz w:val="28"/>
          <w:szCs w:val="28"/>
        </w:rPr>
        <w:t>（4）参加本次招标采购活动，不存在和其他供应商在同一合同项下的采购项目中，同时委托同一个自然人、同一家庭的人员、同一单位的人员作为代理人的行为；</w:t>
      </w:r>
    </w:p>
    <w:p>
      <w:pPr>
        <w:pStyle w:val="152"/>
        <w:spacing w:line="240" w:lineRule="auto"/>
        <w:ind w:firstLine="560"/>
        <w:rPr>
          <w:sz w:val="28"/>
          <w:szCs w:val="28"/>
        </w:rPr>
      </w:pPr>
      <w:r>
        <w:rPr>
          <w:rFonts w:hint="eastAsia"/>
          <w:sz w:val="28"/>
          <w:szCs w:val="28"/>
        </w:rPr>
        <w:t>（5）参加本次采购活动，未对本次采购项目提供过整体设计、规范编制或者项目管理、监理、检测等服务。</w:t>
      </w:r>
    </w:p>
    <w:p>
      <w:pPr>
        <w:pStyle w:val="152"/>
        <w:spacing w:line="240" w:lineRule="auto"/>
        <w:ind w:firstLine="560"/>
        <w:rPr>
          <w:sz w:val="28"/>
          <w:szCs w:val="28"/>
        </w:rPr>
      </w:pPr>
      <w:r>
        <w:rPr>
          <w:rFonts w:hint="eastAsia"/>
          <w:sz w:val="28"/>
          <w:szCs w:val="28"/>
        </w:rPr>
        <w:t>（6）投标人对是否存在受到财政部门或有关部门认定的失信行为（有效期内）以及认定次数进行承诺。</w:t>
      </w:r>
    </w:p>
    <w:p>
      <w:pPr>
        <w:pStyle w:val="152"/>
        <w:spacing w:line="240" w:lineRule="auto"/>
        <w:ind w:firstLine="560"/>
        <w:jc w:val="left"/>
        <w:rPr>
          <w:sz w:val="28"/>
          <w:szCs w:val="28"/>
        </w:rPr>
      </w:pPr>
      <w:r>
        <w:rPr>
          <w:rFonts w:hint="eastAsia"/>
          <w:sz w:val="28"/>
          <w:szCs w:val="28"/>
        </w:rPr>
        <w:t>7.采购人根据采购项目提出的特殊条件：/。</w:t>
      </w:r>
    </w:p>
    <w:p>
      <w:pPr>
        <w:pStyle w:val="152"/>
        <w:spacing w:line="240" w:lineRule="auto"/>
        <w:ind w:firstLine="560"/>
        <w:rPr>
          <w:sz w:val="28"/>
          <w:szCs w:val="28"/>
        </w:rPr>
      </w:pPr>
      <w:r>
        <w:rPr>
          <w:rFonts w:hint="eastAsia"/>
          <w:sz w:val="28"/>
          <w:szCs w:val="28"/>
        </w:rPr>
        <w:t>8.本项目不接受联合体参与采购活动。</w:t>
      </w:r>
    </w:p>
    <w:p>
      <w:pPr>
        <w:pStyle w:val="152"/>
        <w:spacing w:line="240" w:lineRule="auto"/>
        <w:ind w:firstLine="560"/>
        <w:rPr>
          <w:sz w:val="28"/>
          <w:szCs w:val="28"/>
        </w:rPr>
      </w:pPr>
      <w:r>
        <w:rPr>
          <w:rFonts w:hint="eastAsia"/>
          <w:sz w:val="28"/>
          <w:szCs w:val="28"/>
        </w:rPr>
        <w:t>9.本项目专门面向中小企业采购。</w:t>
      </w:r>
    </w:p>
    <w:bookmarkEnd w:id="366"/>
    <w:p>
      <w:pPr>
        <w:pStyle w:val="152"/>
        <w:spacing w:line="240" w:lineRule="auto"/>
        <w:ind w:firstLine="0" w:firstLineChars="0"/>
        <w:rPr>
          <w:rFonts w:hAnsi="宋体" w:cs="仿宋"/>
          <w:b/>
          <w:bCs/>
          <w:sz w:val="28"/>
          <w:szCs w:val="28"/>
        </w:rPr>
      </w:pPr>
      <w:r>
        <w:rPr>
          <w:rFonts w:hint="eastAsia" w:hAnsi="宋体" w:cs="仿宋"/>
          <w:b/>
          <w:bCs/>
          <w:sz w:val="28"/>
          <w:szCs w:val="28"/>
        </w:rPr>
        <w:t>（二）其他类似效力要求：</w:t>
      </w:r>
    </w:p>
    <w:p>
      <w:pPr>
        <w:pStyle w:val="152"/>
        <w:spacing w:line="240" w:lineRule="auto"/>
        <w:ind w:firstLine="0" w:firstLineChars="0"/>
        <w:rPr>
          <w:rFonts w:hAnsi="宋体" w:cs="仿宋"/>
          <w:b/>
          <w:sz w:val="28"/>
          <w:szCs w:val="28"/>
        </w:rPr>
      </w:pPr>
      <w:r>
        <w:rPr>
          <w:rFonts w:hint="eastAsia" w:hAnsi="宋体" w:cs="仿宋"/>
          <w:sz w:val="28"/>
          <w:szCs w:val="28"/>
        </w:rPr>
        <w:t>1.法定代表人/单位负责人身份证明文件或授权参加本次投标活动的授权代表证明材料。</w:t>
      </w:r>
    </w:p>
    <w:p>
      <w:pPr>
        <w:pStyle w:val="152"/>
        <w:spacing w:line="240" w:lineRule="auto"/>
        <w:ind w:firstLine="0" w:firstLineChars="0"/>
        <w:rPr>
          <w:rFonts w:hAnsi="宋体" w:cs="仿宋"/>
          <w:b/>
          <w:sz w:val="28"/>
          <w:szCs w:val="28"/>
        </w:rPr>
      </w:pPr>
      <w:r>
        <w:rPr>
          <w:rFonts w:hint="eastAsia" w:hAnsi="宋体" w:cs="仿宋"/>
          <w:b/>
          <w:sz w:val="28"/>
          <w:szCs w:val="28"/>
        </w:rPr>
        <w:t>注：</w:t>
      </w:r>
    </w:p>
    <w:p>
      <w:pPr>
        <w:pStyle w:val="152"/>
        <w:spacing w:line="240" w:lineRule="auto"/>
        <w:ind w:firstLine="562"/>
        <w:rPr>
          <w:rFonts w:hAnsi="宋体" w:cs="仿宋"/>
          <w:b/>
          <w:sz w:val="28"/>
          <w:szCs w:val="28"/>
        </w:rPr>
      </w:pPr>
      <w:r>
        <w:rPr>
          <w:rFonts w:hint="eastAsia" w:hAnsi="宋体" w:cs="仿宋"/>
          <w:b/>
          <w:sz w:val="28"/>
          <w:szCs w:val="28"/>
        </w:rPr>
        <w:t>1.本项目确定投标人经营活动中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152"/>
        <w:spacing w:line="240" w:lineRule="auto"/>
        <w:ind w:firstLine="562"/>
        <w:rPr>
          <w:rFonts w:hAnsi="宋体" w:cs="仿宋"/>
          <w:b/>
          <w:sz w:val="28"/>
          <w:szCs w:val="28"/>
        </w:rPr>
      </w:pPr>
      <w:r>
        <w:rPr>
          <w:rFonts w:hint="eastAsia" w:hAnsi="宋体" w:cs="仿宋"/>
          <w:b/>
          <w:sz w:val="28"/>
          <w:szCs w:val="28"/>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
        <w:rPr>
          <w:rFonts w:cs="仿宋"/>
          <w:sz w:val="36"/>
          <w:szCs w:val="36"/>
        </w:rPr>
      </w:pPr>
      <w:bookmarkStart w:id="367" w:name="_Toc3806"/>
      <w:bookmarkStart w:id="368" w:name="_Toc1588"/>
      <w:r>
        <w:rPr>
          <w:rFonts w:hint="eastAsia" w:cs="仿宋"/>
          <w:sz w:val="36"/>
          <w:szCs w:val="36"/>
        </w:rPr>
        <w:br w:type="page"/>
      </w:r>
      <w:bookmarkStart w:id="369" w:name="_Toc15122"/>
      <w:r>
        <w:rPr>
          <w:rFonts w:hint="eastAsia" w:cs="仿宋"/>
        </w:rPr>
        <w:t>投标人应当提供的资格、资质性及其他类似效力要求的相关证明材料</w:t>
      </w:r>
      <w:bookmarkEnd w:id="367"/>
      <w:bookmarkEnd w:id="368"/>
      <w:bookmarkEnd w:id="369"/>
    </w:p>
    <w:p>
      <w:pPr>
        <w:pStyle w:val="5"/>
        <w:numPr>
          <w:ilvl w:val="1"/>
          <w:numId w:val="0"/>
        </w:numPr>
        <w:spacing w:line="360" w:lineRule="exact"/>
        <w:rPr>
          <w:rFonts w:cs="仿宋"/>
        </w:rPr>
      </w:pPr>
      <w:bookmarkStart w:id="370" w:name="_Toc18891"/>
      <w:r>
        <w:rPr>
          <w:rFonts w:hint="eastAsia" w:cs="仿宋"/>
        </w:rPr>
        <w:t>一、应当提供的投标人资格、资质性及其他类似效力要求的相关证明材料</w:t>
      </w:r>
      <w:bookmarkEnd w:id="370"/>
    </w:p>
    <w:p>
      <w:pPr>
        <w:rPr>
          <w:rFonts w:ascii="宋体" w:hAnsi="宋体" w:cs="仿宋"/>
          <w:b/>
          <w:bCs/>
          <w:sz w:val="28"/>
          <w:szCs w:val="28"/>
        </w:rPr>
      </w:pPr>
      <w:bookmarkStart w:id="371" w:name="_Hlk534972541"/>
      <w:r>
        <w:rPr>
          <w:rFonts w:hint="eastAsia" w:ascii="宋体" w:hAnsi="宋体" w:cs="仿宋"/>
          <w:b/>
          <w:bCs/>
          <w:sz w:val="28"/>
          <w:szCs w:val="28"/>
        </w:rPr>
        <w:t>（一）资格要求相关证明材料：</w:t>
      </w:r>
    </w:p>
    <w:p>
      <w:pPr>
        <w:pStyle w:val="152"/>
        <w:spacing w:line="420" w:lineRule="exact"/>
        <w:ind w:firstLine="560"/>
        <w:rPr>
          <w:rFonts w:hAnsi="宋体" w:cs="仿宋"/>
          <w:sz w:val="28"/>
          <w:szCs w:val="28"/>
        </w:rPr>
      </w:pPr>
      <w:r>
        <w:rPr>
          <w:rFonts w:hint="eastAsia" w:hAnsi="宋体" w:cs="仿宋"/>
          <w:sz w:val="28"/>
          <w:szCs w:val="28"/>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152"/>
        <w:spacing w:line="420" w:lineRule="exact"/>
        <w:ind w:firstLine="560"/>
        <w:rPr>
          <w:rFonts w:hAnsi="宋体" w:cs="仿宋"/>
          <w:sz w:val="28"/>
          <w:szCs w:val="28"/>
        </w:rPr>
      </w:pPr>
      <w:r>
        <w:rPr>
          <w:rFonts w:hint="eastAsia" w:hAnsi="宋体" w:cs="仿宋"/>
          <w:sz w:val="28"/>
          <w:szCs w:val="28"/>
        </w:rPr>
        <w:t>2.具备良好商业信誉的证明材料（提供承诺函，格式详见第三章）；</w:t>
      </w:r>
    </w:p>
    <w:p>
      <w:pPr>
        <w:pStyle w:val="152"/>
        <w:spacing w:line="420" w:lineRule="exact"/>
        <w:ind w:firstLine="560"/>
        <w:rPr>
          <w:rFonts w:hAnsi="宋体" w:cs="仿宋"/>
          <w:sz w:val="28"/>
          <w:szCs w:val="28"/>
        </w:rPr>
      </w:pPr>
      <w:r>
        <w:rPr>
          <w:rFonts w:hint="eastAsia" w:hAnsi="宋体" w:cs="仿宋"/>
          <w:sz w:val="28"/>
          <w:szCs w:val="28"/>
        </w:rPr>
        <w:t>3.具备健全的财务会计制度的证明材料。｛注：①可提供2019年度或2020年度经审计的财务审计报告复印件（财务审计报告应包含报告及报告中所附的完整内容，同时应提供审计单位有效的营业执照、执业证书及审计人员有效的注册会计师证书），②也可提供2019年度或2020年度投标人内部的财务报表复印件（至少包含资产负债表和利润表），③也可提供截至投标文件递交截止日一年内银行出具的资信证明（复印件），④投标人注册时间截至投标文件递交截止日不足一年的，也可提供在工商备案的公司章程（复印件）。｝</w:t>
      </w:r>
    </w:p>
    <w:p>
      <w:pPr>
        <w:pStyle w:val="152"/>
        <w:spacing w:line="420" w:lineRule="exact"/>
        <w:ind w:firstLine="560"/>
        <w:rPr>
          <w:rFonts w:hAnsi="宋体" w:cs="仿宋"/>
          <w:sz w:val="28"/>
          <w:szCs w:val="28"/>
        </w:rPr>
      </w:pPr>
      <w:r>
        <w:rPr>
          <w:rFonts w:hint="eastAsia" w:hAnsi="宋体" w:cs="仿宋"/>
          <w:sz w:val="28"/>
          <w:szCs w:val="28"/>
        </w:rPr>
        <w:t>4.具有依法缴纳税收和社会保障资金的良好记录（①可提供2020年以来任意3个月依法缴纳税收、社保证明；②也可提供承诺函，格式自拟。）；</w:t>
      </w:r>
    </w:p>
    <w:p>
      <w:pPr>
        <w:pStyle w:val="152"/>
        <w:spacing w:line="420" w:lineRule="exact"/>
        <w:ind w:firstLine="560"/>
        <w:rPr>
          <w:rFonts w:hAnsi="宋体" w:cs="仿宋"/>
          <w:sz w:val="28"/>
          <w:szCs w:val="28"/>
        </w:rPr>
      </w:pPr>
      <w:r>
        <w:rPr>
          <w:rFonts w:hint="eastAsia" w:hAnsi="宋体" w:cs="仿宋"/>
          <w:sz w:val="28"/>
          <w:szCs w:val="28"/>
        </w:rPr>
        <w:t>5.具备履行合同所必需的设备和专业技术能力的证明材料（提供承诺函，格式自拟）；</w:t>
      </w:r>
    </w:p>
    <w:p>
      <w:pPr>
        <w:pStyle w:val="152"/>
        <w:spacing w:line="420" w:lineRule="exact"/>
        <w:ind w:firstLine="560"/>
        <w:rPr>
          <w:rFonts w:hAnsi="宋体" w:cs="仿宋"/>
          <w:sz w:val="28"/>
          <w:szCs w:val="28"/>
        </w:rPr>
      </w:pPr>
      <w:r>
        <w:rPr>
          <w:rFonts w:hint="eastAsia" w:hAnsi="宋体" w:cs="仿宋"/>
          <w:sz w:val="28"/>
          <w:szCs w:val="28"/>
        </w:rPr>
        <w:t>6.参加政府采购活动前3年内在经营活动中没有重大违法记录（提供承诺函，格式自拟）；</w:t>
      </w:r>
    </w:p>
    <w:p>
      <w:pPr>
        <w:pStyle w:val="152"/>
        <w:spacing w:line="420" w:lineRule="exact"/>
        <w:ind w:firstLine="560"/>
        <w:rPr>
          <w:rFonts w:hAnsi="宋体" w:cs="仿宋"/>
          <w:sz w:val="28"/>
          <w:szCs w:val="28"/>
        </w:rPr>
      </w:pPr>
      <w:r>
        <w:rPr>
          <w:rFonts w:hint="eastAsia" w:hAnsi="宋体" w:cs="仿宋"/>
          <w:sz w:val="28"/>
          <w:szCs w:val="28"/>
        </w:rPr>
        <w:t>7.具备法律、行政法规规定的其他条件的证明材料（提供承诺函，格式自拟）；</w:t>
      </w:r>
    </w:p>
    <w:p>
      <w:pPr>
        <w:pStyle w:val="152"/>
        <w:ind w:firstLine="840" w:firstLineChars="300"/>
        <w:rPr>
          <w:sz w:val="28"/>
          <w:szCs w:val="28"/>
        </w:rPr>
      </w:pPr>
      <w:r>
        <w:rPr>
          <w:rFonts w:hint="eastAsia" w:hAnsi="宋体" w:cs="仿宋"/>
          <w:sz w:val="28"/>
          <w:szCs w:val="28"/>
        </w:rPr>
        <w:t xml:space="preserve"> </w:t>
      </w:r>
      <w:r>
        <w:rPr>
          <w:rFonts w:hint="eastAsia"/>
          <w:sz w:val="28"/>
          <w:szCs w:val="28"/>
        </w:rPr>
        <w:t>（1）提供投标人及其现任法定代表人、主要负责人在参加本项目政府采购活动前三年无行贿犯罪记录的承诺函；</w:t>
      </w:r>
    </w:p>
    <w:p>
      <w:pPr>
        <w:pStyle w:val="152"/>
        <w:ind w:firstLine="840" w:firstLineChars="300"/>
        <w:rPr>
          <w:sz w:val="28"/>
          <w:szCs w:val="28"/>
        </w:rPr>
      </w:pPr>
      <w:r>
        <w:rPr>
          <w:rFonts w:hint="eastAsia"/>
          <w:sz w:val="28"/>
          <w:szCs w:val="28"/>
        </w:rPr>
        <w:t>（2）提供投标人须提供“截至</w:t>
      </w:r>
      <w:r>
        <w:rPr>
          <w:rFonts w:hint="eastAsia"/>
          <w:sz w:val="28"/>
          <w:szCs w:val="28"/>
          <w:lang w:eastAsia="zh-CN"/>
        </w:rPr>
        <w:t>投标</w:t>
      </w:r>
      <w:r>
        <w:rPr>
          <w:rFonts w:hint="eastAsia"/>
          <w:sz w:val="28"/>
          <w:szCs w:val="28"/>
        </w:rPr>
        <w:t>截止日未被列入失信被执行人、重大税收违法案件当事人名单、政府采购严重违法失信行为记录名单的承诺函”；</w:t>
      </w:r>
    </w:p>
    <w:p>
      <w:pPr>
        <w:pStyle w:val="152"/>
        <w:ind w:firstLine="560"/>
        <w:rPr>
          <w:sz w:val="28"/>
          <w:szCs w:val="28"/>
        </w:rPr>
      </w:pPr>
      <w:r>
        <w:rPr>
          <w:rFonts w:hint="eastAsia"/>
          <w:sz w:val="28"/>
          <w:szCs w:val="28"/>
        </w:rPr>
        <w:t>（3）提供参加本次招标采购活动，不存在与单位负责人为同一人或者存在直接控股、管理关系的其他供应商参与同一合同项下的政府采购活动的行为的承诺函；</w:t>
      </w:r>
    </w:p>
    <w:p>
      <w:pPr>
        <w:pStyle w:val="152"/>
        <w:ind w:firstLine="560"/>
        <w:rPr>
          <w:sz w:val="28"/>
          <w:szCs w:val="28"/>
        </w:rPr>
      </w:pPr>
      <w:r>
        <w:rPr>
          <w:rFonts w:hint="eastAsia"/>
          <w:sz w:val="28"/>
          <w:szCs w:val="28"/>
        </w:rPr>
        <w:t>（4）提供参加本次招标采购活动，不存在和其他供应商在同一合同项下的采购项目中，同时委托同一个自然人、同一家庭的人员、同一单位的人员作为代理人的行为的承诺函；</w:t>
      </w:r>
    </w:p>
    <w:p>
      <w:pPr>
        <w:pStyle w:val="152"/>
        <w:ind w:firstLine="560"/>
        <w:rPr>
          <w:sz w:val="28"/>
          <w:szCs w:val="28"/>
        </w:rPr>
      </w:pPr>
      <w:r>
        <w:rPr>
          <w:rFonts w:hint="eastAsia"/>
          <w:sz w:val="28"/>
          <w:szCs w:val="28"/>
        </w:rPr>
        <w:t>（5）提供参加本次采购活动，未对本次采购项目提供过整体设计、规范编制或者项目管理、监理、检测等服务的承诺函。</w:t>
      </w:r>
    </w:p>
    <w:p>
      <w:pPr>
        <w:pStyle w:val="152"/>
        <w:ind w:firstLine="560"/>
        <w:rPr>
          <w:sz w:val="28"/>
          <w:szCs w:val="28"/>
        </w:rPr>
      </w:pPr>
      <w:r>
        <w:rPr>
          <w:rFonts w:hint="eastAsia"/>
          <w:sz w:val="28"/>
          <w:szCs w:val="28"/>
        </w:rPr>
        <w:t>（6）提供投标人对是否存在受到财政部门或有关部门认定的失信行为（有效期内）以及认定次数进行承诺的承诺函。</w:t>
      </w:r>
    </w:p>
    <w:p>
      <w:pPr>
        <w:pStyle w:val="152"/>
        <w:ind w:firstLine="560"/>
        <w:jc w:val="left"/>
        <w:rPr>
          <w:sz w:val="28"/>
          <w:szCs w:val="28"/>
        </w:rPr>
      </w:pPr>
      <w:r>
        <w:rPr>
          <w:rFonts w:hint="eastAsia"/>
          <w:sz w:val="28"/>
          <w:szCs w:val="28"/>
        </w:rPr>
        <w:t>8.采购人根据采购项目提出的特殊条件：/。</w:t>
      </w:r>
    </w:p>
    <w:p>
      <w:pPr>
        <w:pStyle w:val="152"/>
        <w:numPr>
          <w:ilvl w:val="0"/>
          <w:numId w:val="30"/>
        </w:numPr>
        <w:spacing w:line="420" w:lineRule="exact"/>
        <w:ind w:firstLine="560"/>
        <w:rPr>
          <w:rFonts w:hAnsi="宋体" w:cs="仿宋"/>
          <w:sz w:val="28"/>
          <w:szCs w:val="28"/>
        </w:rPr>
      </w:pPr>
      <w:r>
        <w:rPr>
          <w:rFonts w:hint="eastAsia" w:hAnsi="宋体" w:cs="仿宋"/>
          <w:sz w:val="28"/>
          <w:szCs w:val="28"/>
        </w:rPr>
        <w:t>本项目不接受联合体投标。</w:t>
      </w:r>
    </w:p>
    <w:p>
      <w:pPr>
        <w:pStyle w:val="152"/>
        <w:tabs>
          <w:tab w:val="left" w:pos="7271"/>
        </w:tabs>
        <w:spacing w:line="420" w:lineRule="exact"/>
        <w:ind w:firstLine="560"/>
        <w:rPr>
          <w:rFonts w:hAnsi="宋体" w:cs="仿宋"/>
          <w:sz w:val="28"/>
          <w:szCs w:val="28"/>
        </w:rPr>
      </w:pPr>
      <w:r>
        <w:rPr>
          <w:rFonts w:hint="eastAsia" w:hAnsi="宋体" w:cs="仿宋"/>
          <w:sz w:val="28"/>
          <w:szCs w:val="28"/>
        </w:rPr>
        <w:t>10.本项目专门面向中小企业采购。</w:t>
      </w:r>
    </w:p>
    <w:p>
      <w:pPr>
        <w:pStyle w:val="152"/>
        <w:tabs>
          <w:tab w:val="left" w:pos="7271"/>
        </w:tabs>
        <w:spacing w:line="420" w:lineRule="exact"/>
        <w:ind w:left="420" w:leftChars="200" w:firstLine="0" w:firstLineChars="0"/>
        <w:rPr>
          <w:rFonts w:hAnsi="宋体" w:cs="仿宋"/>
          <w:sz w:val="28"/>
          <w:szCs w:val="28"/>
        </w:rPr>
      </w:pPr>
      <w:r>
        <w:rPr>
          <w:rFonts w:hint="eastAsia" w:hAnsi="宋体" w:cs="仿宋"/>
          <w:sz w:val="28"/>
          <w:szCs w:val="28"/>
        </w:rPr>
        <w:t>中小企业声明函或残疾人福利性单位声明函或监狱企业证明材</w:t>
      </w:r>
    </w:p>
    <w:p>
      <w:pPr>
        <w:pStyle w:val="152"/>
        <w:tabs>
          <w:tab w:val="left" w:pos="7271"/>
        </w:tabs>
        <w:spacing w:line="420" w:lineRule="exact"/>
        <w:ind w:firstLine="0" w:firstLineChars="0"/>
        <w:rPr>
          <w:rFonts w:hAnsi="宋体" w:cs="仿宋"/>
          <w:sz w:val="28"/>
          <w:szCs w:val="28"/>
        </w:rPr>
      </w:pPr>
      <w:r>
        <w:rPr>
          <w:rFonts w:hint="eastAsia" w:hAnsi="宋体" w:cs="仿宋"/>
          <w:sz w:val="28"/>
          <w:szCs w:val="28"/>
        </w:rPr>
        <w:t>料。（可提供承诺函，格式详见第三章）</w:t>
      </w:r>
    </w:p>
    <w:p>
      <w:pPr>
        <w:pStyle w:val="152"/>
        <w:spacing w:line="420" w:lineRule="exact"/>
        <w:ind w:firstLine="560"/>
        <w:rPr>
          <w:rFonts w:hAnsi="宋体" w:cs="仿宋"/>
          <w:sz w:val="28"/>
          <w:szCs w:val="28"/>
        </w:rPr>
      </w:pPr>
      <w:r>
        <w:rPr>
          <w:rFonts w:hint="eastAsia" w:hAnsi="宋体" w:cs="仿宋"/>
          <w:sz w:val="28"/>
          <w:szCs w:val="28"/>
        </w:rPr>
        <w:t>注：采购人或采购代理机构将于本项目投标截止日在‘信用中国’网站、‘中国政府采购网’网站等渠道对投标人进行信用记录查询，并将查询记录存档。凡被列入失信被执行人、重大税收违法案件当事人名单、政府采购严重违法失信行为记录名单的，视为存在不良信用记录，参与本项目的将被拒绝。</w:t>
      </w:r>
    </w:p>
    <w:p>
      <w:pPr>
        <w:spacing w:line="420" w:lineRule="exact"/>
        <w:rPr>
          <w:rFonts w:ascii="宋体" w:hAnsi="宋体" w:cs="仿宋"/>
          <w:b/>
          <w:bCs/>
          <w:sz w:val="28"/>
          <w:szCs w:val="28"/>
        </w:rPr>
      </w:pPr>
      <w:r>
        <w:rPr>
          <w:rFonts w:hint="eastAsia" w:ascii="宋体" w:hAnsi="宋体" w:cs="仿宋"/>
          <w:b/>
          <w:bCs/>
          <w:sz w:val="28"/>
          <w:szCs w:val="28"/>
        </w:rPr>
        <w:t>（二）其他类似效力要求相关证明材料：</w:t>
      </w:r>
    </w:p>
    <w:p>
      <w:pPr>
        <w:spacing w:line="420" w:lineRule="exact"/>
        <w:ind w:firstLine="560" w:firstLineChars="200"/>
        <w:rPr>
          <w:rFonts w:ascii="宋体" w:hAnsi="宋体" w:cs="仿宋"/>
          <w:sz w:val="28"/>
          <w:szCs w:val="28"/>
        </w:rPr>
      </w:pPr>
      <w:r>
        <w:rPr>
          <w:rFonts w:hint="eastAsia" w:ascii="宋体" w:hAnsi="宋体" w:cs="仿宋"/>
          <w:sz w:val="28"/>
          <w:szCs w:val="28"/>
        </w:rPr>
        <w:t>1.法定代表人/单位负责人身份证明原件及附件。（法定代表人/单位负责人亲自投标适用）</w:t>
      </w:r>
    </w:p>
    <w:p>
      <w:pPr>
        <w:spacing w:line="420" w:lineRule="exact"/>
        <w:ind w:firstLine="560" w:firstLineChars="200"/>
        <w:rPr>
          <w:rFonts w:ascii="宋体" w:hAnsi="宋体" w:cs="仿宋"/>
          <w:sz w:val="28"/>
          <w:szCs w:val="28"/>
        </w:rPr>
      </w:pPr>
      <w:r>
        <w:rPr>
          <w:rFonts w:hint="eastAsia" w:ascii="宋体" w:hAnsi="宋体" w:cs="仿宋"/>
          <w:sz w:val="28"/>
          <w:szCs w:val="28"/>
        </w:rPr>
        <w:t>2.法定代表人/单位负责人授权书原件及附件（授权代表投标适用）。</w:t>
      </w:r>
    </w:p>
    <w:p>
      <w:pPr>
        <w:spacing w:line="420" w:lineRule="exact"/>
        <w:rPr>
          <w:rFonts w:ascii="宋体" w:hAnsi="宋体" w:cs="仿宋"/>
          <w:sz w:val="28"/>
          <w:szCs w:val="28"/>
        </w:rPr>
      </w:pPr>
    </w:p>
    <w:p>
      <w:pPr>
        <w:spacing w:line="420" w:lineRule="exact"/>
        <w:rPr>
          <w:rFonts w:ascii="宋体" w:hAnsi="宋体" w:cs="仿宋"/>
          <w:b/>
          <w:bCs/>
          <w:sz w:val="28"/>
          <w:szCs w:val="28"/>
        </w:rPr>
      </w:pPr>
      <w:r>
        <w:rPr>
          <w:rFonts w:hint="eastAsia" w:ascii="宋体" w:hAnsi="宋体" w:cs="仿宋"/>
          <w:b/>
          <w:bCs/>
          <w:sz w:val="28"/>
          <w:szCs w:val="28"/>
        </w:rPr>
        <w:t>注：以上要求的资料复印件均须加盖投标人的公章（鲜章）。</w:t>
      </w:r>
    </w:p>
    <w:bookmarkEnd w:id="371"/>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p>
      <w:pPr>
        <w:pStyle w:val="27"/>
        <w:spacing w:line="500" w:lineRule="exact"/>
        <w:ind w:firstLine="145" w:firstLineChars="52"/>
        <w:rPr>
          <w:rFonts w:ascii="宋体" w:hAnsi="宋体"/>
          <w:bCs/>
          <w:color w:val="000000" w:themeColor="text1"/>
          <w:sz w:val="28"/>
        </w:rPr>
      </w:pPr>
    </w:p>
    <w:bookmarkEnd w:id="360"/>
    <w:bookmarkEnd w:id="361"/>
    <w:bookmarkEnd w:id="362"/>
    <w:bookmarkEnd w:id="363"/>
    <w:p>
      <w:pPr>
        <w:pStyle w:val="4"/>
        <w:numPr>
          <w:ilvl w:val="0"/>
          <w:numId w:val="4"/>
        </w:numPr>
        <w:spacing w:before="0" w:after="0" w:line="500" w:lineRule="exact"/>
        <w:rPr>
          <w:color w:val="000000" w:themeColor="text1"/>
        </w:rPr>
      </w:pPr>
      <w:bookmarkStart w:id="372" w:name="_Toc1870"/>
      <w:bookmarkStart w:id="373" w:name="_Toc30585"/>
      <w:bookmarkStart w:id="374" w:name="_Toc4768"/>
      <w:bookmarkStart w:id="375" w:name="_Toc11876"/>
      <w:bookmarkStart w:id="376" w:name="_Toc17291826"/>
      <w:bookmarkStart w:id="377" w:name="_Toc24469"/>
      <w:bookmarkStart w:id="378" w:name="_Toc316292231"/>
      <w:bookmarkStart w:id="379" w:name="_Toc321382057"/>
      <w:r>
        <w:rPr>
          <w:rFonts w:hint="eastAsia"/>
          <w:color w:val="000000" w:themeColor="text1"/>
        </w:rPr>
        <w:t>招标项目技术、商务及其他要求</w:t>
      </w:r>
      <w:bookmarkEnd w:id="372"/>
      <w:bookmarkEnd w:id="373"/>
      <w:bookmarkEnd w:id="374"/>
      <w:bookmarkEnd w:id="375"/>
      <w:bookmarkEnd w:id="376"/>
      <w:bookmarkEnd w:id="377"/>
    </w:p>
    <w:bookmarkEnd w:id="378"/>
    <w:bookmarkEnd w:id="379"/>
    <w:p>
      <w:pPr>
        <w:pStyle w:val="5"/>
        <w:numPr>
          <w:ilvl w:val="1"/>
          <w:numId w:val="4"/>
        </w:numPr>
        <w:tabs>
          <w:tab w:val="left" w:pos="0"/>
          <w:tab w:val="left" w:pos="426"/>
          <w:tab w:val="left" w:pos="576"/>
          <w:tab w:val="left" w:pos="786"/>
        </w:tabs>
        <w:spacing w:before="0" w:after="0" w:line="500" w:lineRule="exact"/>
        <w:ind w:left="0" w:firstLine="0"/>
        <w:jc w:val="both"/>
        <w:rPr>
          <w:color w:val="000000" w:themeColor="text1"/>
        </w:rPr>
      </w:pPr>
      <w:bookmarkStart w:id="380" w:name="_Toc54857461"/>
      <w:bookmarkStart w:id="381" w:name="_Toc16765"/>
      <w:bookmarkStart w:id="382" w:name="_Toc24101"/>
      <w:bookmarkStart w:id="383" w:name="_Toc26497"/>
      <w:bookmarkStart w:id="384" w:name="_Toc8639"/>
      <w:bookmarkStart w:id="385" w:name="_Toc21821"/>
      <w:bookmarkStart w:id="386" w:name="_Toc5355"/>
      <w:r>
        <w:rPr>
          <w:rFonts w:hint="eastAsia"/>
          <w:color w:val="000000" w:themeColor="text1"/>
        </w:rPr>
        <w:t>项目概况</w:t>
      </w:r>
      <w:bookmarkEnd w:id="380"/>
      <w:bookmarkEnd w:id="381"/>
    </w:p>
    <w:p>
      <w:pPr>
        <w:ind w:firstLine="565" w:firstLineChars="202"/>
        <w:rPr>
          <w:rFonts w:ascii="宋体" w:hAnsi="宋体"/>
          <w:color w:val="000000" w:themeColor="text1"/>
          <w:sz w:val="28"/>
          <w:szCs w:val="28"/>
        </w:rPr>
      </w:pPr>
      <w:bookmarkStart w:id="387" w:name="_Toc4576"/>
      <w:bookmarkStart w:id="388" w:name="_Toc4509118"/>
      <w:bookmarkStart w:id="389" w:name="_Toc3868"/>
      <w:bookmarkStart w:id="390" w:name="_Toc24356540"/>
      <w:bookmarkStart w:id="391" w:name="_Toc513796935"/>
      <w:bookmarkStart w:id="392" w:name="_Toc31844"/>
      <w:bookmarkStart w:id="393" w:name="_Toc13016"/>
      <w:bookmarkStart w:id="394" w:name="_Toc54857462"/>
      <w:bookmarkStart w:id="395" w:name="_Toc30090"/>
      <w:r>
        <w:rPr>
          <w:rFonts w:hint="eastAsia" w:ascii="宋体" w:hAnsi="宋体"/>
          <w:color w:val="000000" w:themeColor="text1"/>
          <w:sz w:val="28"/>
          <w:szCs w:val="28"/>
        </w:rPr>
        <w:t>按照《成都市人民政府办公厅关于印发贯彻落实&lt;成都市生活垃圾管理条例&gt;推进全程分类体系建设实施方案的通知》（成办发[2021]24号）文件要求，我区2021年需建设标准化生活垃圾分类投放站（点），特开展本次采购活动。</w:t>
      </w:r>
    </w:p>
    <w:p>
      <w:pPr>
        <w:pStyle w:val="5"/>
        <w:numPr>
          <w:ilvl w:val="1"/>
          <w:numId w:val="4"/>
        </w:numPr>
        <w:tabs>
          <w:tab w:val="left" w:pos="0"/>
          <w:tab w:val="left" w:pos="426"/>
          <w:tab w:val="left" w:pos="576"/>
          <w:tab w:val="left" w:pos="786"/>
        </w:tabs>
        <w:spacing w:before="0" w:after="0" w:line="520" w:lineRule="exact"/>
        <w:ind w:left="0" w:firstLine="0"/>
        <w:jc w:val="both"/>
        <w:rPr>
          <w:color w:val="000000" w:themeColor="text1"/>
        </w:rPr>
      </w:pPr>
      <w:bookmarkStart w:id="396" w:name="_Toc11246"/>
      <w:r>
        <w:rPr>
          <w:rFonts w:hint="eastAsia"/>
          <w:color w:val="000000" w:themeColor="text1"/>
        </w:rPr>
        <w:t>采购内容及要求</w:t>
      </w:r>
      <w:bookmarkEnd w:id="387"/>
      <w:bookmarkEnd w:id="388"/>
      <w:bookmarkEnd w:id="389"/>
      <w:bookmarkEnd w:id="390"/>
      <w:bookmarkEnd w:id="391"/>
      <w:bookmarkEnd w:id="392"/>
      <w:bookmarkEnd w:id="393"/>
      <w:bookmarkEnd w:id="394"/>
      <w:bookmarkEnd w:id="395"/>
      <w:bookmarkEnd w:id="396"/>
    </w:p>
    <w:tbl>
      <w:tblPr>
        <w:tblStyle w:val="43"/>
        <w:tblW w:w="915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119"/>
        <w:gridCol w:w="605"/>
        <w:gridCol w:w="756"/>
        <w:gridCol w:w="5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48" w:type="dxa"/>
            <w:vAlign w:val="center"/>
          </w:tcPr>
          <w:p>
            <w:pPr>
              <w:widowControl/>
              <w:spacing w:line="360" w:lineRule="atLeast"/>
              <w:jc w:val="left"/>
              <w:outlineLvl w:val="1"/>
              <w:rPr>
                <w:rFonts w:ascii="宋体" w:hAnsi="宋体" w:cs="仿宋"/>
                <w:sz w:val="24"/>
              </w:rPr>
            </w:pPr>
            <w:bookmarkStart w:id="397" w:name="_Toc3610"/>
            <w:r>
              <w:rPr>
                <w:rFonts w:hint="eastAsia" w:ascii="宋体" w:hAnsi="宋体" w:cs="仿宋"/>
                <w:sz w:val="24"/>
              </w:rPr>
              <w:t>采购内容</w:t>
            </w:r>
            <w:bookmarkEnd w:id="397"/>
          </w:p>
        </w:tc>
        <w:tc>
          <w:tcPr>
            <w:tcW w:w="1119" w:type="dxa"/>
            <w:vAlign w:val="center"/>
          </w:tcPr>
          <w:p>
            <w:pPr>
              <w:widowControl/>
              <w:spacing w:line="360" w:lineRule="atLeast"/>
              <w:jc w:val="left"/>
              <w:outlineLvl w:val="1"/>
              <w:rPr>
                <w:rFonts w:ascii="宋体" w:hAnsi="宋体" w:cs="仿宋"/>
                <w:sz w:val="24"/>
              </w:rPr>
            </w:pPr>
            <w:bookmarkStart w:id="398" w:name="_Toc7436"/>
            <w:r>
              <w:rPr>
                <w:rFonts w:hint="eastAsia" w:ascii="宋体" w:hAnsi="宋体" w:cs="仿宋"/>
                <w:sz w:val="24"/>
              </w:rPr>
              <w:t>核心产品</w:t>
            </w:r>
            <w:bookmarkEnd w:id="398"/>
          </w:p>
        </w:tc>
        <w:tc>
          <w:tcPr>
            <w:tcW w:w="605" w:type="dxa"/>
            <w:vAlign w:val="center"/>
          </w:tcPr>
          <w:p>
            <w:pPr>
              <w:widowControl/>
              <w:spacing w:line="360" w:lineRule="atLeast"/>
              <w:jc w:val="left"/>
              <w:outlineLvl w:val="1"/>
              <w:rPr>
                <w:rFonts w:ascii="宋体" w:hAnsi="宋体" w:cs="仿宋"/>
                <w:sz w:val="24"/>
              </w:rPr>
            </w:pPr>
            <w:bookmarkStart w:id="399" w:name="_Toc16899"/>
            <w:r>
              <w:rPr>
                <w:rFonts w:hint="eastAsia" w:ascii="宋体" w:hAnsi="宋体" w:cs="仿宋"/>
                <w:sz w:val="24"/>
              </w:rPr>
              <w:t>单位</w:t>
            </w:r>
            <w:bookmarkEnd w:id="399"/>
          </w:p>
        </w:tc>
        <w:tc>
          <w:tcPr>
            <w:tcW w:w="756" w:type="dxa"/>
            <w:vAlign w:val="center"/>
          </w:tcPr>
          <w:p>
            <w:pPr>
              <w:widowControl/>
              <w:spacing w:line="360" w:lineRule="atLeast"/>
              <w:jc w:val="left"/>
              <w:outlineLvl w:val="1"/>
              <w:rPr>
                <w:rFonts w:ascii="宋体" w:hAnsi="宋体" w:cs="仿宋"/>
                <w:sz w:val="24"/>
              </w:rPr>
            </w:pPr>
            <w:bookmarkStart w:id="400" w:name="_Toc18218"/>
            <w:r>
              <w:rPr>
                <w:rFonts w:hint="eastAsia" w:ascii="宋体" w:hAnsi="宋体" w:cs="仿宋"/>
                <w:sz w:val="24"/>
              </w:rPr>
              <w:t>数量</w:t>
            </w:r>
            <w:bookmarkEnd w:id="400"/>
          </w:p>
        </w:tc>
        <w:tc>
          <w:tcPr>
            <w:tcW w:w="5330" w:type="dxa"/>
            <w:vAlign w:val="center"/>
          </w:tcPr>
          <w:p>
            <w:pPr>
              <w:widowControl/>
              <w:spacing w:line="360" w:lineRule="atLeast"/>
              <w:ind w:firstLine="470" w:firstLineChars="196"/>
              <w:jc w:val="left"/>
              <w:outlineLvl w:val="1"/>
              <w:rPr>
                <w:rFonts w:ascii="宋体" w:hAnsi="宋体" w:cs="仿宋"/>
                <w:sz w:val="24"/>
              </w:rPr>
            </w:pPr>
            <w:bookmarkStart w:id="401" w:name="_Toc24382"/>
            <w:r>
              <w:rPr>
                <w:rFonts w:hint="eastAsia" w:ascii="宋体" w:hAnsi="宋体" w:cs="仿宋"/>
                <w:sz w:val="24"/>
              </w:rPr>
              <w:t>技术参数及其他要求</w:t>
            </w:r>
            <w:bookmarkEnd w:id="4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0" w:hRule="atLeast"/>
        </w:trPr>
        <w:tc>
          <w:tcPr>
            <w:tcW w:w="1348" w:type="dxa"/>
            <w:vAlign w:val="center"/>
          </w:tcPr>
          <w:p>
            <w:pPr>
              <w:rPr>
                <w:rFonts w:ascii="宋体" w:hAnsi="宋体"/>
                <w:color w:val="auto"/>
                <w:sz w:val="28"/>
                <w:szCs w:val="28"/>
              </w:rPr>
            </w:pPr>
            <w:r>
              <w:rPr>
                <w:rFonts w:hint="eastAsia" w:ascii="宋体" w:hAnsi="宋体"/>
                <w:color w:val="auto"/>
                <w:sz w:val="28"/>
                <w:szCs w:val="28"/>
              </w:rPr>
              <w:t>生活垃圾分类投放亭</w:t>
            </w:r>
          </w:p>
          <w:p>
            <w:pPr>
              <w:widowControl/>
              <w:jc w:val="center"/>
              <w:rPr>
                <w:rFonts w:ascii="宋体" w:hAnsi="宋体" w:cs="仿宋"/>
                <w:bCs/>
                <w:kern w:val="0"/>
                <w:sz w:val="24"/>
              </w:rPr>
            </w:pPr>
          </w:p>
        </w:tc>
        <w:tc>
          <w:tcPr>
            <w:tcW w:w="1119" w:type="dxa"/>
            <w:vAlign w:val="center"/>
          </w:tcPr>
          <w:p>
            <w:pPr>
              <w:widowControl/>
              <w:jc w:val="center"/>
              <w:rPr>
                <w:rFonts w:ascii="宋体" w:hAnsi="宋体" w:cs="仿宋"/>
                <w:bCs/>
                <w:kern w:val="0"/>
                <w:sz w:val="24"/>
              </w:rPr>
            </w:pPr>
            <w:r>
              <w:rPr>
                <w:rFonts w:hint="eastAsia" w:ascii="宋体" w:hAnsi="宋体"/>
                <w:color w:val="000000" w:themeColor="text1"/>
                <w:sz w:val="28"/>
                <w:szCs w:val="28"/>
              </w:rPr>
              <w:t>生活垃圾分类投放亭</w:t>
            </w:r>
          </w:p>
        </w:tc>
        <w:tc>
          <w:tcPr>
            <w:tcW w:w="605" w:type="dxa"/>
            <w:vAlign w:val="center"/>
          </w:tcPr>
          <w:p>
            <w:pPr>
              <w:jc w:val="center"/>
              <w:rPr>
                <w:rFonts w:ascii="宋体" w:hAnsi="宋体" w:cs="仿宋"/>
                <w:bCs/>
                <w:kern w:val="0"/>
                <w:sz w:val="24"/>
              </w:rPr>
            </w:pPr>
            <w:r>
              <w:rPr>
                <w:rFonts w:hint="eastAsia" w:ascii="宋体" w:hAnsi="宋体" w:cs="仿宋"/>
                <w:bCs/>
                <w:kern w:val="0"/>
                <w:sz w:val="24"/>
              </w:rPr>
              <w:t>个</w:t>
            </w:r>
          </w:p>
        </w:tc>
        <w:tc>
          <w:tcPr>
            <w:tcW w:w="756" w:type="dxa"/>
            <w:vAlign w:val="center"/>
          </w:tcPr>
          <w:p>
            <w:pPr>
              <w:widowControl/>
              <w:jc w:val="center"/>
              <w:rPr>
                <w:rFonts w:ascii="宋体" w:hAnsi="宋体" w:cs="仿宋"/>
                <w:bCs/>
                <w:kern w:val="0"/>
                <w:sz w:val="24"/>
              </w:rPr>
            </w:pPr>
            <w:r>
              <w:rPr>
                <w:rFonts w:hint="eastAsia" w:ascii="宋体" w:hAnsi="宋体" w:cs="仿宋"/>
                <w:bCs/>
                <w:kern w:val="0"/>
                <w:sz w:val="24"/>
              </w:rPr>
              <w:t>334</w:t>
            </w:r>
          </w:p>
        </w:tc>
        <w:tc>
          <w:tcPr>
            <w:tcW w:w="5330" w:type="dxa"/>
            <w:vAlign w:val="center"/>
          </w:tcPr>
          <w:p>
            <w:pPr>
              <w:widowControl/>
              <w:numPr>
                <w:ilvl w:val="0"/>
                <w:numId w:val="31"/>
              </w:numPr>
              <w:spacing w:line="360" w:lineRule="auto"/>
              <w:rPr>
                <w:sz w:val="24"/>
                <w:szCs w:val="24"/>
              </w:rPr>
            </w:pPr>
            <w:r>
              <w:rPr>
                <w:rFonts w:hint="eastAsia"/>
                <w:sz w:val="24"/>
                <w:szCs w:val="24"/>
              </w:rPr>
              <w:t>尺寸:(L*W*H）</w:t>
            </w:r>
          </w:p>
          <w:p>
            <w:pPr>
              <w:pStyle w:val="17"/>
              <w:rPr>
                <w:sz w:val="24"/>
                <w:szCs w:val="24"/>
              </w:rPr>
            </w:pPr>
            <w:r>
              <w:rPr>
                <w:rFonts w:hint="eastAsia"/>
                <w:sz w:val="24"/>
                <w:szCs w:val="24"/>
              </w:rPr>
              <w:t>3650mm*1400mm*2350mm（</w:t>
            </w:r>
            <w:r>
              <w:rPr>
                <w:rFonts w:hint="eastAsia"/>
              </w:rPr>
              <w:t>±5mm</w:t>
            </w:r>
            <w:r>
              <w:rPr>
                <w:rFonts w:hint="eastAsia"/>
                <w:sz w:val="24"/>
                <w:szCs w:val="24"/>
              </w:rPr>
              <w:t>）（宽度含顶部屋檐）</w:t>
            </w:r>
          </w:p>
          <w:p>
            <w:pPr>
              <w:pStyle w:val="2"/>
              <w:numPr>
                <w:ilvl w:val="0"/>
                <w:numId w:val="31"/>
              </w:numPr>
              <w:spacing w:line="360" w:lineRule="auto"/>
              <w:rPr>
                <w:sz w:val="24"/>
                <w:szCs w:val="24"/>
              </w:rPr>
            </w:pPr>
            <w:r>
              <w:rPr>
                <w:rFonts w:hint="eastAsia"/>
                <w:sz w:val="24"/>
                <w:szCs w:val="24"/>
              </w:rPr>
              <w:t>箱体</w:t>
            </w:r>
          </w:p>
          <w:p>
            <w:pPr>
              <w:numPr>
                <w:ilvl w:val="0"/>
                <w:numId w:val="32"/>
              </w:numPr>
              <w:spacing w:line="360" w:lineRule="auto"/>
              <w:rPr>
                <w:sz w:val="24"/>
                <w:szCs w:val="24"/>
              </w:rPr>
            </w:pPr>
            <w:r>
              <w:rPr>
                <w:rFonts w:hint="eastAsia"/>
                <w:sz w:val="24"/>
                <w:szCs w:val="24"/>
              </w:rPr>
              <w:t>箱体材质：采用304不锈钢板，面板1.2mm厚，底板采用1.5mm厚并增加加强筋。</w:t>
            </w:r>
          </w:p>
          <w:p>
            <w:pPr>
              <w:pStyle w:val="2"/>
              <w:numPr>
                <w:ilvl w:val="0"/>
                <w:numId w:val="32"/>
              </w:numPr>
              <w:spacing w:line="360" w:lineRule="auto"/>
              <w:rPr>
                <w:sz w:val="24"/>
                <w:szCs w:val="24"/>
              </w:rPr>
            </w:pPr>
            <w:r>
              <w:rPr>
                <w:sz w:val="24"/>
                <w:szCs w:val="24"/>
              </w:rPr>
              <w:t>箱体尺寸（L*W*H）：</w:t>
            </w:r>
          </w:p>
          <w:p>
            <w:pPr>
              <w:pStyle w:val="17"/>
              <w:rPr>
                <w:sz w:val="24"/>
                <w:szCs w:val="24"/>
              </w:rPr>
            </w:pPr>
            <w:r>
              <w:rPr>
                <w:sz w:val="24"/>
                <w:szCs w:val="24"/>
              </w:rPr>
              <w:t>3250mm*750mm*1800mm</w:t>
            </w:r>
            <w:r>
              <w:rPr>
                <w:rFonts w:hint="eastAsia"/>
                <w:sz w:val="24"/>
                <w:szCs w:val="24"/>
              </w:rPr>
              <w:t>(</w:t>
            </w:r>
            <w:r>
              <w:rPr>
                <w:rFonts w:hint="eastAsia"/>
              </w:rPr>
              <w:t>±5mm)</w:t>
            </w:r>
          </w:p>
          <w:p>
            <w:pPr>
              <w:spacing w:line="360" w:lineRule="auto"/>
              <w:rPr>
                <w:sz w:val="24"/>
                <w:szCs w:val="24"/>
              </w:rPr>
            </w:pPr>
            <w:r>
              <w:rPr>
                <w:rFonts w:hint="eastAsia"/>
                <w:sz w:val="24"/>
                <w:szCs w:val="24"/>
              </w:rPr>
              <w:t>3、</w:t>
            </w:r>
            <w:r>
              <w:rPr>
                <w:sz w:val="24"/>
                <w:szCs w:val="24"/>
              </w:rPr>
              <w:t>投口</w:t>
            </w:r>
          </w:p>
          <w:p>
            <w:pPr>
              <w:spacing w:line="360" w:lineRule="auto"/>
              <w:rPr>
                <w:sz w:val="24"/>
                <w:szCs w:val="24"/>
              </w:rPr>
            </w:pPr>
            <w:r>
              <w:rPr>
                <w:sz w:val="24"/>
                <w:szCs w:val="24"/>
              </w:rPr>
              <w:t>尺寸：宽度500mm，高度400mm；投口下沿离地高度不超过1050mm</w:t>
            </w:r>
          </w:p>
          <w:p>
            <w:pPr>
              <w:spacing w:line="360" w:lineRule="auto"/>
              <w:rPr>
                <w:sz w:val="24"/>
                <w:szCs w:val="24"/>
              </w:rPr>
            </w:pPr>
            <w:r>
              <w:rPr>
                <w:sz w:val="24"/>
                <w:szCs w:val="24"/>
              </w:rPr>
              <w:t>开启方式：脚踏式</w:t>
            </w:r>
          </w:p>
          <w:p>
            <w:pPr>
              <w:pStyle w:val="2"/>
              <w:numPr>
                <w:ilvl w:val="0"/>
                <w:numId w:val="0"/>
              </w:numPr>
              <w:spacing w:line="360" w:lineRule="auto"/>
              <w:rPr>
                <w:sz w:val="24"/>
                <w:szCs w:val="24"/>
              </w:rPr>
            </w:pPr>
            <w:r>
              <w:rPr>
                <w:rFonts w:hint="eastAsia"/>
                <w:sz w:val="24"/>
                <w:szCs w:val="24"/>
                <w:lang w:val="en-US" w:eastAsia="zh-CN"/>
              </w:rPr>
              <w:t>4、</w:t>
            </w:r>
            <w:r>
              <w:rPr>
                <w:sz w:val="24"/>
                <w:szCs w:val="24"/>
              </w:rPr>
              <w:t>其他要求：</w:t>
            </w:r>
          </w:p>
          <w:p>
            <w:pPr>
              <w:numPr>
                <w:ilvl w:val="0"/>
                <w:numId w:val="33"/>
              </w:numPr>
              <w:spacing w:line="360" w:lineRule="auto"/>
              <w:rPr>
                <w:sz w:val="24"/>
                <w:szCs w:val="24"/>
              </w:rPr>
            </w:pPr>
            <w:r>
              <w:rPr>
                <w:rFonts w:hint="eastAsia"/>
                <w:sz w:val="24"/>
                <w:szCs w:val="24"/>
              </w:rPr>
              <w:t>两侧立柱：</w:t>
            </w:r>
          </w:p>
          <w:p>
            <w:pPr>
              <w:spacing w:line="360" w:lineRule="auto"/>
              <w:ind w:firstLine="240" w:firstLineChars="100"/>
              <w:rPr>
                <w:sz w:val="24"/>
                <w:szCs w:val="24"/>
              </w:rPr>
            </w:pPr>
            <w:r>
              <w:rPr>
                <w:rFonts w:hint="eastAsia"/>
                <w:sz w:val="24"/>
                <w:szCs w:val="24"/>
              </w:rPr>
              <w:t>采用304不锈钢管体120mm*40mm*1.5mm</w:t>
            </w:r>
          </w:p>
          <w:p>
            <w:pPr>
              <w:pStyle w:val="2"/>
              <w:numPr>
                <w:ilvl w:val="0"/>
                <w:numId w:val="33"/>
              </w:numPr>
              <w:spacing w:line="360" w:lineRule="auto"/>
              <w:rPr>
                <w:sz w:val="24"/>
                <w:szCs w:val="24"/>
              </w:rPr>
            </w:pPr>
            <w:r>
              <w:rPr>
                <w:sz w:val="24"/>
                <w:szCs w:val="24"/>
              </w:rPr>
              <w:t>两侧宣传画：采用15mmPVC板表面粘贴垃圾分类宣传画</w:t>
            </w:r>
          </w:p>
          <w:p>
            <w:pPr>
              <w:pStyle w:val="2"/>
              <w:numPr>
                <w:ilvl w:val="0"/>
                <w:numId w:val="33"/>
              </w:numPr>
              <w:spacing w:line="360" w:lineRule="auto"/>
              <w:rPr>
                <w:sz w:val="24"/>
                <w:szCs w:val="24"/>
              </w:rPr>
            </w:pPr>
            <w:r>
              <w:rPr>
                <w:sz w:val="24"/>
                <w:szCs w:val="24"/>
              </w:rPr>
              <w:t>含4+1个独立收集仓</w:t>
            </w:r>
            <w:r>
              <w:rPr>
                <w:rFonts w:hint="eastAsia"/>
                <w:sz w:val="24"/>
                <w:szCs w:val="24"/>
              </w:rPr>
              <w:t>（4个分类垃圾收集仓、1个有害垃圾分类收集仓）</w:t>
            </w:r>
          </w:p>
          <w:p>
            <w:pPr>
              <w:pStyle w:val="2"/>
              <w:spacing w:line="360" w:lineRule="auto"/>
              <w:ind w:firstLine="480" w:firstLineChars="200"/>
              <w:rPr>
                <w:sz w:val="24"/>
                <w:szCs w:val="24"/>
              </w:rPr>
            </w:pPr>
            <w:r>
              <w:rPr>
                <w:rFonts w:hint="eastAsia"/>
                <w:sz w:val="24"/>
                <w:szCs w:val="24"/>
              </w:rPr>
              <w:t>分类垃圾收集仓：</w:t>
            </w:r>
            <w:r>
              <w:rPr>
                <w:sz w:val="24"/>
                <w:szCs w:val="24"/>
              </w:rPr>
              <w:t>可放置容积为120L分类塑料垃圾桶</w:t>
            </w:r>
            <w:r>
              <w:rPr>
                <w:rFonts w:hint="eastAsia"/>
                <w:sz w:val="24"/>
                <w:szCs w:val="24"/>
              </w:rPr>
              <w:t>，</w:t>
            </w:r>
            <w:r>
              <w:rPr>
                <w:sz w:val="24"/>
                <w:szCs w:val="24"/>
              </w:rPr>
              <w:t>带不锈钢洗手池和水龙头和储水箱，每个箱体内均设置尺寸适当的不锈钢材质导流槽和垃圾桶限位装置，避免垃圾溢出桶外。</w:t>
            </w:r>
            <w:r>
              <w:rPr>
                <w:rFonts w:hint="eastAsia"/>
                <w:sz w:val="24"/>
                <w:szCs w:val="24"/>
              </w:rPr>
              <w:t>（120L分类塑料桶由采购人提供）</w:t>
            </w:r>
          </w:p>
          <w:p>
            <w:pPr>
              <w:spacing w:line="360" w:lineRule="auto"/>
              <w:ind w:left="479" w:leftChars="228"/>
              <w:rPr>
                <w:sz w:val="24"/>
                <w:szCs w:val="24"/>
              </w:rPr>
            </w:pPr>
            <w:r>
              <w:rPr>
                <w:rFonts w:hint="eastAsia"/>
                <w:sz w:val="24"/>
                <w:szCs w:val="24"/>
              </w:rPr>
              <w:t>有害垃圾收集仓：需配置1个内置塑料桶。容积：30L（±1%），长*宽*高（mm）：355</w:t>
            </w:r>
          </w:p>
          <w:p>
            <w:pPr>
              <w:spacing w:line="360" w:lineRule="auto"/>
              <w:rPr>
                <w:sz w:val="24"/>
                <w:szCs w:val="24"/>
              </w:rPr>
            </w:pPr>
            <w:r>
              <w:rPr>
                <w:rFonts w:hint="eastAsia"/>
                <w:sz w:val="24"/>
                <w:szCs w:val="24"/>
              </w:rPr>
              <w:t>×345×500(±3%)。</w:t>
            </w:r>
          </w:p>
          <w:p>
            <w:pPr>
              <w:pStyle w:val="2"/>
              <w:spacing w:line="360" w:lineRule="auto"/>
              <w:rPr>
                <w:sz w:val="24"/>
                <w:szCs w:val="24"/>
              </w:rPr>
            </w:pPr>
            <w:r>
              <w:rPr>
                <w:rFonts w:hint="eastAsia"/>
                <w:sz w:val="24"/>
                <w:szCs w:val="24"/>
              </w:rPr>
              <w:t>（4）</w:t>
            </w:r>
            <w:r>
              <w:rPr>
                <w:sz w:val="24"/>
                <w:szCs w:val="24"/>
              </w:rPr>
              <w:t>顶盖四边有沿口，正面不小于500mm外延雨棚。</w:t>
            </w:r>
          </w:p>
          <w:p>
            <w:pPr>
              <w:pStyle w:val="2"/>
              <w:spacing w:line="360" w:lineRule="auto"/>
              <w:rPr>
                <w:sz w:val="24"/>
                <w:szCs w:val="24"/>
              </w:rPr>
            </w:pPr>
            <w:r>
              <w:rPr>
                <w:rFonts w:hint="eastAsia"/>
                <w:sz w:val="24"/>
                <w:szCs w:val="24"/>
              </w:rPr>
              <w:t>（5）</w:t>
            </w:r>
            <w:r>
              <w:rPr>
                <w:sz w:val="24"/>
                <w:szCs w:val="24"/>
              </w:rPr>
              <w:t>箱体顶部设置“生活垃圾分类投放点”广告字牌。</w:t>
            </w:r>
          </w:p>
          <w:p>
            <w:pPr>
              <w:pStyle w:val="2"/>
              <w:spacing w:line="360" w:lineRule="auto"/>
            </w:pPr>
            <w:r>
              <w:rPr>
                <w:rFonts w:hint="eastAsia"/>
                <w:sz w:val="24"/>
                <w:szCs w:val="24"/>
              </w:rPr>
              <w:t>（6）</w:t>
            </w:r>
            <w:r>
              <w:rPr>
                <w:sz w:val="24"/>
                <w:szCs w:val="24"/>
              </w:rPr>
              <w:t>表面工艺：高温静电喷塑，丝印分类标识，采用户外防紫外线丝网印刷技术，抗紫外线、耐磨、色彩艳丽，不变色、不脱落。</w:t>
            </w:r>
          </w:p>
        </w:tc>
      </w:tr>
    </w:tbl>
    <w:p>
      <w:pPr>
        <w:pStyle w:val="3"/>
        <w:ind w:firstLine="280"/>
        <w:rPr>
          <w:rFonts w:ascii="宋体" w:hAnsi="宋体"/>
          <w:color w:val="000000" w:themeColor="text1"/>
          <w:sz w:val="28"/>
          <w:szCs w:val="28"/>
        </w:rPr>
      </w:pPr>
      <w:bookmarkStart w:id="402" w:name="_Toc513796936"/>
      <w:r>
        <w:rPr>
          <w:rFonts w:hint="eastAsia" w:ascii="宋体" w:hAnsi="宋体"/>
          <w:color w:val="000000" w:themeColor="text1"/>
          <w:sz w:val="28"/>
          <w:szCs w:val="28"/>
        </w:rPr>
        <w:t xml:space="preserve"> </w:t>
      </w:r>
    </w:p>
    <w:p>
      <w:pPr>
        <w:pStyle w:val="2"/>
      </w:pPr>
    </w:p>
    <w:p>
      <w:pPr>
        <w:pStyle w:val="2"/>
      </w:pPr>
    </w:p>
    <w:p/>
    <w:p>
      <w:pPr>
        <w:pStyle w:val="2"/>
      </w:pPr>
    </w:p>
    <w:p/>
    <w:p>
      <w:pPr>
        <w:pStyle w:val="2"/>
      </w:pPr>
    </w:p>
    <w:p/>
    <w:p>
      <w:pPr>
        <w:pStyle w:val="2"/>
      </w:pPr>
    </w:p>
    <w:p/>
    <w:p>
      <w:pPr>
        <w:pStyle w:val="2"/>
      </w:pPr>
    </w:p>
    <w:p/>
    <w:p>
      <w:pPr>
        <w:pStyle w:val="2"/>
      </w:pPr>
      <w:r>
        <w:rPr>
          <w:rFonts w:hint="eastAsia" w:ascii="黑体" w:hAnsi="黑体" w:eastAsia="黑体" w:cs="黑体"/>
          <w:b/>
          <w:bCs/>
          <w:color w:val="000000"/>
          <w:sz w:val="32"/>
          <w:szCs w:val="32"/>
        </w:rPr>
        <w:drawing>
          <wp:inline distT="0" distB="0" distL="114300" distR="114300">
            <wp:extent cx="4169410" cy="2169795"/>
            <wp:effectExtent l="0" t="0" r="2540" b="1905"/>
            <wp:docPr id="22" name="图片 22" descr="ef56485cb844616e9e7f5630d028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f56485cb844616e9e7f5630d028bfa"/>
                    <pic:cNvPicPr>
                      <a:picLocks noChangeAspect="1"/>
                    </pic:cNvPicPr>
                  </pic:nvPicPr>
                  <pic:blipFill>
                    <a:blip r:embed="rId10" cstate="print"/>
                    <a:srcRect l="17087" t="15721" r="9709" b="9660"/>
                    <a:stretch>
                      <a:fillRect/>
                    </a:stretch>
                  </pic:blipFill>
                  <pic:spPr>
                    <a:xfrm>
                      <a:off x="0" y="0"/>
                      <a:ext cx="4169410" cy="2169795"/>
                    </a:xfrm>
                    <a:prstGeom prst="rect">
                      <a:avLst/>
                    </a:prstGeom>
                  </pic:spPr>
                </pic:pic>
              </a:graphicData>
            </a:graphic>
          </wp:inline>
        </w:drawing>
      </w:r>
    </w:p>
    <w:p>
      <w:pPr>
        <w:pStyle w:val="2"/>
      </w:pPr>
    </w:p>
    <w:p/>
    <w:p>
      <w:pPr>
        <w:pStyle w:val="2"/>
      </w:pPr>
      <w:r>
        <w:rPr>
          <w:rFonts w:hint="eastAsia" w:ascii="黑体" w:hAnsi="黑体" w:eastAsia="黑体" w:cs="黑体"/>
          <w:b/>
          <w:bCs/>
          <w:color w:val="000000"/>
          <w:sz w:val="32"/>
          <w:szCs w:val="32"/>
        </w:rPr>
        <w:drawing>
          <wp:inline distT="0" distB="0" distL="114300" distR="114300">
            <wp:extent cx="4018915" cy="2346960"/>
            <wp:effectExtent l="0" t="0" r="635" b="15875"/>
            <wp:docPr id="23" name="图片 23" descr="c6bf37bde6e82d21e4512835cf3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6bf37bde6e82d21e4512835cf30889"/>
                    <pic:cNvPicPr>
                      <a:picLocks noChangeAspect="1"/>
                    </pic:cNvPicPr>
                  </pic:nvPicPr>
                  <pic:blipFill>
                    <a:blip r:embed="rId11" cstate="print"/>
                    <a:srcRect l="18694" t="10294" r="8599" b="14279"/>
                    <a:stretch>
                      <a:fillRect/>
                    </a:stretch>
                  </pic:blipFill>
                  <pic:spPr>
                    <a:xfrm>
                      <a:off x="0" y="0"/>
                      <a:ext cx="4018915" cy="2346960"/>
                    </a:xfrm>
                    <a:prstGeom prst="rect">
                      <a:avLst/>
                    </a:prstGeom>
                  </pic:spPr>
                </pic:pic>
              </a:graphicData>
            </a:graphic>
          </wp:inline>
        </w:drawing>
      </w:r>
    </w:p>
    <w:p/>
    <w:p/>
    <w:p>
      <w:pPr>
        <w:pStyle w:val="2"/>
      </w:pPr>
    </w:p>
    <w:p/>
    <w:p>
      <w:pPr>
        <w:pStyle w:val="2"/>
      </w:pPr>
      <w:r>
        <w:rPr>
          <w:rFonts w:hint="eastAsia"/>
        </w:rPr>
        <w:drawing>
          <wp:anchor distT="0" distB="0" distL="114300" distR="114300" simplePos="0" relativeHeight="251659264" behindDoc="0" locked="0" layoutInCell="1" allowOverlap="1">
            <wp:simplePos x="0" y="0"/>
            <wp:positionH relativeFrom="column">
              <wp:posOffset>381635</wp:posOffset>
            </wp:positionH>
            <wp:positionV relativeFrom="page">
              <wp:posOffset>7038975</wp:posOffset>
            </wp:positionV>
            <wp:extent cx="5138420" cy="2660015"/>
            <wp:effectExtent l="0" t="0" r="5080" b="6985"/>
            <wp:wrapNone/>
            <wp:docPr id="20" name="图片 20" descr="fd14b242285db8adc6361e326451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d14b242285db8adc6361e326451fbb"/>
                    <pic:cNvPicPr>
                      <a:picLocks noChangeAspect="1"/>
                    </pic:cNvPicPr>
                  </pic:nvPicPr>
                  <pic:blipFill>
                    <a:blip r:embed="rId12" cstate="print"/>
                    <a:stretch>
                      <a:fillRect/>
                    </a:stretch>
                  </pic:blipFill>
                  <pic:spPr>
                    <a:xfrm>
                      <a:off x="0" y="0"/>
                      <a:ext cx="5138420" cy="2660015"/>
                    </a:xfrm>
                    <a:prstGeom prst="rect">
                      <a:avLst/>
                    </a:prstGeom>
                  </pic:spPr>
                </pic:pic>
              </a:graphicData>
            </a:graphic>
          </wp:anchor>
        </w:drawing>
      </w:r>
    </w:p>
    <w:p/>
    <w:p>
      <w:pPr>
        <w:pStyle w:val="2"/>
      </w:pPr>
    </w:p>
    <w:p>
      <w:pPr>
        <w:pStyle w:val="3"/>
        <w:ind w:firstLine="180"/>
      </w:pPr>
    </w:p>
    <w:p>
      <w:pPr>
        <w:pStyle w:val="3"/>
        <w:ind w:firstLine="180"/>
      </w:pPr>
    </w:p>
    <w:p>
      <w:pPr>
        <w:pStyle w:val="3"/>
        <w:ind w:firstLine="180"/>
      </w:pPr>
    </w:p>
    <w:p>
      <w:pPr>
        <w:pStyle w:val="3"/>
        <w:ind w:firstLine="180"/>
      </w:pPr>
    </w:p>
    <w:p>
      <w:pPr>
        <w:pStyle w:val="3"/>
        <w:ind w:firstLine="180"/>
      </w:pPr>
    </w:p>
    <w:p>
      <w:pPr>
        <w:pStyle w:val="2"/>
      </w:pPr>
    </w:p>
    <w:p>
      <w:pPr>
        <w:pStyle w:val="5"/>
        <w:numPr>
          <w:ilvl w:val="1"/>
          <w:numId w:val="4"/>
        </w:numPr>
        <w:tabs>
          <w:tab w:val="left" w:pos="0"/>
          <w:tab w:val="left" w:pos="426"/>
          <w:tab w:val="left" w:pos="576"/>
          <w:tab w:val="left" w:pos="786"/>
        </w:tabs>
        <w:spacing w:before="0" w:after="0" w:line="520" w:lineRule="exact"/>
        <w:ind w:left="0" w:firstLine="0"/>
        <w:jc w:val="both"/>
        <w:rPr>
          <w:color w:val="000000" w:themeColor="text1"/>
        </w:rPr>
      </w:pPr>
      <w:bookmarkStart w:id="403" w:name="_Toc21849"/>
      <w:r>
        <w:rPr>
          <w:rFonts w:hint="eastAsia"/>
          <w:color w:val="000000" w:themeColor="text1"/>
        </w:rPr>
        <w:t>、样品要求</w:t>
      </w:r>
      <w:bookmarkEnd w:id="403"/>
    </w:p>
    <w:p>
      <w:pPr>
        <w:rPr>
          <w:rFonts w:ascii="宋体" w:hAnsi="宋体"/>
          <w:color w:val="000000" w:themeColor="text1"/>
          <w:sz w:val="28"/>
          <w:szCs w:val="28"/>
        </w:rPr>
      </w:pPr>
      <w:r>
        <w:rPr>
          <w:rFonts w:hint="eastAsia" w:ascii="宋体" w:hAnsi="宋体"/>
          <w:color w:val="000000" w:themeColor="text1"/>
          <w:sz w:val="28"/>
          <w:szCs w:val="28"/>
        </w:rPr>
        <w:t>6.3.1 送样品目和数量：</w:t>
      </w:r>
    </w:p>
    <w:p>
      <w:pPr>
        <w:ind w:firstLine="280" w:firstLineChars="100"/>
        <w:rPr>
          <w:rFonts w:ascii="宋体" w:hAnsi="宋体"/>
          <w:color w:val="000000" w:themeColor="text1"/>
          <w:sz w:val="28"/>
          <w:szCs w:val="28"/>
        </w:rPr>
      </w:pPr>
      <w:r>
        <w:rPr>
          <w:rFonts w:hint="eastAsia" w:ascii="宋体" w:hAnsi="宋体"/>
          <w:color w:val="000000" w:themeColor="text1"/>
          <w:sz w:val="28"/>
          <w:szCs w:val="28"/>
        </w:rPr>
        <w:t>1.不锈钢板</w:t>
      </w:r>
      <w:r>
        <w:rPr>
          <w:rFonts w:hint="eastAsia" w:ascii="宋体" w:hAnsi="宋体"/>
          <w:color w:val="000000" w:themeColor="text1"/>
          <w:sz w:val="28"/>
          <w:szCs w:val="28"/>
        </w:rPr>
        <w:tab/>
      </w:r>
      <w:r>
        <w:rPr>
          <w:rFonts w:hint="eastAsia" w:ascii="宋体" w:hAnsi="宋体"/>
          <w:color w:val="000000" w:themeColor="text1"/>
          <w:sz w:val="28"/>
          <w:szCs w:val="28"/>
        </w:rPr>
        <w:t>1块</w:t>
      </w:r>
    </w:p>
    <w:p>
      <w:pPr>
        <w:ind w:firstLine="280" w:firstLineChars="100"/>
        <w:rPr>
          <w:rFonts w:ascii="宋体" w:hAnsi="宋体"/>
          <w:color w:val="000000" w:themeColor="text1"/>
          <w:sz w:val="28"/>
          <w:szCs w:val="28"/>
        </w:rPr>
      </w:pPr>
      <w:r>
        <w:rPr>
          <w:rFonts w:hint="eastAsia" w:ascii="宋体" w:hAnsi="宋体"/>
          <w:color w:val="000000" w:themeColor="text1"/>
          <w:sz w:val="28"/>
          <w:szCs w:val="28"/>
        </w:rPr>
        <w:t>2.PVC   1块</w:t>
      </w:r>
    </w:p>
    <w:p>
      <w:pPr>
        <w:rPr>
          <w:rFonts w:ascii="宋体" w:hAnsi="宋体"/>
          <w:color w:val="000000" w:themeColor="text1"/>
          <w:sz w:val="28"/>
          <w:szCs w:val="28"/>
        </w:rPr>
      </w:pPr>
      <w:r>
        <w:rPr>
          <w:rFonts w:hint="eastAsia" w:ascii="宋体" w:hAnsi="宋体"/>
          <w:color w:val="000000" w:themeColor="text1"/>
          <w:sz w:val="28"/>
          <w:szCs w:val="28"/>
        </w:rPr>
        <w:t xml:space="preserve">6.3.2 送样时间:投标人应在开标当日开标截至时间前将样品送至送样地点。 </w:t>
      </w:r>
    </w:p>
    <w:p>
      <w:pPr>
        <w:rPr>
          <w:rFonts w:ascii="宋体" w:hAnsi="宋体"/>
          <w:color w:val="000000" w:themeColor="text1"/>
          <w:sz w:val="28"/>
          <w:szCs w:val="28"/>
        </w:rPr>
      </w:pPr>
      <w:r>
        <w:rPr>
          <w:rFonts w:hint="eastAsia" w:ascii="宋体" w:hAnsi="宋体"/>
          <w:color w:val="000000" w:themeColor="text1"/>
          <w:sz w:val="28"/>
          <w:szCs w:val="28"/>
        </w:rPr>
        <w:t>6.3.3 送样地点</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送样地点：成都市龙泉驿区桃都大道吾悦广场写字楼2008室（成都云辉工程项目管理有限公司） </w:t>
      </w:r>
    </w:p>
    <w:p>
      <w:pPr>
        <w:rPr>
          <w:rFonts w:ascii="宋体" w:hAnsi="宋体"/>
          <w:color w:val="000000" w:themeColor="text1"/>
          <w:sz w:val="28"/>
          <w:szCs w:val="28"/>
        </w:rPr>
      </w:pPr>
      <w:r>
        <w:rPr>
          <w:rFonts w:hint="eastAsia" w:ascii="宋体" w:hAnsi="宋体"/>
          <w:color w:val="000000" w:themeColor="text1"/>
          <w:sz w:val="28"/>
          <w:szCs w:val="28"/>
        </w:rPr>
        <w:t>6.3.4 样品的接收、保管、编号和退还</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1.样品由专人负责统一接收、保管、编号和退还。</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2.所有供应商提供的样品将在评审结束后由采购人进行封存。 </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3.样品退还:未中标的供应商提供的样品，应在采购项目中标结果公示后及时到采购代理机构处领取；中标供应商的样品应在合同履行并验收完毕后到采购人处领取。</w:t>
      </w:r>
    </w:p>
    <w:p>
      <w:pPr>
        <w:rPr>
          <w:rFonts w:ascii="宋体" w:hAnsi="宋体"/>
          <w:color w:val="000000" w:themeColor="text1"/>
          <w:sz w:val="28"/>
          <w:szCs w:val="28"/>
        </w:rPr>
      </w:pPr>
      <w:r>
        <w:rPr>
          <w:rFonts w:hint="eastAsia" w:ascii="宋体" w:hAnsi="宋体"/>
          <w:color w:val="000000" w:themeColor="text1"/>
          <w:sz w:val="28"/>
          <w:szCs w:val="28"/>
        </w:rPr>
        <w:t>6.3.5 其他</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1.样品不能有供应商的标识，如有供应商标识，则样品不参与样品评审，对应 样品评审项得分为 0 分。</w:t>
      </w:r>
    </w:p>
    <w:p>
      <w:pPr>
        <w:ind w:firstLine="560" w:firstLineChars="200"/>
        <w:rPr>
          <w:rFonts w:ascii="宋体" w:hAnsi="宋体"/>
          <w:color w:val="000000" w:themeColor="text1"/>
          <w:sz w:val="28"/>
          <w:szCs w:val="28"/>
        </w:rPr>
      </w:pPr>
      <w:r>
        <w:rPr>
          <w:rFonts w:hint="eastAsia" w:ascii="宋体" w:hAnsi="宋体"/>
          <w:color w:val="000000" w:themeColor="text1"/>
          <w:sz w:val="28"/>
          <w:szCs w:val="28"/>
        </w:rPr>
        <w:t>2.样品作为评审打分的依据，未按招标文件要求提供样品的，对应评审项得 0 分，但不影响其投标文件承诺内容的有效性。</w:t>
      </w:r>
    </w:p>
    <w:p>
      <w:pPr>
        <w:ind w:firstLine="560" w:firstLineChars="200"/>
      </w:pPr>
      <w:r>
        <w:rPr>
          <w:rFonts w:hint="eastAsia" w:ascii="宋体" w:hAnsi="宋体"/>
          <w:color w:val="000000" w:themeColor="text1"/>
          <w:sz w:val="28"/>
          <w:szCs w:val="28"/>
        </w:rPr>
        <w:t>3.中标供应商提供的样品将由采购人保管，并作为项目验收依据的一部分。中标供应商最终提供的货物外观质量、制作工艺等不得低于样品的相关标准,且完全满足合同约定对货物的要求和标准。</w:t>
      </w:r>
    </w:p>
    <w:p>
      <w:pPr>
        <w:pStyle w:val="5"/>
        <w:numPr>
          <w:ilvl w:val="1"/>
          <w:numId w:val="4"/>
        </w:numPr>
        <w:tabs>
          <w:tab w:val="left" w:pos="0"/>
          <w:tab w:val="left" w:pos="426"/>
          <w:tab w:val="left" w:pos="576"/>
          <w:tab w:val="left" w:pos="786"/>
        </w:tabs>
        <w:spacing w:before="0" w:after="0" w:line="560" w:lineRule="exact"/>
        <w:ind w:left="0" w:firstLine="0"/>
        <w:jc w:val="both"/>
        <w:rPr>
          <w:color w:val="000000" w:themeColor="text1"/>
        </w:rPr>
      </w:pPr>
      <w:bookmarkStart w:id="404" w:name="_Toc19248"/>
      <w:bookmarkStart w:id="405" w:name="_Toc27442"/>
      <w:bookmarkStart w:id="406" w:name="_Toc9486"/>
      <w:bookmarkStart w:id="407" w:name="_Toc54857463"/>
      <w:bookmarkStart w:id="408" w:name="_Toc24972"/>
      <w:bookmarkStart w:id="409" w:name="_Toc24356563"/>
      <w:bookmarkStart w:id="410" w:name="_Toc4509120"/>
      <w:bookmarkStart w:id="411" w:name="_Toc12170"/>
      <w:r>
        <w:rPr>
          <w:rFonts w:hint="eastAsia"/>
          <w:color w:val="000000" w:themeColor="text1"/>
        </w:rPr>
        <w:t xml:space="preserve"> </w:t>
      </w:r>
      <w:bookmarkStart w:id="412" w:name="_Toc22835"/>
      <w:r>
        <w:rPr>
          <w:rFonts w:hint="eastAsia"/>
          <w:color w:val="000000" w:themeColor="text1"/>
        </w:rPr>
        <w:t>商务要求</w:t>
      </w:r>
      <w:bookmarkEnd w:id="402"/>
      <w:bookmarkEnd w:id="404"/>
      <w:bookmarkEnd w:id="405"/>
      <w:bookmarkEnd w:id="406"/>
      <w:bookmarkEnd w:id="407"/>
      <w:bookmarkEnd w:id="408"/>
      <w:bookmarkEnd w:id="409"/>
      <w:bookmarkEnd w:id="410"/>
      <w:bookmarkEnd w:id="411"/>
      <w:r>
        <w:rPr>
          <w:rFonts w:hint="eastAsia"/>
          <w:color w:val="000000" w:themeColor="text1"/>
        </w:rPr>
        <w:t>（实质性要求）</w:t>
      </w:r>
      <w:bookmarkEnd w:id="412"/>
    </w:p>
    <w:p>
      <w:pPr>
        <w:pStyle w:val="6"/>
        <w:numPr>
          <w:ilvl w:val="2"/>
          <w:numId w:val="4"/>
        </w:numPr>
        <w:spacing w:after="200" w:line="560" w:lineRule="exact"/>
        <w:rPr>
          <w:rFonts w:cs="Times New Roman"/>
          <w:b w:val="0"/>
          <w:bCs w:val="0"/>
          <w:color w:val="auto"/>
          <w:kern w:val="2"/>
        </w:rPr>
      </w:pPr>
      <w:r>
        <w:rPr>
          <w:rFonts w:hint="eastAsia"/>
          <w:color w:val="auto"/>
        </w:rPr>
        <w:t>交货地点：</w:t>
      </w:r>
      <w:r>
        <w:rPr>
          <w:rFonts w:hint="eastAsia" w:cs="Times New Roman"/>
          <w:b w:val="0"/>
          <w:bCs w:val="0"/>
          <w:color w:val="auto"/>
          <w:kern w:val="2"/>
        </w:rPr>
        <w:t>采购人指定地点</w:t>
      </w:r>
    </w:p>
    <w:p>
      <w:pPr>
        <w:pStyle w:val="6"/>
        <w:numPr>
          <w:ilvl w:val="2"/>
          <w:numId w:val="4"/>
        </w:numPr>
        <w:spacing w:after="200" w:line="560" w:lineRule="exact"/>
        <w:rPr>
          <w:rFonts w:cs="Times New Roman"/>
          <w:b w:val="0"/>
          <w:bCs w:val="0"/>
          <w:color w:val="auto"/>
          <w:kern w:val="2"/>
        </w:rPr>
      </w:pPr>
      <w:r>
        <w:rPr>
          <w:rFonts w:hint="eastAsia"/>
          <w:color w:val="auto"/>
        </w:rPr>
        <w:t>交货时间：</w:t>
      </w:r>
      <w:r>
        <w:rPr>
          <w:rFonts w:hint="eastAsia" w:cs="Times New Roman"/>
          <w:b w:val="0"/>
          <w:bCs w:val="0"/>
          <w:color w:val="auto"/>
          <w:kern w:val="2"/>
        </w:rPr>
        <w:t>合同签订后 30 个日历天内完成交付并安装验收合格。</w:t>
      </w:r>
    </w:p>
    <w:p>
      <w:pPr>
        <w:spacing w:line="360" w:lineRule="auto"/>
        <w:rPr>
          <w:rFonts w:ascii="宋体" w:hAnsi="宋体"/>
          <w:sz w:val="28"/>
          <w:szCs w:val="28"/>
        </w:rPr>
      </w:pPr>
      <w:r>
        <w:rPr>
          <w:rFonts w:hint="eastAsia" w:ascii="宋体" w:hAnsi="宋体" w:cs="宋体"/>
          <w:b/>
          <w:bCs/>
          <w:kern w:val="0"/>
          <w:sz w:val="28"/>
          <w:szCs w:val="28"/>
        </w:rPr>
        <w:t>6.4.3 质保期：</w:t>
      </w:r>
      <w:r>
        <w:rPr>
          <w:rFonts w:hint="eastAsia" w:ascii="宋体" w:hAnsi="宋体"/>
          <w:sz w:val="28"/>
          <w:szCs w:val="28"/>
        </w:rPr>
        <w:t>所投产品保质期为验收合格之日起一年。</w:t>
      </w:r>
    </w:p>
    <w:p>
      <w:pPr>
        <w:spacing w:line="360" w:lineRule="auto"/>
        <w:rPr>
          <w:rFonts w:ascii="宋体" w:hAnsi="宋体" w:cs="宋体"/>
          <w:b/>
          <w:bCs/>
          <w:kern w:val="0"/>
          <w:sz w:val="28"/>
          <w:szCs w:val="28"/>
        </w:rPr>
      </w:pPr>
      <w:r>
        <w:rPr>
          <w:rFonts w:hint="eastAsia" w:ascii="宋体" w:hAnsi="宋体" w:cs="宋体"/>
          <w:b/>
          <w:bCs/>
          <w:kern w:val="0"/>
          <w:sz w:val="28"/>
          <w:szCs w:val="28"/>
        </w:rPr>
        <w:t>6.4.4售后服务：</w:t>
      </w:r>
    </w:p>
    <w:p>
      <w:pPr>
        <w:spacing w:line="360" w:lineRule="auto"/>
        <w:ind w:firstLine="280" w:firstLineChars="100"/>
        <w:rPr>
          <w:rFonts w:ascii="宋体" w:hAnsi="宋体"/>
          <w:color w:val="000000" w:themeColor="text1"/>
          <w:sz w:val="28"/>
          <w:szCs w:val="28"/>
        </w:rPr>
      </w:pPr>
      <w:r>
        <w:rPr>
          <w:rFonts w:hint="eastAsia" w:ascii="宋体" w:hAnsi="宋体"/>
          <w:color w:val="000000" w:themeColor="text1"/>
          <w:sz w:val="28"/>
          <w:szCs w:val="28"/>
        </w:rPr>
        <w:t>1.中标供应商应对所提供的产品在质保期内定期维护检修，如出现破损，坏掉等问题应在48小时内</w:t>
      </w:r>
      <w:r>
        <w:rPr>
          <w:rFonts w:hint="eastAsia" w:ascii="宋体" w:hAnsi="宋体"/>
          <w:sz w:val="28"/>
          <w:szCs w:val="28"/>
        </w:rPr>
        <w:t>免费负责</w:t>
      </w:r>
      <w:r>
        <w:rPr>
          <w:rFonts w:hint="eastAsia" w:ascii="宋体" w:hAnsi="宋体"/>
          <w:color w:val="000000" w:themeColor="text1"/>
          <w:sz w:val="28"/>
          <w:szCs w:val="28"/>
        </w:rPr>
        <w:t>修复，如情况复杂不能按时修复，应该及时通知采购人，并在采购人规定的时间内修复，如逾期未修复按相关法律追究中标供应商的违约责任。</w:t>
      </w:r>
    </w:p>
    <w:p>
      <w:pPr>
        <w:pStyle w:val="2"/>
      </w:pPr>
      <w:r>
        <w:rPr>
          <w:rFonts w:hint="eastAsia" w:ascii="宋体" w:hAnsi="宋体"/>
          <w:color w:val="000000" w:themeColor="text1"/>
          <w:sz w:val="28"/>
          <w:szCs w:val="28"/>
        </w:rPr>
        <w:t xml:space="preserve">   2.产品质保期内，中标供应商需按采购人要求及时更新宣传画的内容，并在在接到采购人通知后48小时内做出响应。</w:t>
      </w:r>
    </w:p>
    <w:p>
      <w:pPr>
        <w:pStyle w:val="6"/>
        <w:numPr>
          <w:ilvl w:val="2"/>
          <w:numId w:val="0"/>
        </w:numPr>
        <w:spacing w:after="200" w:line="560" w:lineRule="exact"/>
        <w:rPr>
          <w:color w:val="auto"/>
        </w:rPr>
      </w:pPr>
      <w:r>
        <w:rPr>
          <w:rFonts w:hint="eastAsia"/>
          <w:color w:val="auto"/>
        </w:rPr>
        <w:t>6.4.5 考核标准及办法：</w:t>
      </w:r>
      <w:r>
        <w:rPr>
          <w:rFonts w:hint="eastAsia" w:cs="Times New Roman"/>
          <w:b w:val="0"/>
          <w:bCs w:val="0"/>
          <w:color w:val="auto"/>
          <w:kern w:val="2"/>
        </w:rPr>
        <w:t>由采购人根据招标文件要求及投标人投标文件的技术标准验收。</w:t>
      </w:r>
    </w:p>
    <w:p>
      <w:pPr>
        <w:widowControl/>
        <w:spacing w:line="360" w:lineRule="auto"/>
        <w:rPr>
          <w:rFonts w:ascii="宋体" w:hAnsi="宋体"/>
          <w:sz w:val="28"/>
          <w:szCs w:val="28"/>
        </w:rPr>
      </w:pPr>
      <w:r>
        <w:rPr>
          <w:rFonts w:hint="eastAsia" w:ascii="宋体" w:hAnsi="宋体" w:cs="宋体"/>
          <w:b/>
          <w:bCs/>
          <w:kern w:val="0"/>
          <w:sz w:val="28"/>
          <w:szCs w:val="28"/>
        </w:rPr>
        <w:t>6.4.6 付款方式：</w:t>
      </w:r>
      <w:r>
        <w:rPr>
          <w:rFonts w:hint="eastAsia" w:ascii="宋体" w:hAnsi="宋体"/>
          <w:sz w:val="28"/>
          <w:szCs w:val="28"/>
        </w:rPr>
        <w:t>合同签订生效后，甲方收到乙方出具的票据凭证等相关资料，并在规定时间内完成相关资金支付审签程序后支付乙方合同总金额30%的预付货款；全部货物验收合格后，甲方收到乙方出具的票据凭证等相关资料，并完成相关资金支付审签程序后支付乙方合同总金额70%的货款；乙方须向甲方出具合法有效完整的完税发票及凭证资料进行支付结算</w:t>
      </w:r>
    </w:p>
    <w:p>
      <w:pPr>
        <w:widowControl/>
        <w:spacing w:line="360" w:lineRule="auto"/>
        <w:rPr>
          <w:rFonts w:ascii="宋体" w:hAnsi="宋体" w:cs="宋体"/>
          <w:b/>
          <w:bCs/>
          <w:kern w:val="0"/>
          <w:sz w:val="28"/>
          <w:szCs w:val="28"/>
        </w:rPr>
      </w:pPr>
      <w:r>
        <w:rPr>
          <w:rFonts w:hint="eastAsia" w:ascii="宋体" w:hAnsi="宋体" w:cs="宋体"/>
          <w:b/>
          <w:bCs/>
          <w:kern w:val="0"/>
          <w:sz w:val="28"/>
          <w:szCs w:val="28"/>
        </w:rPr>
        <w:t>6.4.7 其他要求</w:t>
      </w:r>
    </w:p>
    <w:p>
      <w:pPr>
        <w:widowControl/>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验收要求：参照《财政部关于进一步加强政府采购需求和履约验收管理的指导意见》（财库〔2016〕205 号）要求进行验收，验收标准以采购文件、合同文件和供应商的响应文件为标准。</w:t>
      </w:r>
    </w:p>
    <w:p>
      <w:pPr>
        <w:pStyle w:val="6"/>
        <w:numPr>
          <w:ilvl w:val="2"/>
          <w:numId w:val="0"/>
        </w:numPr>
        <w:spacing w:after="200" w:line="560" w:lineRule="exact"/>
        <w:rPr>
          <w:color w:val="000000" w:themeColor="text1"/>
        </w:rPr>
      </w:pPr>
      <w:r>
        <w:rPr>
          <w:rFonts w:hint="eastAsia"/>
          <w:color w:val="000000" w:themeColor="text1"/>
        </w:rPr>
        <w:t>6.4.8 报价要求</w:t>
      </w:r>
    </w:p>
    <w:p>
      <w:pPr>
        <w:pStyle w:val="7"/>
        <w:numPr>
          <w:ilvl w:val="3"/>
          <w:numId w:val="0"/>
        </w:numPr>
        <w:spacing w:line="560" w:lineRule="exact"/>
        <w:rPr>
          <w:rFonts w:ascii="宋体" w:hAnsi="宋体"/>
          <w:color w:val="000000" w:themeColor="text1"/>
        </w:rPr>
      </w:pPr>
      <w:r>
        <w:rPr>
          <w:rFonts w:hint="eastAsia" w:ascii="宋体" w:hAnsi="宋体"/>
          <w:color w:val="000000" w:themeColor="text1"/>
        </w:rPr>
        <w:t>6.4.8.1 最高限价</w:t>
      </w:r>
    </w:p>
    <w:p>
      <w:pPr>
        <w:pStyle w:val="84"/>
        <w:tabs>
          <w:tab w:val="left" w:pos="993"/>
          <w:tab w:val="left" w:pos="1134"/>
        </w:tabs>
        <w:spacing w:line="560" w:lineRule="exact"/>
        <w:ind w:firstLine="565" w:firstLineChars="201"/>
        <w:rPr>
          <w:rFonts w:ascii="宋体" w:hAnsi="宋体" w:eastAsia="宋体"/>
          <w:b/>
          <w:color w:val="000000" w:themeColor="text1"/>
          <w:sz w:val="28"/>
          <w:szCs w:val="28"/>
        </w:rPr>
      </w:pPr>
      <w:r>
        <w:rPr>
          <w:rFonts w:hint="eastAsia" w:ascii="宋体" w:hAnsi="宋体" w:eastAsia="宋体"/>
          <w:b/>
          <w:color w:val="000000" w:themeColor="text1"/>
          <w:sz w:val="28"/>
          <w:szCs w:val="28"/>
        </w:rPr>
        <w:t>★本项目最高限价为人民币800万元，投标人投标报价高于最高限价的，则其投标文件将按无效投标文件处理。所有报价均用人民币表示，所报价格是交货地的验收价格，其总价即为履行合同的固定价格。运输、安装、调试、检验、售后、税金和保险等费用、采购代理服务费以及采购文件规定的其他费用均应包含在报价中；进口货物请列明含关税、进口环节税的报价和不含关税、进口环节税的报价。</w:t>
      </w:r>
    </w:p>
    <w:p>
      <w:pPr>
        <w:pStyle w:val="7"/>
        <w:numPr>
          <w:ilvl w:val="3"/>
          <w:numId w:val="0"/>
        </w:numPr>
        <w:spacing w:line="560" w:lineRule="exact"/>
        <w:rPr>
          <w:rFonts w:ascii="宋体" w:hAnsi="宋体"/>
          <w:color w:val="000000" w:themeColor="text1"/>
        </w:rPr>
      </w:pPr>
      <w:r>
        <w:rPr>
          <w:rFonts w:hint="eastAsia" w:ascii="宋体" w:hAnsi="宋体"/>
          <w:color w:val="000000" w:themeColor="text1"/>
        </w:rPr>
        <w:t>6.4.8.</w:t>
      </w:r>
      <w:r>
        <w:rPr>
          <w:rFonts w:hint="eastAsia" w:ascii="宋体" w:hAnsi="宋体"/>
          <w:color w:val="000000" w:themeColor="text1"/>
          <w:lang w:val="en-US" w:eastAsia="zh-CN"/>
        </w:rPr>
        <w:t>2</w:t>
      </w:r>
      <w:r>
        <w:rPr>
          <w:rFonts w:hint="eastAsia" w:ascii="宋体" w:hAnsi="宋体"/>
          <w:color w:val="000000" w:themeColor="text1"/>
        </w:rPr>
        <w:t xml:space="preserve"> 其他要求</w:t>
      </w: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rPr>
      </w:pPr>
      <w:r>
        <w:rPr>
          <w:rFonts w:hint="eastAsia" w:ascii="宋体" w:hAnsi="宋体" w:eastAsia="宋体"/>
          <w:b/>
          <w:color w:val="000000" w:themeColor="text1"/>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rPr>
      </w:pP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rPr>
      </w:pPr>
    </w:p>
    <w:bookmarkEnd w:id="382"/>
    <w:bookmarkEnd w:id="383"/>
    <w:bookmarkEnd w:id="384"/>
    <w:bookmarkEnd w:id="385"/>
    <w:bookmarkEnd w:id="386"/>
    <w:p>
      <w:pPr>
        <w:pStyle w:val="4"/>
        <w:numPr>
          <w:ilvl w:val="0"/>
          <w:numId w:val="4"/>
        </w:numPr>
        <w:spacing w:before="0" w:after="0" w:line="360" w:lineRule="auto"/>
        <w:ind w:left="0" w:firstLine="0"/>
        <w:rPr>
          <w:color w:val="000000" w:themeColor="text1"/>
        </w:rPr>
      </w:pPr>
      <w:bookmarkStart w:id="413" w:name="_Toc30609"/>
      <w:bookmarkStart w:id="414" w:name="_Toc7093"/>
      <w:bookmarkStart w:id="415" w:name="_Toc10524"/>
      <w:bookmarkStart w:id="416" w:name="_Toc7800"/>
      <w:bookmarkStart w:id="417" w:name="_Toc1676"/>
      <w:r>
        <w:rPr>
          <w:rFonts w:hint="eastAsia"/>
          <w:color w:val="000000" w:themeColor="text1"/>
        </w:rPr>
        <w:t>资格性审查</w:t>
      </w:r>
      <w:bookmarkEnd w:id="413"/>
      <w:bookmarkEnd w:id="414"/>
      <w:bookmarkEnd w:id="415"/>
      <w:bookmarkEnd w:id="416"/>
      <w:bookmarkEnd w:id="417"/>
    </w:p>
    <w:p>
      <w:pPr>
        <w:tabs>
          <w:tab w:val="left" w:pos="851"/>
        </w:tabs>
        <w:spacing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资格性审查时因断电、断网、系统故障或其他不可抗力等因素，导致资格审查小组无法通过系统阅读投标文件进行审查的，待系统恢复后继续审查。出现上述情况时，成都云辉工程项目管理有限公司将以电子邮件形式通知各投标人。资格性审查标准见下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413"/>
        <w:gridCol w:w="5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rPr>
            </w:pPr>
            <w:r>
              <w:rPr>
                <w:b/>
                <w:color w:val="000000" w:themeColor="text1"/>
                <w:sz w:val="20"/>
              </w:rPr>
              <w:t>资格性审查项</w:t>
            </w:r>
          </w:p>
        </w:tc>
        <w:tc>
          <w:tcPr>
            <w:tcW w:w="54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rPr>
            </w:pPr>
            <w:r>
              <w:rPr>
                <w:b/>
                <w:color w:val="000000" w:themeColor="text1"/>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1</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rPr>
            </w:pPr>
            <w:r>
              <w:rPr>
                <w:rFonts w:hint="eastAsia" w:hAnsi="宋体" w:cs="仿宋"/>
                <w:sz w:val="24"/>
              </w:rPr>
              <w:t>具有独立承担民事责任的能力。</w:t>
            </w:r>
          </w:p>
        </w:tc>
        <w:tc>
          <w:tcPr>
            <w:tcW w:w="54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rPr>
            </w:pPr>
            <w:r>
              <w:rPr>
                <w:rFonts w:hint="eastAsia" w:hAnsi="宋体" w:cs="仿宋"/>
                <w:sz w:val="24"/>
              </w:rPr>
              <w:t>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2</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具备良好商业信誉的证明材料</w:t>
            </w:r>
          </w:p>
        </w:tc>
        <w:tc>
          <w:tcPr>
            <w:tcW w:w="54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3</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具备健全的财务会计制度的证明材料。</w:t>
            </w:r>
          </w:p>
        </w:tc>
        <w:tc>
          <w:tcPr>
            <w:tcW w:w="54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①可提供2019年度或2020年度经审计的财务审计报告复印件（财务审计报告应包含报告及报告中所附的完整内容，同时应提供审计单位有效的营业执照、执业证书及审计人员有效的注册会计师证书），②也可提供2019年度或2020年度投标人内部的财务报表复印件（至少包含资产负债表和利润表），③也可提供截至投标文件递交截止日一年内银行出具的资信证明（复印件），④投标人注册时间截至投标文件递交截止日不足一年的，也可提供在工商备案的公司章程（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4</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具有依法缴纳税收和社会保障资金的良好记录</w:t>
            </w:r>
          </w:p>
        </w:tc>
        <w:tc>
          <w:tcPr>
            <w:tcW w:w="54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①可提供2020年以来任意3个月依法缴纳税收、社保证明；②也可提供承诺函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5</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具备履行合同所必需的设备和专业技术能力的证明材料</w:t>
            </w:r>
          </w:p>
        </w:tc>
        <w:tc>
          <w:tcPr>
            <w:tcW w:w="54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6</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参加政府采购活动前3年内在经营活动中没有重大违法记录</w:t>
            </w:r>
          </w:p>
        </w:tc>
        <w:tc>
          <w:tcPr>
            <w:tcW w:w="54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hAnsi="宋体" w:eastAsia="宋体" w:cs="仿宋"/>
                <w:sz w:val="24"/>
                <w:lang w:val="en-US" w:eastAsia="zh-CN"/>
              </w:rPr>
            </w:pPr>
            <w:r>
              <w:rPr>
                <w:rFonts w:hint="eastAsia" w:hAnsi="宋体" w:cs="仿宋"/>
                <w:sz w:val="24"/>
                <w:lang w:val="en-US" w:eastAsia="zh-CN"/>
              </w:rPr>
              <w:t>7</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具备法律、行政法规规定的其他条件的证明材料</w:t>
            </w:r>
          </w:p>
        </w:tc>
        <w:tc>
          <w:tcPr>
            <w:tcW w:w="5422" w:type="dxa"/>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 w:val="24"/>
              </w:rPr>
            </w:pPr>
            <w:r>
              <w:rPr>
                <w:rFonts w:hint="eastAsia"/>
                <w:sz w:val="24"/>
              </w:rPr>
              <w:t>（1）提供投标人及其现任法定代表人、主要负责人在参加本项目政府采购活动前三年无行贿犯罪记录的承诺函；</w:t>
            </w:r>
          </w:p>
          <w:p>
            <w:pPr>
              <w:pStyle w:val="152"/>
              <w:ind w:firstLine="0" w:firstLineChars="0"/>
              <w:rPr>
                <w:sz w:val="24"/>
              </w:rPr>
            </w:pPr>
            <w:r>
              <w:rPr>
                <w:rFonts w:hint="eastAsia"/>
                <w:sz w:val="24"/>
              </w:rPr>
              <w:t>（2）提供投标人须提供“截至</w:t>
            </w:r>
            <w:r>
              <w:rPr>
                <w:rFonts w:hint="eastAsia"/>
                <w:sz w:val="24"/>
                <w:lang w:eastAsia="zh-CN"/>
              </w:rPr>
              <w:t>投标</w:t>
            </w:r>
            <w:r>
              <w:rPr>
                <w:rFonts w:hint="eastAsia"/>
                <w:sz w:val="24"/>
              </w:rPr>
              <w:t>截止日未被列入失信被执行人、重大税收违法案件当事人名单、政府采购严重违法失信行为记录名单的承诺函”；</w:t>
            </w:r>
          </w:p>
          <w:p>
            <w:pPr>
              <w:pStyle w:val="152"/>
              <w:ind w:firstLine="0" w:firstLineChars="0"/>
              <w:rPr>
                <w:sz w:val="24"/>
              </w:rPr>
            </w:pPr>
            <w:r>
              <w:rPr>
                <w:rFonts w:hint="eastAsia"/>
                <w:sz w:val="24"/>
              </w:rPr>
              <w:t>（3）提供参加本次招标采购活动，不存在与单位负责人为同一人或者存在直接控股、管理关系的其他供应商参与同一合同项下的政府采购活动的行为的承诺函；</w:t>
            </w:r>
          </w:p>
          <w:p>
            <w:pPr>
              <w:pStyle w:val="152"/>
              <w:ind w:firstLine="0" w:firstLineChars="0"/>
              <w:rPr>
                <w:sz w:val="24"/>
              </w:rPr>
            </w:pPr>
            <w:r>
              <w:rPr>
                <w:rFonts w:hint="eastAsia"/>
                <w:sz w:val="24"/>
              </w:rPr>
              <w:t>（4）提供参加本次招标采购活动，不存在和其他供应商在同一合同项下的采购项目中，同时委托同一个自然人、同一家庭的人员、同一单位的人员作为代理人的行为的承诺函；</w:t>
            </w:r>
          </w:p>
          <w:p>
            <w:pPr>
              <w:pStyle w:val="152"/>
              <w:ind w:firstLine="0" w:firstLineChars="0"/>
              <w:rPr>
                <w:sz w:val="24"/>
              </w:rPr>
            </w:pPr>
            <w:r>
              <w:rPr>
                <w:rFonts w:hint="eastAsia"/>
                <w:sz w:val="24"/>
              </w:rPr>
              <w:t>（5）提供参加本次采购活动，未对本次采购项目提供过整体设计、规范编制或者项目管理、监理、检测等服务的承诺函。</w:t>
            </w:r>
          </w:p>
          <w:p>
            <w:pPr>
              <w:pStyle w:val="152"/>
              <w:ind w:firstLine="0" w:firstLineChars="0"/>
              <w:rPr>
                <w:rFonts w:hAnsi="宋体" w:cs="仿宋"/>
                <w:sz w:val="24"/>
              </w:rPr>
            </w:pPr>
            <w:r>
              <w:rPr>
                <w:rFonts w:hint="eastAsia"/>
                <w:sz w:val="24"/>
              </w:rPr>
              <w:t>（6）提供投标人对是否存在受到财政部门或有关部门认定的失信行为（有效期内）以及认定次数进行承诺的承诺函。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hAnsi="宋体" w:eastAsia="宋体" w:cs="仿宋"/>
                <w:sz w:val="24"/>
                <w:lang w:val="en-US" w:eastAsia="zh-CN"/>
              </w:rPr>
            </w:pPr>
            <w:r>
              <w:rPr>
                <w:rFonts w:hint="eastAsia" w:hAnsi="宋体" w:cs="仿宋"/>
                <w:sz w:val="24"/>
                <w:lang w:val="en-US" w:eastAsia="zh-CN"/>
              </w:rPr>
              <w:t>8</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本项目专门面向中小企业采购</w:t>
            </w:r>
          </w:p>
        </w:tc>
        <w:tc>
          <w:tcPr>
            <w:tcW w:w="5422" w:type="dxa"/>
            <w:tcBorders>
              <w:top w:val="single" w:color="auto" w:sz="2" w:space="0"/>
              <w:left w:val="single" w:color="auto" w:sz="2" w:space="0"/>
              <w:bottom w:val="single" w:color="auto" w:sz="2" w:space="0"/>
              <w:right w:val="single" w:color="auto" w:sz="2" w:space="0"/>
            </w:tcBorders>
            <w:vAlign w:val="center"/>
          </w:tcPr>
          <w:p>
            <w:pPr>
              <w:pStyle w:val="152"/>
              <w:tabs>
                <w:tab w:val="left" w:pos="7271"/>
              </w:tabs>
              <w:spacing w:line="420" w:lineRule="exact"/>
              <w:ind w:firstLine="0" w:firstLineChars="0"/>
              <w:rPr>
                <w:sz w:val="24"/>
              </w:rPr>
            </w:pPr>
            <w:r>
              <w:rPr>
                <w:rFonts w:hint="eastAsia" w:hAnsi="宋体" w:cs="仿宋"/>
                <w:sz w:val="24"/>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hAnsi="宋体" w:eastAsia="宋体" w:cs="仿宋"/>
                <w:sz w:val="24"/>
                <w:lang w:val="en-US" w:eastAsia="zh-CN"/>
              </w:rPr>
            </w:pPr>
            <w:r>
              <w:rPr>
                <w:rFonts w:hint="eastAsia" w:hAnsi="宋体" w:cs="仿宋"/>
                <w:sz w:val="24"/>
                <w:lang w:val="en-US" w:eastAsia="zh-CN"/>
              </w:rPr>
              <w:t>9</w:t>
            </w:r>
          </w:p>
        </w:tc>
        <w:tc>
          <w:tcPr>
            <w:tcW w:w="241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Ansi="宋体" w:cs="仿宋"/>
                <w:sz w:val="24"/>
              </w:rPr>
            </w:pPr>
            <w:r>
              <w:rPr>
                <w:rFonts w:hint="eastAsia" w:hAnsi="宋体" w:cs="仿宋"/>
                <w:sz w:val="24"/>
              </w:rPr>
              <w:t>其他类似效力要求相关证明材料：</w:t>
            </w:r>
          </w:p>
        </w:tc>
        <w:tc>
          <w:tcPr>
            <w:tcW w:w="5422" w:type="dxa"/>
            <w:tcBorders>
              <w:top w:val="single" w:color="auto" w:sz="2" w:space="0"/>
              <w:left w:val="single" w:color="auto" w:sz="2" w:space="0"/>
              <w:bottom w:val="single" w:color="auto" w:sz="2" w:space="0"/>
              <w:right w:val="single" w:color="auto" w:sz="2" w:space="0"/>
            </w:tcBorders>
            <w:vAlign w:val="center"/>
          </w:tcPr>
          <w:p>
            <w:pPr>
              <w:spacing w:line="420" w:lineRule="exact"/>
              <w:rPr>
                <w:rFonts w:hAnsi="宋体" w:cs="仿宋"/>
                <w:sz w:val="24"/>
              </w:rPr>
            </w:pPr>
            <w:r>
              <w:rPr>
                <w:rFonts w:hint="eastAsia" w:ascii="宋体" w:hAnsi="宋体" w:cs="仿宋"/>
                <w:sz w:val="24"/>
              </w:rPr>
              <w:t>法定代表人/单位负责人身份证明原件及附件。（法定代表人/单位负责人亲自投标适用）或法定代表人/单位负责人授权书原件及附件（授权代表投标适用）。</w:t>
            </w:r>
          </w:p>
        </w:tc>
      </w:tr>
    </w:tbl>
    <w:p>
      <w:pPr>
        <w:tabs>
          <w:tab w:val="left" w:pos="851"/>
        </w:tabs>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二、“信用中国”和“中国政府采购网”网站查询结果，将以纸质截图或将截图保存至电子介质的形式留存。</w:t>
      </w:r>
    </w:p>
    <w:p>
      <w:pPr>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三、投标人的投标文件资格性审查时被判定为无效的，成都云辉工程项目管理有限公司将通知投标人（以短信、现场公示、电话、“政府采购云平台”等任一方式）。投标人如对资格审查结论有异议的，应及时向成都云辉工程项目管理有限公司反馈意见。成都云辉工程项目管理有限公司将及时告知资格审查小组。（说明：无论投标人是否收到通知或提供反馈意见，均不影响资格审查和评标工作，且成都云辉工程项目管理有限公司对此将不承担任何的责任。投标人对资格审查结论有异议的，其反馈意见仅限于资格审查小组对资格审查结论的正确性进行复核，避免出现审查错误。）</w:t>
      </w:r>
    </w:p>
    <w:p>
      <w:pPr>
        <w:ind w:firstLine="565" w:firstLineChars="202"/>
        <w:rPr>
          <w:color w:val="000000" w:themeColor="text1"/>
        </w:rPr>
      </w:pPr>
      <w:r>
        <w:rPr>
          <w:rFonts w:hint="eastAsia" w:ascii="宋体" w:hAnsi="宋体"/>
          <w:color w:val="000000" w:themeColor="text1"/>
          <w:sz w:val="28"/>
          <w:szCs w:val="28"/>
        </w:rPr>
        <w:t>四、通过资格性审查的供应商＜3名，采购失败。</w:t>
      </w:r>
    </w:p>
    <w:p>
      <w:pPr>
        <w:rPr>
          <w:color w:val="000000" w:themeColor="text1"/>
        </w:rPr>
      </w:pPr>
    </w:p>
    <w:p>
      <w:pPr>
        <w:pStyle w:val="4"/>
        <w:numPr>
          <w:ilvl w:val="0"/>
          <w:numId w:val="4"/>
        </w:numPr>
        <w:spacing w:before="0" w:after="0" w:line="360" w:lineRule="auto"/>
        <w:ind w:left="0" w:firstLine="0"/>
        <w:rPr>
          <w:color w:val="000000" w:themeColor="text1"/>
        </w:rPr>
      </w:pPr>
      <w:bookmarkStart w:id="418" w:name="_Toc18121"/>
      <w:bookmarkStart w:id="419" w:name="_Toc16118"/>
      <w:bookmarkStart w:id="420" w:name="_Toc11596"/>
      <w:bookmarkStart w:id="421" w:name="_Toc18791"/>
      <w:bookmarkStart w:id="422" w:name="_Toc29184"/>
      <w:r>
        <w:rPr>
          <w:rFonts w:hint="eastAsia"/>
          <w:color w:val="000000" w:themeColor="text1"/>
        </w:rPr>
        <w:t>评标办法</w:t>
      </w:r>
      <w:bookmarkEnd w:id="418"/>
      <w:bookmarkEnd w:id="419"/>
      <w:bookmarkEnd w:id="420"/>
      <w:bookmarkEnd w:id="421"/>
      <w:bookmarkEnd w:id="422"/>
      <w:bookmarkStart w:id="423" w:name="_Toc217446097"/>
      <w:bookmarkStart w:id="424" w:name="_Toc183682415"/>
      <w:bookmarkStart w:id="425" w:name="_Toc183582280"/>
      <w:bookmarkStart w:id="426" w:name="_Toc208849007"/>
    </w:p>
    <w:p>
      <w:pPr>
        <w:pStyle w:val="5"/>
        <w:numPr>
          <w:ilvl w:val="1"/>
          <w:numId w:val="4"/>
        </w:numPr>
        <w:spacing w:before="0" w:after="0" w:line="560" w:lineRule="exact"/>
        <w:ind w:left="2269" w:hanging="2269"/>
        <w:rPr>
          <w:color w:val="000000" w:themeColor="text1"/>
        </w:rPr>
      </w:pPr>
      <w:bookmarkStart w:id="427" w:name="_Toc10788"/>
      <w:bookmarkStart w:id="428" w:name="_Toc315871642"/>
      <w:bookmarkStart w:id="429" w:name="_Toc316292248"/>
      <w:bookmarkStart w:id="430" w:name="_Toc3334"/>
      <w:bookmarkStart w:id="431" w:name="_Toc13609"/>
      <w:bookmarkStart w:id="432" w:name="_Toc30790"/>
      <w:bookmarkStart w:id="433" w:name="_Toc12005"/>
      <w:r>
        <w:rPr>
          <w:rFonts w:hint="eastAsia"/>
          <w:color w:val="000000" w:themeColor="text1"/>
        </w:rPr>
        <w:t>总则</w:t>
      </w:r>
      <w:bookmarkEnd w:id="423"/>
      <w:bookmarkEnd w:id="424"/>
      <w:bookmarkEnd w:id="425"/>
      <w:bookmarkEnd w:id="426"/>
      <w:bookmarkEnd w:id="427"/>
      <w:bookmarkEnd w:id="428"/>
      <w:bookmarkEnd w:id="429"/>
      <w:bookmarkEnd w:id="430"/>
      <w:bookmarkEnd w:id="431"/>
      <w:bookmarkEnd w:id="432"/>
      <w:bookmarkEnd w:id="433"/>
    </w:p>
    <w:p>
      <w:pPr>
        <w:numPr>
          <w:ilvl w:val="0"/>
          <w:numId w:val="34"/>
        </w:numPr>
        <w:tabs>
          <w:tab w:val="left" w:pos="1134"/>
        </w:tabs>
        <w:spacing w:after="200" w:line="560" w:lineRule="exact"/>
        <w:ind w:left="0" w:firstLine="565" w:firstLineChars="202"/>
        <w:jc w:val="left"/>
        <w:rPr>
          <w:rFonts w:ascii="宋体" w:hAnsi="宋体"/>
          <w:color w:val="000000" w:themeColor="text1"/>
          <w:sz w:val="28"/>
          <w:szCs w:val="28"/>
        </w:rPr>
      </w:pPr>
      <w:r>
        <w:rPr>
          <w:rFonts w:hint="eastAsia" w:ascii="宋体" w:hAnsi="宋体"/>
          <w:color w:val="000000" w:themeColor="text1"/>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after="200" w:line="560" w:lineRule="exact"/>
        <w:ind w:left="0" w:firstLine="565" w:firstLineChars="202"/>
        <w:jc w:val="left"/>
        <w:rPr>
          <w:rFonts w:ascii="宋体" w:hAnsi="宋体"/>
          <w:color w:val="000000" w:themeColor="text1"/>
          <w:sz w:val="28"/>
          <w:szCs w:val="28"/>
        </w:rPr>
      </w:pPr>
      <w:r>
        <w:rPr>
          <w:rFonts w:hint="eastAsia" w:ascii="宋体" w:hAnsi="宋体"/>
          <w:color w:val="000000" w:themeColor="text1"/>
          <w:sz w:val="28"/>
          <w:szCs w:val="28"/>
        </w:rPr>
        <w:t>评标工作由成都云辉工程项目管理有限公司负责组织，具体评标事务由采购人或成都云辉工程项目管理有限公司依法组建的评标委员会负责。评标委员会由采购人代表和评审专家组成。</w:t>
      </w:r>
    </w:p>
    <w:p>
      <w:pPr>
        <w:numPr>
          <w:ilvl w:val="0"/>
          <w:numId w:val="34"/>
        </w:numPr>
        <w:tabs>
          <w:tab w:val="left" w:pos="1134"/>
        </w:tabs>
        <w:spacing w:after="200" w:line="560" w:lineRule="exact"/>
        <w:ind w:left="0" w:firstLine="565" w:firstLineChars="202"/>
        <w:jc w:val="left"/>
        <w:rPr>
          <w:rFonts w:ascii="宋体" w:hAnsi="宋体"/>
          <w:color w:val="000000" w:themeColor="text1"/>
          <w:sz w:val="28"/>
          <w:szCs w:val="28"/>
        </w:rPr>
      </w:pPr>
      <w:r>
        <w:rPr>
          <w:rFonts w:hint="eastAsia" w:ascii="宋体" w:hAnsi="宋体"/>
          <w:color w:val="000000" w:themeColor="text1"/>
          <w:sz w:val="28"/>
          <w:szCs w:val="28"/>
        </w:rPr>
        <w:t>评标工作应遵循公平、公正、科学及择优的原则，并以相同的评标程序和标准对待所有的投标人。</w:t>
      </w:r>
    </w:p>
    <w:p>
      <w:pPr>
        <w:numPr>
          <w:ilvl w:val="0"/>
          <w:numId w:val="34"/>
        </w:numPr>
        <w:tabs>
          <w:tab w:val="left" w:pos="1134"/>
        </w:tabs>
        <w:spacing w:after="200" w:line="560" w:lineRule="exact"/>
        <w:ind w:left="0" w:firstLine="565" w:firstLineChars="202"/>
        <w:jc w:val="left"/>
        <w:rPr>
          <w:rFonts w:ascii="宋体" w:hAnsi="宋体"/>
          <w:color w:val="000000" w:themeColor="text1"/>
          <w:sz w:val="28"/>
          <w:szCs w:val="28"/>
        </w:rPr>
      </w:pPr>
      <w:r>
        <w:rPr>
          <w:rFonts w:hint="eastAsia" w:ascii="宋体" w:hAnsi="宋体"/>
          <w:color w:val="000000" w:themeColor="text1"/>
          <w:sz w:val="28"/>
          <w:szCs w:val="28"/>
        </w:rPr>
        <w:t>评标委员会按照招标文件规定的评标程序、评标方法和标准进行独立评审，并独立履行下列职责：</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熟悉和理解招标文件；</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审查、评价投标文件是否符合招标文件的商务、技术等实质性要求；</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对投标文件进行比较和评价；</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根据需要要求采购人对招标文件作出解释；根据需要要求投标人对投标文件有关事项作出解释或者澄清；</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确定中标候选人名单，以及根据采购人委托直接确定中标人；</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起草评标报告并进行签署；</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向采购人、成都云辉工程项目管理有限公司构或者财政、监察等有关部门报告或举报非法干预评标工作的行为；</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向采购人、成都云辉工程项目管理有限公司或者有关部门报告评标中发现的违法行为。</w:t>
      </w:r>
    </w:p>
    <w:p>
      <w:pPr>
        <w:numPr>
          <w:ilvl w:val="1"/>
          <w:numId w:val="35"/>
        </w:numPr>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法律、法规和规章规定的其他职责。</w:t>
      </w:r>
    </w:p>
    <w:p>
      <w:pPr>
        <w:numPr>
          <w:ilvl w:val="0"/>
          <w:numId w:val="34"/>
        </w:numPr>
        <w:tabs>
          <w:tab w:val="left" w:pos="1134"/>
        </w:tabs>
        <w:spacing w:after="200" w:line="560" w:lineRule="exact"/>
        <w:ind w:left="0" w:firstLine="565" w:firstLineChars="202"/>
        <w:rPr>
          <w:rFonts w:ascii="宋体" w:hAnsi="宋体"/>
          <w:color w:val="000000" w:themeColor="text1"/>
          <w:sz w:val="28"/>
          <w:szCs w:val="28"/>
        </w:rPr>
      </w:pPr>
      <w:r>
        <w:rPr>
          <w:rFonts w:hint="eastAsia" w:ascii="宋体" w:hAnsi="宋体"/>
          <w:color w:val="000000" w:themeColor="text1"/>
          <w:sz w:val="28"/>
          <w:szCs w:val="28"/>
        </w:rPr>
        <w:t>评标过程独立、保密。投标人非法干预评标过程的行为将导致其投标文件作为无效处理。</w:t>
      </w:r>
    </w:p>
    <w:p>
      <w:pPr>
        <w:numPr>
          <w:ilvl w:val="0"/>
          <w:numId w:val="34"/>
        </w:numPr>
        <w:tabs>
          <w:tab w:val="left" w:pos="1134"/>
        </w:tabs>
        <w:spacing w:after="200" w:line="560" w:lineRule="exact"/>
        <w:ind w:left="0" w:firstLine="565" w:firstLineChars="202"/>
        <w:rPr>
          <w:rFonts w:ascii="宋体" w:hAnsi="宋体"/>
          <w:color w:val="000000" w:themeColor="text1"/>
          <w:sz w:val="28"/>
          <w:szCs w:val="28"/>
        </w:rPr>
      </w:pPr>
      <w:r>
        <w:rPr>
          <w:rFonts w:hint="eastAsia" w:ascii="宋体" w:hAnsi="宋体"/>
          <w:color w:val="000000" w:themeColor="text1"/>
          <w:sz w:val="28"/>
          <w:szCs w:val="28"/>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七、评标委员会发现招标文件表述不明确或需要说明的事项，可提请采购人和成都云辉工程项目管理有限公司书面解释说明。</w:t>
      </w:r>
    </w:p>
    <w:p>
      <w:pPr>
        <w:pStyle w:val="5"/>
        <w:numPr>
          <w:ilvl w:val="1"/>
          <w:numId w:val="4"/>
        </w:numPr>
        <w:spacing w:before="0" w:after="0" w:line="560" w:lineRule="exact"/>
        <w:ind w:left="2269" w:hanging="2269"/>
        <w:rPr>
          <w:color w:val="000000" w:themeColor="text1"/>
        </w:rPr>
      </w:pPr>
      <w:bookmarkStart w:id="434" w:name="_Toc7423"/>
      <w:bookmarkStart w:id="435" w:name="_Toc5874"/>
      <w:bookmarkStart w:id="436" w:name="_Toc28274"/>
      <w:bookmarkStart w:id="437" w:name="_Toc29481"/>
      <w:bookmarkStart w:id="438" w:name="_Toc3818"/>
      <w:bookmarkStart w:id="439" w:name="_Toc217446098"/>
      <w:bookmarkStart w:id="440" w:name="_Toc315871644"/>
      <w:bookmarkStart w:id="441" w:name="_Toc316292250"/>
      <w:r>
        <w:rPr>
          <w:rFonts w:hint="eastAsia"/>
          <w:color w:val="000000" w:themeColor="text1"/>
        </w:rPr>
        <w:t>评标方法</w:t>
      </w:r>
      <w:bookmarkEnd w:id="434"/>
      <w:bookmarkEnd w:id="435"/>
      <w:bookmarkEnd w:id="436"/>
      <w:bookmarkEnd w:id="437"/>
      <w:bookmarkEnd w:id="438"/>
    </w:p>
    <w:p>
      <w:pPr>
        <w:spacing w:line="560" w:lineRule="exact"/>
        <w:rPr>
          <w:color w:val="000000" w:themeColor="text1"/>
        </w:rPr>
      </w:pPr>
      <w:r>
        <w:rPr>
          <w:rFonts w:hint="eastAsia" w:ascii="宋体" w:hAnsi="宋体"/>
          <w:color w:val="000000" w:themeColor="text1"/>
          <w:sz w:val="28"/>
          <w:szCs w:val="28"/>
        </w:rPr>
        <w:t xml:space="preserve">  综合评分法。</w:t>
      </w:r>
    </w:p>
    <w:p>
      <w:pPr>
        <w:pStyle w:val="5"/>
        <w:numPr>
          <w:ilvl w:val="1"/>
          <w:numId w:val="4"/>
        </w:numPr>
        <w:spacing w:before="0" w:after="0" w:line="560" w:lineRule="exact"/>
        <w:ind w:left="2269" w:hanging="2269"/>
        <w:rPr>
          <w:color w:val="000000" w:themeColor="text1"/>
        </w:rPr>
      </w:pPr>
      <w:bookmarkStart w:id="442" w:name="_Toc10678"/>
      <w:bookmarkStart w:id="443" w:name="_Toc14915"/>
      <w:bookmarkStart w:id="444" w:name="_Toc6803"/>
      <w:bookmarkStart w:id="445" w:name="_Toc3207"/>
      <w:bookmarkStart w:id="446" w:name="_Toc30741"/>
      <w:r>
        <w:rPr>
          <w:rFonts w:hint="eastAsia"/>
          <w:color w:val="000000" w:themeColor="text1"/>
        </w:rPr>
        <w:t>评标程序</w:t>
      </w:r>
      <w:bookmarkEnd w:id="439"/>
      <w:bookmarkEnd w:id="440"/>
      <w:bookmarkEnd w:id="441"/>
      <w:bookmarkEnd w:id="442"/>
      <w:bookmarkEnd w:id="443"/>
      <w:bookmarkEnd w:id="444"/>
      <w:bookmarkEnd w:id="445"/>
      <w:bookmarkEnd w:id="446"/>
    </w:p>
    <w:p>
      <w:pPr>
        <w:pStyle w:val="6"/>
        <w:numPr>
          <w:ilvl w:val="2"/>
          <w:numId w:val="4"/>
        </w:numPr>
        <w:spacing w:after="200" w:line="560" w:lineRule="exact"/>
        <w:ind w:left="0" w:firstLine="0"/>
        <w:rPr>
          <w:color w:val="000000" w:themeColor="text1"/>
        </w:rPr>
      </w:pPr>
      <w:bookmarkStart w:id="447" w:name="_Toc316475650"/>
      <w:bookmarkEnd w:id="447"/>
      <w:bookmarkStart w:id="448" w:name="_Toc217446099"/>
      <w:r>
        <w:rPr>
          <w:rFonts w:hint="eastAsia"/>
          <w:color w:val="000000" w:themeColor="text1"/>
        </w:rPr>
        <w:t>符合性审查</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符合性审查标准见下表（按以下顺序审查）：</w:t>
      </w:r>
    </w:p>
    <w:p/>
    <w:tbl>
      <w:tblPr>
        <w:tblStyle w:val="43"/>
        <w:tblW w:w="5177"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715"/>
        <w:gridCol w:w="5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rPr>
            </w:pPr>
            <w:r>
              <w:rPr>
                <w:rFonts w:hint="eastAsia" w:ascii="宋体" w:hAnsi="宋体"/>
                <w:b/>
                <w:color w:val="000000" w:themeColor="text1"/>
                <w:sz w:val="24"/>
                <w:szCs w:val="28"/>
              </w:rPr>
              <w:t>序号</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rPr>
            </w:pPr>
            <w:r>
              <w:rPr>
                <w:rFonts w:hint="eastAsia" w:ascii="宋体" w:hAnsi="宋体"/>
                <w:b/>
                <w:color w:val="000000" w:themeColor="text1"/>
                <w:sz w:val="24"/>
                <w:szCs w:val="28"/>
              </w:rPr>
              <w:t>符合性审查项</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rPr>
            </w:pPr>
            <w:r>
              <w:rPr>
                <w:rFonts w:hint="eastAsia" w:ascii="宋体" w:hAnsi="宋体"/>
                <w:b/>
                <w:color w:val="000000" w:themeColor="text1"/>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hint="eastAsia" w:ascii="宋体" w:hAnsi="宋体"/>
                <w:color w:val="000000" w:themeColor="text1"/>
                <w:sz w:val="24"/>
                <w:szCs w:val="28"/>
              </w:rPr>
              <w:t>1</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投标文件服务、商务及其他要求响应部分组成</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hint="eastAsia" w:ascii="宋体" w:hAnsi="宋体"/>
                <w:color w:val="000000" w:themeColor="text1"/>
                <w:sz w:val="24"/>
                <w:szCs w:val="28"/>
              </w:rPr>
              <w:t>2</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投标文件服务、商务及其他要求响应部分签章</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hint="eastAsia" w:ascii="宋体" w:hAnsi="宋体"/>
                <w:color w:val="000000" w:themeColor="text1"/>
                <w:sz w:val="24"/>
                <w:szCs w:val="28"/>
              </w:rPr>
              <w:t>3</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投标文件服务、商务及其他要求响应部分的计量单位、语言、报价货币、投标有效期</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hint="eastAsia" w:ascii="宋体" w:hAnsi="宋体"/>
                <w:color w:val="000000" w:themeColor="text1"/>
                <w:sz w:val="24"/>
                <w:szCs w:val="28"/>
              </w:rPr>
              <w:t>4</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投标报价</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rPr>
              <w:t>②</w:t>
            </w:r>
            <w:r>
              <w:rPr>
                <w:rFonts w:hint="eastAsia" w:ascii="宋体" w:hAnsi="宋体"/>
                <w:color w:val="000000" w:themeColor="text1"/>
                <w:sz w:val="24"/>
                <w:szCs w:val="28"/>
              </w:rPr>
              <w:t>单价金额小数点或者百分比有明显错位的，以总价为准，并修改单价；</w:t>
            </w:r>
            <w:r>
              <w:rPr>
                <w:rFonts w:hint="eastAsia" w:ascii="宋体" w:hAnsi="宋体" w:cs="宋体"/>
                <w:color w:val="000000" w:themeColor="text1"/>
                <w:sz w:val="24"/>
                <w:szCs w:val="28"/>
              </w:rPr>
              <w:t>③</w:t>
            </w:r>
            <w:r>
              <w:rPr>
                <w:rFonts w:hint="eastAsia" w:ascii="宋体" w:hAnsi="宋体"/>
                <w:color w:val="000000" w:themeColor="text1"/>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5</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技术、商务和其他要求</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投标文件均响应招标文件中技术、商务和其他要求的实质性要求。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6</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进口产品</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7</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不属于禁止参加投标或投标无效的供应商</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（1）根据招标文件的要求不属于禁止参加投标或投标无效的供应商；</w:t>
            </w:r>
          </w:p>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8</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法定代表人身份证复印件</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身份证复印件【注：法定代表人身份证复印件（身份证两面均应复印，在有效期内）】。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rPr>
            </w:pPr>
            <w:r>
              <w:rPr>
                <w:rFonts w:hint="eastAsia" w:ascii="宋体" w:hAnsi="宋体"/>
                <w:color w:val="000000" w:themeColor="text1"/>
                <w:sz w:val="24"/>
                <w:szCs w:val="28"/>
              </w:rPr>
              <w:t>9</w:t>
            </w:r>
          </w:p>
        </w:tc>
        <w:tc>
          <w:tcPr>
            <w:tcW w:w="1538"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ascii="宋体" w:hAnsi="宋体"/>
                <w:color w:val="000000" w:themeColor="text1"/>
                <w:sz w:val="24"/>
                <w:szCs w:val="28"/>
              </w:rPr>
              <w:t>除资格性审查要求的证明材料外，招标文件要求提供的其他证明材料</w:t>
            </w:r>
          </w:p>
        </w:tc>
        <w:tc>
          <w:tcPr>
            <w:tcW w:w="302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rPr>
            </w:pPr>
            <w:r>
              <w:rPr>
                <w:rFonts w:hint="eastAsia" w:cs="仿宋_GB2312" w:asciiTheme="minorEastAsia" w:hAnsiTheme="minorEastAsia" w:eastAsiaTheme="minorEastAsia"/>
                <w:color w:val="000000" w:themeColor="text1"/>
                <w:sz w:val="24"/>
                <w:szCs w:val="24"/>
              </w:rPr>
              <w:t>XX。</w:t>
            </w:r>
          </w:p>
        </w:tc>
      </w:tr>
    </w:tbl>
    <w:p>
      <w:pPr>
        <w:tabs>
          <w:tab w:val="left" w:pos="851"/>
        </w:tabs>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二、投标人的投标文件符合性审查时被判定为无效投标文件的，成都云辉工程项目管理有限公司将通知投标人（以短信、现场公示、电话、“政府采购云平台”等任一方式）。投标人如对评审结论有异议的，应及时向成都云辉工程项目管理有限公司反馈意见。成都云辉工程项目管理有限公司在评审结束前将收到的反馈意见及时告知评标委员会。（说明：无论投标人是否收到通知或提供反馈意见，均不影响评标委员会的评标工作，且成都云辉工程项目管理有限公司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三、通过符合性审查的供应商＜3名，本项目采购失败。</w:t>
      </w:r>
    </w:p>
    <w:p>
      <w:pPr>
        <w:pStyle w:val="6"/>
        <w:numPr>
          <w:ilvl w:val="2"/>
          <w:numId w:val="4"/>
        </w:numPr>
        <w:spacing w:after="200" w:line="560" w:lineRule="exact"/>
        <w:ind w:left="0" w:firstLine="0"/>
        <w:rPr>
          <w:color w:val="000000" w:themeColor="text1"/>
        </w:rPr>
      </w:pPr>
      <w:r>
        <w:rPr>
          <w:rFonts w:hint="eastAsia"/>
          <w:color w:val="000000" w:themeColor="text1"/>
        </w:rPr>
        <w:t>解释、澄清有关问题</w:t>
      </w:r>
    </w:p>
    <w:p>
      <w:pPr>
        <w:numPr>
          <w:ilvl w:val="0"/>
          <w:numId w:val="36"/>
        </w:numPr>
        <w:tabs>
          <w:tab w:val="left" w:pos="1134"/>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评标过程中，评标委员会认为招标文件有关事项表述不明确或需要说明的，可以提请成都云辉工程项目管理有限公司书面解释。成都云辉工程项目管理有限公司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澄清应当不超出投标文件的范围、不实质性改变投标文件的内容、不影响投标人的公平竞争、不导致投标文件从不响应招标文件变为响应招标文件的条件。下列内容不得澄清：</w:t>
      </w:r>
    </w:p>
    <w:p>
      <w:pPr>
        <w:pStyle w:val="156"/>
        <w:numPr>
          <w:ilvl w:val="0"/>
          <w:numId w:val="37"/>
        </w:numPr>
        <w:tabs>
          <w:tab w:val="left" w:pos="1260"/>
        </w:tabs>
        <w:spacing w:after="200" w:line="560" w:lineRule="exact"/>
        <w:ind w:left="0" w:firstLine="525" w:firstLineChars="0"/>
        <w:rPr>
          <w:rFonts w:ascii="宋体" w:hAnsi="宋体"/>
          <w:color w:val="000000" w:themeColor="text1"/>
          <w:sz w:val="28"/>
          <w:szCs w:val="28"/>
        </w:rPr>
      </w:pPr>
      <w:r>
        <w:rPr>
          <w:rFonts w:hint="eastAsia" w:ascii="宋体" w:hAnsi="宋体"/>
          <w:color w:val="000000" w:themeColor="text1"/>
          <w:sz w:val="28"/>
          <w:szCs w:val="28"/>
        </w:rPr>
        <w:t>投标人投标文件中不响应招标文件规定的技术参数指标和商务应答；</w:t>
      </w:r>
    </w:p>
    <w:p>
      <w:pPr>
        <w:pStyle w:val="156"/>
        <w:numPr>
          <w:ilvl w:val="0"/>
          <w:numId w:val="37"/>
        </w:numPr>
        <w:tabs>
          <w:tab w:val="left" w:pos="1260"/>
        </w:tabs>
        <w:spacing w:after="200" w:line="560" w:lineRule="exact"/>
        <w:ind w:left="0" w:firstLine="525" w:firstLineChars="0"/>
        <w:rPr>
          <w:rFonts w:ascii="宋体" w:hAnsi="宋体"/>
          <w:color w:val="000000" w:themeColor="text1"/>
          <w:sz w:val="28"/>
          <w:szCs w:val="28"/>
        </w:rPr>
      </w:pPr>
      <w:r>
        <w:rPr>
          <w:rFonts w:hint="eastAsia" w:ascii="宋体" w:hAnsi="宋体"/>
          <w:color w:val="000000" w:themeColor="text1"/>
          <w:sz w:val="28"/>
          <w:szCs w:val="28"/>
        </w:rPr>
        <w:t>投标人投标文件中未提供的证明其是否符合招标文件资格性、符合性规定要求的相关材料。</w:t>
      </w:r>
    </w:p>
    <w:p>
      <w:pPr>
        <w:pStyle w:val="156"/>
        <w:numPr>
          <w:ilvl w:val="0"/>
          <w:numId w:val="37"/>
        </w:numPr>
        <w:tabs>
          <w:tab w:val="left" w:pos="1260"/>
        </w:tabs>
        <w:spacing w:after="200" w:line="560" w:lineRule="exact"/>
        <w:ind w:left="0" w:firstLine="525" w:firstLineChars="0"/>
        <w:rPr>
          <w:rFonts w:ascii="宋体" w:hAnsi="宋体"/>
          <w:color w:val="000000" w:themeColor="text1"/>
          <w:sz w:val="28"/>
          <w:szCs w:val="28"/>
        </w:rPr>
      </w:pPr>
      <w:r>
        <w:rPr>
          <w:rFonts w:hint="eastAsia" w:ascii="宋体" w:hAnsi="宋体"/>
          <w:color w:val="000000" w:themeColor="text1"/>
          <w:sz w:val="28"/>
          <w:szCs w:val="28"/>
        </w:rPr>
        <w:t>投标人投标文件中的材料因印刷、影印等不清晰而难以辨认的。</w:t>
      </w:r>
    </w:p>
    <w:p>
      <w:pPr>
        <w:numPr>
          <w:ilvl w:val="0"/>
          <w:numId w:val="36"/>
        </w:numPr>
        <w:tabs>
          <w:tab w:val="left" w:pos="1134"/>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投标文件报价出现下列情况的，不需要投标人澄清，按以下原则处理：</w:t>
      </w:r>
    </w:p>
    <w:p>
      <w:pPr>
        <w:pStyle w:val="156"/>
        <w:numPr>
          <w:ilvl w:val="0"/>
          <w:numId w:val="38"/>
        </w:numPr>
        <w:tabs>
          <w:tab w:val="left" w:pos="1050"/>
        </w:tabs>
        <w:spacing w:after="200" w:line="560" w:lineRule="exact"/>
        <w:ind w:left="0" w:firstLine="525" w:firstLineChars="0"/>
        <w:rPr>
          <w:rFonts w:ascii="宋体" w:hAnsi="宋体"/>
          <w:color w:val="000000" w:themeColor="text1"/>
          <w:sz w:val="28"/>
          <w:szCs w:val="28"/>
        </w:rPr>
      </w:pPr>
      <w:r>
        <w:rPr>
          <w:rFonts w:hint="eastAsia" w:ascii="宋体" w:hAnsi="宋体"/>
          <w:color w:val="000000" w:themeColor="text1"/>
          <w:sz w:val="28"/>
          <w:szCs w:val="28"/>
        </w:rPr>
        <w:t>大写金额和小写金额不一致的，以大写金额为准，但大写金额出现文字错误，导致金额无法判断的除外；</w:t>
      </w:r>
    </w:p>
    <w:p>
      <w:pPr>
        <w:pStyle w:val="156"/>
        <w:numPr>
          <w:ilvl w:val="0"/>
          <w:numId w:val="38"/>
        </w:numPr>
        <w:tabs>
          <w:tab w:val="left" w:pos="1050"/>
        </w:tabs>
        <w:spacing w:after="200" w:line="560" w:lineRule="exact"/>
        <w:ind w:left="0" w:firstLine="525" w:firstLineChars="0"/>
        <w:rPr>
          <w:rFonts w:ascii="宋体" w:hAnsi="宋体"/>
          <w:color w:val="000000" w:themeColor="text1"/>
          <w:sz w:val="28"/>
          <w:szCs w:val="28"/>
        </w:rPr>
      </w:pPr>
      <w:r>
        <w:rPr>
          <w:rFonts w:hint="eastAsia" w:ascii="宋体" w:hAnsi="宋体"/>
          <w:color w:val="000000" w:themeColor="text1"/>
          <w:sz w:val="28"/>
          <w:szCs w:val="28"/>
        </w:rPr>
        <w:t>单价金额小数点或者百分比有明显错位的，以总价为准，并修改单价；</w:t>
      </w:r>
    </w:p>
    <w:p>
      <w:pPr>
        <w:pStyle w:val="156"/>
        <w:numPr>
          <w:ilvl w:val="0"/>
          <w:numId w:val="38"/>
        </w:numPr>
        <w:tabs>
          <w:tab w:val="left" w:pos="1050"/>
        </w:tabs>
        <w:spacing w:after="200" w:line="560" w:lineRule="exact"/>
        <w:ind w:left="0" w:firstLine="525" w:firstLineChars="0"/>
        <w:rPr>
          <w:rFonts w:ascii="宋体" w:hAnsi="宋体"/>
          <w:color w:val="000000" w:themeColor="text1"/>
          <w:sz w:val="28"/>
          <w:szCs w:val="28"/>
        </w:rPr>
      </w:pPr>
      <w:r>
        <w:rPr>
          <w:rFonts w:hint="eastAsia" w:ascii="宋体" w:hAnsi="宋体"/>
          <w:color w:val="000000" w:themeColor="text1"/>
          <w:sz w:val="28"/>
          <w:szCs w:val="28"/>
        </w:rPr>
        <w:t>总价金额与按单价汇总金额不一致的，以单价金额计算结果为准。</w:t>
      </w:r>
    </w:p>
    <w:p>
      <w:pPr>
        <w:spacing w:line="560" w:lineRule="exact"/>
        <w:ind w:firstLine="560"/>
        <w:rPr>
          <w:color w:val="000000" w:themeColor="text1"/>
          <w:sz w:val="28"/>
          <w:szCs w:val="28"/>
        </w:rPr>
      </w:pPr>
      <w:r>
        <w:rPr>
          <w:rFonts w:hint="eastAsia"/>
          <w:color w:val="000000" w:themeColor="text1"/>
          <w:sz w:val="28"/>
          <w:szCs w:val="28"/>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rPr>
      </w:pPr>
      <w:r>
        <w:rPr>
          <w:rFonts w:hint="eastAsia"/>
          <w:color w:val="000000" w:themeColor="text1"/>
          <w:sz w:val="28"/>
          <w:szCs w:val="28"/>
        </w:rPr>
        <w:t>五、对不同语言文本投标文件的解释发生异议的，以中文文本为准。</w:t>
      </w:r>
    </w:p>
    <w:p>
      <w:pPr>
        <w:tabs>
          <w:tab w:val="left" w:pos="720"/>
        </w:tabs>
        <w:spacing w:line="560" w:lineRule="exact"/>
        <w:ind w:firstLine="560" w:firstLineChars="200"/>
        <w:rPr>
          <w:color w:val="000000" w:themeColor="text1"/>
          <w:sz w:val="28"/>
          <w:szCs w:val="28"/>
        </w:rPr>
      </w:pPr>
      <w:r>
        <w:rPr>
          <w:rFonts w:hint="eastAsia"/>
          <w:color w:val="000000" w:themeColor="text1"/>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rPr>
      </w:pPr>
      <w:r>
        <w:rPr>
          <w:rFonts w:hint="eastAsia" w:ascii="宋体" w:hAnsi="宋体"/>
          <w:b/>
          <w:color w:val="000000" w:themeColor="text1"/>
          <w:sz w:val="28"/>
          <w:szCs w:val="28"/>
        </w:rPr>
        <w:t>评标委员会应当积极履行澄清、说明或者更正的职责，不得滥用权力。</w:t>
      </w:r>
    </w:p>
    <w:p>
      <w:pPr>
        <w:pStyle w:val="6"/>
        <w:numPr>
          <w:ilvl w:val="2"/>
          <w:numId w:val="4"/>
        </w:numPr>
        <w:spacing w:after="200" w:line="560" w:lineRule="exact"/>
        <w:ind w:left="851"/>
        <w:rPr>
          <w:color w:val="000000" w:themeColor="text1"/>
        </w:rPr>
      </w:pPr>
      <w:bookmarkStart w:id="449" w:name="_Toc315871649"/>
      <w:bookmarkEnd w:id="449"/>
      <w:bookmarkStart w:id="450" w:name="_Toc315871651"/>
      <w:bookmarkEnd w:id="450"/>
      <w:bookmarkStart w:id="451" w:name="_Toc315871652"/>
      <w:bookmarkEnd w:id="451"/>
      <w:bookmarkStart w:id="452" w:name="_Toc315871650"/>
      <w:bookmarkEnd w:id="452"/>
      <w:bookmarkStart w:id="453" w:name="_Toc316292253"/>
      <w:bookmarkStart w:id="454" w:name="_Toc315871647"/>
      <w:bookmarkStart w:id="455" w:name="_Toc315871653"/>
      <w:bookmarkStart w:id="456" w:name="_Toc316292255"/>
      <w:r>
        <w:rPr>
          <w:rFonts w:hint="eastAsia"/>
          <w:color w:val="000000" w:themeColor="text1"/>
        </w:rPr>
        <w:t>比较与评价</w:t>
      </w:r>
      <w:bookmarkEnd w:id="453"/>
      <w:bookmarkEnd w:id="454"/>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按招标文件中规定的评标细则及标准，对符合性检查合格的投标文件进行商务和服务评估，综合比较与评价。</w:t>
      </w:r>
    </w:p>
    <w:p>
      <w:pPr>
        <w:pStyle w:val="6"/>
        <w:numPr>
          <w:ilvl w:val="2"/>
          <w:numId w:val="4"/>
        </w:numPr>
        <w:spacing w:after="200" w:line="560" w:lineRule="exact"/>
        <w:ind w:left="0" w:firstLine="0"/>
        <w:rPr>
          <w:color w:val="000000" w:themeColor="text1"/>
        </w:rPr>
      </w:pPr>
      <w:r>
        <w:rPr>
          <w:rFonts w:hint="eastAsia"/>
          <w:color w:val="000000" w:themeColor="text1"/>
        </w:rPr>
        <w:t>复核</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评标结果汇总完成后，评标委员会拟出具评审报告前，成都云辉工程项目管理有限公司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评标结果汇总完成后，除下列情形外，任何人不得修改评标结果：</w:t>
      </w:r>
    </w:p>
    <w:p>
      <w:pPr>
        <w:pStyle w:val="84"/>
        <w:numPr>
          <w:ilvl w:val="0"/>
          <w:numId w:val="39"/>
        </w:numPr>
        <w:tabs>
          <w:tab w:val="left" w:pos="851"/>
          <w:tab w:val="left" w:pos="1276"/>
        </w:tabs>
        <w:spacing w:after="200" w:line="560" w:lineRule="exact"/>
        <w:ind w:left="0" w:firstLine="424" w:firstLineChars="0"/>
        <w:rPr>
          <w:rFonts w:ascii="宋体" w:hAnsi="宋体"/>
          <w:color w:val="000000" w:themeColor="text1"/>
          <w:sz w:val="28"/>
          <w:szCs w:val="28"/>
        </w:rPr>
      </w:pPr>
      <w:r>
        <w:rPr>
          <w:rFonts w:hint="eastAsia" w:ascii="宋体" w:hAnsi="宋体"/>
          <w:color w:val="000000" w:themeColor="text1"/>
          <w:sz w:val="28"/>
          <w:szCs w:val="28"/>
        </w:rPr>
        <w:t>分值汇总计算错误的；</w:t>
      </w:r>
    </w:p>
    <w:p>
      <w:pPr>
        <w:pStyle w:val="84"/>
        <w:numPr>
          <w:ilvl w:val="0"/>
          <w:numId w:val="39"/>
        </w:numPr>
        <w:tabs>
          <w:tab w:val="left" w:pos="851"/>
          <w:tab w:val="left" w:pos="1276"/>
        </w:tabs>
        <w:spacing w:after="200" w:line="560" w:lineRule="exact"/>
        <w:ind w:left="0" w:firstLine="424" w:firstLineChars="0"/>
        <w:rPr>
          <w:rFonts w:ascii="宋体" w:hAnsi="宋体"/>
          <w:color w:val="000000" w:themeColor="text1"/>
          <w:sz w:val="28"/>
          <w:szCs w:val="28"/>
        </w:rPr>
      </w:pPr>
      <w:r>
        <w:rPr>
          <w:rFonts w:hint="eastAsia" w:ascii="宋体" w:hAnsi="宋体"/>
          <w:color w:val="000000" w:themeColor="text1"/>
          <w:sz w:val="28"/>
          <w:szCs w:val="28"/>
        </w:rPr>
        <w:t>分项评分超出评分标准范围的；</w:t>
      </w:r>
    </w:p>
    <w:p>
      <w:pPr>
        <w:pStyle w:val="84"/>
        <w:numPr>
          <w:ilvl w:val="0"/>
          <w:numId w:val="39"/>
        </w:numPr>
        <w:tabs>
          <w:tab w:val="left" w:pos="851"/>
          <w:tab w:val="left" w:pos="1276"/>
          <w:tab w:val="left" w:pos="1418"/>
        </w:tabs>
        <w:spacing w:after="200" w:line="560" w:lineRule="exact"/>
        <w:ind w:left="0" w:firstLine="424" w:firstLineChars="0"/>
        <w:rPr>
          <w:rFonts w:ascii="宋体" w:hAnsi="宋体"/>
          <w:color w:val="000000" w:themeColor="text1"/>
          <w:sz w:val="28"/>
          <w:szCs w:val="28"/>
        </w:rPr>
      </w:pPr>
      <w:r>
        <w:rPr>
          <w:rFonts w:hint="eastAsia" w:ascii="宋体" w:hAnsi="宋体"/>
          <w:color w:val="000000" w:themeColor="text1"/>
          <w:sz w:val="28"/>
          <w:szCs w:val="28"/>
        </w:rPr>
        <w:t>评标委员会成员对客观评审因素评分不一致的；</w:t>
      </w:r>
    </w:p>
    <w:p>
      <w:pPr>
        <w:pStyle w:val="84"/>
        <w:numPr>
          <w:ilvl w:val="0"/>
          <w:numId w:val="39"/>
        </w:numPr>
        <w:tabs>
          <w:tab w:val="left" w:pos="851"/>
          <w:tab w:val="left" w:pos="1276"/>
        </w:tabs>
        <w:spacing w:after="200" w:line="560" w:lineRule="exact"/>
        <w:ind w:left="0" w:firstLine="426" w:firstLineChars="0"/>
        <w:rPr>
          <w:rFonts w:ascii="宋体" w:hAnsi="宋体"/>
          <w:color w:val="000000" w:themeColor="text1"/>
          <w:sz w:val="28"/>
          <w:szCs w:val="28"/>
        </w:rPr>
      </w:pPr>
      <w:r>
        <w:rPr>
          <w:rFonts w:hint="eastAsia" w:ascii="宋体" w:hAnsi="宋体"/>
          <w:color w:val="000000" w:themeColor="text1"/>
          <w:sz w:val="28"/>
          <w:szCs w:val="28"/>
        </w:rPr>
        <w:t>经评标委员会认定评分畸高、畸低的。</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4"/>
        </w:numPr>
        <w:spacing w:after="200" w:line="560" w:lineRule="exact"/>
        <w:ind w:left="0" w:firstLine="0"/>
        <w:rPr>
          <w:color w:val="000000" w:themeColor="text1"/>
        </w:rPr>
      </w:pPr>
      <w:r>
        <w:rPr>
          <w:rFonts w:hint="eastAsia"/>
          <w:color w:val="000000" w:themeColor="text1"/>
        </w:rPr>
        <w:t>确定中标候选人名单</w:t>
      </w:r>
    </w:p>
    <w:p>
      <w:pPr>
        <w:tabs>
          <w:tab w:val="left" w:pos="851"/>
        </w:tabs>
        <w:spacing w:line="56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rPr>
        <w:t>投标文件满足招标文件全部实质性要求，且按照评审因素的量化指标评审得分最高的投标人为排名第一的中标候选人。</w:t>
      </w:r>
    </w:p>
    <w:p>
      <w:pPr>
        <w:pStyle w:val="6"/>
        <w:numPr>
          <w:ilvl w:val="2"/>
          <w:numId w:val="4"/>
        </w:numPr>
        <w:spacing w:after="200" w:line="560" w:lineRule="exact"/>
        <w:ind w:left="0" w:firstLine="0"/>
        <w:rPr>
          <w:color w:val="000000" w:themeColor="text1"/>
        </w:rPr>
      </w:pPr>
      <w:r>
        <w:rPr>
          <w:rFonts w:hint="eastAsia"/>
          <w:color w:val="000000" w:themeColor="text1"/>
        </w:rPr>
        <w:t>编写评标报告</w:t>
      </w:r>
      <w:bookmarkEnd w:id="455"/>
      <w:bookmarkEnd w:id="456"/>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评标报告是评标委员会根据全体评标成员签字的原始评标记录和评标结果编写的报告，其主要内容包括：</w:t>
      </w:r>
    </w:p>
    <w:p>
      <w:pPr>
        <w:numPr>
          <w:ilvl w:val="0"/>
          <w:numId w:val="40"/>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招标公告刊登的媒体名称、开标日期和地点；</w:t>
      </w:r>
    </w:p>
    <w:p>
      <w:pPr>
        <w:numPr>
          <w:ilvl w:val="0"/>
          <w:numId w:val="40"/>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投标人名单和评标委员会成员名单；</w:t>
      </w:r>
    </w:p>
    <w:p>
      <w:pPr>
        <w:numPr>
          <w:ilvl w:val="0"/>
          <w:numId w:val="40"/>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评标方法和标准；</w:t>
      </w:r>
    </w:p>
    <w:p>
      <w:pPr>
        <w:numPr>
          <w:ilvl w:val="0"/>
          <w:numId w:val="40"/>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开标记录和评标情况及说明，包括投标无效投标人名单及原因；</w:t>
      </w:r>
    </w:p>
    <w:p>
      <w:pPr>
        <w:numPr>
          <w:ilvl w:val="0"/>
          <w:numId w:val="40"/>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评标结果，确定的中标候选人名单或者经采购人委托直接确定的中标人；</w:t>
      </w:r>
    </w:p>
    <w:p>
      <w:pPr>
        <w:numPr>
          <w:ilvl w:val="0"/>
          <w:numId w:val="40"/>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 xml:space="preserve">其他需要说明的情况，包括评标过程中投标人根据评标委员会要求进行的澄清、说明或者补正，评标委员会成员的更换等； </w:t>
      </w:r>
    </w:p>
    <w:p>
      <w:pPr>
        <w:numPr>
          <w:ilvl w:val="0"/>
          <w:numId w:val="40"/>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rPr>
      </w:pPr>
      <w:r>
        <w:rPr>
          <w:rFonts w:hint="eastAsia" w:ascii="宋体" w:hAnsi="宋体"/>
          <w:color w:val="000000" w:themeColor="text1"/>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4"/>
        </w:numPr>
        <w:spacing w:line="560" w:lineRule="exact"/>
        <w:ind w:left="2269" w:hanging="2269"/>
        <w:rPr>
          <w:color w:val="000000" w:themeColor="text1"/>
        </w:rPr>
      </w:pPr>
      <w:bookmarkStart w:id="457" w:name="_Toc7609"/>
      <w:bookmarkStart w:id="458" w:name="_Toc27797"/>
      <w:bookmarkStart w:id="459" w:name="_Toc30340"/>
      <w:bookmarkStart w:id="460" w:name="_Toc3779"/>
      <w:bookmarkStart w:id="461" w:name="_Toc479753445"/>
      <w:bookmarkStart w:id="462" w:name="_Toc11482"/>
      <w:bookmarkStart w:id="463" w:name="_Toc316292256"/>
      <w:bookmarkStart w:id="464" w:name="_Toc315871654"/>
      <w:bookmarkStart w:id="465" w:name="_Toc217446103"/>
      <w:r>
        <w:rPr>
          <w:rFonts w:hint="eastAsia"/>
          <w:color w:val="000000" w:themeColor="text1"/>
        </w:rPr>
        <w:t>评标争议处理规则</w:t>
      </w:r>
      <w:bookmarkEnd w:id="457"/>
      <w:bookmarkEnd w:id="458"/>
      <w:bookmarkEnd w:id="459"/>
      <w:bookmarkEnd w:id="460"/>
      <w:bookmarkEnd w:id="461"/>
      <w:bookmarkEnd w:id="462"/>
    </w:p>
    <w:p>
      <w:pPr>
        <w:tabs>
          <w:tab w:val="left" w:pos="1155"/>
        </w:tabs>
        <w:spacing w:line="560" w:lineRule="exact"/>
        <w:ind w:firstLine="523" w:firstLineChars="187"/>
        <w:rPr>
          <w:rFonts w:ascii="宋体" w:hAnsi="宋体"/>
          <w:color w:val="000000" w:themeColor="text1"/>
          <w:sz w:val="28"/>
          <w:szCs w:val="28"/>
        </w:rPr>
      </w:pPr>
      <w:r>
        <w:rPr>
          <w:rFonts w:hint="eastAsia" w:ascii="宋体" w:hAnsi="宋体"/>
          <w:color w:val="000000" w:themeColor="text1"/>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rPr>
        <w:t>持不同意见的评标委员会成员应当在评标报告上签署不同意见及理由，否则视为同意评标报告。</w:t>
      </w:r>
      <w:r>
        <w:rPr>
          <w:rFonts w:hint="eastAsia" w:ascii="宋体" w:hAnsi="宋体"/>
          <w:color w:val="000000" w:themeColor="text1"/>
          <w:sz w:val="28"/>
          <w:szCs w:val="28"/>
        </w:rPr>
        <w:t>持不同意见的评标委员会成员认为认定过程和结果不符合法律法规或者招标文件规定的，应当及时向采购人或成都云辉工程项目管理有限公司书面反映。采购人或成都云辉工程项目管理有限公司收到书面反映后，应当书面报告采购项目同级财政部门依法处理。</w:t>
      </w:r>
    </w:p>
    <w:p>
      <w:pPr>
        <w:pStyle w:val="5"/>
        <w:numPr>
          <w:ilvl w:val="1"/>
          <w:numId w:val="4"/>
        </w:numPr>
        <w:spacing w:before="0" w:after="0" w:line="560" w:lineRule="exact"/>
        <w:ind w:left="2269" w:hanging="2269"/>
        <w:rPr>
          <w:color w:val="000000" w:themeColor="text1"/>
        </w:rPr>
      </w:pPr>
      <w:bookmarkStart w:id="466" w:name="_Toc18642"/>
      <w:bookmarkStart w:id="467" w:name="_Toc25222"/>
      <w:bookmarkStart w:id="468" w:name="_Toc6600"/>
      <w:bookmarkStart w:id="469" w:name="_Toc4317"/>
      <w:bookmarkStart w:id="470" w:name="_Toc23552"/>
      <w:r>
        <w:rPr>
          <w:rFonts w:hint="eastAsia"/>
          <w:color w:val="000000" w:themeColor="text1"/>
        </w:rPr>
        <w:t>评标细则及标准</w:t>
      </w:r>
      <w:bookmarkEnd w:id="463"/>
      <w:bookmarkEnd w:id="464"/>
      <w:bookmarkEnd w:id="465"/>
      <w:bookmarkEnd w:id="466"/>
      <w:bookmarkEnd w:id="467"/>
      <w:bookmarkEnd w:id="468"/>
      <w:bookmarkEnd w:id="469"/>
      <w:bookmarkEnd w:id="470"/>
    </w:p>
    <w:p>
      <w:pPr>
        <w:numPr>
          <w:ilvl w:val="0"/>
          <w:numId w:val="41"/>
        </w:numPr>
        <w:tabs>
          <w:tab w:val="left" w:pos="1155"/>
        </w:tabs>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评标委员会只对通过初审的投标文件，根据招标文件的要求采用相同的评标程序、评分办法及标准进行评价和比较。</w:t>
      </w:r>
    </w:p>
    <w:p>
      <w:pPr>
        <w:numPr>
          <w:ilvl w:val="0"/>
          <w:numId w:val="41"/>
        </w:numPr>
        <w:tabs>
          <w:tab w:val="left" w:pos="1155"/>
        </w:tabs>
        <w:spacing w:after="200" w:line="560" w:lineRule="exact"/>
        <w:ind w:left="0" w:firstLine="567"/>
        <w:rPr>
          <w:rFonts w:ascii="宋体" w:hAnsi="宋体"/>
          <w:color w:val="000000" w:themeColor="text1"/>
          <w:sz w:val="28"/>
          <w:szCs w:val="28"/>
        </w:rPr>
      </w:pPr>
      <w:r>
        <w:rPr>
          <w:rFonts w:hint="eastAsia" w:ascii="宋体" w:hAnsi="宋体"/>
          <w:color w:val="000000" w:themeColor="text1"/>
          <w:sz w:val="28"/>
          <w:szCs w:val="28"/>
        </w:rPr>
        <w:t>本次综合评分的因素是：价格、服务、商务等。</w:t>
      </w:r>
    </w:p>
    <w:p>
      <w:pPr>
        <w:numPr>
          <w:ilvl w:val="0"/>
          <w:numId w:val="41"/>
        </w:numPr>
        <w:tabs>
          <w:tab w:val="left" w:pos="1155"/>
        </w:tabs>
        <w:spacing w:after="200" w:line="560" w:lineRule="exact"/>
        <w:ind w:left="0" w:firstLine="525"/>
        <w:rPr>
          <w:rFonts w:ascii="宋体" w:hAnsi="宋体"/>
          <w:color w:val="000000" w:themeColor="text1"/>
          <w:sz w:val="28"/>
          <w:szCs w:val="28"/>
        </w:rPr>
      </w:pPr>
      <w:bookmarkStart w:id="471" w:name="_Toc310176995"/>
      <w:bookmarkStart w:id="472" w:name="_Toc217102344"/>
      <w:bookmarkStart w:id="473" w:name="_Toc218498587"/>
      <w:r>
        <w:rPr>
          <w:rFonts w:hint="eastAsia" w:ascii="宋体" w:hAnsi="宋体"/>
          <w:color w:val="000000" w:themeColor="text1"/>
          <w:sz w:val="28"/>
          <w:szCs w:val="28"/>
        </w:rPr>
        <w:t>评标委员会成员应依据招标文件规定的评分标准和方法独立打分。</w:t>
      </w:r>
    </w:p>
    <w:p>
      <w:pPr>
        <w:pStyle w:val="6"/>
        <w:numPr>
          <w:ilvl w:val="2"/>
          <w:numId w:val="4"/>
        </w:numPr>
        <w:spacing w:after="200" w:line="560" w:lineRule="exact"/>
        <w:ind w:left="0" w:firstLine="0"/>
        <w:rPr>
          <w:color w:val="000000" w:themeColor="text1"/>
        </w:rPr>
      </w:pPr>
      <w:r>
        <w:rPr>
          <w:rFonts w:hint="eastAsia"/>
          <w:color w:val="000000" w:themeColor="text1"/>
        </w:rPr>
        <w:t>评分办法</w:t>
      </w:r>
      <w:bookmarkEnd w:id="471"/>
      <w:bookmarkEnd w:id="472"/>
      <w:bookmarkEnd w:id="473"/>
    </w:p>
    <w:p>
      <w:pPr>
        <w:spacing w:line="560" w:lineRule="exact"/>
        <w:ind w:firstLine="630" w:firstLineChars="225"/>
        <w:rPr>
          <w:rFonts w:ascii="宋体" w:hAnsi="宋体"/>
          <w:color w:val="000000" w:themeColor="text1"/>
          <w:sz w:val="28"/>
          <w:szCs w:val="28"/>
        </w:rPr>
      </w:pPr>
      <w:r>
        <w:rPr>
          <w:rFonts w:hint="eastAsia" w:ascii="宋体" w:hAnsi="宋体"/>
          <w:color w:val="000000" w:themeColor="text1"/>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rPr>
      </w:pPr>
      <w:r>
        <w:rPr>
          <w:rFonts w:hint="eastAsia" w:ascii="宋体" w:hAnsi="宋体"/>
          <w:color w:val="000000" w:themeColor="text1"/>
          <w:sz w:val="28"/>
          <w:szCs w:val="28"/>
        </w:rPr>
        <w:t>评标得分＝（A</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＋A</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＋……＋A</w:t>
      </w:r>
      <w:r>
        <w:rPr>
          <w:rFonts w:hint="eastAsia" w:ascii="宋体" w:hAnsi="宋体"/>
          <w:color w:val="000000" w:themeColor="text1"/>
          <w:sz w:val="28"/>
          <w:szCs w:val="28"/>
          <w:vertAlign w:val="subscript"/>
        </w:rPr>
        <w:t>n</w:t>
      </w:r>
      <w:r>
        <w:rPr>
          <w:rFonts w:hint="eastAsia" w:ascii="宋体" w:hAnsi="宋体"/>
          <w:color w:val="000000" w:themeColor="text1"/>
          <w:sz w:val="28"/>
          <w:szCs w:val="28"/>
        </w:rPr>
        <w:t>）/n</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+（B</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＋B</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＋……＋B</w:t>
      </w:r>
      <w:r>
        <w:rPr>
          <w:rFonts w:hint="eastAsia" w:ascii="宋体" w:hAnsi="宋体"/>
          <w:color w:val="000000" w:themeColor="text1"/>
          <w:sz w:val="28"/>
          <w:szCs w:val="28"/>
          <w:vertAlign w:val="subscript"/>
        </w:rPr>
        <w:t>n</w:t>
      </w:r>
      <w:r>
        <w:rPr>
          <w:rFonts w:hint="eastAsia" w:ascii="宋体" w:hAnsi="宋体"/>
          <w:color w:val="000000" w:themeColor="text1"/>
          <w:sz w:val="28"/>
          <w:szCs w:val="28"/>
        </w:rPr>
        <w:t>）/ n</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+（C</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＋C</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＋……＋C</w:t>
      </w:r>
      <w:r>
        <w:rPr>
          <w:rFonts w:hint="eastAsia" w:ascii="宋体" w:hAnsi="宋体"/>
          <w:color w:val="000000" w:themeColor="text1"/>
          <w:sz w:val="28"/>
          <w:szCs w:val="28"/>
          <w:vertAlign w:val="subscript"/>
        </w:rPr>
        <w:t>n</w:t>
      </w:r>
      <w:r>
        <w:rPr>
          <w:rFonts w:hint="eastAsia" w:ascii="宋体" w:hAnsi="宋体"/>
          <w:color w:val="000000" w:themeColor="text1"/>
          <w:sz w:val="28"/>
          <w:szCs w:val="28"/>
        </w:rPr>
        <w:t>）/ n</w:t>
      </w:r>
      <w:r>
        <w:rPr>
          <w:rFonts w:hint="eastAsia" w:ascii="宋体" w:hAnsi="宋体"/>
          <w:color w:val="000000" w:themeColor="text1"/>
          <w:sz w:val="28"/>
          <w:szCs w:val="28"/>
          <w:vertAlign w:val="subscript"/>
        </w:rPr>
        <w:t>3</w:t>
      </w:r>
    </w:p>
    <w:p>
      <w:pPr>
        <w:widowControl/>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A</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、A</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……A</w:t>
      </w:r>
      <w:r>
        <w:rPr>
          <w:rFonts w:hint="eastAsia" w:ascii="宋体" w:hAnsi="宋体"/>
          <w:color w:val="000000" w:themeColor="text1"/>
          <w:sz w:val="28"/>
          <w:szCs w:val="28"/>
          <w:vertAlign w:val="subscript"/>
        </w:rPr>
        <w:t>n</w:t>
      </w:r>
      <w:r>
        <w:rPr>
          <w:rFonts w:hint="eastAsia" w:ascii="宋体" w:hAnsi="宋体"/>
          <w:color w:val="000000" w:themeColor="text1"/>
          <w:sz w:val="28"/>
          <w:szCs w:val="28"/>
        </w:rPr>
        <w:t>分别为每个</w:t>
      </w:r>
      <w:r>
        <w:rPr>
          <w:rFonts w:hint="eastAsia" w:ascii="宋体" w:hAnsi="宋体" w:cs="宋体"/>
          <w:color w:val="000000" w:themeColor="text1"/>
          <w:kern w:val="0"/>
          <w:sz w:val="28"/>
          <w:szCs w:val="28"/>
        </w:rPr>
        <w:t>经济类</w:t>
      </w:r>
      <w:r>
        <w:rPr>
          <w:rFonts w:hint="eastAsia" w:ascii="宋体" w:hAnsi="宋体"/>
          <w:color w:val="000000" w:themeColor="text1"/>
          <w:sz w:val="28"/>
          <w:szCs w:val="28"/>
        </w:rPr>
        <w:t>评委的打分，n</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为</w:t>
      </w:r>
      <w:r>
        <w:rPr>
          <w:rFonts w:hint="eastAsia" w:ascii="宋体" w:hAnsi="宋体" w:cs="宋体"/>
          <w:color w:val="000000" w:themeColor="text1"/>
          <w:kern w:val="0"/>
          <w:sz w:val="28"/>
          <w:szCs w:val="28"/>
        </w:rPr>
        <w:t>经济类</w:t>
      </w:r>
      <w:r>
        <w:rPr>
          <w:rFonts w:hint="eastAsia" w:ascii="宋体" w:hAnsi="宋体"/>
          <w:color w:val="000000" w:themeColor="text1"/>
          <w:sz w:val="28"/>
          <w:szCs w:val="28"/>
        </w:rPr>
        <w:t>评委人数；B</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、B</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＋……B</w:t>
      </w:r>
      <w:r>
        <w:rPr>
          <w:rFonts w:hint="eastAsia" w:ascii="宋体" w:hAnsi="宋体"/>
          <w:color w:val="000000" w:themeColor="text1"/>
          <w:sz w:val="28"/>
          <w:szCs w:val="28"/>
          <w:vertAlign w:val="subscript"/>
        </w:rPr>
        <w:t>n</w:t>
      </w:r>
      <w:r>
        <w:rPr>
          <w:rFonts w:hint="eastAsia" w:ascii="宋体" w:hAnsi="宋体"/>
          <w:color w:val="000000" w:themeColor="text1"/>
          <w:sz w:val="28"/>
          <w:szCs w:val="28"/>
        </w:rPr>
        <w:t xml:space="preserve"> 分别为每个技术类评委（含采购人代表）的打分，n</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为</w:t>
      </w:r>
      <w:r>
        <w:rPr>
          <w:rFonts w:hint="eastAsia" w:ascii="宋体" w:hAnsi="宋体" w:cs="宋体"/>
          <w:color w:val="000000" w:themeColor="text1"/>
          <w:kern w:val="0"/>
          <w:sz w:val="28"/>
          <w:szCs w:val="28"/>
        </w:rPr>
        <w:t>技术类</w:t>
      </w:r>
      <w:r>
        <w:rPr>
          <w:rFonts w:hint="eastAsia" w:ascii="宋体" w:hAnsi="宋体"/>
          <w:color w:val="000000" w:themeColor="text1"/>
          <w:sz w:val="28"/>
          <w:szCs w:val="28"/>
        </w:rPr>
        <w:t>评委（含采购人代表）人数；C</w:t>
      </w:r>
      <w:r>
        <w:rPr>
          <w:rFonts w:hint="eastAsia" w:ascii="宋体" w:hAnsi="宋体"/>
          <w:color w:val="000000" w:themeColor="text1"/>
          <w:sz w:val="28"/>
          <w:szCs w:val="28"/>
          <w:vertAlign w:val="subscript"/>
        </w:rPr>
        <w:t>1</w:t>
      </w:r>
      <w:r>
        <w:rPr>
          <w:rFonts w:hint="eastAsia" w:ascii="宋体" w:hAnsi="宋体"/>
          <w:color w:val="000000" w:themeColor="text1"/>
          <w:sz w:val="28"/>
          <w:szCs w:val="28"/>
        </w:rPr>
        <w:t>、C</w:t>
      </w:r>
      <w:r>
        <w:rPr>
          <w:rFonts w:hint="eastAsia" w:ascii="宋体" w:hAnsi="宋体"/>
          <w:color w:val="000000" w:themeColor="text1"/>
          <w:sz w:val="28"/>
          <w:szCs w:val="28"/>
          <w:vertAlign w:val="subscript"/>
        </w:rPr>
        <w:t>2</w:t>
      </w:r>
      <w:r>
        <w:rPr>
          <w:rFonts w:hint="eastAsia" w:ascii="宋体" w:hAnsi="宋体"/>
          <w:color w:val="000000" w:themeColor="text1"/>
          <w:sz w:val="28"/>
          <w:szCs w:val="28"/>
        </w:rPr>
        <w:t>……C</w:t>
      </w:r>
      <w:r>
        <w:rPr>
          <w:rFonts w:hint="eastAsia" w:ascii="宋体" w:hAnsi="宋体"/>
          <w:color w:val="000000" w:themeColor="text1"/>
          <w:sz w:val="28"/>
          <w:szCs w:val="28"/>
          <w:vertAlign w:val="subscript"/>
        </w:rPr>
        <w:t>n</w:t>
      </w:r>
      <w:r>
        <w:rPr>
          <w:rFonts w:hint="eastAsia" w:ascii="宋体" w:hAnsi="宋体"/>
          <w:color w:val="000000" w:themeColor="text1"/>
          <w:sz w:val="28"/>
          <w:szCs w:val="28"/>
        </w:rPr>
        <w:t xml:space="preserve"> 分别为评审委员会每个成员的打分，n</w:t>
      </w:r>
      <w:r>
        <w:rPr>
          <w:rFonts w:hint="eastAsia" w:ascii="宋体" w:hAnsi="宋体"/>
          <w:color w:val="000000" w:themeColor="text1"/>
          <w:sz w:val="28"/>
          <w:szCs w:val="28"/>
          <w:vertAlign w:val="subscript"/>
        </w:rPr>
        <w:t>3</w:t>
      </w:r>
      <w:r>
        <w:rPr>
          <w:rFonts w:hint="eastAsia" w:ascii="宋体" w:hAnsi="宋体"/>
          <w:color w:val="000000" w:themeColor="text1"/>
          <w:sz w:val="28"/>
          <w:szCs w:val="28"/>
        </w:rPr>
        <w:t>为评委人数。</w:t>
      </w:r>
    </w:p>
    <w:p>
      <w:pPr>
        <w:pStyle w:val="6"/>
        <w:numPr>
          <w:ilvl w:val="2"/>
          <w:numId w:val="4"/>
        </w:numPr>
        <w:spacing w:after="200"/>
        <w:ind w:left="0" w:firstLine="0"/>
        <w:rPr>
          <w:color w:val="000000" w:themeColor="text1"/>
        </w:rPr>
      </w:pPr>
      <w:r>
        <w:rPr>
          <w:rFonts w:hint="eastAsia"/>
          <w:color w:val="000000" w:themeColor="text1"/>
        </w:rPr>
        <w:t>评分标准</w:t>
      </w:r>
    </w:p>
    <w:tbl>
      <w:tblPr>
        <w:tblStyle w:val="43"/>
        <w:tblW w:w="94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1117"/>
        <w:gridCol w:w="6352"/>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0" w:hRule="atLeast"/>
          <w:jc w:val="center"/>
        </w:trPr>
        <w:tc>
          <w:tcPr>
            <w:tcW w:w="1275" w:type="dxa"/>
            <w:vAlign w:val="center"/>
          </w:tcPr>
          <w:p>
            <w:pPr>
              <w:widowControl/>
              <w:spacing w:line="420" w:lineRule="exact"/>
              <w:rPr>
                <w:rFonts w:ascii="宋体" w:hAnsi="宋体" w:cs="宋体"/>
                <w:b/>
                <w:sz w:val="24"/>
              </w:rPr>
            </w:pPr>
            <w:r>
              <w:rPr>
                <w:rFonts w:hint="eastAsia" w:ascii="宋体" w:hAnsi="宋体" w:cs="宋体"/>
                <w:b/>
                <w:sz w:val="24"/>
              </w:rPr>
              <w:t>评委类型</w:t>
            </w:r>
          </w:p>
        </w:tc>
        <w:tc>
          <w:tcPr>
            <w:tcW w:w="1117" w:type="dxa"/>
            <w:tcMar>
              <w:top w:w="0" w:type="dxa"/>
              <w:left w:w="80" w:type="dxa"/>
              <w:bottom w:w="0" w:type="dxa"/>
              <w:right w:w="0" w:type="dxa"/>
            </w:tcMar>
            <w:vAlign w:val="center"/>
          </w:tcPr>
          <w:p>
            <w:pPr>
              <w:widowControl/>
              <w:spacing w:line="420" w:lineRule="exact"/>
              <w:rPr>
                <w:rFonts w:ascii="宋体" w:hAnsi="宋体" w:cs="宋体"/>
                <w:b/>
                <w:sz w:val="24"/>
              </w:rPr>
            </w:pPr>
            <w:r>
              <w:rPr>
                <w:rFonts w:hint="eastAsia" w:ascii="宋体" w:hAnsi="宋体" w:cs="宋体"/>
                <w:b/>
                <w:sz w:val="24"/>
              </w:rPr>
              <w:t>评审项目</w:t>
            </w:r>
          </w:p>
        </w:tc>
        <w:tc>
          <w:tcPr>
            <w:tcW w:w="6352" w:type="dxa"/>
            <w:tcMar>
              <w:top w:w="0" w:type="dxa"/>
              <w:left w:w="80" w:type="dxa"/>
              <w:bottom w:w="0" w:type="dxa"/>
              <w:right w:w="0" w:type="dxa"/>
            </w:tcMar>
            <w:vAlign w:val="center"/>
          </w:tcPr>
          <w:p>
            <w:pPr>
              <w:widowControl/>
              <w:spacing w:line="420" w:lineRule="exact"/>
              <w:jc w:val="center"/>
              <w:rPr>
                <w:rFonts w:ascii="宋体" w:hAnsi="宋体" w:cs="宋体"/>
                <w:b/>
                <w:sz w:val="24"/>
              </w:rPr>
            </w:pPr>
            <w:r>
              <w:rPr>
                <w:rFonts w:hint="eastAsia" w:ascii="宋体" w:hAnsi="宋体" w:cs="宋体"/>
                <w:b/>
                <w:sz w:val="24"/>
              </w:rPr>
              <w:t>评分标准</w:t>
            </w:r>
          </w:p>
        </w:tc>
        <w:tc>
          <w:tcPr>
            <w:tcW w:w="658" w:type="dxa"/>
            <w:tcMar>
              <w:top w:w="0" w:type="dxa"/>
              <w:left w:w="80" w:type="dxa"/>
              <w:bottom w:w="0" w:type="dxa"/>
              <w:right w:w="0" w:type="dxa"/>
            </w:tcMar>
            <w:vAlign w:val="center"/>
          </w:tcPr>
          <w:p>
            <w:pPr>
              <w:widowControl/>
              <w:spacing w:line="420" w:lineRule="exact"/>
              <w:rPr>
                <w:rFonts w:ascii="宋体" w:hAnsi="宋体" w:cs="宋体"/>
                <w:b/>
                <w:sz w:val="24"/>
              </w:rPr>
            </w:pPr>
            <w:r>
              <w:rPr>
                <w:rFonts w:hint="eastAsia" w:ascii="宋体" w:hAnsi="宋体" w:cs="宋体"/>
                <w:b/>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jc w:val="center"/>
        </w:trPr>
        <w:tc>
          <w:tcPr>
            <w:tcW w:w="1275" w:type="dxa"/>
            <w:vAlign w:val="center"/>
          </w:tcPr>
          <w:p>
            <w:pPr>
              <w:widowControl/>
              <w:spacing w:line="420" w:lineRule="exact"/>
              <w:rPr>
                <w:rFonts w:ascii="宋体" w:hAnsi="宋体" w:cs="宋体"/>
                <w:bCs/>
                <w:sz w:val="24"/>
              </w:rPr>
            </w:pPr>
            <w:r>
              <w:rPr>
                <w:rFonts w:hint="eastAsia" w:ascii="宋体" w:hAnsi="宋体" w:cs="宋体"/>
                <w:bCs/>
                <w:sz w:val="24"/>
              </w:rPr>
              <w:t>共同评审</w:t>
            </w: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报价评审</w:t>
            </w:r>
          </w:p>
        </w:tc>
        <w:tc>
          <w:tcPr>
            <w:tcW w:w="6352" w:type="dxa"/>
            <w:tcMar>
              <w:top w:w="0" w:type="dxa"/>
              <w:left w:w="80" w:type="dxa"/>
              <w:bottom w:w="0" w:type="dxa"/>
              <w:right w:w="0" w:type="dxa"/>
            </w:tcMar>
          </w:tcPr>
          <w:p>
            <w:pPr>
              <w:widowControl/>
              <w:spacing w:line="420" w:lineRule="exact"/>
              <w:rPr>
                <w:rFonts w:ascii="宋体" w:hAnsi="宋体" w:cs="宋体"/>
                <w:bCs/>
                <w:sz w:val="24"/>
              </w:rPr>
            </w:pPr>
            <w:r>
              <w:rPr>
                <w:rFonts w:hint="eastAsia" w:ascii="宋体" w:hAnsi="宋体" w:cs="宋体"/>
                <w:bCs/>
                <w:sz w:val="24"/>
              </w:rPr>
              <w:t>1.经评审的最低有效投标报价作为评标基准价；</w:t>
            </w:r>
          </w:p>
          <w:p>
            <w:pPr>
              <w:widowControl/>
              <w:spacing w:line="420" w:lineRule="exact"/>
              <w:rPr>
                <w:rFonts w:ascii="宋体" w:hAnsi="宋体" w:cs="宋体"/>
                <w:bCs/>
                <w:sz w:val="24"/>
              </w:rPr>
            </w:pPr>
            <w:r>
              <w:rPr>
                <w:rFonts w:hint="eastAsia" w:ascii="宋体" w:hAnsi="宋体" w:cs="宋体"/>
                <w:bCs/>
                <w:sz w:val="24"/>
              </w:rPr>
              <w:t>2.投标报价得分=(评标基准价／投标报价)×30。</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jc w:val="center"/>
        </w:trPr>
        <w:tc>
          <w:tcPr>
            <w:tcW w:w="1275" w:type="dxa"/>
            <w:vAlign w:val="center"/>
          </w:tcPr>
          <w:p>
            <w:pPr>
              <w:widowControl/>
              <w:spacing w:line="420" w:lineRule="exact"/>
              <w:rPr>
                <w:rFonts w:ascii="宋体" w:hAnsi="宋体" w:cs="宋体"/>
                <w:bCs/>
                <w:sz w:val="24"/>
              </w:rPr>
            </w:pPr>
            <w:r>
              <w:rPr>
                <w:rFonts w:hint="eastAsia" w:ascii="宋体" w:hAnsi="宋体" w:cs="宋体"/>
                <w:bCs/>
                <w:sz w:val="24"/>
              </w:rPr>
              <w:t>共同评审</w:t>
            </w: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履约能力</w:t>
            </w:r>
          </w:p>
        </w:tc>
        <w:tc>
          <w:tcPr>
            <w:tcW w:w="6352" w:type="dxa"/>
            <w:tcMar>
              <w:top w:w="0" w:type="dxa"/>
              <w:left w:w="80" w:type="dxa"/>
              <w:bottom w:w="0" w:type="dxa"/>
              <w:right w:w="0" w:type="dxa"/>
            </w:tcMar>
          </w:tcPr>
          <w:p>
            <w:pPr>
              <w:widowControl/>
              <w:spacing w:line="420" w:lineRule="exact"/>
              <w:rPr>
                <w:rFonts w:ascii="宋体" w:hAnsi="宋体" w:cs="宋体"/>
                <w:bCs/>
                <w:sz w:val="24"/>
              </w:rPr>
            </w:pPr>
            <w:r>
              <w:rPr>
                <w:rFonts w:hint="eastAsia" w:ascii="宋体" w:hAnsi="宋体" w:cs="宋体"/>
                <w:bCs/>
                <w:sz w:val="24"/>
              </w:rPr>
              <w:t>投标人2018年1月1日以来，每有一个类似项目业绩得2分，最多得10分。[说明：提供合同协议书复印件和中标（成交）通知书。均需加盖公章。]</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jc w:val="center"/>
        </w:trPr>
        <w:tc>
          <w:tcPr>
            <w:tcW w:w="1275" w:type="dxa"/>
            <w:vAlign w:val="center"/>
          </w:tcPr>
          <w:p>
            <w:pPr>
              <w:widowControl/>
              <w:spacing w:line="420" w:lineRule="exact"/>
              <w:rPr>
                <w:rFonts w:ascii="宋体" w:hAnsi="宋体" w:cs="宋体"/>
                <w:bCs/>
                <w:sz w:val="24"/>
              </w:rPr>
            </w:pPr>
            <w:r>
              <w:rPr>
                <w:rFonts w:hint="eastAsia" w:ascii="宋体" w:hAnsi="宋体" w:cs="宋体"/>
                <w:bCs/>
                <w:sz w:val="24"/>
              </w:rPr>
              <w:t>共同评审</w:t>
            </w: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信誉</w:t>
            </w:r>
          </w:p>
        </w:tc>
        <w:tc>
          <w:tcPr>
            <w:tcW w:w="6352"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1、投标人具备有效期内的质量管理体系认证证书的得2分。</w:t>
            </w:r>
          </w:p>
          <w:p>
            <w:pPr>
              <w:widowControl/>
              <w:spacing w:line="420" w:lineRule="exact"/>
              <w:rPr>
                <w:rFonts w:ascii="宋体" w:hAnsi="宋体" w:cs="宋体"/>
                <w:bCs/>
                <w:sz w:val="24"/>
              </w:rPr>
            </w:pPr>
            <w:r>
              <w:rPr>
                <w:rFonts w:hint="eastAsia" w:ascii="宋体" w:hAnsi="宋体" w:cs="宋体"/>
                <w:bCs/>
                <w:sz w:val="24"/>
              </w:rPr>
              <w:t>2、投标人具备有效期内的环境管理体系认证证书的得2分。</w:t>
            </w:r>
          </w:p>
          <w:p>
            <w:pPr>
              <w:widowControl/>
              <w:spacing w:line="420" w:lineRule="exact"/>
              <w:rPr>
                <w:rFonts w:ascii="宋体" w:hAnsi="宋体" w:cs="宋体"/>
                <w:bCs/>
                <w:sz w:val="24"/>
              </w:rPr>
            </w:pPr>
            <w:r>
              <w:rPr>
                <w:rFonts w:hint="eastAsia" w:ascii="宋体" w:hAnsi="宋体" w:cs="宋体"/>
                <w:bCs/>
                <w:sz w:val="24"/>
              </w:rPr>
              <w:t>3、投标人具备有效期内的职业健康安全管理体系认证证书的得2分。</w:t>
            </w:r>
          </w:p>
          <w:p>
            <w:pPr>
              <w:widowControl/>
              <w:spacing w:line="420" w:lineRule="exact"/>
              <w:rPr>
                <w:rFonts w:ascii="宋体" w:hAnsi="宋体" w:cs="宋体"/>
                <w:bCs/>
                <w:sz w:val="24"/>
              </w:rPr>
            </w:pPr>
            <w:r>
              <w:rPr>
                <w:rFonts w:hint="eastAsia" w:ascii="宋体" w:hAnsi="宋体" w:cs="宋体"/>
                <w:bCs/>
                <w:sz w:val="24"/>
              </w:rPr>
              <w:t>（说明：以上1-3项需提供证书复印件。）</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64" w:hRule="atLeast"/>
          <w:jc w:val="center"/>
        </w:trPr>
        <w:tc>
          <w:tcPr>
            <w:tcW w:w="1275" w:type="dxa"/>
            <w:vMerge w:val="restart"/>
            <w:vAlign w:val="center"/>
          </w:tcPr>
          <w:p>
            <w:pPr>
              <w:widowControl/>
              <w:spacing w:line="420" w:lineRule="exact"/>
              <w:rPr>
                <w:rFonts w:ascii="宋体" w:hAnsi="宋体" w:cs="宋体"/>
                <w:bCs/>
                <w:sz w:val="24"/>
              </w:rPr>
            </w:pPr>
            <w:r>
              <w:rPr>
                <w:rFonts w:hint="eastAsia" w:ascii="宋体" w:hAnsi="宋体" w:cs="宋体"/>
                <w:bCs/>
                <w:sz w:val="24"/>
              </w:rPr>
              <w:t>技术类评委</w:t>
            </w: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技术指标及参数</w:t>
            </w:r>
          </w:p>
        </w:tc>
        <w:tc>
          <w:tcPr>
            <w:tcW w:w="6352"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投标产品满足招标文件要求得8分，每有一项不满足招标文件要求的扣1分，扣完为止。（说明：提供核心产品检验报告，检测报告需加盖投标产品生产厂商公章）</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jc w:val="center"/>
        </w:trPr>
        <w:tc>
          <w:tcPr>
            <w:tcW w:w="1275" w:type="dxa"/>
            <w:vMerge w:val="continue"/>
            <w:vAlign w:val="center"/>
          </w:tcPr>
          <w:p>
            <w:pPr>
              <w:widowControl/>
              <w:spacing w:line="420" w:lineRule="exact"/>
              <w:rPr>
                <w:rFonts w:ascii="宋体" w:hAnsi="宋体" w:cs="宋体"/>
                <w:bCs/>
                <w:sz w:val="24"/>
              </w:rPr>
            </w:pP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样品</w:t>
            </w:r>
          </w:p>
        </w:tc>
        <w:tc>
          <w:tcPr>
            <w:tcW w:w="6352"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凡是出现下列任一情况的该项得分均为0分：（1）未提供样品的；（2）少送样品的；（3）错送样品的。</w:t>
            </w:r>
          </w:p>
          <w:p>
            <w:pPr>
              <w:widowControl/>
              <w:spacing w:line="420" w:lineRule="exact"/>
              <w:rPr>
                <w:rFonts w:ascii="宋体" w:hAnsi="宋体" w:cs="宋体"/>
                <w:bCs/>
                <w:sz w:val="24"/>
              </w:rPr>
            </w:pPr>
            <w:r>
              <w:rPr>
                <w:rFonts w:hint="eastAsia" w:ascii="宋体" w:hAnsi="宋体" w:cs="宋体"/>
                <w:bCs/>
                <w:sz w:val="24"/>
              </w:rPr>
              <w:t>根据投标样品①制作工艺、②表面处理工艺、③产品质量、④整体工艺水准等进行综合评分，</w:t>
            </w:r>
            <w:r>
              <w:rPr>
                <w:rFonts w:hint="eastAsia" w:ascii="宋体" w:hAnsi="宋体" w:cs="仿宋"/>
                <w:sz w:val="24"/>
              </w:rPr>
              <w:t>第一名得8分；第一名以后名次每降低1位，在前一名的得分基础上减2分；第四名及以后不得分，排名可并列。</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5" w:hRule="atLeast"/>
          <w:jc w:val="center"/>
        </w:trPr>
        <w:tc>
          <w:tcPr>
            <w:tcW w:w="1275" w:type="dxa"/>
            <w:vMerge w:val="continue"/>
            <w:vAlign w:val="center"/>
          </w:tcPr>
          <w:p>
            <w:pPr>
              <w:widowControl/>
              <w:spacing w:line="420" w:lineRule="exact"/>
              <w:rPr>
                <w:rFonts w:ascii="宋体" w:hAnsi="宋体" w:cs="宋体"/>
                <w:bCs/>
                <w:sz w:val="24"/>
              </w:rPr>
            </w:pP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服务方案</w:t>
            </w:r>
          </w:p>
        </w:tc>
        <w:tc>
          <w:tcPr>
            <w:tcW w:w="6352" w:type="dxa"/>
            <w:tcMar>
              <w:top w:w="0" w:type="dxa"/>
              <w:left w:w="80" w:type="dxa"/>
              <w:bottom w:w="0" w:type="dxa"/>
              <w:right w:w="0" w:type="dxa"/>
            </w:tcMar>
            <w:vAlign w:val="center"/>
          </w:tcPr>
          <w:p>
            <w:pPr>
              <w:widowControl/>
              <w:spacing w:line="420" w:lineRule="exact"/>
              <w:rPr>
                <w:rFonts w:hint="eastAsia" w:ascii="宋体" w:hAnsi="宋体" w:eastAsia="宋体" w:cs="宋体"/>
                <w:bCs/>
                <w:sz w:val="24"/>
                <w:lang w:eastAsia="zh-CN"/>
              </w:rPr>
            </w:pPr>
            <w:r>
              <w:rPr>
                <w:rFonts w:hint="eastAsia" w:ascii="宋体" w:hAnsi="宋体" w:cs="宋体"/>
                <w:bCs/>
                <w:sz w:val="24"/>
              </w:rPr>
              <w:t>根据投标人针对本项目拟定的服务方案（包含但不限于1、垃圾投放分类亭制造及安装方案；2、运输方案；3、维修响应时间及维修服务承诺；4、售后服务人员配置；5、应急处理措施；6、人员培训计划；7、备品备件配置；8、产品维护保养方案等）进行综合比较评分：服务方案科学完整、符合实际得32分，每缺一项内容扣4分，方案内容每有一项出现缺陷或缺乏针对性或不完善的扣2分，扣完为止。</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32分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jc w:val="center"/>
        </w:trPr>
        <w:tc>
          <w:tcPr>
            <w:tcW w:w="1275" w:type="dxa"/>
            <w:vAlign w:val="center"/>
          </w:tcPr>
          <w:p>
            <w:pPr>
              <w:widowControl/>
              <w:spacing w:line="420" w:lineRule="exact"/>
              <w:rPr>
                <w:rFonts w:ascii="宋体" w:hAnsi="宋体" w:cs="宋体"/>
                <w:bCs/>
                <w:sz w:val="24"/>
              </w:rPr>
            </w:pPr>
            <w:r>
              <w:rPr>
                <w:rFonts w:hint="eastAsia" w:ascii="宋体" w:hAnsi="宋体" w:cs="宋体"/>
                <w:bCs/>
                <w:sz w:val="24"/>
              </w:rPr>
              <w:t>共同评审</w:t>
            </w: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设备配置</w:t>
            </w:r>
          </w:p>
        </w:tc>
        <w:tc>
          <w:tcPr>
            <w:tcW w:w="6352"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投标产品的生产厂家配置有激光切割机，剪板机，折弯机，焊机，冲击机的得5分，缺少一项扣1分，扣完为止。</w:t>
            </w:r>
          </w:p>
          <w:p>
            <w:pPr>
              <w:widowControl/>
              <w:spacing w:line="420" w:lineRule="exact"/>
              <w:rPr>
                <w:rFonts w:ascii="宋体" w:hAnsi="宋体" w:cs="宋体"/>
                <w:bCs/>
                <w:sz w:val="24"/>
              </w:rPr>
            </w:pPr>
            <w:r>
              <w:rPr>
                <w:rFonts w:hint="eastAsia" w:ascii="宋体" w:hAnsi="宋体" w:cs="宋体"/>
                <w:bCs/>
                <w:sz w:val="24"/>
              </w:rPr>
              <w:t>【提供设备及厂房照片（照片需反映厂房内配置的相应设备）；设备如为投标产品的生产厂家自有，提供相应设备的购置发票，设备如为投标产品的生产厂家租赁，提供相应设备的租赁合同和购置发票。】</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9" w:hRule="atLeast"/>
          <w:jc w:val="center"/>
        </w:trPr>
        <w:tc>
          <w:tcPr>
            <w:tcW w:w="1275" w:type="dxa"/>
            <w:vAlign w:val="center"/>
          </w:tcPr>
          <w:p>
            <w:pPr>
              <w:widowControl/>
              <w:spacing w:line="420" w:lineRule="exact"/>
              <w:rPr>
                <w:rFonts w:ascii="宋体" w:hAnsi="宋体" w:cs="宋体"/>
                <w:bCs/>
                <w:sz w:val="24"/>
              </w:rPr>
            </w:pPr>
            <w:r>
              <w:rPr>
                <w:rFonts w:hint="eastAsia" w:ascii="宋体" w:hAnsi="宋体" w:cs="宋体"/>
                <w:bCs/>
                <w:sz w:val="24"/>
              </w:rPr>
              <w:t>共同评审</w:t>
            </w:r>
          </w:p>
        </w:tc>
        <w:tc>
          <w:tcPr>
            <w:tcW w:w="1117"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节能环保</w:t>
            </w:r>
          </w:p>
        </w:tc>
        <w:tc>
          <w:tcPr>
            <w:tcW w:w="6352" w:type="dxa"/>
            <w:tcMar>
              <w:top w:w="0" w:type="dxa"/>
              <w:left w:w="80" w:type="dxa"/>
              <w:bottom w:w="0" w:type="dxa"/>
              <w:right w:w="0" w:type="dxa"/>
            </w:tcMar>
            <w:vAlign w:val="center"/>
          </w:tcPr>
          <w:p>
            <w:pPr>
              <w:widowControl/>
              <w:spacing w:line="420" w:lineRule="exact"/>
              <w:rPr>
                <w:rFonts w:ascii="宋体" w:hAnsi="宋体" w:cs="宋体"/>
                <w:bCs/>
                <w:sz w:val="24"/>
              </w:rPr>
            </w:pPr>
            <w:r>
              <w:rPr>
                <w:rFonts w:hint="eastAsia" w:ascii="宋体" w:hAnsi="宋体" w:cs="宋体"/>
                <w:bCs/>
                <w:sz w:val="24"/>
              </w:rPr>
              <w:t>投标产品中属于“政府采购节能产品、环境标志产品实施品目清单”中实施政府优先采购的，提供国家确定的认证机构出具的、处于有效期内的节能产品、环境标志产品认证证书复印件或提供中国政府采购网产品获证情况的网页截图的，得1分。</w:t>
            </w:r>
          </w:p>
          <w:p>
            <w:pPr>
              <w:widowControl/>
              <w:spacing w:line="420" w:lineRule="exact"/>
              <w:rPr>
                <w:rFonts w:ascii="宋体" w:hAnsi="宋体" w:cs="宋体"/>
                <w:bCs/>
                <w:sz w:val="24"/>
              </w:rPr>
            </w:pPr>
            <w:r>
              <w:rPr>
                <w:rFonts w:hint="eastAsia" w:ascii="宋体" w:hAnsi="宋体" w:cs="宋体"/>
                <w:bCs/>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420" w:lineRule="exact"/>
              <w:rPr>
                <w:rFonts w:ascii="宋体" w:hAnsi="宋体" w:cs="宋体"/>
                <w:bCs/>
                <w:sz w:val="24"/>
              </w:rPr>
            </w:pPr>
            <w:r>
              <w:rPr>
                <w:rFonts w:hint="eastAsia" w:ascii="宋体" w:hAnsi="宋体" w:cs="宋体"/>
                <w:bCs/>
                <w:sz w:val="24"/>
              </w:rPr>
              <w:t>2. 采购产品为“政府采购节能产品、环境标志产品实施品目清单”中实施政府强制采购的，未获得国家确认的认证机构出具的、处于有效期内的节能产品、环境标志产品认证证书的产品将作无效投标处理。</w:t>
            </w:r>
          </w:p>
        </w:tc>
        <w:tc>
          <w:tcPr>
            <w:tcW w:w="658" w:type="dxa"/>
            <w:tcMar>
              <w:top w:w="0" w:type="dxa"/>
              <w:left w:w="80" w:type="dxa"/>
              <w:bottom w:w="0" w:type="dxa"/>
              <w:right w:w="0" w:type="dxa"/>
            </w:tcMar>
            <w:vAlign w:val="center"/>
          </w:tcPr>
          <w:p>
            <w:pPr>
              <w:widowControl/>
              <w:spacing w:line="420" w:lineRule="exact"/>
              <w:rPr>
                <w:rFonts w:ascii="宋体" w:hAnsi="宋体" w:cs="宋体"/>
                <w:sz w:val="24"/>
              </w:rPr>
            </w:pPr>
            <w:r>
              <w:rPr>
                <w:rFonts w:hint="eastAsia" w:ascii="宋体" w:hAnsi="宋体" w:cs="宋体"/>
                <w:sz w:val="24"/>
              </w:rPr>
              <w:t>1分</w:t>
            </w:r>
          </w:p>
        </w:tc>
      </w:tr>
    </w:tbl>
    <w:p>
      <w:pPr>
        <w:spacing w:line="560" w:lineRule="exact"/>
        <w:ind w:firstLine="560" w:firstLineChars="200"/>
        <w:rPr>
          <w:rFonts w:ascii="宋体" w:hAnsi="宋体"/>
          <w:color w:val="000000" w:themeColor="text1"/>
          <w:sz w:val="28"/>
        </w:rPr>
      </w:pPr>
      <w:r>
        <w:rPr>
          <w:rFonts w:hint="eastAsia" w:ascii="宋体" w:hAnsi="宋体"/>
          <w:color w:val="000000" w:themeColor="text1"/>
          <w:sz w:val="28"/>
        </w:rPr>
        <w:t>说明：</w:t>
      </w:r>
    </w:p>
    <w:p>
      <w:pPr>
        <w:spacing w:line="560" w:lineRule="exact"/>
        <w:ind w:firstLine="560" w:firstLineChars="200"/>
        <w:rPr>
          <w:rFonts w:ascii="宋体" w:hAnsi="宋体"/>
          <w:color w:val="000000" w:themeColor="text1"/>
          <w:sz w:val="28"/>
        </w:rPr>
      </w:pPr>
      <w:r>
        <w:rPr>
          <w:rFonts w:hint="eastAsia" w:ascii="宋体" w:hAnsi="宋体"/>
          <w:color w:val="000000" w:themeColor="text1"/>
          <w:sz w:val="28"/>
        </w:rPr>
        <w:t>1、评分的取值按四舍五入法，保留小数点后两位；</w:t>
      </w:r>
    </w:p>
    <w:p>
      <w:pPr>
        <w:spacing w:line="560" w:lineRule="exact"/>
        <w:ind w:firstLine="560" w:firstLineChars="200"/>
        <w:rPr>
          <w:rFonts w:ascii="宋体" w:hAnsi="宋体"/>
          <w:color w:val="000000" w:themeColor="text1"/>
          <w:sz w:val="28"/>
        </w:rPr>
      </w:pPr>
      <w:r>
        <w:rPr>
          <w:rFonts w:hint="eastAsia" w:ascii="宋体" w:hAnsi="宋体"/>
          <w:color w:val="000000" w:themeColor="text1"/>
          <w:sz w:val="28"/>
        </w:rPr>
        <w:t>2、评分标准中要求提供复印件的证明材料须清晰可辨。</w:t>
      </w:r>
    </w:p>
    <w:p>
      <w:pPr>
        <w:pStyle w:val="5"/>
        <w:numPr>
          <w:ilvl w:val="1"/>
          <w:numId w:val="4"/>
        </w:numPr>
        <w:spacing w:before="0" w:after="0" w:line="560" w:lineRule="exact"/>
        <w:ind w:left="2269" w:hanging="2127"/>
        <w:rPr>
          <w:color w:val="000000" w:themeColor="text1"/>
        </w:rPr>
      </w:pPr>
      <w:bookmarkStart w:id="474" w:name="_Toc320624275"/>
      <w:bookmarkEnd w:id="474"/>
      <w:bookmarkStart w:id="475" w:name="_Toc320624255"/>
      <w:bookmarkEnd w:id="475"/>
      <w:bookmarkStart w:id="476" w:name="_Toc320624295"/>
      <w:bookmarkEnd w:id="476"/>
      <w:bookmarkStart w:id="477" w:name="_Toc315871657"/>
      <w:bookmarkEnd w:id="477"/>
      <w:bookmarkStart w:id="478" w:name="_Toc315871725"/>
      <w:bookmarkEnd w:id="478"/>
      <w:bookmarkStart w:id="479" w:name="_Toc320624290"/>
      <w:bookmarkEnd w:id="479"/>
      <w:bookmarkStart w:id="480" w:name="_Toc318206701"/>
      <w:bookmarkEnd w:id="480"/>
      <w:bookmarkStart w:id="481" w:name="_Toc320624265"/>
      <w:bookmarkEnd w:id="481"/>
      <w:bookmarkStart w:id="482" w:name="_Toc320624285"/>
      <w:bookmarkEnd w:id="482"/>
      <w:bookmarkStart w:id="483" w:name="_Toc315871658"/>
      <w:bookmarkEnd w:id="483"/>
      <w:bookmarkStart w:id="484" w:name="_Toc320624280"/>
      <w:bookmarkEnd w:id="484"/>
      <w:bookmarkStart w:id="485" w:name="_Toc320624260"/>
      <w:bookmarkEnd w:id="485"/>
      <w:bookmarkStart w:id="486" w:name="_Toc315871656"/>
      <w:bookmarkEnd w:id="486"/>
      <w:bookmarkStart w:id="487" w:name="_Toc320624240"/>
      <w:bookmarkEnd w:id="487"/>
      <w:bookmarkStart w:id="488" w:name="_Toc15076"/>
      <w:bookmarkStart w:id="489" w:name="_Toc19565"/>
      <w:bookmarkStart w:id="490" w:name="_Toc23841"/>
      <w:bookmarkStart w:id="491" w:name="_Toc6898"/>
      <w:bookmarkStart w:id="492" w:name="_Toc315871726"/>
      <w:bookmarkStart w:id="493" w:name="_Toc18803"/>
      <w:bookmarkStart w:id="494" w:name="_Toc316292258"/>
      <w:bookmarkStart w:id="495" w:name="_Toc217446060"/>
      <w:r>
        <w:rPr>
          <w:rFonts w:hint="eastAsia"/>
          <w:color w:val="000000" w:themeColor="text1"/>
        </w:rPr>
        <w:t>废标</w:t>
      </w:r>
      <w:bookmarkEnd w:id="488"/>
      <w:bookmarkEnd w:id="489"/>
      <w:bookmarkEnd w:id="490"/>
      <w:bookmarkEnd w:id="491"/>
      <w:bookmarkEnd w:id="492"/>
      <w:bookmarkEnd w:id="493"/>
      <w:bookmarkEnd w:id="494"/>
    </w:p>
    <w:p>
      <w:pPr>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本次政府采购活动中，出现下列情形之一的，予以废标：</w:t>
      </w:r>
    </w:p>
    <w:p>
      <w:pPr>
        <w:numPr>
          <w:ilvl w:val="0"/>
          <w:numId w:val="42"/>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符合专业条件的投标人或者对招标文件作实质响应的投标人不足三家的；</w:t>
      </w:r>
    </w:p>
    <w:p>
      <w:pPr>
        <w:numPr>
          <w:ilvl w:val="0"/>
          <w:numId w:val="42"/>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出现影响采购公正的违法、违规行为的；</w:t>
      </w:r>
    </w:p>
    <w:p>
      <w:pPr>
        <w:numPr>
          <w:ilvl w:val="0"/>
          <w:numId w:val="42"/>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投标人的报价均超过了采购预算，采购人不能支付的；</w:t>
      </w:r>
    </w:p>
    <w:p>
      <w:pPr>
        <w:numPr>
          <w:ilvl w:val="0"/>
          <w:numId w:val="42"/>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因重大变故，采购任务取消的；</w:t>
      </w:r>
    </w:p>
    <w:p>
      <w:pPr>
        <w:numPr>
          <w:ilvl w:val="0"/>
          <w:numId w:val="42"/>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废标后，将在“四川政府采购网”网站上公告。</w:t>
      </w:r>
    </w:p>
    <w:p>
      <w:pPr>
        <w:pStyle w:val="5"/>
        <w:numPr>
          <w:ilvl w:val="1"/>
          <w:numId w:val="4"/>
        </w:numPr>
        <w:spacing w:before="0" w:after="0" w:line="560" w:lineRule="exact"/>
        <w:ind w:left="2269" w:hanging="2127"/>
        <w:rPr>
          <w:color w:val="000000" w:themeColor="text1"/>
        </w:rPr>
      </w:pPr>
      <w:bookmarkStart w:id="496" w:name="_Toc27932"/>
      <w:bookmarkStart w:id="497" w:name="_Toc19880"/>
      <w:bookmarkStart w:id="498" w:name="_Toc3782"/>
      <w:bookmarkStart w:id="499" w:name="_Toc315871727"/>
      <w:bookmarkStart w:id="500" w:name="_Toc8992"/>
      <w:bookmarkStart w:id="501" w:name="_Toc24061"/>
      <w:bookmarkStart w:id="502" w:name="_Toc316292259"/>
      <w:r>
        <w:rPr>
          <w:rFonts w:hint="eastAsia"/>
          <w:color w:val="000000" w:themeColor="text1"/>
        </w:rPr>
        <w:t>定标</w:t>
      </w:r>
      <w:bookmarkEnd w:id="495"/>
      <w:bookmarkEnd w:id="496"/>
      <w:bookmarkEnd w:id="497"/>
      <w:bookmarkEnd w:id="498"/>
      <w:bookmarkEnd w:id="499"/>
      <w:bookmarkEnd w:id="500"/>
      <w:bookmarkEnd w:id="501"/>
      <w:bookmarkEnd w:id="502"/>
      <w:bookmarkStart w:id="503" w:name="_Toc217446061"/>
    </w:p>
    <w:p>
      <w:pPr>
        <w:pStyle w:val="6"/>
        <w:numPr>
          <w:ilvl w:val="2"/>
          <w:numId w:val="4"/>
        </w:numPr>
        <w:spacing w:after="200" w:line="560" w:lineRule="exact"/>
        <w:ind w:left="0" w:firstLine="0"/>
        <w:rPr>
          <w:color w:val="000000" w:themeColor="text1"/>
        </w:rPr>
      </w:pPr>
      <w:bookmarkStart w:id="504" w:name="_Toc315871728"/>
      <w:bookmarkStart w:id="505" w:name="_Toc316292260"/>
      <w:r>
        <w:rPr>
          <w:rFonts w:hint="eastAsia"/>
          <w:color w:val="000000" w:themeColor="text1"/>
        </w:rPr>
        <w:t>定标原则</w:t>
      </w:r>
      <w:bookmarkEnd w:id="503"/>
      <w:bookmarkEnd w:id="504"/>
      <w:bookmarkEnd w:id="505"/>
    </w:p>
    <w:p>
      <w:pPr>
        <w:spacing w:line="560" w:lineRule="exact"/>
        <w:ind w:firstLine="560" w:firstLineChars="200"/>
        <w:rPr>
          <w:rFonts w:ascii="宋体" w:hAnsi="宋体"/>
          <w:color w:val="000000" w:themeColor="text1"/>
          <w:sz w:val="28"/>
          <w:szCs w:val="28"/>
        </w:rPr>
      </w:pPr>
      <w:bookmarkStart w:id="506" w:name="_Toc316292261"/>
      <w:bookmarkStart w:id="507" w:name="_Toc217446062"/>
      <w:bookmarkStart w:id="508" w:name="_Toc315871729"/>
      <w:r>
        <w:rPr>
          <w:rFonts w:hint="eastAsia" w:ascii="宋体" w:hAnsi="宋体"/>
          <w:color w:val="000000" w:themeColor="text1"/>
          <w:sz w:val="28"/>
          <w:szCs w:val="28"/>
        </w:rPr>
        <w:t>本项目根据评标委员会确定的中标候选人名单，采购人按顺序确定1名中标人。中标候选供应商并列的，</w:t>
      </w:r>
      <w:r>
        <w:rPr>
          <w:rFonts w:hint="eastAsia" w:ascii="宋体"/>
          <w:color w:val="000000" w:themeColor="text1"/>
          <w:sz w:val="28"/>
          <w:szCs w:val="28"/>
        </w:rPr>
        <w:t>由采购人采取随机抽取的方式确定中标人</w:t>
      </w:r>
      <w:r>
        <w:rPr>
          <w:rFonts w:hint="eastAsia" w:ascii="宋体" w:hAnsi="宋体"/>
          <w:color w:val="000000" w:themeColor="text1"/>
          <w:sz w:val="28"/>
          <w:szCs w:val="28"/>
        </w:rPr>
        <w:t>。</w:t>
      </w:r>
    </w:p>
    <w:p>
      <w:pPr>
        <w:spacing w:line="560" w:lineRule="exact"/>
        <w:ind w:firstLine="560" w:firstLineChars="200"/>
        <w:rPr>
          <w:rFonts w:ascii="宋体" w:hAnsi="宋体"/>
          <w:color w:val="000000" w:themeColor="text1"/>
          <w:sz w:val="28"/>
          <w:szCs w:val="28"/>
        </w:rPr>
      </w:pPr>
      <w:r>
        <w:rPr>
          <w:rFonts w:hint="eastAsia" w:cs="Helvetica" w:asciiTheme="minorEastAsia" w:hAnsiTheme="minorEastAsia" w:eastAsiaTheme="minorEastAsia"/>
          <w:color w:val="000000" w:themeColor="text1"/>
          <w:kern w:val="0"/>
          <w:sz w:val="28"/>
          <w:szCs w:val="28"/>
        </w:rPr>
        <w:t>采购人在收到评标报告</w:t>
      </w:r>
      <w:r>
        <w:rPr>
          <w:rFonts w:hint="eastAsia" w:cs="宋体" w:asciiTheme="minorEastAsia" w:hAnsiTheme="minorEastAsia" w:eastAsiaTheme="minorEastAsia"/>
          <w:color w:val="000000" w:themeColor="text1"/>
          <w:kern w:val="0"/>
          <w:sz w:val="28"/>
          <w:szCs w:val="28"/>
        </w:rPr>
        <w:t>5</w:t>
      </w:r>
      <w:r>
        <w:rPr>
          <w:rFonts w:hint="eastAsia" w:cs="Helvetica" w:asciiTheme="minorEastAsia" w:hAnsiTheme="minorEastAsia" w:eastAsiaTheme="minorEastAsia"/>
          <w:color w:val="000000" w:themeColor="text1"/>
          <w:kern w:val="0"/>
          <w:sz w:val="28"/>
          <w:szCs w:val="28"/>
        </w:rPr>
        <w:t>个工作日内未按评标报告推荐的中标候选人顺序确定中标人，又不能说明合法理由的，视同按评标报告推荐的顺序确定排名第一的中标候选人为中标人。</w:t>
      </w:r>
    </w:p>
    <w:p>
      <w:pPr>
        <w:pStyle w:val="6"/>
        <w:numPr>
          <w:ilvl w:val="2"/>
          <w:numId w:val="4"/>
        </w:numPr>
        <w:spacing w:after="200" w:line="560" w:lineRule="exact"/>
        <w:ind w:left="0" w:firstLine="0"/>
        <w:rPr>
          <w:color w:val="000000" w:themeColor="text1"/>
        </w:rPr>
      </w:pPr>
      <w:r>
        <w:rPr>
          <w:rFonts w:hint="eastAsia"/>
          <w:color w:val="000000" w:themeColor="text1"/>
        </w:rPr>
        <w:t>定标程序</w:t>
      </w:r>
      <w:bookmarkEnd w:id="506"/>
      <w:bookmarkEnd w:id="507"/>
      <w:bookmarkEnd w:id="508"/>
    </w:p>
    <w:bookmarkEnd w:id="448"/>
    <w:p>
      <w:pPr>
        <w:spacing w:line="560" w:lineRule="exact"/>
        <w:ind w:firstLine="560" w:firstLineChars="200"/>
        <w:rPr>
          <w:rFonts w:ascii="宋体" w:hAnsi="宋体"/>
          <w:color w:val="000000" w:themeColor="text1"/>
          <w:kern w:val="0"/>
          <w:sz w:val="28"/>
          <w:szCs w:val="28"/>
        </w:rPr>
      </w:pPr>
      <w:bookmarkStart w:id="509" w:name="_Toc315871730"/>
      <w:bookmarkStart w:id="510" w:name="_Toc316292262"/>
      <w:r>
        <w:rPr>
          <w:rFonts w:hint="eastAsia" w:ascii="宋体" w:hAnsi="宋体"/>
          <w:color w:val="000000" w:themeColor="text1"/>
          <w:kern w:val="0"/>
          <w:sz w:val="28"/>
          <w:szCs w:val="28"/>
        </w:rPr>
        <w:t>一、评审委员会将评审情况写出书面报告。</w:t>
      </w:r>
    </w:p>
    <w:p>
      <w:pPr>
        <w:spacing w:line="560" w:lineRule="exact"/>
        <w:ind w:firstLine="560" w:firstLineChars="200"/>
        <w:rPr>
          <w:rFonts w:ascii="宋体" w:hAnsi="宋体"/>
          <w:color w:val="000000" w:themeColor="text1"/>
          <w:kern w:val="0"/>
          <w:sz w:val="28"/>
          <w:szCs w:val="28"/>
        </w:rPr>
      </w:pPr>
      <w:r>
        <w:rPr>
          <w:rFonts w:hint="eastAsia" w:ascii="宋体" w:hAnsi="宋体"/>
          <w:color w:val="000000" w:themeColor="text1"/>
          <w:kern w:val="0"/>
          <w:sz w:val="28"/>
          <w:szCs w:val="28"/>
        </w:rPr>
        <w:t>二、成都云辉工程项目管理有限公司在评审结束之日起2个工作日内将评审报告送采购人。</w:t>
      </w:r>
    </w:p>
    <w:p>
      <w:pPr>
        <w:pStyle w:val="2"/>
        <w:spacing w:line="56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rPr>
      </w:pPr>
      <w:r>
        <w:rPr>
          <w:rFonts w:hint="eastAsia" w:ascii="宋体" w:hAnsi="宋体"/>
          <w:color w:val="000000" w:themeColor="text1"/>
          <w:kern w:val="0"/>
          <w:sz w:val="28"/>
          <w:szCs w:val="28"/>
        </w:rPr>
        <w:t>四、根据采购人确定的中标（成交）人，成都云辉工程项目管理有限公司在“四川政府采购网”和“成都云辉工程项目管理有限公司”网站上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rPr>
      </w:pPr>
      <w:r>
        <w:rPr>
          <w:rFonts w:hint="eastAsia" w:ascii="宋体" w:hAnsi="宋体"/>
          <w:color w:val="000000" w:themeColor="text1"/>
          <w:kern w:val="0"/>
          <w:sz w:val="28"/>
          <w:szCs w:val="28"/>
        </w:rPr>
        <w:t>五、采购人、成都云辉工程项目管理有限公司不解释中标（成交）或未中标（成交）原因，不退回投标文件和其他投标资料。</w:t>
      </w:r>
    </w:p>
    <w:p>
      <w:pPr>
        <w:pStyle w:val="5"/>
        <w:numPr>
          <w:ilvl w:val="1"/>
          <w:numId w:val="4"/>
        </w:numPr>
        <w:spacing w:before="0" w:after="0" w:line="560" w:lineRule="exact"/>
        <w:ind w:left="2269" w:hanging="2269"/>
        <w:rPr>
          <w:color w:val="000000" w:themeColor="text1"/>
        </w:rPr>
      </w:pPr>
      <w:bookmarkStart w:id="511" w:name="_Toc20789"/>
      <w:bookmarkStart w:id="512" w:name="_Toc1482"/>
      <w:bookmarkStart w:id="513" w:name="_Toc31148"/>
      <w:bookmarkStart w:id="514" w:name="_Toc24014"/>
      <w:bookmarkStart w:id="515" w:name="_Toc31963"/>
      <w:r>
        <w:rPr>
          <w:rFonts w:hint="eastAsia"/>
          <w:color w:val="000000" w:themeColor="text1"/>
        </w:rPr>
        <w:t>评标专家在政府采购活动中承担以下义务</w:t>
      </w:r>
      <w:bookmarkEnd w:id="509"/>
      <w:bookmarkEnd w:id="510"/>
      <w:bookmarkEnd w:id="511"/>
      <w:bookmarkEnd w:id="512"/>
      <w:bookmarkEnd w:id="513"/>
      <w:bookmarkEnd w:id="514"/>
      <w:bookmarkEnd w:id="515"/>
    </w:p>
    <w:p>
      <w:pPr>
        <w:numPr>
          <w:ilvl w:val="0"/>
          <w:numId w:val="43"/>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遵纪守法，客观、公正、廉洁地履行职责。</w:t>
      </w:r>
    </w:p>
    <w:p>
      <w:pPr>
        <w:numPr>
          <w:ilvl w:val="0"/>
          <w:numId w:val="43"/>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3"/>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保守秘密。不得泄漏投标人的投标文件及知悉的商业秘密，不得向投标人透露评审情况。</w:t>
      </w:r>
    </w:p>
    <w:p>
      <w:pPr>
        <w:numPr>
          <w:ilvl w:val="0"/>
          <w:numId w:val="43"/>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发现投标人在政府采购活动中有不正当竞争或恶意串通等违规行为，及时向政府采购评审工作的组织者或财政部门报告并加以制止。</w:t>
      </w:r>
    </w:p>
    <w:p>
      <w:pPr>
        <w:numPr>
          <w:ilvl w:val="0"/>
          <w:numId w:val="43"/>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发现采购人、成都云辉工程项目管理有限公司及其工作人员在政府采购活动中有干预评审、发表倾向性和歧视性言论、受贿或者接受投标人的其他好处及其他违法违规行为，及时向财政部门报告。</w:t>
      </w:r>
    </w:p>
    <w:p>
      <w:pPr>
        <w:numPr>
          <w:ilvl w:val="0"/>
          <w:numId w:val="43"/>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解答有关方面对政府采购评审工作中有关问题的询问，配合采购人或者成都云辉工程项目管理有限公司答复投标人的询问、质疑，配合财政部门的投诉处理工作等事宜。</w:t>
      </w:r>
    </w:p>
    <w:p>
      <w:pPr>
        <w:numPr>
          <w:ilvl w:val="0"/>
          <w:numId w:val="43"/>
        </w:numPr>
        <w:tabs>
          <w:tab w:val="left" w:pos="1155"/>
        </w:tabs>
        <w:spacing w:after="200" w:line="560" w:lineRule="exact"/>
        <w:ind w:left="0" w:firstLine="525"/>
        <w:rPr>
          <w:rFonts w:ascii="宋体" w:hAnsi="宋体"/>
          <w:color w:val="000000" w:themeColor="text1"/>
          <w:sz w:val="28"/>
          <w:szCs w:val="28"/>
        </w:rPr>
      </w:pPr>
      <w:r>
        <w:rPr>
          <w:rFonts w:hint="eastAsia" w:ascii="宋体" w:hAnsi="宋体"/>
          <w:color w:val="000000" w:themeColor="text1"/>
          <w:sz w:val="28"/>
          <w:szCs w:val="28"/>
        </w:rPr>
        <w:t>法律、法规和规章规定的其他义务。</w:t>
      </w:r>
    </w:p>
    <w:p>
      <w:pPr>
        <w:pStyle w:val="5"/>
        <w:numPr>
          <w:ilvl w:val="1"/>
          <w:numId w:val="4"/>
        </w:numPr>
        <w:spacing w:before="0" w:after="0" w:line="560" w:lineRule="exact"/>
        <w:ind w:left="2269" w:hanging="2269"/>
        <w:rPr>
          <w:color w:val="000000" w:themeColor="text1"/>
        </w:rPr>
      </w:pPr>
      <w:bookmarkStart w:id="516" w:name="_Toc9396"/>
      <w:bookmarkStart w:id="517" w:name="_Toc7708"/>
      <w:bookmarkStart w:id="518" w:name="_Toc7637"/>
      <w:bookmarkStart w:id="519" w:name="_Toc31664"/>
      <w:bookmarkStart w:id="520" w:name="_Toc3861"/>
      <w:r>
        <w:rPr>
          <w:rFonts w:hint="eastAsia"/>
          <w:color w:val="000000" w:themeColor="text1"/>
        </w:rPr>
        <w:t>评标委员会及其成员不得有下列行为：</w:t>
      </w:r>
      <w:bookmarkEnd w:id="516"/>
      <w:bookmarkEnd w:id="517"/>
      <w:bookmarkEnd w:id="518"/>
      <w:bookmarkEnd w:id="519"/>
      <w:bookmarkEnd w:id="520"/>
    </w:p>
    <w:p>
      <w:pPr>
        <w:tabs>
          <w:tab w:val="left" w:pos="1418"/>
        </w:tabs>
        <w:spacing w:line="560" w:lineRule="exact"/>
        <w:ind w:firstLine="560" w:firstLineChars="200"/>
        <w:rPr>
          <w:color w:val="000000" w:themeColor="text1"/>
          <w:sz w:val="28"/>
          <w:szCs w:val="28"/>
        </w:rPr>
      </w:pPr>
      <w:r>
        <w:rPr>
          <w:rFonts w:hint="eastAsia"/>
          <w:color w:val="000000" w:themeColor="text1"/>
          <w:sz w:val="28"/>
          <w:szCs w:val="28"/>
        </w:rPr>
        <w:t>一、确定参与评标至评标结束前私自接触投标人；</w:t>
      </w:r>
    </w:p>
    <w:p>
      <w:pPr>
        <w:tabs>
          <w:tab w:val="left" w:pos="1418"/>
        </w:tabs>
        <w:spacing w:line="560" w:lineRule="exact"/>
        <w:ind w:firstLine="560" w:firstLineChars="200"/>
        <w:rPr>
          <w:color w:val="000000" w:themeColor="text1"/>
          <w:sz w:val="28"/>
          <w:szCs w:val="28"/>
        </w:rPr>
      </w:pPr>
      <w:r>
        <w:rPr>
          <w:rFonts w:hint="eastAsia"/>
          <w:color w:val="000000" w:themeColor="text1"/>
          <w:sz w:val="28"/>
          <w:szCs w:val="28"/>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rPr>
      </w:pPr>
      <w:r>
        <w:rPr>
          <w:rFonts w:hint="eastAsia"/>
          <w:color w:val="000000" w:themeColor="text1"/>
          <w:sz w:val="28"/>
          <w:szCs w:val="28"/>
        </w:rPr>
        <w:t>三、违反评标纪律发表倾向性意见或者征询采购人的倾向性意见；</w:t>
      </w:r>
    </w:p>
    <w:p>
      <w:pPr>
        <w:tabs>
          <w:tab w:val="left" w:pos="1418"/>
        </w:tabs>
        <w:spacing w:line="560" w:lineRule="exact"/>
        <w:ind w:firstLine="560" w:firstLineChars="200"/>
        <w:rPr>
          <w:color w:val="000000" w:themeColor="text1"/>
          <w:sz w:val="28"/>
          <w:szCs w:val="28"/>
        </w:rPr>
      </w:pPr>
      <w:r>
        <w:rPr>
          <w:rFonts w:hint="eastAsia"/>
          <w:color w:val="000000" w:themeColor="text1"/>
          <w:sz w:val="28"/>
          <w:szCs w:val="28"/>
        </w:rPr>
        <w:t>四、对需要专业判断的主观评审因素协商评分；</w:t>
      </w:r>
    </w:p>
    <w:p>
      <w:pPr>
        <w:tabs>
          <w:tab w:val="left" w:pos="1418"/>
        </w:tabs>
        <w:spacing w:line="560" w:lineRule="exact"/>
        <w:ind w:firstLine="560" w:firstLineChars="200"/>
        <w:rPr>
          <w:color w:val="000000" w:themeColor="text1"/>
          <w:sz w:val="28"/>
          <w:szCs w:val="28"/>
        </w:rPr>
      </w:pPr>
      <w:r>
        <w:rPr>
          <w:rFonts w:hint="eastAsia"/>
          <w:color w:val="000000" w:themeColor="text1"/>
          <w:sz w:val="28"/>
          <w:szCs w:val="28"/>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rPr>
      </w:pPr>
      <w:r>
        <w:rPr>
          <w:rFonts w:hint="eastAsia"/>
          <w:color w:val="000000" w:themeColor="text1"/>
          <w:sz w:val="28"/>
          <w:szCs w:val="28"/>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rPr>
      </w:pPr>
      <w:r>
        <w:rPr>
          <w:rFonts w:hint="eastAsia"/>
          <w:color w:val="000000" w:themeColor="text1"/>
          <w:sz w:val="28"/>
          <w:szCs w:val="28"/>
        </w:rPr>
        <w:t>七、其他不遵守评标纪律的行为。</w:t>
      </w:r>
    </w:p>
    <w:p>
      <w:pPr>
        <w:tabs>
          <w:tab w:val="left" w:pos="1155"/>
        </w:tabs>
        <w:spacing w:line="560" w:lineRule="exact"/>
        <w:ind w:left="142" w:firstLine="565" w:firstLineChars="202"/>
        <w:rPr>
          <w:color w:val="000000" w:themeColor="text1"/>
          <w:sz w:val="28"/>
          <w:szCs w:val="28"/>
        </w:rPr>
      </w:pPr>
      <w:r>
        <w:rPr>
          <w:rFonts w:hint="eastAsia"/>
          <w:color w:val="000000" w:themeColor="text1"/>
          <w:sz w:val="28"/>
          <w:szCs w:val="28"/>
        </w:rPr>
        <w:t>评标委员会成员有前款第一至五项行为之一的，其评审意见无效，并不得获取评审劳务报酬和报销异地评审差旅费。</w:t>
      </w:r>
    </w:p>
    <w:p>
      <w:pPr>
        <w:pStyle w:val="5"/>
        <w:numPr>
          <w:ilvl w:val="1"/>
          <w:numId w:val="4"/>
        </w:numPr>
        <w:spacing w:before="0" w:after="0" w:line="560" w:lineRule="exact"/>
        <w:ind w:left="2269" w:hanging="2127"/>
        <w:rPr>
          <w:color w:val="000000" w:themeColor="text1"/>
        </w:rPr>
      </w:pPr>
      <w:bookmarkStart w:id="521" w:name="_Toc6837"/>
      <w:bookmarkStart w:id="522" w:name="_Toc15267"/>
      <w:bookmarkStart w:id="523" w:name="_Toc6275"/>
      <w:bookmarkStart w:id="524" w:name="_Toc16147"/>
      <w:bookmarkStart w:id="525" w:name="_Toc494464930"/>
      <w:bookmarkStart w:id="526" w:name="_Toc22920"/>
      <w:r>
        <w:rPr>
          <w:rFonts w:hint="eastAsia"/>
          <w:color w:val="000000" w:themeColor="text1"/>
        </w:rPr>
        <w:t>评审专家在政府采购活动中应当遵守以下工作纪律</w:t>
      </w:r>
      <w:bookmarkEnd w:id="521"/>
      <w:bookmarkEnd w:id="522"/>
      <w:bookmarkEnd w:id="523"/>
      <w:bookmarkEnd w:id="524"/>
      <w:bookmarkEnd w:id="525"/>
      <w:bookmarkEnd w:id="526"/>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遵行《政府采购法》第十二条和《政府采购法实施条例》第九条及政府采购相关法律法规关于回避的规定。</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应邀按时参加评审和咨询活动，遵守评标区管理规定。</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成都云辉工程项目管理有限公司，不得私自转托他人。</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不得参加与自己有利害关系的政府采购项目的评审活动。对与自己有利害关系的评审项目，如受到邀请，应主动提出回避。财政部门、采购人或成都云辉工程项目管理有限公司也可要求该评审专家回避。</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在评标过程中和评标结束后，不得记录、复制或带走任何评标资料，除因规定的义务外，不得向外界透露评标内容。</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服从评标现场成都云辉工程项目管理有限公司的现场秩序管理，接受评标现场监督人员的合法监督。</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遵守有关廉洁自律规定，不得私下接触投标人，不得收受投标人及有关业务单位和个人的财物或好处，不得接受采购组织单位的请托。</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s>
        <w:spacing w:after="200" w:line="560" w:lineRule="exact"/>
        <w:ind w:left="0" w:firstLine="527"/>
        <w:rPr>
          <w:rFonts w:ascii="宋体" w:hAnsi="宋体"/>
          <w:color w:val="000000" w:themeColor="text1"/>
          <w:sz w:val="28"/>
          <w:szCs w:val="28"/>
        </w:rPr>
      </w:pPr>
      <w:r>
        <w:rPr>
          <w:rFonts w:hint="eastAsia" w:ascii="宋体" w:hAnsi="宋体"/>
          <w:color w:val="000000" w:themeColor="text1"/>
          <w:sz w:val="28"/>
          <w:szCs w:val="28"/>
        </w:rPr>
        <w:t>有关部门（机构）制定的其他评审工作纪律。</w:t>
      </w:r>
      <w:bookmarkEnd w:id="0"/>
      <w:bookmarkEnd w:id="1"/>
      <w:bookmarkEnd w:id="2"/>
      <w:bookmarkEnd w:id="3"/>
      <w:bookmarkStart w:id="527" w:name="_Toc19415"/>
      <w:r>
        <w:rPr>
          <w:color w:val="000000" w:themeColor="text1"/>
        </w:rPr>
        <w:br w:type="page"/>
      </w:r>
    </w:p>
    <w:p>
      <w:pPr>
        <w:pStyle w:val="4"/>
        <w:numPr>
          <w:ilvl w:val="0"/>
          <w:numId w:val="4"/>
        </w:numPr>
        <w:spacing w:before="0" w:after="0" w:line="360" w:lineRule="auto"/>
        <w:rPr>
          <w:color w:val="000000" w:themeColor="text1"/>
          <w:sz w:val="24"/>
        </w:rPr>
      </w:pPr>
      <w:bookmarkStart w:id="528" w:name="_Toc18330"/>
      <w:bookmarkStart w:id="529" w:name="_Toc27722"/>
      <w:bookmarkStart w:id="530" w:name="_Toc20535"/>
      <w:bookmarkStart w:id="531" w:name="_Toc1640"/>
      <w:r>
        <w:rPr>
          <w:rFonts w:hint="eastAsia"/>
          <w:color w:val="000000" w:themeColor="text1"/>
        </w:rPr>
        <w:t>拟签订合同文本</w:t>
      </w:r>
      <w:bookmarkEnd w:id="527"/>
      <w:bookmarkEnd w:id="528"/>
      <w:bookmarkEnd w:id="529"/>
      <w:bookmarkEnd w:id="530"/>
      <w:bookmarkEnd w:id="531"/>
    </w:p>
    <w:p>
      <w:pPr>
        <w:spacing w:line="400" w:lineRule="exact"/>
        <w:jc w:val="center"/>
        <w:rPr>
          <w:b/>
          <w:color w:val="000000" w:themeColor="text1"/>
          <w:sz w:val="32"/>
        </w:rPr>
      </w:pPr>
      <w:bookmarkStart w:id="532" w:name="_Toc316475757"/>
      <w:bookmarkEnd w:id="532"/>
      <w:bookmarkStart w:id="533" w:name="_Toc316475673"/>
      <w:bookmarkEnd w:id="533"/>
      <w:bookmarkStart w:id="534" w:name="_Toc316475675"/>
      <w:bookmarkEnd w:id="534"/>
      <w:bookmarkStart w:id="535" w:name="_Toc316475760"/>
      <w:bookmarkEnd w:id="535"/>
      <w:bookmarkStart w:id="536" w:name="_Toc316475671"/>
      <w:bookmarkEnd w:id="536"/>
      <w:bookmarkStart w:id="537" w:name="_Toc316475676"/>
      <w:bookmarkEnd w:id="537"/>
      <w:bookmarkStart w:id="538" w:name="_Toc316475759"/>
      <w:bookmarkEnd w:id="538"/>
      <w:bookmarkStart w:id="539" w:name="_Toc316475674"/>
      <w:bookmarkEnd w:id="539"/>
      <w:bookmarkStart w:id="540" w:name="_Toc316475755"/>
      <w:bookmarkEnd w:id="540"/>
      <w:bookmarkStart w:id="541" w:name="_Toc316475666"/>
      <w:bookmarkEnd w:id="541"/>
      <w:bookmarkStart w:id="542" w:name="_Toc316475665"/>
      <w:bookmarkEnd w:id="542"/>
      <w:bookmarkStart w:id="543" w:name="_Toc316475669"/>
      <w:bookmarkEnd w:id="543"/>
      <w:bookmarkStart w:id="544" w:name="_Toc316475754"/>
      <w:bookmarkEnd w:id="544"/>
      <w:bookmarkStart w:id="545" w:name="_Toc316475751"/>
      <w:bookmarkEnd w:id="545"/>
      <w:bookmarkStart w:id="546" w:name="_Toc316475668"/>
      <w:bookmarkEnd w:id="546"/>
      <w:bookmarkStart w:id="547" w:name="_Toc316475667"/>
      <w:bookmarkEnd w:id="547"/>
      <w:bookmarkStart w:id="548" w:name="_Toc316475664"/>
      <w:bookmarkEnd w:id="548"/>
      <w:bookmarkStart w:id="549" w:name="_Toc316475672"/>
      <w:bookmarkEnd w:id="549"/>
      <w:bookmarkStart w:id="550" w:name="_Toc316475752"/>
      <w:bookmarkEnd w:id="550"/>
      <w:bookmarkStart w:id="551" w:name="_Toc316475758"/>
      <w:bookmarkEnd w:id="551"/>
      <w:bookmarkStart w:id="552" w:name="_Toc316475764"/>
      <w:bookmarkEnd w:id="552"/>
      <w:bookmarkStart w:id="553" w:name="_Toc316475762"/>
      <w:bookmarkEnd w:id="553"/>
      <w:bookmarkStart w:id="554" w:name="_Toc316475753"/>
      <w:bookmarkEnd w:id="554"/>
      <w:bookmarkStart w:id="555" w:name="_Toc316475756"/>
      <w:bookmarkEnd w:id="555"/>
      <w:bookmarkStart w:id="556" w:name="_Toc316475761"/>
      <w:bookmarkEnd w:id="556"/>
      <w:bookmarkStart w:id="557" w:name="_Toc316475763"/>
      <w:bookmarkEnd w:id="557"/>
      <w:bookmarkStart w:id="558" w:name="_Toc316475677"/>
      <w:bookmarkEnd w:id="558"/>
      <w:bookmarkStart w:id="559" w:name="_Toc316475670"/>
      <w:bookmarkEnd w:id="559"/>
      <w:bookmarkStart w:id="560" w:name="_Toc3546"/>
      <w:bookmarkStart w:id="561" w:name="_Toc11710"/>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合同编号： 。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签订地点：XXXX。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签订时间：XXXX 年 XX 月 XX 日。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采购人（甲方）：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供应商（乙方）：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根据《中华人民共和国政府采购法》、《中华人民共和国民法典》及</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项目（项目编号：</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的《招标文件》、乙方的《投标响应文件》及《中标通知书》，甲、乙双方同意签订本合同。详细技术说明及其他有关合同项目的特定信息由合同附件予以说明，合同附件及本项目的招标文件、响应文件、《中标通知书》等均为本合同不可分割的部分。双方同意共同遵守如下条款： </w:t>
      </w:r>
    </w:p>
    <w:p>
      <w:pPr>
        <w:numPr>
          <w:ilvl w:val="0"/>
          <w:numId w:val="45"/>
        </w:num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合同总价：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注：甲方无须另向乙方支付本合同规定之外的其他任何费用。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二、验收：中标人与采购人应严格按照《财政部关于进一步加强政府采购需求和履约验收管理的指导意见》（财库（2016）205 号）的要求、招标文件规定的要求和响应文件及合同承诺的内容进行验收。根据国家相关规定及行业验收规范、标准执行。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三、付款方式：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四、质量要求（按招标文件要求执行）；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五、违约责任：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甲方违约责任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甲方遵守合同约定按时对乙方的工作量进行组织验收。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乙方违约责任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乙方如不按甲方通知的进场时间进场；不按国家相关规范作业；二次提出后不整改，均称为违约，甲方有权终止合同。已完成工作量是按实结算。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六、争议解决办法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合同履行期间,若双方发生争议，可协商或由有关部门调解解决，协商或调解不成的，由当事人依法向人民法院起诉。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七、其他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1、如有未尽事宜，由双方依法订立补充合同。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2、本合同一式</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份，自双方签章之日起起效。甲方</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份，乙方</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份，政府采购代理机构</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份，同级财政部门备案</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份，具有同等法律效力。 </w:t>
      </w:r>
    </w:p>
    <w:p>
      <w:pPr>
        <w:pStyle w:val="2"/>
        <w:rPr>
          <w:rFonts w:asciiTheme="minorEastAsia" w:hAnsiTheme="minorEastAsia" w:eastAsiaTheme="minorEastAsia" w:cstheme="minorEastAsia"/>
          <w:sz w:val="28"/>
          <w:szCs w:val="28"/>
        </w:rPr>
      </w:pP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甲方： （盖章）                  乙方： （盖章）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法定代表人（授权代表）：         法定代表人（授权代表）：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地 址：                          地 址：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开户银行：                       开户银行：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账号：                           账号：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电 话：                          电 话： </w:t>
      </w: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传 真：                          传 真： </w:t>
      </w:r>
    </w:p>
    <w:p>
      <w:pPr>
        <w:tabs>
          <w:tab w:val="left" w:pos="7665"/>
        </w:tabs>
        <w:adjustRightInd w:val="0"/>
        <w:snapToGrid w:val="0"/>
        <w:spacing w:line="360" w:lineRule="auto"/>
        <w:ind w:firstLine="560" w:firstLineChars="200"/>
        <w:rPr>
          <w:rFonts w:hAnsi="宋体"/>
          <w:sz w:val="24"/>
        </w:rPr>
      </w:pPr>
      <w:r>
        <w:rPr>
          <w:rFonts w:hint="eastAsia" w:asciiTheme="minorEastAsia" w:hAnsiTheme="minorEastAsia" w:eastAsiaTheme="minorEastAsia" w:cstheme="minorEastAsia"/>
          <w:sz w:val="28"/>
          <w:szCs w:val="28"/>
        </w:rPr>
        <w:t>签约日期： 年 月 日              签约日期： 年 月 日</w:t>
      </w:r>
    </w:p>
    <w:p>
      <w:pPr>
        <w:pStyle w:val="2"/>
        <w:rPr>
          <w:color w:val="000000" w:themeColor="text1"/>
        </w:rPr>
      </w:pPr>
    </w:p>
    <w:p>
      <w:pPr>
        <w:tabs>
          <w:tab w:val="left" w:pos="7665"/>
        </w:tabs>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注：此合同仅供参考，其他未尽事宜，在签订合同时成交供应商与采购人自行协商。</w:t>
      </w: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rPr>
          <w:color w:val="000000" w:themeColor="text1"/>
        </w:rPr>
      </w:pPr>
      <w:r>
        <w:rPr>
          <w:rFonts w:hint="eastAsia" w:ascii="宋体" w:hAnsi="宋体" w:cs="Tahoma"/>
          <w:b/>
          <w:color w:val="000000" w:themeColor="text1"/>
          <w:sz w:val="30"/>
          <w:szCs w:val="30"/>
        </w:rPr>
        <w:t>附件：</w:t>
      </w:r>
      <w:bookmarkEnd w:id="560"/>
      <w:bookmarkEnd w:id="561"/>
    </w:p>
    <w:p>
      <w:pPr>
        <w:rPr>
          <w:color w:val="000000" w:themeColor="text1"/>
        </w:rPr>
      </w:pPr>
      <w:r>
        <w:rPr>
          <w:color w:val="000000" w:themeColor="text1"/>
        </w:rPr>
        <w:drawing>
          <wp:inline distT="0" distB="0" distL="0" distR="0">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auto"/>
          <w:highlight w:val="none"/>
        </w:rPr>
        <w:drawing>
          <wp:inline distT="0" distB="0" distL="114300" distR="114300">
            <wp:extent cx="5273040" cy="7459980"/>
            <wp:effectExtent l="0" t="0" r="3810"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3"/>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rPr>
        <w:drawing>
          <wp:inline distT="0" distB="0" distL="0" distR="0">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rPr>
      </w:pPr>
    </w:p>
    <w:p>
      <w:pPr>
        <w:rPr>
          <w:color w:val="000000" w:themeColor="text1"/>
        </w:rPr>
      </w:pPr>
    </w:p>
    <w:p>
      <w:pPr>
        <w:rPr>
          <w:color w:val="000000" w:themeColor="text1"/>
        </w:rPr>
      </w:pPr>
    </w:p>
    <w:p>
      <w:pPr>
        <w:pStyle w:val="2"/>
        <w:rPr>
          <w:color w:val="000000" w:themeColor="text1"/>
        </w:rPr>
      </w:pPr>
      <w:r>
        <w:rPr>
          <w:color w:val="000000" w:themeColor="text1"/>
        </w:rPr>
        <w:drawing>
          <wp:inline distT="0" distB="0" distL="0" distR="0">
            <wp:extent cx="5723890" cy="8847455"/>
            <wp:effectExtent l="0" t="0" r="10160" b="10795"/>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3890" cy="8847455"/>
                    </a:xfrm>
                    <a:prstGeom prst="rect">
                      <a:avLst/>
                    </a:prstGeom>
                    <a:noFill/>
                    <a:ln>
                      <a:noFill/>
                    </a:ln>
                  </pic:spPr>
                </pic:pic>
              </a:graphicData>
            </a:graphic>
          </wp:inline>
        </w:drawing>
      </w:r>
    </w:p>
    <w:p>
      <w:pPr>
        <w:pStyle w:val="2"/>
        <w:rPr>
          <w:color w:val="000000" w:themeColor="text1"/>
        </w:rPr>
      </w:pPr>
      <w:r>
        <w:rPr>
          <w:color w:val="000000" w:themeColor="text1"/>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2"/>
        <w:rPr>
          <w:color w:val="000000" w:themeColor="text1"/>
        </w:rPr>
      </w:pPr>
      <w:r>
        <w:rPr>
          <w:color w:val="000000" w:themeColor="text1"/>
        </w:rPr>
        <w:drawing>
          <wp:inline distT="0" distB="0" distL="0" distR="0">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2"/>
        <w:rPr>
          <w:color w:val="000000" w:themeColor="text1"/>
        </w:rPr>
      </w:pPr>
      <w:r>
        <w:rPr>
          <w:color w:val="000000" w:themeColor="text1"/>
        </w:rPr>
        <w:drawing>
          <wp:inline distT="0" distB="0" distL="0" distR="0">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auto"/>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r>
      <w:pict>
        <v:shape id="文本框 26"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qV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ojqqV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11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r>
      <w:pict>
        <v:shape id="_x0000_s2052" o:spid="_x0000_s2052" o:spt="202" type="#_x0000_t202" style="position:absolute;left:0pt;margin-top:0pt;height:144pt;width:144pt;mso-position-horizontal:center;mso-position-horizontal-relative:margin;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qV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ojqqV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11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r>
      <w:pict>
        <v:shape id="文本框 27" o:spid="_x0000_s2050" o:spt="202" type="#_x0000_t202" style="position:absolute;left:0pt;margin-top:0pt;height:144pt;width:144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V7YwIAABM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0J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ibQ1e2MCAAATBQAADgAAAAAAAAAAAAAAAAAuAgAAZHJzL2Uyb0RvYy54&#10;bWxQSwECLQAUAAYACAAAACEAcarRudcAAAAFAQAADwAAAAAAAAAAAAAAAAC9BAAAZHJzL2Rvd25y&#10;ZXYueG1sUEsFBgAAAAAEAAQA8wAAAMEFA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38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r>
      <w:pict>
        <v:shape id="文本框 24"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izZA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icmLNkAgAAEwUAAA4AAAAAAAAAAAAAAAAALgIAAGRycy9lMm9Eb2Mu&#10;eG1sUEsBAi0AFAAGAAgAAAAhAHGq0bnXAAAABQEAAA8AAAAAAAAAAAAAAAAAvgQAAGRycy9kb3du&#10;cmV2LnhtbFBLBQYAAAAABAAEAPMAAADCBQAAAAA=&#10;">
          <v:path/>
          <v:fill on="f" focussize="0,0"/>
          <v:stroke on="f" weight="0.5pt" joinstyle="miter"/>
          <v:imagedata o:title=""/>
          <o:lock v:ext="edit"/>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7245CD"/>
    <w:multiLevelType w:val="singleLevel"/>
    <w:tmpl w:val="EF7245CD"/>
    <w:lvl w:ilvl="0" w:tentative="0">
      <w:start w:val="9"/>
      <w:numFmt w:val="decimal"/>
      <w:lvlText w:val="%1."/>
      <w:lvlJc w:val="left"/>
      <w:pPr>
        <w:tabs>
          <w:tab w:val="left" w:pos="312"/>
        </w:tabs>
      </w:p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4">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6">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8">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2">
    <w:nsid w:val="16F41EB3"/>
    <w:multiLevelType w:val="singleLevel"/>
    <w:tmpl w:val="16F41EB3"/>
    <w:lvl w:ilvl="0" w:tentative="0">
      <w:start w:val="1"/>
      <w:numFmt w:val="decimal"/>
      <w:suff w:val="nothing"/>
      <w:lvlText w:val="（%1）"/>
      <w:lvlJc w:val="left"/>
    </w:lvl>
  </w:abstractNum>
  <w:abstractNum w:abstractNumId="23">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4">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6">
    <w:nsid w:val="311D2931"/>
    <w:multiLevelType w:val="singleLevel"/>
    <w:tmpl w:val="311D2931"/>
    <w:lvl w:ilvl="0" w:tentative="0">
      <w:start w:val="1"/>
      <w:numFmt w:val="chineseCounting"/>
      <w:suff w:val="nothing"/>
      <w:lvlText w:val="%1、"/>
      <w:lvlJc w:val="left"/>
      <w:rPr>
        <w:rFonts w:hint="eastAsia"/>
      </w:rPr>
    </w:lvl>
  </w:abstractNum>
  <w:abstractNum w:abstractNumId="27">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0">
    <w:nsid w:val="388CFE2C"/>
    <w:multiLevelType w:val="singleLevel"/>
    <w:tmpl w:val="388CFE2C"/>
    <w:lvl w:ilvl="0" w:tentative="0">
      <w:start w:val="4"/>
      <w:numFmt w:val="chineseCounting"/>
      <w:suff w:val="nothing"/>
      <w:lvlText w:val="%1、"/>
      <w:lvlJc w:val="left"/>
      <w:rPr>
        <w:rFonts w:hint="eastAsia"/>
      </w:rPr>
    </w:lvl>
  </w:abstractNum>
  <w:abstractNum w:abstractNumId="31">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5F42343"/>
    <w:multiLevelType w:val="singleLevel"/>
    <w:tmpl w:val="55F42343"/>
    <w:lvl w:ilvl="0" w:tentative="0">
      <w:start w:val="1"/>
      <w:numFmt w:val="decimal"/>
      <w:suff w:val="nothing"/>
      <w:lvlText w:val="（%1）"/>
      <w:lvlJc w:val="left"/>
    </w:lvl>
  </w:abstractNum>
  <w:abstractNum w:abstractNumId="36">
    <w:nsid w:val="59C07086"/>
    <w:multiLevelType w:val="singleLevel"/>
    <w:tmpl w:val="59C07086"/>
    <w:lvl w:ilvl="0" w:tentative="0">
      <w:start w:val="1"/>
      <w:numFmt w:val="decimal"/>
      <w:suff w:val="nothing"/>
      <w:lvlText w:val="%1、"/>
      <w:lvlJc w:val="left"/>
    </w:lvl>
  </w:abstractNum>
  <w:abstractNum w:abstractNumId="37">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66094C4F"/>
    <w:multiLevelType w:val="singleLevel"/>
    <w:tmpl w:val="66094C4F"/>
    <w:lvl w:ilvl="0" w:tentative="0">
      <w:start w:val="1"/>
      <w:numFmt w:val="chineseCounting"/>
      <w:suff w:val="nothing"/>
      <w:lvlText w:val="%1、"/>
      <w:lvlJc w:val="left"/>
      <w:rPr>
        <w:rFonts w:hint="eastAsia"/>
      </w:rPr>
    </w:lvl>
  </w:abstractNum>
  <w:abstractNum w:abstractNumId="41">
    <w:nsid w:val="73116E8B"/>
    <w:multiLevelType w:val="singleLevel"/>
    <w:tmpl w:val="73116E8B"/>
    <w:lvl w:ilvl="0" w:tentative="0">
      <w:start w:val="1"/>
      <w:numFmt w:val="decimal"/>
      <w:suff w:val="nothing"/>
      <w:lvlText w:val="%1、"/>
      <w:lvlJc w:val="left"/>
    </w:lvl>
  </w:abstractNum>
  <w:abstractNum w:abstractNumId="42">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1"/>
  </w:num>
  <w:num w:numId="2">
    <w:abstractNumId w:val="8"/>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6"/>
  </w:num>
  <w:num w:numId="30">
    <w:abstractNumId w:val="0"/>
  </w:num>
  <w:num w:numId="31">
    <w:abstractNumId w:val="41"/>
  </w:num>
  <w:num w:numId="32">
    <w:abstractNumId w:val="22"/>
  </w:num>
  <w:num w:numId="33">
    <w:abstractNumId w:val="35"/>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KGWebUrl" w:val="https://portal.cdggzy.com/iWebOffice2015/OfficeHandler.ashx?directory=/CgProject/BidFile/File/%e6%88%90%e9%83%bd%e5%b8%82%e6%94%bf%e9%87%87%e6%8b%9b%e3%80%942020%e3%80%95235%e5%8f%b7/"/>
  </w:docVars>
  <w:rsids>
    <w:rsidRoot w:val="0092431B"/>
    <w:rsid w:val="00011E2C"/>
    <w:rsid w:val="00017C65"/>
    <w:rsid w:val="00046547"/>
    <w:rsid w:val="00070D3F"/>
    <w:rsid w:val="00071BA9"/>
    <w:rsid w:val="00074CCC"/>
    <w:rsid w:val="0008193D"/>
    <w:rsid w:val="00086C1B"/>
    <w:rsid w:val="000E01D4"/>
    <w:rsid w:val="000F0BF5"/>
    <w:rsid w:val="000F5214"/>
    <w:rsid w:val="00123F07"/>
    <w:rsid w:val="00130037"/>
    <w:rsid w:val="00142C44"/>
    <w:rsid w:val="00147768"/>
    <w:rsid w:val="0015151D"/>
    <w:rsid w:val="00171DDA"/>
    <w:rsid w:val="00175DA2"/>
    <w:rsid w:val="001922D3"/>
    <w:rsid w:val="001B34A4"/>
    <w:rsid w:val="001C2698"/>
    <w:rsid w:val="001C4FFA"/>
    <w:rsid w:val="001D392C"/>
    <w:rsid w:val="001D53CF"/>
    <w:rsid w:val="001E13EE"/>
    <w:rsid w:val="00214F93"/>
    <w:rsid w:val="002303BC"/>
    <w:rsid w:val="002304CC"/>
    <w:rsid w:val="00236C36"/>
    <w:rsid w:val="002441B7"/>
    <w:rsid w:val="00257EE4"/>
    <w:rsid w:val="0026015E"/>
    <w:rsid w:val="00266EFB"/>
    <w:rsid w:val="00285456"/>
    <w:rsid w:val="002933F7"/>
    <w:rsid w:val="002A5802"/>
    <w:rsid w:val="002E3899"/>
    <w:rsid w:val="003074A8"/>
    <w:rsid w:val="00354C2E"/>
    <w:rsid w:val="00394287"/>
    <w:rsid w:val="003A0F3D"/>
    <w:rsid w:val="003A29C7"/>
    <w:rsid w:val="003F007F"/>
    <w:rsid w:val="003F3F72"/>
    <w:rsid w:val="00410F3C"/>
    <w:rsid w:val="00413817"/>
    <w:rsid w:val="0042015A"/>
    <w:rsid w:val="004215D4"/>
    <w:rsid w:val="0045547F"/>
    <w:rsid w:val="004870EE"/>
    <w:rsid w:val="004A610A"/>
    <w:rsid w:val="004C1B1A"/>
    <w:rsid w:val="004C3093"/>
    <w:rsid w:val="004D49CB"/>
    <w:rsid w:val="004E1C00"/>
    <w:rsid w:val="004E603E"/>
    <w:rsid w:val="00500F25"/>
    <w:rsid w:val="00506303"/>
    <w:rsid w:val="00545144"/>
    <w:rsid w:val="00563198"/>
    <w:rsid w:val="0057488F"/>
    <w:rsid w:val="005816DE"/>
    <w:rsid w:val="00592A25"/>
    <w:rsid w:val="005E4485"/>
    <w:rsid w:val="00606AFB"/>
    <w:rsid w:val="00610A61"/>
    <w:rsid w:val="006216DE"/>
    <w:rsid w:val="00634D91"/>
    <w:rsid w:val="00652875"/>
    <w:rsid w:val="00652F59"/>
    <w:rsid w:val="006623DB"/>
    <w:rsid w:val="006B1930"/>
    <w:rsid w:val="006D0D2A"/>
    <w:rsid w:val="0070048F"/>
    <w:rsid w:val="00702324"/>
    <w:rsid w:val="00713A58"/>
    <w:rsid w:val="0073282C"/>
    <w:rsid w:val="00752731"/>
    <w:rsid w:val="00764541"/>
    <w:rsid w:val="007672B0"/>
    <w:rsid w:val="00794228"/>
    <w:rsid w:val="007C3748"/>
    <w:rsid w:val="007C4260"/>
    <w:rsid w:val="007D62B3"/>
    <w:rsid w:val="007E1B96"/>
    <w:rsid w:val="007F6DFD"/>
    <w:rsid w:val="00804CED"/>
    <w:rsid w:val="0081056F"/>
    <w:rsid w:val="00824DA8"/>
    <w:rsid w:val="008253BA"/>
    <w:rsid w:val="00826151"/>
    <w:rsid w:val="008410FC"/>
    <w:rsid w:val="0086125A"/>
    <w:rsid w:val="00862CEA"/>
    <w:rsid w:val="00862D3A"/>
    <w:rsid w:val="00873952"/>
    <w:rsid w:val="00876051"/>
    <w:rsid w:val="008907C8"/>
    <w:rsid w:val="00891F19"/>
    <w:rsid w:val="008B6817"/>
    <w:rsid w:val="008E5E8F"/>
    <w:rsid w:val="0092431B"/>
    <w:rsid w:val="00941F87"/>
    <w:rsid w:val="00950315"/>
    <w:rsid w:val="00955F71"/>
    <w:rsid w:val="00963021"/>
    <w:rsid w:val="00970330"/>
    <w:rsid w:val="00976A7C"/>
    <w:rsid w:val="009A253C"/>
    <w:rsid w:val="009E237A"/>
    <w:rsid w:val="00A00871"/>
    <w:rsid w:val="00A03833"/>
    <w:rsid w:val="00A068BA"/>
    <w:rsid w:val="00A36BBE"/>
    <w:rsid w:val="00A41BDF"/>
    <w:rsid w:val="00A5235E"/>
    <w:rsid w:val="00A531AE"/>
    <w:rsid w:val="00A7160C"/>
    <w:rsid w:val="00A739BA"/>
    <w:rsid w:val="00A93C9B"/>
    <w:rsid w:val="00AA3745"/>
    <w:rsid w:val="00AB7617"/>
    <w:rsid w:val="00AC55D8"/>
    <w:rsid w:val="00AD025E"/>
    <w:rsid w:val="00AD5E60"/>
    <w:rsid w:val="00AF35A3"/>
    <w:rsid w:val="00AF3933"/>
    <w:rsid w:val="00B11843"/>
    <w:rsid w:val="00B2194B"/>
    <w:rsid w:val="00B23F85"/>
    <w:rsid w:val="00B50CEA"/>
    <w:rsid w:val="00B547D5"/>
    <w:rsid w:val="00B74664"/>
    <w:rsid w:val="00BC59BF"/>
    <w:rsid w:val="00BD6746"/>
    <w:rsid w:val="00BE1211"/>
    <w:rsid w:val="00BF6991"/>
    <w:rsid w:val="00C16572"/>
    <w:rsid w:val="00C5371B"/>
    <w:rsid w:val="00C54D07"/>
    <w:rsid w:val="00C56E01"/>
    <w:rsid w:val="00C62AD4"/>
    <w:rsid w:val="00C675B8"/>
    <w:rsid w:val="00C832DD"/>
    <w:rsid w:val="00CD0154"/>
    <w:rsid w:val="00CD0E71"/>
    <w:rsid w:val="00CF56C7"/>
    <w:rsid w:val="00D31F19"/>
    <w:rsid w:val="00D50B2B"/>
    <w:rsid w:val="00D51C67"/>
    <w:rsid w:val="00D623BF"/>
    <w:rsid w:val="00D8071E"/>
    <w:rsid w:val="00DA547E"/>
    <w:rsid w:val="00DB22F1"/>
    <w:rsid w:val="00DD16AF"/>
    <w:rsid w:val="00DD19A0"/>
    <w:rsid w:val="00DE7F5C"/>
    <w:rsid w:val="00E029F6"/>
    <w:rsid w:val="00E17E77"/>
    <w:rsid w:val="00E23EC4"/>
    <w:rsid w:val="00E42AA9"/>
    <w:rsid w:val="00E473C0"/>
    <w:rsid w:val="00E547E7"/>
    <w:rsid w:val="00E5519E"/>
    <w:rsid w:val="00E6690F"/>
    <w:rsid w:val="00E87C88"/>
    <w:rsid w:val="00E922B6"/>
    <w:rsid w:val="00E93BF2"/>
    <w:rsid w:val="00EA45D0"/>
    <w:rsid w:val="00F00D97"/>
    <w:rsid w:val="00F24CB6"/>
    <w:rsid w:val="00F26EBF"/>
    <w:rsid w:val="00F525FC"/>
    <w:rsid w:val="00F67D54"/>
    <w:rsid w:val="00F72EEB"/>
    <w:rsid w:val="00F8165B"/>
    <w:rsid w:val="00F8721B"/>
    <w:rsid w:val="00F939A1"/>
    <w:rsid w:val="00FD0C41"/>
    <w:rsid w:val="00FE04E4"/>
    <w:rsid w:val="00FE39D8"/>
    <w:rsid w:val="038C2352"/>
    <w:rsid w:val="039D60A4"/>
    <w:rsid w:val="04AD1DC8"/>
    <w:rsid w:val="0532530A"/>
    <w:rsid w:val="0795111F"/>
    <w:rsid w:val="0D640B3A"/>
    <w:rsid w:val="0F024DBE"/>
    <w:rsid w:val="0FE90F63"/>
    <w:rsid w:val="12092190"/>
    <w:rsid w:val="12DB1033"/>
    <w:rsid w:val="13737B87"/>
    <w:rsid w:val="137E09AE"/>
    <w:rsid w:val="14B93C24"/>
    <w:rsid w:val="17957F58"/>
    <w:rsid w:val="18813F6F"/>
    <w:rsid w:val="19FA5EB0"/>
    <w:rsid w:val="1AE72D95"/>
    <w:rsid w:val="21960208"/>
    <w:rsid w:val="234B3EA1"/>
    <w:rsid w:val="236E4413"/>
    <w:rsid w:val="23F7057F"/>
    <w:rsid w:val="24107154"/>
    <w:rsid w:val="244D5A8B"/>
    <w:rsid w:val="247A3FB1"/>
    <w:rsid w:val="26B80853"/>
    <w:rsid w:val="2AB21F4C"/>
    <w:rsid w:val="2B4109DB"/>
    <w:rsid w:val="2B6931C2"/>
    <w:rsid w:val="2B6C7929"/>
    <w:rsid w:val="2DB04CB4"/>
    <w:rsid w:val="2EFF798A"/>
    <w:rsid w:val="30503A96"/>
    <w:rsid w:val="309825C3"/>
    <w:rsid w:val="319234E2"/>
    <w:rsid w:val="31CF7078"/>
    <w:rsid w:val="343339F8"/>
    <w:rsid w:val="34D522E3"/>
    <w:rsid w:val="363E0395"/>
    <w:rsid w:val="370E2266"/>
    <w:rsid w:val="388B7FD9"/>
    <w:rsid w:val="3BEF1B69"/>
    <w:rsid w:val="3EBC7BE3"/>
    <w:rsid w:val="40D740E5"/>
    <w:rsid w:val="411B2E99"/>
    <w:rsid w:val="416B54B1"/>
    <w:rsid w:val="428E0C43"/>
    <w:rsid w:val="43307FA3"/>
    <w:rsid w:val="443D313D"/>
    <w:rsid w:val="448E440A"/>
    <w:rsid w:val="47AB6C3D"/>
    <w:rsid w:val="47F346BD"/>
    <w:rsid w:val="48594AB2"/>
    <w:rsid w:val="4DCC6FE9"/>
    <w:rsid w:val="4DEE07C9"/>
    <w:rsid w:val="4EF6028E"/>
    <w:rsid w:val="52234533"/>
    <w:rsid w:val="53384407"/>
    <w:rsid w:val="54403A85"/>
    <w:rsid w:val="57E46C74"/>
    <w:rsid w:val="5A4C0252"/>
    <w:rsid w:val="5B014DA1"/>
    <w:rsid w:val="5B8602DA"/>
    <w:rsid w:val="5BA73C36"/>
    <w:rsid w:val="5C1F2EF0"/>
    <w:rsid w:val="5CD02585"/>
    <w:rsid w:val="60240C43"/>
    <w:rsid w:val="60AA5BCA"/>
    <w:rsid w:val="61AE58F9"/>
    <w:rsid w:val="61CF1112"/>
    <w:rsid w:val="62F07FAC"/>
    <w:rsid w:val="63355EBD"/>
    <w:rsid w:val="643F3078"/>
    <w:rsid w:val="64490830"/>
    <w:rsid w:val="64F904B6"/>
    <w:rsid w:val="65C15E87"/>
    <w:rsid w:val="683B7E4A"/>
    <w:rsid w:val="68A917FD"/>
    <w:rsid w:val="68FA6681"/>
    <w:rsid w:val="69773BD4"/>
    <w:rsid w:val="6A916AAB"/>
    <w:rsid w:val="6CE33E36"/>
    <w:rsid w:val="6EB27F77"/>
    <w:rsid w:val="6F513F35"/>
    <w:rsid w:val="705B4686"/>
    <w:rsid w:val="705F34A9"/>
    <w:rsid w:val="71BF4BF0"/>
    <w:rsid w:val="721F390D"/>
    <w:rsid w:val="72F72D48"/>
    <w:rsid w:val="75677647"/>
    <w:rsid w:val="75EA36E7"/>
    <w:rsid w:val="76366973"/>
    <w:rsid w:val="76522A89"/>
    <w:rsid w:val="775C634D"/>
    <w:rsid w:val="77C245E0"/>
    <w:rsid w:val="78740693"/>
    <w:rsid w:val="78B561E6"/>
    <w:rsid w:val="78BA51D2"/>
    <w:rsid w:val="79996882"/>
    <w:rsid w:val="7A6B69AA"/>
    <w:rsid w:val="7A9B7882"/>
    <w:rsid w:val="7AF07EED"/>
    <w:rsid w:val="7BCD670C"/>
    <w:rsid w:val="7C35626D"/>
    <w:rsid w:val="7CBA7036"/>
    <w:rsid w:val="7E322CC0"/>
    <w:rsid w:val="7E351604"/>
    <w:rsid w:val="7FE1704E"/>
    <w:rsid w:val="7FE75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semiHidden="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0"/>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51"/>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6">
    <w:name w:val="heading 3"/>
    <w:basedOn w:val="1"/>
    <w:next w:val="1"/>
    <w:link w:val="52"/>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7">
    <w:name w:val="heading 4"/>
    <w:basedOn w:val="1"/>
    <w:next w:val="1"/>
    <w:link w:val="53"/>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8">
    <w:name w:val="heading 5"/>
    <w:basedOn w:val="1"/>
    <w:next w:val="1"/>
    <w:link w:val="54"/>
    <w:unhideWhenUsed/>
    <w:qFormat/>
    <w:uiPriority w:val="0"/>
    <w:pPr>
      <w:numPr>
        <w:ilvl w:val="4"/>
        <w:numId w:val="2"/>
      </w:numPr>
      <w:tabs>
        <w:tab w:val="left" w:pos="1134"/>
      </w:tabs>
      <w:spacing w:before="280" w:after="290" w:line="360" w:lineRule="auto"/>
      <w:outlineLvl w:val="4"/>
    </w:pPr>
    <w:rPr>
      <w:b/>
      <w:bCs/>
      <w:kern w:val="0"/>
      <w:sz w:val="28"/>
      <w:szCs w:val="28"/>
    </w:rPr>
  </w:style>
  <w:style w:type="paragraph" w:styleId="9">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0">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83"/>
    <w:unhideWhenUsed/>
    <w:qFormat/>
    <w:uiPriority w:val="0"/>
    <w:pPr>
      <w:spacing w:after="120"/>
    </w:pPr>
    <w:rPr>
      <w:rFonts w:ascii="Times New Roman" w:hAnsi="Times New Roman"/>
      <w:kern w:val="0"/>
      <w:sz w:val="20"/>
      <w:szCs w:val="20"/>
    </w:rPr>
  </w:style>
  <w:style w:type="paragraph" w:styleId="3">
    <w:name w:val="Body Text First Indent"/>
    <w:basedOn w:val="2"/>
    <w:link w:val="72"/>
    <w:semiHidden/>
    <w:unhideWhenUsed/>
    <w:qFormat/>
    <w:uiPriority w:val="0"/>
    <w:pPr>
      <w:ind w:firstLine="420" w:firstLineChars="100"/>
    </w:pPr>
    <w:rPr>
      <w:sz w:val="18"/>
      <w:szCs w:val="18"/>
    </w:rPr>
  </w:style>
  <w:style w:type="paragraph" w:styleId="13">
    <w:name w:val="toc 7"/>
    <w:basedOn w:val="1"/>
    <w:next w:val="1"/>
    <w:semiHidden/>
    <w:unhideWhenUsed/>
    <w:qFormat/>
    <w:uiPriority w:val="0"/>
    <w:pPr>
      <w:ind w:left="2520" w:leftChars="1200"/>
    </w:pPr>
    <w:rPr>
      <w:rFonts w:ascii="Times New Roman" w:hAnsi="Times New Roman"/>
      <w:szCs w:val="24"/>
    </w:rPr>
  </w:style>
  <w:style w:type="paragraph" w:styleId="14">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5">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6">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7">
    <w:name w:val="annotation text"/>
    <w:basedOn w:val="1"/>
    <w:link w:val="196"/>
    <w:unhideWhenUsed/>
    <w:qFormat/>
    <w:uiPriority w:val="99"/>
    <w:pPr>
      <w:jc w:val="left"/>
    </w:pPr>
  </w:style>
  <w:style w:type="paragraph" w:styleId="18">
    <w:name w:val="Body Text 3"/>
    <w:basedOn w:val="1"/>
    <w:link w:val="74"/>
    <w:semiHidden/>
    <w:unhideWhenUsed/>
    <w:qFormat/>
    <w:uiPriority w:val="0"/>
    <w:pPr>
      <w:jc w:val="center"/>
    </w:pPr>
    <w:rPr>
      <w:rFonts w:ascii="Times New Roman" w:hAnsi="Times New Roman" w:eastAsia="黑体"/>
      <w:sz w:val="44"/>
      <w:szCs w:val="24"/>
    </w:rPr>
  </w:style>
  <w:style w:type="paragraph" w:styleId="19">
    <w:name w:val="Body Text Indent"/>
    <w:basedOn w:val="1"/>
    <w:link w:val="69"/>
    <w:semiHidden/>
    <w:unhideWhenUsed/>
    <w:qFormat/>
    <w:uiPriority w:val="0"/>
    <w:pPr>
      <w:spacing w:after="120"/>
      <w:ind w:left="420" w:leftChars="200"/>
    </w:pPr>
    <w:rPr>
      <w:rFonts w:ascii="Times New Roman" w:hAnsi="Times New Roman"/>
      <w:kern w:val="0"/>
      <w:sz w:val="20"/>
      <w:szCs w:val="24"/>
    </w:rPr>
  </w:style>
  <w:style w:type="paragraph" w:styleId="20">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semiHidden/>
    <w:unhideWhenUsed/>
    <w:qFormat/>
    <w:uiPriority w:val="0"/>
    <w:pPr>
      <w:ind w:left="1680" w:leftChars="800"/>
    </w:pPr>
    <w:rPr>
      <w:rFonts w:ascii="Times New Roman" w:hAnsi="Times New Roman"/>
      <w:sz w:val="18"/>
      <w:szCs w:val="18"/>
    </w:rPr>
  </w:style>
  <w:style w:type="paragraph" w:styleId="22">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next w:val="24"/>
    <w:link w:val="187"/>
    <w:unhideWhenUsed/>
    <w:qFormat/>
    <w:uiPriority w:val="99"/>
    <w:rPr>
      <w:rFonts w:ascii="宋体" w:hAnsi="Courier New"/>
      <w:kern w:val="0"/>
      <w:sz w:val="20"/>
      <w:szCs w:val="18"/>
    </w:rPr>
  </w:style>
  <w:style w:type="paragraph" w:styleId="24">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25">
    <w:name w:val="toc 8"/>
    <w:basedOn w:val="1"/>
    <w:next w:val="1"/>
    <w:semiHidden/>
    <w:unhideWhenUsed/>
    <w:qFormat/>
    <w:uiPriority w:val="0"/>
    <w:pPr>
      <w:ind w:left="2940" w:leftChars="1400"/>
    </w:pPr>
    <w:rPr>
      <w:rFonts w:ascii="Times New Roman" w:hAnsi="Times New Roman"/>
      <w:szCs w:val="24"/>
    </w:rPr>
  </w:style>
  <w:style w:type="paragraph" w:styleId="26">
    <w:name w:val="Date"/>
    <w:basedOn w:val="1"/>
    <w:next w:val="1"/>
    <w:link w:val="71"/>
    <w:unhideWhenUsed/>
    <w:qFormat/>
    <w:uiPriority w:val="99"/>
    <w:pPr>
      <w:ind w:left="100" w:leftChars="2500"/>
    </w:pPr>
    <w:rPr>
      <w:rFonts w:ascii="Times New Roman" w:hAnsi="Times New Roman"/>
      <w:kern w:val="0"/>
      <w:sz w:val="24"/>
      <w:szCs w:val="24"/>
    </w:rPr>
  </w:style>
  <w:style w:type="paragraph" w:styleId="27">
    <w:name w:val="Body Text Indent 2"/>
    <w:basedOn w:val="1"/>
    <w:link w:val="75"/>
    <w:semiHidden/>
    <w:unhideWhenUsed/>
    <w:qFormat/>
    <w:uiPriority w:val="0"/>
    <w:pPr>
      <w:spacing w:after="120" w:line="480" w:lineRule="auto"/>
      <w:ind w:left="420" w:leftChars="200"/>
    </w:pPr>
    <w:rPr>
      <w:rFonts w:ascii="Times New Roman" w:hAnsi="Times New Roman"/>
      <w:kern w:val="0"/>
      <w:sz w:val="20"/>
      <w:szCs w:val="20"/>
    </w:rPr>
  </w:style>
  <w:style w:type="paragraph" w:styleId="28">
    <w:name w:val="Balloon Text"/>
    <w:basedOn w:val="1"/>
    <w:link w:val="80"/>
    <w:unhideWhenUsed/>
    <w:qFormat/>
    <w:uiPriority w:val="99"/>
    <w:rPr>
      <w:rFonts w:ascii="Times New Roman" w:hAnsi="Times New Roman"/>
      <w:kern w:val="0"/>
      <w:sz w:val="18"/>
      <w:szCs w:val="18"/>
    </w:rPr>
  </w:style>
  <w:style w:type="paragraph" w:styleId="29">
    <w:name w:val="footer"/>
    <w:basedOn w:val="1"/>
    <w:link w:val="67"/>
    <w:unhideWhenUsed/>
    <w:qFormat/>
    <w:uiPriority w:val="99"/>
    <w:pPr>
      <w:tabs>
        <w:tab w:val="center" w:pos="4153"/>
        <w:tab w:val="right" w:pos="8306"/>
      </w:tabs>
      <w:snapToGrid w:val="0"/>
      <w:jc w:val="left"/>
    </w:pPr>
    <w:rPr>
      <w:kern w:val="0"/>
      <w:sz w:val="18"/>
      <w:szCs w:val="18"/>
    </w:rPr>
  </w:style>
  <w:style w:type="paragraph" w:styleId="30">
    <w:name w:val="header"/>
    <w:basedOn w:val="1"/>
    <w:link w:val="6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2">
    <w:name w:val="toc 4"/>
    <w:basedOn w:val="1"/>
    <w:next w:val="1"/>
    <w:semiHidden/>
    <w:unhideWhenUsed/>
    <w:qFormat/>
    <w:uiPriority w:val="0"/>
    <w:pPr>
      <w:ind w:left="1260" w:leftChars="600"/>
    </w:pPr>
    <w:rPr>
      <w:rFonts w:ascii="Times New Roman" w:hAnsi="Times New Roman"/>
      <w:sz w:val="18"/>
      <w:szCs w:val="18"/>
    </w:rPr>
  </w:style>
  <w:style w:type="paragraph" w:styleId="33">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64"/>
    <w:semiHidden/>
    <w:unhideWhenUsed/>
    <w:qFormat/>
    <w:uiPriority w:val="0"/>
    <w:pPr>
      <w:snapToGrid w:val="0"/>
      <w:jc w:val="left"/>
    </w:pPr>
    <w:rPr>
      <w:sz w:val="18"/>
      <w:szCs w:val="18"/>
    </w:rPr>
  </w:style>
  <w:style w:type="paragraph" w:styleId="35">
    <w:name w:val="toc 6"/>
    <w:basedOn w:val="1"/>
    <w:next w:val="1"/>
    <w:semiHidden/>
    <w:unhideWhenUsed/>
    <w:qFormat/>
    <w:uiPriority w:val="0"/>
    <w:pPr>
      <w:ind w:left="2100" w:leftChars="1000"/>
    </w:pPr>
    <w:rPr>
      <w:rFonts w:ascii="Times New Roman" w:hAnsi="Times New Roman"/>
      <w:szCs w:val="24"/>
    </w:rPr>
  </w:style>
  <w:style w:type="paragraph" w:styleId="36">
    <w:name w:val="Body Text Indent 3"/>
    <w:basedOn w:val="1"/>
    <w:link w:val="76"/>
    <w:semiHidden/>
    <w:unhideWhenUsed/>
    <w:qFormat/>
    <w:uiPriority w:val="0"/>
    <w:pPr>
      <w:spacing w:line="360" w:lineRule="auto"/>
      <w:ind w:left="153" w:leftChars="85" w:firstLine="560" w:firstLineChars="200"/>
    </w:pPr>
    <w:rPr>
      <w:rFonts w:ascii="宋体" w:hAnsi="宋体"/>
      <w:kern w:val="0"/>
      <w:sz w:val="28"/>
      <w:szCs w:val="28"/>
    </w:rPr>
  </w:style>
  <w:style w:type="paragraph" w:styleId="37">
    <w:name w:val="toc 9"/>
    <w:basedOn w:val="1"/>
    <w:next w:val="1"/>
    <w:semiHidden/>
    <w:unhideWhenUsed/>
    <w:qFormat/>
    <w:uiPriority w:val="0"/>
    <w:pPr>
      <w:ind w:left="3360" w:leftChars="1600"/>
    </w:pPr>
    <w:rPr>
      <w:rFonts w:ascii="Times New Roman" w:hAnsi="Times New Roman"/>
      <w:szCs w:val="24"/>
    </w:rPr>
  </w:style>
  <w:style w:type="paragraph" w:styleId="38">
    <w:name w:val="Body Text 2"/>
    <w:basedOn w:val="1"/>
    <w:link w:val="73"/>
    <w:semiHidden/>
    <w:unhideWhenUsed/>
    <w:qFormat/>
    <w:uiPriority w:val="0"/>
    <w:pPr>
      <w:spacing w:after="120" w:line="480" w:lineRule="auto"/>
    </w:pPr>
    <w:rPr>
      <w:rFonts w:ascii="Times New Roman" w:hAnsi="Times New Roman"/>
      <w:kern w:val="0"/>
      <w:sz w:val="18"/>
      <w:szCs w:val="18"/>
    </w:rPr>
  </w:style>
  <w:style w:type="paragraph" w:styleId="39">
    <w:name w:val="HTML Preformatted"/>
    <w:basedOn w:val="1"/>
    <w:link w:val="20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40">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1">
    <w:name w:val="index 1"/>
    <w:basedOn w:val="1"/>
    <w:next w:val="1"/>
    <w:semiHidden/>
    <w:unhideWhenUsed/>
    <w:qFormat/>
    <w:uiPriority w:val="0"/>
    <w:pPr>
      <w:ind w:firstLine="560" w:firstLineChars="200"/>
    </w:pPr>
    <w:rPr>
      <w:rFonts w:ascii="宋体" w:hAnsi="宋体" w:cs="宋体"/>
      <w:sz w:val="28"/>
      <w:szCs w:val="28"/>
    </w:rPr>
  </w:style>
  <w:style w:type="paragraph" w:styleId="42">
    <w:name w:val="annotation subject"/>
    <w:basedOn w:val="17"/>
    <w:next w:val="17"/>
    <w:link w:val="79"/>
    <w:unhideWhenUsed/>
    <w:qFormat/>
    <w:uiPriority w:val="99"/>
    <w:rPr>
      <w:b/>
      <w:bCs/>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FollowedHyperlink"/>
    <w:basedOn w:val="45"/>
    <w:semiHidden/>
    <w:unhideWhenUsed/>
    <w:qFormat/>
    <w:uiPriority w:val="99"/>
    <w:rPr>
      <w:color w:val="800080" w:themeColor="followedHyperlink"/>
      <w:u w:val="single"/>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Char"/>
    <w:basedOn w:val="45"/>
    <w:link w:val="4"/>
    <w:qFormat/>
    <w:uiPriority w:val="99"/>
    <w:rPr>
      <w:rFonts w:ascii="宋体" w:hAnsi="宋体" w:eastAsia="宋体" w:cs="宋体"/>
      <w:b/>
      <w:bCs/>
      <w:spacing w:val="-20"/>
      <w:kern w:val="44"/>
      <w:sz w:val="32"/>
      <w:szCs w:val="32"/>
    </w:rPr>
  </w:style>
  <w:style w:type="character" w:customStyle="1" w:styleId="51">
    <w:name w:val="标题 2 Char"/>
    <w:basedOn w:val="45"/>
    <w:link w:val="5"/>
    <w:qFormat/>
    <w:uiPriority w:val="99"/>
    <w:rPr>
      <w:rFonts w:ascii="宋体" w:hAnsi="宋体" w:eastAsia="宋体" w:cs="宋体"/>
      <w:b/>
      <w:bCs/>
      <w:sz w:val="28"/>
      <w:szCs w:val="28"/>
    </w:rPr>
  </w:style>
  <w:style w:type="character" w:customStyle="1" w:styleId="52">
    <w:name w:val="标题 3 Char"/>
    <w:basedOn w:val="45"/>
    <w:link w:val="6"/>
    <w:qFormat/>
    <w:uiPriority w:val="99"/>
    <w:rPr>
      <w:rFonts w:ascii="宋体" w:hAnsi="宋体" w:eastAsia="宋体" w:cs="宋体"/>
      <w:b/>
      <w:bCs/>
      <w:color w:val="000000"/>
      <w:kern w:val="0"/>
      <w:sz w:val="28"/>
      <w:szCs w:val="28"/>
    </w:rPr>
  </w:style>
  <w:style w:type="character" w:customStyle="1" w:styleId="53">
    <w:name w:val="标题 4 Char"/>
    <w:basedOn w:val="45"/>
    <w:link w:val="7"/>
    <w:qFormat/>
    <w:uiPriority w:val="9"/>
    <w:rPr>
      <w:rFonts w:ascii="Arial" w:hAnsi="Arial" w:eastAsia="宋体" w:cs="Times New Roman"/>
      <w:b/>
      <w:bCs/>
      <w:kern w:val="0"/>
      <w:sz w:val="28"/>
      <w:szCs w:val="28"/>
    </w:rPr>
  </w:style>
  <w:style w:type="character" w:customStyle="1" w:styleId="54">
    <w:name w:val="标题 5 Char"/>
    <w:basedOn w:val="45"/>
    <w:link w:val="8"/>
    <w:qFormat/>
    <w:uiPriority w:val="0"/>
    <w:rPr>
      <w:rFonts w:ascii="Calibri" w:hAnsi="Calibri" w:eastAsia="宋体" w:cs="Times New Roman"/>
      <w:b/>
      <w:bCs/>
      <w:kern w:val="0"/>
      <w:sz w:val="28"/>
      <w:szCs w:val="28"/>
    </w:rPr>
  </w:style>
  <w:style w:type="character" w:customStyle="1" w:styleId="55">
    <w:name w:val="标题 6 Char"/>
    <w:basedOn w:val="45"/>
    <w:link w:val="9"/>
    <w:qFormat/>
    <w:uiPriority w:val="0"/>
    <w:rPr>
      <w:rFonts w:ascii="Arial" w:hAnsi="Arial" w:eastAsia="宋体" w:cs="Times New Roman"/>
      <w:b/>
      <w:bCs/>
      <w:kern w:val="0"/>
      <w:sz w:val="28"/>
      <w:szCs w:val="18"/>
    </w:rPr>
  </w:style>
  <w:style w:type="character" w:customStyle="1" w:styleId="56">
    <w:name w:val="标题 7 Char"/>
    <w:basedOn w:val="45"/>
    <w:link w:val="10"/>
    <w:qFormat/>
    <w:uiPriority w:val="0"/>
    <w:rPr>
      <w:rFonts w:ascii="Arial Narrow" w:hAnsi="Arial Narrow" w:eastAsia="宋体" w:cs="Times New Roman"/>
      <w:b/>
      <w:bCs/>
      <w:iCs/>
      <w:kern w:val="0"/>
      <w:sz w:val="20"/>
      <w:szCs w:val="24"/>
      <w:lang w:eastAsia="en-US"/>
    </w:rPr>
  </w:style>
  <w:style w:type="character" w:customStyle="1" w:styleId="57">
    <w:name w:val="标题 8 Char"/>
    <w:basedOn w:val="45"/>
    <w:link w:val="11"/>
    <w:semiHidden/>
    <w:qFormat/>
    <w:uiPriority w:val="0"/>
    <w:rPr>
      <w:rFonts w:ascii="Arial" w:hAnsi="Arial" w:eastAsia="黑体" w:cs="Times New Roman"/>
      <w:kern w:val="0"/>
      <w:sz w:val="24"/>
      <w:szCs w:val="24"/>
    </w:rPr>
  </w:style>
  <w:style w:type="character" w:customStyle="1" w:styleId="58">
    <w:name w:val="标题 9 Char"/>
    <w:basedOn w:val="45"/>
    <w:link w:val="12"/>
    <w:semiHidden/>
    <w:qFormat/>
    <w:uiPriority w:val="0"/>
    <w:rPr>
      <w:rFonts w:ascii="Arial" w:hAnsi="Arial" w:eastAsia="黑体" w:cs="Times New Roman"/>
      <w:kern w:val="0"/>
      <w:sz w:val="20"/>
      <w:szCs w:val="21"/>
    </w:rPr>
  </w:style>
  <w:style w:type="character" w:customStyle="1" w:styleId="59">
    <w:name w:val="标题 1 Char1"/>
    <w:qFormat/>
    <w:uiPriority w:val="0"/>
    <w:rPr>
      <w:b/>
      <w:bCs/>
      <w:kern w:val="44"/>
      <w:sz w:val="44"/>
      <w:szCs w:val="44"/>
    </w:rPr>
  </w:style>
  <w:style w:type="character" w:customStyle="1" w:styleId="60">
    <w:name w:val="标题 2 Char1"/>
    <w:basedOn w:val="45"/>
    <w:semiHidden/>
    <w:qFormat/>
    <w:uiPriority w:val="99"/>
    <w:rPr>
      <w:rFonts w:asciiTheme="majorHAnsi" w:hAnsiTheme="majorHAnsi" w:eastAsiaTheme="majorEastAsia" w:cstheme="majorBidi"/>
      <w:b/>
      <w:bCs/>
      <w:kern w:val="2"/>
      <w:sz w:val="32"/>
      <w:szCs w:val="32"/>
    </w:rPr>
  </w:style>
  <w:style w:type="character" w:customStyle="1" w:styleId="61">
    <w:name w:val="标题 3 Char1"/>
    <w:basedOn w:val="45"/>
    <w:semiHidden/>
    <w:qFormat/>
    <w:uiPriority w:val="99"/>
    <w:rPr>
      <w:rFonts w:ascii="Calibri" w:hAnsi="Calibri"/>
      <w:b/>
      <w:bCs/>
      <w:kern w:val="2"/>
      <w:sz w:val="32"/>
      <w:szCs w:val="32"/>
    </w:rPr>
  </w:style>
  <w:style w:type="character" w:customStyle="1" w:styleId="62">
    <w:name w:val="标题 4 Char1"/>
    <w:basedOn w:val="45"/>
    <w:semiHidden/>
    <w:qFormat/>
    <w:uiPriority w:val="9"/>
    <w:rPr>
      <w:rFonts w:asciiTheme="majorHAnsi" w:hAnsiTheme="majorHAnsi" w:eastAsiaTheme="majorEastAsia" w:cstheme="majorBidi"/>
      <w:b/>
      <w:bCs/>
      <w:kern w:val="2"/>
      <w:sz w:val="28"/>
      <w:szCs w:val="28"/>
    </w:rPr>
  </w:style>
  <w:style w:type="character" w:customStyle="1" w:styleId="63">
    <w:name w:val="正文缩进 Char1"/>
    <w:link w:val="14"/>
    <w:qFormat/>
    <w:locked/>
    <w:uiPriority w:val="0"/>
  </w:style>
  <w:style w:type="character" w:customStyle="1" w:styleId="64">
    <w:name w:val="脚注文本 Char"/>
    <w:basedOn w:val="45"/>
    <w:link w:val="34"/>
    <w:semiHidden/>
    <w:qFormat/>
    <w:uiPriority w:val="0"/>
    <w:rPr>
      <w:rFonts w:ascii="Calibri" w:hAnsi="Calibri" w:eastAsia="宋体" w:cs="Times New Roman"/>
      <w:sz w:val="18"/>
      <w:szCs w:val="18"/>
    </w:rPr>
  </w:style>
  <w:style w:type="character" w:customStyle="1" w:styleId="65">
    <w:name w:val="批注文字 Char"/>
    <w:basedOn w:val="45"/>
    <w:semiHidden/>
    <w:qFormat/>
    <w:uiPriority w:val="99"/>
    <w:rPr>
      <w:rFonts w:ascii="Calibri" w:hAnsi="Calibri" w:eastAsia="宋体" w:cs="Times New Roman"/>
    </w:rPr>
  </w:style>
  <w:style w:type="character" w:customStyle="1" w:styleId="66">
    <w:name w:val="页眉 Char"/>
    <w:basedOn w:val="45"/>
    <w:link w:val="30"/>
    <w:qFormat/>
    <w:uiPriority w:val="99"/>
    <w:rPr>
      <w:rFonts w:ascii="Calibri" w:hAnsi="Calibri" w:eastAsia="宋体" w:cs="Times New Roman"/>
      <w:kern w:val="0"/>
      <w:sz w:val="18"/>
      <w:szCs w:val="18"/>
    </w:rPr>
  </w:style>
  <w:style w:type="character" w:customStyle="1" w:styleId="67">
    <w:name w:val="页脚 Char"/>
    <w:basedOn w:val="45"/>
    <w:link w:val="29"/>
    <w:qFormat/>
    <w:uiPriority w:val="99"/>
    <w:rPr>
      <w:rFonts w:ascii="Calibri" w:hAnsi="Calibri" w:eastAsia="宋体" w:cs="Times New Roman"/>
      <w:kern w:val="0"/>
      <w:sz w:val="18"/>
      <w:szCs w:val="18"/>
    </w:rPr>
  </w:style>
  <w:style w:type="character" w:customStyle="1" w:styleId="68">
    <w:name w:val="正文文本 Char"/>
    <w:basedOn w:val="45"/>
    <w:qFormat/>
    <w:uiPriority w:val="99"/>
    <w:rPr>
      <w:rFonts w:ascii="Calibri" w:hAnsi="Calibri" w:eastAsia="宋体" w:cs="Times New Roman"/>
    </w:rPr>
  </w:style>
  <w:style w:type="character" w:customStyle="1" w:styleId="69">
    <w:name w:val="正文文本缩进 Char"/>
    <w:basedOn w:val="45"/>
    <w:link w:val="19"/>
    <w:semiHidden/>
    <w:qFormat/>
    <w:uiPriority w:val="0"/>
    <w:rPr>
      <w:rFonts w:ascii="Times New Roman" w:hAnsi="Times New Roman" w:eastAsia="宋体" w:cs="Times New Roman"/>
      <w:kern w:val="0"/>
      <w:sz w:val="20"/>
      <w:szCs w:val="24"/>
    </w:rPr>
  </w:style>
  <w:style w:type="character" w:customStyle="1" w:styleId="70">
    <w:name w:val="副标题 Char"/>
    <w:basedOn w:val="45"/>
    <w:link w:val="33"/>
    <w:qFormat/>
    <w:uiPriority w:val="0"/>
    <w:rPr>
      <w:rFonts w:ascii="Cambria" w:hAnsi="Cambria" w:eastAsia="宋体" w:cs="Times New Roman"/>
      <w:b/>
      <w:bCs/>
      <w:kern w:val="28"/>
      <w:sz w:val="32"/>
      <w:szCs w:val="32"/>
    </w:rPr>
  </w:style>
  <w:style w:type="character" w:customStyle="1" w:styleId="71">
    <w:name w:val="日期 Char"/>
    <w:basedOn w:val="45"/>
    <w:link w:val="26"/>
    <w:qFormat/>
    <w:uiPriority w:val="99"/>
    <w:rPr>
      <w:rFonts w:ascii="Times New Roman" w:hAnsi="Times New Roman" w:eastAsia="宋体" w:cs="Times New Roman"/>
      <w:kern w:val="0"/>
      <w:sz w:val="24"/>
      <w:szCs w:val="24"/>
    </w:rPr>
  </w:style>
  <w:style w:type="character" w:customStyle="1" w:styleId="72">
    <w:name w:val="正文首行缩进 Char"/>
    <w:basedOn w:val="68"/>
    <w:link w:val="3"/>
    <w:semiHidden/>
    <w:qFormat/>
    <w:uiPriority w:val="0"/>
    <w:rPr>
      <w:rFonts w:ascii="Times New Roman" w:hAnsi="Times New Roman" w:eastAsia="宋体" w:cs="Times New Roman"/>
      <w:kern w:val="0"/>
      <w:sz w:val="18"/>
      <w:szCs w:val="18"/>
    </w:rPr>
  </w:style>
  <w:style w:type="character" w:customStyle="1" w:styleId="73">
    <w:name w:val="正文文本 2 Char"/>
    <w:basedOn w:val="45"/>
    <w:link w:val="38"/>
    <w:semiHidden/>
    <w:qFormat/>
    <w:uiPriority w:val="0"/>
    <w:rPr>
      <w:rFonts w:ascii="Times New Roman" w:hAnsi="Times New Roman" w:eastAsia="宋体" w:cs="Times New Roman"/>
      <w:kern w:val="0"/>
      <w:sz w:val="18"/>
      <w:szCs w:val="18"/>
    </w:rPr>
  </w:style>
  <w:style w:type="character" w:customStyle="1" w:styleId="74">
    <w:name w:val="正文文本 3 Char"/>
    <w:basedOn w:val="45"/>
    <w:link w:val="18"/>
    <w:semiHidden/>
    <w:qFormat/>
    <w:uiPriority w:val="0"/>
    <w:rPr>
      <w:rFonts w:ascii="Times New Roman" w:hAnsi="Times New Roman" w:eastAsia="黑体" w:cs="Times New Roman"/>
      <w:sz w:val="44"/>
      <w:szCs w:val="24"/>
    </w:rPr>
  </w:style>
  <w:style w:type="character" w:customStyle="1" w:styleId="75">
    <w:name w:val="正文文本缩进 2 Char"/>
    <w:basedOn w:val="45"/>
    <w:link w:val="27"/>
    <w:semiHidden/>
    <w:qFormat/>
    <w:uiPriority w:val="0"/>
    <w:rPr>
      <w:rFonts w:ascii="Times New Roman" w:hAnsi="Times New Roman" w:eastAsia="宋体" w:cs="Times New Roman"/>
      <w:kern w:val="0"/>
      <w:sz w:val="20"/>
      <w:szCs w:val="20"/>
    </w:rPr>
  </w:style>
  <w:style w:type="character" w:customStyle="1" w:styleId="76">
    <w:name w:val="正文文本缩进 3 Char"/>
    <w:basedOn w:val="45"/>
    <w:link w:val="36"/>
    <w:semiHidden/>
    <w:qFormat/>
    <w:uiPriority w:val="0"/>
    <w:rPr>
      <w:rFonts w:ascii="宋体" w:hAnsi="宋体" w:eastAsia="宋体" w:cs="Times New Roman"/>
      <w:kern w:val="0"/>
      <w:sz w:val="28"/>
      <w:szCs w:val="28"/>
    </w:rPr>
  </w:style>
  <w:style w:type="character" w:customStyle="1" w:styleId="77">
    <w:name w:val="文档结构图 Char"/>
    <w:basedOn w:val="45"/>
    <w:link w:val="16"/>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5"/>
    <w:semiHidden/>
    <w:qFormat/>
    <w:uiPriority w:val="99"/>
    <w:rPr>
      <w:rFonts w:ascii="宋体" w:hAnsi="Courier New" w:eastAsia="宋体" w:cs="Courier New"/>
      <w:szCs w:val="21"/>
    </w:rPr>
  </w:style>
  <w:style w:type="character" w:customStyle="1" w:styleId="79">
    <w:name w:val="批注主题 Char"/>
    <w:basedOn w:val="65"/>
    <w:link w:val="42"/>
    <w:qFormat/>
    <w:uiPriority w:val="99"/>
    <w:rPr>
      <w:rFonts w:ascii="Calibri" w:hAnsi="Calibri" w:eastAsia="宋体" w:cs="Times New Roman"/>
      <w:b/>
      <w:bCs/>
    </w:rPr>
  </w:style>
  <w:style w:type="character" w:customStyle="1" w:styleId="80">
    <w:name w:val="批注框文本 Char"/>
    <w:basedOn w:val="45"/>
    <w:link w:val="28"/>
    <w:qFormat/>
    <w:uiPriority w:val="99"/>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修订1"/>
    <w:semiHidden/>
    <w:qFormat/>
    <w:uiPriority w:val="99"/>
    <w:rPr>
      <w:rFonts w:ascii="Calibri" w:hAnsi="Calibri" w:eastAsia="宋体" w:cs="Times New Roman"/>
      <w:kern w:val="2"/>
      <w:sz w:val="21"/>
      <w:szCs w:val="22"/>
      <w:lang w:val="en-US" w:eastAsia="zh-CN" w:bidi="ar-SA"/>
    </w:rPr>
  </w:style>
  <w:style w:type="character" w:customStyle="1" w:styleId="83">
    <w:name w:val="列出段落 Char"/>
    <w:link w:val="84"/>
    <w:qFormat/>
    <w:locked/>
    <w:uiPriority w:val="0"/>
    <w:rPr>
      <w:rFonts w:ascii="Calibri" w:hAnsi="Calibri" w:cs="Calibri"/>
    </w:rPr>
  </w:style>
  <w:style w:type="paragraph" w:styleId="84">
    <w:name w:val="List Paragraph"/>
    <w:basedOn w:val="1"/>
    <w:link w:val="83"/>
    <w:qFormat/>
    <w:uiPriority w:val="0"/>
    <w:pPr>
      <w:ind w:firstLine="420" w:firstLineChars="200"/>
    </w:pPr>
    <w:rPr>
      <w:rFonts w:cs="Calibri" w:eastAsiaTheme="minorEastAsia"/>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4"/>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9"/>
    <w:qFormat/>
    <w:uiPriority w:val="0"/>
    <w:pPr>
      <w:tabs>
        <w:tab w:val="left" w:pos="3260"/>
        <w:tab w:val="clear" w:pos="1702"/>
      </w:tabs>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8"/>
    <w:next w:val="19"/>
    <w:qFormat/>
    <w:uiPriority w:val="0"/>
    <w:pPr>
      <w:tabs>
        <w:tab w:val="left" w:pos="992"/>
        <w:tab w:val="clear" w:pos="1134"/>
      </w:tabs>
      <w:snapToGrid w:val="0"/>
      <w:spacing w:beforeLines="50" w:afterLines="50"/>
      <w:ind w:left="3570" w:firstLine="482" w:firstLineChars="200"/>
    </w:pPr>
    <w:rPr>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5"/>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1"/>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文章正文"/>
    <w:basedOn w:val="1"/>
    <w:qFormat/>
    <w:uiPriority w:val="0"/>
    <w:pPr>
      <w:spacing w:line="360" w:lineRule="auto"/>
      <w:ind w:firstLine="420"/>
    </w:pPr>
    <w:rPr>
      <w:rFonts w:ascii="Times New Roman" w:hAnsi="Times New Roman"/>
      <w:sz w:val="24"/>
      <w:szCs w:val="24"/>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28"/>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4"/>
    <w:qFormat/>
    <w:uiPriority w:val="0"/>
    <w:pPr>
      <w:tabs>
        <w:tab w:val="left" w:pos="425"/>
      </w:tabs>
    </w:pPr>
    <w:rPr>
      <w:rFonts w:cs="Times New Roman"/>
      <w:sz w:val="44"/>
    </w:rPr>
  </w:style>
  <w:style w:type="paragraph" w:customStyle="1" w:styleId="12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7">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8">
    <w:name w:val="彩色列表 - 强调文字颜色 1 Char"/>
    <w:link w:val="129"/>
    <w:qFormat/>
    <w:locked/>
    <w:uiPriority w:val="0"/>
    <w:rPr>
      <w:rFonts w:ascii="Calibri" w:hAnsi="Calibri" w:cs="Calibri"/>
    </w:rPr>
  </w:style>
  <w:style w:type="paragraph" w:customStyle="1" w:styleId="129">
    <w:name w:val="彩色列表 - 强调文字颜色 11"/>
    <w:basedOn w:val="1"/>
    <w:link w:val="128"/>
    <w:qFormat/>
    <w:uiPriority w:val="0"/>
    <w:pPr>
      <w:ind w:firstLine="420" w:firstLineChars="200"/>
    </w:pPr>
    <w:rPr>
      <w:rFonts w:cs="Calibri" w:eastAsiaTheme="minorEastAsia"/>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6"/>
    <w:qFormat/>
    <w:uiPriority w:val="0"/>
    <w:rPr>
      <w:rFonts w:ascii="Tahoma" w:hAnsi="Tahoma"/>
      <w:sz w:val="24"/>
      <w:szCs w:val="24"/>
    </w:rPr>
  </w:style>
  <w:style w:type="paragraph" w:customStyle="1" w:styleId="140">
    <w:name w:val="MM Topic 3"/>
    <w:basedOn w:val="6"/>
    <w:qFormat/>
    <w:uiPriority w:val="0"/>
    <w:pPr>
      <w:numPr>
        <w:ilvl w:val="0"/>
        <w:numId w:val="0"/>
      </w:num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2"/>
    <w:qFormat/>
    <w:uiPriority w:val="0"/>
    <w:pPr>
      <w:tabs>
        <w:tab w:val="left" w:pos="5102"/>
      </w:tabs>
    </w:pPr>
  </w:style>
  <w:style w:type="paragraph" w:customStyle="1" w:styleId="146">
    <w:name w:val="MM Topic 5"/>
    <w:basedOn w:val="8"/>
    <w:qFormat/>
    <w:uiPriority w:val="0"/>
    <w:pPr>
      <w:tabs>
        <w:tab w:val="left" w:pos="2551"/>
        <w:tab w:val="clear" w:pos="1134"/>
        <w:tab w:val="clear" w:pos="1560"/>
      </w:tabs>
      <w:ind w:left="0" w:firstLine="0"/>
    </w:p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7"/>
    <w:qFormat/>
    <w:uiPriority w:val="0"/>
    <w:pPr>
      <w:tabs>
        <w:tab w:val="left" w:pos="1984"/>
      </w:tabs>
      <w:ind w:left="0" w:firstLine="0"/>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5"/>
    <w:qFormat/>
    <w:uiPriority w:val="0"/>
    <w:pPr>
      <w:tabs>
        <w:tab w:val="left" w:pos="-2493"/>
      </w:tabs>
    </w:pPr>
    <w:rPr>
      <w:rFonts w:cs="Times New Roman"/>
      <w:szCs w:val="20"/>
    </w:rPr>
  </w:style>
  <w:style w:type="paragraph" w:customStyle="1" w:styleId="152">
    <w:name w:val="正文首行缩进两字符"/>
    <w:basedOn w:val="114"/>
    <w:qFormat/>
    <w:uiPriority w:val="0"/>
    <w:pPr>
      <w:spacing w:line="360" w:lineRule="auto"/>
      <w:ind w:firstLine="200" w:firstLineChars="200"/>
    </w:pPr>
    <w:rPr>
      <w:rFonts w:asci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0"/>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彩色列表 - 强调文字颜色 12"/>
    <w:basedOn w:val="1"/>
    <w:qFormat/>
    <w:uiPriority w:val="0"/>
    <w:pPr>
      <w:ind w:firstLine="420" w:firstLineChars="200"/>
    </w:pPr>
  </w:style>
  <w:style w:type="character" w:customStyle="1" w:styleId="157">
    <w:name w:val="Char Char8"/>
    <w:qFormat/>
    <w:uiPriority w:val="0"/>
    <w:rPr>
      <w:rFonts w:hint="eastAsia" w:ascii="宋体" w:hAnsi="宋体" w:eastAsia="宋体"/>
      <w:kern w:val="2"/>
      <w:sz w:val="28"/>
      <w:szCs w:val="28"/>
    </w:rPr>
  </w:style>
  <w:style w:type="character" w:customStyle="1" w:styleId="158">
    <w:name w:val="Char Char5"/>
    <w:qFormat/>
    <w:uiPriority w:val="0"/>
    <w:rPr>
      <w:kern w:val="2"/>
      <w:sz w:val="21"/>
      <w:szCs w:val="24"/>
    </w:rPr>
  </w:style>
  <w:style w:type="character" w:customStyle="1" w:styleId="159">
    <w:name w:val="列出段落 Char Char"/>
    <w:qFormat/>
    <w:uiPriority w:val="0"/>
    <w:rPr>
      <w:rFonts w:hint="default" w:ascii="Calibri" w:hAnsi="Calibri" w:cs="Calibri"/>
      <w:kern w:val="2"/>
      <w:sz w:val="21"/>
      <w:szCs w:val="22"/>
    </w:rPr>
  </w:style>
  <w:style w:type="character" w:customStyle="1" w:styleId="160">
    <w:name w:val="正文文本 Char Char"/>
    <w:qFormat/>
    <w:uiPriority w:val="0"/>
    <w:rPr>
      <w:kern w:val="2"/>
      <w:sz w:val="21"/>
      <w:szCs w:val="24"/>
    </w:rPr>
  </w:style>
  <w:style w:type="character" w:customStyle="1" w:styleId="161">
    <w:name w:val="Char Char11"/>
    <w:qFormat/>
    <w:uiPriority w:val="0"/>
    <w:rPr>
      <w:rFonts w:hint="default" w:ascii="Arial Narrow" w:hAnsi="Arial Narrow"/>
      <w:b/>
      <w:bCs/>
      <w:iCs/>
      <w:szCs w:val="24"/>
      <w:lang w:eastAsia="en-US"/>
    </w:rPr>
  </w:style>
  <w:style w:type="character" w:customStyle="1" w:styleId="162">
    <w:name w:val="标书（正文） Char Char"/>
    <w:qFormat/>
    <w:uiPriority w:val="0"/>
    <w:rPr>
      <w:rFonts w:hint="eastAsia" w:ascii="宋体" w:hAnsi="宋体" w:eastAsia="宋体"/>
      <w:b/>
      <w:kern w:val="10"/>
      <w:sz w:val="21"/>
      <w:szCs w:val="21"/>
      <w:lang w:val="en-US" w:eastAsia="zh-CN" w:bidi="ar-SA"/>
    </w:rPr>
  </w:style>
  <w:style w:type="character" w:customStyle="1" w:styleId="163">
    <w:name w:val="line2"/>
    <w:basedOn w:val="45"/>
    <w:qFormat/>
    <w:uiPriority w:val="0"/>
  </w:style>
  <w:style w:type="character" w:customStyle="1" w:styleId="164">
    <w:name w:val="Char Char10"/>
    <w:qFormat/>
    <w:uiPriority w:val="0"/>
    <w:rPr>
      <w:kern w:val="2"/>
      <w:sz w:val="24"/>
      <w:szCs w:val="24"/>
    </w:rPr>
  </w:style>
  <w:style w:type="character" w:customStyle="1" w:styleId="165">
    <w:name w:val="MM Topic 4 Char Char"/>
    <w:qFormat/>
    <w:uiPriority w:val="0"/>
    <w:rPr>
      <w:rFonts w:hint="default" w:ascii="Arial" w:hAnsi="Arial" w:cs="Arial"/>
      <w:b/>
      <w:bCs/>
      <w:kern w:val="2"/>
      <w:sz w:val="28"/>
      <w:szCs w:val="28"/>
    </w:rPr>
  </w:style>
  <w:style w:type="character" w:customStyle="1" w:styleId="166">
    <w:name w:val="标书正文:  0.74 厘米 Char Char"/>
    <w:qFormat/>
    <w:uiPriority w:val="0"/>
    <w:rPr>
      <w:kern w:val="2"/>
      <w:sz w:val="24"/>
    </w:rPr>
  </w:style>
  <w:style w:type="character" w:customStyle="1" w:styleId="167">
    <w:name w:val="访问过的超链接1"/>
    <w:qFormat/>
    <w:uiPriority w:val="99"/>
    <w:rPr>
      <w:color w:val="800080"/>
      <w:u w:val="single"/>
    </w:rPr>
  </w:style>
  <w:style w:type="character" w:customStyle="1" w:styleId="168">
    <w:name w:val="标题 3 Char Char Char"/>
    <w:qFormat/>
    <w:uiPriority w:val="0"/>
    <w:rPr>
      <w:rFonts w:hint="eastAsia" w:ascii="宋体" w:hAnsi="宋体" w:eastAsia="宋体"/>
      <w:b/>
      <w:kern w:val="2"/>
      <w:sz w:val="32"/>
      <w:lang w:val="en-US" w:eastAsia="zh-CN" w:bidi="ar-SA"/>
    </w:rPr>
  </w:style>
  <w:style w:type="character" w:customStyle="1" w:styleId="169">
    <w:name w:val="（符号）邀请函中一、"/>
    <w:qFormat/>
    <w:uiPriority w:val="0"/>
    <w:rPr>
      <w:rFonts w:hint="eastAsia" w:ascii="黑体" w:hAnsi="黑体" w:eastAsia="黑体"/>
      <w:b/>
      <w:bCs/>
      <w:sz w:val="24"/>
    </w:rPr>
  </w:style>
  <w:style w:type="character" w:customStyle="1" w:styleId="170">
    <w:name w:val="tt Char"/>
    <w:qFormat/>
    <w:uiPriority w:val="0"/>
    <w:rPr>
      <w:rFonts w:hint="default" w:ascii="Arial" w:hAnsi="Arial" w:eastAsia="黑体" w:cs="Arial"/>
      <w:kern w:val="2"/>
      <w:sz w:val="21"/>
      <w:szCs w:val="21"/>
    </w:rPr>
  </w:style>
  <w:style w:type="character" w:customStyle="1" w:styleId="171">
    <w:name w:val="Char Char9"/>
    <w:qFormat/>
    <w:uiPriority w:val="0"/>
    <w:rPr>
      <w:kern w:val="2"/>
      <w:sz w:val="18"/>
      <w:szCs w:val="18"/>
    </w:rPr>
  </w:style>
  <w:style w:type="character" w:customStyle="1" w:styleId="172">
    <w:name w:val="MM Topic 3 Char Char"/>
    <w:qFormat/>
    <w:uiPriority w:val="0"/>
    <w:rPr>
      <w:rFonts w:hint="eastAsia" w:ascii="宋体" w:hAnsi="宋体" w:eastAsia="宋体"/>
      <w:b/>
      <w:bCs/>
      <w:color w:val="000000"/>
      <w:kern w:val="2"/>
      <w:sz w:val="28"/>
      <w:szCs w:val="28"/>
    </w:rPr>
  </w:style>
  <w:style w:type="character" w:customStyle="1" w:styleId="173">
    <w:name w:val="样式 小四2 Char Char"/>
    <w:qFormat/>
    <w:uiPriority w:val="0"/>
    <w:rPr>
      <w:rFonts w:hint="eastAsia" w:ascii="宋体" w:hAnsi="宋体" w:eastAsia="宋体"/>
      <w:kern w:val="2"/>
      <w:sz w:val="24"/>
      <w:szCs w:val="24"/>
    </w:rPr>
  </w:style>
  <w:style w:type="character" w:customStyle="1" w:styleId="174">
    <w:name w:val="Char Char7"/>
    <w:qFormat/>
    <w:uiPriority w:val="0"/>
    <w:rPr>
      <w:kern w:val="2"/>
      <w:sz w:val="18"/>
      <w:szCs w:val="18"/>
    </w:rPr>
  </w:style>
  <w:style w:type="character" w:customStyle="1" w:styleId="175">
    <w:name w:val="Char Char3"/>
    <w:qFormat/>
    <w:uiPriority w:val="0"/>
    <w:rPr>
      <w:b/>
      <w:bCs/>
      <w:kern w:val="2"/>
      <w:sz w:val="18"/>
      <w:szCs w:val="18"/>
    </w:rPr>
  </w:style>
  <w:style w:type="character" w:customStyle="1" w:styleId="176">
    <w:name w:val="apple-style-span"/>
    <w:basedOn w:val="45"/>
    <w:qFormat/>
    <w:uiPriority w:val="0"/>
  </w:style>
  <w:style w:type="character" w:customStyle="1" w:styleId="177">
    <w:name w:val="Char Char4"/>
    <w:qFormat/>
    <w:uiPriority w:val="0"/>
    <w:rPr>
      <w:kern w:val="2"/>
      <w:sz w:val="18"/>
      <w:szCs w:val="18"/>
    </w:rPr>
  </w:style>
  <w:style w:type="character" w:customStyle="1" w:styleId="178">
    <w:name w:val="副标题 Char1"/>
    <w:qFormat/>
    <w:uiPriority w:val="11"/>
    <w:rPr>
      <w:rFonts w:hint="default" w:ascii="Cambria" w:hAnsi="Cambria" w:cs="Times New Roman"/>
      <w:b/>
      <w:bCs/>
      <w:kern w:val="28"/>
      <w:sz w:val="32"/>
      <w:szCs w:val="32"/>
    </w:rPr>
  </w:style>
  <w:style w:type="character" w:customStyle="1" w:styleId="179">
    <w:name w:val="small"/>
    <w:basedOn w:val="45"/>
    <w:qFormat/>
    <w:uiPriority w:val="0"/>
  </w:style>
  <w:style w:type="character" w:customStyle="1" w:styleId="180">
    <w:name w:val="Legal Level 1.1.1. Char"/>
    <w:qFormat/>
    <w:uiPriority w:val="0"/>
    <w:rPr>
      <w:rFonts w:hint="default" w:ascii="Arial" w:hAnsi="Arial" w:eastAsia="黑体" w:cs="Arial"/>
      <w:kern w:val="2"/>
      <w:sz w:val="24"/>
      <w:szCs w:val="24"/>
    </w:rPr>
  </w:style>
  <w:style w:type="character" w:customStyle="1" w:styleId="181">
    <w:name w:val="文章正文 Char Char"/>
    <w:qFormat/>
    <w:uiPriority w:val="0"/>
    <w:rPr>
      <w:rFonts w:hint="eastAsia" w:ascii="宋体" w:hAnsi="宋体" w:eastAsia="宋体"/>
      <w:kern w:val="2"/>
      <w:sz w:val="24"/>
      <w:szCs w:val="24"/>
      <w:lang w:val="en-US" w:eastAsia="zh-CN" w:bidi="ar-SA"/>
    </w:rPr>
  </w:style>
  <w:style w:type="character" w:customStyle="1" w:styleId="182">
    <w:name w:val="正文文本 Char1"/>
    <w:qFormat/>
    <w:uiPriority w:val="0"/>
    <w:rPr>
      <w:rFonts w:hint="default" w:ascii="Times New Roman" w:hAnsi="Times New Roman" w:eastAsia="宋体" w:cs="Times New Roman"/>
      <w:kern w:val="0"/>
      <w:sz w:val="18"/>
      <w:szCs w:val="18"/>
    </w:rPr>
  </w:style>
  <w:style w:type="character" w:customStyle="1" w:styleId="183">
    <w:name w:val="正文文本 Char4"/>
    <w:basedOn w:val="45"/>
    <w:link w:val="2"/>
    <w:qFormat/>
    <w:locked/>
    <w:uiPriority w:val="0"/>
    <w:rPr>
      <w:rFonts w:ascii="Times New Roman" w:hAnsi="Times New Roman" w:eastAsia="宋体" w:cs="Times New Roman"/>
      <w:kern w:val="0"/>
      <w:sz w:val="20"/>
      <w:szCs w:val="20"/>
    </w:rPr>
  </w:style>
  <w:style w:type="character" w:customStyle="1" w:styleId="184">
    <w:name w:val="CD正文 Char Char"/>
    <w:qFormat/>
    <w:uiPriority w:val="0"/>
    <w:rPr>
      <w:rFonts w:hint="eastAsia" w:ascii="宋体" w:hAnsi="宋体" w:eastAsia="宋体"/>
      <w:kern w:val="2"/>
      <w:sz w:val="30"/>
      <w:szCs w:val="28"/>
      <w:lang w:val="en-US" w:eastAsia="zh-CN" w:bidi="ar-SA"/>
    </w:rPr>
  </w:style>
  <w:style w:type="character" w:customStyle="1" w:styleId="185">
    <w:name w:val="Char Char2"/>
    <w:qFormat/>
    <w:uiPriority w:val="0"/>
    <w:rPr>
      <w:kern w:val="2"/>
      <w:sz w:val="18"/>
      <w:szCs w:val="18"/>
    </w:rPr>
  </w:style>
  <w:style w:type="character" w:customStyle="1" w:styleId="186">
    <w:name w:val="表正文 Char1"/>
    <w:qFormat/>
    <w:uiPriority w:val="0"/>
    <w:rPr>
      <w:rFonts w:hint="eastAsia" w:ascii="宋体" w:hAnsi="宋体" w:eastAsia="宋体"/>
      <w:kern w:val="2"/>
      <w:sz w:val="21"/>
      <w:lang w:val="en-US" w:eastAsia="zh-CN" w:bidi="ar-SA"/>
    </w:rPr>
  </w:style>
  <w:style w:type="character" w:customStyle="1" w:styleId="187">
    <w:name w:val="纯文本 Char1"/>
    <w:link w:val="23"/>
    <w:qFormat/>
    <w:locked/>
    <w:uiPriority w:val="99"/>
    <w:rPr>
      <w:rFonts w:ascii="宋体" w:hAnsi="Courier New" w:eastAsia="宋体" w:cs="Times New Roman"/>
      <w:kern w:val="0"/>
      <w:sz w:val="20"/>
      <w:szCs w:val="18"/>
    </w:rPr>
  </w:style>
  <w:style w:type="character" w:customStyle="1" w:styleId="188">
    <w:name w:val="Char Char Char"/>
    <w:qFormat/>
    <w:uiPriority w:val="0"/>
    <w:rPr>
      <w:rFonts w:hint="eastAsia" w:ascii="宋体" w:hAnsi="宋体" w:eastAsia="宋体"/>
      <w:kern w:val="2"/>
      <w:sz w:val="18"/>
      <w:szCs w:val="18"/>
      <w:lang w:val="en-US" w:eastAsia="zh-CN" w:bidi="ar-SA"/>
    </w:rPr>
  </w:style>
  <w:style w:type="character" w:customStyle="1" w:styleId="189">
    <w:name w:val="Char Char6"/>
    <w:qFormat/>
    <w:uiPriority w:val="0"/>
    <w:rPr>
      <w:kern w:val="2"/>
      <w:sz w:val="21"/>
      <w:szCs w:val="24"/>
    </w:rPr>
  </w:style>
  <w:style w:type="character" w:customStyle="1" w:styleId="190">
    <w:name w:val="正文文本缩进 2 Char1"/>
    <w:basedOn w:val="45"/>
    <w:semiHidden/>
    <w:qFormat/>
    <w:uiPriority w:val="99"/>
    <w:rPr>
      <w:rFonts w:hint="default" w:ascii="Calibri" w:hAnsi="Calibri" w:cs="Calibri"/>
      <w:kern w:val="2"/>
      <w:sz w:val="21"/>
      <w:szCs w:val="22"/>
    </w:rPr>
  </w:style>
  <w:style w:type="character" w:customStyle="1" w:styleId="191">
    <w:name w:val="正文文本缩进 Char1"/>
    <w:basedOn w:val="45"/>
    <w:semiHidden/>
    <w:qFormat/>
    <w:uiPriority w:val="99"/>
    <w:rPr>
      <w:rFonts w:hint="default" w:ascii="Calibri" w:hAnsi="Calibri" w:cs="Calibri"/>
      <w:kern w:val="2"/>
      <w:sz w:val="21"/>
      <w:szCs w:val="22"/>
    </w:rPr>
  </w:style>
  <w:style w:type="character" w:customStyle="1" w:styleId="192">
    <w:name w:val="页脚 Char1"/>
    <w:basedOn w:val="45"/>
    <w:semiHidden/>
    <w:qFormat/>
    <w:uiPriority w:val="99"/>
    <w:rPr>
      <w:rFonts w:hint="default" w:ascii="Calibri" w:hAnsi="Calibri" w:cs="Calibri"/>
      <w:kern w:val="2"/>
      <w:sz w:val="18"/>
      <w:szCs w:val="18"/>
    </w:rPr>
  </w:style>
  <w:style w:type="character" w:customStyle="1" w:styleId="193">
    <w:name w:val="正文文本 3 Char1"/>
    <w:basedOn w:val="45"/>
    <w:semiHidden/>
    <w:qFormat/>
    <w:uiPriority w:val="99"/>
    <w:rPr>
      <w:rFonts w:hint="default" w:ascii="Calibri" w:hAnsi="Calibri" w:cs="Calibri"/>
      <w:kern w:val="2"/>
      <w:sz w:val="16"/>
      <w:szCs w:val="16"/>
    </w:rPr>
  </w:style>
  <w:style w:type="character" w:customStyle="1" w:styleId="194">
    <w:name w:val="正文文本缩进 3 Char1"/>
    <w:basedOn w:val="45"/>
    <w:semiHidden/>
    <w:qFormat/>
    <w:uiPriority w:val="99"/>
    <w:rPr>
      <w:rFonts w:hint="default" w:ascii="Calibri" w:hAnsi="Calibri" w:cs="Calibri"/>
      <w:kern w:val="2"/>
      <w:sz w:val="16"/>
      <w:szCs w:val="16"/>
    </w:rPr>
  </w:style>
  <w:style w:type="character" w:customStyle="1" w:styleId="195">
    <w:name w:val="批注框文本 Char1"/>
    <w:basedOn w:val="45"/>
    <w:semiHidden/>
    <w:qFormat/>
    <w:uiPriority w:val="99"/>
    <w:rPr>
      <w:rFonts w:hint="default" w:ascii="Calibri" w:hAnsi="Calibri" w:cs="Calibri"/>
      <w:kern w:val="2"/>
      <w:sz w:val="18"/>
      <w:szCs w:val="18"/>
    </w:rPr>
  </w:style>
  <w:style w:type="character" w:customStyle="1" w:styleId="196">
    <w:name w:val="批注文字 Char1"/>
    <w:basedOn w:val="45"/>
    <w:link w:val="17"/>
    <w:qFormat/>
    <w:locked/>
    <w:uiPriority w:val="99"/>
    <w:rPr>
      <w:rFonts w:ascii="Calibri" w:hAnsi="Calibri" w:eastAsia="宋体" w:cs="Times New Roman"/>
    </w:rPr>
  </w:style>
  <w:style w:type="character" w:customStyle="1" w:styleId="197">
    <w:name w:val="文档结构图 Char1"/>
    <w:basedOn w:val="45"/>
    <w:semiHidden/>
    <w:qFormat/>
    <w:uiPriority w:val="99"/>
    <w:rPr>
      <w:rFonts w:hint="eastAsia" w:ascii="宋体" w:hAnsi="Calibri" w:eastAsia="宋体"/>
      <w:kern w:val="2"/>
      <w:sz w:val="18"/>
      <w:szCs w:val="18"/>
    </w:rPr>
  </w:style>
  <w:style w:type="character" w:customStyle="1" w:styleId="198">
    <w:name w:val="页眉 Char1"/>
    <w:basedOn w:val="45"/>
    <w:semiHidden/>
    <w:qFormat/>
    <w:uiPriority w:val="99"/>
    <w:rPr>
      <w:rFonts w:hint="default" w:ascii="Calibri" w:hAnsi="Calibri" w:cs="Calibri"/>
      <w:kern w:val="2"/>
      <w:sz w:val="18"/>
      <w:szCs w:val="18"/>
    </w:rPr>
  </w:style>
  <w:style w:type="character" w:customStyle="1" w:styleId="199">
    <w:name w:val="日期 Char1"/>
    <w:basedOn w:val="45"/>
    <w:semiHidden/>
    <w:qFormat/>
    <w:uiPriority w:val="99"/>
    <w:rPr>
      <w:rFonts w:hint="default" w:ascii="Calibri" w:hAnsi="Calibri" w:cs="Calibri"/>
      <w:kern w:val="2"/>
      <w:sz w:val="21"/>
      <w:szCs w:val="22"/>
    </w:rPr>
  </w:style>
  <w:style w:type="character" w:customStyle="1" w:styleId="200">
    <w:name w:val="正文文本 Char3"/>
    <w:basedOn w:val="45"/>
    <w:semiHidden/>
    <w:qFormat/>
    <w:uiPriority w:val="99"/>
    <w:rPr>
      <w:rFonts w:hint="default" w:ascii="Calibri" w:hAnsi="Calibri" w:cs="Calibri"/>
      <w:kern w:val="2"/>
      <w:sz w:val="21"/>
      <w:szCs w:val="22"/>
    </w:rPr>
  </w:style>
  <w:style w:type="character" w:customStyle="1" w:styleId="201">
    <w:name w:val="纯文本 Char2"/>
    <w:basedOn w:val="45"/>
    <w:semiHidden/>
    <w:qFormat/>
    <w:uiPriority w:val="99"/>
    <w:rPr>
      <w:rFonts w:hint="eastAsia" w:ascii="宋体" w:hAnsi="Courier New" w:eastAsia="宋体" w:cs="Courier New"/>
      <w:kern w:val="2"/>
      <w:sz w:val="21"/>
      <w:szCs w:val="21"/>
    </w:rPr>
  </w:style>
  <w:style w:type="character" w:customStyle="1" w:styleId="202">
    <w:name w:val="正文首行缩进 Char1"/>
    <w:basedOn w:val="200"/>
    <w:semiHidden/>
    <w:qFormat/>
    <w:uiPriority w:val="99"/>
    <w:rPr>
      <w:rFonts w:hint="default" w:ascii="Calibri" w:hAnsi="Calibri" w:cs="Calibri"/>
      <w:kern w:val="2"/>
      <w:sz w:val="21"/>
      <w:szCs w:val="22"/>
    </w:rPr>
  </w:style>
  <w:style w:type="character" w:customStyle="1" w:styleId="203">
    <w:name w:val="正文文本 2 Char1"/>
    <w:basedOn w:val="45"/>
    <w:semiHidden/>
    <w:qFormat/>
    <w:uiPriority w:val="99"/>
    <w:rPr>
      <w:rFonts w:hint="default" w:ascii="Calibri" w:hAnsi="Calibri" w:cs="Calibri"/>
      <w:kern w:val="2"/>
      <w:sz w:val="21"/>
      <w:szCs w:val="22"/>
    </w:rPr>
  </w:style>
  <w:style w:type="character" w:customStyle="1" w:styleId="204">
    <w:name w:val="副标题 Char2"/>
    <w:basedOn w:val="45"/>
    <w:qFormat/>
    <w:uiPriority w:val="11"/>
    <w:rPr>
      <w:rFonts w:hint="default" w:asciiTheme="majorHAnsi" w:hAnsiTheme="majorHAnsi" w:cstheme="majorBidi"/>
      <w:b/>
      <w:bCs/>
      <w:kern w:val="28"/>
      <w:sz w:val="32"/>
      <w:szCs w:val="32"/>
    </w:rPr>
  </w:style>
  <w:style w:type="character" w:customStyle="1" w:styleId="205">
    <w:name w:val="正文缩进 Char"/>
    <w:qFormat/>
    <w:uiPriority w:val="0"/>
    <w:rPr>
      <w:kern w:val="2"/>
      <w:sz w:val="21"/>
    </w:rPr>
  </w:style>
  <w:style w:type="paragraph" w:customStyle="1" w:styleId="206">
    <w:name w:val="CD正文"/>
    <w:basedOn w:val="117"/>
    <w:qFormat/>
    <w:uiPriority w:val="0"/>
  </w:style>
  <w:style w:type="paragraph" w:customStyle="1" w:styleId="207">
    <w:name w:val="项目符号：一级"/>
    <w:basedOn w:val="126"/>
    <w:next w:val="126"/>
    <w:qFormat/>
    <w:uiPriority w:val="0"/>
  </w:style>
  <w:style w:type="paragraph" w:customStyle="1" w:styleId="20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9">
    <w:name w:val="HTML 预设格式 Char"/>
    <w:basedOn w:val="45"/>
    <w:link w:val="39"/>
    <w:qFormat/>
    <w:uiPriority w:val="0"/>
    <w:rPr>
      <w:rFonts w:ascii="Arial" w:hAnsi="Arial" w:eastAsia="宋体" w:cs="Arial"/>
      <w:kern w:val="0"/>
      <w:sz w:val="24"/>
      <w:szCs w:val="28"/>
    </w:rPr>
  </w:style>
  <w:style w:type="paragraph" w:customStyle="1" w:styleId="210">
    <w:name w:val="修订11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1">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2">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13">
    <w:name w:val="Char1 Char Char Char Char Char Char_0"/>
    <w:basedOn w:val="1"/>
    <w:qFormat/>
    <w:uiPriority w:val="0"/>
    <w:rPr>
      <w:rFonts w:ascii="Tahoma" w:hAnsi="Tahoma"/>
      <w:sz w:val="24"/>
      <w:szCs w:val="20"/>
    </w:rPr>
  </w:style>
  <w:style w:type="paragraph" w:customStyle="1" w:styleId="214">
    <w:name w:val="列出段落11"/>
    <w:basedOn w:val="1"/>
    <w:qFormat/>
    <w:uiPriority w:val="99"/>
    <w:pPr>
      <w:ind w:firstLine="420" w:firstLineChars="200"/>
    </w:pPr>
    <w:rPr>
      <w:rFonts w:ascii="Times New Roman" w:hAnsi="Times New Roman"/>
    </w:rPr>
  </w:style>
  <w:style w:type="paragraph" w:customStyle="1" w:styleId="215">
    <w:name w:val="样式 标题 2 + Times New Roman 四号 非加粗 段前: 5 磅 段后: 0 磅 行距: 固定值 20..."/>
    <w:basedOn w:val="5"/>
    <w:semiHidden/>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16">
    <w:name w:val="列出段落111"/>
    <w:basedOn w:val="1"/>
    <w:semiHidden/>
    <w:qFormat/>
    <w:uiPriority w:val="99"/>
    <w:pPr>
      <w:ind w:firstLine="420" w:firstLineChars="200"/>
    </w:pPr>
    <w:rPr>
      <w:rFonts w:ascii="Times New Roman" w:hAnsi="Times New Roman"/>
    </w:rPr>
  </w:style>
  <w:style w:type="character" w:customStyle="1" w:styleId="21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18">
    <w:name w:val="p121"/>
    <w:qFormat/>
    <w:uiPriority w:val="0"/>
    <w:rPr>
      <w:sz w:val="24"/>
    </w:rPr>
  </w:style>
  <w:style w:type="character" w:customStyle="1" w:styleId="219">
    <w:name w:val="列出段落 Char1"/>
    <w:qFormat/>
    <w:locked/>
    <w:uiPriority w:val="0"/>
    <w:rPr>
      <w:rFonts w:hint="default" w:ascii="Calibri" w:hAnsi="Calibri" w:cs="Calibri"/>
    </w:rPr>
  </w:style>
  <w:style w:type="paragraph" w:customStyle="1" w:styleId="220">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1">
    <w:name w:val="列表段落1"/>
    <w:basedOn w:val="1"/>
    <w:qFormat/>
    <w:uiPriority w:val="99"/>
    <w:pPr>
      <w:ind w:firstLine="420" w:firstLineChars="200"/>
    </w:pPr>
    <w:rPr>
      <w:rFonts w:ascii="宋体" w:hAnsi="宋体" w:cs="宋体"/>
      <w:sz w:val="28"/>
      <w:szCs w:val="28"/>
    </w:rPr>
  </w:style>
  <w:style w:type="character" w:customStyle="1" w:styleId="222">
    <w:name w:val="NormalCharacter"/>
    <w:qFormat/>
    <w:uiPriority w:val="0"/>
  </w:style>
  <w:style w:type="paragraph" w:customStyle="1" w:styleId="223">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4">
    <w:name w:val="AnnotationReference"/>
    <w:qFormat/>
    <w:uiPriority w:val="0"/>
    <w:rPr>
      <w:sz w:val="21"/>
      <w:szCs w:val="21"/>
    </w:rPr>
  </w:style>
  <w:style w:type="paragraph" w:customStyle="1" w:styleId="225">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6">
    <w:name w:val="Heading3"/>
    <w:basedOn w:val="1"/>
    <w:next w:val="1"/>
    <w:link w:val="227"/>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7">
    <w:name w:val="UserStyle_4"/>
    <w:link w:val="226"/>
    <w:qFormat/>
    <w:uiPriority w:val="0"/>
    <w:rPr>
      <w:rFonts w:ascii="宋体" w:hAnsi="宋体" w:eastAsia="宋体" w:cs="宋体"/>
      <w:b/>
      <w:bCs/>
      <w:kern w:val="0"/>
      <w:sz w:val="27"/>
      <w:szCs w:val="27"/>
    </w:rPr>
  </w:style>
  <w:style w:type="character" w:customStyle="1" w:styleId="228">
    <w:name w:val="样式 Char Char"/>
    <w:link w:val="121"/>
    <w:qFormat/>
    <w:locked/>
    <w:uiPriority w:val="0"/>
    <w:rPr>
      <w:rFonts w:ascii="宋体" w:hAnsi="宋体" w:eastAsia="宋体" w:cs="宋体"/>
      <w:kern w:val="0"/>
      <w:sz w:val="24"/>
      <w:szCs w:val="24"/>
    </w:rPr>
  </w:style>
  <w:style w:type="paragraph" w:customStyle="1" w:styleId="229">
    <w:name w:val="_Style 48"/>
    <w:basedOn w:val="1"/>
    <w:qFormat/>
    <w:uiPriority w:val="0"/>
    <w:pPr>
      <w:ind w:firstLine="420" w:firstLineChars="200"/>
    </w:pPr>
    <w:rPr>
      <w:rFonts w:ascii="宋体" w:hAnsi="宋体" w:cs="宋体"/>
      <w:sz w:val="28"/>
      <w:szCs w:val="28"/>
    </w:rPr>
  </w:style>
  <w:style w:type="character" w:customStyle="1" w:styleId="230">
    <w:name w:val="font61"/>
    <w:basedOn w:val="45"/>
    <w:qFormat/>
    <w:uiPriority w:val="0"/>
    <w:rPr>
      <w:rFonts w:hint="eastAsia" w:ascii="宋体" w:hAnsi="宋体" w:eastAsia="宋体" w:cs="宋体"/>
      <w:color w:val="000000"/>
      <w:sz w:val="18"/>
      <w:szCs w:val="18"/>
      <w:u w:val="none"/>
    </w:rPr>
  </w:style>
  <w:style w:type="character" w:customStyle="1" w:styleId="231">
    <w:name w:val="font91"/>
    <w:basedOn w:val="45"/>
    <w:qFormat/>
    <w:uiPriority w:val="0"/>
    <w:rPr>
      <w:rFonts w:hint="eastAsia" w:ascii="宋体" w:hAnsi="宋体" w:eastAsia="宋体" w:cs="宋体"/>
      <w:color w:val="000000"/>
      <w:sz w:val="18"/>
      <w:szCs w:val="18"/>
      <w:u w:val="none"/>
    </w:rPr>
  </w:style>
  <w:style w:type="character" w:customStyle="1" w:styleId="232">
    <w:name w:val="font41"/>
    <w:basedOn w:val="45"/>
    <w:qFormat/>
    <w:uiPriority w:val="0"/>
    <w:rPr>
      <w:rFonts w:hint="eastAsia" w:ascii="宋体" w:hAnsi="宋体" w:eastAsia="宋体" w:cs="宋体"/>
      <w:color w:val="000000"/>
      <w:sz w:val="21"/>
      <w:szCs w:val="21"/>
      <w:u w:val="none"/>
    </w:rPr>
  </w:style>
  <w:style w:type="character" w:customStyle="1" w:styleId="233">
    <w:name w:val="font31"/>
    <w:basedOn w:val="45"/>
    <w:qFormat/>
    <w:uiPriority w:val="0"/>
    <w:rPr>
      <w:rFonts w:hint="eastAsia" w:ascii="宋体" w:hAnsi="宋体" w:eastAsia="宋体" w:cs="宋体"/>
      <w:b/>
      <w:color w:val="000000"/>
      <w:sz w:val="18"/>
      <w:szCs w:val="18"/>
      <w:u w:val="none"/>
    </w:rPr>
  </w:style>
  <w:style w:type="character" w:customStyle="1" w:styleId="234">
    <w:name w:val="font101"/>
    <w:basedOn w:val="45"/>
    <w:qFormat/>
    <w:uiPriority w:val="0"/>
    <w:rPr>
      <w:rFonts w:hint="eastAsia" w:ascii="宋体" w:hAnsi="宋体" w:eastAsia="宋体" w:cs="宋体"/>
      <w:color w:val="FF0000"/>
      <w:sz w:val="18"/>
      <w:szCs w:val="18"/>
      <w:u w:val="none"/>
    </w:rPr>
  </w:style>
  <w:style w:type="character" w:customStyle="1" w:styleId="235">
    <w:name w:val="font51"/>
    <w:basedOn w:val="45"/>
    <w:qFormat/>
    <w:uiPriority w:val="0"/>
    <w:rPr>
      <w:rFonts w:ascii="Calibri" w:hAnsi="Calibri" w:cs="Calibri"/>
      <w:color w:val="000000"/>
      <w:sz w:val="21"/>
      <w:szCs w:val="21"/>
      <w:u w:val="none"/>
    </w:rPr>
  </w:style>
  <w:style w:type="paragraph" w:customStyle="1" w:styleId="236">
    <w:name w:val="Table Paragraph"/>
    <w:basedOn w:val="1"/>
    <w:qFormat/>
    <w:uiPriority w:val="1"/>
    <w:pPr>
      <w:ind w:firstLine="560" w:firstLineChars="200"/>
    </w:pPr>
    <w:rPr>
      <w:rFonts w:ascii="宋体" w:hAnsi="宋体" w:cs="宋体"/>
      <w:sz w:val="28"/>
      <w:szCs w:val="28"/>
      <w:lang w:val="zh-CN" w:bidi="zh-CN"/>
    </w:rPr>
  </w:style>
  <w:style w:type="paragraph" w:customStyle="1" w:styleId="237">
    <w:name w:val="正文（绿盟科技）"/>
    <w:qFormat/>
    <w:uiPriority w:val="0"/>
    <w:pPr>
      <w:spacing w:line="300" w:lineRule="auto"/>
    </w:pPr>
    <w:rPr>
      <w:rFonts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2"/>
    <customShpInfo spid="_x0000_s2050"/>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41395D-9EF6-4FCE-A235-B84DD3D80C29}">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101</Pages>
  <Words>35693</Words>
  <Characters>36619</Characters>
  <Lines>290</Lines>
  <Paragraphs>81</Paragraphs>
  <TotalTime>0</TotalTime>
  <ScaleCrop>false</ScaleCrop>
  <LinksUpToDate>false</LinksUpToDate>
  <CharactersWithSpaces>38646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2021-05-28T16:33:00Z</dcterms:created>
  <dc:creator>罗川</dc:creator>
  <cp:lastModifiedBy>Administrator</cp:lastModifiedBy>
  <cp:lastPrinted>2021-04-30T05:13:00Z</cp:lastPrinted>
  <dcterms:modified xsi:type="dcterms:W3CDTF">2021-11-02T08:46:05Z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1E871EF86BC6425183D241AC6F3AF347</vt:lpwstr>
  </property>
</Properties>
</file>