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采购需求</w:t>
      </w:r>
    </w:p>
    <w:tbl>
      <w:tblPr>
        <w:tblStyle w:val="4"/>
        <w:tblW w:w="98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352"/>
        <w:gridCol w:w="2157"/>
        <w:gridCol w:w="41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noWrap w:val="0"/>
            <w:vAlign w:val="center"/>
          </w:tcPr>
          <w:p>
            <w:pPr>
              <w:pStyle w:val="2"/>
              <w:rPr>
                <w:rFonts w:hint="eastAsia"/>
              </w:rPr>
            </w:pPr>
          </w:p>
        </w:tc>
        <w:tc>
          <w:tcPr>
            <w:tcW w:w="2352" w:type="dxa"/>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效果图</w:t>
            </w:r>
          </w:p>
        </w:tc>
        <w:tc>
          <w:tcPr>
            <w:tcW w:w="2157" w:type="dxa"/>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规格</w:t>
            </w:r>
          </w:p>
        </w:tc>
        <w:tc>
          <w:tcPr>
            <w:tcW w:w="4181" w:type="dxa"/>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材质及工艺要求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noWrap w:val="0"/>
            <w:vAlign w:val="center"/>
          </w:tcPr>
          <w:p>
            <w:pPr>
              <w:spacing w:line="300" w:lineRule="exact"/>
              <w:jc w:val="center"/>
              <w:rPr>
                <w:rFonts w:hint="eastAsia" w:ascii="宋体" w:hAnsi="宋体" w:cs="宋体"/>
                <w:color w:val="auto"/>
                <w:sz w:val="20"/>
                <w:szCs w:val="20"/>
              </w:rPr>
            </w:pPr>
            <w:r>
              <w:rPr>
                <w:rFonts w:hint="eastAsia" w:ascii="宋体" w:hAnsi="宋体" w:cs="宋体"/>
                <w:color w:val="auto"/>
                <w:sz w:val="20"/>
                <w:szCs w:val="20"/>
              </w:rPr>
              <w:t>1、主干道果屑箱（垃圾容器）</w:t>
            </w:r>
          </w:p>
        </w:tc>
        <w:tc>
          <w:tcPr>
            <w:tcW w:w="2352" w:type="dxa"/>
            <w:noWrap w:val="0"/>
            <w:vAlign w:val="center"/>
          </w:tcPr>
          <w:p>
            <w:pPr>
              <w:spacing w:line="300" w:lineRule="exact"/>
              <w:jc w:val="center"/>
              <w:rPr>
                <w:rFonts w:hint="eastAsia" w:ascii="宋体" w:hAnsi="宋体" w:cs="宋体"/>
                <w:color w:val="auto"/>
                <w:sz w:val="20"/>
                <w:szCs w:val="20"/>
              </w:rPr>
            </w:pPr>
            <w:r>
              <w:rPr>
                <w:rFonts w:ascii="宋体" w:hAnsi="宋体"/>
                <w:color w:val="auto"/>
                <w:sz w:val="24"/>
              </w:rPr>
              <w:drawing>
                <wp:anchor distT="0" distB="0" distL="114300" distR="114300" simplePos="0" relativeHeight="251658240" behindDoc="0" locked="0" layoutInCell="1" allowOverlap="1">
                  <wp:simplePos x="0" y="0"/>
                  <wp:positionH relativeFrom="column">
                    <wp:posOffset>90170</wp:posOffset>
                  </wp:positionH>
                  <wp:positionV relativeFrom="paragraph">
                    <wp:posOffset>1669415</wp:posOffset>
                  </wp:positionV>
                  <wp:extent cx="1232535" cy="1247140"/>
                  <wp:effectExtent l="0" t="0" r="5715"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232535" cy="1247140"/>
                          </a:xfrm>
                          <a:prstGeom prst="rect">
                            <a:avLst/>
                          </a:prstGeom>
                          <a:noFill/>
                          <a:ln>
                            <a:noFill/>
                          </a:ln>
                        </pic:spPr>
                      </pic:pic>
                    </a:graphicData>
                  </a:graphic>
                </wp:anchor>
              </w:drawing>
            </w:r>
          </w:p>
        </w:tc>
        <w:tc>
          <w:tcPr>
            <w:tcW w:w="2157" w:type="dxa"/>
            <w:noWrap w:val="0"/>
            <w:vAlign w:val="center"/>
          </w:tcPr>
          <w:p>
            <w:pPr>
              <w:pStyle w:val="3"/>
              <w:spacing w:line="360" w:lineRule="auto"/>
              <w:ind w:firstLine="0" w:firstLineChars="0"/>
              <w:rPr>
                <w:rFonts w:ascii="宋体" w:hAnsi="宋体" w:cs="宋体"/>
                <w:color w:val="auto"/>
                <w:szCs w:val="21"/>
              </w:rPr>
            </w:pPr>
            <w:r>
              <w:rPr>
                <w:rFonts w:hint="eastAsia" w:ascii="宋体" w:hAnsi="宋体" w:cs="宋体"/>
                <w:color w:val="auto"/>
                <w:szCs w:val="21"/>
              </w:rPr>
              <w:t>规格尺寸（长*宽*高）905x425x995mm，有效容积80L(40Lx2)。</w:t>
            </w:r>
          </w:p>
          <w:p>
            <w:pPr>
              <w:jc w:val="center"/>
              <w:rPr>
                <w:rFonts w:hint="eastAsia" w:ascii="宋体" w:hAnsi="宋体" w:cs="宋体"/>
                <w:color w:val="auto"/>
                <w:sz w:val="20"/>
                <w:szCs w:val="20"/>
              </w:rPr>
            </w:pPr>
          </w:p>
        </w:tc>
        <w:tc>
          <w:tcPr>
            <w:tcW w:w="4181" w:type="dxa"/>
            <w:noWrap w:val="0"/>
            <w:vAlign w:val="center"/>
          </w:tcPr>
          <w:p>
            <w:pPr>
              <w:pStyle w:val="3"/>
              <w:spacing w:line="360" w:lineRule="auto"/>
              <w:ind w:firstLine="0" w:firstLineChars="0"/>
              <w:jc w:val="left"/>
              <w:rPr>
                <w:rFonts w:hint="eastAsia" w:ascii="宋体" w:hAnsi="宋体" w:cs="宋体"/>
                <w:b/>
                <w:bCs/>
                <w:color w:val="auto"/>
                <w:szCs w:val="21"/>
              </w:rPr>
            </w:pPr>
            <w:r>
              <w:rPr>
                <w:rFonts w:hint="eastAsia" w:ascii="宋体" w:hAnsi="宋体" w:cs="宋体"/>
                <w:b/>
                <w:bCs/>
                <w:color w:val="auto"/>
                <w:szCs w:val="21"/>
              </w:rPr>
              <w:t>主体：</w:t>
            </w:r>
          </w:p>
          <w:p>
            <w:pPr>
              <w:pStyle w:val="3"/>
              <w:numPr>
                <w:ilvl w:val="0"/>
                <w:numId w:val="1"/>
              </w:numPr>
              <w:spacing w:line="360" w:lineRule="auto"/>
              <w:ind w:firstLine="0" w:firstLineChars="0"/>
              <w:jc w:val="left"/>
              <w:rPr>
                <w:rFonts w:hint="eastAsia" w:ascii="宋体" w:hAnsi="宋体" w:cs="宋体"/>
                <w:color w:val="auto"/>
                <w:szCs w:val="21"/>
              </w:rPr>
            </w:pPr>
            <w:r>
              <w:rPr>
                <w:rFonts w:hint="eastAsia" w:ascii="宋体" w:hAnsi="宋体" w:cs="宋体"/>
                <w:color w:val="auto"/>
                <w:szCs w:val="21"/>
              </w:rPr>
              <w:t>材料：201#不锈钢。</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桶盖：1.2mm201#不锈钢板材，桶盖使用弧形设计。</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桶体主材料：1.0mm201#不锈钢板材。</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废弃物投口：不锈钢板制作，一次性液压成型。</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立柱：1.2mm201#不锈钢板材，折弯成型。</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底座固定梁：采用1.2mm不锈钢板材折弯成型，宽度为100mm。</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固定件：采用厚度为1.5mm201#不锈钢折弯成型。</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内部：所有不锈钢材质表面需经过除油，喷砂，除锈,酸洗磷化处理，并进行静电整体喷涂一层，涂层达到90um。</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锁具：使用三角锁，锁具佩戴拉手，钥匙统一具有防滑功能，每个果屑箱配钥匙2把。</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门铰链：采用不锈钢弹簧铰链，启闭灵活，门缝间隙均匀。</w:t>
            </w:r>
          </w:p>
          <w:p>
            <w:pPr>
              <w:pStyle w:val="3"/>
              <w:numPr>
                <w:ilvl w:val="0"/>
                <w:numId w:val="1"/>
              </w:numPr>
              <w:spacing w:line="360" w:lineRule="auto"/>
              <w:ind w:firstLine="0" w:firstLineChars="0"/>
              <w:jc w:val="left"/>
              <w:rPr>
                <w:rFonts w:ascii="宋体" w:hAnsi="宋体" w:cs="宋体"/>
                <w:color w:val="auto"/>
                <w:szCs w:val="21"/>
              </w:rPr>
            </w:pPr>
            <w:r>
              <w:rPr>
                <w:rFonts w:hint="eastAsia" w:ascii="宋体" w:hAnsi="宋体" w:cs="宋体"/>
                <w:color w:val="auto"/>
                <w:szCs w:val="21"/>
              </w:rPr>
              <w:t>焊接损坏表面部位，需进行拉丝技术处理，需与原板面一致。</w:t>
            </w:r>
          </w:p>
          <w:p>
            <w:pPr>
              <w:pStyle w:val="3"/>
              <w:spacing w:line="360" w:lineRule="auto"/>
              <w:ind w:firstLine="0" w:firstLineChars="0"/>
              <w:jc w:val="left"/>
              <w:rPr>
                <w:rFonts w:ascii="宋体" w:hAnsi="宋体" w:cs="宋体"/>
                <w:b/>
                <w:bCs/>
                <w:color w:val="auto"/>
                <w:szCs w:val="21"/>
              </w:rPr>
            </w:pPr>
            <w:r>
              <w:rPr>
                <w:rFonts w:hint="eastAsia" w:ascii="宋体" w:hAnsi="宋体" w:cs="宋体"/>
                <w:b/>
                <w:bCs/>
                <w:color w:val="auto"/>
                <w:szCs w:val="21"/>
              </w:rPr>
              <w:t>底座：</w:t>
            </w:r>
          </w:p>
          <w:p>
            <w:pPr>
              <w:pStyle w:val="3"/>
              <w:numPr>
                <w:ilvl w:val="0"/>
                <w:numId w:val="2"/>
              </w:numPr>
              <w:spacing w:line="360" w:lineRule="auto"/>
              <w:ind w:firstLine="0" w:firstLineChars="0"/>
              <w:jc w:val="left"/>
              <w:rPr>
                <w:rFonts w:hint="eastAsia" w:ascii="宋体" w:hAnsi="宋体" w:cs="宋体"/>
                <w:color w:val="auto"/>
                <w:szCs w:val="21"/>
              </w:rPr>
            </w:pPr>
            <w:r>
              <w:rPr>
                <w:rFonts w:hint="eastAsia" w:ascii="宋体" w:hAnsi="宋体" w:cs="宋体"/>
                <w:color w:val="auto"/>
                <w:szCs w:val="21"/>
              </w:rPr>
              <w:t>一体化设计，采用厚度为1.2mm的不锈钢板，确保果屑箱底部不锈蚀和底部强度。</w:t>
            </w:r>
          </w:p>
          <w:p>
            <w:pPr>
              <w:pStyle w:val="3"/>
              <w:numPr>
                <w:ilvl w:val="0"/>
                <w:numId w:val="2"/>
              </w:numPr>
              <w:spacing w:line="360" w:lineRule="auto"/>
              <w:ind w:firstLine="0" w:firstLineChars="0"/>
              <w:jc w:val="left"/>
              <w:rPr>
                <w:rFonts w:ascii="宋体" w:hAnsi="宋体" w:cs="宋体"/>
                <w:color w:val="auto"/>
                <w:szCs w:val="21"/>
              </w:rPr>
            </w:pPr>
            <w:r>
              <w:rPr>
                <w:rFonts w:hint="eastAsia" w:ascii="宋体" w:hAnsi="宋体" w:cs="宋体"/>
                <w:color w:val="auto"/>
                <w:szCs w:val="21"/>
              </w:rPr>
              <w:t>果皮箱底部设底座固定梁2条，每条预留螺栓孔至少2个;内置固定膨胀螺栓至少4只，膨胀螺栓规格为M12X120mm(入地深度为100mm)（此项要求为防盗功能）。</w:t>
            </w:r>
          </w:p>
          <w:p>
            <w:pPr>
              <w:pStyle w:val="3"/>
              <w:numPr>
                <w:ilvl w:val="0"/>
                <w:numId w:val="2"/>
              </w:numPr>
              <w:spacing w:line="360" w:lineRule="auto"/>
              <w:ind w:firstLine="0" w:firstLineChars="0"/>
              <w:jc w:val="left"/>
              <w:rPr>
                <w:rFonts w:ascii="宋体" w:hAnsi="宋体" w:cs="宋体"/>
                <w:color w:val="auto"/>
                <w:szCs w:val="21"/>
              </w:rPr>
            </w:pPr>
            <w:r>
              <w:rPr>
                <w:rFonts w:hint="eastAsia" w:ascii="宋体" w:hAnsi="宋体" w:cs="宋体"/>
                <w:color w:val="auto"/>
                <w:szCs w:val="21"/>
              </w:rPr>
              <w:t>灭烟处及废电池投放口采用不锈钢一次性液压成型装饰防护件，外观大方，不易划伤。</w:t>
            </w:r>
          </w:p>
          <w:p>
            <w:pPr>
              <w:pStyle w:val="3"/>
              <w:spacing w:line="360" w:lineRule="auto"/>
              <w:ind w:firstLine="0" w:firstLineChars="0"/>
              <w:jc w:val="left"/>
              <w:rPr>
                <w:rFonts w:ascii="宋体" w:hAnsi="宋体" w:cs="宋体"/>
                <w:b/>
                <w:bCs/>
                <w:color w:val="auto"/>
                <w:szCs w:val="21"/>
              </w:rPr>
            </w:pPr>
            <w:r>
              <w:rPr>
                <w:rFonts w:hint="eastAsia" w:ascii="宋体" w:hAnsi="宋体" w:cs="宋体"/>
                <w:b/>
                <w:bCs/>
                <w:color w:val="auto"/>
                <w:szCs w:val="21"/>
              </w:rPr>
              <w:t>内胆：</w:t>
            </w:r>
          </w:p>
          <w:p>
            <w:pPr>
              <w:pStyle w:val="3"/>
              <w:numPr>
                <w:ilvl w:val="0"/>
                <w:numId w:val="3"/>
              </w:numPr>
              <w:spacing w:line="360" w:lineRule="auto"/>
              <w:ind w:firstLine="0" w:firstLineChars="0"/>
              <w:jc w:val="left"/>
              <w:rPr>
                <w:rFonts w:hint="eastAsia" w:ascii="宋体" w:hAnsi="宋体" w:cs="宋体"/>
                <w:color w:val="auto"/>
                <w:szCs w:val="21"/>
              </w:rPr>
            </w:pPr>
            <w:r>
              <w:rPr>
                <w:rFonts w:hint="eastAsia" w:ascii="宋体" w:hAnsi="宋体" w:cs="宋体"/>
                <w:color w:val="auto"/>
                <w:szCs w:val="21"/>
              </w:rPr>
              <w:t>内桶：SMC(玻璃钢材料)通过液压机在模具内熔化、固化成型的工艺一次性成形，口圈作反边处理，达到两面光滑、耐高温、耐腐蚀性等要求，内桶底部设置加强筋，内桶尺寸为大于等于长边360mm*短边280mm*宽330mm*总高540mm，内桶尺寸必须与外桶大小配套（此项防止因内胆偏位投放垃圾落空）；</w:t>
            </w:r>
          </w:p>
          <w:p>
            <w:pPr>
              <w:pStyle w:val="3"/>
              <w:numPr>
                <w:ilvl w:val="0"/>
                <w:numId w:val="3"/>
              </w:numPr>
              <w:spacing w:line="360" w:lineRule="auto"/>
              <w:ind w:firstLine="0" w:firstLineChars="0"/>
              <w:jc w:val="left"/>
              <w:rPr>
                <w:rFonts w:hint="eastAsia" w:ascii="宋体" w:hAnsi="宋体" w:cs="宋体"/>
                <w:color w:val="auto"/>
                <w:szCs w:val="21"/>
              </w:rPr>
            </w:pPr>
            <w:r>
              <w:rPr>
                <w:rFonts w:hint="eastAsia" w:ascii="宋体" w:hAnsi="宋体" w:cs="宋体"/>
                <w:color w:val="auto"/>
                <w:szCs w:val="21"/>
              </w:rPr>
              <w:t>内胆两侧装有塑料拉手，便于倾倒垃圾；</w:t>
            </w:r>
          </w:p>
          <w:p>
            <w:pPr>
              <w:pStyle w:val="3"/>
              <w:spacing w:line="360" w:lineRule="auto"/>
              <w:ind w:firstLine="0" w:firstLineChars="0"/>
              <w:jc w:val="left"/>
              <w:rPr>
                <w:rFonts w:ascii="宋体" w:hAnsi="宋体" w:cs="宋体"/>
                <w:b/>
                <w:bCs/>
                <w:color w:val="auto"/>
                <w:szCs w:val="21"/>
              </w:rPr>
            </w:pPr>
            <w:r>
              <w:rPr>
                <w:rFonts w:hint="eastAsia" w:ascii="宋体" w:hAnsi="宋体" w:cs="宋体"/>
                <w:b/>
                <w:bCs/>
                <w:color w:val="auto"/>
                <w:szCs w:val="21"/>
              </w:rPr>
              <w:t>其它配置参数：</w:t>
            </w:r>
          </w:p>
          <w:p>
            <w:pPr>
              <w:pStyle w:val="3"/>
              <w:numPr>
                <w:ilvl w:val="0"/>
                <w:numId w:val="4"/>
              </w:numPr>
              <w:spacing w:line="360" w:lineRule="auto"/>
              <w:ind w:firstLine="0" w:firstLineChars="0"/>
              <w:jc w:val="left"/>
              <w:rPr>
                <w:rFonts w:hint="eastAsia" w:ascii="宋体" w:hAnsi="宋体" w:cs="宋体"/>
                <w:color w:val="auto"/>
                <w:szCs w:val="21"/>
              </w:rPr>
            </w:pPr>
            <w:r>
              <w:rPr>
                <w:rFonts w:hint="eastAsia" w:ascii="宋体" w:hAnsi="宋体" w:cs="宋体"/>
                <w:color w:val="auto"/>
                <w:szCs w:val="21"/>
              </w:rPr>
              <w:t>内胆底部：加装限位滑槽，防止因内胆偏位投放垃圾落空；</w:t>
            </w:r>
          </w:p>
          <w:p>
            <w:pPr>
              <w:pStyle w:val="3"/>
              <w:numPr>
                <w:ilvl w:val="0"/>
                <w:numId w:val="4"/>
              </w:numPr>
              <w:spacing w:line="360" w:lineRule="auto"/>
              <w:ind w:firstLine="0" w:firstLineChars="0"/>
              <w:jc w:val="left"/>
              <w:rPr>
                <w:rFonts w:ascii="宋体" w:hAnsi="宋体" w:cs="宋体"/>
                <w:color w:val="auto"/>
                <w:szCs w:val="21"/>
              </w:rPr>
            </w:pPr>
            <w:r>
              <w:rPr>
                <w:rFonts w:hint="eastAsia" w:ascii="宋体" w:hAnsi="宋体" w:cs="宋体"/>
                <w:color w:val="auto"/>
                <w:szCs w:val="21"/>
              </w:rPr>
              <w:t>颜色：立柱凹陷部位、桶身、中立柱高光深灰色塑粉喷塑。顶盖、底座及边立柱使用拉丝技术处理；</w:t>
            </w:r>
          </w:p>
          <w:p>
            <w:pPr>
              <w:pStyle w:val="3"/>
              <w:numPr>
                <w:ilvl w:val="0"/>
                <w:numId w:val="4"/>
              </w:numPr>
              <w:spacing w:line="360" w:lineRule="auto"/>
              <w:ind w:firstLine="0" w:firstLineChars="0"/>
              <w:jc w:val="left"/>
              <w:rPr>
                <w:rFonts w:ascii="宋体" w:hAnsi="宋体" w:cs="宋体"/>
                <w:color w:val="auto"/>
                <w:szCs w:val="21"/>
              </w:rPr>
            </w:pPr>
            <w:r>
              <w:rPr>
                <w:rFonts w:hint="eastAsia" w:ascii="宋体" w:hAnsi="宋体" w:cs="宋体"/>
                <w:color w:val="auto"/>
                <w:szCs w:val="21"/>
              </w:rPr>
              <w:t>分类收集：设置“可回收物”、“其他垃圾”、“烟头投口”、“电池投口”标识；采用丝网印刷技术，分类标识</w:t>
            </w:r>
            <w:r>
              <w:rPr>
                <w:rFonts w:hint="eastAsia" w:ascii="宋体" w:hAnsi="宋体" w:cs="宋体"/>
                <w:color w:val="auto"/>
                <w:szCs w:val="21"/>
                <w:lang w:eastAsia="zh-CN"/>
              </w:rPr>
              <w:t>采用</w:t>
            </w:r>
            <w:r>
              <w:rPr>
                <w:rFonts w:hint="eastAsia" w:ascii="宋体" w:hAnsi="宋体" w:cs="宋体"/>
                <w:color w:val="auto"/>
                <w:szCs w:val="21"/>
              </w:rPr>
              <w:t>最新版《生活垃圾分类标志</w:t>
            </w:r>
            <w:r>
              <w:rPr>
                <w:rFonts w:hint="eastAsia" w:ascii="宋体" w:hAnsi="宋体" w:cs="宋体"/>
                <w:color w:val="auto"/>
                <w:szCs w:val="21"/>
                <w:lang w:eastAsia="zh-CN"/>
              </w:rPr>
              <w:t>（</w:t>
            </w:r>
            <w:r>
              <w:rPr>
                <w:rFonts w:hint="eastAsia" w:ascii="宋体" w:hAnsi="宋体" w:cs="宋体"/>
                <w:color w:val="auto"/>
                <w:szCs w:val="21"/>
                <w:lang w:val="en-US" w:eastAsia="zh-CN"/>
              </w:rPr>
              <w:t>GB/T 19095-2019</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lang w:eastAsia="zh-CN"/>
              </w:rPr>
              <w:t>；</w:t>
            </w:r>
          </w:p>
          <w:p>
            <w:pPr>
              <w:pStyle w:val="3"/>
              <w:numPr>
                <w:ilvl w:val="0"/>
                <w:numId w:val="0"/>
              </w:numPr>
              <w:spacing w:line="360" w:lineRule="auto"/>
              <w:jc w:val="left"/>
              <w:rPr>
                <w:rFonts w:ascii="宋体" w:hAnsi="宋体" w:cs="宋体"/>
                <w:color w:val="auto"/>
                <w:szCs w:val="21"/>
                <w:highlight w:val="none"/>
              </w:rPr>
            </w:pPr>
            <w:r>
              <w:rPr>
                <w:rFonts w:hint="eastAsia" w:ascii="宋体" w:hAnsi="宋体" w:cs="宋体"/>
                <w:color w:val="auto"/>
                <w:szCs w:val="21"/>
                <w:highlight w:val="none"/>
                <w:lang w:eastAsia="zh-CN"/>
              </w:rPr>
              <w:t>果屑箱身两侧喷涂</w:t>
            </w:r>
            <w:r>
              <w:rPr>
                <w:rFonts w:hint="eastAsia" w:ascii="宋体" w:hAnsi="宋体" w:cs="宋体"/>
                <w:color w:val="auto"/>
                <w:szCs w:val="21"/>
                <w:highlight w:val="none"/>
                <w:lang w:val="en-US" w:eastAsia="zh-CN"/>
              </w:rPr>
              <w:t>/丝印“金牛”字样，字体设计按采购人具体要求执行。</w:t>
            </w:r>
          </w:p>
          <w:p>
            <w:pPr>
              <w:spacing w:line="276" w:lineRule="auto"/>
              <w:jc w:val="left"/>
              <w:rPr>
                <w:rFonts w:hint="eastAsia" w:ascii="宋体" w:hAnsi="宋体" w:cs="宋体"/>
                <w:color w:val="auto"/>
                <w:sz w:val="20"/>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4" w:type="dxa"/>
            <w:noWrap w:val="0"/>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2、公园景观果屑箱（垃圾容器）</w:t>
            </w:r>
          </w:p>
        </w:tc>
        <w:tc>
          <w:tcPr>
            <w:tcW w:w="2352" w:type="dxa"/>
            <w:noWrap w:val="0"/>
            <w:vAlign w:val="center"/>
          </w:tcPr>
          <w:p>
            <w:pPr>
              <w:spacing w:line="300" w:lineRule="exact"/>
              <w:jc w:val="center"/>
              <w:rPr>
                <w:rFonts w:hint="eastAsia" w:ascii="宋体" w:hAnsi="宋体" w:eastAsia="宋体"/>
                <w:color w:val="auto"/>
                <w:sz w:val="24"/>
                <w:lang w:eastAsia="zh-CN"/>
              </w:rPr>
            </w:pPr>
            <w:r>
              <w:rPr>
                <w:rFonts w:hint="eastAsia" w:ascii="宋体" w:hAnsi="宋体" w:eastAsia="宋体"/>
                <w:color w:val="auto"/>
                <w:sz w:val="24"/>
                <w:lang w:eastAsia="zh-CN"/>
              </w:rPr>
              <w:drawing>
                <wp:anchor distT="0" distB="0" distL="114300" distR="114300" simplePos="0" relativeHeight="251659264" behindDoc="0" locked="0" layoutInCell="1" allowOverlap="1">
                  <wp:simplePos x="0" y="0"/>
                  <wp:positionH relativeFrom="column">
                    <wp:posOffset>-5080</wp:posOffset>
                  </wp:positionH>
                  <wp:positionV relativeFrom="paragraph">
                    <wp:posOffset>387985</wp:posOffset>
                  </wp:positionV>
                  <wp:extent cx="1393190" cy="1393190"/>
                  <wp:effectExtent l="0" t="0" r="16510" b="16510"/>
                  <wp:wrapSquare wrapText="bothSides"/>
                  <wp:docPr id="1" name="图片 3" descr="6769bb42ebda01f5b0c06944062f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6769bb42ebda01f5b0c06944062fc80"/>
                          <pic:cNvPicPr>
                            <a:picLocks noChangeAspect="1"/>
                          </pic:cNvPicPr>
                        </pic:nvPicPr>
                        <pic:blipFill>
                          <a:blip r:embed="rId5"/>
                          <a:stretch>
                            <a:fillRect/>
                          </a:stretch>
                        </pic:blipFill>
                        <pic:spPr>
                          <a:xfrm>
                            <a:off x="0" y="0"/>
                            <a:ext cx="1393190" cy="1393190"/>
                          </a:xfrm>
                          <a:prstGeom prst="rect">
                            <a:avLst/>
                          </a:prstGeom>
                          <a:noFill/>
                          <a:ln>
                            <a:noFill/>
                          </a:ln>
                        </pic:spPr>
                      </pic:pic>
                    </a:graphicData>
                  </a:graphic>
                </wp:anchor>
              </w:drawing>
            </w:r>
          </w:p>
        </w:tc>
        <w:tc>
          <w:tcPr>
            <w:tcW w:w="2157" w:type="dxa"/>
            <w:noWrap w:val="0"/>
            <w:vAlign w:val="center"/>
          </w:tcPr>
          <w:p>
            <w:pPr>
              <w:jc w:val="center"/>
              <w:rPr>
                <w:rFonts w:hint="eastAsia" w:ascii="宋体" w:hAnsi="宋体" w:cs="宋体"/>
                <w:color w:val="auto"/>
                <w:sz w:val="20"/>
                <w:szCs w:val="20"/>
              </w:rPr>
            </w:pPr>
            <w:r>
              <w:rPr>
                <w:rFonts w:hint="eastAsia" w:ascii="宋体" w:hAnsi="宋体" w:cs="宋体"/>
                <w:color w:val="auto"/>
                <w:szCs w:val="21"/>
              </w:rPr>
              <w:t>规格尺寸（长*宽*高）1000*320*880mm。</w:t>
            </w:r>
          </w:p>
        </w:tc>
        <w:tc>
          <w:tcPr>
            <w:tcW w:w="4181" w:type="dxa"/>
            <w:noWrap w:val="0"/>
            <w:vAlign w:val="center"/>
          </w:tcPr>
          <w:p>
            <w:pPr>
              <w:numPr>
                <w:ilvl w:val="0"/>
                <w:numId w:val="5"/>
              </w:numPr>
              <w:rPr>
                <w:rFonts w:hint="eastAsia"/>
                <w:color w:val="auto"/>
              </w:rPr>
            </w:pPr>
            <w:r>
              <w:rPr>
                <w:rFonts w:hint="eastAsia"/>
                <w:color w:val="auto"/>
              </w:rPr>
              <w:t>材质：镀锌板；</w:t>
            </w:r>
          </w:p>
          <w:p>
            <w:pPr>
              <w:numPr>
                <w:ilvl w:val="0"/>
                <w:numId w:val="5"/>
              </w:numPr>
              <w:rPr>
                <w:rFonts w:hint="eastAsia"/>
                <w:color w:val="auto"/>
              </w:rPr>
            </w:pPr>
            <w:r>
              <w:rPr>
                <w:rFonts w:hint="eastAsia"/>
                <w:color w:val="auto"/>
              </w:rPr>
              <w:t>主体采用1.0mm厚镀锌板，经剪板、折弯、焊接制成；</w:t>
            </w:r>
          </w:p>
          <w:p>
            <w:pPr>
              <w:numPr>
                <w:ilvl w:val="0"/>
                <w:numId w:val="5"/>
              </w:numPr>
              <w:rPr>
                <w:rFonts w:hint="eastAsia"/>
                <w:color w:val="auto"/>
              </w:rPr>
            </w:pPr>
            <w:r>
              <w:rPr>
                <w:rFonts w:hint="eastAsia"/>
                <w:color w:val="auto"/>
              </w:rPr>
              <w:t>中间立柱顶端设置烟灰缸，配备防盗锁链；</w:t>
            </w:r>
          </w:p>
          <w:p>
            <w:pPr>
              <w:numPr>
                <w:ilvl w:val="0"/>
                <w:numId w:val="5"/>
              </w:numPr>
              <w:rPr>
                <w:rFonts w:hint="eastAsia"/>
                <w:color w:val="auto"/>
              </w:rPr>
            </w:pPr>
            <w:r>
              <w:rPr>
                <w:rFonts w:hint="eastAsia"/>
                <w:color w:val="auto"/>
              </w:rPr>
              <w:t>内胆采用3mm厚玻璃钢材料，两侧配备塑料拉手，方便倾倒垃圾；</w:t>
            </w:r>
          </w:p>
          <w:p>
            <w:pPr>
              <w:numPr>
                <w:ilvl w:val="0"/>
                <w:numId w:val="5"/>
              </w:numPr>
              <w:rPr>
                <w:rFonts w:hint="eastAsia" w:ascii="宋体" w:hAnsi="宋体" w:cs="宋体"/>
                <w:color w:val="auto"/>
                <w:sz w:val="20"/>
                <w:szCs w:val="20"/>
              </w:rPr>
            </w:pPr>
            <w:r>
              <w:rPr>
                <w:rFonts w:hint="eastAsia"/>
                <w:color w:val="auto"/>
              </w:rPr>
              <w:t>桶门采用弹簧铰链回位；</w:t>
            </w:r>
          </w:p>
          <w:p>
            <w:pPr>
              <w:numPr>
                <w:ilvl w:val="0"/>
                <w:numId w:val="5"/>
              </w:numPr>
              <w:rPr>
                <w:rFonts w:hint="eastAsia" w:ascii="宋体" w:hAnsi="宋体" w:cs="宋体"/>
                <w:color w:val="auto"/>
                <w:sz w:val="20"/>
                <w:szCs w:val="20"/>
              </w:rPr>
            </w:pPr>
            <w:r>
              <w:rPr>
                <w:rFonts w:hint="eastAsia"/>
                <w:color w:val="auto"/>
              </w:rPr>
              <w:t>设置“可回收物”、“其他垃圾”、“烟头投口”标识；采用丝网印刷技术，</w:t>
            </w:r>
            <w:r>
              <w:rPr>
                <w:rFonts w:hint="eastAsia" w:ascii="宋体" w:hAnsi="宋体" w:cs="宋体"/>
                <w:color w:val="auto"/>
                <w:szCs w:val="21"/>
              </w:rPr>
              <w:t>分类标识</w:t>
            </w:r>
            <w:r>
              <w:rPr>
                <w:rFonts w:hint="eastAsia" w:ascii="宋体" w:hAnsi="宋体" w:cs="宋体"/>
                <w:color w:val="auto"/>
                <w:szCs w:val="21"/>
                <w:lang w:eastAsia="zh-CN"/>
              </w:rPr>
              <w:t>采用</w:t>
            </w:r>
            <w:r>
              <w:rPr>
                <w:rFonts w:hint="eastAsia" w:ascii="宋体" w:hAnsi="宋体" w:cs="宋体"/>
                <w:color w:val="auto"/>
                <w:szCs w:val="21"/>
              </w:rPr>
              <w:t>最新版《生活垃圾分类标志</w:t>
            </w:r>
            <w:r>
              <w:rPr>
                <w:rFonts w:hint="eastAsia" w:ascii="宋体" w:hAnsi="宋体" w:cs="宋体"/>
                <w:color w:val="auto"/>
                <w:szCs w:val="21"/>
                <w:lang w:eastAsia="zh-CN"/>
              </w:rPr>
              <w:t>（</w:t>
            </w:r>
            <w:r>
              <w:rPr>
                <w:rFonts w:hint="eastAsia" w:ascii="宋体" w:hAnsi="宋体" w:cs="宋体"/>
                <w:color w:val="auto"/>
                <w:szCs w:val="21"/>
                <w:lang w:val="en-US" w:eastAsia="zh-CN"/>
              </w:rPr>
              <w:t>GB/T 19095-2019</w:t>
            </w:r>
            <w:r>
              <w:rPr>
                <w:rFonts w:hint="eastAsia" w:ascii="宋体" w:hAnsi="宋体" w:cs="宋体"/>
                <w:color w:val="auto"/>
                <w:szCs w:val="21"/>
                <w:lang w:eastAsia="zh-CN"/>
              </w:rPr>
              <w:t>）</w:t>
            </w:r>
            <w:r>
              <w:rPr>
                <w:rFonts w:hint="eastAsia" w:ascii="宋体" w:hAnsi="宋体" w:cs="宋体"/>
                <w:color w:val="auto"/>
                <w:szCs w:val="21"/>
              </w:rPr>
              <w:t>》</w:t>
            </w:r>
            <w:r>
              <w:rPr>
                <w:rFonts w:hint="eastAsia"/>
                <w:color w:val="auto"/>
              </w:rPr>
              <w:t>。</w:t>
            </w:r>
          </w:p>
        </w:tc>
      </w:tr>
    </w:tbl>
    <w:p>
      <w:pPr>
        <w:spacing w:line="560" w:lineRule="exact"/>
        <w:rPr>
          <w:rFonts w:hint="eastAsia" w:ascii="宋体" w:hAnsi="宋体" w:cs="宋体"/>
          <w:b/>
          <w:bCs/>
          <w:color w:val="auto"/>
          <w:sz w:val="24"/>
        </w:rPr>
      </w:pPr>
    </w:p>
    <w:p>
      <w:pPr>
        <w:spacing w:line="560" w:lineRule="exact"/>
        <w:jc w:val="center"/>
        <w:rPr>
          <w:rFonts w:hint="eastAsia" w:ascii="宋体" w:hAnsi="宋体" w:cs="宋体"/>
          <w:b/>
          <w:bCs/>
          <w:color w:val="auto"/>
          <w:sz w:val="24"/>
        </w:rPr>
      </w:pPr>
      <w:r>
        <w:rPr>
          <w:rFonts w:hint="eastAsia" w:ascii="宋体" w:hAnsi="宋体" w:cs="宋体"/>
          <w:b/>
          <w:bCs/>
          <w:color w:val="auto"/>
          <w:sz w:val="24"/>
        </w:rPr>
        <w:t>服务要求</w:t>
      </w:r>
    </w:p>
    <w:p>
      <w:pPr>
        <w:pStyle w:val="2"/>
        <w:rPr>
          <w:rFonts w:hint="eastAsia" w:ascii="宋体" w:hAnsi="宋体" w:cs="宋体"/>
          <w:b/>
          <w:bCs/>
          <w:color w:val="auto"/>
          <w:sz w:val="24"/>
          <w:lang w:eastAsia="zh-CN"/>
        </w:rPr>
      </w:pPr>
      <w:r>
        <w:rPr>
          <w:rFonts w:hint="eastAsia" w:ascii="宋体" w:hAnsi="宋体" w:cs="宋体"/>
          <w:b/>
          <w:bCs/>
          <w:color w:val="auto"/>
          <w:sz w:val="24"/>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6">
            <o:LockedField>false</o:LockedField>
          </o:OLEObject>
        </w:object>
      </w:r>
    </w:p>
    <w:p>
      <w:pPr>
        <w:spacing w:line="360" w:lineRule="auto"/>
        <w:ind w:firstLine="420" w:firstLineChars="200"/>
        <w:jc w:val="left"/>
        <w:rPr>
          <w:rFonts w:hint="eastAsia" w:ascii="宋体" w:hAnsi="宋体"/>
          <w:color w:val="auto"/>
          <w:szCs w:val="21"/>
        </w:rPr>
      </w:pPr>
      <w:r>
        <w:rPr>
          <w:rFonts w:hint="eastAsia" w:ascii="宋体" w:hAnsi="宋体"/>
          <w:color w:val="auto"/>
          <w:szCs w:val="21"/>
        </w:rPr>
        <w:t>1、生产及安装（接到采购人要求后立即响应，并提供具体的</w:t>
      </w:r>
      <w:r>
        <w:rPr>
          <w:rFonts w:hint="eastAsia" w:ascii="宋体" w:hAnsi="宋体" w:cs="宋体"/>
          <w:color w:val="auto"/>
          <w:szCs w:val="21"/>
        </w:rPr>
        <w:t>生产进度计划、</w:t>
      </w:r>
      <w:r>
        <w:rPr>
          <w:rFonts w:hint="eastAsia" w:ascii="宋体" w:hAnsi="宋体"/>
          <w:color w:val="auto"/>
          <w:szCs w:val="21"/>
        </w:rPr>
        <w:t>送货执行人员分配、送货前应当核对货物</w:t>
      </w:r>
      <w:r>
        <w:rPr>
          <w:rFonts w:hint="eastAsia" w:ascii="宋体" w:hAnsi="宋体"/>
          <w:color w:val="auto"/>
          <w:szCs w:val="21"/>
          <w:lang w:eastAsia="zh-CN"/>
        </w:rPr>
        <w:t>数量、包装、功能、应用场景、</w:t>
      </w:r>
      <w:r>
        <w:rPr>
          <w:rFonts w:hint="eastAsia" w:ascii="宋体" w:hAnsi="宋体"/>
          <w:color w:val="auto"/>
          <w:szCs w:val="21"/>
        </w:rPr>
        <w:t>交付时应当现场配合验收，针对安装调试、组织实施、人员配备提供具体的执行方案）。</w:t>
      </w:r>
      <w:r>
        <w:rPr>
          <w:rFonts w:hint="eastAsia" w:ascii="宋体" w:hAnsi="宋体"/>
          <w:color w:val="auto"/>
          <w:szCs w:val="21"/>
        </w:rPr>
        <w:br w:type="textWrapping"/>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2、售后服务流程控制（应包含具体售后管理人员及执行人员、人员培训计划、保修内容、售后响应方案，权责清晰，流程简便快捷，具备及时服务的反应能力，提供具体的执行方案）。</w:t>
      </w:r>
      <w:r>
        <w:rPr>
          <w:rFonts w:hint="eastAsia" w:ascii="宋体" w:hAnsi="宋体"/>
          <w:color w:val="auto"/>
          <w:szCs w:val="21"/>
        </w:rPr>
        <w:br w:type="textWrapping"/>
      </w:r>
      <w:r>
        <w:rPr>
          <w:rFonts w:hint="eastAsia" w:ascii="宋体" w:hAnsi="宋体"/>
          <w:color w:val="auto"/>
          <w:szCs w:val="21"/>
        </w:rPr>
        <w:t xml:space="preserve">    3、后期服务质量保证（应包含拟投入项目后期维护方案、便捷的退换货机制，提供具体的执行方案）。</w:t>
      </w:r>
      <w:r>
        <w:rPr>
          <w:rFonts w:hint="eastAsia" w:ascii="宋体" w:hAnsi="宋体"/>
          <w:color w:val="auto"/>
          <w:szCs w:val="21"/>
        </w:rPr>
        <w:br w:type="textWrapping"/>
      </w:r>
      <w:r>
        <w:rPr>
          <w:rFonts w:hint="eastAsia" w:ascii="宋体" w:hAnsi="宋体"/>
          <w:color w:val="auto"/>
          <w:szCs w:val="21"/>
        </w:rPr>
        <w:t xml:space="preserve">    4、应急措施方案（应根据采购实际情况提供应急措施方案、应急组织与工作职责）。</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5、内控管理制度（提供生产、安全卫生、物流仓储、人员管理、作业流程、保险等管理制度）。</w:t>
      </w:r>
    </w:p>
    <w:p>
      <w:pPr>
        <w:spacing w:line="600" w:lineRule="exact"/>
        <w:jc w:val="center"/>
        <w:rPr>
          <w:rFonts w:ascii="宋体" w:hAnsi="宋体" w:cs="宋体"/>
          <w:b/>
          <w:color w:val="auto"/>
          <w:szCs w:val="21"/>
        </w:rPr>
      </w:pPr>
      <w:r>
        <w:rPr>
          <w:rFonts w:hint="eastAsia" w:ascii="宋体" w:hAnsi="宋体" w:cs="宋体"/>
          <w:b/>
          <w:color w:val="auto"/>
          <w:szCs w:val="21"/>
        </w:rPr>
        <w:t>售后服务要求</w:t>
      </w:r>
    </w:p>
    <w:p>
      <w:pPr>
        <w:numPr>
          <w:ilvl w:val="0"/>
          <w:numId w:val="6"/>
        </w:numPr>
        <w:spacing w:line="360" w:lineRule="auto"/>
        <w:ind w:firstLine="420" w:firstLineChars="200"/>
        <w:jc w:val="left"/>
        <w:rPr>
          <w:rFonts w:hint="eastAsia" w:ascii="宋体" w:hAnsi="宋体"/>
          <w:color w:val="auto"/>
          <w:szCs w:val="21"/>
        </w:rPr>
      </w:pPr>
      <w:r>
        <w:rPr>
          <w:rFonts w:hint="eastAsia" w:ascii="宋体" w:hAnsi="宋体"/>
          <w:color w:val="auto"/>
          <w:szCs w:val="21"/>
        </w:rPr>
        <w:t>质保期为1年，质保期间果屑箱一切问题（包括零部件更换）由中标人负责处理。采购人出现维修要求，投标人必须在24小时内积极响应。</w:t>
      </w:r>
    </w:p>
    <w:p>
      <w:pPr>
        <w:numPr>
          <w:ilvl w:val="0"/>
          <w:numId w:val="6"/>
        </w:numPr>
        <w:spacing w:line="360" w:lineRule="auto"/>
        <w:ind w:firstLine="420" w:firstLineChars="200"/>
        <w:jc w:val="left"/>
      </w:pPr>
      <w:bookmarkStart w:id="0" w:name="_GoBack"/>
      <w:bookmarkEnd w:id="0"/>
      <w:r>
        <w:rPr>
          <w:rFonts w:hint="eastAsia" w:ascii="宋体" w:hAnsi="宋体"/>
          <w:color w:val="auto"/>
          <w:szCs w:val="21"/>
        </w:rPr>
        <w:t>中标服务商须指定专业的售后服务维修人员负责本项目的售后服务工作。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F4B9"/>
    <w:multiLevelType w:val="singleLevel"/>
    <w:tmpl w:val="0056F4B9"/>
    <w:lvl w:ilvl="0" w:tentative="0">
      <w:start w:val="1"/>
      <w:numFmt w:val="decimal"/>
      <w:suff w:val="nothing"/>
      <w:lvlText w:val="（%1）"/>
      <w:lvlJc w:val="left"/>
    </w:lvl>
  </w:abstractNum>
  <w:abstractNum w:abstractNumId="1">
    <w:nsid w:val="0F195784"/>
    <w:multiLevelType w:val="singleLevel"/>
    <w:tmpl w:val="0F195784"/>
    <w:lvl w:ilvl="0" w:tentative="0">
      <w:start w:val="1"/>
      <w:numFmt w:val="decimal"/>
      <w:suff w:val="nothing"/>
      <w:lvlText w:val="（%1）"/>
      <w:lvlJc w:val="left"/>
    </w:lvl>
  </w:abstractNum>
  <w:abstractNum w:abstractNumId="2">
    <w:nsid w:val="16380D73"/>
    <w:multiLevelType w:val="singleLevel"/>
    <w:tmpl w:val="16380D73"/>
    <w:lvl w:ilvl="0" w:tentative="0">
      <w:start w:val="1"/>
      <w:numFmt w:val="decimal"/>
      <w:suff w:val="nothing"/>
      <w:lvlText w:val="（%1）"/>
      <w:lvlJc w:val="left"/>
    </w:lvl>
  </w:abstractNum>
  <w:abstractNum w:abstractNumId="3">
    <w:nsid w:val="364306C0"/>
    <w:multiLevelType w:val="singleLevel"/>
    <w:tmpl w:val="364306C0"/>
    <w:lvl w:ilvl="0" w:tentative="0">
      <w:start w:val="1"/>
      <w:numFmt w:val="decimal"/>
      <w:suff w:val="nothing"/>
      <w:lvlText w:val="（%1）"/>
      <w:lvlJc w:val="left"/>
    </w:lvl>
  </w:abstractNum>
  <w:abstractNum w:abstractNumId="4">
    <w:nsid w:val="635AD363"/>
    <w:multiLevelType w:val="singleLevel"/>
    <w:tmpl w:val="635AD363"/>
    <w:lvl w:ilvl="0" w:tentative="0">
      <w:start w:val="1"/>
      <w:numFmt w:val="decimal"/>
      <w:lvlText w:val="%1."/>
      <w:lvlJc w:val="left"/>
      <w:pPr>
        <w:tabs>
          <w:tab w:val="left" w:pos="312"/>
        </w:tabs>
      </w:pPr>
    </w:lvl>
  </w:abstractNum>
  <w:abstractNum w:abstractNumId="5">
    <w:nsid w:val="7BB2DB05"/>
    <w:multiLevelType w:val="singleLevel"/>
    <w:tmpl w:val="7BB2DB05"/>
    <w:lvl w:ilvl="0" w:tentative="0">
      <w:start w:val="1"/>
      <w:numFmt w:val="decimal"/>
      <w:suff w:val="nothing"/>
      <w:lvlText w:val="（%1）"/>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C4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288" w:lineRule="auto"/>
    </w:pPr>
    <w:rPr>
      <w:rFonts w:ascii="仿宋_GB2312"/>
      <w:szCs w:val="20"/>
    </w:rPr>
  </w:style>
  <w:style w:type="paragraph" w:styleId="3">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2021-07-20T08:02:53Z</dcterms:created>
  <dc:creator>Administrator</dc:creator>
  <cp:lastModifiedBy>婧眯paradise</cp:lastModifiedBy>
  <dcterms:modified xsi:type="dcterms:W3CDTF">2021-07-20T08:05:32Z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