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000000" w:themeColor="text1"/>
          <w:sz w:val="30"/>
          <w:szCs w:val="30"/>
          <w14:textFill>
            <w14:solidFill>
              <w14:schemeClr w14:val="tx1"/>
            </w14:solidFill>
          </w14:textFill>
        </w:rPr>
      </w:pPr>
    </w:p>
    <w:p>
      <w:pPr>
        <w:pStyle w:val="2"/>
        <w:rPr>
          <w:color w:val="000000" w:themeColor="text1"/>
          <w14:textFill>
            <w14:solidFill>
              <w14:schemeClr w14:val="tx1"/>
            </w14:solidFill>
          </w14:textFill>
        </w:rPr>
      </w:pPr>
    </w:p>
    <w:p>
      <w:pPr>
        <w:spacing w:line="360" w:lineRule="auto"/>
        <w:jc w:val="center"/>
        <w:rPr>
          <w:rFonts w:hint="default" w:ascii="仿宋" w:hAnsi="仿宋" w:eastAsia="仿宋"/>
          <w:b/>
          <w:color w:val="000000" w:themeColor="text1"/>
          <w:sz w:val="36"/>
          <w:szCs w:val="36"/>
          <w:lang w:val="en-US" w:eastAsia="zh-CN"/>
          <w14:textFill>
            <w14:solidFill>
              <w14:schemeClr w14:val="tx1"/>
            </w14:solidFill>
          </w14:textFill>
        </w:rPr>
      </w:pPr>
      <w:bookmarkStart w:id="142" w:name="_GoBack"/>
      <w:bookmarkEnd w:id="142"/>
      <w:r>
        <w:rPr>
          <w:rFonts w:hint="eastAsia" w:ascii="仿宋" w:hAnsi="仿宋" w:eastAsia="仿宋" w:cs="仿宋"/>
          <w:b/>
          <w:color w:val="000000" w:themeColor="text1"/>
          <w:sz w:val="36"/>
          <w:szCs w:val="36"/>
          <w14:textFill>
            <w14:solidFill>
              <w14:schemeClr w14:val="tx1"/>
            </w14:solidFill>
          </w14:textFill>
        </w:rPr>
        <w:t>项目编号：510104202100174</w:t>
      </w:r>
    </w:p>
    <w:p>
      <w:pPr>
        <w:pStyle w:val="2"/>
        <w:rPr>
          <w:color w:val="000000" w:themeColor="text1"/>
          <w14:textFill>
            <w14:solidFill>
              <w14:schemeClr w14:val="tx1"/>
            </w14:solidFill>
          </w14:textFill>
        </w:rPr>
      </w:pPr>
    </w:p>
    <w:p>
      <w:pPr>
        <w:spacing w:line="360" w:lineRule="auto"/>
        <w:jc w:val="center"/>
        <w:rPr>
          <w:rFonts w:hint="eastAsia"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四川省成都市七中育才学校校园视频监控系统采购项目</w:t>
      </w:r>
    </w:p>
    <w:p>
      <w:pPr>
        <w:spacing w:line="360" w:lineRule="auto"/>
        <w:jc w:val="center"/>
        <w:rPr>
          <w:rFonts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竞</w:t>
      </w:r>
    </w:p>
    <w:p>
      <w:pPr>
        <w:spacing w:line="360" w:lineRule="auto"/>
        <w:jc w:val="center"/>
        <w:rPr>
          <w:rFonts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争</w:t>
      </w:r>
    </w:p>
    <w:p>
      <w:pPr>
        <w:spacing w:line="360" w:lineRule="auto"/>
        <w:jc w:val="center"/>
        <w:rPr>
          <w:rFonts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性</w:t>
      </w:r>
    </w:p>
    <w:p>
      <w:pPr>
        <w:spacing w:line="360" w:lineRule="auto"/>
        <w:jc w:val="center"/>
        <w:rPr>
          <w:rFonts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磋</w:t>
      </w:r>
    </w:p>
    <w:p>
      <w:pPr>
        <w:spacing w:line="360" w:lineRule="auto"/>
        <w:jc w:val="center"/>
        <w:rPr>
          <w:rFonts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商</w:t>
      </w:r>
    </w:p>
    <w:p>
      <w:pPr>
        <w:spacing w:line="360" w:lineRule="auto"/>
        <w:jc w:val="center"/>
        <w:rPr>
          <w:rFonts w:ascii="仿宋" w:hAnsi="仿宋" w:eastAsia="仿宋" w:cs="宋体"/>
          <w:b/>
          <w:color w:val="000000" w:themeColor="text1"/>
          <w:spacing w:val="78"/>
          <w:sz w:val="52"/>
          <w:szCs w:val="52"/>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文</w:t>
      </w:r>
    </w:p>
    <w:p>
      <w:pPr>
        <w:spacing w:line="360" w:lineRule="auto"/>
        <w:jc w:val="center"/>
        <w:rPr>
          <w:rFonts w:ascii="仿宋" w:hAnsi="仿宋" w:eastAsia="仿宋"/>
          <w:b/>
          <w:color w:val="000000" w:themeColor="text1"/>
          <w:spacing w:val="78"/>
          <w:sz w:val="48"/>
          <w14:textFill>
            <w14:solidFill>
              <w14:schemeClr w14:val="tx1"/>
            </w14:solidFill>
          </w14:textFill>
        </w:rPr>
      </w:pPr>
      <w:r>
        <w:rPr>
          <w:rFonts w:hint="eastAsia" w:ascii="仿宋" w:hAnsi="仿宋" w:eastAsia="仿宋" w:cs="宋体"/>
          <w:b/>
          <w:color w:val="000000" w:themeColor="text1"/>
          <w:spacing w:val="78"/>
          <w:sz w:val="52"/>
          <w:szCs w:val="52"/>
          <w14:textFill>
            <w14:solidFill>
              <w14:schemeClr w14:val="tx1"/>
            </w14:solidFill>
          </w14:textFill>
        </w:rPr>
        <w:t>件</w:t>
      </w:r>
    </w:p>
    <w:p>
      <w:pPr>
        <w:spacing w:line="360" w:lineRule="auto"/>
        <w:jc w:val="center"/>
        <w:rPr>
          <w:rFonts w:hint="eastAsia" w:ascii="仿宋" w:hAnsi="仿宋" w:eastAsia="仿宋" w:cs="宋体"/>
          <w:b/>
          <w:color w:val="000000" w:themeColor="text1"/>
          <w:spacing w:val="40"/>
          <w:sz w:val="32"/>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四川省成都市七中育才学校</w:t>
      </w:r>
    </w:p>
    <w:p>
      <w:pPr>
        <w:spacing w:line="360" w:lineRule="auto"/>
        <w:jc w:val="center"/>
        <w:rPr>
          <w:rFonts w:ascii="仿宋" w:hAnsi="仿宋" w:eastAsia="仿宋" w:cs="宋体"/>
          <w:b/>
          <w:color w:val="000000" w:themeColor="text1"/>
          <w:spacing w:val="40"/>
          <w:sz w:val="32"/>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四川兴众诚招标代理有限责任公司</w:t>
      </w:r>
    </w:p>
    <w:p>
      <w:pPr>
        <w:pStyle w:val="2"/>
        <w:ind w:firstLine="0" w:firstLineChars="0"/>
        <w:jc w:val="center"/>
        <w:rPr>
          <w:rFonts w:ascii="仿宋" w:hAnsi="仿宋" w:eastAsia="仿宋" w:cs="宋体"/>
          <w:b/>
          <w:color w:val="000000" w:themeColor="text1"/>
          <w:spacing w:val="40"/>
          <w:sz w:val="32"/>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共同编制</w:t>
      </w:r>
    </w:p>
    <w:p>
      <w:pPr>
        <w:spacing w:line="360" w:lineRule="auto"/>
        <w:jc w:val="center"/>
        <w:rPr>
          <w:rFonts w:ascii="仿宋" w:hAnsi="仿宋" w:eastAsia="仿宋"/>
          <w:b/>
          <w:color w:val="000000" w:themeColor="text1"/>
          <w:sz w:val="44"/>
          <w14:textFill>
            <w14:solidFill>
              <w14:schemeClr w14:val="tx1"/>
            </w14:solidFill>
          </w14:textFill>
        </w:rPr>
      </w:pPr>
      <w:r>
        <w:rPr>
          <w:rFonts w:hint="eastAsia" w:ascii="仿宋" w:hAnsi="仿宋" w:eastAsia="仿宋" w:cs="宋体"/>
          <w:b/>
          <w:color w:val="000000" w:themeColor="text1"/>
          <w:spacing w:val="40"/>
          <w:sz w:val="32"/>
          <w14:textFill>
            <w14:solidFill>
              <w14:schemeClr w14:val="tx1"/>
            </w14:solidFill>
          </w14:textFill>
        </w:rPr>
        <w:t>二〇二一年十一月</w:t>
      </w:r>
    </w:p>
    <w:p>
      <w:pPr>
        <w:pStyle w:val="2"/>
        <w:ind w:firstLine="0" w:firstLineChars="0"/>
        <w:jc w:val="center"/>
        <w:rPr>
          <w:rFonts w:ascii="仿宋" w:hAnsi="仿宋" w:eastAsia="仿宋" w:cs="宋体"/>
          <w:b/>
          <w:color w:val="000000" w:themeColor="text1"/>
          <w:spacing w:val="40"/>
          <w:sz w:val="32"/>
          <w14:textFill>
            <w14:solidFill>
              <w14:schemeClr w14:val="tx1"/>
            </w14:solidFill>
          </w14:textFill>
        </w:rPr>
      </w:pPr>
    </w:p>
    <w:p>
      <w:pPr>
        <w:pStyle w:val="2"/>
        <w:ind w:firstLine="0" w:firstLineChars="0"/>
        <w:jc w:val="center"/>
        <w:rPr>
          <w:rFonts w:ascii="仿宋" w:hAnsi="仿宋" w:eastAsia="仿宋" w:cs="宋体"/>
          <w:b/>
          <w:color w:val="000000" w:themeColor="text1"/>
          <w:spacing w:val="40"/>
          <w:sz w:val="32"/>
          <w14:textFill>
            <w14:solidFill>
              <w14:schemeClr w14:val="tx1"/>
            </w14:solidFill>
          </w14:textFill>
        </w:rPr>
      </w:pPr>
    </w:p>
    <w:p>
      <w:pPr>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廉洁自律承诺书</w:t>
      </w:r>
    </w:p>
    <w:p>
      <w:pPr>
        <w:pStyle w:val="2"/>
        <w:rPr>
          <w:color w:val="000000" w:themeColor="text1"/>
          <w14:textFill>
            <w14:solidFill>
              <w14:schemeClr w14:val="tx1"/>
            </w14:solidFill>
          </w14:textFill>
        </w:rPr>
      </w:pP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为进一步规范四川兴众诚招标代理有限责任公司采购行为，维护采购制度，净化采购市场环境。四川兴众诚招标代理有限责任公司在代理采购事务过程中郑重承诺：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坚持公开、公平、公正原则，严格按照法律法规和委托代理协议的约定办理采购事宜，恪守职业道德，规范代理行为，努力提高专业能力，确保服务质量；诚实守信，勤勉尽责，积极维护国家利益、社会公共利益和采购相关当事人的合法权益。</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二、公司员工遵纪守法，不得以不正当手段争取、承揽代理采购事务和向任何单位和个人支付现金、实物或其他利益的行为。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四、公司员工不得与供应商存在任何商业上的利害关系，不得在供应商单位兼职和任职，不得泄漏采购过程中的机密。</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公司员工在业务交往中，不得故意刁难供应商，影响正常的业务开展。公司全体员工接受来自社会各界的监督、举报，请各位采购参与者充分了解并自觉践行本准则，共同营造廉洁诚信的政采环境，共同推动阳光透明的采购。</w:t>
      </w: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四川兴众诚招标代理有限责任公司</w:t>
      </w:r>
    </w:p>
    <w:p>
      <w:pPr>
        <w:spacing w:line="360" w:lineRule="auto"/>
        <w:jc w:val="center"/>
        <w:rPr>
          <w:rFonts w:ascii="仿宋" w:hAnsi="仿宋" w:eastAsia="仿宋" w:cs="仿宋"/>
          <w:color w:val="000000" w:themeColor="text1"/>
          <w:sz w:val="36"/>
          <w:szCs w:val="44"/>
          <w14:textFill>
            <w14:solidFill>
              <w14:schemeClr w14:val="tx1"/>
            </w14:solidFill>
          </w14:textFill>
        </w:rPr>
      </w:pPr>
    </w:p>
    <w:p>
      <w:pPr>
        <w:pStyle w:val="2"/>
        <w:rPr>
          <w:color w:val="000000" w:themeColor="text1"/>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p>
    <w:p>
      <w:pPr>
        <w:spacing w:line="36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交通指引</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四川兴众诚招标代理有限责任公司位于四川省成都市航空路6号丰德国际广场B座1单元701室，可采用以下交通方式：</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1、地铁：1号线桐梓林地铁站D口，步行100米即可到达。</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2、自驾：百度地图导航输入“丰德国际广场”，停车场入口位于航空路丰德国际广场北门（柴门河鲜馆楼下）。</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3、建议将车辆停放于-1层，乘地下B1座客梯上7楼。</w:t>
      </w:r>
    </w:p>
    <w:p>
      <w:pPr>
        <w:spacing w:line="480" w:lineRule="auto"/>
        <w:jc w:val="center"/>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drawing>
          <wp:inline distT="0" distB="0" distL="114300" distR="114300">
            <wp:extent cx="5340985" cy="5913120"/>
            <wp:effectExtent l="0" t="0" r="8255" b="0"/>
            <wp:docPr id="37" name="图片 37" descr="dafab760eb89cfb84edd35b6250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afab760eb89cfb84edd35b625054de"/>
                    <pic:cNvPicPr>
                      <a:picLocks noChangeAspect="1"/>
                    </pic:cNvPicPr>
                  </pic:nvPicPr>
                  <pic:blipFill>
                    <a:blip r:embed="rId13" cstate="print"/>
                    <a:stretch>
                      <a:fillRect/>
                    </a:stretch>
                  </pic:blipFill>
                  <pic:spPr>
                    <a:xfrm>
                      <a:off x="0" y="0"/>
                      <a:ext cx="5340985" cy="5913120"/>
                    </a:xfrm>
                    <a:prstGeom prst="rect">
                      <a:avLst/>
                    </a:prstGeom>
                  </pic:spPr>
                </pic:pic>
              </a:graphicData>
            </a:graphic>
          </wp:inline>
        </w:drawing>
      </w:r>
    </w:p>
    <w:p>
      <w:pPr>
        <w:spacing w:line="480" w:lineRule="auto"/>
        <w:rPr>
          <w:rFonts w:ascii="仿宋" w:hAnsi="仿宋" w:eastAsia="仿宋" w:cs="仿宋"/>
          <w:color w:val="000000" w:themeColor="text1"/>
          <w:sz w:val="36"/>
          <w:szCs w:val="44"/>
          <w14:textFill>
            <w14:solidFill>
              <w14:schemeClr w14:val="tx1"/>
            </w14:solidFill>
          </w14:textFill>
        </w:rPr>
      </w:pPr>
    </w:p>
    <w:p>
      <w:pPr>
        <w:spacing w:line="48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温馨提示</w:t>
      </w:r>
    </w:p>
    <w:p>
      <w:pPr>
        <w:spacing w:line="360" w:lineRule="auto"/>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各供应商：</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二、保证金：</w:t>
      </w:r>
      <w:r>
        <w:rPr>
          <w:rFonts w:hint="eastAsia" w:ascii="仿宋" w:hAnsi="仿宋" w:eastAsia="仿宋" w:cs="仿宋"/>
          <w:color w:val="000000" w:themeColor="text1"/>
          <w:sz w:val="24"/>
          <w:szCs w:val="32"/>
          <w14:textFill>
            <w14:solidFill>
              <w14:schemeClr w14:val="tx1"/>
            </w14:solidFill>
          </w14:textFill>
        </w:rPr>
        <w:t>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三、制作投标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文件：</w:t>
      </w:r>
      <w:r>
        <w:rPr>
          <w:rFonts w:hint="eastAsia" w:ascii="仿宋" w:hAnsi="仿宋" w:eastAsia="仿宋" w:cs="仿宋"/>
          <w:color w:val="000000" w:themeColor="text1"/>
          <w:sz w:val="24"/>
          <w:szCs w:val="32"/>
          <w14:textFill>
            <w14:solidFill>
              <w14:schemeClr w14:val="tx1"/>
            </w14:solidFill>
          </w14:textFill>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四、投标</w:t>
      </w:r>
      <w:r>
        <w:rPr>
          <w:rFonts w:hint="eastAsia" w:ascii="仿宋" w:hAnsi="仿宋" w:eastAsia="仿宋" w:cs="仿宋"/>
          <w:color w:val="000000" w:themeColor="text1"/>
          <w:sz w:val="24"/>
          <w:szCs w:val="32"/>
          <w14:textFill>
            <w14:solidFill>
              <w14:schemeClr w14:val="tx1"/>
            </w14:solidFill>
          </w14:textFill>
        </w:rPr>
        <w:t>（响应）</w:t>
      </w:r>
      <w:r>
        <w:rPr>
          <w:rFonts w:ascii="仿宋" w:hAnsi="仿宋" w:eastAsia="仿宋" w:cs="仿宋"/>
          <w:color w:val="000000" w:themeColor="text1"/>
          <w:sz w:val="24"/>
          <w:szCs w:val="32"/>
          <w14:textFill>
            <w14:solidFill>
              <w14:schemeClr w14:val="tx1"/>
            </w14:solidFill>
          </w14:textFill>
        </w:rPr>
        <w:t>：</w:t>
      </w:r>
      <w:r>
        <w:rPr>
          <w:rFonts w:hint="eastAsia" w:ascii="仿宋" w:hAnsi="仿宋" w:eastAsia="仿宋" w:cs="仿宋"/>
          <w:color w:val="000000" w:themeColor="text1"/>
          <w:sz w:val="24"/>
          <w:szCs w:val="32"/>
          <w14:textFill>
            <w14:solidFill>
              <w14:schemeClr w14:val="tx1"/>
            </w14:solidFill>
          </w14:textFill>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五、结果查询：结果公告将在发布采购公告的同一网站进行公布，供应商应自行关注，任何询问项目评审情况和中标（成交）情况的行为都将被拒绝。</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六、</w:t>
      </w:r>
      <w:r>
        <w:rPr>
          <w:rFonts w:hint="eastAsia" w:ascii="仿宋" w:hAnsi="仿宋" w:eastAsia="仿宋" w:cs="仿宋"/>
          <w:color w:val="000000" w:themeColor="text1"/>
          <w:sz w:val="24"/>
          <w:szCs w:val="32"/>
          <w14:textFill>
            <w14:solidFill>
              <w14:schemeClr w14:val="tx1"/>
            </w14:solidFill>
          </w14:textFill>
        </w:rPr>
        <w:t>服务费：中标（成交）结果公布后，中标（成交）人应及时足额缴纳服务费，我司在收到服务费后才可开具发票。</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七、中标（成交）通知书：</w:t>
      </w:r>
      <w:r>
        <w:rPr>
          <w:rFonts w:hint="eastAsia" w:ascii="仿宋" w:hAnsi="仿宋" w:eastAsia="仿宋" w:cs="仿宋"/>
          <w:color w:val="000000" w:themeColor="text1"/>
          <w:sz w:val="24"/>
          <w:szCs w:val="32"/>
          <w14:textFill>
            <w14:solidFill>
              <w14:schemeClr w14:val="tx1"/>
            </w14:solidFill>
          </w14:textFill>
        </w:rPr>
        <w:t>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t>八、采购合同：</w:t>
      </w:r>
      <w:r>
        <w:rPr>
          <w:rFonts w:hint="eastAsia" w:ascii="仿宋" w:hAnsi="仿宋" w:eastAsia="仿宋" w:cs="仿宋"/>
          <w:color w:val="000000" w:themeColor="text1"/>
          <w:sz w:val="24"/>
          <w:szCs w:val="32"/>
          <w14:textFill>
            <w14:solidFill>
              <w14:schemeClr w14:val="tx1"/>
            </w14:solidFill>
          </w14:textFill>
        </w:rPr>
        <w:t>中标（成交）人应在采购文件规定的期限内凭中标（成交）通知书与采购人签订采购合同。</w:t>
      </w: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四川兴众诚招标代理有限责任公司</w:t>
      </w:r>
    </w:p>
    <w:p>
      <w:pPr>
        <w:widowControl/>
        <w:jc w:val="left"/>
        <w:rPr>
          <w:rFonts w:ascii="仿宋" w:hAnsi="仿宋" w:eastAsia="仿宋"/>
          <w:color w:val="000000" w:themeColor="text1"/>
          <w:sz w:val="36"/>
          <w:szCs w:val="32"/>
          <w14:textFill>
            <w14:solidFill>
              <w14:schemeClr w14:val="tx1"/>
            </w14:solidFill>
          </w14:textFill>
        </w:rPr>
      </w:pPr>
    </w:p>
    <w:p>
      <w:pPr>
        <w:pStyle w:val="2"/>
        <w:ind w:firstLine="720"/>
        <w:rPr>
          <w:rFonts w:ascii="仿宋" w:hAnsi="仿宋" w:eastAsia="仿宋"/>
          <w:color w:val="000000" w:themeColor="text1"/>
          <w:sz w:val="36"/>
          <w:szCs w:val="32"/>
          <w14:textFill>
            <w14:solidFill>
              <w14:schemeClr w14:val="tx1"/>
            </w14:solidFill>
          </w14:textFill>
        </w:rPr>
      </w:pPr>
    </w:p>
    <w:p>
      <w:pPr>
        <w:pStyle w:val="4"/>
        <w:keepNext w:val="0"/>
        <w:keepLines w:val="0"/>
        <w:spacing w:line="360" w:lineRule="exact"/>
        <w:jc w:val="center"/>
        <w:rPr>
          <w:rFonts w:ascii="仿宋" w:hAnsi="仿宋" w:eastAsia="仿宋"/>
          <w:bCs w:val="0"/>
          <w:color w:val="000000" w:themeColor="text1"/>
          <w:sz w:val="36"/>
          <w14:textFill>
            <w14:solidFill>
              <w14:schemeClr w14:val="tx1"/>
            </w14:solidFill>
          </w14:textFill>
        </w:rPr>
      </w:pPr>
      <w:r>
        <w:rPr>
          <w:rFonts w:hint="eastAsia" w:ascii="仿宋" w:hAnsi="仿宋" w:eastAsia="仿宋"/>
          <w:bCs w:val="0"/>
          <w:color w:val="000000" w:themeColor="text1"/>
          <w:sz w:val="36"/>
          <w14:textFill>
            <w14:solidFill>
              <w14:schemeClr w14:val="tx1"/>
            </w14:solidFill>
          </w14:textFill>
        </w:rPr>
        <w:t>目    录</w:t>
      </w:r>
    </w:p>
    <w:p>
      <w:pPr>
        <w:rPr>
          <w:color w:val="000000" w:themeColor="text1"/>
          <w14:textFill>
            <w14:solidFill>
              <w14:schemeClr w14:val="tx1"/>
            </w14:solidFill>
          </w14:textFill>
        </w:rPr>
      </w:pP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TOC \o "1-1" \h \z \u </w:instrText>
      </w:r>
      <w:r>
        <w:rPr>
          <w:rFonts w:ascii="仿宋" w:hAnsi="仿宋" w:eastAsia="仿宋"/>
          <w:color w:val="000000" w:themeColor="text1"/>
          <w14:textFill>
            <w14:solidFill>
              <w14:schemeClr w14:val="tx1"/>
            </w14:solidFill>
          </w14:textFill>
        </w:rPr>
        <w:fldChar w:fldCharType="separate"/>
      </w: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_Toc26687 </w:instrText>
      </w:r>
      <w:r>
        <w:rPr>
          <w:rFonts w:ascii="仿宋" w:hAnsi="仿宋" w:eastAsia="仿宋"/>
        </w:rPr>
        <w:fldChar w:fldCharType="separate"/>
      </w:r>
      <w:r>
        <w:rPr>
          <w:rFonts w:hint="eastAsia" w:ascii="仿宋" w:hAnsi="仿宋" w:eastAsia="仿宋"/>
        </w:rPr>
        <w:t>第一章  磋商邀请</w:t>
      </w:r>
      <w:r>
        <w:tab/>
      </w:r>
      <w:r>
        <w:fldChar w:fldCharType="begin"/>
      </w:r>
      <w:r>
        <w:instrText xml:space="preserve"> PAGEREF _Toc26687 \h </w:instrText>
      </w:r>
      <w:r>
        <w:fldChar w:fldCharType="separate"/>
      </w:r>
      <w:r>
        <w:t>6</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_Toc8057 </w:instrText>
      </w:r>
      <w:r>
        <w:rPr>
          <w:rFonts w:ascii="仿宋" w:hAnsi="仿宋" w:eastAsia="仿宋"/>
        </w:rPr>
        <w:fldChar w:fldCharType="separate"/>
      </w:r>
      <w:r>
        <w:rPr>
          <w:rFonts w:hint="eastAsia" w:ascii="仿宋" w:hAnsi="仿宋" w:eastAsia="仿宋"/>
        </w:rPr>
        <w:t>第二章  磋商须知</w:t>
      </w:r>
      <w:r>
        <w:tab/>
      </w:r>
      <w:r>
        <w:fldChar w:fldCharType="begin"/>
      </w:r>
      <w:r>
        <w:instrText xml:space="preserve"> PAGEREF _Toc8057 \h </w:instrText>
      </w:r>
      <w:r>
        <w:fldChar w:fldCharType="separate"/>
      </w:r>
      <w:r>
        <w:t>9</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_Toc20714 </w:instrText>
      </w:r>
      <w:r>
        <w:rPr>
          <w:rFonts w:ascii="仿宋" w:hAnsi="仿宋" w:eastAsia="仿宋"/>
        </w:rPr>
        <w:fldChar w:fldCharType="separate"/>
      </w:r>
      <w:r>
        <w:rPr>
          <w:rFonts w:hint="eastAsia" w:ascii="仿宋" w:hAnsi="仿宋" w:eastAsia="仿宋"/>
        </w:rPr>
        <w:t>第三章  供应商和报价产品的资格、资质性及其他类似效力要求</w:t>
      </w:r>
      <w:r>
        <w:tab/>
      </w:r>
      <w:r>
        <w:fldChar w:fldCharType="begin"/>
      </w:r>
      <w:r>
        <w:instrText xml:space="preserve"> PAGEREF _Toc20714 \h </w:instrText>
      </w:r>
      <w:r>
        <w:fldChar w:fldCharType="separate"/>
      </w:r>
      <w:r>
        <w:t>25</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_Toc32172 </w:instrText>
      </w:r>
      <w:r>
        <w:rPr>
          <w:rFonts w:ascii="仿宋" w:hAnsi="仿宋" w:eastAsia="仿宋"/>
        </w:rPr>
        <w:fldChar w:fldCharType="separate"/>
      </w:r>
      <w:r>
        <w:rPr>
          <w:rFonts w:hint="eastAsia" w:ascii="仿宋" w:hAnsi="仿宋" w:eastAsia="仿宋"/>
        </w:rPr>
        <w:t>第四章  供应商应当提供的资格、资质性及其他类似效力要求的相关证明材料</w:t>
      </w:r>
      <w:r>
        <w:tab/>
      </w:r>
      <w:r>
        <w:fldChar w:fldCharType="begin"/>
      </w:r>
      <w:r>
        <w:instrText xml:space="preserve"> PAGEREF _Toc32172 \h </w:instrText>
      </w:r>
      <w:r>
        <w:fldChar w:fldCharType="separate"/>
      </w:r>
      <w:r>
        <w:t>26</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_Toc8411 </w:instrText>
      </w:r>
      <w:r>
        <w:rPr>
          <w:rFonts w:ascii="仿宋" w:hAnsi="仿宋" w:eastAsia="仿宋"/>
        </w:rPr>
        <w:fldChar w:fldCharType="separate"/>
      </w:r>
      <w:r>
        <w:rPr>
          <w:rFonts w:hint="eastAsia" w:ascii="仿宋" w:hAnsi="仿宋" w:eastAsia="仿宋"/>
        </w:rPr>
        <w:t>第五章  采购项目技术、服务、商务要求</w:t>
      </w:r>
      <w:r>
        <w:tab/>
      </w:r>
      <w:r>
        <w:fldChar w:fldCharType="begin"/>
      </w:r>
      <w:r>
        <w:instrText xml:space="preserve"> PAGEREF _Toc8411 \h </w:instrText>
      </w:r>
      <w:r>
        <w:fldChar w:fldCharType="separate"/>
      </w:r>
      <w:r>
        <w:t>28</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_Toc13531 </w:instrText>
      </w:r>
      <w:r>
        <w:rPr>
          <w:rFonts w:ascii="仿宋" w:hAnsi="仿宋" w:eastAsia="仿宋"/>
        </w:rPr>
        <w:fldChar w:fldCharType="separate"/>
      </w:r>
      <w:r>
        <w:rPr>
          <w:rFonts w:hint="eastAsia" w:ascii="仿宋" w:hAnsi="仿宋" w:eastAsia="仿宋"/>
        </w:rPr>
        <w:t>第六章  磋商内容、磋商过程中可实质性变动的内容</w:t>
      </w:r>
      <w:r>
        <w:tab/>
      </w:r>
      <w:r>
        <w:fldChar w:fldCharType="begin"/>
      </w:r>
      <w:r>
        <w:instrText xml:space="preserve"> PAGEREF _Toc13531 \h </w:instrText>
      </w:r>
      <w:r>
        <w:fldChar w:fldCharType="separate"/>
      </w:r>
      <w:r>
        <w:t>42</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_Toc21087 </w:instrText>
      </w:r>
      <w:r>
        <w:rPr>
          <w:rFonts w:ascii="仿宋" w:hAnsi="仿宋" w:eastAsia="仿宋"/>
        </w:rPr>
        <w:fldChar w:fldCharType="separate"/>
      </w:r>
      <w:r>
        <w:rPr>
          <w:rFonts w:hint="eastAsia" w:ascii="仿宋" w:hAnsi="仿宋" w:eastAsia="仿宋"/>
        </w:rPr>
        <w:t>第七章  响应文件格式</w:t>
      </w:r>
      <w:r>
        <w:tab/>
      </w:r>
      <w:r>
        <w:fldChar w:fldCharType="begin"/>
      </w:r>
      <w:r>
        <w:instrText xml:space="preserve"> PAGEREF _Toc21087 \h </w:instrText>
      </w:r>
      <w:r>
        <w:fldChar w:fldCharType="separate"/>
      </w:r>
      <w:r>
        <w:t>43</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_Toc13996 </w:instrText>
      </w:r>
      <w:r>
        <w:rPr>
          <w:rFonts w:ascii="仿宋" w:hAnsi="仿宋" w:eastAsia="仿宋"/>
        </w:rPr>
        <w:fldChar w:fldCharType="separate"/>
      </w:r>
      <w:r>
        <w:rPr>
          <w:rFonts w:hint="eastAsia" w:ascii="仿宋" w:hAnsi="仿宋" w:eastAsia="仿宋"/>
        </w:rPr>
        <w:t>第八章  评审方法</w:t>
      </w:r>
      <w:r>
        <w:tab/>
      </w:r>
      <w:r>
        <w:fldChar w:fldCharType="begin"/>
      </w:r>
      <w:r>
        <w:instrText xml:space="preserve"> PAGEREF _Toc13996 \h </w:instrText>
      </w:r>
      <w:r>
        <w:fldChar w:fldCharType="separate"/>
      </w:r>
      <w:r>
        <w:t>67</w:t>
      </w:r>
      <w:r>
        <w:fldChar w:fldCharType="end"/>
      </w:r>
      <w:r>
        <w:rPr>
          <w:rFonts w:ascii="仿宋" w:hAnsi="仿宋" w:eastAsia="仿宋"/>
          <w:color w:val="000000" w:themeColor="text1"/>
          <w14:textFill>
            <w14:solidFill>
              <w14:schemeClr w14:val="tx1"/>
            </w14:solidFill>
          </w14:textFill>
        </w:rPr>
        <w:fldChar w:fldCharType="end"/>
      </w:r>
    </w:p>
    <w:p>
      <w:pPr>
        <w:pStyle w:val="22"/>
        <w:tabs>
          <w:tab w:val="right" w:leader="dot" w:pos="9072"/>
        </w:tabs>
      </w:pPr>
      <w:r>
        <w:rPr>
          <w:rFonts w:ascii="仿宋" w:hAnsi="仿宋" w:eastAsia="仿宋"/>
          <w:color w:val="000000" w:themeColor="text1"/>
          <w14:textFill>
            <w14:solidFill>
              <w14:schemeClr w14:val="tx1"/>
            </w14:solidFill>
          </w14:textFill>
        </w:rPr>
        <w:fldChar w:fldCharType="begin"/>
      </w:r>
      <w:r>
        <w:rPr>
          <w:rFonts w:ascii="仿宋" w:hAnsi="仿宋" w:eastAsia="仿宋"/>
        </w:rPr>
        <w:instrText xml:space="preserve"> HYPERLINK \l _Toc17602 </w:instrText>
      </w:r>
      <w:r>
        <w:rPr>
          <w:rFonts w:ascii="仿宋" w:hAnsi="仿宋" w:eastAsia="仿宋"/>
        </w:rPr>
        <w:fldChar w:fldCharType="separate"/>
      </w:r>
      <w:r>
        <w:rPr>
          <w:rFonts w:hint="eastAsia" w:ascii="仿宋" w:hAnsi="仿宋" w:eastAsia="仿宋"/>
        </w:rPr>
        <w:t xml:space="preserve">第九章  </w:t>
      </w:r>
      <w:r>
        <w:rPr>
          <w:rFonts w:hint="eastAsia" w:ascii="仿宋" w:hAnsi="仿宋" w:eastAsia="仿宋" w:cs="仿宋"/>
          <w:bCs w:val="0"/>
        </w:rPr>
        <w:t>政府采购合同（草案）</w:t>
      </w:r>
      <w:r>
        <w:tab/>
      </w:r>
      <w:r>
        <w:fldChar w:fldCharType="begin"/>
      </w:r>
      <w:r>
        <w:instrText xml:space="preserve"> PAGEREF _Toc17602 \h </w:instrText>
      </w:r>
      <w:r>
        <w:fldChar w:fldCharType="separate"/>
      </w:r>
      <w:r>
        <w:t>76</w:t>
      </w:r>
      <w:r>
        <w:fldChar w:fldCharType="end"/>
      </w: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pStyle w:val="29"/>
        <w:rPr>
          <w:rFonts w:ascii="仿宋" w:hAnsi="仿宋" w:eastAsia="仿宋"/>
          <w:color w:val="000000" w:themeColor="text1"/>
          <w14:textFill>
            <w14:solidFill>
              <w14:schemeClr w14:val="tx1"/>
            </w14:solidFill>
          </w14:textFill>
        </w:rPr>
      </w:pPr>
      <w:bookmarkStart w:id="0" w:name="_Toc26687"/>
      <w:r>
        <w:rPr>
          <w:rFonts w:hint="eastAsia" w:ascii="仿宋" w:hAnsi="仿宋" w:eastAsia="仿宋"/>
          <w:color w:val="000000" w:themeColor="text1"/>
          <w14:textFill>
            <w14:solidFill>
              <w14:schemeClr w14:val="tx1"/>
            </w14:solidFill>
          </w14:textFill>
        </w:rPr>
        <w:t>第一章  磋商邀请</w:t>
      </w:r>
      <w:bookmarkEnd w:id="0"/>
    </w:p>
    <w:p>
      <w:pPr>
        <w:pStyle w:val="2"/>
        <w:spacing w:line="440" w:lineRule="exact"/>
        <w:rPr>
          <w:rFonts w:ascii="仿宋" w:hAnsi="仿宋" w:eastAsia="仿宋"/>
          <w:color w:val="000000" w:themeColor="text1"/>
          <w14:textFill>
            <w14:solidFill>
              <w14:schemeClr w14:val="tx1"/>
            </w14:solidFill>
          </w14:textFill>
        </w:rPr>
      </w:pPr>
    </w:p>
    <w:p>
      <w:pPr>
        <w:spacing w:line="440" w:lineRule="exact"/>
        <w:ind w:firstLine="720" w:firstLineChars="300"/>
        <w:jc w:val="left"/>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u w:val="single"/>
          <w14:textFill>
            <w14:solidFill>
              <w14:schemeClr w14:val="tx1"/>
            </w14:solidFill>
          </w14:textFill>
        </w:rPr>
        <w:t>四川兴众诚招标代理有限责任公司</w:t>
      </w:r>
      <w:r>
        <w:rPr>
          <w:rFonts w:hint="eastAsia" w:ascii="仿宋" w:hAnsi="仿宋" w:eastAsia="仿宋"/>
          <w:color w:val="000000" w:themeColor="text1"/>
          <w:sz w:val="24"/>
          <w14:textFill>
            <w14:solidFill>
              <w14:schemeClr w14:val="tx1"/>
            </w14:solidFill>
          </w14:textFill>
        </w:rPr>
        <w:t>受</w:t>
      </w:r>
      <w:r>
        <w:rPr>
          <w:rFonts w:hint="eastAsia" w:ascii="仿宋" w:hAnsi="仿宋" w:eastAsia="仿宋"/>
          <w:color w:val="000000" w:themeColor="text1"/>
          <w:sz w:val="24"/>
          <w:u w:val="single"/>
          <w14:textFill>
            <w14:solidFill>
              <w14:schemeClr w14:val="tx1"/>
            </w14:solidFill>
          </w14:textFill>
        </w:rPr>
        <w:t>四川省成都市七中育才学校</w:t>
      </w:r>
      <w:r>
        <w:rPr>
          <w:rFonts w:hint="eastAsia" w:ascii="仿宋" w:hAnsi="仿宋" w:eastAsia="仿宋"/>
          <w:color w:val="000000" w:themeColor="text1"/>
          <w:sz w:val="24"/>
          <w14:textFill>
            <w14:solidFill>
              <w14:schemeClr w14:val="tx1"/>
            </w14:solidFill>
          </w14:textFill>
        </w:rPr>
        <w:t>委托，拟对</w:t>
      </w:r>
      <w:bookmarkStart w:id="1" w:name="PO_默认文件内容_1"/>
      <w:r>
        <w:rPr>
          <w:rFonts w:hint="eastAsia" w:ascii="仿宋" w:hAnsi="仿宋" w:eastAsia="仿宋"/>
          <w:color w:val="000000" w:themeColor="text1"/>
          <w:sz w:val="24"/>
          <w:u w:val="single"/>
          <w14:textFill>
            <w14:solidFill>
              <w14:schemeClr w14:val="tx1"/>
            </w14:solidFill>
          </w14:textFill>
        </w:rPr>
        <w:t>四川省成都市七中育才学校校园视频监控系统采购项目</w:t>
      </w:r>
      <w:r>
        <w:rPr>
          <w:rFonts w:hint="eastAsia" w:ascii="仿宋" w:hAnsi="仿宋" w:eastAsia="仿宋"/>
          <w:color w:val="000000" w:themeColor="text1"/>
          <w:sz w:val="24"/>
          <w:szCs w:val="32"/>
          <w14:textFill>
            <w14:solidFill>
              <w14:schemeClr w14:val="tx1"/>
            </w14:solidFill>
          </w14:textFill>
        </w:rPr>
        <w:t>采用竞争性磋商方式</w:t>
      </w:r>
      <w:r>
        <w:rPr>
          <w:rFonts w:hint="eastAsia" w:ascii="仿宋" w:hAnsi="仿宋" w:eastAsia="仿宋"/>
          <w:color w:val="000000" w:themeColor="text1"/>
          <w:sz w:val="24"/>
          <w14:textFill>
            <w14:solidFill>
              <w14:schemeClr w14:val="tx1"/>
            </w14:solidFill>
          </w14:textFill>
        </w:rPr>
        <w:t>进行采购，特</w:t>
      </w:r>
      <w:r>
        <w:rPr>
          <w:rFonts w:hint="eastAsia" w:ascii="仿宋" w:hAnsi="仿宋" w:eastAsia="仿宋"/>
          <w:color w:val="000000" w:themeColor="text1"/>
          <w:sz w:val="24"/>
          <w:szCs w:val="28"/>
          <w14:textFill>
            <w14:solidFill>
              <w14:schemeClr w14:val="tx1"/>
            </w14:solidFill>
          </w14:textFill>
        </w:rPr>
        <w:t>邀请符合本次采购要求的供应商参加</w:t>
      </w:r>
      <w:r>
        <w:rPr>
          <w:rFonts w:hint="eastAsia" w:ascii="仿宋" w:hAnsi="仿宋" w:eastAsia="仿宋"/>
          <w:color w:val="000000" w:themeColor="text1"/>
          <w:sz w:val="24"/>
          <w14:textFill>
            <w14:solidFill>
              <w14:schemeClr w14:val="tx1"/>
            </w14:solidFill>
          </w14:textFill>
        </w:rPr>
        <w:t>本项目的竞争性磋商</w:t>
      </w:r>
      <w:r>
        <w:rPr>
          <w:rFonts w:hint="eastAsia" w:ascii="仿宋" w:hAnsi="仿宋" w:eastAsia="仿宋"/>
          <w:color w:val="000000" w:themeColor="text1"/>
          <w:sz w:val="24"/>
          <w:szCs w:val="28"/>
          <w14:textFill>
            <w14:solidFill>
              <w14:schemeClr w14:val="tx1"/>
            </w14:solidFill>
          </w14:textFill>
        </w:rPr>
        <w:t>。</w:t>
      </w:r>
      <w:bookmarkEnd w:id="1"/>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一、采购项目基本情况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1.项目编号：510104202100174</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2.采购项目名称：四川省成都市七中育才学校校园视频监控系统采购项目</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二、资金情况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1、资金来源：财政性资金</w:t>
      </w:r>
    </w:p>
    <w:p>
      <w:pPr>
        <w:spacing w:line="440" w:lineRule="exact"/>
        <w:ind w:firstLine="482" w:firstLineChars="200"/>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2、预算金额：</w:t>
      </w:r>
      <w:r>
        <w:rPr>
          <w:rFonts w:hint="eastAsia" w:ascii="仿宋" w:hAnsi="仿宋" w:eastAsia="仿宋"/>
          <w:b/>
          <w:color w:val="000000" w:themeColor="text1"/>
          <w:sz w:val="24"/>
          <w:lang w:val="en-US" w:eastAsia="zh-CN"/>
          <w14:textFill>
            <w14:solidFill>
              <w14:schemeClr w14:val="tx1"/>
            </w14:solidFill>
          </w14:textFill>
        </w:rPr>
        <w:t>148.85</w:t>
      </w:r>
      <w:r>
        <w:rPr>
          <w:rFonts w:hint="eastAsia" w:ascii="仿宋" w:hAnsi="仿宋" w:eastAsia="仿宋"/>
          <w:b/>
          <w:color w:val="000000" w:themeColor="text1"/>
          <w:sz w:val="24"/>
          <w14:textFill>
            <w14:solidFill>
              <w14:schemeClr w14:val="tx1"/>
            </w14:solidFill>
          </w14:textFill>
        </w:rPr>
        <w:t>万元</w:t>
      </w:r>
    </w:p>
    <w:p>
      <w:pPr>
        <w:spacing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采购项目简介：</w:t>
      </w:r>
    </w:p>
    <w:p>
      <w:pPr>
        <w:spacing w:after="120" w:line="440" w:lineRule="exact"/>
        <w:ind w:firstLine="482" w:firstLineChars="200"/>
        <w:rPr>
          <w:rFonts w:hint="eastAsia"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为贯彻落实教育部、省教厅、成都市教育局和公安部、省市公安局对校园安全的要求，根据我校三个校区的实际情况，满足校园监控无盲区，满足与区教育局、区公安局联网，我校拟对汇源校区、水井坊、银杏三个校区校园视频监控系统进行国内招标，选择一家合格供应商承建。</w:t>
      </w:r>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四、供应商邀请方式</w:t>
      </w:r>
    </w:p>
    <w:p>
      <w:pPr>
        <w:spacing w:after="120" w:line="360" w:lineRule="auto"/>
        <w:ind w:firstLine="480" w:firstLineChars="200"/>
        <w:jc w:val="left"/>
        <w:rPr>
          <w:rFonts w:ascii="仿宋" w:hAnsi="仿宋" w:eastAsia="仿宋"/>
          <w:bCs/>
          <w:color w:val="000000" w:themeColor="text1"/>
          <w:sz w:val="24"/>
          <w14:textFill>
            <w14:solidFill>
              <w14:schemeClr w14:val="tx1"/>
            </w14:solidFill>
          </w14:textFill>
        </w:rPr>
      </w:pPr>
      <w:bookmarkStart w:id="2" w:name="PO_默认文件内容_3"/>
      <w:r>
        <w:rPr>
          <w:rFonts w:hint="eastAsia" w:ascii="仿宋" w:hAnsi="仿宋" w:eastAsia="仿宋"/>
          <w:bCs/>
          <w:color w:val="000000" w:themeColor="text1"/>
          <w:sz w:val="24"/>
          <w14:textFill>
            <w14:solidFill>
              <w14:schemeClr w14:val="tx1"/>
            </w14:solidFill>
          </w14:textFill>
        </w:rPr>
        <w:t>本次采购采取</w:t>
      </w:r>
      <w:r>
        <w:rPr>
          <w:rFonts w:hint="eastAsia" w:ascii="仿宋" w:hAnsi="仿宋" w:eastAsia="仿宋"/>
          <w:color w:val="000000" w:themeColor="text1"/>
          <w:sz w:val="24"/>
          <w:u w:val="single"/>
          <w14:textFill>
            <w14:solidFill>
              <w14:schemeClr w14:val="tx1"/>
            </w14:solidFill>
          </w14:textFill>
        </w:rPr>
        <w:t>竞争性磋商</w:t>
      </w:r>
      <w:r>
        <w:rPr>
          <w:rFonts w:hint="eastAsia" w:ascii="仿宋" w:hAnsi="仿宋" w:eastAsia="仿宋"/>
          <w:color w:val="000000" w:themeColor="text1"/>
          <w:sz w:val="24"/>
          <w:u w:val="none"/>
          <w:lang w:val="en-US" w:eastAsia="zh-CN"/>
          <w14:textFill>
            <w14:solidFill>
              <w14:schemeClr w14:val="tx1"/>
            </w14:solidFill>
          </w14:textFill>
        </w:rPr>
        <w:t>方式</w:t>
      </w:r>
      <w:r>
        <w:rPr>
          <w:rFonts w:hint="eastAsia" w:ascii="仿宋" w:hAnsi="仿宋" w:eastAsia="仿宋"/>
          <w:bCs/>
          <w:color w:val="000000" w:themeColor="text1"/>
          <w:sz w:val="24"/>
          <w14:textFill>
            <w14:solidFill>
              <w14:schemeClr w14:val="tx1"/>
            </w14:solidFill>
          </w14:textFill>
        </w:rPr>
        <w:t>邀请参加磋商的供应商，</w:t>
      </w:r>
      <w:r>
        <w:rPr>
          <w:rFonts w:hint="eastAsia" w:ascii="仿宋" w:hAnsi="仿宋" w:eastAsia="仿宋" w:cs="仿宋"/>
          <w:bCs/>
          <w:color w:val="000000" w:themeColor="text1"/>
          <w:sz w:val="24"/>
          <w14:textFill>
            <w14:solidFill>
              <w14:schemeClr w14:val="tx1"/>
            </w14:solidFill>
          </w14:textFill>
        </w:rPr>
        <w:t>并在四川政府采购网（www.ccgp-sichuan.gov.cn）上以公告形式发布。</w:t>
      </w:r>
    </w:p>
    <w:bookmarkEnd w:id="2"/>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五、供应商参加本次政府采购活动应具备下列条件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2、具有良好的商业信誉和健全的财务会计制度；</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4、具有依法缴纳税收和社会保障资金的良好记录；</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6、法律、行政法规规定的其他条件；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7、根据采购项目的特殊要求：无；</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8、本项目参加采购活动的供应商、法定代表人/主要负责人不得具有行贿犯罪记录；</w:t>
      </w:r>
    </w:p>
    <w:p>
      <w:pPr>
        <w:tabs>
          <w:tab w:val="left" w:pos="7665"/>
        </w:tabs>
        <w:spacing w:line="360" w:lineRule="auto"/>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9、落实政府采购政策需满足的资格要求：无；</w:t>
      </w:r>
    </w:p>
    <w:p>
      <w:pPr>
        <w:tabs>
          <w:tab w:val="left" w:pos="7665"/>
        </w:tabs>
        <w:spacing w:line="360" w:lineRule="auto"/>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 xml:space="preserve"> 10、</w:t>
      </w:r>
      <w:r>
        <w:rPr>
          <w:rFonts w:hint="eastAsia" w:ascii="仿宋" w:hAnsi="仿宋" w:eastAsia="仿宋" w:cs="仿宋"/>
          <w:color w:val="000000" w:themeColor="text1"/>
          <w:sz w:val="24"/>
          <w14:textFill>
            <w14:solidFill>
              <w14:schemeClr w14:val="tx1"/>
            </w14:solidFill>
          </w14:textFill>
        </w:rPr>
        <w:t>本项目不专门面向中小企业采购</w:t>
      </w:r>
      <w:r>
        <w:rPr>
          <w:rFonts w:hint="eastAsia" w:ascii="仿宋" w:hAnsi="仿宋" w:eastAsia="仿宋" w:cs="仿宋"/>
          <w:color w:val="000000" w:themeColor="text1"/>
          <w:sz w:val="24"/>
          <w:lang w:eastAsia="zh-CN"/>
          <w14:textFill>
            <w14:solidFill>
              <w14:schemeClr w14:val="tx1"/>
            </w14:solidFill>
          </w14:textFill>
        </w:rPr>
        <w:t>；</w:t>
      </w:r>
    </w:p>
    <w:p>
      <w:pPr>
        <w:tabs>
          <w:tab w:val="left" w:pos="7665"/>
        </w:tabs>
        <w:spacing w:line="360" w:lineRule="auto"/>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、本项目不接受联合体参与磋商。</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3" w:name="PO_默认文件内容_4"/>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3"/>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七、磋商文件获取方式、时间、地点：</w:t>
      </w:r>
    </w:p>
    <w:p>
      <w:pPr>
        <w:spacing w:after="50" w:line="420" w:lineRule="exact"/>
        <w:ind w:firstLine="480" w:firstLineChars="200"/>
        <w:rPr>
          <w:rFonts w:ascii="仿宋" w:hAnsi="仿宋" w:eastAsia="仿宋" w:cs="仿宋"/>
          <w:color w:val="000000" w:themeColor="text1"/>
          <w:sz w:val="24"/>
          <w14:textFill>
            <w14:solidFill>
              <w14:schemeClr w14:val="tx1"/>
            </w14:solidFill>
          </w14:textFill>
        </w:rPr>
      </w:pPr>
      <w:bookmarkStart w:id="4" w:name="PO_默认文件内容_32"/>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磋商文件自2021年11月1</w:t>
      </w:r>
      <w:r>
        <w:rPr>
          <w:rFonts w:hint="eastAsia" w:ascii="仿宋" w:hAnsi="仿宋" w:eastAsia="仿宋" w:cs="仿宋"/>
          <w:color w:val="000000" w:themeColor="text1"/>
          <w:sz w:val="24"/>
          <w:lang w:val="en-US" w:eastAsia="zh-CN"/>
          <w14:textFill>
            <w14:solidFill>
              <w14:schemeClr w14:val="tx1"/>
            </w14:solidFill>
          </w14:textFill>
        </w:rPr>
        <w:t>5</w:t>
      </w:r>
      <w:r>
        <w:rPr>
          <w:rFonts w:hint="eastAsia" w:ascii="仿宋" w:hAnsi="仿宋" w:eastAsia="仿宋" w:cs="仿宋"/>
          <w:color w:val="000000" w:themeColor="text1"/>
          <w:sz w:val="24"/>
          <w14:textFill>
            <w14:solidFill>
              <w14:schemeClr w14:val="tx1"/>
            </w14:solidFill>
          </w14:textFill>
        </w:rPr>
        <w:t>日至2021年11月1</w:t>
      </w:r>
      <w:r>
        <w:rPr>
          <w:rFonts w:hint="eastAsia" w:ascii="仿宋" w:hAnsi="仿宋" w:eastAsia="仿宋" w:cs="仿宋"/>
          <w:color w:val="000000" w:themeColor="text1"/>
          <w:sz w:val="24"/>
          <w:lang w:val="en-US" w:eastAsia="zh-CN"/>
          <w14:textFill>
            <w14:solidFill>
              <w14:schemeClr w14:val="tx1"/>
            </w14:solidFill>
          </w14:textFill>
        </w:rPr>
        <w:t>9</w:t>
      </w:r>
      <w:r>
        <w:rPr>
          <w:rFonts w:hint="eastAsia" w:ascii="仿宋" w:hAnsi="仿宋" w:eastAsia="仿宋" w:cs="仿宋"/>
          <w:color w:val="000000" w:themeColor="text1"/>
          <w:sz w:val="24"/>
          <w14:textFill>
            <w14:solidFill>
              <w14:schemeClr w14:val="tx1"/>
            </w14:solidFill>
          </w14:textFill>
        </w:rPr>
        <w:t>日每天上午</w:t>
      </w:r>
      <w:r>
        <w:rPr>
          <w:rFonts w:hint="eastAsia" w:ascii="仿宋" w:hAnsi="仿宋" w:eastAsia="仿宋" w:cs="仿宋"/>
          <w:color w:val="000000" w:themeColor="text1"/>
          <w:sz w:val="24"/>
          <w:lang w:val="en-US" w:eastAsia="zh-CN"/>
          <w14:textFill>
            <w14:solidFill>
              <w14:schemeClr w14:val="tx1"/>
            </w14:solidFill>
          </w14:textFill>
        </w:rPr>
        <w:t>00</w:t>
      </w:r>
      <w:r>
        <w:rPr>
          <w:rFonts w:hint="eastAsia" w:ascii="仿宋" w:hAnsi="仿宋" w:eastAsia="仿宋" w:cs="仿宋"/>
          <w:color w:val="000000" w:themeColor="text1"/>
          <w:sz w:val="24"/>
          <w14:textFill>
            <w14:solidFill>
              <w14:schemeClr w14:val="tx1"/>
            </w14:solidFill>
          </w14:textFill>
        </w:rPr>
        <w:t>:00-12:00，下午1</w:t>
      </w:r>
      <w:r>
        <w:rPr>
          <w:rFonts w:hint="eastAsia" w:ascii="仿宋" w:hAnsi="仿宋" w:eastAsia="仿宋" w:cs="仿宋"/>
          <w:color w:val="000000" w:themeColor="text1"/>
          <w:sz w:val="24"/>
          <w:lang w:val="en-US" w:eastAsia="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:00-</w:t>
      </w:r>
      <w:r>
        <w:rPr>
          <w:rFonts w:hint="eastAsia" w:ascii="仿宋" w:hAnsi="仿宋" w:eastAsia="仿宋" w:cs="仿宋"/>
          <w:color w:val="000000" w:themeColor="text1"/>
          <w:sz w:val="24"/>
          <w:lang w:val="en-US" w:eastAsia="zh-CN"/>
          <w14:textFill>
            <w14:solidFill>
              <w14:schemeClr w14:val="tx1"/>
            </w14:solidFill>
          </w14:textFill>
        </w:rPr>
        <w:t>23</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en-US" w:eastAsia="zh-CN"/>
          <w14:textFill>
            <w14:solidFill>
              <w14:schemeClr w14:val="tx1"/>
            </w14:solidFill>
          </w14:textFill>
        </w:rPr>
        <w:t>59</w:t>
      </w:r>
      <w:r>
        <w:rPr>
          <w:rFonts w:hint="eastAsia" w:ascii="仿宋" w:hAnsi="仿宋" w:eastAsia="仿宋" w:cs="仿宋"/>
          <w:color w:val="000000" w:themeColor="text1"/>
          <w:sz w:val="24"/>
          <w14:textFill>
            <w14:solidFill>
              <w14:schemeClr w14:val="tx1"/>
            </w14:solidFill>
          </w14:textFill>
        </w:rPr>
        <w:t>（北京时间，节假日除外）</w:t>
      </w:r>
      <w:r>
        <w:rPr>
          <w:rFonts w:hint="eastAsia" w:ascii="仿宋" w:hAnsi="仿宋" w:eastAsia="仿宋" w:cs="仿宋"/>
          <w:color w:val="000000" w:themeColor="text1"/>
          <w:sz w:val="24"/>
          <w:lang w:val="en-US" w:eastAsia="zh-CN"/>
          <w14:textFill>
            <w14:solidFill>
              <w14:schemeClr w14:val="tx1"/>
            </w14:solidFill>
          </w14:textFill>
        </w:rPr>
        <w:t>获取</w:t>
      </w:r>
      <w:r>
        <w:rPr>
          <w:rFonts w:hint="eastAsia" w:ascii="仿宋" w:hAnsi="仿宋" w:eastAsia="仿宋" w:cs="仿宋"/>
          <w:color w:val="000000" w:themeColor="text1"/>
          <w:sz w:val="24"/>
          <w14:textFill>
            <w14:solidFill>
              <w14:schemeClr w14:val="tx1"/>
            </w14:solidFill>
          </w14:textFill>
        </w:rPr>
        <w:t>。</w:t>
      </w:r>
    </w:p>
    <w:bookmarkEnd w:id="4"/>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2、磋商文件获取方式：供应商须在“政府采购云平台”注册后，从“政府采购云平台”获取采购文件（网址：https://www.zcygov.cn）。登录政府采购云平台—项目采购—获取采购文件—申请获取采购文件。</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提示：</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（1）本项目磋商文件免费获取。</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（2）供应商只有在“政府采购云平台”完成获取磋商文件申请并下载磋商文件后才视作依法参与本项目。如未在“政府采购云平台”内完成相关流程，引起的无效行为责任自负。</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（3）政府采购云平台供应商注册地址：</w:t>
      </w:r>
    </w:p>
    <w:p>
      <w:pPr>
        <w:spacing w:after="120" w:line="440" w:lineRule="exact"/>
        <w:ind w:firstLine="480" w:firstLineChars="200"/>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fldChar w:fldCharType="begin"/>
      </w:r>
      <w:r>
        <w:rPr>
          <w:rFonts w:hint="eastAsia" w:ascii="仿宋" w:hAnsi="仿宋" w:eastAsia="仿宋" w:cs="仿宋"/>
          <w:color w:val="000000" w:themeColor="text1"/>
          <w:sz w:val="24"/>
          <w:szCs w:val="24"/>
          <w:highlight w:val="none"/>
          <w:lang w:val="en-US" w:eastAsia="zh-CN"/>
          <w14:textFill>
            <w14:solidFill>
              <w14:schemeClr w14:val="tx1"/>
            </w14:solidFill>
          </w14:textFill>
        </w:rPr>
        <w:instrText xml:space="preserve"> HYPERLINK "https://middle.zcygov.cn/v-settle-front/registry" </w:instrText>
      </w:r>
      <w:r>
        <w:rPr>
          <w:rFonts w:hint="eastAsia" w:ascii="仿宋" w:hAnsi="仿宋" w:eastAsia="仿宋" w:cs="仿宋"/>
          <w:color w:val="000000" w:themeColor="text1"/>
          <w:sz w:val="24"/>
          <w:szCs w:val="24"/>
          <w:highlight w:val="none"/>
          <w:lang w:val="en-US" w:eastAsia="zh-CN"/>
          <w14:textFill>
            <w14:solidFill>
              <w14:schemeClr w14:val="tx1"/>
            </w14:solidFill>
          </w14:textFill>
        </w:rPr>
        <w:fldChar w:fldCharType="separate"/>
      </w:r>
      <w:r>
        <w:rPr>
          <w:rStyle w:val="39"/>
          <w:rFonts w:hint="eastAsia" w:ascii="仿宋" w:hAnsi="仿宋" w:eastAsia="仿宋" w:cs="仿宋"/>
          <w:color w:val="000000" w:themeColor="text1"/>
          <w:sz w:val="24"/>
          <w:szCs w:val="24"/>
          <w:highlight w:val="none"/>
          <w:lang w:val="en-US" w:eastAsia="zh-CN"/>
          <w14:textFill>
            <w14:solidFill>
              <w14:schemeClr w14:val="tx1"/>
            </w14:solidFill>
          </w14:textFill>
        </w:rPr>
        <w:t>https://middle.zcygov.cn/v-settle-front/registry</w:t>
      </w:r>
      <w:r>
        <w:rPr>
          <w:rFonts w:hint="eastAsia" w:ascii="仿宋" w:hAnsi="仿宋" w:eastAsia="仿宋" w:cs="仿宋"/>
          <w:color w:val="000000" w:themeColor="text1"/>
          <w:sz w:val="24"/>
          <w:szCs w:val="24"/>
          <w:highlight w:val="none"/>
          <w:lang w:val="en-US" w:eastAsia="zh-CN"/>
          <w14:textFill>
            <w14:solidFill>
              <w14:schemeClr w14:val="tx1"/>
            </w14:solidFill>
          </w14:textFill>
        </w:rPr>
        <w:fldChar w:fldCharType="end"/>
      </w:r>
    </w:p>
    <w:p>
      <w:pPr>
        <w:spacing w:after="120"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八、递交响应文件</w:t>
      </w:r>
      <w:r>
        <w:rPr>
          <w:rFonts w:hint="eastAsia" w:ascii="仿宋" w:hAnsi="仿宋" w:eastAsia="仿宋"/>
          <w:b/>
          <w:color w:val="000000" w:themeColor="text1"/>
          <w:sz w:val="24"/>
          <w14:textFill>
            <w14:solidFill>
              <w14:schemeClr w14:val="tx1"/>
            </w14:solidFill>
          </w14:textFill>
        </w:rPr>
        <w:t>截止时间(参加</w:t>
      </w:r>
      <w:r>
        <w:rPr>
          <w:rFonts w:ascii="仿宋" w:hAnsi="仿宋" w:eastAsia="仿宋"/>
          <w:b/>
          <w:color w:val="000000" w:themeColor="text1"/>
          <w:sz w:val="24"/>
          <w14:textFill>
            <w14:solidFill>
              <w14:schemeClr w14:val="tx1"/>
            </w14:solidFill>
          </w14:textFill>
        </w:rPr>
        <w:t>磋商的时间</w:t>
      </w:r>
      <w:r>
        <w:rPr>
          <w:rFonts w:hint="eastAsia" w:ascii="仿宋" w:hAnsi="仿宋" w:eastAsia="仿宋"/>
          <w:b/>
          <w:color w:val="000000" w:themeColor="text1"/>
          <w:sz w:val="24"/>
          <w14:textFill>
            <w14:solidFill>
              <w14:schemeClr w14:val="tx1"/>
            </w14:solidFill>
          </w14:textFill>
        </w:rPr>
        <w:t>)：2021年11月</w:t>
      </w:r>
      <w:r>
        <w:rPr>
          <w:rFonts w:hint="eastAsia" w:ascii="仿宋" w:hAnsi="仿宋" w:eastAsia="仿宋"/>
          <w:b/>
          <w:color w:val="000000" w:themeColor="text1"/>
          <w:sz w:val="24"/>
          <w:lang w:val="en-US" w:eastAsia="zh-CN"/>
          <w14:textFill>
            <w14:solidFill>
              <w14:schemeClr w14:val="tx1"/>
            </w14:solidFill>
          </w14:textFill>
        </w:rPr>
        <w:t>30</w:t>
      </w:r>
      <w:r>
        <w:rPr>
          <w:rFonts w:hint="eastAsia" w:ascii="仿宋" w:hAnsi="仿宋" w:eastAsia="仿宋"/>
          <w:b/>
          <w:color w:val="000000" w:themeColor="text1"/>
          <w:sz w:val="24"/>
          <w14:textFill>
            <w14:solidFill>
              <w14:schemeClr w14:val="tx1"/>
            </w14:solidFill>
          </w14:textFill>
        </w:rPr>
        <w:t>日</w:t>
      </w:r>
      <w:r>
        <w:rPr>
          <w:rFonts w:hint="eastAsia" w:ascii="仿宋" w:hAnsi="仿宋" w:eastAsia="仿宋"/>
          <w:b/>
          <w:color w:val="000000" w:themeColor="text1"/>
          <w:sz w:val="24"/>
          <w:lang w:val="en-US" w:eastAsia="zh-CN"/>
          <w14:textFill>
            <w14:solidFill>
              <w14:schemeClr w14:val="tx1"/>
            </w14:solidFill>
          </w14:textFill>
        </w:rPr>
        <w:t>上</w:t>
      </w:r>
      <w:r>
        <w:rPr>
          <w:rFonts w:hint="eastAsia" w:ascii="仿宋" w:hAnsi="仿宋" w:eastAsia="仿宋"/>
          <w:b/>
          <w:color w:val="000000" w:themeColor="text1"/>
          <w:sz w:val="24"/>
          <w14:textFill>
            <w14:solidFill>
              <w14:schemeClr w14:val="tx1"/>
            </w14:solidFill>
          </w14:textFill>
        </w:rPr>
        <w:t>午</w:t>
      </w:r>
      <w:r>
        <w:rPr>
          <w:rFonts w:hint="eastAsia" w:ascii="仿宋" w:hAnsi="仿宋" w:eastAsia="仿宋"/>
          <w:b/>
          <w:color w:val="000000" w:themeColor="text1"/>
          <w:sz w:val="24"/>
          <w:lang w:val="en-US" w:eastAsia="zh-CN"/>
          <w14:textFill>
            <w14:solidFill>
              <w14:schemeClr w14:val="tx1"/>
            </w14:solidFill>
          </w14:textFill>
        </w:rPr>
        <w:t>09</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lang w:val="en-US" w:eastAsia="zh-CN"/>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0（北京时间）</w:t>
      </w:r>
      <w:r>
        <w:rPr>
          <w:rFonts w:hint="eastAsia" w:ascii="仿宋" w:hAnsi="仿宋" w:eastAsia="仿宋"/>
          <w:b/>
          <w:bCs/>
          <w:color w:val="000000" w:themeColor="text1"/>
          <w:sz w:val="24"/>
          <w:szCs w:val="28"/>
          <w14:textFill>
            <w14:solidFill>
              <w14:schemeClr w14:val="tx1"/>
            </w14:solidFill>
          </w14:textFill>
        </w:rPr>
        <w:t>。</w:t>
      </w:r>
      <w:bookmarkStart w:id="5" w:name="PO_默认文件内容_7"/>
      <w:r>
        <w:rPr>
          <w:rFonts w:hint="eastAsia" w:ascii="仿宋" w:hAnsi="仿宋" w:eastAsia="仿宋"/>
          <w:color w:val="000000" w:themeColor="text1"/>
          <w:sz w:val="24"/>
          <w14:textFill>
            <w14:solidFill>
              <w14:schemeClr w14:val="tx1"/>
            </w14:solidFill>
          </w14:textFill>
        </w:rPr>
        <w:t>响应文件必须在递交响应文件截止时间前送达磋商地点。逾期送达或没有密封的响应文件恕不接收。本次采购不接收邮寄的响应文件。</w:t>
      </w:r>
      <w:bookmarkEnd w:id="5"/>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lang w:val="en-US" w:eastAsia="zh-CN"/>
          <w14:textFill>
            <w14:solidFill>
              <w14:schemeClr w14:val="tx1"/>
            </w14:solidFill>
          </w14:textFill>
        </w:rPr>
        <w:t>九</w:t>
      </w:r>
      <w:r>
        <w:rPr>
          <w:rFonts w:hint="eastAsia" w:ascii="仿宋" w:hAnsi="仿宋" w:eastAsia="仿宋"/>
          <w:b/>
          <w:color w:val="000000" w:themeColor="text1"/>
          <w:sz w:val="24"/>
          <w:szCs w:val="28"/>
          <w14:textFill>
            <w14:solidFill>
              <w14:schemeClr w14:val="tx1"/>
            </w14:solidFill>
          </w14:textFill>
        </w:rPr>
        <w:t>、响应文件开启时间：</w:t>
      </w:r>
      <w:r>
        <w:rPr>
          <w:rFonts w:hint="eastAsia" w:ascii="仿宋" w:hAnsi="仿宋" w:eastAsia="仿宋"/>
          <w:b/>
          <w:color w:val="000000" w:themeColor="text1"/>
          <w:sz w:val="24"/>
          <w14:textFill>
            <w14:solidFill>
              <w14:schemeClr w14:val="tx1"/>
            </w14:solidFill>
          </w14:textFill>
        </w:rPr>
        <w:t>2021年11月</w:t>
      </w:r>
      <w:r>
        <w:rPr>
          <w:rFonts w:hint="eastAsia" w:ascii="仿宋" w:hAnsi="仿宋" w:eastAsia="仿宋"/>
          <w:b/>
          <w:color w:val="000000" w:themeColor="text1"/>
          <w:sz w:val="24"/>
          <w:lang w:val="en-US" w:eastAsia="zh-CN"/>
          <w14:textFill>
            <w14:solidFill>
              <w14:schemeClr w14:val="tx1"/>
            </w14:solidFill>
          </w14:textFill>
        </w:rPr>
        <w:t>30</w:t>
      </w:r>
      <w:r>
        <w:rPr>
          <w:rFonts w:hint="eastAsia" w:ascii="仿宋" w:hAnsi="仿宋" w:eastAsia="仿宋"/>
          <w:b/>
          <w:color w:val="000000" w:themeColor="text1"/>
          <w:sz w:val="24"/>
          <w14:textFill>
            <w14:solidFill>
              <w14:schemeClr w14:val="tx1"/>
            </w14:solidFill>
          </w14:textFill>
        </w:rPr>
        <w:t>日</w:t>
      </w:r>
      <w:r>
        <w:rPr>
          <w:rFonts w:hint="eastAsia" w:ascii="仿宋" w:hAnsi="仿宋" w:eastAsia="仿宋"/>
          <w:b/>
          <w:color w:val="000000" w:themeColor="text1"/>
          <w:sz w:val="24"/>
          <w:lang w:val="en-US" w:eastAsia="zh-CN"/>
          <w14:textFill>
            <w14:solidFill>
              <w14:schemeClr w14:val="tx1"/>
            </w14:solidFill>
          </w14:textFill>
        </w:rPr>
        <w:t>上</w:t>
      </w:r>
      <w:r>
        <w:rPr>
          <w:rFonts w:hint="eastAsia" w:ascii="仿宋" w:hAnsi="仿宋" w:eastAsia="仿宋"/>
          <w:b/>
          <w:color w:val="000000" w:themeColor="text1"/>
          <w:sz w:val="24"/>
          <w14:textFill>
            <w14:solidFill>
              <w14:schemeClr w14:val="tx1"/>
            </w14:solidFill>
          </w14:textFill>
        </w:rPr>
        <w:t>午</w:t>
      </w:r>
      <w:r>
        <w:rPr>
          <w:rFonts w:hint="eastAsia" w:ascii="仿宋" w:hAnsi="仿宋" w:eastAsia="仿宋"/>
          <w:b/>
          <w:color w:val="000000" w:themeColor="text1"/>
          <w:sz w:val="24"/>
          <w:lang w:val="en-US" w:eastAsia="zh-CN"/>
          <w14:textFill>
            <w14:solidFill>
              <w14:schemeClr w14:val="tx1"/>
            </w14:solidFill>
          </w14:textFill>
        </w:rPr>
        <w:t>09</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lang w:val="en-US" w:eastAsia="zh-CN"/>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0（北京时间）</w:t>
      </w:r>
      <w:r>
        <w:rPr>
          <w:rFonts w:hint="eastAsia" w:ascii="仿宋" w:hAnsi="仿宋" w:eastAsia="仿宋"/>
          <w:color w:val="000000" w:themeColor="text1"/>
          <w:sz w:val="24"/>
          <w:szCs w:val="28"/>
          <w14:textFill>
            <w14:solidFill>
              <w14:schemeClr w14:val="tx1"/>
            </w14:solidFill>
          </w14:textFill>
        </w:rPr>
        <w:t>在磋商地点开启。</w:t>
      </w:r>
    </w:p>
    <w:p>
      <w:pPr>
        <w:spacing w:line="44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十、磋商</w:t>
      </w:r>
      <w:r>
        <w:rPr>
          <w:rFonts w:ascii="仿宋" w:hAnsi="仿宋" w:eastAsia="仿宋"/>
          <w:b/>
          <w:color w:val="000000" w:themeColor="text1"/>
          <w:sz w:val="24"/>
          <w:szCs w:val="28"/>
          <w14:textFill>
            <w14:solidFill>
              <w14:schemeClr w14:val="tx1"/>
            </w14:solidFill>
          </w14:textFill>
        </w:rPr>
        <w:t>地点：</w:t>
      </w:r>
      <w:r>
        <w:rPr>
          <w:rFonts w:hint="eastAsia" w:ascii="仿宋" w:hAnsi="仿宋" w:eastAsia="仿宋"/>
          <w:b/>
          <w:color w:val="000000" w:themeColor="text1"/>
          <w:sz w:val="24"/>
          <w:szCs w:val="28"/>
          <w14:textFill>
            <w14:solidFill>
              <w14:schemeClr w14:val="tx1"/>
            </w14:solidFill>
          </w14:textFill>
        </w:rPr>
        <w:t>四川兴众诚招标代理有限责任公司</w:t>
      </w:r>
      <w:r>
        <w:rPr>
          <w:rFonts w:hint="eastAsia" w:ascii="仿宋" w:hAnsi="仿宋" w:eastAsia="仿宋"/>
          <w:b/>
          <w:bCs/>
          <w:color w:val="000000" w:themeColor="text1"/>
          <w:sz w:val="24"/>
          <w14:textFill>
            <w14:solidFill>
              <w14:schemeClr w14:val="tx1"/>
            </w14:solidFill>
          </w14:textFill>
        </w:rPr>
        <w:t>（成都市航空路6号丰德国际广场B座1单元701室）</w:t>
      </w:r>
      <w:r>
        <w:rPr>
          <w:rFonts w:hint="eastAsia" w:ascii="仿宋" w:hAnsi="仿宋" w:eastAsia="仿宋"/>
          <w:color w:val="000000" w:themeColor="text1"/>
          <w:sz w:val="24"/>
          <w:szCs w:val="28"/>
          <w14:textFill>
            <w14:solidFill>
              <w14:schemeClr w14:val="tx1"/>
            </w14:solidFill>
          </w14:textFill>
        </w:rPr>
        <w:t>。</w:t>
      </w:r>
    </w:p>
    <w:p>
      <w:pPr>
        <w:pStyle w:val="50"/>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、供应商信用融资：</w:t>
      </w:r>
    </w:p>
    <w:p>
      <w:pPr>
        <w:pStyle w:val="50"/>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50"/>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pPr>
        <w:pStyle w:val="50"/>
        <w:spacing w:line="44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二</w:t>
      </w:r>
      <w:r>
        <w:rPr>
          <w:rFonts w:hint="eastAsia" w:ascii="仿宋" w:hAnsi="仿宋" w:eastAsia="仿宋"/>
          <w:b/>
          <w:color w:val="000000" w:themeColor="text1"/>
          <w:sz w:val="24"/>
          <w14:textFill>
            <w14:solidFill>
              <w14:schemeClr w14:val="tx1"/>
            </w14:solidFill>
          </w14:textFill>
        </w:rPr>
        <w:t>、联系方式</w:t>
      </w:r>
    </w:p>
    <w:p>
      <w:pPr>
        <w:spacing w:line="420" w:lineRule="exact"/>
        <w:ind w:firstLine="851" w:firstLineChars="353"/>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：四川省成都市七中育才学校</w:t>
      </w:r>
    </w:p>
    <w:p>
      <w:pPr>
        <w:tabs>
          <w:tab w:val="center" w:pos="5109"/>
        </w:tabs>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址：成都市锦江区汇泉南路336号</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w:t>
      </w:r>
      <w:r>
        <w:rPr>
          <w:rFonts w:hint="eastAsia" w:ascii="仿宋" w:hAnsi="仿宋" w:eastAsia="仿宋"/>
          <w:color w:val="000000" w:themeColor="text1"/>
          <w:sz w:val="24"/>
          <w:lang w:val="en-US" w:eastAsia="zh-CN"/>
          <w14:textFill>
            <w14:solidFill>
              <w14:schemeClr w14:val="tx1"/>
            </w14:solidFill>
          </w14:textFill>
        </w:rPr>
        <w:t>赵</w:t>
      </w:r>
      <w:r>
        <w:rPr>
          <w:rFonts w:hint="eastAsia" w:ascii="仿宋" w:hAnsi="仿宋" w:eastAsia="仿宋"/>
          <w:color w:val="000000" w:themeColor="text1"/>
          <w:sz w:val="24"/>
          <w14:textFill>
            <w14:solidFill>
              <w14:schemeClr w14:val="tx1"/>
            </w14:solidFill>
          </w14:textFill>
        </w:rPr>
        <w:t>老师</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联系电话：028-61113156</w:t>
      </w:r>
    </w:p>
    <w:p>
      <w:pPr>
        <w:spacing w:line="420" w:lineRule="exact"/>
        <w:ind w:firstLine="847" w:firstLineChars="353"/>
        <w:rPr>
          <w:rFonts w:ascii="仿宋" w:hAnsi="仿宋" w:eastAsia="仿宋"/>
          <w:color w:val="000000" w:themeColor="text1"/>
          <w:sz w:val="24"/>
          <w14:textFill>
            <w14:solidFill>
              <w14:schemeClr w14:val="tx1"/>
            </w14:solidFill>
          </w14:textFill>
        </w:rPr>
      </w:pPr>
    </w:p>
    <w:p>
      <w:pPr>
        <w:spacing w:line="420" w:lineRule="exact"/>
        <w:ind w:firstLine="851" w:firstLineChars="353"/>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采购代理机构：四川兴众诚招标代理有限责任公司</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址：成都市航空路6号丰德国际广场B座1单元701室</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610041</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人：聂先生</w:t>
      </w:r>
    </w:p>
    <w:p>
      <w:pPr>
        <w:pStyle w:val="50"/>
        <w:spacing w:line="44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联系电话：028-81263789</w:t>
      </w:r>
    </w:p>
    <w:p>
      <w:pPr>
        <w:widowControl/>
        <w:jc w:val="left"/>
        <w:rPr>
          <w:rFonts w:ascii="仿宋" w:hAnsi="仿宋" w:eastAsia="仿宋"/>
          <w:color w:val="000000" w:themeColor="text1"/>
          <w:sz w:val="24"/>
          <w:szCs w:val="28"/>
          <w14:textFill>
            <w14:solidFill>
              <w14:schemeClr w14:val="tx1"/>
            </w14:solidFill>
          </w14:textFill>
        </w:rPr>
      </w:pPr>
      <w:bookmarkStart w:id="6" w:name="_Toc213397009"/>
      <w:bookmarkStart w:id="7" w:name="_Toc213496267"/>
      <w:bookmarkStart w:id="8" w:name="_Toc217446031"/>
      <w:bookmarkStart w:id="9" w:name="_Toc213396945"/>
      <w:bookmarkStart w:id="10" w:name="_Toc213396759"/>
      <w:r>
        <w:rPr>
          <w:rFonts w:ascii="仿宋" w:hAnsi="仿宋" w:eastAsia="仿宋"/>
          <w:b/>
          <w:bCs/>
          <w:color w:val="000000" w:themeColor="text1"/>
          <w:sz w:val="24"/>
          <w:szCs w:val="28"/>
          <w14:textFill>
            <w14:solidFill>
              <w14:schemeClr w14:val="tx1"/>
            </w14:solidFill>
          </w14:textFill>
        </w:rPr>
        <w:br w:type="page"/>
      </w:r>
    </w:p>
    <w:p>
      <w:pPr>
        <w:pStyle w:val="29"/>
        <w:rPr>
          <w:rFonts w:ascii="仿宋" w:hAnsi="仿宋" w:eastAsia="仿宋"/>
          <w:color w:val="000000" w:themeColor="text1"/>
          <w14:textFill>
            <w14:solidFill>
              <w14:schemeClr w14:val="tx1"/>
            </w14:solidFill>
          </w14:textFill>
        </w:rPr>
      </w:pPr>
      <w:bookmarkStart w:id="11" w:name="_Toc8057"/>
      <w:r>
        <w:rPr>
          <w:rFonts w:hint="eastAsia" w:ascii="仿宋" w:hAnsi="仿宋" w:eastAsia="仿宋"/>
          <w:color w:val="000000" w:themeColor="text1"/>
          <w14:textFill>
            <w14:solidFill>
              <w14:schemeClr w14:val="tx1"/>
            </w14:solidFill>
          </w14:textFill>
        </w:rPr>
        <w:t>第二章  磋商须知</w:t>
      </w:r>
      <w:bookmarkEnd w:id="6"/>
      <w:bookmarkEnd w:id="7"/>
      <w:bookmarkEnd w:id="8"/>
      <w:bookmarkEnd w:id="9"/>
      <w:bookmarkEnd w:id="10"/>
      <w:bookmarkEnd w:id="11"/>
    </w:p>
    <w:p>
      <w:pPr>
        <w:pStyle w:val="4"/>
        <w:keepNext w:val="0"/>
        <w:keepLines w:val="0"/>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一、供应商须知附表</w:t>
      </w:r>
    </w:p>
    <w:tbl>
      <w:tblPr>
        <w:tblStyle w:val="32"/>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left="9"/>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序号</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应知事项</w:t>
            </w:r>
          </w:p>
        </w:tc>
        <w:tc>
          <w:tcPr>
            <w:tcW w:w="6084" w:type="dxa"/>
            <w:vAlign w:val="center"/>
          </w:tcPr>
          <w:p>
            <w:pPr>
              <w:pStyle w:val="54"/>
              <w:spacing w:line="360" w:lineRule="auto"/>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采购预算</w:t>
            </w:r>
          </w:p>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bookmarkStart w:id="12" w:name="PO_预算分包信息_1"/>
            <w:r>
              <w:rPr>
                <w:rFonts w:ascii="仿宋" w:hAnsi="仿宋" w:eastAsia="仿宋"/>
                <w:color w:val="000000" w:themeColor="text1"/>
                <w:kern w:val="0"/>
                <w:szCs w:val="21"/>
                <w14:textFill>
                  <w14:solidFill>
                    <w14:schemeClr w14:val="tx1"/>
                  </w14:solidFill>
                </w14:textFill>
              </w:rPr>
              <w:t>预算金额</w:t>
            </w:r>
            <w:r>
              <w:rPr>
                <w:rFonts w:hint="eastAsia" w:ascii="仿宋" w:hAnsi="仿宋" w:eastAsia="仿宋"/>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lang w:val="en-US" w:eastAsia="zh-CN"/>
                <w14:textFill>
                  <w14:solidFill>
                    <w14:schemeClr w14:val="tx1"/>
                  </w14:solidFill>
                </w14:textFill>
              </w:rPr>
              <w:t>148.85</w:t>
            </w:r>
            <w:r>
              <w:rPr>
                <w:rFonts w:ascii="仿宋" w:hAnsi="仿宋" w:eastAsia="仿宋"/>
                <w:color w:val="000000" w:themeColor="text1"/>
                <w:kern w:val="0"/>
                <w:szCs w:val="21"/>
                <w14:textFill>
                  <w14:solidFill>
                    <w14:schemeClr w14:val="tx1"/>
                  </w14:solidFill>
                </w14:textFill>
              </w:rPr>
              <w:t>万元</w:t>
            </w:r>
            <w:bookmarkEnd w:id="12"/>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2</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最高限价</w:t>
            </w:r>
          </w:p>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widowControl/>
              <w:adjustRightInd w:val="0"/>
              <w:snapToGrid w:val="0"/>
              <w:spacing w:line="360" w:lineRule="auto"/>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最高</w:t>
            </w:r>
            <w:r>
              <w:rPr>
                <w:rFonts w:ascii="仿宋" w:hAnsi="仿宋" w:eastAsia="仿宋"/>
                <w:color w:val="000000" w:themeColor="text1"/>
                <w:kern w:val="0"/>
                <w:szCs w:val="21"/>
                <w14:textFill>
                  <w14:solidFill>
                    <w14:schemeClr w14:val="tx1"/>
                  </w14:solidFill>
                </w14:textFill>
              </w:rPr>
              <w:t>限价</w:t>
            </w:r>
            <w:r>
              <w:rPr>
                <w:rFonts w:hint="eastAsia" w:ascii="仿宋" w:hAnsi="仿宋" w:eastAsia="仿宋"/>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lang w:val="en-US" w:eastAsia="zh-CN"/>
                <w14:textFill>
                  <w14:solidFill>
                    <w14:schemeClr w14:val="tx1"/>
                  </w14:solidFill>
                </w14:textFill>
              </w:rPr>
              <w:t>148.85</w:t>
            </w:r>
            <w:r>
              <w:rPr>
                <w:rFonts w:ascii="仿宋" w:hAnsi="仿宋" w:eastAsia="仿宋"/>
                <w:color w:val="000000" w:themeColor="text1"/>
                <w:kern w:val="0"/>
                <w:szCs w:val="21"/>
                <w14:textFill>
                  <w14:solidFill>
                    <w14:schemeClr w14:val="tx1"/>
                  </w14:solidFill>
                </w14:textFill>
              </w:rPr>
              <w:t>万元</w:t>
            </w:r>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bookmarkStart w:id="13" w:name="PO_默认文件内容_21"/>
            <w:r>
              <w:rPr>
                <w:rFonts w:hint="eastAsia" w:ascii="仿宋" w:hAnsi="仿宋" w:eastAsia="仿宋"/>
                <w:color w:val="000000" w:themeColor="text1"/>
                <w:sz w:val="21"/>
                <w:szCs w:val="21"/>
                <w:lang w:val="zh-CN"/>
                <w14:textFill>
                  <w14:solidFill>
                    <w14:schemeClr w14:val="tx1"/>
                  </w14:solidFill>
                </w14:textFill>
              </w:rPr>
              <w:t>超过最高限价的报价,其响应文件按无效处理。</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w:t>
            </w:r>
          </w:p>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（本项目不适用）</w:t>
            </w:r>
          </w:p>
        </w:tc>
        <w:tc>
          <w:tcPr>
            <w:tcW w:w="6084" w:type="dxa"/>
            <w:vAlign w:val="center"/>
          </w:tcPr>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bookmarkStart w:id="14" w:name="PO_默认文件内容_8"/>
            <w:r>
              <w:rPr>
                <w:rFonts w:hint="eastAsia" w:ascii="仿宋" w:hAnsi="仿宋" w:eastAsia="仿宋"/>
                <w:color w:val="000000" w:themeColor="text1"/>
                <w:sz w:val="21"/>
                <w:szCs w:val="21"/>
                <w14:textFill>
                  <w14:solidFill>
                    <w14:schemeClr w14:val="tx1"/>
                  </w14:solidFill>
                </w14:textFill>
              </w:rPr>
              <w:t>本项目竞争性磋商文件中未载明“允许采购进口产品”的产品，拒绝进口产品参与竞争，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w:t>
            </w:r>
            <w:r>
              <w:rPr>
                <w:rFonts w:hint="eastAsia" w:ascii="仿宋" w:hAnsi="仿宋" w:eastAsia="仿宋"/>
                <w:color w:val="000000" w:themeColor="text1"/>
                <w:sz w:val="21"/>
                <w:szCs w:val="21"/>
                <w14:textFill>
                  <w14:solidFill>
                    <w14:schemeClr w14:val="tx1"/>
                  </w14:solidFill>
                </w14:textFill>
              </w:rPr>
              <w:t>响应时</w:t>
            </w:r>
            <w:r>
              <w:rPr>
                <w:rFonts w:ascii="仿宋" w:hAnsi="仿宋" w:eastAsia="仿宋"/>
                <w:color w:val="000000" w:themeColor="text1"/>
                <w:sz w:val="21"/>
                <w:szCs w:val="21"/>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其响应</w:t>
            </w:r>
            <w:r>
              <w:rPr>
                <w:rFonts w:ascii="仿宋" w:hAnsi="仿宋" w:eastAsia="仿宋"/>
                <w:color w:val="000000" w:themeColor="text1"/>
                <w:sz w:val="21"/>
                <w:szCs w:val="21"/>
                <w14:textFill>
                  <w14:solidFill>
                    <w14:schemeClr w14:val="tx1"/>
                  </w14:solidFill>
                </w14:textFill>
              </w:rPr>
              <w:t>文件按无效处理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594" w:type="dxa"/>
            <w:vAlign w:val="center"/>
          </w:tcPr>
          <w:p>
            <w:pPr>
              <w:pStyle w:val="54"/>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不正当竞争预防措施</w:t>
            </w:r>
          </w:p>
          <w:p>
            <w:pPr>
              <w:pStyle w:val="54"/>
              <w:spacing w:line="360" w:lineRule="auto"/>
              <w:ind w:left="38"/>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084" w:type="dxa"/>
            <w:vAlign w:val="center"/>
          </w:tcPr>
          <w:p>
            <w:pPr>
              <w:pStyle w:val="54"/>
              <w:spacing w:line="360" w:lineRule="auto"/>
              <w:jc w:val="both"/>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在磋商过程中，供应商的报价明显低于其他通过符合性审查供应商的报价，有可能影响产品质量或者不能诚信履约的，磋商小组应当要求其在磋商现场合理的时间内提供书面说明，必要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4"/>
              <w:spacing w:line="360" w:lineRule="auto"/>
              <w:jc w:val="both"/>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4"/>
              <w:spacing w:line="360" w:lineRule="auto"/>
              <w:jc w:val="both"/>
              <w:rPr>
                <w:rFonts w:ascii="仿宋" w:hAnsi="仿宋" w:eastAsia="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5</w:t>
            </w:r>
          </w:p>
        </w:tc>
        <w:tc>
          <w:tcPr>
            <w:tcW w:w="2594" w:type="dxa"/>
            <w:vAlign w:val="center"/>
          </w:tcPr>
          <w:p>
            <w:pPr>
              <w:spacing w:line="360" w:lineRule="auto"/>
              <w:ind w:right="105" w:rightChars="50"/>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小微企业（监狱企业、残疾人福利性单位视同小微企业）价格扣除</w:t>
            </w:r>
          </w:p>
          <w:p>
            <w:pPr>
              <w:spacing w:line="360" w:lineRule="auto"/>
              <w:ind w:right="105" w:rightChars="50"/>
              <w:jc w:val="center"/>
              <w:rPr>
                <w:rFonts w:ascii="仿宋" w:hAnsi="仿宋" w:eastAsia="仿宋"/>
                <w:color w:val="000000" w:themeColor="text1"/>
                <w:sz w:val="21"/>
                <w:szCs w:val="21"/>
                <w:lang w:val="zh-CN"/>
                <w14:textFill>
                  <w14:solidFill>
                    <w14:schemeClr w14:val="tx1"/>
                  </w14:solidFill>
                </w14:textFill>
              </w:rPr>
            </w:pPr>
          </w:p>
        </w:tc>
        <w:tc>
          <w:tcPr>
            <w:tcW w:w="6084" w:type="dxa"/>
            <w:vAlign w:val="center"/>
          </w:tcPr>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一、小微企业（监狱企业、残疾人福利性单位均视同小微企业）价格扣除</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6</w:t>
            </w:r>
          </w:p>
        </w:tc>
        <w:tc>
          <w:tcPr>
            <w:tcW w:w="2594" w:type="dxa"/>
            <w:vAlign w:val="center"/>
          </w:tcPr>
          <w:p>
            <w:pPr>
              <w:pStyle w:val="54"/>
              <w:spacing w:line="360" w:lineRule="auto"/>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节能、环保及无线局域网产品政府采购政策</w:t>
            </w:r>
          </w:p>
          <w:p>
            <w:pPr>
              <w:pStyle w:val="54"/>
              <w:spacing w:line="360" w:lineRule="auto"/>
              <w:ind w:left="38"/>
              <w:jc w:val="center"/>
              <w:rPr>
                <w:rFonts w:ascii="仿宋" w:hAnsi="仿宋" w:eastAsia="仿宋"/>
                <w:color w:val="000000" w:themeColor="text1"/>
                <w:sz w:val="21"/>
                <w:szCs w:val="21"/>
                <w14:textFill>
                  <w14:solidFill>
                    <w14:schemeClr w14:val="tx1"/>
                  </w14:solidFill>
                </w14:textFill>
              </w:rPr>
            </w:pPr>
          </w:p>
        </w:tc>
        <w:tc>
          <w:tcPr>
            <w:tcW w:w="6084" w:type="dxa"/>
            <w:vAlign w:val="center"/>
          </w:tcPr>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本项目采购的产品属于品目清单强制采购范围的，供应商应按上述要求提供产品认证证书复印件并加盖供应商单位公章（鲜章），否则响应无效。</w:t>
            </w:r>
            <w:r>
              <w:rPr>
                <w:rFonts w:hint="eastAsia" w:ascii="仿宋" w:hAnsi="仿宋" w:eastAsia="仿宋"/>
                <w:b/>
                <w:color w:val="000000" w:themeColor="text1"/>
                <w:szCs w:val="21"/>
                <w14:textFill>
                  <w14:solidFill>
                    <w14:schemeClr w14:val="tx1"/>
                  </w14:solidFill>
                </w14:textFill>
              </w:rPr>
              <w:t>（实质性要求）</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本项目采购的产品属于品目清单优先采购范围的，按照第八章《综合评分明细表》的规则进行加分。</w:t>
            </w:r>
          </w:p>
          <w:p>
            <w:pPr>
              <w:spacing w:line="360" w:lineRule="auto"/>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line="360" w:lineRule="auto"/>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本项目采购的产品属于中国</w:t>
            </w:r>
            <w:r>
              <w:rPr>
                <w:rFonts w:ascii="仿宋" w:hAnsi="仿宋" w:eastAsia="仿宋" w:cs="Times New Roman"/>
                <w:color w:val="000000" w:themeColor="text1"/>
                <w:kern w:val="2"/>
                <w:sz w:val="21"/>
                <w:szCs w:val="21"/>
                <w14:textFill>
                  <w14:solidFill>
                    <w14:schemeClr w14:val="tx1"/>
                  </w14:solidFill>
                </w14:textFill>
              </w:rPr>
              <w:t>政府采购网公布的</w:t>
            </w:r>
            <w:r>
              <w:rPr>
                <w:rFonts w:hint="eastAsia" w:ascii="仿宋" w:hAnsi="仿宋" w:eastAsia="仿宋" w:cs="Times New Roman"/>
                <w:color w:val="000000" w:themeColor="text1"/>
                <w:kern w:val="2"/>
                <w:sz w:val="21"/>
                <w:szCs w:val="21"/>
                <w14:textFill>
                  <w14:solidFill>
                    <w14:schemeClr w14:val="tx1"/>
                  </w14:solidFill>
                </w14:textFill>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7</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磋商情况公告</w:t>
            </w:r>
          </w:p>
        </w:tc>
        <w:tc>
          <w:tcPr>
            <w:tcW w:w="6084" w:type="dxa"/>
            <w:vAlign w:val="center"/>
          </w:tcPr>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bookmarkStart w:id="15" w:name="PO_默认文件内容_13"/>
            <w:r>
              <w:rPr>
                <w:rFonts w:hint="eastAsia" w:ascii="仿宋" w:hAnsi="仿宋" w:eastAsia="仿宋"/>
                <w:color w:val="000000" w:themeColor="text1"/>
                <w:sz w:val="21"/>
                <w:szCs w:val="21"/>
                <w:lang w:val="zh-CN"/>
                <w14:textFill>
                  <w14:solidFill>
                    <w14:schemeClr w14:val="tx1"/>
                  </w14:solidFill>
                </w14:textFill>
              </w:rPr>
              <w:t>供应商资格审查情况、磋商情况、报价情况、磋商结果等在四川政府采购网上采购结果公告栏中予以公告。</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8</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磋商保证金</w:t>
            </w:r>
          </w:p>
        </w:tc>
        <w:tc>
          <w:tcPr>
            <w:tcW w:w="6084" w:type="dxa"/>
            <w:vAlign w:val="center"/>
          </w:tcPr>
          <w:p>
            <w:pPr>
              <w:pStyle w:val="54"/>
              <w:spacing w:line="360" w:lineRule="auto"/>
              <w:jc w:val="both"/>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9</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084" w:type="dxa"/>
            <w:vAlign w:val="center"/>
          </w:tcPr>
          <w:p>
            <w:pPr>
              <w:pStyle w:val="54"/>
              <w:spacing w:line="360" w:lineRule="auto"/>
              <w:jc w:val="both"/>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10</w:t>
            </w:r>
          </w:p>
        </w:tc>
        <w:tc>
          <w:tcPr>
            <w:tcW w:w="2594" w:type="dxa"/>
            <w:vAlign w:val="center"/>
          </w:tcPr>
          <w:p>
            <w:pPr>
              <w:spacing w:line="360" w:lineRule="auto"/>
              <w:ind w:firstLine="840" w:firstLineChars="400"/>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合同分包</w:t>
            </w:r>
          </w:p>
          <w:p>
            <w:pPr>
              <w:pStyle w:val="54"/>
              <w:spacing w:line="360" w:lineRule="auto"/>
              <w:ind w:left="38"/>
              <w:jc w:val="center"/>
              <w:rPr>
                <w:rFonts w:ascii="仿宋" w:hAnsi="仿宋" w:eastAsia="仿宋"/>
                <w:bCs/>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（实质性要求）</w:t>
            </w:r>
          </w:p>
        </w:tc>
        <w:tc>
          <w:tcPr>
            <w:tcW w:w="6084" w:type="dxa"/>
            <w:vAlign w:val="center"/>
          </w:tcPr>
          <w:p>
            <w:pPr>
              <w:pStyle w:val="54"/>
              <w:spacing w:line="360" w:lineRule="auto"/>
              <w:rPr>
                <w:rFonts w:ascii="仿宋" w:hAnsi="仿宋" w:eastAsia="仿宋"/>
                <w:color w:val="000000" w:themeColor="text1"/>
                <w:sz w:val="21"/>
                <w:szCs w:val="21"/>
                <w:lang w:val="zh-CN"/>
                <w14:textFill>
                  <w14:solidFill>
                    <w14:schemeClr w14:val="tx1"/>
                  </w14:solidFill>
                </w14:textFill>
              </w:rPr>
            </w:pPr>
            <w:r>
              <w:rPr>
                <w:rFonts w:ascii="Segoe UI Symbol" w:hAnsi="Segoe UI Symbol" w:eastAsia="仿宋" w:cs="Segoe UI Symbol"/>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lang w:val="zh-CN"/>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11</w:t>
            </w:r>
          </w:p>
        </w:tc>
        <w:tc>
          <w:tcPr>
            <w:tcW w:w="2594" w:type="dxa"/>
            <w:vAlign w:val="center"/>
          </w:tcPr>
          <w:p>
            <w:pPr>
              <w:autoSpaceDE w:val="0"/>
              <w:autoSpaceDN w:val="0"/>
              <w:adjustRightInd w:val="0"/>
              <w:snapToGrid w:val="0"/>
              <w:spacing w:line="360" w:lineRule="auto"/>
              <w:jc w:val="center"/>
              <w:rPr>
                <w:rFonts w:ascii="仿宋" w:hAnsi="仿宋" w:eastAsia="仿宋"/>
                <w:bCs/>
                <w:color w:val="000000" w:themeColor="text1"/>
                <w:szCs w:val="21"/>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磋商、评审工作咨询；</w:t>
            </w:r>
          </w:p>
          <w:p>
            <w:pPr>
              <w:pStyle w:val="54"/>
              <w:spacing w:line="360" w:lineRule="auto"/>
              <w:ind w:left="38"/>
              <w:jc w:val="center"/>
              <w:rPr>
                <w:rFonts w:ascii="仿宋" w:hAnsi="仿宋" w:eastAsia="仿宋"/>
                <w:bCs/>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14:textFill>
                  <w14:solidFill>
                    <w14:schemeClr w14:val="tx1"/>
                  </w14:solidFill>
                </w14:textFill>
              </w:rPr>
              <w:t>采购项目具体事项咨询</w:t>
            </w:r>
          </w:p>
        </w:tc>
        <w:tc>
          <w:tcPr>
            <w:tcW w:w="6084" w:type="dxa"/>
            <w:vAlign w:val="center"/>
          </w:tcPr>
          <w:p>
            <w:pPr>
              <w:pStyle w:val="54"/>
              <w:spacing w:line="360" w:lineRule="auto"/>
              <w:jc w:val="both"/>
              <w:rPr>
                <w:rFonts w:ascii="仿宋" w:hAnsi="仿宋" w:eastAsia="仿宋"/>
                <w:bCs/>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lang w:val="zh-CN"/>
                <w14:textFill>
                  <w14:solidFill>
                    <w14:schemeClr w14:val="tx1"/>
                  </w14:solidFill>
                </w14:textFill>
              </w:rPr>
              <w:t>联系人：</w:t>
            </w:r>
            <w:r>
              <w:rPr>
                <w:rFonts w:hint="eastAsia" w:ascii="仿宋" w:hAnsi="仿宋" w:eastAsia="仿宋"/>
                <w:bCs/>
                <w:color w:val="000000" w:themeColor="text1"/>
                <w:sz w:val="21"/>
                <w:szCs w:val="21"/>
                <w14:textFill>
                  <w14:solidFill>
                    <w14:schemeClr w14:val="tx1"/>
                  </w14:solidFill>
                </w14:textFill>
              </w:rPr>
              <w:t>聂先生</w:t>
            </w:r>
          </w:p>
          <w:p>
            <w:pPr>
              <w:pStyle w:val="54"/>
              <w:spacing w:line="360" w:lineRule="auto"/>
              <w:jc w:val="both"/>
              <w:rPr>
                <w:rFonts w:ascii="仿宋" w:hAnsi="仿宋" w:eastAsia="仿宋"/>
                <w:bCs/>
                <w:color w:val="000000" w:themeColor="text1"/>
                <w:sz w:val="21"/>
                <w:szCs w:val="21"/>
                <w:lang w:val="zh-CN"/>
                <w14:textFill>
                  <w14:solidFill>
                    <w14:schemeClr w14:val="tx1"/>
                  </w14:solidFill>
                </w14:textFill>
              </w:rPr>
            </w:pPr>
            <w:r>
              <w:rPr>
                <w:rFonts w:hint="eastAsia" w:ascii="仿宋" w:hAnsi="仿宋" w:eastAsia="仿宋"/>
                <w:bCs/>
                <w:color w:val="000000" w:themeColor="text1"/>
                <w:sz w:val="21"/>
                <w:szCs w:val="21"/>
                <w:lang w:val="zh-CN"/>
                <w14:textFill>
                  <w14:solidFill>
                    <w14:schemeClr w14:val="tx1"/>
                  </w14:solidFill>
                </w14:textFill>
              </w:rPr>
              <w:t>联系电话：028-</w:t>
            </w:r>
            <w:r>
              <w:rPr>
                <w:rFonts w:hint="eastAsia" w:ascii="仿宋" w:hAnsi="仿宋" w:eastAsia="仿宋"/>
                <w:bCs/>
                <w:color w:val="000000" w:themeColor="text1"/>
                <w:sz w:val="21"/>
                <w:szCs w:val="21"/>
                <w14:textFill>
                  <w14:solidFill>
                    <w14:schemeClr w14:val="tx1"/>
                  </w14:solidFill>
                </w14:textFill>
              </w:rPr>
              <w:t>81263789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12</w:t>
            </w:r>
          </w:p>
        </w:tc>
        <w:tc>
          <w:tcPr>
            <w:tcW w:w="2594" w:type="dxa"/>
            <w:vAlign w:val="center"/>
          </w:tcPr>
          <w:p>
            <w:pPr>
              <w:pStyle w:val="54"/>
              <w:spacing w:line="360" w:lineRule="auto"/>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成交通知书领取</w:t>
            </w:r>
          </w:p>
        </w:tc>
        <w:tc>
          <w:tcPr>
            <w:tcW w:w="6084" w:type="dxa"/>
            <w:vAlign w:val="center"/>
          </w:tcPr>
          <w:p>
            <w:pPr>
              <w:pStyle w:val="54"/>
              <w:spacing w:line="360" w:lineRule="auto"/>
              <w:rPr>
                <w:rFonts w:ascii="仿宋" w:hAnsi="仿宋" w:eastAsia="仿宋"/>
                <w:color w:val="000000" w:themeColor="text1"/>
                <w:sz w:val="21"/>
                <w:szCs w:val="21"/>
                <w:lang w:val="zh-CN"/>
                <w14:textFill>
                  <w14:solidFill>
                    <w14:schemeClr w14:val="tx1"/>
                  </w14:solidFill>
                </w14:textFill>
              </w:rPr>
            </w:pPr>
            <w:bookmarkStart w:id="16" w:name="PO_默认文件内容_16"/>
            <w:r>
              <w:rPr>
                <w:rFonts w:hint="eastAsia" w:ascii="仿宋" w:hAnsi="仿宋" w:eastAsia="仿宋"/>
                <w:color w:val="000000" w:themeColor="text1"/>
                <w:sz w:val="21"/>
                <w:szCs w:val="21"/>
                <w:lang w:val="zh-CN"/>
                <w14:textFill>
                  <w14:solidFill>
                    <w14:schemeClr w14:val="tx1"/>
                  </w14:solidFill>
                </w14:textFill>
              </w:rPr>
              <w:t>采购结果公告在四川政府采购网上发布后，请成交供应商凭有效身份证明证件到采购代理机构领取成交通知书。</w:t>
            </w:r>
          </w:p>
          <w:p>
            <w:pPr>
              <w:pStyle w:val="54"/>
              <w:spacing w:line="360" w:lineRule="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 系 人：</w:t>
            </w:r>
            <w:r>
              <w:rPr>
                <w:rFonts w:hint="eastAsia" w:ascii="仿宋" w:hAnsi="仿宋" w:eastAsia="仿宋"/>
                <w:color w:val="000000" w:themeColor="text1"/>
                <w:sz w:val="21"/>
                <w:szCs w:val="21"/>
                <w14:textFill>
                  <w14:solidFill>
                    <w14:schemeClr w14:val="tx1"/>
                  </w14:solidFill>
                </w14:textFill>
              </w:rPr>
              <w:t>赵女士</w:t>
            </w:r>
          </w:p>
          <w:p>
            <w:pPr>
              <w:pStyle w:val="54"/>
              <w:spacing w:line="360" w:lineRule="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联系电话：028-81263789</w:t>
            </w:r>
          </w:p>
          <w:p>
            <w:pPr>
              <w:pStyle w:val="54"/>
              <w:spacing w:line="360" w:lineRule="auto"/>
              <w:jc w:val="both"/>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地址：成都市航空路6号丰德国际广场B座1单元701室。</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13</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供应商质疑</w:t>
            </w:r>
          </w:p>
        </w:tc>
        <w:tc>
          <w:tcPr>
            <w:tcW w:w="6084" w:type="dxa"/>
            <w:vAlign w:val="center"/>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bookmarkStart w:id="17" w:name="PO_默认文件内容_30"/>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人：聂先生</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olor w:val="000000" w:themeColor="text1"/>
                <w:szCs w:val="21"/>
                <w:lang w:val="zh-CN"/>
                <w14:textFill>
                  <w14:solidFill>
                    <w14:schemeClr w14:val="tx1"/>
                  </w14:solidFill>
                </w14:textFill>
              </w:rPr>
              <w:t>028-81263789</w:t>
            </w:r>
            <w:r>
              <w:rPr>
                <w:rFonts w:hint="eastAsia" w:ascii="仿宋" w:hAnsi="仿宋" w:eastAsia="仿宋"/>
                <w:color w:val="000000" w:themeColor="text1"/>
                <w:szCs w:val="21"/>
                <w14:textFill>
                  <w14:solidFill>
                    <w14:schemeClr w14:val="tx1"/>
                  </w14:solidFill>
                </w14:textFill>
              </w:rPr>
              <w:t>、18080129808。</w:t>
            </w:r>
          </w:p>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联系地址：成都市航空路6号丰德国际广场B座1单元701室。</w:t>
            </w:r>
          </w:p>
          <w:p>
            <w:pPr>
              <w:pStyle w:val="54"/>
              <w:spacing w:line="360" w:lineRule="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注：根据《中华人民共和国政府采购法》等规定，供应商质疑不得超出采购文件、采购过程、采购结果的范围</w:t>
            </w:r>
            <w:bookmarkEnd w:id="17"/>
            <w:r>
              <w:rPr>
                <w:rFonts w:hint="eastAsia" w:ascii="仿宋" w:hAnsi="仿宋" w:eastAsia="仿宋"/>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 xml:space="preserve"> </w:t>
            </w:r>
            <w:r>
              <w:rPr>
                <w:rFonts w:hint="eastAsia" w:ascii="仿宋" w:hAnsi="仿宋" w:eastAsia="仿宋"/>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14</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供应商投诉</w:t>
            </w:r>
          </w:p>
        </w:tc>
        <w:tc>
          <w:tcPr>
            <w:tcW w:w="6084" w:type="dxa"/>
          </w:tcPr>
          <w:p>
            <w:pPr>
              <w:adjustRightInd w:val="0"/>
              <w:snapToGrid w:val="0"/>
              <w:spacing w:line="360" w:lineRule="auto"/>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投诉受理单位：本采购项目同级财政部门，即成都市</w:t>
            </w:r>
            <w:r>
              <w:rPr>
                <w:rFonts w:hint="eastAsia" w:ascii="仿宋" w:hAnsi="仿宋" w:eastAsia="仿宋" w:cs="仿宋"/>
                <w:color w:val="000000" w:themeColor="text1"/>
                <w14:textFill>
                  <w14:solidFill>
                    <w14:schemeClr w14:val="tx1"/>
                  </w14:solidFill>
                </w14:textFill>
              </w:rPr>
              <w:t>锦江区财政局</w:t>
            </w:r>
            <w:r>
              <w:rPr>
                <w:rFonts w:hint="eastAsia" w:ascii="仿宋" w:hAnsi="仿宋" w:eastAsia="仿宋"/>
                <w:color w:val="000000" w:themeColor="text1"/>
                <w:szCs w:val="21"/>
                <w:lang w:val="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s="仿宋"/>
                <w:color w:val="000000" w:themeColor="text1"/>
                <w14:textFill>
                  <w14:solidFill>
                    <w14:schemeClr w14:val="tx1"/>
                  </w14:solidFill>
                </w14:textFill>
              </w:rPr>
              <w:t>028-86613083</w:t>
            </w:r>
            <w:r>
              <w:rPr>
                <w:rFonts w:hint="eastAsia" w:ascii="仿宋" w:hAnsi="仿宋" w:eastAsia="仿宋"/>
                <w:color w:val="000000" w:themeColor="text1"/>
                <w:szCs w:val="21"/>
                <w14:textFill>
                  <w14:solidFill>
                    <w14:schemeClr w14:val="tx1"/>
                  </w14:solidFill>
                </w14:textFill>
              </w:rPr>
              <w:t>。</w:t>
            </w:r>
          </w:p>
          <w:p>
            <w:pPr>
              <w:adjustRightInd w:val="0"/>
              <w:snapToGrid w:val="0"/>
              <w:spacing w:line="360" w:lineRule="auto"/>
              <w:ind w:right="105" w:rightChars="50"/>
              <w:jc w:val="left"/>
              <w:rPr>
                <w:rFonts w:ascii="仿宋" w:hAnsi="仿宋" w:eastAsia="仿宋" w:cs="Courier New"/>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15</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政府采购合同</w:t>
            </w:r>
          </w:p>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公告备案</w:t>
            </w:r>
          </w:p>
        </w:tc>
        <w:tc>
          <w:tcPr>
            <w:tcW w:w="6084" w:type="dxa"/>
            <w:vAlign w:val="center"/>
          </w:tcPr>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bookmarkStart w:id="18" w:name="PO_默认文件内容_18"/>
            <w:r>
              <w:rPr>
                <w:rFonts w:hint="eastAsia" w:ascii="仿宋" w:hAnsi="仿宋" w:eastAsia="仿宋" w:cs="Courier New"/>
                <w:color w:val="000000" w:themeColor="text1"/>
                <w:sz w:val="21"/>
                <w:szCs w:val="21"/>
                <w:lang w:val="zh-CN"/>
                <w14:textFill>
                  <w14:solidFill>
                    <w14:schemeClr w14:val="tx1"/>
                  </w14:solidFill>
                </w14:textFill>
              </w:rPr>
              <w:t>政府采购合同签订之日起2个工作日内，政府采购合同将在四川</w:t>
            </w:r>
          </w:p>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政府采购网公告；政府采购合同签订之日起七个工作日内，政府</w:t>
            </w:r>
          </w:p>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采购合同将向采购项目同级财政部门备案。</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16</w:t>
            </w:r>
          </w:p>
        </w:tc>
        <w:tc>
          <w:tcPr>
            <w:tcW w:w="2594" w:type="dxa"/>
            <w:vAlign w:val="center"/>
          </w:tcPr>
          <w:p>
            <w:pPr>
              <w:pStyle w:val="54"/>
              <w:snapToGrid w:val="0"/>
              <w:spacing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成交服务费</w:t>
            </w:r>
          </w:p>
        </w:tc>
        <w:tc>
          <w:tcPr>
            <w:tcW w:w="6084" w:type="dxa"/>
            <w:vAlign w:val="center"/>
          </w:tcPr>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14:textFill>
                  <w14:solidFill>
                    <w14:schemeClr w14:val="tx1"/>
                  </w14:solidFill>
                </w14:textFill>
              </w:rPr>
              <w:t>本项目成交服务费按成本加合理利润的原则，</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以</w:t>
            </w:r>
            <w:r>
              <w:rPr>
                <w:rFonts w:hint="eastAsia" w:ascii="仿宋" w:hAnsi="仿宋" w:eastAsia="仿宋" w:cs="Times New Roman"/>
                <w:b w:val="0"/>
                <w:bCs w:val="0"/>
                <w:color w:val="000000" w:themeColor="text1"/>
                <w:kern w:val="2"/>
                <w:sz w:val="21"/>
                <w:szCs w:val="21"/>
                <w14:textFill>
                  <w14:solidFill>
                    <w14:schemeClr w14:val="tx1"/>
                  </w14:solidFill>
                </w14:textFill>
              </w:rPr>
              <w:t>成交</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金额作为计算基数，</w:t>
            </w:r>
            <w:r>
              <w:rPr>
                <w:rFonts w:hint="eastAsia" w:ascii="仿宋" w:hAnsi="仿宋" w:eastAsia="仿宋" w:cs="Times New Roman"/>
                <w:b w:val="0"/>
                <w:bCs w:val="0"/>
                <w:color w:val="000000" w:themeColor="text1"/>
                <w:kern w:val="2"/>
                <w:sz w:val="21"/>
                <w:szCs w:val="21"/>
                <w14:textFill>
                  <w14:solidFill>
                    <w14:schemeClr w14:val="tx1"/>
                  </w14:solidFill>
                </w14:textFill>
              </w:rPr>
              <w:t>按照以下收费标</w:t>
            </w:r>
            <w:r>
              <w:rPr>
                <w:rFonts w:hint="eastAsia" w:ascii="仿宋" w:hAnsi="仿宋" w:eastAsia="仿宋" w:cs="仿宋"/>
                <w:b w:val="0"/>
                <w:bCs w:val="0"/>
                <w:color w:val="000000" w:themeColor="text1"/>
                <w:kern w:val="2"/>
                <w:sz w:val="21"/>
                <w:szCs w:val="21"/>
                <w14:textFill>
                  <w14:solidFill>
                    <w14:schemeClr w14:val="tx1"/>
                  </w14:solidFill>
                </w14:textFill>
              </w:rPr>
              <w:t>准下浮</w:t>
            </w:r>
            <w:r>
              <w:rPr>
                <w:rFonts w:hint="eastAsia" w:ascii="仿宋" w:hAnsi="仿宋" w:eastAsia="仿宋" w:cs="仿宋"/>
                <w:b w:val="0"/>
                <w:bCs w:val="0"/>
                <w:color w:val="000000" w:themeColor="text1"/>
                <w:kern w:val="2"/>
                <w:sz w:val="21"/>
                <w:szCs w:val="21"/>
                <w:lang w:val="en-US" w:eastAsia="zh-CN"/>
                <w14:textFill>
                  <w14:solidFill>
                    <w14:schemeClr w14:val="tx1"/>
                  </w14:solidFill>
                </w14:textFill>
              </w:rPr>
              <w:t>20</w:t>
            </w:r>
            <w:r>
              <w:rPr>
                <w:rFonts w:hint="eastAsia" w:ascii="仿宋" w:hAnsi="仿宋" w:eastAsia="仿宋" w:cs="仿宋"/>
                <w:b w:val="0"/>
                <w:bCs w:val="0"/>
                <w:color w:val="000000" w:themeColor="text1"/>
                <w:kern w:val="2"/>
                <w:sz w:val="21"/>
                <w:szCs w:val="21"/>
                <w14:textFill>
                  <w14:solidFill>
                    <w14:schemeClr w14:val="tx1"/>
                  </w14:solidFill>
                </w14:textFill>
              </w:rPr>
              <w:t>%</w:t>
            </w:r>
            <w:r>
              <w:rPr>
                <w:rFonts w:hint="eastAsia" w:ascii="仿宋" w:hAnsi="仿宋" w:eastAsia="仿宋" w:cs="仿宋"/>
                <w:b w:val="0"/>
                <w:bCs w:val="0"/>
                <w:color w:val="000000" w:themeColor="text1"/>
                <w:sz w:val="21"/>
                <w:szCs w:val="21"/>
                <w14:textFill>
                  <w14:solidFill>
                    <w14:schemeClr w14:val="tx1"/>
                  </w14:solidFill>
                </w14:textFill>
              </w:rPr>
              <w:t>计算进行</w:t>
            </w:r>
            <w:r>
              <w:rPr>
                <w:rFonts w:hint="eastAsia" w:ascii="仿宋" w:hAnsi="仿宋" w:eastAsia="仿宋" w:cs="仿宋"/>
                <w:b w:val="0"/>
                <w:bCs w:val="0"/>
                <w:color w:val="000000" w:themeColor="text1"/>
                <w:kern w:val="2"/>
                <w:sz w:val="21"/>
                <w:szCs w:val="21"/>
                <w14:textFill>
                  <w14:solidFill>
                    <w14:schemeClr w14:val="tx1"/>
                  </w14:solidFill>
                </w14:textFill>
              </w:rPr>
              <w:t>收取，</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由</w:t>
            </w:r>
            <w:r>
              <w:rPr>
                <w:rFonts w:hint="eastAsia" w:ascii="仿宋" w:hAnsi="仿宋" w:eastAsia="仿宋" w:cs="Times New Roman"/>
                <w:b w:val="0"/>
                <w:bCs w:val="0"/>
                <w:color w:val="000000" w:themeColor="text1"/>
                <w:kern w:val="2"/>
                <w:sz w:val="21"/>
                <w:szCs w:val="21"/>
                <w14:textFill>
                  <w14:solidFill>
                    <w14:schemeClr w14:val="tx1"/>
                  </w14:solidFill>
                </w14:textFill>
              </w:rPr>
              <w:t>成交</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人在领取中标通知书前向招标代理机构交纳</w:t>
            </w:r>
            <w:r>
              <w:rPr>
                <w:rFonts w:hint="eastAsia" w:ascii="仿宋" w:hAnsi="仿宋" w:eastAsia="仿宋" w:cs="仿宋"/>
                <w:b w:val="0"/>
                <w:bCs w:val="0"/>
                <w:color w:val="000000" w:themeColor="text1"/>
                <w:kern w:val="2"/>
                <w:sz w:val="21"/>
                <w:szCs w:val="21"/>
                <w:lang w:val="zh-CN"/>
                <w14:textFill>
                  <w14:solidFill>
                    <w14:schemeClr w14:val="tx1"/>
                  </w14:solidFill>
                </w14:textFill>
              </w:rPr>
              <w:t>。</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14:textFill>
                  <w14:solidFill>
                    <w14:schemeClr w14:val="tx1"/>
                  </w14:solidFill>
                </w14:textFill>
              </w:rPr>
              <w:t>收费标准</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t>（</w:t>
            </w:r>
            <w:r>
              <w:rPr>
                <w:rFonts w:hint="eastAsia" w:ascii="仿宋" w:hAnsi="仿宋" w:eastAsia="仿宋" w:cs="Times New Roman"/>
                <w:b w:val="0"/>
                <w:bCs w:val="0"/>
                <w:color w:val="000000" w:themeColor="text1"/>
                <w:kern w:val="2"/>
                <w:sz w:val="21"/>
                <w:szCs w:val="21"/>
                <w14:textFill>
                  <w14:solidFill>
                    <w14:schemeClr w14:val="tx1"/>
                  </w14:solidFill>
                </w14:textFill>
              </w:rPr>
              <w:t>费率）：</w:t>
            </w:r>
            <w:r>
              <w:rPr>
                <w:rFonts w:hint="eastAsia" w:ascii="仿宋" w:hAnsi="仿宋" w:eastAsia="仿宋" w:cs="Times New Roman"/>
                <w:b w:val="0"/>
                <w:bCs w:val="0"/>
                <w:color w:val="000000" w:themeColor="text1"/>
                <w:kern w:val="2"/>
                <w:sz w:val="21"/>
                <w:szCs w:val="21"/>
                <w:lang w:val="zh-CN"/>
                <w14:textFill>
                  <w14:solidFill>
                    <w14:schemeClr w14:val="tx1"/>
                  </w14:solidFill>
                </w14:textFill>
              </w:rPr>
              <w:drawing>
                <wp:inline distT="0" distB="0" distL="114300" distR="114300">
                  <wp:extent cx="3841750" cy="2004060"/>
                  <wp:effectExtent l="0" t="0" r="13970" b="7620"/>
                  <wp:docPr id="35" name="图片 35"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费率比AO2"/>
                          <pic:cNvPicPr>
                            <a:picLocks noChangeAspect="1"/>
                          </pic:cNvPicPr>
                        </pic:nvPicPr>
                        <pic:blipFill>
                          <a:blip r:embed="rId14"/>
                          <a:stretch>
                            <a:fillRect/>
                          </a:stretch>
                        </pic:blipFill>
                        <pic:spPr>
                          <a:xfrm>
                            <a:off x="0" y="0"/>
                            <a:ext cx="3841750" cy="2004060"/>
                          </a:xfrm>
                          <a:prstGeom prst="rect">
                            <a:avLst/>
                          </a:prstGeom>
                        </pic:spPr>
                      </pic:pic>
                    </a:graphicData>
                  </a:graphic>
                </wp:inline>
              </w:drawing>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pacing w:val="-6"/>
                <w:szCs w:val="21"/>
                <w:lang w:val="zh-CN"/>
                <w14:textFill>
                  <w14:solidFill>
                    <w14:schemeClr w14:val="tx1"/>
                  </w14:solidFill>
                </w14:textFill>
              </w:rPr>
              <w:t>例如：某工程</w:t>
            </w:r>
            <w:r>
              <w:rPr>
                <w:rFonts w:hint="eastAsia" w:ascii="仿宋" w:hAnsi="仿宋" w:eastAsia="仿宋"/>
                <w:b w:val="0"/>
                <w:bCs w:val="0"/>
                <w:color w:val="000000" w:themeColor="text1"/>
                <w:spacing w:val="-6"/>
                <w:szCs w:val="21"/>
                <w14:textFill>
                  <w14:solidFill>
                    <w14:schemeClr w14:val="tx1"/>
                  </w14:solidFill>
                </w14:textFill>
              </w:rPr>
              <w:t>采购</w:t>
            </w:r>
            <w:r>
              <w:rPr>
                <w:rFonts w:hint="eastAsia" w:ascii="仿宋" w:hAnsi="仿宋" w:eastAsia="仿宋"/>
                <w:b w:val="0"/>
                <w:bCs w:val="0"/>
                <w:color w:val="000000" w:themeColor="text1"/>
                <w:spacing w:val="-6"/>
                <w:szCs w:val="21"/>
                <w:lang w:val="zh-CN"/>
                <w14:textFill>
                  <w14:solidFill>
                    <w14:schemeClr w14:val="tx1"/>
                  </w14:solidFill>
                </w14:textFill>
              </w:rPr>
              <w:t>项目</w:t>
            </w:r>
            <w:r>
              <w:rPr>
                <w:rFonts w:hint="eastAsia" w:ascii="仿宋" w:hAnsi="仿宋" w:eastAsia="仿宋"/>
                <w:b w:val="0"/>
                <w:bCs w:val="0"/>
                <w:color w:val="000000" w:themeColor="text1"/>
                <w:spacing w:val="-6"/>
                <w:szCs w:val="21"/>
                <w14:textFill>
                  <w14:solidFill>
                    <w14:schemeClr w14:val="tx1"/>
                  </w14:solidFill>
                </w14:textFill>
              </w:rPr>
              <w:t>成交</w:t>
            </w:r>
            <w:r>
              <w:rPr>
                <w:rFonts w:hint="eastAsia" w:ascii="仿宋" w:hAnsi="仿宋" w:eastAsia="仿宋"/>
                <w:b w:val="0"/>
                <w:bCs w:val="0"/>
                <w:color w:val="000000" w:themeColor="text1"/>
                <w:spacing w:val="-6"/>
                <w:szCs w:val="21"/>
                <w:lang w:val="zh-CN"/>
                <w14:textFill>
                  <w14:solidFill>
                    <w14:schemeClr w14:val="tx1"/>
                  </w14:solidFill>
                </w14:textFill>
              </w:rPr>
              <w:t>金额为6000万元，计算</w:t>
            </w:r>
            <w:r>
              <w:rPr>
                <w:rFonts w:hint="eastAsia" w:ascii="仿宋" w:hAnsi="仿宋" w:eastAsia="仿宋"/>
                <w:b w:val="0"/>
                <w:bCs w:val="0"/>
                <w:color w:val="000000" w:themeColor="text1"/>
                <w:spacing w:val="-6"/>
                <w:szCs w:val="21"/>
                <w14:textFill>
                  <w14:solidFill>
                    <w14:schemeClr w14:val="tx1"/>
                  </w14:solidFill>
                </w14:textFill>
              </w:rPr>
              <w:t>成交</w:t>
            </w:r>
            <w:r>
              <w:rPr>
                <w:rFonts w:hint="eastAsia" w:ascii="仿宋" w:hAnsi="仿宋" w:eastAsia="仿宋"/>
                <w:b w:val="0"/>
                <w:bCs w:val="0"/>
                <w:color w:val="000000" w:themeColor="text1"/>
                <w:spacing w:val="-6"/>
                <w:szCs w:val="21"/>
                <w:lang w:val="zh-CN"/>
                <w14:textFill>
                  <w14:solidFill>
                    <w14:schemeClr w14:val="tx1"/>
                  </w14:solidFill>
                </w14:textFill>
              </w:rPr>
              <w:t>服务费如下：</w:t>
            </w:r>
            <w:r>
              <w:rPr>
                <w:rFonts w:hint="eastAsia" w:ascii="仿宋" w:hAnsi="仿宋" w:eastAsia="仿宋"/>
                <w:b w:val="0"/>
                <w:bCs w:val="0"/>
                <w:color w:val="000000" w:themeColor="text1"/>
                <w:szCs w:val="21"/>
                <w:lang w:val="zh-CN"/>
                <w14:textFill>
                  <w14:solidFill>
                    <w14:schemeClr w14:val="tx1"/>
                  </w14:solidFill>
                </w14:textFill>
              </w:rPr>
              <w:t xml:space="preserve"> </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100万元×1.0%=1万元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(500－100)万元×0.7%=2.8万元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(1000－500)万元×0.55%=2.75万元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(5000－1000)万元×0.35%=14万元</w:t>
            </w:r>
          </w:p>
          <w:p>
            <w:pPr>
              <w:adjustRightInd w:val="0"/>
              <w:snapToGrid w:val="0"/>
              <w:spacing w:line="360" w:lineRule="auto"/>
              <w:ind w:right="105" w:rightChars="50"/>
              <w:rPr>
                <w:rFonts w:ascii="仿宋" w:hAnsi="仿宋" w:eastAsia="仿宋"/>
                <w:b w:val="0"/>
                <w:bCs w:val="0"/>
                <w:color w:val="000000" w:themeColor="text1"/>
                <w:szCs w:val="21"/>
                <w:lang w:val="zh-CN"/>
                <w14:textFill>
                  <w14:solidFill>
                    <w14:schemeClr w14:val="tx1"/>
                  </w14:solidFill>
                </w14:textFill>
              </w:rPr>
            </w:pPr>
            <w:r>
              <w:rPr>
                <w:rFonts w:hint="eastAsia" w:ascii="仿宋" w:hAnsi="仿宋" w:eastAsia="仿宋"/>
                <w:b w:val="0"/>
                <w:bCs w:val="0"/>
                <w:color w:val="000000" w:themeColor="text1"/>
                <w:szCs w:val="21"/>
                <w:lang w:val="zh-CN"/>
                <w14:textFill>
                  <w14:solidFill>
                    <w14:schemeClr w14:val="tx1"/>
                  </w14:solidFill>
                </w14:textFill>
              </w:rPr>
              <w:t>(6000－5000)万元 ×0.2%=2万元</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合计收费=1＋2.8+2.75+14+2=22.55万元</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收款单位：四川兴众诚招标代理有限责任公司</w:t>
            </w:r>
          </w:p>
          <w:p>
            <w:pPr>
              <w:pStyle w:val="54"/>
              <w:snapToGrid w:val="0"/>
              <w:spacing w:line="360" w:lineRule="auto"/>
              <w:rPr>
                <w:rFonts w:ascii="仿宋" w:hAnsi="仿宋" w:eastAsia="仿宋" w:cs="Times New Roman"/>
                <w:b w:val="0"/>
                <w:bCs w:val="0"/>
                <w:color w:val="000000" w:themeColor="text1"/>
                <w:kern w:val="2"/>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开 户 行：中国工商银行股份有限公司成都九眼桥支行</w:t>
            </w:r>
          </w:p>
          <w:p>
            <w:pPr>
              <w:pStyle w:val="54"/>
              <w:snapToGrid w:val="0"/>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Times New Roman"/>
                <w:b w:val="0"/>
                <w:bCs w:val="0"/>
                <w:color w:val="000000" w:themeColor="text1"/>
                <w:kern w:val="2"/>
                <w:sz w:val="21"/>
                <w:szCs w:val="21"/>
                <w:lang w:val="zh-CN"/>
                <w14:textFill>
                  <w14:solidFill>
                    <w14:schemeClr w14:val="tx1"/>
                  </w14:solidFill>
                </w14:textFill>
              </w:rPr>
              <w:t>银行账号：4402 2170 0910 0196 885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17</w:t>
            </w:r>
          </w:p>
        </w:tc>
        <w:tc>
          <w:tcPr>
            <w:tcW w:w="2594" w:type="dxa"/>
            <w:vAlign w:val="center"/>
          </w:tcPr>
          <w:p>
            <w:pPr>
              <w:pStyle w:val="54"/>
              <w:snapToGrid w:val="0"/>
              <w:spacing w:beforeLines="50" w:line="360" w:lineRule="auto"/>
              <w:ind w:left="96"/>
              <w:jc w:val="center"/>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送样提醒</w:t>
            </w:r>
          </w:p>
          <w:p>
            <w:pPr>
              <w:pStyle w:val="54"/>
              <w:snapToGrid w:val="0"/>
              <w:spacing w:beforeLines="50"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（本项目不涉及样品）</w:t>
            </w:r>
          </w:p>
        </w:tc>
        <w:tc>
          <w:tcPr>
            <w:tcW w:w="6084" w:type="dxa"/>
            <w:vAlign w:val="center"/>
          </w:tcPr>
          <w:p>
            <w:pPr>
              <w:pStyle w:val="54"/>
              <w:snapToGrid w:val="0"/>
              <w:spacing w:line="360" w:lineRule="auto"/>
              <w:jc w:val="both"/>
              <w:rPr>
                <w:rFonts w:ascii="仿宋" w:hAnsi="仿宋" w:eastAsia="仿宋" w:cs="Times New Roman"/>
                <w:color w:val="000000" w:themeColor="text1"/>
                <w:kern w:val="2"/>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lang w:val="zh-CN"/>
                <w14:textFill>
                  <w14:solidFill>
                    <w14:schemeClr w14:val="tx1"/>
                  </w14:solidFill>
                </w14:textFill>
              </w:rPr>
              <w:t>本项目若涉及样品，请在文件接收时间内将样品送至开标现场，并按现场工作人员要求摆样。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54"/>
              <w:spacing w:line="360" w:lineRule="auto"/>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14:textFill>
                  <w14:solidFill>
                    <w14:schemeClr w14:val="tx1"/>
                  </w14:solidFill>
                </w14:textFill>
              </w:rPr>
              <w:t>8</w:t>
            </w:r>
          </w:p>
        </w:tc>
        <w:tc>
          <w:tcPr>
            <w:tcW w:w="2594" w:type="dxa"/>
            <w:vAlign w:val="center"/>
          </w:tcPr>
          <w:p>
            <w:pPr>
              <w:pStyle w:val="54"/>
              <w:spacing w:line="360" w:lineRule="auto"/>
              <w:ind w:left="96"/>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承诺提醒</w:t>
            </w:r>
          </w:p>
        </w:tc>
        <w:tc>
          <w:tcPr>
            <w:tcW w:w="6084" w:type="dxa"/>
            <w:vAlign w:val="center"/>
          </w:tcPr>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54"/>
              <w:spacing w:line="360" w:lineRule="auto"/>
              <w:ind w:left="155" w:leftChars="74" w:firstLine="56" w:firstLineChars="27"/>
              <w:jc w:val="both"/>
              <w:rPr>
                <w:rFonts w:ascii="仿宋" w:hAnsi="仿宋" w:eastAsia="仿宋" w:cs="Courier New"/>
                <w:color w:val="000000" w:themeColor="text1"/>
                <w:sz w:val="21"/>
                <w:szCs w:val="21"/>
                <w14:textFill>
                  <w14:solidFill>
                    <w14:schemeClr w14:val="tx1"/>
                  </w14:solidFill>
                </w14:textFill>
              </w:rPr>
            </w:pPr>
            <w:r>
              <w:rPr>
                <w:rFonts w:hint="eastAsia" w:ascii="仿宋" w:hAnsi="仿宋" w:eastAsia="仿宋" w:cs="Courier New"/>
                <w:color w:val="000000" w:themeColor="text1"/>
                <w:sz w:val="21"/>
                <w:szCs w:val="21"/>
                <w14:textFill>
                  <w14:solidFill>
                    <w14:schemeClr w14:val="tx1"/>
                  </w14:solidFill>
                </w14:textFill>
              </w:rPr>
              <w:t>19</w:t>
            </w:r>
          </w:p>
        </w:tc>
        <w:tc>
          <w:tcPr>
            <w:tcW w:w="2594" w:type="dxa"/>
            <w:vAlign w:val="center"/>
          </w:tcPr>
          <w:p>
            <w:pPr>
              <w:pStyle w:val="54"/>
              <w:spacing w:line="360" w:lineRule="auto"/>
              <w:ind w:left="155" w:leftChars="74" w:firstLine="56" w:firstLineChars="27"/>
              <w:jc w:val="center"/>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联合体（</w:t>
            </w:r>
            <w:r>
              <w:rPr>
                <w:rFonts w:hint="eastAsia" w:ascii="仿宋" w:hAnsi="仿宋" w:eastAsia="仿宋" w:cs="Courier New"/>
                <w:color w:val="000000" w:themeColor="text1"/>
                <w:sz w:val="21"/>
                <w:szCs w:val="21"/>
                <w14:textFill>
                  <w14:solidFill>
                    <w14:schemeClr w14:val="tx1"/>
                  </w14:solidFill>
                </w14:textFill>
              </w:rPr>
              <w:t>实质性要求）</w:t>
            </w:r>
          </w:p>
        </w:tc>
        <w:tc>
          <w:tcPr>
            <w:tcW w:w="6084" w:type="dxa"/>
            <w:vAlign w:val="center"/>
          </w:tcPr>
          <w:p>
            <w:pPr>
              <w:pStyle w:val="54"/>
              <w:spacing w:line="360" w:lineRule="auto"/>
              <w:jc w:val="both"/>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 xml:space="preserve">☑ 本项目不允许联合体参加 </w:t>
            </w:r>
            <w:r>
              <w:rPr>
                <w:rFonts w:hint="eastAsia" w:ascii="仿宋" w:hAnsi="仿宋" w:eastAsia="仿宋" w:cs="Courier New"/>
                <w:color w:val="000000" w:themeColor="text1"/>
                <w:sz w:val="21"/>
                <w:szCs w:val="21"/>
                <w14:textFill>
                  <w14:solidFill>
                    <w14:schemeClr w14:val="tx1"/>
                  </w14:solidFill>
                </w14:textFill>
              </w:rPr>
              <w:t xml:space="preserve">   </w:t>
            </w:r>
            <w:r>
              <w:rPr>
                <w:rFonts w:hint="eastAsia" w:ascii="仿宋" w:hAnsi="仿宋" w:eastAsia="仿宋" w:cs="Courier New"/>
                <w:color w:val="000000" w:themeColor="text1"/>
                <w:sz w:val="21"/>
                <w:szCs w:val="21"/>
                <w:lang w:val="zh-CN"/>
                <w14:textFill>
                  <w14:solidFill>
                    <w14:schemeClr w14:val="tx1"/>
                  </w14:solidFill>
                </w14:textFill>
              </w:rPr>
              <w:t>□ 本项目允许联合体参加</w:t>
            </w:r>
          </w:p>
        </w:tc>
      </w:tr>
    </w:tbl>
    <w:p>
      <w:pPr>
        <w:jc w:val="center"/>
        <w:rPr>
          <w:b/>
          <w:bCs/>
          <w:color w:val="000000" w:themeColor="text1"/>
          <w:sz w:val="32"/>
          <w:szCs w:val="32"/>
          <w14:textFill>
            <w14:solidFill>
              <w14:schemeClr w14:val="tx1"/>
            </w14:solidFill>
          </w14:textFill>
        </w:rPr>
      </w:pPr>
    </w:p>
    <w:p>
      <w:pPr>
        <w:widowControl/>
        <w:jc w:val="center"/>
        <w:rPr>
          <w:rFonts w:ascii="仿宋" w:hAnsi="仿宋" w:eastAsia="仿宋"/>
          <w:b/>
          <w:bCs/>
          <w:color w:val="000000" w:themeColor="text1"/>
          <w:sz w:val="32"/>
          <w:szCs w:val="32"/>
          <w14:textFill>
            <w14:solidFill>
              <w14:schemeClr w14:val="tx1"/>
            </w14:solidFill>
          </w14:textFill>
        </w:rPr>
      </w:pPr>
    </w:p>
    <w:p>
      <w:pPr>
        <w:widowControl/>
        <w:jc w:val="center"/>
        <w:outlineLvl w:val="1"/>
        <w:rPr>
          <w:color w:val="000000" w:themeColor="text1"/>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二、总  则</w:t>
      </w:r>
      <w:bookmarkStart w:id="19" w:name="_Toc183682342"/>
      <w:bookmarkStart w:id="20" w:name="_Toc183582205"/>
      <w:bookmarkStart w:id="21" w:name="_Toc217446034"/>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2" w:name="PO_默认文件内容_20"/>
      <w:r>
        <w:rPr>
          <w:rFonts w:hint="eastAsia" w:ascii="仿宋" w:hAnsi="仿宋" w:eastAsia="仿宋"/>
          <w:color w:val="000000" w:themeColor="text1"/>
          <w:sz w:val="24"/>
          <w:szCs w:val="24"/>
          <w14:textFill>
            <w14:solidFill>
              <w14:schemeClr w14:val="tx1"/>
            </w14:solidFill>
          </w14:textFill>
        </w:rPr>
        <w:t>1.</w:t>
      </w:r>
      <w:bookmarkEnd w:id="19"/>
      <w:bookmarkEnd w:id="20"/>
      <w:r>
        <w:rPr>
          <w:rFonts w:hint="eastAsia" w:ascii="仿宋" w:hAnsi="仿宋" w:eastAsia="仿宋"/>
          <w:color w:val="000000" w:themeColor="text1"/>
          <w:sz w:val="24"/>
          <w:szCs w:val="24"/>
          <w14:textFill>
            <w14:solidFill>
              <w14:schemeClr w14:val="tx1"/>
            </w14:solidFill>
          </w14:textFill>
        </w:rPr>
        <w:t>适用范围</w:t>
      </w:r>
      <w:bookmarkEnd w:id="2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本磋商文件仅适用于本次磋商采购项目。</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本磋商文件的解释权归采购人和采购代理机构所有。</w:t>
      </w:r>
      <w:bookmarkEnd w:id="22"/>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3" w:name="_Toc183582206"/>
      <w:bookmarkStart w:id="24" w:name="_Toc183682343"/>
      <w:bookmarkStart w:id="25" w:name="_Toc217446035"/>
      <w:r>
        <w:rPr>
          <w:rFonts w:hint="eastAsia" w:ascii="仿宋" w:hAnsi="仿宋" w:eastAsia="仿宋"/>
          <w:color w:val="000000" w:themeColor="text1"/>
          <w:sz w:val="24"/>
          <w:szCs w:val="24"/>
          <w14:textFill>
            <w14:solidFill>
              <w14:schemeClr w14:val="tx1"/>
            </w14:solidFill>
          </w14:textFill>
        </w:rPr>
        <w:t>2.</w:t>
      </w:r>
      <w:bookmarkEnd w:id="23"/>
      <w:bookmarkEnd w:id="24"/>
      <w:bookmarkEnd w:id="25"/>
      <w:r>
        <w:rPr>
          <w:rFonts w:hint="eastAsia" w:ascii="仿宋" w:hAnsi="仿宋" w:eastAsia="仿宋"/>
          <w:color w:val="000000" w:themeColor="text1"/>
          <w:sz w:val="24"/>
          <w:szCs w:val="24"/>
          <w14:textFill>
            <w14:solidFill>
              <w14:schemeClr w14:val="tx1"/>
            </w14:solidFill>
          </w14:textFill>
        </w:rPr>
        <w:t>采购主体</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1本次磋商的采购人是</w:t>
      </w:r>
      <w:r>
        <w:rPr>
          <w:rFonts w:hint="eastAsia" w:ascii="仿宋" w:hAnsi="仿宋" w:eastAsia="仿宋"/>
          <w:color w:val="000000" w:themeColor="text1"/>
          <w:sz w:val="24"/>
          <w:u w:val="single"/>
          <w14:textFill>
            <w14:solidFill>
              <w14:schemeClr w14:val="tx1"/>
            </w14:solidFill>
          </w14:textFill>
        </w:rPr>
        <w:t>四川省成都市七中育才学校</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26" w:name="PO_默认文件内容_23"/>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2本次磋商的采购代理机构是</w:t>
      </w:r>
      <w:r>
        <w:rPr>
          <w:rFonts w:hint="eastAsia" w:ascii="仿宋" w:hAnsi="仿宋" w:eastAsia="仿宋"/>
          <w:color w:val="000000" w:themeColor="text1"/>
          <w:sz w:val="24"/>
          <w:u w:val="single"/>
          <w14:textFill>
            <w14:solidFill>
              <w14:schemeClr w14:val="tx1"/>
            </w14:solidFill>
          </w14:textFill>
        </w:rPr>
        <w:t>四川兴众诚招标代理有限责任公司</w:t>
      </w:r>
      <w:r>
        <w:rPr>
          <w:rFonts w:hint="eastAsia" w:ascii="仿宋" w:hAnsi="仿宋" w:eastAsia="仿宋"/>
          <w:color w:val="000000" w:themeColor="text1"/>
          <w:sz w:val="24"/>
          <w14:textFill>
            <w14:solidFill>
              <w14:schemeClr w14:val="tx1"/>
            </w14:solidFill>
          </w14:textFill>
        </w:rPr>
        <w:t>。</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27" w:name="_Toc183582207"/>
      <w:bookmarkStart w:id="28" w:name="_Toc217390843"/>
      <w:bookmarkStart w:id="29" w:name="_Toc183682344"/>
      <w:bookmarkStart w:id="30" w:name="_Toc217446036"/>
      <w:r>
        <w:rPr>
          <w:rFonts w:hint="eastAsia" w:ascii="仿宋" w:hAnsi="仿宋" w:eastAsia="仿宋"/>
          <w:color w:val="000000" w:themeColor="text1"/>
          <w:sz w:val="24"/>
          <w:szCs w:val="24"/>
          <w14:textFill>
            <w14:solidFill>
              <w14:schemeClr w14:val="tx1"/>
            </w14:solidFill>
          </w14:textFill>
        </w:rPr>
        <w:t>3.合格</w:t>
      </w:r>
      <w:bookmarkEnd w:id="27"/>
      <w:bookmarkEnd w:id="28"/>
      <w:bookmarkEnd w:id="29"/>
      <w:bookmarkEnd w:id="30"/>
      <w:r>
        <w:rPr>
          <w:rFonts w:hint="eastAsia" w:ascii="仿宋" w:hAnsi="仿宋" w:eastAsia="仿宋"/>
          <w:color w:val="000000" w:themeColor="text1"/>
          <w:sz w:val="24"/>
          <w:szCs w:val="24"/>
          <w14:textFill>
            <w14:solidFill>
              <w14:schemeClr w14:val="tx1"/>
            </w14:solidFill>
          </w14:textFill>
        </w:rPr>
        <w:t>供应商</w:t>
      </w:r>
    </w:p>
    <w:p>
      <w:pPr>
        <w:tabs>
          <w:tab w:val="left" w:pos="7665"/>
        </w:tabs>
        <w:spacing w:line="400" w:lineRule="exact"/>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合格供应商应具备以下条件：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具备法律法规和本采购文件规定的资格条件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64"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3.2 不属于禁止参加本项目采购活动的供应商；</w:t>
      </w:r>
    </w:p>
    <w:p>
      <w:pPr>
        <w:tabs>
          <w:tab w:val="left" w:pos="7665"/>
        </w:tabs>
        <w:spacing w:line="400" w:lineRule="exact"/>
        <w:ind w:firstLine="464" w:firstLineChars="200"/>
        <w:rPr>
          <w:rFonts w:ascii="仿宋" w:hAnsi="仿宋" w:eastAsia="仿宋"/>
          <w:color w:val="000000" w:themeColor="text1"/>
          <w:sz w:val="24"/>
          <w14:textFill>
            <w14:solidFill>
              <w14:schemeClr w14:val="tx1"/>
            </w14:solidFill>
          </w14:textFill>
        </w:rPr>
      </w:pPr>
      <w:bookmarkStart w:id="31" w:name="_Toc183582208"/>
      <w:bookmarkStart w:id="32" w:name="_Toc217446037"/>
      <w:bookmarkStart w:id="33" w:name="_Toc183682345"/>
      <w:r>
        <w:rPr>
          <w:rFonts w:hint="eastAsia" w:ascii="仿宋" w:hAnsi="仿宋" w:eastAsia="仿宋"/>
          <w:color w:val="000000" w:themeColor="text1"/>
          <w:spacing w:val="-4"/>
          <w:sz w:val="24"/>
          <w14:textFill>
            <w14:solidFill>
              <w14:schemeClr w14:val="tx1"/>
            </w14:solidFill>
          </w14:textFill>
        </w:rPr>
        <w:t>3.3</w:t>
      </w:r>
      <w:r>
        <w:rPr>
          <w:rFonts w:hint="eastAsia" w:ascii="仿宋" w:hAnsi="仿宋" w:eastAsia="仿宋" w:cs="仿宋"/>
          <w:color w:val="000000" w:themeColor="text1"/>
          <w:spacing w:val="-4"/>
          <w:sz w:val="24"/>
          <w14:textFill>
            <w14:solidFill>
              <w14:schemeClr w14:val="tx1"/>
            </w14:solidFill>
          </w14:textFill>
        </w:rPr>
        <w:t>按照规定</w:t>
      </w:r>
      <w:r>
        <w:rPr>
          <w:rFonts w:hint="eastAsia" w:ascii="仿宋" w:hAnsi="仿宋" w:eastAsia="仿宋" w:cs="仿宋"/>
          <w:color w:val="000000" w:themeColor="text1"/>
          <w:sz w:val="24"/>
          <w14:textFill>
            <w14:solidFill>
              <w14:schemeClr w14:val="tx1"/>
            </w14:solidFill>
          </w14:textFill>
        </w:rPr>
        <w:t>获取了磋商文件，属于实质性参加政府采购活动的供应商。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4.磋商费用</w:t>
      </w:r>
      <w:bookmarkEnd w:id="31"/>
      <w:bookmarkEnd w:id="32"/>
      <w:bookmarkEnd w:id="33"/>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供应商应自行承担参加磋商活动的全部费用。</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5.充分、公平竞争保障措施（实质性要求）</w:t>
      </w:r>
    </w:p>
    <w:p>
      <w:pPr>
        <w:pStyle w:val="51"/>
        <w:spacing w:line="400" w:lineRule="exact"/>
        <w:ind w:left="1" w:firstLine="48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供应商与采购代理机构存在关联关系，或者是采购代理机构的母公司或子公司，不得参加本项目政府采购活动。</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回避。政府采购活动中，采购人员及相关人员与供应商有下列利害关系之一的，应当回避：</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（1）参加采购活动前3年内与供应商存在劳动关系；</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（2）参加采购活动前3年内担任供应商的董事、监事；</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（3）参加采购活动前3年内是供应商的控股股东或者实际控制人；</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（4）与供应商的法定代表人或者负责人有夫妻、直系血亲、三代以内旁系血亲或者近姻亲关系；</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（5）与供应商有其他可能影响政府采购活动公平、公正进行的关系。</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1"/>
        <w:spacing w:line="400" w:lineRule="exact"/>
        <w:ind w:left="1"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000000" w:themeColor="text1"/>
          <w:sz w:val="24"/>
          <w14:textFill>
            <w14:solidFill>
              <w14:schemeClr w14:val="tx1"/>
            </w14:solidFill>
          </w14:textFill>
        </w:rPr>
        <w:t xml:space="preserve"> </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6.联合体竞争性磋商（本项目不允许联合体参加）</w:t>
      </w:r>
    </w:p>
    <w:p>
      <w:pPr>
        <w:pStyle w:val="51"/>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7.磋商保证金（本项目不收取）</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未按磋商文件要求在规定时间前交纳规定数额磋商保证金的响应文件无效。</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供应商所交纳的磋商保证金不计利息。</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7.5发生下列情形之一的，采购代理机构将不予退还磋商保证金：</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（一）在磋商文件规定的递交响应文件截止时间后撤回响应文件的；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（二）在采购人确定成交供应商之前放弃成交候选资格的；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（三）成交后放弃、不领取或者不接收成交通知书的；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（四）由于成交供应商的原因未能按照磋商文件的规定与采购人签订合同的；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（五）由于成交供应商的原因未能按照磋商文件的规定交纳履约保证金的；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（六）供应商在政府采购活动中提供虚假材料的；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（七）报价有效期内，供应商在政府采购活动中有违法、违规、违纪行为。</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8.响应文件有效期（实质性要求）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本项目响应文件有效期为递交磋商响应文件截止之日起</w:t>
      </w:r>
      <w:r>
        <w:rPr>
          <w:rFonts w:ascii="仿宋" w:hAnsi="仿宋" w:eastAsia="仿宋"/>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天。供应商响应文件中必须载明响应文件有效期，响应文件中载明的响应文件有效期可以长于磋商文件规定的期限，但不得短于磋商文件规定的期限。否则，其响应文件将作为无效处理。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9.知识产权（实质性要求）</w:t>
      </w:r>
    </w:p>
    <w:p>
      <w:pPr>
        <w:pStyle w:val="13"/>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承担所有相关责任。</w:t>
      </w:r>
    </w:p>
    <w:p>
      <w:pPr>
        <w:pStyle w:val="13"/>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 xml:space="preserve"> 如采用供应商所不拥有的知识产权，则在报价中必须包括合法获取该知识产权的相关费用。 </w:t>
      </w:r>
      <w:bookmarkEnd w:id="26"/>
      <w:bookmarkStart w:id="34" w:name="_Toc77400779"/>
      <w:bookmarkStart w:id="35" w:name="_Toc183682346"/>
      <w:bookmarkStart w:id="36" w:name="_Toc183582209"/>
      <w:bookmarkStart w:id="37" w:name="_Toc217446038"/>
      <w:bookmarkStart w:id="38" w:name="_Toc89075875"/>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39" w:name="PO_默认文件内容_24"/>
      <w:r>
        <w:rPr>
          <w:rFonts w:hint="eastAsia" w:ascii="仿宋" w:hAnsi="仿宋" w:eastAsia="仿宋"/>
          <w:bCs w:val="0"/>
          <w:color w:val="000000" w:themeColor="text1"/>
          <w14:textFill>
            <w14:solidFill>
              <w14:schemeClr w14:val="tx1"/>
            </w14:solidFill>
          </w14:textFill>
        </w:rPr>
        <w:t>三、磋商文件</w:t>
      </w:r>
      <w:bookmarkEnd w:id="34"/>
      <w:bookmarkEnd w:id="35"/>
      <w:bookmarkEnd w:id="36"/>
      <w:bookmarkEnd w:id="37"/>
      <w:bookmarkEnd w:id="38"/>
      <w:bookmarkStart w:id="40" w:name="_Toc217446039"/>
      <w:bookmarkStart w:id="41" w:name="_Toc183682347"/>
      <w:bookmarkStart w:id="42" w:name="_Toc183582210"/>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w:t>
      </w:r>
      <w:r>
        <w:rPr>
          <w:rFonts w:hint="eastAsia" w:ascii="仿宋" w:hAnsi="仿宋" w:eastAsia="仿宋"/>
          <w:color w:val="000000" w:themeColor="text1"/>
          <w:sz w:val="24"/>
          <w:szCs w:val="24"/>
          <w:lang w:val="en-US"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磋商文件的构成</w:t>
      </w:r>
      <w:bookmarkEnd w:id="40"/>
      <w:bookmarkEnd w:id="41"/>
      <w:bookmarkEnd w:id="42"/>
      <w:r>
        <w:rPr>
          <w:rFonts w:hint="eastAsia" w:ascii="仿宋" w:hAnsi="仿宋" w:eastAsia="仿宋"/>
          <w:color w:val="000000" w:themeColor="text1"/>
          <w:sz w:val="24"/>
          <w:szCs w:val="24"/>
          <w14:textFill>
            <w14:solidFill>
              <w14:schemeClr w14:val="tx1"/>
            </w14:solidFill>
          </w14:textFill>
        </w:rPr>
        <w:t>（实质性要求）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3" w:name="_Toc183582211"/>
      <w:bookmarkStart w:id="44" w:name="_Toc183682348"/>
      <w:bookmarkStart w:id="45" w:name="_Toc217446040"/>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磋商文件的澄清</w:t>
      </w:r>
      <w:bookmarkEnd w:id="43"/>
      <w:bookmarkEnd w:id="44"/>
      <w:r>
        <w:rPr>
          <w:rFonts w:hint="eastAsia" w:ascii="仿宋" w:hAnsi="仿宋" w:eastAsia="仿宋"/>
          <w:color w:val="000000" w:themeColor="text1"/>
          <w:sz w:val="24"/>
          <w:szCs w:val="24"/>
          <w14:textFill>
            <w14:solidFill>
              <w14:schemeClr w14:val="tx1"/>
            </w14:solidFill>
          </w14:textFill>
        </w:rPr>
        <w:t>和修改</w:t>
      </w:r>
      <w:bookmarkEnd w:id="45"/>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000000" w:themeColor="text1"/>
          <w:sz w:val="24"/>
          <w14:textFill>
            <w14:solidFill>
              <w14:schemeClr w14:val="tx1"/>
            </w14:solidFill>
          </w14:textFill>
        </w:rPr>
        <w:t>提交</w:t>
      </w:r>
      <w:r>
        <w:rPr>
          <w:rFonts w:hint="eastAsia" w:ascii="仿宋" w:hAnsi="仿宋" w:eastAsia="仿宋"/>
          <w:color w:val="000000" w:themeColor="text1"/>
          <w:sz w:val="24"/>
          <w14:textFill>
            <w14:solidFill>
              <w14:schemeClr w14:val="tx1"/>
            </w14:solidFill>
          </w14:textFill>
        </w:rPr>
        <w:t>首次响应文件截</w:t>
      </w:r>
      <w:r>
        <w:rPr>
          <w:rFonts w:hint="eastAsia" w:ascii="仿宋" w:hAnsi="仿宋" w:eastAsia="仿宋" w:cs="宋体"/>
          <w:color w:val="000000" w:themeColor="text1"/>
          <w:sz w:val="24"/>
          <w14:textFill>
            <w14:solidFill>
              <w14:schemeClr w14:val="tx1"/>
            </w14:solidFill>
          </w14:textFill>
        </w:rPr>
        <w:t>止之日起5日前</w:t>
      </w:r>
      <w:r>
        <w:rPr>
          <w:rFonts w:hint="eastAsia" w:ascii="仿宋" w:hAnsi="仿宋" w:eastAsia="仿宋"/>
          <w:color w:val="000000" w:themeColor="text1"/>
          <w:sz w:val="24"/>
          <w14:textFill>
            <w14:solidFill>
              <w14:schemeClr w14:val="tx1"/>
            </w14:solidFill>
          </w14:textFill>
        </w:rPr>
        <w:t>；不足上述时间的，应当顺延递交响应文件的截止时间。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46" w:name="_Toc208848971"/>
      <w:bookmarkStart w:id="47" w:name="_Toc217446041"/>
      <w:r>
        <w:rPr>
          <w:rFonts w:hint="eastAsia" w:ascii="仿宋" w:hAnsi="仿宋" w:eastAsia="仿宋"/>
          <w:color w:val="000000" w:themeColor="text1"/>
          <w:sz w:val="24"/>
          <w:szCs w:val="24"/>
          <w14:textFill>
            <w14:solidFill>
              <w14:schemeClr w14:val="tx1"/>
            </w14:solidFill>
          </w14:textFill>
        </w:rPr>
        <w:t>12</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14:textFill>
            <w14:solidFill>
              <w14:schemeClr w14:val="tx1"/>
            </w14:solidFill>
          </w14:textFill>
        </w:rPr>
        <w:t>答疑会和现场考察</w:t>
      </w:r>
      <w:bookmarkEnd w:id="46"/>
      <w:bookmarkEnd w:id="47"/>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供应商考察现场或者参加答疑会所发生的一切费用由供应商自己承担。</w:t>
      </w:r>
      <w:bookmarkStart w:id="48" w:name="_Toc217446042"/>
      <w:bookmarkStart w:id="49" w:name="_Toc183682351"/>
      <w:bookmarkStart w:id="50" w:name="_Toc89075876"/>
      <w:bookmarkStart w:id="51" w:name="_Toc77400780"/>
      <w:bookmarkStart w:id="52" w:name="_Toc183582214"/>
    </w:p>
    <w:p>
      <w:pPr>
        <w:pStyle w:val="12"/>
        <w:rPr>
          <w:color w:val="000000" w:themeColor="text1"/>
          <w14:textFill>
            <w14:solidFill>
              <w14:schemeClr w14:val="tx1"/>
            </w14:solidFill>
          </w14:textFill>
        </w:rPr>
      </w:pPr>
    </w:p>
    <w:p>
      <w:pPr>
        <w:pStyle w:val="4"/>
        <w:keepNext w:val="0"/>
        <w:keepLines w:val="0"/>
        <w:spacing w:before="0" w:after="0"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四、响应文件</w:t>
      </w:r>
      <w:bookmarkEnd w:id="48"/>
      <w:bookmarkEnd w:id="49"/>
      <w:bookmarkEnd w:id="50"/>
      <w:bookmarkEnd w:id="51"/>
      <w:bookmarkEnd w:id="52"/>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3" w:name="_Toc183682352"/>
      <w:bookmarkStart w:id="54" w:name="_Toc217446043"/>
      <w:bookmarkStart w:id="55" w:name="_Toc183582215"/>
      <w:r>
        <w:rPr>
          <w:rFonts w:hint="eastAsia" w:ascii="仿宋" w:hAnsi="仿宋" w:eastAsia="仿宋"/>
          <w:color w:val="000000" w:themeColor="text1"/>
          <w:sz w:val="24"/>
          <w:szCs w:val="24"/>
          <w14:textFill>
            <w14:solidFill>
              <w14:schemeClr w14:val="tx1"/>
            </w14:solidFill>
          </w14:textFill>
        </w:rPr>
        <w:t>13.响应文件的组成</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000000" w:themeColor="text1"/>
          <w:sz w:val="24"/>
          <w14:textFill>
            <w14:solidFill>
              <w14:schemeClr w14:val="tx1"/>
            </w14:solidFill>
          </w14:textFill>
        </w:rPr>
        <w:t>（实质性要求）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13.2供应商编写的响应文件应包括资格性响应文件和其他响应文件两部分，分册装订。</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14.响应文件的语言</w:t>
      </w:r>
      <w:bookmarkEnd w:id="53"/>
      <w:bookmarkEnd w:id="54"/>
      <w:bookmarkEnd w:id="55"/>
      <w:r>
        <w:rPr>
          <w:rFonts w:hint="eastAsia" w:ascii="仿宋" w:hAnsi="仿宋" w:eastAsia="仿宋"/>
          <w:color w:val="000000" w:themeColor="text1"/>
          <w:sz w:val="24"/>
          <w:szCs w:val="24"/>
          <w14:textFill>
            <w14:solidFill>
              <w14:schemeClr w14:val="tx1"/>
            </w14:solidFill>
          </w14:textFill>
        </w:rPr>
        <w:t>（实质性要求）</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14.3 如因未翻译而造成的响应文件无效风险，由供应商承担。</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6" w:name="_Toc183682353"/>
      <w:bookmarkStart w:id="57" w:name="_Toc217446044"/>
      <w:bookmarkStart w:id="58" w:name="_Toc183582216"/>
      <w:r>
        <w:rPr>
          <w:rFonts w:hint="eastAsia" w:ascii="仿宋" w:hAnsi="仿宋" w:eastAsia="仿宋"/>
          <w:color w:val="000000" w:themeColor="text1"/>
          <w:sz w:val="24"/>
          <w:szCs w:val="24"/>
          <w14:textFill>
            <w14:solidFill>
              <w14:schemeClr w14:val="tx1"/>
            </w14:solidFill>
          </w14:textFill>
        </w:rPr>
        <w:t>15.计量单位</w:t>
      </w:r>
      <w:bookmarkEnd w:id="56"/>
      <w:bookmarkEnd w:id="57"/>
      <w:bookmarkEnd w:id="58"/>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除磋商文件中另有规定外，本次采购项目所有合同项下的报价均采用国家法定的计量单位。</w:t>
      </w:r>
      <w:bookmarkStart w:id="59" w:name="_Toc217446045"/>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16.报价</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ascii="仿宋" w:hAnsi="仿宋" w:eastAsia="仿宋"/>
          <w:bCs/>
          <w:color w:val="000000" w:themeColor="text1"/>
          <w:spacing w:val="-6"/>
          <w:sz w:val="24"/>
          <w14:textFill>
            <w14:solidFill>
              <w14:schemeClr w14:val="tx1"/>
            </w14:solidFill>
          </w14:textFill>
        </w:rPr>
        <w:t>16.1</w:t>
      </w:r>
      <w:r>
        <w:rPr>
          <w:rFonts w:hint="eastAsia" w:ascii="仿宋" w:hAnsi="仿宋" w:eastAsia="仿宋"/>
          <w:bCs/>
          <w:color w:val="000000" w:themeColor="text1"/>
          <w:spacing w:val="-6"/>
          <w:sz w:val="24"/>
          <w14:textFill>
            <w14:solidFill>
              <w14:schemeClr w14:val="tx1"/>
            </w14:solidFill>
          </w14:textFill>
        </w:rPr>
        <w:t>本次磋商项目的</w:t>
      </w:r>
      <w:r>
        <w:rPr>
          <w:rFonts w:hint="eastAsia" w:ascii="仿宋" w:hAnsi="仿宋" w:eastAsia="仿宋"/>
          <w:color w:val="000000" w:themeColor="text1"/>
          <w:spacing w:val="-6"/>
          <w:sz w:val="24"/>
          <w14:textFill>
            <w14:solidFill>
              <w14:schemeClr w14:val="tx1"/>
            </w14:solidFill>
          </w14:textFill>
        </w:rPr>
        <w:t>报价货币为</w:t>
      </w:r>
      <w:r>
        <w:rPr>
          <w:rFonts w:hint="eastAsia" w:ascii="仿宋" w:hAnsi="仿宋" w:eastAsia="仿宋"/>
          <w:bCs/>
          <w:color w:val="000000" w:themeColor="text1"/>
          <w:spacing w:val="-6"/>
          <w:sz w:val="24"/>
          <w14:textFill>
            <w14:solidFill>
              <w14:schemeClr w14:val="tx1"/>
            </w14:solidFill>
          </w14:textFill>
        </w:rPr>
        <w:t>人民币，报价以磋商文件规定为准</w:t>
      </w:r>
      <w:r>
        <w:rPr>
          <w:rFonts w:hint="eastAsia" w:ascii="仿宋" w:hAnsi="仿宋" w:eastAsia="仿宋"/>
          <w:b/>
          <w:bCs/>
          <w:color w:val="000000" w:themeColor="text1"/>
          <w:spacing w:val="-6"/>
          <w:sz w:val="24"/>
          <w14:textFill>
            <w14:solidFill>
              <w14:schemeClr w14:val="tx1"/>
            </w14:solidFill>
          </w14:textFill>
        </w:rPr>
        <w:t>（实质性要求）</w:t>
      </w:r>
      <w:r>
        <w:rPr>
          <w:rFonts w:hint="eastAsia" w:ascii="仿宋" w:hAnsi="仿宋" w:eastAsia="仿宋"/>
          <w:bCs/>
          <w:color w:val="000000" w:themeColor="text1"/>
          <w:spacing w:val="-6"/>
          <w:sz w:val="24"/>
          <w14:textFill>
            <w14:solidFill>
              <w14:schemeClr w14:val="tx1"/>
            </w14:solidFill>
          </w14:textFill>
        </w:rPr>
        <w:t>。</w:t>
      </w:r>
    </w:p>
    <w:bookmarkEnd w:id="59"/>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17.响应文件格式</w:t>
      </w:r>
    </w:p>
    <w:p>
      <w:pPr>
        <w:spacing w:line="400" w:lineRule="exact"/>
        <w:ind w:left="2" w:leftChars="1"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17.1 供应商应执行磋商文件第七章的规定要求。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17.2 对于没有格式要求的磋商文件由供应商自行编写。</w:t>
      </w:r>
      <w:bookmarkStart w:id="60" w:name="_Toc183682361"/>
      <w:bookmarkStart w:id="61" w:name="_Toc183582224"/>
      <w:bookmarkStart w:id="62" w:name="_Toc217446051"/>
    </w:p>
    <w:bookmarkEnd w:id="60"/>
    <w:bookmarkEnd w:id="61"/>
    <w:bookmarkEnd w:id="62"/>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3" w:name="_Toc89075877"/>
      <w:bookmarkStart w:id="64" w:name="_Toc183582226"/>
      <w:bookmarkStart w:id="65" w:name="_Toc183682363"/>
      <w:bookmarkStart w:id="66" w:name="_Toc217446053"/>
      <w:bookmarkStart w:id="67" w:name="_Toc77400781"/>
      <w:r>
        <w:rPr>
          <w:rFonts w:hint="eastAsia" w:ascii="仿宋" w:hAnsi="仿宋" w:eastAsia="仿宋"/>
          <w:color w:val="000000" w:themeColor="text1"/>
          <w:sz w:val="24"/>
          <w:szCs w:val="24"/>
          <w14:textFill>
            <w14:solidFill>
              <w14:schemeClr w14:val="tx1"/>
            </w14:solidFill>
          </w14:textFill>
        </w:rPr>
        <w:t>18.响应文件的编制和签署</w:t>
      </w:r>
    </w:p>
    <w:p>
      <w:pPr>
        <w:spacing w:line="400" w:lineRule="exact"/>
        <w:ind w:firstLine="468" w:firstLineChars="19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18.1 </w:t>
      </w:r>
      <w:r>
        <w:rPr>
          <w:rFonts w:hint="eastAsia" w:ascii="仿宋" w:hAnsi="仿宋" w:eastAsia="仿宋"/>
          <w:b/>
          <w:bCs/>
          <w:color w:val="000000" w:themeColor="text1"/>
          <w:sz w:val="24"/>
          <w14:textFill>
            <w14:solidFill>
              <w14:schemeClr w14:val="tx1"/>
            </w14:solidFill>
          </w14:textFill>
        </w:rPr>
        <w:t>资格性响应文件正本</w:t>
      </w:r>
      <w:r>
        <w:rPr>
          <w:rFonts w:ascii="仿宋" w:hAnsi="仿宋" w:eastAsia="仿宋"/>
          <w:b/>
          <w:bCs/>
          <w:color w:val="000000" w:themeColor="text1"/>
          <w:sz w:val="24"/>
          <w14:textFill>
            <w14:solidFill>
              <w14:schemeClr w14:val="tx1"/>
            </w14:solidFill>
          </w14:textFill>
        </w:rPr>
        <w:t>1</w:t>
      </w:r>
      <w:r>
        <w:rPr>
          <w:rFonts w:hint="eastAsia" w:ascii="仿宋" w:hAnsi="仿宋" w:eastAsia="仿宋"/>
          <w:b/>
          <w:bCs/>
          <w:color w:val="000000" w:themeColor="text1"/>
          <w:sz w:val="24"/>
          <w14:textFill>
            <w14:solidFill>
              <w14:schemeClr w14:val="tx1"/>
            </w14:solidFill>
          </w14:textFill>
        </w:rPr>
        <w:t>份副本</w:t>
      </w:r>
      <w:r>
        <w:rPr>
          <w:rFonts w:ascii="仿宋" w:hAnsi="仿宋" w:eastAsia="仿宋"/>
          <w:b/>
          <w:bCs/>
          <w:color w:val="000000" w:themeColor="text1"/>
          <w:sz w:val="24"/>
          <w14:textFill>
            <w14:solidFill>
              <w14:schemeClr w14:val="tx1"/>
            </w14:solidFill>
          </w14:textFill>
        </w:rPr>
        <w:t>2</w:t>
      </w:r>
      <w:r>
        <w:rPr>
          <w:rFonts w:hint="eastAsia" w:ascii="仿宋" w:hAnsi="仿宋" w:eastAsia="仿宋"/>
          <w:b/>
          <w:bCs/>
          <w:color w:val="000000" w:themeColor="text1"/>
          <w:sz w:val="24"/>
          <w14:textFill>
            <w14:solidFill>
              <w14:schemeClr w14:val="tx1"/>
            </w14:solidFill>
          </w14:textFill>
        </w:rPr>
        <w:t>份</w:t>
      </w:r>
      <w:r>
        <w:rPr>
          <w:rFonts w:hint="eastAsia" w:ascii="仿宋" w:hAnsi="仿宋" w:eastAsia="仿宋"/>
          <w:color w:val="000000" w:themeColor="text1"/>
          <w:sz w:val="24"/>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18.2 </w:t>
      </w:r>
      <w:r>
        <w:rPr>
          <w:rFonts w:hint="eastAsia" w:ascii="仿宋" w:hAnsi="仿宋" w:eastAsia="仿宋"/>
          <w:b/>
          <w:bCs/>
          <w:color w:val="000000" w:themeColor="text1"/>
          <w:sz w:val="24"/>
          <w14:textFill>
            <w14:solidFill>
              <w14:schemeClr w14:val="tx1"/>
            </w14:solidFill>
          </w14:textFill>
        </w:rPr>
        <w:t>其他响应文件正本</w:t>
      </w:r>
      <w:r>
        <w:rPr>
          <w:rFonts w:ascii="仿宋" w:hAnsi="仿宋" w:eastAsia="仿宋"/>
          <w:b/>
          <w:bCs/>
          <w:color w:val="000000" w:themeColor="text1"/>
          <w:sz w:val="24"/>
          <w14:textFill>
            <w14:solidFill>
              <w14:schemeClr w14:val="tx1"/>
            </w14:solidFill>
          </w14:textFill>
        </w:rPr>
        <w:t>1</w:t>
      </w:r>
      <w:r>
        <w:rPr>
          <w:rFonts w:hint="eastAsia" w:ascii="仿宋" w:hAnsi="仿宋" w:eastAsia="仿宋"/>
          <w:b/>
          <w:bCs/>
          <w:color w:val="000000" w:themeColor="text1"/>
          <w:sz w:val="24"/>
          <w14:textFill>
            <w14:solidFill>
              <w14:schemeClr w14:val="tx1"/>
            </w14:solidFill>
          </w14:textFill>
        </w:rPr>
        <w:t>份副本</w:t>
      </w:r>
      <w:r>
        <w:rPr>
          <w:rFonts w:ascii="仿宋" w:hAnsi="仿宋" w:eastAsia="仿宋"/>
          <w:b/>
          <w:bCs/>
          <w:color w:val="000000" w:themeColor="text1"/>
          <w:sz w:val="24"/>
          <w14:textFill>
            <w14:solidFill>
              <w14:schemeClr w14:val="tx1"/>
            </w14:solidFill>
          </w14:textFill>
        </w:rPr>
        <w:t>2</w:t>
      </w:r>
      <w:r>
        <w:rPr>
          <w:rFonts w:hint="eastAsia" w:ascii="仿宋" w:hAnsi="仿宋" w:eastAsia="仿宋"/>
          <w:b/>
          <w:bCs/>
          <w:color w:val="000000" w:themeColor="text1"/>
          <w:sz w:val="24"/>
          <w14:textFill>
            <w14:solidFill>
              <w14:schemeClr w14:val="tx1"/>
            </w14:solidFill>
          </w14:textFill>
        </w:rPr>
        <w:t>份</w:t>
      </w:r>
      <w:r>
        <w:rPr>
          <w:rFonts w:hint="eastAsia" w:ascii="仿宋" w:hAnsi="仿宋" w:eastAsia="仿宋"/>
          <w:color w:val="000000" w:themeColor="text1"/>
          <w:sz w:val="24"/>
          <w14:textFill>
            <w14:solidFill>
              <w14:schemeClr w14:val="tx1"/>
            </w14:solidFill>
          </w14:textFill>
        </w:rPr>
        <w:t>，并在其封面上清楚地标明其他响应文件、采购项目名称、采购项目编号、包件号及名</w:t>
      </w:r>
      <w:r>
        <w:rPr>
          <w:rFonts w:hint="eastAsia" w:ascii="仿宋" w:hAnsi="仿宋" w:eastAsia="仿宋"/>
          <w:bCs/>
          <w:color w:val="000000" w:themeColor="text1"/>
          <w:sz w:val="24"/>
          <w14:textFill>
            <w14:solidFill>
              <w14:schemeClr w14:val="tx1"/>
            </w14:solidFill>
          </w14:textFill>
        </w:rPr>
        <w:t>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18.3 响应文件正本和副本均需在规定签章处签字和盖章。响应文件副本可采用正本的复印件</w:t>
      </w:r>
      <w:r>
        <w:rPr>
          <w:rFonts w:hint="eastAsia" w:ascii="仿宋" w:hAnsi="仿宋" w:eastAsia="仿宋" w:cs="仿宋"/>
          <w:color w:val="000000" w:themeColor="text1"/>
          <w:sz w:val="24"/>
          <w14:textFill>
            <w14:solidFill>
              <w14:schemeClr w14:val="tx1"/>
            </w14:solidFill>
          </w14:textFill>
        </w:rPr>
        <w:t>。提供响应文件</w:t>
      </w:r>
      <w:r>
        <w:rPr>
          <w:rFonts w:hint="eastAsia" w:ascii="仿宋" w:hAnsi="仿宋" w:eastAsia="仿宋" w:cs="仿宋"/>
          <w:b/>
          <w:bCs/>
          <w:color w:val="000000" w:themeColor="text1"/>
          <w:sz w:val="24"/>
          <w14:textFill>
            <w14:solidFill>
              <w14:schemeClr w14:val="tx1"/>
            </w14:solidFill>
          </w14:textFill>
        </w:rPr>
        <w:t>电子文档1份采用U盘制作</w:t>
      </w:r>
      <w:r>
        <w:rPr>
          <w:rFonts w:hint="eastAsia" w:ascii="仿宋" w:hAnsi="仿宋" w:eastAsia="仿宋" w:cs="仿宋"/>
          <w:color w:val="000000" w:themeColor="text1"/>
          <w:sz w:val="24"/>
          <w14:textFill>
            <w14:solidFill>
              <w14:schemeClr w14:val="tx1"/>
            </w14:solidFill>
          </w14:textFill>
        </w:rPr>
        <w:t>（电子文档仅用于存档，不作为评审材料）。</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18.5</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响应文件应由供应商法定代表人/主要负责人/本人或其授权代表在响应文件要求的地方签字（注：</w:t>
      </w:r>
      <w:r>
        <w:rPr>
          <w:rFonts w:hint="eastAsia" w:ascii="仿宋" w:hAnsi="仿宋" w:eastAsia="仿宋"/>
          <w:color w:val="000000" w:themeColor="text1"/>
          <w:sz w:val="24"/>
          <w14:textFill>
            <w14:solidFill>
              <w14:schemeClr w14:val="tx1"/>
            </w14:solidFill>
          </w14:textFill>
        </w:rPr>
        <w:t>供应商为法人的，应当由其法定代表人或者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签字确认；供应商为其他组织的，应当由其主要负责人或者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签字确认；供应商为自然人的，应当由其本人或者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w:t>
      </w:r>
      <w:r>
        <w:rPr>
          <w:rFonts w:hint="eastAsia" w:ascii="仿宋" w:hAnsi="仿宋" w:eastAsia="仿宋"/>
          <w:bCs/>
          <w:color w:val="000000" w:themeColor="text1"/>
          <w:sz w:val="24"/>
          <w14:textFill>
            <w14:solidFill>
              <w14:schemeClr w14:val="tx1"/>
            </w14:solidFill>
          </w14:textFill>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18.6响应文件正本和副本需要逐页编目编码。</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18.8</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响应文件应按磋商文件的要求签署、盖章（第八章</w:t>
      </w:r>
      <w:r>
        <w:rPr>
          <w:rFonts w:ascii="仿宋" w:hAnsi="仿宋" w:eastAsia="仿宋"/>
          <w:color w:val="000000" w:themeColor="text1"/>
          <w:sz w:val="24"/>
          <w14:textFill>
            <w14:solidFill>
              <w14:schemeClr w14:val="tx1"/>
            </w14:solidFill>
          </w14:textFill>
        </w:rPr>
        <w:t>2.4.6</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tabs>
          <w:tab w:val="left" w:pos="1080"/>
        </w:tabs>
        <w:spacing w:line="400" w:lineRule="exact"/>
        <w:ind w:firstLine="460" w:firstLineChars="192"/>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18.9响应文件统一用</w:t>
      </w:r>
      <w:r>
        <w:rPr>
          <w:rFonts w:ascii="仿宋" w:hAnsi="仿宋" w:eastAsia="仿宋"/>
          <w:color w:val="000000" w:themeColor="text1"/>
          <w:sz w:val="24"/>
          <w14:textFill>
            <w14:solidFill>
              <w14:schemeClr w14:val="tx1"/>
            </w14:solidFill>
          </w14:textFill>
        </w:rPr>
        <w:t>A4</w:t>
      </w:r>
      <w:r>
        <w:rPr>
          <w:rFonts w:hint="eastAsia" w:ascii="仿宋" w:hAnsi="仿宋" w:eastAsia="仿宋"/>
          <w:color w:val="000000" w:themeColor="text1"/>
          <w:sz w:val="24"/>
          <w14:textFill>
            <w14:solidFill>
              <w14:schemeClr w14:val="tx1"/>
            </w14:solidFill>
          </w14:textFill>
        </w:rPr>
        <w:t>幅面纸印制，除另有规定外。</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19.响应文件的密封和标注（不属于本项目磋商小组评审范畴，由采购人、采购代理机构在接收响应文件时及时处理）</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hint="eastAsia" w:ascii="仿宋" w:hAnsi="仿宋" w:eastAsia="仿宋"/>
          <w:bCs/>
          <w:color w:val="000000" w:themeColor="text1"/>
          <w:spacing w:val="-6"/>
          <w:sz w:val="24"/>
          <w14:textFill>
            <w14:solidFill>
              <w14:schemeClr w14:val="tx1"/>
            </w14:solidFill>
          </w14:textFill>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19.3 所有外层密封袋的封口处应粘贴牢固。</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19.4 未密封的响应文件，采购人、采购代理机构将拒收或者在时间允许的范围内，要求修改完善后接收。</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20.响应文件的递交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 报价表在磋商后，磋商小组要求供应商进行报价时递交。</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20.4 本次采购不接收邮寄的响应文件。</w:t>
      </w:r>
    </w:p>
    <w:bookmarkEnd w:id="63"/>
    <w:bookmarkEnd w:id="64"/>
    <w:bookmarkEnd w:id="65"/>
    <w:bookmarkEnd w:id="66"/>
    <w:bookmarkEnd w:id="67"/>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68" w:name="_Toc183582228"/>
      <w:bookmarkStart w:id="69" w:name="_Toc217446055"/>
      <w:bookmarkStart w:id="70" w:name="_Toc183682365"/>
      <w:r>
        <w:rPr>
          <w:rFonts w:hint="eastAsia" w:ascii="仿宋" w:hAnsi="仿宋" w:eastAsia="仿宋"/>
          <w:color w:val="000000" w:themeColor="text1"/>
          <w:sz w:val="24"/>
          <w:szCs w:val="24"/>
          <w14:textFill>
            <w14:solidFill>
              <w14:schemeClr w14:val="tx1"/>
            </w14:solidFill>
          </w14:textFill>
        </w:rPr>
        <w:t>21.响应文件的修改和撤回（补充、修改响应文件的密封和标注按照本章“19.响应文件的密封和标注”规定处理）</w:t>
      </w:r>
    </w:p>
    <w:p>
      <w:pPr>
        <w:pStyle w:val="2"/>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3供应商不得在递交截止时间起至响应文件有效期期满前撤销其响应文件。</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21.4供应商对其提交的响应文件的真实性、合法性承担法律责任。</w:t>
      </w:r>
      <w:bookmarkEnd w:id="68"/>
      <w:bookmarkEnd w:id="69"/>
      <w:bookmarkEnd w:id="70"/>
    </w:p>
    <w:p>
      <w:pPr>
        <w:pStyle w:val="12"/>
        <w:rPr>
          <w:color w:val="000000" w:themeColor="text1"/>
          <w14:textFill>
            <w14:solidFill>
              <w14:schemeClr w14:val="tx1"/>
            </w14:solidFill>
          </w14:textFill>
        </w:rPr>
      </w:pP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bookmarkStart w:id="71" w:name="_Toc183582231"/>
      <w:bookmarkStart w:id="72" w:name="_Toc183682368"/>
      <w:bookmarkStart w:id="73" w:name="_Toc89075878"/>
      <w:bookmarkStart w:id="74" w:name="_Toc77400782"/>
      <w:bookmarkStart w:id="75" w:name="_Toc217446056"/>
      <w:r>
        <w:rPr>
          <w:rFonts w:hint="eastAsia" w:ascii="仿宋" w:hAnsi="仿宋" w:eastAsia="仿宋"/>
          <w:color w:val="000000" w:themeColor="text1"/>
          <w14:textFill>
            <w14:solidFill>
              <w14:schemeClr w14:val="tx1"/>
            </w14:solidFill>
          </w14:textFill>
        </w:rPr>
        <w:t>五、评审</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22.磋商小组的组建及其评审工作按照有关法律制度和本文件第八章的规定进行。</w:t>
      </w:r>
    </w:p>
    <w:p>
      <w:pPr>
        <w:rPr>
          <w:color w:val="000000" w:themeColor="text1"/>
          <w14:textFill>
            <w14:solidFill>
              <w14:schemeClr w14:val="tx1"/>
            </w14:solidFill>
          </w14:textFill>
        </w:rPr>
      </w:pP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六、成交事项</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23.确定成交供应商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方式一：采购人将按磋商小组推荐的成交候选供应商顺序确定成交供应商。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方式二：采购人授权磋商小组根据综合评分排名直接确定成交供应商。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本项目采用方式一确定成交供应商。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（1）发现成交候选供应商存在禁止参加本项目采购活动的违法行为的；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（2）成交候选供应商因不可抗力，不能继续参加政府采购活动；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（3）成交候选供应商无偿赠与或者低于成本价竞争；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（4）成交候选供应商提供虚假材料；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（5）成交候选供应商恶意串通。</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24.成交结果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24.1采购人确定成交供应商后，将及时书面通知采购代理机构，发出成交通知书并发布成交结果公告。</w:t>
      </w:r>
    </w:p>
    <w:p>
      <w:pPr>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.2成交供应商应当及时领取成交通知书。本项目需要交纳履约保证金的，成交供应商应当及时向采购人交纳。</w:t>
      </w:r>
    </w:p>
    <w:p>
      <w:pPr>
        <w:ind w:firstLine="46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.3成交供应商不能及时领取成交通知书，采购人或者采购代理机应当通过邮寄、快递等方式将项目成交通知书送达成交供应商。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25.成交通知书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25.1成交通知书为签订政府采购合同的依据之一，是合同的有效组成部分。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numPr>
          <w:ilvl w:val="0"/>
          <w:numId w:val="1"/>
        </w:numPr>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合同事项</w:t>
      </w:r>
      <w:bookmarkStart w:id="76" w:name="_Toc101338364"/>
      <w:bookmarkStart w:id="77" w:name="_Toc430773927"/>
      <w:bookmarkStart w:id="78" w:name="_Toc209847069"/>
      <w:bookmarkStart w:id="79" w:name="_Toc101250646"/>
      <w:bookmarkStart w:id="80" w:name="_Toc101174151"/>
    </w:p>
    <w:p>
      <w:pPr>
        <w:pStyle w:val="6"/>
        <w:keepNext w:val="0"/>
        <w:keepLines w:val="0"/>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26.签订合同</w:t>
      </w:r>
      <w:bookmarkEnd w:id="76"/>
      <w:bookmarkEnd w:id="77"/>
      <w:bookmarkEnd w:id="78"/>
      <w:bookmarkEnd w:id="79"/>
      <w:bookmarkEnd w:id="8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26.6成交人在合同签订之后五个工作日内，将签订的合同（一式一份）送至我公司。</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27.1本项目合同接受分包与否，以“供应商须知附表”勾选项为准。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27.2中小企业依据《政府采购促进中小企业发展管理办法》（财库〔2020〕46号）规定的政策获取政府采购合同后，小型、微型企业不得分包或转包给大型、中型企业，中型企业不得分包或转包给大型企业。</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成交供应商转包的，视同拒绝履行政府采购合同义务，将依法追究法律责任。</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30.履约保证金（本项目不收取）</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.1 成交供应商应在合同签订之前交纳竞争性磋商文件规定数额的履约保证金。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.2 如果成交供应商在规定的合同签订时间内，没有按照采购文件的规定交纳履约保证金，且又无正当理由的，将视为放弃成交。</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采购人应当将政府采购合同副本自签订（双方当事人均已签字盖章）之日起七个工作日内通过四川政府采购网报同级财政部门备案。</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.2 在合同履行过程中，如发生合同纠纷，合同双方应按照《中华人民共和国民法典》的有关规定进行处理。</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.1本项目采购人及其委托的采购代理机构将严格按照政府采购相关法律法规以及《财政部关于进一步加强政府采购需求和履约验收管理的指导意见》（财库〔2016〕205号）等政府采购相关法律法规的要求进行验收。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验收结果合格的，成交供应商凭验收报告办理相关手续；验收结果不合格的，履约保证金将不予退还，也将不予支付采购资金，还可能会报本项目同级财政部门按照政府采购法律法规等有关规定给予行政处罚。</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35.资金支付</w:t>
      </w:r>
    </w:p>
    <w:p>
      <w:pPr>
        <w:spacing w:line="400" w:lineRule="exact"/>
        <w:ind w:firstLine="480" w:firstLineChars="200"/>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采购人将按照政府采购合同规定，及时向成交供应商支付采购资金。本项目采购资金付款详见第五章规定的付款方式。</w:t>
      </w:r>
      <w:bookmarkEnd w:id="39"/>
    </w:p>
    <w:p>
      <w:pPr>
        <w:rPr>
          <w:rFonts w:ascii="仿宋" w:hAnsi="仿宋" w:eastAsia="仿宋"/>
          <w:color w:val="000000" w:themeColor="text1"/>
          <w14:textFill>
            <w14:solidFill>
              <w14:schemeClr w14:val="tx1"/>
            </w14:solidFill>
          </w14:textFill>
        </w:rPr>
      </w:pPr>
      <w:bookmarkStart w:id="81" w:name="PO_默认文件内容_25"/>
      <w:r>
        <w:rPr>
          <w:rFonts w:hint="eastAsia" w:ascii="仿宋" w:hAnsi="仿宋" w:eastAsia="仿宋"/>
          <w:color w:val="000000" w:themeColor="text1"/>
          <w14:textFill>
            <w14:solidFill>
              <w14:schemeClr w14:val="tx1"/>
            </w14:solidFill>
          </w14:textFill>
        </w:rPr>
        <w:br w:type="page"/>
      </w:r>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14:textFill>
            <w14:solidFill>
              <w14:schemeClr w14:val="tx1"/>
            </w14:solidFill>
          </w14:textFill>
        </w:rPr>
        <w:t>八、磋商纪律要求</w:t>
      </w:r>
    </w:p>
    <w:p>
      <w:pPr>
        <w:pStyle w:val="6"/>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36.供应商不得具有的情形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供应商参加本项目磋商不得有下列情形：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（1）提供虚假材料谋取成交；</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（2）采取不正当手段诋毁、排挤其他供应商；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（3）与采购人、采购代理机构、或其他供应商恶意串通；</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（5）在磋商过程中与采购人、采购代理机构进行协商；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（7）未按照磋商文件确定的事项签订政府采购合同；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pPr>
        <w:pStyle w:val="12"/>
        <w:rPr>
          <w:color w:val="000000" w:themeColor="text1"/>
          <w14:textFill>
            <w14:solidFill>
              <w14:schemeClr w14:val="tx1"/>
            </w14:solidFill>
          </w14:textFill>
        </w:rPr>
      </w:pPr>
    </w:p>
    <w:p>
      <w:pPr>
        <w:tabs>
          <w:tab w:val="left" w:pos="851"/>
        </w:tabs>
        <w:spacing w:line="360" w:lineRule="auto"/>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九、询问、质疑和投诉</w:t>
      </w:r>
    </w:p>
    <w:p>
      <w:pPr>
        <w:tabs>
          <w:tab w:val="left" w:pos="851"/>
        </w:tabs>
        <w:spacing w:line="360" w:lineRule="auto"/>
        <w:ind w:firstLine="49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》和四川省的有关规定办理（详细规定请在四川政府采购网政策法规模块查询）。</w:t>
      </w:r>
    </w:p>
    <w:p>
      <w:pPr>
        <w:pStyle w:val="12"/>
        <w:rPr>
          <w:color w:val="000000" w:themeColor="text1"/>
          <w14:textFill>
            <w14:solidFill>
              <w14:schemeClr w14:val="tx1"/>
            </w14:solidFill>
          </w14:textFill>
        </w:rPr>
      </w:pPr>
    </w:p>
    <w:p>
      <w:pPr>
        <w:tabs>
          <w:tab w:val="left" w:pos="851"/>
        </w:tabs>
        <w:spacing w:line="360" w:lineRule="auto"/>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十、其  他</w:t>
      </w:r>
    </w:p>
    <w:p>
      <w:pPr>
        <w:tabs>
          <w:tab w:val="left" w:pos="851"/>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3</w:t>
      </w: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39</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bookmarkEnd w:id="81"/>
    </w:p>
    <w:p>
      <w:pPr>
        <w:pStyle w:val="29"/>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bookmarkStart w:id="82" w:name="_Toc20714"/>
      <w:bookmarkStart w:id="83" w:name="PO_默认文件内容_26"/>
      <w:r>
        <w:rPr>
          <w:rFonts w:hint="eastAsia" w:ascii="仿宋" w:hAnsi="仿宋" w:eastAsia="仿宋"/>
          <w:color w:val="000000" w:themeColor="text1"/>
          <w14:textFill>
            <w14:solidFill>
              <w14:schemeClr w14:val="tx1"/>
            </w14:solidFill>
          </w14:textFill>
        </w:rPr>
        <w:t>第三章  供应商和报价产品的资格、资质性及其他类似效力要求</w:t>
      </w:r>
      <w:bookmarkEnd w:id="82"/>
    </w:p>
    <w:p>
      <w:pPr>
        <w:rPr>
          <w:rFonts w:ascii="仿宋" w:hAnsi="仿宋" w:eastAsia="仿宋"/>
          <w:b/>
          <w:color w:val="000000" w:themeColor="text1"/>
          <w:sz w:val="32"/>
          <w:szCs w:val="32"/>
          <w14:textFill>
            <w14:solidFill>
              <w14:schemeClr w14:val="tx1"/>
            </w14:solidFill>
          </w14:textFill>
        </w:rPr>
      </w:pPr>
    </w:p>
    <w:p>
      <w:pPr>
        <w:spacing w:line="360" w:lineRule="auto"/>
        <w:ind w:firstLine="542" w:firstLineChars="225"/>
        <w:outlineLvl w:val="1"/>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一、参加磋商的供应商应具备下列资格条件：</w:t>
      </w:r>
    </w:p>
    <w:p>
      <w:pPr>
        <w:pStyle w:val="6"/>
        <w:keepNext w:val="0"/>
        <w:keepLines w:val="0"/>
        <w:spacing w:before="0" w:after="0" w:line="360" w:lineRule="auto"/>
        <w:rPr>
          <w:rFonts w:ascii="仿宋" w:hAnsi="仿宋" w:eastAsia="仿宋" w:cs="仿宋"/>
          <w:color w:val="000000" w:themeColor="text1"/>
          <w:sz w:val="24"/>
          <w:szCs w:val="24"/>
          <w14:textFill>
            <w14:solidFill>
              <w14:schemeClr w14:val="tx1"/>
            </w14:solidFill>
          </w14:textFill>
        </w:rPr>
      </w:pPr>
      <w:bookmarkStart w:id="84" w:name="_Toc4193"/>
      <w:r>
        <w:rPr>
          <w:rFonts w:hint="eastAsia" w:ascii="仿宋" w:hAnsi="仿宋" w:eastAsia="仿宋" w:cs="仿宋"/>
          <w:color w:val="000000" w:themeColor="text1"/>
          <w:sz w:val="24"/>
          <w:szCs w:val="24"/>
          <w14:textFill>
            <w14:solidFill>
              <w14:schemeClr w14:val="tx1"/>
            </w14:solidFill>
          </w14:textFill>
        </w:rPr>
        <w:t>（一）《中华人民共和国政府采购法》第二十二条规定的条件：</w:t>
      </w:r>
      <w:bookmarkEnd w:id="84"/>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5" w:name="_Toc28055"/>
      <w:r>
        <w:rPr>
          <w:rFonts w:hint="eastAsia" w:ascii="仿宋" w:hAnsi="仿宋" w:eastAsia="仿宋" w:cs="仿宋"/>
          <w:color w:val="000000" w:themeColor="text1"/>
          <w:sz w:val="24"/>
          <w14:textFill>
            <w14:solidFill>
              <w14:schemeClr w14:val="tx1"/>
            </w14:solidFill>
          </w14:textFill>
        </w:rPr>
        <w:t>1、具有独立承担民事责任的能力。</w:t>
      </w:r>
      <w:bookmarkEnd w:id="85"/>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6" w:name="_Toc24328"/>
      <w:r>
        <w:rPr>
          <w:rFonts w:hint="eastAsia" w:ascii="仿宋" w:hAnsi="仿宋" w:eastAsia="仿宋" w:cs="仿宋"/>
          <w:color w:val="000000" w:themeColor="text1"/>
          <w:sz w:val="24"/>
          <w14:textFill>
            <w14:solidFill>
              <w14:schemeClr w14:val="tx1"/>
            </w14:solidFill>
          </w14:textFill>
        </w:rPr>
        <w:t>2、具有良好的商业信誉和健全的财务会计制度。</w:t>
      </w:r>
      <w:bookmarkEnd w:id="86"/>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7" w:name="_Toc1517"/>
      <w:r>
        <w:rPr>
          <w:rFonts w:hint="eastAsia" w:ascii="仿宋" w:hAnsi="仿宋" w:eastAsia="仿宋" w:cs="仿宋"/>
          <w:color w:val="000000" w:themeColor="text1"/>
          <w:sz w:val="24"/>
          <w14:textFill>
            <w14:solidFill>
              <w14:schemeClr w14:val="tx1"/>
            </w14:solidFill>
          </w14:textFill>
        </w:rPr>
        <w:t>3、具有履行合同所必须的设备和专业技术能力。</w:t>
      </w:r>
      <w:bookmarkEnd w:id="87"/>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8" w:name="_Toc7238"/>
      <w:r>
        <w:rPr>
          <w:rFonts w:hint="eastAsia" w:ascii="仿宋" w:hAnsi="仿宋" w:eastAsia="仿宋" w:cs="仿宋"/>
          <w:color w:val="000000" w:themeColor="text1"/>
          <w:sz w:val="24"/>
          <w14:textFill>
            <w14:solidFill>
              <w14:schemeClr w14:val="tx1"/>
            </w14:solidFill>
          </w14:textFill>
        </w:rPr>
        <w:t>4、有依法缴纳税收和社会保障资金的良好记录。</w:t>
      </w:r>
      <w:bookmarkEnd w:id="88"/>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89" w:name="_Toc524"/>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bookmarkEnd w:id="89"/>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6、法律、行政法规规定的其他条件。 </w:t>
      </w:r>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7、根据采购项目的特殊要求：无</w:t>
      </w:r>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8、本项目参加采购活动的供应商、法定代表人/主要负责人不得具有行贿犯罪记录。</w:t>
      </w:r>
    </w:p>
    <w:p>
      <w:pPr>
        <w:pStyle w:val="50"/>
        <w:ind w:firstLine="240" w:firstLineChars="1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9、落实政府采购政策需满足的资格要求：无。</w:t>
      </w:r>
    </w:p>
    <w:p>
      <w:pPr>
        <w:pStyle w:val="6"/>
        <w:keepNext w:val="0"/>
        <w:keepLines w:val="0"/>
        <w:spacing w:before="0" w:after="0" w:line="360" w:lineRule="auto"/>
        <w:rPr>
          <w:rFonts w:ascii="仿宋" w:hAnsi="仿宋" w:eastAsia="仿宋" w:cs="仿宋"/>
          <w:color w:val="000000" w:themeColor="text1"/>
          <w:sz w:val="24"/>
          <w:szCs w:val="24"/>
          <w14:textFill>
            <w14:solidFill>
              <w14:schemeClr w14:val="tx1"/>
            </w14:solidFill>
          </w14:textFill>
        </w:rPr>
      </w:pPr>
      <w:bookmarkStart w:id="90" w:name="_Toc30602"/>
      <w:r>
        <w:rPr>
          <w:rFonts w:hint="eastAsia" w:ascii="仿宋" w:hAnsi="仿宋" w:eastAsia="仿宋" w:cs="仿宋"/>
          <w:color w:val="000000" w:themeColor="text1"/>
          <w:sz w:val="24"/>
          <w:szCs w:val="24"/>
          <w14:textFill>
            <w14:solidFill>
              <w14:schemeClr w14:val="tx1"/>
            </w14:solidFill>
          </w14:textFill>
        </w:rPr>
        <w:t>（二）供应商其他类似效力要求相关要求：</w:t>
      </w:r>
      <w:bookmarkEnd w:id="90"/>
    </w:p>
    <w:p>
      <w:pPr>
        <w:spacing w:line="360" w:lineRule="auto"/>
        <w:ind w:firstLine="240" w:firstLineChars="100"/>
        <w:rPr>
          <w:rFonts w:ascii="仿宋" w:hAnsi="仿宋" w:eastAsia="仿宋" w:cs="仿宋"/>
          <w:color w:val="000000" w:themeColor="text1"/>
          <w:sz w:val="24"/>
          <w14:textFill>
            <w14:solidFill>
              <w14:schemeClr w14:val="tx1"/>
            </w14:solidFill>
          </w14:textFill>
        </w:rPr>
      </w:pPr>
      <w:bookmarkStart w:id="91" w:name="_Toc22243"/>
      <w:r>
        <w:rPr>
          <w:rFonts w:hint="eastAsia" w:ascii="仿宋" w:hAnsi="仿宋" w:eastAsia="仿宋" w:cs="仿宋"/>
          <w:color w:val="000000" w:themeColor="text1"/>
          <w:sz w:val="24"/>
          <w14:textFill>
            <w14:solidFill>
              <w14:schemeClr w14:val="tx1"/>
            </w14:solidFill>
          </w14:textFill>
        </w:rPr>
        <w:t>1、法定代表人参加采购活动或授权参加本项目的供应商代表证明材料。</w:t>
      </w:r>
      <w:bookmarkEnd w:id="91"/>
    </w:p>
    <w:p>
      <w:pPr>
        <w:spacing w:line="360" w:lineRule="auto"/>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2、本项目不接受联合体参与磋商。</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hint="eastAsia"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br w:type="page"/>
      </w:r>
    </w:p>
    <w:p>
      <w:pPr>
        <w:pStyle w:val="29"/>
        <w:rPr>
          <w:rFonts w:ascii="仿宋" w:hAnsi="仿宋" w:eastAsia="仿宋"/>
          <w:color w:val="000000" w:themeColor="text1"/>
          <w:sz w:val="28"/>
          <w:szCs w:val="28"/>
          <w14:textFill>
            <w14:solidFill>
              <w14:schemeClr w14:val="tx1"/>
            </w14:solidFill>
          </w14:textFill>
        </w:rPr>
      </w:pPr>
      <w:bookmarkStart w:id="92" w:name="_Toc32172"/>
      <w:r>
        <w:rPr>
          <w:rFonts w:hint="eastAsia" w:ascii="仿宋" w:hAnsi="仿宋" w:eastAsia="仿宋"/>
          <w:color w:val="000000" w:themeColor="text1"/>
          <w14:textFill>
            <w14:solidFill>
              <w14:schemeClr w14:val="tx1"/>
            </w14:solidFill>
          </w14:textFill>
        </w:rPr>
        <w:t>第四章  供应商应当提供的资格、资质性及其他类似效力要求的相关证明材料</w:t>
      </w:r>
      <w:bookmarkEnd w:id="92"/>
    </w:p>
    <w:p>
      <w:pPr>
        <w:ind w:firstLine="538"/>
        <w:rPr>
          <w:rFonts w:ascii="仿宋" w:hAnsi="仿宋" w:eastAsia="仿宋"/>
          <w:color w:val="000000" w:themeColor="text1"/>
          <w:sz w:val="28"/>
          <w:szCs w:val="28"/>
          <w14:textFill>
            <w14:solidFill>
              <w14:schemeClr w14:val="tx1"/>
            </w14:solidFill>
          </w14:textFill>
        </w:rPr>
      </w:pPr>
    </w:p>
    <w:p>
      <w:pPr>
        <w:spacing w:line="360" w:lineRule="auto"/>
        <w:ind w:firstLine="472" w:firstLineChars="196"/>
        <w:outlineLvl w:val="1"/>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应当提供的供应商资格、资质性及其他类似效力要求的相关证明材料</w:t>
      </w:r>
    </w:p>
    <w:p>
      <w:pPr>
        <w:spacing w:line="360" w:lineRule="auto"/>
        <w:ind w:firstLine="236" w:firstLineChars="98"/>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2、具备良好商业信誉的证明材料（可提供承诺函，格式详见第七章）；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备健全的财务会计制度的证明材料。（注：①供应商提供近两年任意一年经审计的财务报告复印件或供应商提供近两年任意一年内部的财务报表至少包含资产负债表、利润表、现金流量表的复印件或承诺函；②新成立不足1年的可提供加盖公章的营业执照副本复印件或承诺函；③供应商若为非营利性单位或其他机关事业单位，提供符合财务会计制度的证明材料复印件或承诺函；）</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4、具有依法缴纳税收和社会保障资金的良好记录（可提供承诺函，格式详见第七章）；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5、具备履行合同所必需的设备和专业技术能力的证明材料（可提供承诺函，格式详见第七章）；</w:t>
      </w:r>
    </w:p>
    <w:p>
      <w:pPr>
        <w:spacing w:line="360" w:lineRule="auto"/>
        <w:ind w:firstLine="470" w:firstLineChars="196"/>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6、参加政府采购活动前3年内在经营活动中没有重大违法记录的承诺函（格式详见第七章）；</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7、具备法律、行政法规规定的其他条件的证明材料（可提供承诺函，格式详见第七章）；</w:t>
      </w:r>
    </w:p>
    <w:p>
      <w:pPr>
        <w:tabs>
          <w:tab w:val="left" w:pos="7665"/>
        </w:tabs>
        <w:spacing w:line="400" w:lineRule="exact"/>
        <w:ind w:firstLine="480"/>
        <w:outlineLvl w:val="3"/>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8、本项目的特定资格要求：</w:t>
      </w:r>
    </w:p>
    <w:p>
      <w:pPr>
        <w:tabs>
          <w:tab w:val="left" w:pos="7665"/>
        </w:tabs>
        <w:spacing w:line="400" w:lineRule="exact"/>
        <w:ind w:firstLine="480"/>
        <w:outlineLvl w:val="4"/>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8</w:t>
      </w:r>
      <w:r>
        <w:rPr>
          <w:rFonts w:hint="eastAsia" w:ascii="仿宋" w:hAnsi="仿宋" w:eastAsia="仿宋" w:cs="宋体"/>
          <w:color w:val="000000" w:themeColor="text1"/>
          <w:sz w:val="24"/>
          <w14:textFill>
            <w14:solidFill>
              <w14:schemeClr w14:val="tx1"/>
            </w14:solidFill>
          </w14:textFill>
        </w:rPr>
        <w:t>.1在行贿犯罪信息查询期限内，我单位及我单位现任法定代表人、主要负责人是否具有行贿犯罪记录（可提供承诺函，格式详见第七章）；</w:t>
      </w:r>
    </w:p>
    <w:p>
      <w:pPr>
        <w:tabs>
          <w:tab w:val="left" w:pos="7665"/>
        </w:tabs>
        <w:spacing w:line="400" w:lineRule="exact"/>
        <w:ind w:firstLine="480"/>
        <w:outlineLvl w:val="4"/>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8</w:t>
      </w:r>
      <w:r>
        <w:rPr>
          <w:rFonts w:hint="eastAsia" w:ascii="仿宋" w:hAnsi="仿宋" w:eastAsia="仿宋" w:cs="宋体"/>
          <w:color w:val="000000" w:themeColor="text1"/>
          <w:sz w:val="24"/>
          <w14:textFill>
            <w14:solidFill>
              <w14:schemeClr w14:val="tx1"/>
            </w14:solidFill>
          </w14:textFill>
        </w:rPr>
        <w:t>.2未被列入失信被执行人、重大税收违法案件当事人名单、政府采购严重违法失信行为记录名单（可提供承诺函，格式详见第七章）；</w:t>
      </w:r>
    </w:p>
    <w:p>
      <w:pPr>
        <w:pStyle w:val="20"/>
        <w:ind w:firstLine="480" w:firstLineChars="200"/>
        <w:outlineLvl w:val="3"/>
        <w:rPr>
          <w:rFonts w:hint="eastAsia" w:eastAsia="仿宋"/>
          <w:color w:val="000000" w:themeColor="text1"/>
          <w:lang w:eastAsia="zh-CN"/>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9、</w:t>
      </w:r>
      <w:r>
        <w:rPr>
          <w:rFonts w:hint="eastAsia" w:ascii="仿宋" w:hAnsi="仿宋" w:eastAsia="仿宋" w:cs="宋体"/>
          <w:color w:val="000000" w:themeColor="text1"/>
          <w:sz w:val="24"/>
          <w14:textFill>
            <w14:solidFill>
              <w14:schemeClr w14:val="tx1"/>
            </w14:solidFill>
          </w14:textFill>
        </w:rPr>
        <w:t>本项目</w:t>
      </w:r>
      <w:r>
        <w:rPr>
          <w:rFonts w:hint="eastAsia" w:ascii="仿宋" w:hAnsi="仿宋" w:eastAsia="仿宋" w:cs="宋体"/>
          <w:color w:val="000000" w:themeColor="text1"/>
          <w:sz w:val="24"/>
          <w:lang w:val="en-US" w:eastAsia="zh-CN"/>
          <w14:textFill>
            <w14:solidFill>
              <w14:schemeClr w14:val="tx1"/>
            </w14:solidFill>
          </w14:textFill>
        </w:rPr>
        <w:t>不</w:t>
      </w:r>
      <w:r>
        <w:rPr>
          <w:rFonts w:hint="eastAsia" w:ascii="仿宋" w:hAnsi="仿宋" w:eastAsia="仿宋" w:cs="宋体"/>
          <w:color w:val="000000" w:themeColor="text1"/>
          <w:sz w:val="24"/>
          <w14:textFill>
            <w14:solidFill>
              <w14:schemeClr w14:val="tx1"/>
            </w14:solidFill>
          </w14:textFill>
        </w:rPr>
        <w:t>专门面向中小企业采购</w:t>
      </w:r>
      <w:r>
        <w:rPr>
          <w:rFonts w:hint="eastAsia" w:ascii="仿宋" w:hAnsi="仿宋" w:eastAsia="仿宋" w:cs="宋体"/>
          <w:color w:val="000000" w:themeColor="text1"/>
          <w:sz w:val="24"/>
          <w:lang w:eastAsia="zh-CN"/>
          <w14:textFill>
            <w14:solidFill>
              <w14:schemeClr w14:val="tx1"/>
            </w14:solidFill>
          </w14:textFill>
        </w:rPr>
        <w:t>；</w:t>
      </w:r>
    </w:p>
    <w:p>
      <w:pPr>
        <w:pStyle w:val="50"/>
        <w:spacing w:line="420" w:lineRule="exact"/>
        <w:ind w:left="0" w:leftChars="0" w:firstLine="480" w:firstLineChars="200"/>
        <w:outlineLvl w:val="3"/>
        <w:rPr>
          <w:rFonts w:ascii="仿宋" w:hAnsi="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lang w:val="en-US" w:eastAsia="zh-CN"/>
          <w14:textFill>
            <w14:solidFill>
              <w14:schemeClr w14:val="tx1"/>
            </w14:solidFill>
          </w14:textFill>
        </w:rPr>
        <w:t>0</w:t>
      </w:r>
      <w:r>
        <w:rPr>
          <w:rFonts w:hint="eastAsia" w:ascii="仿宋" w:hAnsi="仿宋" w:eastAsia="仿宋" w:cs="宋体"/>
          <w:color w:val="000000" w:themeColor="text1"/>
          <w:sz w:val="24"/>
          <w14:textFill>
            <w14:solidFill>
              <w14:schemeClr w14:val="tx1"/>
            </w14:solidFill>
          </w14:textFill>
        </w:rPr>
        <w:t>、本</w:t>
      </w:r>
      <w:r>
        <w:rPr>
          <w:rFonts w:ascii="仿宋" w:hAnsi="仿宋" w:eastAsia="仿宋" w:cs="宋体"/>
          <w:color w:val="000000" w:themeColor="text1"/>
          <w:sz w:val="24"/>
          <w14:textFill>
            <w14:solidFill>
              <w14:schemeClr w14:val="tx1"/>
            </w14:solidFill>
          </w14:textFill>
        </w:rPr>
        <w:t>项目</w:t>
      </w:r>
      <w:r>
        <w:rPr>
          <w:rFonts w:hint="eastAsia" w:ascii="仿宋" w:hAnsi="仿宋" w:eastAsia="仿宋" w:cs="宋体"/>
          <w:color w:val="000000" w:themeColor="text1"/>
          <w:sz w:val="24"/>
          <w14:textFill>
            <w14:solidFill>
              <w14:schemeClr w14:val="tx1"/>
            </w14:solidFill>
          </w14:textFill>
        </w:rPr>
        <w:t>不</w:t>
      </w:r>
      <w:r>
        <w:rPr>
          <w:rFonts w:ascii="仿宋" w:hAnsi="仿宋" w:eastAsia="仿宋" w:cs="宋体"/>
          <w:color w:val="000000" w:themeColor="text1"/>
          <w:sz w:val="24"/>
          <w14:textFill>
            <w14:solidFill>
              <w14:schemeClr w14:val="tx1"/>
            </w14:solidFill>
          </w14:textFill>
        </w:rPr>
        <w:t>允许联合体</w:t>
      </w:r>
      <w:r>
        <w:rPr>
          <w:rFonts w:hint="eastAsia" w:ascii="仿宋" w:hAnsi="仿宋" w:eastAsia="仿宋" w:cs="宋体"/>
          <w:color w:val="000000" w:themeColor="text1"/>
          <w:sz w:val="24"/>
          <w14:textFill>
            <w14:solidFill>
              <w14:schemeClr w14:val="tx1"/>
            </w14:solidFill>
          </w14:textFill>
        </w:rPr>
        <w:t>参加</w:t>
      </w:r>
      <w:r>
        <w:rPr>
          <w:rFonts w:hint="eastAsia"/>
          <w:color w:val="000000" w:themeColor="text1"/>
          <w14:textFill>
            <w14:solidFill>
              <w14:schemeClr w14:val="tx1"/>
            </w14:solidFill>
          </w14:textFill>
        </w:rPr>
        <w:t>。</w:t>
      </w:r>
    </w:p>
    <w:p>
      <w:pPr>
        <w:spacing w:after="50" w:line="360" w:lineRule="auto"/>
        <w:ind w:firstLine="480"/>
        <w:outlineLvl w:val="2"/>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（二）其他类似效力要求相关证明材料：</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（1）法定代表人/单位负责人身份证明材料复印件。</w:t>
      </w:r>
    </w:p>
    <w:p>
      <w:pPr>
        <w:spacing w:after="50" w:line="360" w:lineRule="auto"/>
        <w:ind w:firstLine="480"/>
        <w:outlineLvl w:val="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360" w:lineRule="auto"/>
        <w:ind w:firstLine="480"/>
        <w:rPr>
          <w:rFonts w:ascii="仿宋" w:hAnsi="仿宋" w:eastAsia="仿宋"/>
          <w:b/>
          <w:bCs/>
          <w:color w:val="000000" w:themeColor="text1"/>
          <w:spacing w:val="-6"/>
          <w:sz w:val="24"/>
          <w14:textFill>
            <w14:solidFill>
              <w14:schemeClr w14:val="tx1"/>
            </w14:solidFill>
          </w14:textFill>
        </w:rPr>
      </w:pPr>
    </w:p>
    <w:p>
      <w:pPr>
        <w:spacing w:after="50" w:line="360" w:lineRule="auto"/>
        <w:ind w:firstLine="480"/>
        <w:outlineLvl w:val="1"/>
        <w:rPr>
          <w:rFonts w:ascii="仿宋" w:hAnsi="仿宋" w:eastAsia="仿宋"/>
          <w:b/>
          <w:bCs/>
          <w:color w:val="000000" w:themeColor="text1"/>
          <w:spacing w:val="-6"/>
          <w:sz w:val="24"/>
          <w14:textFill>
            <w14:solidFill>
              <w14:schemeClr w14:val="tx1"/>
            </w14:solidFill>
          </w14:textFill>
        </w:rPr>
      </w:pPr>
      <w:r>
        <w:rPr>
          <w:rFonts w:hint="eastAsia" w:ascii="仿宋" w:hAnsi="仿宋" w:eastAsia="仿宋"/>
          <w:b/>
          <w:bCs/>
          <w:color w:val="000000" w:themeColor="text1"/>
          <w:spacing w:val="-6"/>
          <w:sz w:val="24"/>
          <w14:textFill>
            <w14:solidFill>
              <w14:schemeClr w14:val="tx1"/>
            </w14:solidFill>
          </w14:textFill>
        </w:rPr>
        <w:t>二、供应商应提供的报价产品的资格、资质性及其他类似效力要求的相关证明材料：</w:t>
      </w:r>
    </w:p>
    <w:p>
      <w:pPr>
        <w:spacing w:after="50" w:line="360" w:lineRule="auto"/>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无</w:t>
      </w:r>
      <w:r>
        <w:rPr>
          <w:rFonts w:hint="eastAsia" w:ascii="仿宋" w:hAnsi="仿宋" w:eastAsia="仿宋"/>
          <w:color w:val="000000" w:themeColor="text1"/>
          <w:sz w:val="24"/>
          <w14:textFill>
            <w14:solidFill>
              <w14:schemeClr w14:val="tx1"/>
            </w14:solidFill>
          </w14:textFill>
        </w:rPr>
        <w:t>。</w:t>
      </w:r>
    </w:p>
    <w:p>
      <w:pPr>
        <w:spacing w:line="360" w:lineRule="auto"/>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注：1、以上要求的资料复印件均须加盖供应商单位的公章（鲜章）。</w:t>
      </w:r>
    </w:p>
    <w:p>
      <w:pPr>
        <w:spacing w:line="360" w:lineRule="auto"/>
        <w:rPr>
          <w:rFonts w:ascii="仿宋" w:hAnsi="仿宋" w:eastAsia="仿宋"/>
          <w:color w:val="000000" w:themeColor="text1"/>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2、</w:t>
      </w:r>
      <w:r>
        <w:rPr>
          <w:rFonts w:ascii="仿宋" w:hAnsi="仿宋" w:eastAsia="仿宋" w:cs="宋体"/>
          <w:b/>
          <w:color w:val="000000" w:themeColor="text1"/>
          <w:kern w:val="0"/>
          <w:sz w:val="24"/>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七</w:t>
      </w:r>
      <w:r>
        <w:rPr>
          <w:rFonts w:ascii="仿宋" w:hAnsi="仿宋" w:eastAsia="仿宋" w:cs="宋体"/>
          <w:b/>
          <w:color w:val="000000" w:themeColor="text1"/>
          <w:kern w:val="0"/>
          <w:sz w:val="24"/>
          <w14:textFill>
            <w14:solidFill>
              <w14:schemeClr w14:val="tx1"/>
            </w14:solidFill>
          </w14:textFill>
        </w:rPr>
        <w:t>章）。</w:t>
      </w:r>
      <w:bookmarkEnd w:id="83"/>
    </w:p>
    <w:p>
      <w:pPr>
        <w:spacing w:after="50" w:line="4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pStyle w:val="29"/>
        <w:rPr>
          <w:ins w:id="0" w:author="模板" w:date="2021-03-29T00:39:00Z"/>
          <w:color w:val="000000" w:themeColor="text1"/>
          <w14:textFill>
            <w14:solidFill>
              <w14:schemeClr w14:val="tx1"/>
            </w14:solidFill>
          </w14:textFill>
        </w:rPr>
      </w:pPr>
      <w:bookmarkStart w:id="93" w:name="_Toc8411"/>
      <w:r>
        <w:rPr>
          <w:rFonts w:hint="eastAsia" w:ascii="仿宋" w:hAnsi="仿宋" w:eastAsia="仿宋"/>
          <w:color w:val="000000" w:themeColor="text1"/>
          <w14:textFill>
            <w14:solidFill>
              <w14:schemeClr w14:val="tx1"/>
            </w14:solidFill>
          </w14:textFill>
        </w:rPr>
        <w:t>第五章  采购项目技术、服务、商务要求</w:t>
      </w:r>
      <w:bookmarkEnd w:id="93"/>
      <w:bookmarkStart w:id="94" w:name="PO_默认文件内容_27"/>
    </w:p>
    <w:p>
      <w:pPr>
        <w:pStyle w:val="4"/>
        <w:spacing w:line="400" w:lineRule="exact"/>
        <w:rPr>
          <w:rFonts w:ascii="仿宋" w:hAnsi="仿宋" w:eastAsia="仿宋"/>
          <w:color w:val="000000" w:themeColor="text1"/>
          <w:sz w:val="30"/>
          <w:szCs w:val="30"/>
          <w14:textFill>
            <w14:solidFill>
              <w14:schemeClr w14:val="tx1"/>
            </w14:solidFill>
          </w14:textFill>
        </w:rPr>
      </w:pPr>
      <w:r>
        <w:rPr>
          <w:rFonts w:ascii="仿宋" w:hAnsi="仿宋" w:eastAsia="仿宋"/>
          <w:color w:val="000000" w:themeColor="text1"/>
          <w:sz w:val="30"/>
          <w:szCs w:val="30"/>
          <w14:textFill>
            <w14:solidFill>
              <w14:schemeClr w14:val="tx1"/>
            </w14:solidFill>
          </w14:textFill>
        </w:rPr>
        <w:t>一</w:t>
      </w:r>
      <w:r>
        <w:rPr>
          <w:rFonts w:hint="eastAsia" w:ascii="仿宋" w:hAnsi="仿宋" w:eastAsia="仿宋"/>
          <w:color w:val="000000" w:themeColor="text1"/>
          <w:sz w:val="30"/>
          <w:szCs w:val="30"/>
          <w14:textFill>
            <w14:solidFill>
              <w14:schemeClr w14:val="tx1"/>
            </w14:solidFill>
          </w14:textFill>
        </w:rPr>
        <w:t>、</w:t>
      </w:r>
      <w:r>
        <w:rPr>
          <w:rFonts w:ascii="仿宋" w:hAnsi="仿宋" w:eastAsia="仿宋"/>
          <w:color w:val="000000" w:themeColor="text1"/>
          <w:sz w:val="30"/>
          <w:szCs w:val="30"/>
          <w14:textFill>
            <w14:solidFill>
              <w14:schemeClr w14:val="tx1"/>
            </w14:solidFill>
          </w14:textFill>
        </w:rPr>
        <w:t>项目概述</w:t>
      </w:r>
    </w:p>
    <w:p>
      <w:pPr>
        <w:pStyle w:val="6"/>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1、项目概况</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（1）、汇源校区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1）、实现教学楼ABCDE五栋楼道、楼梯监控死角补点；</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2）、实现图书室、阅览室等功能区监控死角补点；</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3）、BC、CD两个连接楼栋下小院实现高空抛物和球机自动识别监控；</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4）、每个校门、主要楼栋进出口通道安装一台人脸识别摄像机，通过人脸智能识别，并与公安联网，实现对特殊人群的提前报警预警；</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5）、教学楼附近环形道、校园内主要通道架设摄像机实现监控无死角盲区；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6）、实现运动场、篮球馆、食堂等公共区域补点，实现无死角盲区；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7）、通过增加安全视频平台管理主控设备，达到原监控系统和增补监控系统统一管理，实现监控无死角；</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8）、增加存储主控设备，增加监控专用硬盘，实现90天不间断监控，实现事后随时调用查询；</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9）、由于原监控系统运行过程中，出现停电等情况，造成监控无法运行，本次增加购买20KV（4小时）不间断电源，实现全天24小时不间断监控；</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10）、由于监控点位增加，本次新增4个LED拼接显示屏，可实现画面轮巡，供保安和校园安全管理部门方便管理。</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（2）水井坊校区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1）本次增加41个摄像头，补齐监控死角；</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2）增加一台64路硬盘录像机；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3）增购9块8T硬盘，实现存储扩容，增加一台55寸显示终端。</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（3）银杏校区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1）增加20个摄像头，补齐监控死角；</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2）增加一台32路硬盘录像机；</w:t>
      </w:r>
    </w:p>
    <w:p>
      <w:pPr>
        <w:spacing w:line="360" w:lineRule="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3）增购3块8T硬盘和一台55寸显示终端。</w:t>
      </w:r>
    </w:p>
    <w:p>
      <w:pPr>
        <w:pStyle w:val="6"/>
        <w:spacing w:line="40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标的名称</w:t>
      </w:r>
      <w:r>
        <w:rPr>
          <w:rFonts w:hint="eastAsia" w:ascii="仿宋" w:hAnsi="仿宋" w:eastAsia="仿宋"/>
          <w:color w:val="000000" w:themeColor="text1"/>
          <w:sz w:val="24"/>
          <w:szCs w:val="24"/>
          <w14:textFill>
            <w14:solidFill>
              <w14:schemeClr w14:val="tx1"/>
            </w14:solidFill>
          </w14:textFill>
        </w:rPr>
        <w:t xml:space="preserve">及所属行业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06"/>
        <w:gridCol w:w="3571"/>
        <w:gridCol w:w="1280"/>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61"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757"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品目号</w:t>
            </w:r>
          </w:p>
        </w:tc>
        <w:tc>
          <w:tcPr>
            <w:tcW w:w="1923" w:type="pct"/>
            <w:vAlign w:val="center"/>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标的</w:t>
            </w:r>
            <w:r>
              <w:rPr>
                <w:rFonts w:hint="eastAsia" w:ascii="仿宋" w:hAnsi="仿宋" w:eastAsia="仿宋"/>
                <w:color w:val="000000" w:themeColor="text1"/>
                <w:sz w:val="24"/>
                <w14:textFill>
                  <w14:solidFill>
                    <w14:schemeClr w14:val="tx1"/>
                  </w14:solidFill>
                </w14:textFill>
              </w:rPr>
              <w:t>名称</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数量</w:t>
            </w:r>
          </w:p>
        </w:tc>
        <w:tc>
          <w:tcPr>
            <w:tcW w:w="1166"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61"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757"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A02019901</w:t>
            </w:r>
          </w:p>
        </w:tc>
        <w:tc>
          <w:tcPr>
            <w:tcW w:w="1923"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四川省成都市七中育才学校校园视频监控系统采购项目</w:t>
            </w:r>
          </w:p>
        </w:tc>
        <w:tc>
          <w:tcPr>
            <w:tcW w:w="690"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1166" w:type="pct"/>
          </w:tcPr>
          <w:p>
            <w:pPr>
              <w:widowControl/>
              <w:spacing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工业</w:t>
            </w:r>
          </w:p>
        </w:tc>
      </w:tr>
    </w:tbl>
    <w:p>
      <w:pPr>
        <w:spacing w:line="360" w:lineRule="auto"/>
        <w:rPr>
          <w:rFonts w:ascii="仿宋" w:hAnsi="仿宋" w:eastAsia="仿宋"/>
          <w:color w:val="000000" w:themeColor="text1"/>
          <w:sz w:val="24"/>
          <w14:textFill>
            <w14:solidFill>
              <w14:schemeClr w14:val="tx1"/>
            </w14:solidFill>
          </w14:textFill>
        </w:rPr>
      </w:pPr>
    </w:p>
    <w:bookmarkEnd w:id="94"/>
    <w:p>
      <w:pPr>
        <w:pStyle w:val="4"/>
        <w:numPr>
          <w:ilvl w:val="0"/>
          <w:numId w:val="2"/>
        </w:numPr>
        <w:spacing w:line="400" w:lineRule="exact"/>
        <w:rPr>
          <w:rFonts w:hint="eastAsia" w:ascii="仿宋" w:hAnsi="仿宋" w:eastAsia="仿宋" w:cs="仿宋"/>
          <w:b/>
          <w:bCs/>
          <w:color w:val="000000" w:themeColor="text1"/>
          <w:sz w:val="24"/>
          <w:lang w:eastAsia="zh-CN"/>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技术要求</w:t>
      </w:r>
      <w:r>
        <w:rPr>
          <w:rFonts w:hint="eastAsia" w:ascii="仿宋" w:hAnsi="仿宋" w:eastAsia="仿宋"/>
          <w:color w:val="000000" w:themeColor="text1"/>
          <w:sz w:val="30"/>
          <w:szCs w:val="30"/>
          <w:lang w:eastAsia="zh-CN"/>
          <w14:textFill>
            <w14:solidFill>
              <w14:schemeClr w14:val="tx1"/>
            </w14:solidFill>
          </w14:textFill>
        </w:rPr>
        <w:t>（</w:t>
      </w:r>
      <w:r>
        <w:rPr>
          <w:rFonts w:hint="eastAsia" w:ascii="仿宋" w:hAnsi="仿宋" w:eastAsia="仿宋" w:cs="仿宋"/>
          <w:color w:val="000000" w:themeColor="text1"/>
          <w:kern w:val="0"/>
          <w:sz w:val="30"/>
          <w:szCs w:val="30"/>
          <w14:textFill>
            <w14:solidFill>
              <w14:schemeClr w14:val="tx1"/>
            </w14:solidFill>
          </w14:textFill>
        </w:rPr>
        <w:t>设备参数及清单</w:t>
      </w:r>
      <w:r>
        <w:rPr>
          <w:rFonts w:hint="eastAsia" w:ascii="仿宋" w:hAnsi="仿宋" w:eastAsia="仿宋" w:cs="仿宋"/>
          <w:color w:val="000000" w:themeColor="text1"/>
          <w:kern w:val="0"/>
          <w:sz w:val="30"/>
          <w:szCs w:val="30"/>
          <w:lang w:eastAsia="zh-CN"/>
          <w14:textFill>
            <w14:solidFill>
              <w14:schemeClr w14:val="tx1"/>
            </w14:solidFill>
          </w14:textFill>
        </w:rPr>
        <w:t>）</w:t>
      </w:r>
      <w:r>
        <w:rPr>
          <w:rFonts w:hint="eastAsia" w:ascii="仿宋" w:hAnsi="仿宋" w:eastAsia="仿宋" w:cs="仿宋"/>
          <w:color w:val="000000" w:themeColor="text1"/>
          <w:kern w:val="0"/>
          <w:sz w:val="28"/>
          <w:szCs w:val="28"/>
          <w:lang w:eastAsia="zh-CN"/>
          <w14:textFill>
            <w14:solidFill>
              <w14:schemeClr w14:val="tx1"/>
            </w14:solidFill>
          </w14:textFill>
        </w:rPr>
        <w:t>：</w:t>
      </w:r>
    </w:p>
    <w:p>
      <w:pPr>
        <w:pStyle w:val="5"/>
        <w:ind w:firstLine="480"/>
        <w:rPr>
          <w:rFonts w:hint="eastAsia" w:eastAsia="仿宋"/>
          <w:b/>
          <w:bCs/>
          <w:color w:val="000000" w:themeColor="text1"/>
          <w:lang w:eastAsia="zh-CN"/>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核心产品：硬盘录像机、安全视频平台管理主控设备</w:t>
      </w:r>
      <w:r>
        <w:rPr>
          <w:rFonts w:hint="eastAsia" w:ascii="仿宋" w:hAnsi="仿宋" w:eastAsia="仿宋" w:cs="仿宋"/>
          <w:b/>
          <w:bCs/>
          <w:color w:val="000000" w:themeColor="text1"/>
          <w:sz w:val="24"/>
          <w:lang w:eastAsia="zh-CN"/>
          <w14:textFill>
            <w14:solidFill>
              <w14:schemeClr w14:val="tx1"/>
            </w14:solidFill>
          </w14:textFill>
        </w:rPr>
        <w:t>、核心链路设备</w:t>
      </w:r>
    </w:p>
    <w:bookmarkEnd w:id="71"/>
    <w:bookmarkEnd w:id="72"/>
    <w:bookmarkEnd w:id="73"/>
    <w:bookmarkEnd w:id="74"/>
    <w:bookmarkEnd w:id="75"/>
    <w:tbl>
      <w:tblPr>
        <w:tblStyle w:val="32"/>
        <w:tblW w:w="0" w:type="auto"/>
        <w:tblInd w:w="-289" w:type="dxa"/>
        <w:tblLayout w:type="autofit"/>
        <w:tblCellMar>
          <w:top w:w="0" w:type="dxa"/>
          <w:left w:w="108" w:type="dxa"/>
          <w:bottom w:w="0" w:type="dxa"/>
          <w:right w:w="108" w:type="dxa"/>
        </w:tblCellMar>
      </w:tblPr>
      <w:tblGrid>
        <w:gridCol w:w="616"/>
        <w:gridCol w:w="1216"/>
        <w:gridCol w:w="6513"/>
        <w:gridCol w:w="616"/>
        <w:gridCol w:w="616"/>
      </w:tblGrid>
      <w:tr>
        <w:tblPrEx>
          <w:tblCellMar>
            <w:top w:w="0" w:type="dxa"/>
            <w:left w:w="108" w:type="dxa"/>
            <w:bottom w:w="0" w:type="dxa"/>
            <w:right w:w="108" w:type="dxa"/>
          </w:tblCellMar>
        </w:tblPrEx>
        <w:trPr>
          <w:trHeight w:val="2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bookmarkStart w:id="95" w:name="_Toc183682369"/>
            <w:bookmarkStart w:id="96" w:name="_Toc183582232"/>
            <w:bookmarkStart w:id="97" w:name="_Toc217446057"/>
            <w:r>
              <w:rPr>
                <w:rFonts w:hint="eastAsia" w:ascii="仿宋" w:hAnsi="仿宋" w:eastAsia="仿宋" w:cs="仿宋"/>
                <w:color w:val="000000" w:themeColor="text1"/>
                <w:kern w:val="0"/>
                <w:sz w:val="20"/>
                <w:szCs w:val="20"/>
                <w14:textFill>
                  <w14:solidFill>
                    <w14:schemeClr w14:val="tx1"/>
                  </w14:solidFill>
                </w14:textFill>
              </w:rPr>
              <w:t>序号</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品名</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技术参数</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数量</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单位</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color w:val="000000" w:themeColor="text1"/>
                <w:kern w:val="0"/>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一、七中育才汇源校区</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1、教学楼A及周边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65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651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摄像机（半球）</w:t>
            </w:r>
          </w:p>
        </w:tc>
        <w:tc>
          <w:tcPr>
            <w:tcW w:w="65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2.镜头：2.8mm、3.6mm、6mm、8mm可选，根据安装现场情况配置，红外距离≥50米；最低照度彩色≤0.002LX，黑白≤0.0002LX；输入接口≥1路RJ45，1个硬件恢复默认按钮；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 开放式网络视频接口；内置MIC；压缩标准：H.265；H.264；H.264B；MJPEG； 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摄像机（球机）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1.采用不低于200万CMOS传感器；采用电动变焦镜头，光学变倍不小于23倍；红外补光距离≥200米；最低照度检验：彩色:0.0002LX，黑白:0.0001LX；  </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可通过IE浏览器将码率设置为4Kbps～64Mbps；在MP2L2/AAC/PCM音频编码格式下采样率可设置为96KHz；具有1个RJ45网络接口、1个音频输入接口、1个音频输出接口、2个报警输入接口、1个报警输出接口、1个RS485接口、6个红外灯、1个复位按钮、1个SD卡槽。</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球机定制支架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铝质，定制</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1、24个10/100/1000Base-T自适应以太网端口；交换容量：52Gpbs，包转发率：38.7Mpps；24个千兆电口+2千兆光口；4级拨码开关;POE供电功率：370W；双风扇；自带挂耳。</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汇聚链路设备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3.安全：支持用户分级管理和口令保护、SSH2.0、端口隔离、 802.1X、端口安全、MAC地址认证、HTTPs；支持命令行、web网管、云平台管理、DLDP、VCT；绿色节能：端口定时down功能,支持端口休眠，节省能源,智能风扇调速。</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立杆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3.5米带地笼，冷扎钢管，带电喷银色防水漆，三支臂。</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2、教学楼B、E栋及周边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65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651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摄像机（半球）</w:t>
            </w:r>
          </w:p>
        </w:tc>
        <w:tc>
          <w:tcPr>
            <w:tcW w:w="65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2.镜头：2.8mm、3.6mm、6mm、8mm可选，根据安装现场情况配置，红外距离≥50米；最低照度彩色≤0.002LX，黑白≤0.0002LX；输入接口≥1路RJ45，1个硬件恢复默认按钮；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 开放式网络视频接口；内置MIC；压缩标准：H.265；H.264；H.264B；MJPEG； 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摄像机（球机）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1.采用不低于200万CMOS传感器；采用电动变焦镜头，光学变倍不小于23倍；红外补光距离≥200米；最低照度检验：彩色:0.0002LX，黑白:0.0001LX；  </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可通过IE浏览器将码率设置为4Kbps～64Mbps；在MP2L2/AAC/PCM音频编码格式下采样率可设置为96KHz；具有1个RJ45网络接口、1个音频输入接口、1个音频输出接口、2个报警输入接口、1个报警输出接口、1个RS485接口、6个红外灯、1个复位按钮、1个SD卡槽。</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定制支架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球机定制支架</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1、24个10/100/1000Base-T自适应以太网端口；交换容量：52Gpbs，包转发率：38.7Mpps；24个千兆电口+2千兆光口；4级拨码开关;POE供电功率：370W；双风扇；自带挂耳。</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墙柜</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9U</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3、教学楼C、D、E栋及周边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645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645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摄像机（半球）</w:t>
            </w:r>
          </w:p>
        </w:tc>
        <w:tc>
          <w:tcPr>
            <w:tcW w:w="645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2.镜头：2.8mm、3.6mm、6mm、8mm可选，根据安装现场情况配置，红外距离≥50米；最低照度彩色≤0.002LX，黑白≤0.0002LX；输入接口≥1路RJ45，1个硬件恢复默认按钮；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 开放式网络视频接口；内置MIC；压缩标准：H.265；H.264；H.264B；MJPEG； 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摄像机（球机）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1.采用不低于200万CMOS传感器；采用电动变焦镜头，光学变倍不小于23倍；红外补光距离≥200米；最低照度检验：彩色:0.0002LX，黑白:0.0001LX；  </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可通过IE浏览器将码率设置为4Kbps～64Mbps；在MP2L2/AAC/PCM音频编码格式下采样率可设置为96KHz；具有1个RJ45网络接口、1个音频输入接口、1个音频输出接口、2个报警输入接口、1个报警输出接口、1个RS485接口、6个红外灯、1个复位按钮、1个SD卡槽。</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定制支架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球机定制支架</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1.16个10/100/1000Base-T自适应以太网端口；交换容量：56G；包转发：27Mpps；16GE+2SFP（POE  180W）；支持POE+供电；POE供电功率≥180W；支持业务端口防雷≥9KV；支持共享缓存架构。</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汇聚链路设备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3.安全：支持用户分级管理和口令保护、SSH2.0、端口隔离、 802.1X、端口安全、MAC地址认证、HTTPs；支持命令行、web网管、云平台管理、DLDP、VCT；绿色节能：端口定时down功能,支持端口休眠，节省能源,智能风扇调速。</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墙柜</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9U。</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4、食堂及周边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645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645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摄像机（半球）</w:t>
            </w:r>
          </w:p>
        </w:tc>
        <w:tc>
          <w:tcPr>
            <w:tcW w:w="645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2.镜头：2.8mm、3.6mm、6mm、8mm可选，根据安装现场情况配置，红外距离≥50米；最低照度彩色≤0.002LX，黑白≤0.0002LX；输入接口≥1路RJ45，1个硬件恢复默认按钮；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 开放式网络视频接口；内置MIC；压缩标准：H.265；H.264；H.264B；MJPEG； 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1.16个10/100/1000Base-T自适应以太网端口；交换容量：56G；包转发：27Mpps；16GE+2SFP（POE  180W）；支持POE+供电；POE供电功率≥180W；支持业务端口防雷≥9KV；支持共享缓存架构。</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汇聚链路设备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1.性能：交换容量≥336Gbps；包转发率≥108Mpps；端口：≥24千兆电口+4千兆SFP；</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2.路由协议 支持IPv4/IPv6静态路由、支持RIP/RIPng，OSPF；二层环网：支持STP/RSTP/MSTP、BPDU Protection、ERPS、RRPP；支持基于第二层、第三层和第四层的ACL；支持DHCP client、DHCP Snooping、DHCP Server；</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3.安全：支持用户分级管理和口令保护、SSH2.0、端口隔离、 802.1X、端口安全、MAC地址认证、HTTPs；支持命令行、web网管、云平台管理、DLDP、VCT；绿色节能：端口定时down功能,支持端口休眠，节省能源,智能风扇调速。</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墙柜</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9U。</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5、AED外环形道</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防高坠摄像机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val="en-US" w:eastAsia="zh-CN"/>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1.CMOS传感器，靶面尺寸≥1/2.8英寸，≥400万像素，分辨率≥2688×1520；电动变焦，镜头焦距：2.7-13.5mm</w:t>
            </w:r>
          </w:p>
          <w:p>
            <w:pPr>
              <w:widowControl/>
              <w:jc w:val="left"/>
              <w:rPr>
                <w:rFonts w:hint="eastAsia" w:ascii="仿宋" w:hAnsi="仿宋" w:eastAsia="仿宋" w:cs="仿宋"/>
                <w:color w:val="000000" w:themeColor="text1"/>
                <w:kern w:val="0"/>
                <w:sz w:val="20"/>
                <w:szCs w:val="20"/>
                <w:lang w:val="en-US" w:eastAsia="zh-CN"/>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▲2.可在监视画面中手动标定当前楼层信息，当设备检测到高空抛物时，可显示具体楼层；</w:t>
            </w:r>
          </w:p>
          <w:p>
            <w:pPr>
              <w:widowControl/>
              <w:jc w:val="left"/>
              <w:rPr>
                <w:rFonts w:hint="eastAsia" w:ascii="仿宋" w:hAnsi="仿宋" w:eastAsia="仿宋" w:cs="仿宋"/>
                <w:color w:val="000000" w:themeColor="text1"/>
                <w:kern w:val="0"/>
                <w:sz w:val="20"/>
                <w:szCs w:val="20"/>
                <w:lang w:val="en-US" w:eastAsia="zh-CN"/>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3.当监控画面中出现从高处向低处的物体（如建筑高层抛出的矿泉水瓶、纸盒、烟头等），设备可检测并发出报警提示信息，抛物轨迹可在监控画面实时显示；报警触发后，可联动抓拍图片（图片中可显示抛物轨迹）及录像，可设置录像时长（10-300s),可设置轨迹颜色、轨迹数量、轨迹线宽等级，可设置最多10个高空抛物检测区域；</w:t>
            </w:r>
          </w:p>
          <w:p>
            <w:pPr>
              <w:widowControl/>
              <w:jc w:val="left"/>
              <w:rPr>
                <w:rFonts w:hint="eastAsia" w:ascii="仿宋" w:hAnsi="仿宋" w:eastAsia="仿宋" w:cs="仿宋"/>
                <w:color w:val="000000" w:themeColor="text1"/>
                <w:kern w:val="0"/>
                <w:sz w:val="20"/>
                <w:szCs w:val="20"/>
                <w:lang w:val="en-US" w:eastAsia="zh-CN"/>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▲4.当监控画面中出现飞虫、飞鸟、大楼玻璃上的飞机倒影、高空晾晒衣物被褥等，设备不产生报警提示信息；</w:t>
            </w:r>
          </w:p>
          <w:p>
            <w:pPr>
              <w:widowControl/>
              <w:numPr>
                <w:ilvl w:val="0"/>
                <w:numId w:val="3"/>
              </w:numPr>
              <w:jc w:val="left"/>
              <w:rPr>
                <w:rFonts w:hint="eastAsia" w:ascii="仿宋" w:hAnsi="仿宋" w:eastAsia="仿宋" w:cs="仿宋"/>
                <w:color w:val="000000" w:themeColor="text1"/>
                <w:kern w:val="0"/>
                <w:sz w:val="20"/>
                <w:szCs w:val="20"/>
                <w:lang w:val="en-US" w:eastAsia="zh-CN"/>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设备应符合GB/T 4208-2017中IP68等级的要求（水下1m,1h)；具有1个RJ45网络接口、4颗补光灯、1个BNC接口、3个报警输入接口、2个报警输出接口、1个音频输入接口、1个音频输出接口、1个SD卡槽、1个复位按钮、1个RS485接口。设备支持POE供电。</w:t>
            </w:r>
          </w:p>
          <w:p>
            <w:pPr>
              <w:widowControl/>
              <w:numPr>
                <w:ilvl w:val="0"/>
                <w:numId w:val="0"/>
              </w:numPr>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枪机支架</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1.8个10/100/1000Base-T自适应以太网端口；交换容量：20G；包转发：14.9Mpps；8千兆电+2千兆光口；POE供电功率：125W；单端口最大供电功率为30W。</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立杆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3.5米带地笼，冷扎钢管，带电喷银色防水漆，三支臂。</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6、操场及围墙</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645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6450"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摄像机（球机）</w:t>
            </w:r>
          </w:p>
        </w:tc>
        <w:tc>
          <w:tcPr>
            <w:tcW w:w="645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2.镜头：2.8mm、3.6mm、6mm、8mm可选，根据安装现场情况配置，红外距离≥50米；最低照度彩色≤0.002LX，黑白≤0.0002LX；输入接口≥1路RJ45，1个硬件恢复默认按钮；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 开放式网络视频接口；内置MIC；压缩标准：H.265；H.264；H.264B；MJPEG； 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1.16个10/100/1000Base-T自适应以太网端口；交换容量：56G；包转发：27Mpps；16GE+2SFP（POE  180W）；支持POE+供电；POE供电功率≥180W；支持业务端口防雷≥9KV；支持共享缓存架构。</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1.8个10/100/1000Base-T自适应以太网端口；交换容量：20G；包转发：14.9Mpps；8千兆电+2千兆光口；POE供电功率：125W；单端口最大供电功率为30W。</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立杆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3.5米带地笼，冷扎钢管，带电喷银色防水漆，三支臂。</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防水箱</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6U</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7、前后门及楼栋进出口</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人脸识别智能摄像机（枪机）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1.采用不低于400W像素1/1.8靶面CMOS传感器；镜头焦距2.7-12mm可电动变焦；最低照度彩色≤0.0002LX，黑白≤0.0001LX；</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▲2.内置GPU芯片，传感器像元尺寸不小于2.9um*2.9um；</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3.智能编码功能检验：同一静止场景相同图像质量下设备开启 智能编码功能和不开启智能编码相比，码率节约4/5；</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4.支持检出、识别两眼瞳距20像素点以上的人脸图片。支持通过客户端或IE浏览器单场景同时检出不少于33张人脸图片，并支持面部跟踪；</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5.支持人脸优选抓拍和实时抓拍，开启人脸优选功能时，能够挑选出人脸轨迹中效果最好的一帧进行抓拍；开启实时抓拍时可对人脸轨迹中第一帧进行抓拍；</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支持人体特征识别功能，包括衣服、裤子、帽子、背包等，衣服识别可区分长袖、短袖；裤子识别可区分裤子、短裤、裙子；衣服颜色可识别可区分白色，橙色，粉色，黑色，红色，黄色，灰色，蓝色，绿色，紫色，棕色共11种；帽子、背包识别可区分是否佩戴；</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7.具有1个100M/1000M RJ45网络接口、1个RESET按键、报警3进2出、音频1进1出、支持256G Micro SD卡；支持DC12V/POE供电；</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▲8.设备可分别对在监视画面中进入和离开的人数进行统计，通过IE浏览器可配置进入、离开人数报警阀值，并可在监视画面上显示当前统计人数，当人数超过设定值时可给出报警提示，并联动抓图、录像</w:t>
            </w:r>
            <w:r>
              <w:rPr>
                <w:rFonts w:hint="eastAsia" w:ascii="仿宋" w:hAnsi="仿宋" w:eastAsia="仿宋" w:cs="仿宋"/>
                <w:color w:val="000000" w:themeColor="text1"/>
                <w:kern w:val="0"/>
                <w:sz w:val="20"/>
                <w:szCs w:val="20"/>
                <w:lang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1.16个10/100/1000Base-T自适应以太网端口；交换容量：56G；包转发：27Mpps；16GE+2SFP（POE  180W）；支持POE+供电；POE供电功率≥180W；支持业务端口防雷≥9KV；支持共享缓存架构。</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立杆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3.5米带地笼，冷扎钢管，带电喷银色防水漆，三支臂。</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8、其他辅材及施工</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光纤</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单模12芯,皮质外壳，含人工铺设。</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1800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电源线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RVV3*1.5；中心机房至每个接入交换机入，实现集中供电。</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1800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光纤模块</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千兆光模块。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开槽破路</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水泥地面开槽，沟深10cm；含恢复。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土路挖槽埋管，沟深30cm;含恢复。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1200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9、监控中心</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安全视频平台管理主控设备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操作系统：CentOS7.7；处理器:IntelXeonE3-12V5CPU,支持最大TDP功耗75W；芯片组:IntelC236chipset；内存：DDR4内存条-8GB-VLP-ECC-UDIMM*4；存储：硬盘-ST1000NM0055-1T-128M缓存-3.5英寸-SATA3.0接口；前置4盘位,可支持4个3.5英寸SATA硬盘；配置SASHBA卡时，可支持SAS硬盘；内置主板支持2个M.2SATA接口；</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▲2.支持配置列表显示字段，可根据列表字段对列表记录进行筛选、排序；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3.支持查看新增子系统的帮助说明文档，添加子系统后，说明文档自动合并到现有的帮助中心；支持批量添加人员，可导入、导出人员的基本信息、生物特征（指纹、人脸）信息和人员头像图片；</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▲4.支持设备管理，可按设备名称、通道进行模糊搜索；</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5.支持自定义新增报警类型，包括：报警类型名称、报警等级、报警归属设备等信息；</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▲6.支持为组织树上的组织配置地图，可在地图上添加设备点位，可根据设备点位切换地图；</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7.支持人脸注册库的添加、删除、修改，人脸库包括内部人员、访客、白名单、黑名单几种类型，人脸库可绑定下发新增、删除、修改到人脸设备中</w:t>
            </w:r>
            <w:r>
              <w:rPr>
                <w:rFonts w:hint="eastAsia" w:ascii="仿宋" w:hAnsi="仿宋" w:eastAsia="仿宋" w:cs="仿宋"/>
                <w:color w:val="000000" w:themeColor="text1"/>
                <w:kern w:val="0"/>
                <w:sz w:val="20"/>
                <w:szCs w:val="20"/>
                <w:lang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智能分析一体机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1.支持≥50万张人脸图片，≥50个人脸名单库，支持≥16路人脸识别（1080p视频流）；</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2.≥8盘位，最大可配16TB硬盘，支持全局热备盘；≥4个10/100/1000Mbps自适应以太网口；</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3.≥128路H.264/H.265混合接入，网络带宽400Mbps接入、320Mbps存储、96Mbps转发</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4.支持单通道设置多种智能，支持智能分时轮巡检查，支持联动录像，抓图，蜂鸣，邮件，预置点，本地报警输出，IPC报警输出，语音播报；</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支持通过视图库接入前端或其他设备，支持人脸、人体、机动车和非机动车以及图片上报。支持通过28181或onvif同时添加前端进行前端视频拉流，并通过视图库协议将ID将视频流和图片流进行关联，也支持单独只通过视图库协议添加前端或其他存储设备，开启人脸识别可将图片与样本库或路人库中进行人脸比对，开启车牌识别后，可与黑名单或白名单库中进行比对。触发报警时可联动蜂鸣、日志记录、抓拍图片、I/O接口报警信号输出、调预置点、发送邮件、语音播报输出、报警上传；</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▲6.可检出两眼瞳距大于9像素点的人脸图片；</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▲7.支持以图搜图，可最多同时批量上传50张人体图片，并同时最多对10张目标人体进行相似图片搜索；支持智能关联可信度高的人体图片进行二次检索，将关联的人脸和人体的以图搜图的结果同时显示；</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▲8.左右侧脸，上下低头不超过45度人脸检出率≥95%，正对人脸在无干扰情况下人脸检出率≥95%</w:t>
            </w:r>
            <w:r>
              <w:rPr>
                <w:rFonts w:hint="eastAsia" w:ascii="仿宋" w:hAnsi="仿宋" w:eastAsia="仿宋" w:cs="仿宋"/>
                <w:color w:val="000000" w:themeColor="text1"/>
                <w:kern w:val="0"/>
                <w:sz w:val="20"/>
                <w:szCs w:val="20"/>
                <w:lang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存储主控设备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1.盘位数≥48个；linux操作系统，不低于64位四核处理器, 内存≥4G，可扩展高速缓存≥128G；支持同时进行不低于1600Mbps视（音）频码流存储，不低于1600Mbps视（音）频码流转发、不低于384Mbps视（音）频码流回放；转发模式下，支持不低于4096Mbps视（音）频码流转发；设备接口不低于：5个100M/1000M自适应RJ45网络接口，支持扩展4个1000M网络接口；</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▲2.支持2个BBU冗余电池，支持实时监测电池的健康程度，当健康度过低时能触发蜂鸣报警；</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3.支持单个SAMBA共享文件夹或单个ftp共享文件夹，可对128个用户同时进行管理；</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4.在没有限制RAID5同步速度的条件下进行测试，不运行视音频存储业务，在样机界面上创建一个RAID5并开始同步，显示的同步速度最大为320MBps；</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5.设备支持当使用账户登录时连续输入身份鉴别信息（用户名或密码）错误次数超过设定的阀值时自动锁定账户一段时间，并产生报警信息；可限制仅允许用户在特定IP主机上和时间段登录设备；</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▲6.设备可接入双音轨，可同时或分别播放左右音轨</w:t>
            </w:r>
            <w:r>
              <w:rPr>
                <w:rFonts w:hint="eastAsia" w:ascii="仿宋" w:hAnsi="仿宋" w:eastAsia="仿宋" w:cs="仿宋"/>
                <w:color w:val="000000" w:themeColor="text1"/>
                <w:kern w:val="0"/>
                <w:sz w:val="20"/>
                <w:szCs w:val="20"/>
                <w:lang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核心链路设备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1.性能：交换容量≥598Gbps ，转发率≥222Mpps；电源和风扇：支持模块化热插电源冗余和热插拔模块化风扇冗余；表项规格：MAC地址表≥64K，路由表容量≥32K，ARP≥32K；端口：≥24千兆光口（其中8combo千兆电）+4万兆SFP光+1个业务扩展槽；配置6个千兆单模模块；2个万兆多模模块；支持OpenFlow 1.3标准</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▲2.支持横向虚拟化（≥9台设备，最大堆叠带宽≥160G）和纵向虚拟化技术</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3.支持IPv4静态路由、RIP V1/V2、OSPF、BGP、支持IPv6静态路由、RIPng、OSPFv3、BGP4+、支持IPv4和IPv6环境下的策略路由；可靠性：支持VRRPv2/v3、支持RRPP，环网故障恢复时间不超过200ms；</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4.访问控制策略：支持基于第二层、第三层和第四层的ACL；ACl条目数≥4K条；</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▲5.支持端口≥10KV防雷功能；</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6.有线无线一体化：为满足后续无线管理需求，本次要求实配无线控制功能；</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7.业务扩展性：支持FW，IPS、负载均衡等模块插卡；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存储硬盘</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8000G；7200RPM；256M；SATA企业硬盘。</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135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块</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拼接屏</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1.显示尺寸：46英寸，LED背光源；支持7*24不间断工作；采用工业级的全高清液晶面板，整机全金属结构，超窄物理拼缝≤3.5 mm；整机厚度≤116mm； </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2.液晶拼接屏必须采用整机设计，严禁使用飞线屏，显示屏具备完整后壳，不得以支架或挡板替代，无任何裸露在外的电路线，整体美观大方，而且产品符合检测规范；</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▲3.亮度≥600cd/m2；对比度≥4000:1；亮度均匀性≥75%；亮度鉴别等级≥11级；分辨率 ≥1920*1080；水平分辨力检验≥1000TVL；色彩≥32Bit (D) ;输入接口：≥1路HDMI输入；≥1路DVI输入；≥1路AV输入；≥1路VGA输入；≥1路RS232输入；≥1路USB输入。输出接口：≥2路RS232输出； </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4.内置Media解码器，方便用户播放图片、视频等文件；屏幕漏光度小于0.004cd/㎡，在照度95Klx下整机能够正常工作；响应时间≤6ms;</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LCD显示单元支持边缘屏蔽功能，智能去除黑边功能，可消除显示终端上存在的黑边，及因拼缝带来的图像变形；整机一体化的无风扇散热方案设计，工作状态下整机正面1米出工作噪声≤20db（A）、背面工作噪声≤28db（A），待机状态下整机背面1米出工作噪声≤24db（A）；液晶拼接屏待机功耗≤0.5W；</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6.应用最新色彩校正技术及独特宽视角处理技术，对动、静态图像画面处理更具专业性，可视角度可达178°以上，使得画质清晰、逼真，还原性更好、层次感更突出。 </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块</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底座及支架</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1.定制底座及支架；连接线缆。</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套</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解码器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1.支持≥6路HDMI接口输出； </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▲2.可通过HDMI接口同时将≥4路分辨率为3840*2160的视频图像和≥2路分辨率为2560*1600的视频图像显示输出至≥6台分辨率为3840*2160的显示终端上；</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▲3.支持跨屏同步显示功能，所有跨屏信号源可同时发送至各个屏幕显示，时差小于1MS；</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4.支持MPEG2/MPEG4/H.264/H.265/MJPEG视频解码，支持AAC、PCM、G.711音频解码； </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最大支持216个通道同时解码。H.264、H.265视频解码均支持:2路3200W@25fp,或4路2400W@25fps,或6路1200W@25fps,或8路800W@25fps,或16路500W@30fps,或24路300W@fps,或32路1080P@30fps,或72路720P@30fps,或128路D1@30fps,或216路CIF@30fps网络视频实时解码；</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6.支持1*1、1*2、1*3、1*4、1*5、1*6、6*1、5*1、4*1、3*1、2*1、2*2、2*3、3*2融合屏；每个融合屏支持1/4/6/8/9/16/25/36分割及及M*N自定义分割显示；</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 xml:space="preserve">7.支持控制屏幕开关；亮度、对比度、饱和度、清晰度调节，背光模式切换； </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设备均应具有权限管理、运行日志功能设备应设置操作口令，设备应有防偶发死机的措施(如硬件看门狗或软件、硬件看门狗或定时自动起动等)，通过网络访问设备支持https协议，实现浏览器与设备之间通信加密；</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▲9.其他通讯接口:3个RS-232(2个RJ45、一个DB9)、1个RS-485、2个USB</w:t>
            </w:r>
            <w:r>
              <w:rPr>
                <w:rFonts w:hint="eastAsia" w:ascii="仿宋" w:hAnsi="仿宋" w:eastAsia="仿宋" w:cs="仿宋"/>
                <w:color w:val="000000" w:themeColor="text1"/>
                <w:kern w:val="0"/>
                <w:sz w:val="20"/>
                <w:szCs w:val="20"/>
                <w:lang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监控中心主控终端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1.Intel I5-10400及以上（主频≥2.9GHz，≥4核，线程≥10，三级缓存≥10MB）；</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2.≥8G DDR4 2666；≥512GB M.2 NVMe固态硬盘；</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3.Intel HB560及以上芯片组；中文BIOS界面；</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▲4.扩展插槽：≥4个SATA硬盘端口，≥1*PCIe X16、≥2*PCIe X1、≥1*PCI M.2端口支持2280接口NVMe固态硬盘,M.2端口支持Intel 2230无线网卡；</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▲5.接口：前置≥4*USB3.2、≥2*USB2.0，前置≥1*耳机麦克风二合一接口、≥1*麦克风口； 后置≥2*USB3.2、≥2*USB2,0，串口*1、音频接口*3；PS/2接口*2、1*千兆RJ45，原厂至少支持3显示输出（VGA*1、HDMI*1、DP*1）；</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6.机箱类型：多重散热设计优化，立式蜂巢式进风口,ATX防尘网机箱≥17L；</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▲7.主机电源：300W 80PLUS高效节能防雷电源；</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8.显示器：≥21"采用VA技术高对比度显示器，16:9，分辨率：1920*1080，显示器自带VGA+HDMI接口；与主机同一品牌；原厂预装正版Windows 10操作系统。</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不间断电源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功率：20KVA；在线式双变换结构设计，采用DSP技术增强系统的稳定性；面板显示：LED显示UPS的运行状况，LCD显示UPS的系统状态、负载大小、电池容量、市电模式、电池模式、旁路模式、输入/输出电压、故障指示等参数；</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2.输入电压范围： 190-520VAC（190-520 VAC (3相) @ 50% 负载；305-520 VAC (3相) @ 100% 负载 ）；输入频率范围：46~54 Hz 或 56~64Hz ；输入功率因数可达到0.99以上；输出特性：正弦波；≦2% THD(线性负载), ≦5% THD(非线性负载) ；输出电压范围：208/220/230/240VAC ±1%；电池电压：192VDC；</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具备紧急电源关闭EPO按键，保证发生意外突发事故时的安全性；噪音：＜65dB，使用环境温度：0℃～＋40℃；报警功能：市电异常、电池欠压、过载、UPS故障；保护功能：电池低压保护、过载保护、过温保护、输出短路保护、输出过压保护；</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▲4.为保证系统的使用安全性，对蓄电池有防漏液检测系统，提供相关证明文件加盖供应商公章；</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▲5.UPS制造厂家具备UPS独立自主软件控制系统，提供同品牌UPS软件著作权证书复印件加盖供应商公章。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▲1.阀控密封式铅酸免维护蓄电池12V/200AH，为了便于快速响应的服务条件，避免因多品牌导致的产品责任问题界定难度，UPS主机、蓄电池要求采用同一品牌；</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2.密封反应效率：蓄电池密封反应效率应≥99%；</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▲3.蓄电池浮充设计寿命10年（25℃）；提供国家认可的（CMA或CAL或CNAS标志的）第三方检测机构出具的检测报告复印件加盖投标人公章；</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4.蓄电池具有较低的自放电率，自放电≤2%/月（25℃）；电池适用温度范围广，可在-15℃~45℃范围内使用；蓄电池外壳采用阻燃设计；保证整套系统用电不低于4小时。</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节</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电池柜；可安装12V-200AH电池16节（定制）</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电池连接电缆</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机柜</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42U</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24U</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个</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16</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1.拼接屏安装；中心平台调试；存储设备调试；布线、强电连接等；学校原监控终端、新装监控集中管理、集中存储、集中上墙。</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b/>
                <w:bCs/>
                <w:color w:val="000000" w:themeColor="text1"/>
                <w:kern w:val="0"/>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二、七中育才水井坊校区</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1、监控补点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65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6513" w:type="dxa"/>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28</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摄像机（半球）</w:t>
            </w:r>
          </w:p>
        </w:tc>
        <w:tc>
          <w:tcPr>
            <w:tcW w:w="6513"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2.镜头：2.8mm、3.6mm、6mm、8mm可选，根据安装现场情况配置，红外距离≥50米；最低照度彩色≤0.002LX，黑白≤0.0002LX；输入接口≥1路RJ45，1个硬件恢复默认按钮；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 开放式网络视频接口；内置MIC；压缩标准：H.265；H.264；H.264B；MJPEG； 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1、24个10/100/1000Base-T自适应以太网端口；交换容量：52Gpbs，包转发率：38.7Mpps；24个千兆电口+2千兆光口；4级拨码开关;POE供电功率：370W； 双风扇；自带挂耳</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8.5</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光模块</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千兆光模块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光纤</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单模12芯</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立杆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3.5米带地笼，冷扎钢管，带电喷银色防水漆，三支臂。</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开槽破路</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水泥地面开槽，沟深10cm；含恢复。</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60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2、监控中心升级</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硬盘录像机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支持最大≥64路网络视频接入，网络性能接入≥320Mbps，储存≥320Mbps，转发≥320Mbps；支持2*12M/4*8MP/6*5MP/8*4MP/11*3MP/16*1080P/32*720P解码，最大支持16路视频回放，支持VGA1/HDMI1同源输出、VGA2/HDMI2同源输出、VGA1/HDMI1和VGA2/HDMI2两组之间支持异源输出。其中HDMI1最大支持4K显示输出，VGA1/VGA2/HDMI 2最大支持1080P显示输出；</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支持≥16个内置SATA接口，单盘容量支持不低于10T，可配置成单盘，支持RAID0、RAID1、RAID5、RAID6、RAID10等各种数据保护模式；支持≥1个外置eSATA接口，用于录像和备份，支持16路报警输入、6路报警输出，支持开关量输入输出模式；支持≥4个USB接口（2个前置USB2.0接口、2个后置USB3.0接口</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▲3.设备在升级过程中应自动检测升级固件包的数据完整性（数字签名），若升级固件包中的数据被非授权篡改则终止升级过程；</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▲4.设备在启动过程中应自动检测操作系统、可信分区中的数据的完整性（数字签名），若操作系统、可信分区中的数据被非授权篡改则终止启动过程；</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▲5.设备应能实时识别和检测将被加载运行的可执行程序ko模块的数字签名，未通过签名验证的非法可执行程序、ko模块将被拒绝加载运行</w:t>
            </w:r>
            <w:r>
              <w:rPr>
                <w:rFonts w:hint="eastAsia" w:ascii="仿宋" w:hAnsi="仿宋" w:eastAsia="仿宋" w:cs="仿宋"/>
                <w:color w:val="000000" w:themeColor="text1"/>
                <w:kern w:val="0"/>
                <w:sz w:val="20"/>
                <w:szCs w:val="20"/>
                <w:lang w:val="en-US"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存储硬盘</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8T，监控专用硬盘</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块</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显示终端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1.屏幕尺寸:≥55英寸,LED全高清4K智能电视；分辨率:≥3840*2160；屏幕比例:16:9；能效:≥2级；操作系统:电视机专用系统（兼容Android8.0）；可视角度土178°；扫描方式:逐行；内置WIFI, WIFI、蓝牙二合一；端口具备HDMI2路（HDMI2支持ARC）,USB2.0≥2,VGA≥1，网络接口1；具备TF卡槽；画质：场景屏变。</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2"/>
                <w14:textFill>
                  <w14:solidFill>
                    <w14:schemeClr w14:val="tx1"/>
                  </w14:solidFill>
                </w14:textFill>
              </w:rPr>
            </w:pPr>
            <w:r>
              <w:rPr>
                <w:rFonts w:hint="eastAsia" w:ascii="仿宋" w:hAnsi="仿宋" w:eastAsia="仿宋" w:cs="仿宋"/>
                <w:color w:val="000000" w:themeColor="text1"/>
                <w:kern w:val="0"/>
                <w:sz w:val="22"/>
                <w14:textFill>
                  <w14:solidFill>
                    <w14:schemeClr w14:val="tx1"/>
                  </w14:solidFill>
                </w14:textFill>
              </w:rPr>
              <w:t>三、七中育才银杏校区</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1、监控补点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摄像机（枪机）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1.CMOS传感器，靶面尺寸≥1/3英寸，≥400万像素，分辨率≥2688*1520；支持H.265、H.264、MJPEG视频编码格式；</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2.镜头：3.6mm、6mm、8mm可选，根据安装现场情况配置，红外距离≥50米；最低照度彩色≤0.002LX，黑白≤0.0002LX；输入接口≥1路RJ45，1个硬件恢复默认按钮；</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3.支持动态移动侦测功能，宽动态范围≥120dB；须支持ONVIF、GB28181开放式网络视频接口；内置MIC；压缩标准：H.265；H.264；H.264B；MJPEG；智能编码：H.264：支持H.265；防水防尘等级≥IP67，采用POE供电。</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支架</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铝质</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接入链路设备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1.16个10/100/1000Base-T自适应以太网端口；交换容量：56G；包转发：27Mpps；16GE+2SFP（POE  180W）；支持POE+供电；POE供电功率≥180W；</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2.支持业务端口防雷≥9KV；支持共享缓存架构。</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1、8个10/100/1000Base-T自适应以太网端口；</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2、交换容量：20G；包转发：14.9Mpps；8千兆电+2千兆光  ；POE供电功率：125W；单端口最大供电功率为30W</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六类非屏蔽网络数据线</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箱</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7</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立杆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3.5米带地笼，冷扎钢管，带电喷银色防水漆，三支臂。</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开槽破路</w:t>
            </w:r>
          </w:p>
        </w:tc>
        <w:tc>
          <w:tcPr>
            <w:tcW w:w="0" w:type="auto"/>
            <w:tcBorders>
              <w:top w:val="nil"/>
              <w:left w:val="nil"/>
              <w:bottom w:val="single" w:color="auto" w:sz="4" w:space="0"/>
              <w:right w:val="single" w:color="auto" w:sz="4" w:space="0"/>
            </w:tcBorders>
            <w:shd w:val="clear" w:color="auto" w:fill="auto"/>
            <w:noWrap/>
            <w:vAlign w:val="bottom"/>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水泥地面开槽，沟深10cm；含恢复。</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米</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PVC管、网结头、扎带等</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系统集成</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1.人工安装；设备调试入网；整体联调</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20</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点</w:t>
            </w:r>
          </w:p>
        </w:tc>
      </w:tr>
      <w:tr>
        <w:tblPrEx>
          <w:tblCellMar>
            <w:top w:w="0" w:type="dxa"/>
            <w:left w:w="108" w:type="dxa"/>
            <w:bottom w:w="0" w:type="dxa"/>
            <w:right w:w="108" w:type="dxa"/>
          </w:tblCellMar>
        </w:tblPrEx>
        <w:trPr>
          <w:trHeight w:val="20" w:hRule="atLeast"/>
        </w:trPr>
        <w:tc>
          <w:tcPr>
            <w:tcW w:w="0" w:type="auto"/>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2、监控中心升级</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硬盘录像机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1.支持最大不低于32路网络视频接入，网络性能接入320Mbps，储存320Mbps，转发320Mbps</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支持2*12M/4*8MP/6*5MP/8*4MP/11*3MP/16*1080P/32*720P解码，最大支持16路视频回放，支持VGA1/HDMI1同源输出、VGA2/HDMI2同源输出、VGA1/HDMI1和VGA2/HDMI2两组之间支持异源输出。其中HDMI1最大支持4K显示输出，VGA1/VGA2/HDMI2最大支持1080P显示输出；支持不低于8个内置SATA接口，单盘容量支持不低于10T，可配置成单盘，支持RAID0、RAID1、RAID5、RAID6、RAID10等各种数据保护模式；支持不低于1个外置eSATA接口，用于录像和备份，支持16路报警输入、6路报警输出，支持开关量输入输出模式；支持≥4个USB接口（2个前置USB2.0接口、2个后置USB3.0接口）</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▲3.设备在升级过程中应自动检测升级固件包的数据完整性（数字签名），若升级固件包中的数据被非授权篡改则终止升级过程；</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▲4.设备在启动过程中应自动检测操作系统、可信分区中的数据的完整性（数字签名），若操作系统、可信分区中的数据被非授权篡改则终止启动过程；</w:t>
            </w:r>
          </w:p>
          <w:p>
            <w:pPr>
              <w:widowControl/>
              <w:jc w:val="left"/>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▲5.设备应能实时识别和检测将被加载运行的可执行程序ko模块的数字签名，未通过签名验证的非法可执行程序、ko模块将被拒绝加载运行</w:t>
            </w:r>
            <w:r>
              <w:rPr>
                <w:rFonts w:hint="eastAsia" w:ascii="仿宋" w:hAnsi="仿宋" w:eastAsia="仿宋" w:cs="仿宋"/>
                <w:color w:val="000000" w:themeColor="text1"/>
                <w:kern w:val="0"/>
                <w:sz w:val="20"/>
                <w:szCs w:val="20"/>
                <w:lang w:eastAsia="zh-CN"/>
                <w14:textFill>
                  <w14:solidFill>
                    <w14:schemeClr w14:val="tx1"/>
                  </w14:solidFill>
                </w14:textFill>
              </w:rPr>
              <w:t>。</w:t>
            </w:r>
          </w:p>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lang w:val="en-US" w:eastAsia="zh-CN"/>
                <w14:textFill>
                  <w14:solidFill>
                    <w14:schemeClr w14:val="tx1"/>
                  </w14:solidFill>
                </w14:textFill>
              </w:rPr>
              <w:t>注:以上带“▲”参数需提供公安部安全与警用电子产品质量检测中心或国家认可（具有CMA、CNAS标志）的第三方检测机构出具的检测报告加盖投标人公章。</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存储硬盘</w:t>
            </w:r>
          </w:p>
        </w:tc>
        <w:tc>
          <w:tcPr>
            <w:tcW w:w="0" w:type="auto"/>
            <w:tcBorders>
              <w:top w:val="nil"/>
              <w:left w:val="nil"/>
              <w:bottom w:val="single" w:color="auto" w:sz="4" w:space="0"/>
              <w:right w:val="single" w:color="auto" w:sz="4" w:space="0"/>
            </w:tcBorders>
            <w:shd w:val="clear" w:color="auto" w:fill="auto"/>
            <w:noWrap/>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8T，监控专用硬盘</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块</w:t>
            </w:r>
          </w:p>
        </w:tc>
      </w:tr>
      <w:tr>
        <w:tblPrEx>
          <w:tblCellMar>
            <w:top w:w="0" w:type="dxa"/>
            <w:left w:w="108" w:type="dxa"/>
            <w:bottom w:w="0" w:type="dxa"/>
            <w:right w:w="108" w:type="dxa"/>
          </w:tblCellMar>
        </w:tblPrEx>
        <w:trPr>
          <w:trHeight w:val="20" w:hRule="atLeast"/>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显示终端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1.屏幕尺寸:≥55英寸,LED全高清4K智能电视；分辨率:≥3840*2160；屏幕比例:16:9；能效:≥2级；操作系统:电视机专用系统（兼容Android8.0）；可视角度土178°；扫描方式:逐行；内置WIFI, WIFI、蓝牙二合一；端口具备HDMI2路（HDMI2支持ARC）,USB2.0≥2,VGA≥1，网络接口1；具备TF卡槽；画质：场景屏变。</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台</w:t>
            </w:r>
          </w:p>
        </w:tc>
      </w:tr>
    </w:tbl>
    <w:p>
      <w:pPr>
        <w:pStyle w:val="28"/>
        <w:shd w:val="clear" w:color="auto" w:fill="FFFFFF"/>
        <w:spacing w:before="0" w:beforeAutospacing="0" w:after="0" w:afterAutospacing="0" w:line="360" w:lineRule="auto"/>
        <w:outlineLvl w:val="9"/>
        <w:rPr>
          <w:rFonts w:hint="eastAsia" w:ascii="仿宋" w:hAnsi="仿宋" w:eastAsia="仿宋" w:cs="仿宋"/>
          <w:b/>
          <w:color w:val="000000" w:themeColor="text1"/>
          <w:sz w:val="30"/>
          <w:szCs w:val="30"/>
          <w14:textFill>
            <w14:solidFill>
              <w14:schemeClr w14:val="tx1"/>
            </w14:solidFill>
          </w14:textFill>
        </w:rPr>
      </w:pPr>
    </w:p>
    <w:p>
      <w:pPr>
        <w:pStyle w:val="28"/>
        <w:shd w:val="clear" w:color="auto" w:fill="FFFFFF"/>
        <w:spacing w:before="0" w:beforeAutospacing="0" w:after="0" w:afterAutospacing="0" w:line="360" w:lineRule="auto"/>
        <w:outlineLvl w:val="1"/>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三、服务要求</w:t>
      </w:r>
    </w:p>
    <w:p>
      <w:pPr>
        <w:pStyle w:val="28"/>
        <w:shd w:val="clear" w:color="auto" w:fill="FFFFFF"/>
        <w:spacing w:before="0" w:beforeAutospacing="0" w:after="0" w:afterAutospacing="0"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1、供应商需按本项目硬件设备采购清单要求，向采购人提供项目建设所需的硬件设备，货物应当全新、无瑕疵、货源渠道正规。</w:t>
      </w:r>
    </w:p>
    <w:p>
      <w:pPr>
        <w:pStyle w:val="28"/>
        <w:shd w:val="clear" w:color="auto" w:fill="FFFFFF"/>
        <w:spacing w:before="0" w:beforeAutospacing="0" w:after="0" w:afterAutospacing="0"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2、供应商负责提供本项目系统与锦江区教育局、锦江区公安机关相关系统进行对接，并提供对接的方案、对接调试等服务（供应商提供具体措施）。</w:t>
      </w:r>
    </w:p>
    <w:p>
      <w:pPr>
        <w:pStyle w:val="28"/>
        <w:shd w:val="clear" w:color="auto" w:fill="FFFFFF"/>
        <w:spacing w:before="0" w:beforeAutospacing="0" w:after="0" w:afterAutospacing="0" w:line="360" w:lineRule="auto"/>
        <w:ind w:firstLine="480" w:firstLineChars="200"/>
        <w:rPr>
          <w:rFonts w:ascii="仿宋" w:hAnsi="仿宋" w:eastAsia="仿宋" w:cs="仿宋"/>
          <w:b/>
          <w:bCs/>
          <w:color w:val="000000" w:themeColor="text1"/>
          <w:sz w:val="24"/>
          <w:szCs w:val="24"/>
          <w:shd w:val="clear" w:color="auto" w:fill="FFFFFF"/>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3、供应商按照采购人需求完成本校园现场踏勘，并与采购人确定实施点位，根据实施点位现有基础环境进行设备安装、部署、调试、集成并通过采购人验收。</w:t>
      </w:r>
    </w:p>
    <w:p>
      <w:pPr>
        <w:pStyle w:val="28"/>
        <w:shd w:val="clear" w:color="auto" w:fill="FFFFFF"/>
        <w:spacing w:before="0" w:beforeAutospacing="0" w:after="0" w:afterAutospacing="0" w:line="360" w:lineRule="auto"/>
        <w:ind w:firstLine="480" w:firstLineChars="200"/>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shd w:val="clear" w:color="auto" w:fill="FFFFFF"/>
          <w14:textFill>
            <w14:solidFill>
              <w14:schemeClr w14:val="tx1"/>
            </w14:solidFill>
          </w14:textFill>
        </w:rPr>
        <w:t>4、货物运输、安装、调试过程中的一切人身安全责任由供应商负责。</w:t>
      </w:r>
    </w:p>
    <w:p>
      <w:pPr>
        <w:pStyle w:val="28"/>
        <w:shd w:val="clear" w:color="auto" w:fill="FFFFFF"/>
        <w:spacing w:before="0" w:beforeAutospacing="0" w:after="0" w:afterAutospacing="0" w:line="360" w:lineRule="auto"/>
        <w:ind w:firstLine="480" w:firstLineChars="200"/>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5、供应商进入校园作业的相关人员，需配合采购人疫情防控检查，并确保校方人员安全。</w:t>
      </w:r>
    </w:p>
    <w:p>
      <w:pPr>
        <w:pStyle w:val="28"/>
        <w:shd w:val="clear" w:color="auto" w:fill="FFFFFF"/>
        <w:spacing w:before="0" w:beforeAutospacing="0" w:after="0" w:afterAutospacing="0" w:line="360" w:lineRule="auto"/>
        <w:outlineLvl w:val="1"/>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四、商务要求</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1、交货地点、期限</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（1）交货地点：采购人指定地点。</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（2）交货期限：成交供应商于2021年12月15日前完成供货及</w:t>
      </w:r>
      <w:r>
        <w:rPr>
          <w:rFonts w:hint="eastAsia" w:ascii="仿宋" w:hAnsi="仿宋" w:eastAsia="仿宋" w:cs="仿宋"/>
          <w:color w:val="000000" w:themeColor="text1"/>
          <w:sz w:val="24"/>
          <w:lang w:eastAsia="zh-Hans"/>
          <w14:textFill>
            <w14:solidFill>
              <w14:schemeClr w14:val="tx1"/>
            </w14:solidFill>
          </w14:textFill>
        </w:rPr>
        <w:t>设备安装调试</w:t>
      </w:r>
      <w:r>
        <w:rPr>
          <w:rFonts w:hint="eastAsia" w:ascii="仿宋" w:hAnsi="仿宋" w:eastAsia="仿宋" w:cs="仿宋"/>
          <w:color w:val="000000" w:themeColor="text1"/>
          <w:sz w:val="24"/>
          <w14:textFill>
            <w14:solidFill>
              <w14:schemeClr w14:val="tx1"/>
            </w14:solidFill>
          </w14:textFill>
        </w:rPr>
        <w:t>并交付采购人正常使用（特殊情况除外）。</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2、付款方式</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签订生效之日起10日内，采购人支付30%预付款；所有设备交付采购人试运行6个月，无质量问题并通过验收后，采购人支付剩余合同金额的70%。（每阶段付款前，成交供应商须向采购人提供与付款金额等额的正规税务发票）</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3、联网要求</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本次监控补点及监控升级，需与锦江区教育局、公安局安全管理平台相联，投标供应商需承诺本项目完工后能通过锦江城域网接入锦江区教育局校园安全管理平台。</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eastAsia="zh-Hans"/>
          <w14:textFill>
            <w14:solidFill>
              <w14:schemeClr w14:val="tx1"/>
            </w14:solidFill>
          </w14:textFill>
        </w:rPr>
        <w:t>售后服务</w:t>
      </w:r>
      <w:r>
        <w:rPr>
          <w:rFonts w:hint="eastAsia" w:ascii="仿宋" w:hAnsi="仿宋" w:eastAsia="仿宋" w:cs="仿宋"/>
          <w:color w:val="000000" w:themeColor="text1"/>
          <w:sz w:val="24"/>
          <w14:textFill>
            <w14:solidFill>
              <w14:schemeClr w14:val="tx1"/>
            </w14:solidFill>
          </w14:textFill>
        </w:rPr>
        <w:t>要求</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lang w:eastAsia="zh-Hans"/>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eastAsia="zh-Hans"/>
          <w14:textFill>
            <w14:solidFill>
              <w14:schemeClr w14:val="tx1"/>
            </w14:solidFill>
          </w14:textFill>
        </w:rPr>
        <w:t>本项目售后服务期限为验收</w:t>
      </w:r>
      <w:r>
        <w:rPr>
          <w:rFonts w:hint="eastAsia" w:ascii="仿宋" w:hAnsi="仿宋" w:eastAsia="仿宋" w:cs="仿宋"/>
          <w:color w:val="000000" w:themeColor="text1"/>
          <w:sz w:val="24"/>
          <w14:textFill>
            <w14:solidFill>
              <w14:schemeClr w14:val="tx1"/>
            </w14:solidFill>
          </w14:textFill>
        </w:rPr>
        <w:t>通过之日起</w:t>
      </w:r>
      <w:r>
        <w:rPr>
          <w:rFonts w:hint="eastAsia" w:ascii="仿宋" w:hAnsi="仿宋" w:eastAsia="仿宋" w:cs="仿宋"/>
          <w:color w:val="000000" w:themeColor="text1"/>
          <w:sz w:val="24"/>
          <w:lang w:eastAsia="zh-Hans"/>
          <w14:textFill>
            <w14:solidFill>
              <w14:schemeClr w14:val="tx1"/>
            </w14:solidFill>
          </w14:textFill>
        </w:rPr>
        <w:t>1年。在1年质保服务期限内，</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向采购人提供采购内容中要求的各项服务；若因软硬件质量缺陷，</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应负责保修或更换。</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lang w:eastAsia="zh-Hans"/>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eastAsia="zh-Hans"/>
          <w14:textFill>
            <w14:solidFill>
              <w14:schemeClr w14:val="tx1"/>
            </w14:solidFill>
          </w14:textFill>
        </w:rPr>
        <w:t>故障维修服务：因设备或软件故障需要</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提供支持时，</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应根据故障实际情况协调安排相关专业技术工程师、配件、工具、软件和材料，及时解决采购人设备故障，以及及时的</w:t>
      </w:r>
      <w:r>
        <w:rPr>
          <w:rFonts w:hint="eastAsia" w:ascii="仿宋" w:hAnsi="仿宋" w:eastAsia="仿宋" w:cs="仿宋"/>
          <w:color w:val="000000" w:themeColor="text1"/>
          <w:sz w:val="24"/>
          <w14:textFill>
            <w14:solidFill>
              <w14:schemeClr w14:val="tx1"/>
            </w14:solidFill>
          </w14:textFill>
        </w:rPr>
        <w:t>售后服务响应时间，及时可靠的紧急故障处理保障</w:t>
      </w:r>
      <w:r>
        <w:rPr>
          <w:rFonts w:hint="eastAsia" w:ascii="仿宋" w:hAnsi="仿宋" w:eastAsia="仿宋" w:cs="仿宋"/>
          <w:color w:val="000000" w:themeColor="text1"/>
          <w:sz w:val="24"/>
          <w:lang w:eastAsia="zh-Hans"/>
          <w14:textFill>
            <w14:solidFill>
              <w14:schemeClr w14:val="tx1"/>
            </w14:solidFill>
          </w14:textFill>
        </w:rPr>
        <w:t>；</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lang w:eastAsia="zh-Hans"/>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eastAsia="zh-Hans"/>
          <w14:textFill>
            <w14:solidFill>
              <w14:schemeClr w14:val="tx1"/>
            </w14:solidFill>
          </w14:textFill>
        </w:rPr>
        <w:t>售后服务措施：供应商应提供详细的售后服务措施，</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应对设备进行性能诊断，应根据运行情况和应用需求制定系统性能调整计划，调整系统参数，使系统始终在最佳状态下运行，并对可能出现的性能问题提供科学预测，并采取必要的预防、补救措施和升级建议，防患于未然；</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lang w:eastAsia="zh-Hans"/>
          <w14:textFill>
            <w14:solidFill>
              <w14:schemeClr w14:val="tx1"/>
            </w14:solidFill>
          </w14:textFill>
        </w:rPr>
      </w:pPr>
      <w:r>
        <w:rPr>
          <w:rFonts w:hint="eastAsia" w:ascii="仿宋" w:hAnsi="仿宋" w:eastAsia="仿宋" w:cs="仿宋"/>
          <w:color w:val="000000" w:themeColor="text1"/>
          <w:sz w:val="24"/>
          <w:lang w:eastAsia="zh-Hans"/>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eastAsia="zh-Hans"/>
          <w14:textFill>
            <w14:solidFill>
              <w14:schemeClr w14:val="tx1"/>
            </w14:solidFill>
          </w14:textFill>
        </w:rPr>
        <w:t>）备品备件：供应商有详细的备品备件库，有坏件处理方式，能保证设备和系统在出现故障后，有充足的备品备件进行更换；</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lang w:eastAsia="zh-Hans"/>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（5）巡检及</w:t>
      </w:r>
      <w:r>
        <w:rPr>
          <w:rFonts w:hint="eastAsia" w:ascii="仿宋" w:hAnsi="仿宋" w:eastAsia="仿宋" w:cs="仿宋"/>
          <w:color w:val="000000" w:themeColor="text1"/>
          <w:sz w:val="24"/>
          <w:lang w:eastAsia="zh-Hans"/>
          <w14:textFill>
            <w14:solidFill>
              <w14:schemeClr w14:val="tx1"/>
            </w14:solidFill>
          </w14:textFill>
        </w:rPr>
        <w:t>现场支持服务：</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须提供7*24小时技术支持服务。当电话、邮件服务不能解决故障问题时，</w:t>
      </w:r>
      <w:r>
        <w:rPr>
          <w:rFonts w:hint="eastAsia" w:ascii="仿宋" w:hAnsi="仿宋" w:eastAsia="仿宋" w:cs="仿宋"/>
          <w:color w:val="000000" w:themeColor="text1"/>
          <w:sz w:val="24"/>
          <w14:textFill>
            <w14:solidFill>
              <w14:schemeClr w14:val="tx1"/>
            </w14:solidFill>
          </w14:textFill>
        </w:rPr>
        <w:t>供应商</w:t>
      </w:r>
      <w:r>
        <w:rPr>
          <w:rFonts w:hint="eastAsia" w:ascii="仿宋" w:hAnsi="仿宋" w:eastAsia="仿宋" w:cs="仿宋"/>
          <w:color w:val="000000" w:themeColor="text1"/>
          <w:sz w:val="24"/>
          <w:lang w:eastAsia="zh-Hans"/>
          <w14:textFill>
            <w14:solidFill>
              <w14:schemeClr w14:val="tx1"/>
            </w14:solidFill>
          </w14:textFill>
        </w:rPr>
        <w:t>应在采购人要求的服务时限范围内派出专业工程师到现场解决故障。</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5、项目实施方案</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（1）施工图纸及技术方案：供应商应自行根据实地环境进行勘察，并提供详细图纸，确保项目施工无问题，确保监控点位无死角；</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（2）施工质量：供应商应提供详细的施工质量保障措施，确保项目施工质量；</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（3）组织安排：供应商提供详细的项目组织安排、人员等，确保项目在施工周期内顺利完成；</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（4）进度管理：供应商应根据本项目的情况，做出合理的供货、安装、调试的项目进度管理计划；</w:t>
      </w:r>
    </w:p>
    <w:p>
      <w:pPr>
        <w:pStyle w:val="28"/>
        <w:shd w:val="clear" w:color="auto" w:fill="FFFFFF"/>
        <w:spacing w:before="0" w:beforeAutospacing="0" w:after="0" w:afterAutospacing="0"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（5）项目培训：供应商应提供详细的人员培训、技术培训等详细的培训方案，保证用户的正常使用。</w:t>
      </w:r>
    </w:p>
    <w:p>
      <w:pPr>
        <w:pStyle w:val="28"/>
        <w:shd w:val="clear" w:color="auto" w:fill="FFFFFF"/>
        <w:spacing w:before="0" w:beforeAutospacing="0" w:after="0" w:afterAutospacing="0" w:line="360" w:lineRule="auto"/>
        <w:ind w:firstLine="480" w:firstLineChars="200"/>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项目验收：本项目验收由采购人负责组织实施，严格按照《财政部关于进一步加强政府采购需求和履约验收管理的指导意见》（财库〔2016〕205号）的要求、招标文件规定的要求和投标文件及合同承诺的内容，以及国家、省的相关要求进行验收。</w:t>
      </w:r>
      <w:r>
        <w:rPr>
          <w:rFonts w:ascii="仿宋" w:hAnsi="仿宋" w:eastAsia="仿宋" w:cs="仿宋"/>
          <w:color w:val="000000" w:themeColor="text1"/>
          <w:kern w:val="0"/>
          <w:sz w:val="24"/>
          <w14:textFill>
            <w14:solidFill>
              <w14:schemeClr w14:val="tx1"/>
            </w14:solidFill>
          </w14:textFill>
        </w:rPr>
        <w:br w:type="page"/>
      </w:r>
    </w:p>
    <w:p>
      <w:pPr>
        <w:pStyle w:val="29"/>
        <w:rPr>
          <w:rFonts w:ascii="仿宋" w:hAnsi="仿宋" w:eastAsia="仿宋"/>
          <w:color w:val="000000" w:themeColor="text1"/>
          <w:sz w:val="24"/>
          <w:szCs w:val="24"/>
          <w14:textFill>
            <w14:solidFill>
              <w14:schemeClr w14:val="tx1"/>
            </w14:solidFill>
          </w14:textFill>
        </w:rPr>
      </w:pPr>
      <w:bookmarkStart w:id="98" w:name="_Toc13531"/>
      <w:r>
        <w:rPr>
          <w:rFonts w:hint="eastAsia" w:ascii="仿宋" w:hAnsi="仿宋" w:eastAsia="仿宋"/>
          <w:color w:val="000000" w:themeColor="text1"/>
          <w14:textFill>
            <w14:solidFill>
              <w14:schemeClr w14:val="tx1"/>
            </w14:solidFill>
          </w14:textFill>
        </w:rPr>
        <w:t>第六章  磋商内容、磋商过程中可实质性变动的内容</w:t>
      </w:r>
      <w:bookmarkEnd w:id="98"/>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bookmarkStart w:id="99" w:name="PO_默认文件内容_28"/>
      <w:r>
        <w:rPr>
          <w:rFonts w:ascii="仿宋" w:hAnsi="仿宋" w:eastAsia="仿宋"/>
          <w:color w:val="000000" w:themeColor="text1"/>
          <w:sz w:val="24"/>
          <w14:textFill>
            <w14:solidFill>
              <w14:schemeClr w14:val="tx1"/>
            </w14:solidFill>
          </w14:textFill>
        </w:rPr>
        <w:t>针对</w:t>
      </w:r>
      <w:r>
        <w:rPr>
          <w:rFonts w:hint="eastAsia" w:ascii="仿宋" w:hAnsi="仿宋" w:eastAsia="仿宋"/>
          <w:color w:val="000000" w:themeColor="text1"/>
          <w:sz w:val="24"/>
          <w14:textFill>
            <w14:solidFill>
              <w14:schemeClr w14:val="tx1"/>
            </w14:solidFill>
          </w14:textFill>
        </w:rPr>
        <w:t>第五章、第九章</w:t>
      </w:r>
      <w:r>
        <w:rPr>
          <w:rFonts w:ascii="仿宋" w:hAnsi="仿宋" w:eastAsia="仿宋"/>
          <w:color w:val="000000" w:themeColor="text1"/>
          <w:sz w:val="24"/>
          <w14:textFill>
            <w14:solidFill>
              <w14:schemeClr w14:val="tx1"/>
            </w14:solidFill>
          </w14:textFill>
        </w:rPr>
        <w:t>所包含的</w:t>
      </w:r>
      <w:r>
        <w:rPr>
          <w:rFonts w:hint="eastAsia" w:ascii="仿宋" w:hAnsi="仿宋" w:eastAsia="仿宋"/>
          <w:color w:val="000000" w:themeColor="text1"/>
          <w:sz w:val="24"/>
          <w14:textFill>
            <w14:solidFill>
              <w14:schemeClr w14:val="tx1"/>
            </w14:solidFill>
          </w14:textFill>
        </w:rPr>
        <w:t>技术、服务要求以及合同草案条款</w:t>
      </w:r>
      <w:r>
        <w:rPr>
          <w:rFonts w:ascii="仿宋" w:hAnsi="仿宋" w:eastAsia="仿宋"/>
          <w:color w:val="000000" w:themeColor="text1"/>
          <w:sz w:val="24"/>
          <w14:textFill>
            <w14:solidFill>
              <w14:schemeClr w14:val="tx1"/>
            </w14:solidFill>
          </w14:textFill>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
          <w:bCs/>
          <w:color w:val="000000" w:themeColor="text1"/>
          <w:sz w:val="32"/>
          <w:szCs w:val="32"/>
          <w14:textFill>
            <w14:solidFill>
              <w14:schemeClr w14:val="tx1"/>
            </w14:solidFill>
          </w14:textFill>
        </w:rPr>
      </w:pPr>
    </w:p>
    <w:bookmarkEnd w:id="99"/>
    <w:p>
      <w:pPr>
        <w:widowControl/>
        <w:jc w:val="left"/>
        <w:rPr>
          <w:rFonts w:ascii="仿宋" w:hAnsi="仿宋" w:eastAsia="仿宋" w:cstheme="majorBidi"/>
          <w:b/>
          <w:bCs/>
          <w:color w:val="000000" w:themeColor="text1"/>
          <w:sz w:val="32"/>
          <w:szCs w:val="32"/>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pStyle w:val="29"/>
        <w:rPr>
          <w:rFonts w:ascii="仿宋" w:hAnsi="仿宋" w:eastAsia="仿宋"/>
          <w:color w:val="000000" w:themeColor="text1"/>
          <w14:textFill>
            <w14:solidFill>
              <w14:schemeClr w14:val="tx1"/>
            </w14:solidFill>
          </w14:textFill>
        </w:rPr>
      </w:pPr>
      <w:bookmarkStart w:id="100" w:name="_Toc21087"/>
      <w:r>
        <w:rPr>
          <w:rFonts w:hint="eastAsia" w:ascii="仿宋" w:hAnsi="仿宋" w:eastAsia="仿宋"/>
          <w:color w:val="000000" w:themeColor="text1"/>
          <w14:textFill>
            <w14:solidFill>
              <w14:schemeClr w14:val="tx1"/>
            </w14:solidFill>
          </w14:textFill>
        </w:rPr>
        <w:t>第七章  响应文件格式</w:t>
      </w:r>
      <w:bookmarkEnd w:id="100"/>
    </w:p>
    <w:p>
      <w:pPr>
        <w:jc w:val="left"/>
        <w:rPr>
          <w:rFonts w:ascii="仿宋" w:hAnsi="仿宋" w:eastAsia="仿宋"/>
          <w:b/>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bookmarkStart w:id="101" w:name="PO_默认文件内容_29"/>
      <w:r>
        <w:rPr>
          <w:rFonts w:hint="eastAsia" w:ascii="仿宋" w:hAnsi="仿宋" w:eastAsia="仿宋"/>
          <w:color w:val="000000" w:themeColor="text1"/>
          <w:sz w:val="24"/>
          <w14:textFill>
            <w14:solidFill>
              <w14:schemeClr w14:val="tx1"/>
            </w14:solidFill>
          </w14:textFill>
        </w:rPr>
        <w:t>一、本章所制响应文件格式，除格式中明确将该格式作为实质性要求的，一律不具有强制性。</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二、本章所制响应文件格式有关表格中的备注栏，由供应商根据自身响应情况作解释性说明，不作为必填项。</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bookmarkEnd w:id="101"/>
    </w:p>
    <w:p>
      <w:pPr>
        <w:jc w:val="center"/>
        <w:rPr>
          <w:rFonts w:ascii="仿宋" w:hAnsi="仿宋" w:eastAsia="仿宋"/>
          <w:b/>
          <w:color w:val="000000" w:themeColor="text1"/>
          <w:sz w:val="32"/>
          <w:szCs w:val="32"/>
          <w14:textFill>
            <w14:solidFill>
              <w14:schemeClr w14:val="tx1"/>
            </w14:solidFill>
          </w14:textFill>
        </w:rPr>
      </w:pPr>
    </w:p>
    <w:p>
      <w:pPr>
        <w:jc w:val="center"/>
        <w:outlineLvl w:val="1"/>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bookmarkStart w:id="102" w:name="PO_默认文件内容_22"/>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w:t>
      </w:r>
    </w:p>
    <w:p>
      <w:pPr>
        <w:widowControl/>
        <w:jc w:val="left"/>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pStyle w:val="18"/>
        <w:ind w:left="0" w:leftChars="0"/>
        <w:rPr>
          <w:color w:val="000000" w:themeColor="text1"/>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rPr>
          <w:rFonts w:ascii="仿宋" w:hAnsi="仿宋" w:eastAsia="仿宋"/>
          <w:b/>
          <w:color w:val="000000" w:themeColor="text1"/>
          <w:sz w:val="7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14:textFill>
            <w14:solidFill>
              <w14:schemeClr w14:val="tx1"/>
            </w14:solidFill>
          </w14:textFill>
        </w:rPr>
        <w:t>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spacing w:line="440" w:lineRule="exact"/>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t>日期：</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jc w:val="center"/>
        <w:rPr>
          <w:rFonts w:ascii="仿宋" w:hAnsi="仿宋" w:eastAsia="仿宋" w:cs="Arial"/>
          <w:b/>
          <w:bCs/>
          <w:color w:val="000000" w:themeColor="text1"/>
          <w:sz w:val="32"/>
          <w:szCs w:val="32"/>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cs="Arial"/>
          <w:b/>
          <w:bCs/>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一、法定代表人/单位负责人授权书</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授权代表（被授权人）：XXXX（签字）</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pStyle w:val="2"/>
        <w:rPr>
          <w:color w:val="000000" w:themeColor="text1"/>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rPr>
          <w:color w:val="000000" w:themeColor="text1"/>
          <w14:textFill>
            <w14:solidFill>
              <w14:schemeClr w14:val="tx1"/>
            </w14:solidFill>
          </w14:textFill>
        </w:rPr>
      </w:pPr>
      <w:bookmarkStart w:id="103" w:name="_Toc217446084"/>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2、应附法定代表人/单位负责人身份证明材料复印件和授权代表身份证明材料复印件。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3、身份证明材料包括居民身份证或户口本或军官证或护照等。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4、身份证明材料应同时提供其在有效期的材料，如居民身份证正、反面复印件。</w:t>
      </w:r>
    </w:p>
    <w:p>
      <w:pPr>
        <w:rPr>
          <w:color w:val="000000" w:themeColor="text1"/>
          <w14:textFill>
            <w14:solidFill>
              <w14:schemeClr w14:val="tx1"/>
            </w14:solidFill>
          </w14:textFill>
        </w:rPr>
      </w:pPr>
    </w:p>
    <w:bookmarkEnd w:id="103"/>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 xml:space="preserve">格式1-3     </w:t>
      </w:r>
    </w:p>
    <w:p>
      <w:pPr>
        <w:widowControl/>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二、法定代表人证明文件</w:t>
      </w:r>
    </w:p>
    <w:p>
      <w:pPr>
        <w:pStyle w:val="12"/>
        <w:rPr>
          <w:color w:val="000000" w:themeColor="text1"/>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同志(身份证号码:XXXX)在我公司任</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职务，系我公司法定代表人，特此证明。</w:t>
      </w:r>
    </w:p>
    <w:p>
      <w:pPr>
        <w:pStyle w:val="12"/>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单位地址:XXXX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1、法定代表人参加投标时应附法定代表人身份证明材料复印件。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2、身份证明材料包括居民身份证或户口本或军官证或护照等。</w:t>
      </w:r>
    </w:p>
    <w:p>
      <w:pPr>
        <w:spacing w:line="400" w:lineRule="exact"/>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3、身份证明材料应同时提供其在有效期的材料，如居民身份证正、反面复印件。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格式1-4</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三、承诺函</w:t>
      </w:r>
    </w:p>
    <w:p>
      <w:pPr>
        <w:rPr>
          <w:color w:val="000000" w:themeColor="text1"/>
          <w14:textFill>
            <w14:solidFill>
              <w14:schemeClr w14:val="tx1"/>
            </w14:solidFill>
          </w14:textFill>
        </w:rPr>
      </w:pPr>
    </w:p>
    <w:p>
      <w:pPr>
        <w:spacing w:line="36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我单位作为本次采购项目的供应商，根据磋商文件要求，现郑重承诺如下：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一、《中华人民共和国政府采购法》第二十二条规定的条件：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2、具有良好的商业信誉和健全的财务会计制度；</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4、具有依法缴纳税收和社会保障资金的良好记录；</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5、参加本次政府采购活动前三年内，在经营活动中没有重大违法记录；</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6、法律、行政法规规定的其他条件；</w:t>
      </w:r>
    </w:p>
    <w:p>
      <w:pPr>
        <w:pStyle w:val="50"/>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7、根据采购项目的特殊要求：无；</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8、本项目参加采购活动的供应商、法定代表人/主要负责人不得具有行贿犯罪记录；</w:t>
      </w:r>
    </w:p>
    <w:p>
      <w:pPr>
        <w:pStyle w:val="50"/>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9、落实政府采购政策需满足的资格要求：无；</w:t>
      </w:r>
    </w:p>
    <w:p>
      <w:pPr>
        <w:pStyle w:val="50"/>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10、</w:t>
      </w:r>
      <w:r>
        <w:rPr>
          <w:rFonts w:hint="eastAsia" w:ascii="仿宋" w:hAnsi="仿宋" w:eastAsia="仿宋" w:cs="仿宋"/>
          <w:color w:val="000000" w:themeColor="text1"/>
          <w:sz w:val="24"/>
          <w14:textFill>
            <w14:solidFill>
              <w14:schemeClr w14:val="tx1"/>
            </w14:solidFill>
          </w14:textFill>
        </w:rPr>
        <w:t>本项目</w:t>
      </w:r>
      <w:r>
        <w:rPr>
          <w:rFonts w:hint="eastAsia" w:ascii="仿宋" w:hAnsi="仿宋" w:eastAsia="仿宋" w:cs="仿宋"/>
          <w:color w:val="000000" w:themeColor="text1"/>
          <w:sz w:val="24"/>
          <w:lang w:val="en-US" w:eastAsia="zh-CN"/>
          <w14:textFill>
            <w14:solidFill>
              <w14:schemeClr w14:val="tx1"/>
            </w14:solidFill>
          </w14:textFill>
        </w:rPr>
        <w:t>不</w:t>
      </w:r>
      <w:r>
        <w:rPr>
          <w:rFonts w:hint="eastAsia" w:ascii="仿宋" w:hAnsi="仿宋" w:eastAsia="仿宋" w:cs="仿宋"/>
          <w:color w:val="000000" w:themeColor="text1"/>
          <w:sz w:val="24"/>
          <w14:textFill>
            <w14:solidFill>
              <w14:schemeClr w14:val="tx1"/>
            </w14:solidFill>
          </w14:textFill>
        </w:rPr>
        <w:t>专门面向中小企业采购</w:t>
      </w:r>
      <w:r>
        <w:rPr>
          <w:rFonts w:hint="eastAsia" w:ascii="仿宋" w:hAnsi="仿宋" w:eastAsia="仿宋" w:cs="仿宋"/>
          <w:color w:val="000000" w:themeColor="text1"/>
          <w:sz w:val="24"/>
          <w:lang w:eastAsia="zh-CN"/>
          <w14:textFill>
            <w14:solidFill>
              <w14:schemeClr w14:val="tx1"/>
            </w14:solidFill>
          </w14:textFill>
        </w:rPr>
        <w:t>；</w:t>
      </w:r>
    </w:p>
    <w:p>
      <w:pPr>
        <w:tabs>
          <w:tab w:val="left" w:pos="7665"/>
        </w:tabs>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en-US" w:eastAsia="zh-CN"/>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、本项目不接受联合体参与磋商。</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二、截至响应文件递交截止日未被列入失信被执行人、重大税收违法案件当事人名单、政府采购严重违法失信行为记录名单。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三、在行贿犯罪信息查询期限内，我单位及我单位现任法定代表人、主要负责人没有行贿犯罪记录。</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olor w:val="000000" w:themeColor="text1"/>
          <w:sz w:val="24"/>
          <w14:textFill>
            <w14:solidFill>
              <w14:schemeClr w14:val="tx1"/>
            </w14:solidFill>
          </w14:textFill>
        </w:rPr>
      </w:pP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供应商名称：XXXX（单位公章）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spacing w:line="36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格式1-5</w:t>
      </w:r>
    </w:p>
    <w:p>
      <w:pPr>
        <w:pStyle w:val="2"/>
        <w:rPr>
          <w:color w:val="000000" w:themeColor="text1"/>
          <w14:textFill>
            <w14:solidFill>
              <w14:schemeClr w14:val="tx1"/>
            </w14:solidFill>
          </w14:textFill>
        </w:rPr>
      </w:pP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四、供应商和报价产品其他资格、资质性及其他类似效力要求的相关证明材料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注：供应商应按磋商文件第四章相关要求提供佐证材料，有格式要求的从其要求，无格式要求的格式自拟。</w:t>
      </w:r>
    </w:p>
    <w:p>
      <w:pPr>
        <w:widowControl/>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bookmarkStart w:id="104" w:name="_Hlk38380036"/>
      <w:r>
        <w:rPr>
          <w:rFonts w:hint="eastAsia" w:ascii="仿宋" w:hAnsi="仿宋" w:eastAsia="仿宋"/>
          <w:b/>
          <w:color w:val="000000" w:themeColor="text1"/>
          <w:sz w:val="32"/>
          <w:szCs w:val="32"/>
          <w14:textFill>
            <w14:solidFill>
              <w14:schemeClr w14:val="tx1"/>
            </w14:solidFill>
          </w14:textFill>
        </w:rPr>
        <w:t>格式1-6</w:t>
      </w:r>
    </w:p>
    <w:p>
      <w:pPr>
        <w:widowControl/>
        <w:jc w:val="center"/>
        <w:outlineLvl w:val="3"/>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五、声明函</w:t>
      </w:r>
    </w:p>
    <w:p>
      <w:pPr>
        <w:pStyle w:val="2"/>
        <w:ind w:firstLine="480"/>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xxxx（采购代理机构名称）</w:t>
      </w:r>
    </w:p>
    <w:bookmarkEnd w:id="104"/>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我单位作为</w:t>
      </w:r>
      <w:r>
        <w:rPr>
          <w:rFonts w:hint="eastAsia" w:ascii="仿宋" w:hAnsi="仿宋" w:eastAsia="仿宋" w:cs="仿宋"/>
          <w:b/>
          <w:color w:val="000000" w:themeColor="text1"/>
          <w:sz w:val="24"/>
          <w:u w:val="single"/>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项目</w:t>
      </w:r>
      <w:r>
        <w:rPr>
          <w:rFonts w:hint="eastAsia" w:ascii="仿宋" w:hAnsi="仿宋" w:eastAsia="仿宋" w:cs="仿宋"/>
          <w:color w:val="000000" w:themeColor="text1"/>
          <w:sz w:val="24"/>
          <w14:textFill>
            <w14:solidFill>
              <w14:schemeClr w14:val="tx1"/>
            </w14:solidFill>
          </w14:textFill>
        </w:rPr>
        <w:t>的供应商，在此郑重声明：</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与我单位负责人为同一人或者存在直接控股、管理关系的相关供应商：</w:t>
      </w:r>
      <w:r>
        <w:rPr>
          <w:rFonts w:hint="eastAsia" w:ascii="仿宋" w:hAnsi="仿宋" w:eastAsia="仿宋" w:cs="仿宋"/>
          <w:b/>
          <w:color w:val="000000" w:themeColor="text1"/>
          <w:sz w:val="24"/>
          <w:u w:val="single"/>
          <w14:textFill>
            <w14:solidFill>
              <w14:schemeClr w14:val="tx1"/>
            </w14:solidFill>
          </w14:textFill>
        </w:rPr>
        <w:t>　  （说明：填写“无”或“（一）供应商名称１；（二）供应商名称２；（三）……”）</w:t>
      </w:r>
      <w:r>
        <w:rPr>
          <w:rFonts w:hint="eastAsia" w:ascii="仿宋" w:hAnsi="仿宋" w:eastAsia="仿宋" w:cs="仿宋"/>
          <w:color w:val="000000" w:themeColor="text1"/>
          <w:sz w:val="24"/>
          <w14:textFill>
            <w14:solidFill>
              <w14:schemeClr w14:val="tx1"/>
            </w14:solidFill>
          </w14:textFill>
        </w:rPr>
        <w:t xml:space="preserve"> 。</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特此声明。</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供应商名称：</w:t>
      </w:r>
      <w:r>
        <w:rPr>
          <w:rFonts w:hint="eastAsia" w:ascii="仿宋" w:hAnsi="仿宋" w:eastAsia="仿宋" w:cs="仿宋"/>
          <w:color w:val="000000" w:themeColor="text1"/>
          <w:sz w:val="24"/>
          <w:u w:val="single"/>
          <w14:textFill>
            <w14:solidFill>
              <w14:schemeClr w14:val="tx1"/>
            </w14:solidFill>
          </w14:textFill>
        </w:rPr>
        <w:t>XXXXXX</w:t>
      </w:r>
    </w:p>
    <w:p>
      <w:pPr>
        <w:spacing w:line="52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期：2021年XX月XX日</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说明： </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对声明中内容的说明：单位负责人为同一人或者存在直接控股、管理关系的不同供应商，不得参加同一合同项下的政府采购活动。</w:t>
      </w:r>
    </w:p>
    <w:p>
      <w:pPr>
        <w:widowControl/>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w:t>
      </w:r>
      <w:r>
        <w:rPr>
          <w:rFonts w:hint="eastAsia" w:ascii="仿宋" w:hAnsi="仿宋" w:eastAsia="仿宋"/>
          <w:b/>
          <w:color w:val="000000" w:themeColor="text1"/>
          <w:sz w:val="32"/>
          <w:szCs w:val="32"/>
          <w14:textFill>
            <w14:solidFill>
              <w14:schemeClr w14:val="tx1"/>
            </w14:solidFill>
          </w14:textFill>
        </w:rPr>
        <w:t>-7</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六、承诺函（如涉及）</w:t>
      </w:r>
    </w:p>
    <w:p>
      <w:pPr>
        <w:rPr>
          <w:color w:val="000000" w:themeColor="text1"/>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我单位作为本次采购项目的供应商，现郑重承诺如下：</w:t>
      </w:r>
    </w:p>
    <w:p>
      <w:pPr>
        <w:spacing w:line="360" w:lineRule="auto"/>
        <w:ind w:firstLine="504"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pacing w:val="6"/>
          <w:sz w:val="24"/>
          <w14:textFill>
            <w14:solidFill>
              <w14:schemeClr w14:val="tx1"/>
            </w14:solidFill>
          </w14:textFill>
        </w:rPr>
        <w:t>根据本项目竞争性磋商文件</w:t>
      </w:r>
      <w:r>
        <w:rPr>
          <w:rFonts w:ascii="仿宋" w:hAnsi="仿宋" w:eastAsia="仿宋" w:cs="宋体"/>
          <w:bCs/>
          <w:color w:val="000000" w:themeColor="text1"/>
          <w:spacing w:val="6"/>
          <w:sz w:val="24"/>
          <w:highlight w:val="none"/>
          <w14:textFill>
            <w14:solidFill>
              <w14:schemeClr w14:val="tx1"/>
            </w14:solidFill>
          </w14:textFill>
        </w:rPr>
        <w:t>第</w:t>
      </w:r>
      <w:r>
        <w:rPr>
          <w:rFonts w:hint="eastAsia" w:ascii="仿宋" w:hAnsi="仿宋" w:eastAsia="仿宋" w:cs="宋体"/>
          <w:bCs/>
          <w:color w:val="000000" w:themeColor="text1"/>
          <w:spacing w:val="6"/>
          <w:sz w:val="24"/>
          <w:highlight w:val="none"/>
          <w:lang w:val="en-US" w:eastAsia="zh-CN"/>
          <w14:textFill>
            <w14:solidFill>
              <w14:schemeClr w14:val="tx1"/>
            </w14:solidFill>
          </w14:textFill>
        </w:rPr>
        <w:t>四</w:t>
      </w:r>
      <w:r>
        <w:rPr>
          <w:rFonts w:ascii="仿宋" w:hAnsi="仿宋" w:eastAsia="仿宋" w:cs="宋体"/>
          <w:bCs/>
          <w:color w:val="000000" w:themeColor="text1"/>
          <w:spacing w:val="6"/>
          <w:sz w:val="24"/>
          <w:highlight w:val="none"/>
          <w14:textFill>
            <w14:solidFill>
              <w14:schemeClr w14:val="tx1"/>
            </w14:solidFill>
          </w14:textFill>
        </w:rPr>
        <w:t>章</w:t>
      </w:r>
      <w:r>
        <w:rPr>
          <w:rFonts w:ascii="仿宋" w:hAnsi="仿宋" w:eastAsia="仿宋" w:cs="宋体"/>
          <w:bCs/>
          <w:color w:val="000000" w:themeColor="text1"/>
          <w:spacing w:val="6"/>
          <w:sz w:val="24"/>
          <w14:textFill>
            <w14:solidFill>
              <w14:schemeClr w14:val="tx1"/>
            </w14:solidFill>
          </w14:textFill>
        </w:rPr>
        <w:t>资格证明要求中第</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项，</w:t>
      </w:r>
      <w:r>
        <w:rPr>
          <w:rFonts w:ascii="仿宋" w:hAnsi="仿宋" w:eastAsia="仿宋" w:cs="宋体"/>
          <w:bCs/>
          <w:color w:val="000000" w:themeColor="text1"/>
          <w:spacing w:val="6"/>
          <w:sz w:val="24"/>
          <w14:textFill>
            <w14:solidFill>
              <w14:schemeClr w14:val="tx1"/>
            </w14:solidFill>
          </w14:textFill>
        </w:rPr>
        <w:t>我</w:t>
      </w:r>
      <w:r>
        <w:rPr>
          <w:rFonts w:hint="eastAsia" w:ascii="仿宋" w:hAnsi="仿宋" w:eastAsia="仿宋" w:cs="宋体"/>
          <w:bCs/>
          <w:color w:val="000000" w:themeColor="text1"/>
          <w:spacing w:val="6"/>
          <w:sz w:val="24"/>
          <w14:textFill>
            <w14:solidFill>
              <w14:schemeClr w14:val="tx1"/>
            </w14:solidFill>
          </w14:textFill>
        </w:rPr>
        <w:t>单位</w:t>
      </w:r>
      <w:r>
        <w:rPr>
          <w:rFonts w:ascii="仿宋" w:hAnsi="仿宋" w:eastAsia="仿宋" w:cs="宋体"/>
          <w:bCs/>
          <w:color w:val="000000" w:themeColor="text1"/>
          <w:spacing w:val="6"/>
          <w:sz w:val="24"/>
          <w14:textFill>
            <w14:solidFill>
              <w14:schemeClr w14:val="tx1"/>
            </w14:solidFill>
          </w14:textFill>
        </w:rPr>
        <w:t>应具备</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、登记、其他证照</w:t>
      </w:r>
      <w:r>
        <w:rPr>
          <w:rFonts w:hint="eastAsia" w:ascii="仿宋" w:hAnsi="仿宋" w:eastAsia="仿宋" w:cs="宋体"/>
          <w:bCs/>
          <w:color w:val="000000" w:themeColor="text1"/>
          <w:spacing w:val="6"/>
          <w:sz w:val="24"/>
          <w14:textFill>
            <w14:solidFill>
              <w14:schemeClr w14:val="tx1"/>
            </w14:solidFill>
          </w14:textFill>
        </w:rPr>
        <w:t>）。但因</w:t>
      </w:r>
      <w:r>
        <w:rPr>
          <w:rFonts w:ascii="仿宋" w:hAnsi="仿宋" w:eastAsia="仿宋" w:cs="宋体"/>
          <w:bCs/>
          <w:color w:val="000000" w:themeColor="text1"/>
          <w:spacing w:val="6"/>
          <w:sz w:val="24"/>
          <w14:textFill>
            <w14:solidFill>
              <w14:schemeClr w14:val="tx1"/>
            </w14:solidFill>
          </w14:textFill>
        </w:rPr>
        <w:t>我单位所在地</w:t>
      </w:r>
      <w:r>
        <w:rPr>
          <w:rFonts w:hint="eastAsia" w:ascii="仿宋" w:hAnsi="仿宋" w:eastAsia="仿宋" w:cs="宋体"/>
          <w:bCs/>
          <w:color w:val="000000" w:themeColor="text1"/>
          <w:spacing w:val="6"/>
          <w:sz w:val="24"/>
          <w14:textFill>
            <w14:solidFill>
              <w14:schemeClr w14:val="tx1"/>
            </w14:solidFill>
          </w14:textFill>
        </w:rPr>
        <w:t>已对</w:t>
      </w:r>
      <w:r>
        <w:rPr>
          <w:rFonts w:ascii="仿宋" w:hAnsi="仿宋" w:eastAsia="仿宋" w:cs="宋体"/>
          <w:bCs/>
          <w:color w:val="000000" w:themeColor="text1"/>
          <w:spacing w:val="6"/>
          <w:sz w:val="24"/>
          <w14:textFill>
            <w14:solidFill>
              <w14:schemeClr w14:val="tx1"/>
            </w14:solidFill>
          </w14:textFill>
        </w:rPr>
        <w:t>上述</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w:t>
      </w:r>
      <w:r>
        <w:rPr>
          <w:rFonts w:ascii="仿宋" w:hAnsi="仿宋" w:eastAsia="仿宋" w:cs="宋体"/>
          <w:bCs/>
          <w:color w:val="000000" w:themeColor="text1"/>
          <w:sz w:val="24"/>
          <w14:textFill>
            <w14:solidFill>
              <w14:schemeClr w14:val="tx1"/>
            </w14:solidFill>
          </w14:textFill>
        </w:rPr>
        <w:t>、其他证照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u w:val="single"/>
          <w14:textFill>
            <w14:solidFill>
              <w14:schemeClr w14:val="tx1"/>
            </w14:solidFill>
          </w14:textFill>
        </w:rPr>
        <w:t xml:space="preserve">         </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供应商名称：XXXX（单位公章）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法定代表人/单位负责人或授权代表：XXXX（签字或加盖个人印章）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    期：XXXX</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注：1.</w:t>
      </w:r>
      <w:r>
        <w:rPr>
          <w:rFonts w:ascii="仿宋" w:hAnsi="仿宋" w:eastAsia="仿宋" w:cs="宋体"/>
          <w:bCs/>
          <w:color w:val="000000" w:themeColor="text1"/>
          <w:sz w:val="24"/>
          <w14:textFill>
            <w14:solidFill>
              <w14:schemeClr w14:val="tx1"/>
            </w14:solidFill>
          </w14:textFill>
        </w:rPr>
        <w:t>根据国务院办公厅关于加快推进“多证合一”改革的指导意见（国办发【2017】41号）等政策要求，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2.若已提供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3.若本项目资格要求不涉及，无需提供该承诺。</w:t>
      </w: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p>
    <w:p>
      <w:pPr>
        <w:tabs>
          <w:tab w:val="left" w:pos="900"/>
        </w:tabs>
        <w:spacing w:line="360" w:lineRule="auto"/>
        <w:jc w:val="center"/>
        <w:outlineLvl w:val="1"/>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w:t>
      </w:r>
    </w:p>
    <w:p>
      <w:pPr>
        <w:widowControl/>
        <w:jc w:val="left"/>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bookmarkStart w:id="105" w:name="_Toc308164824"/>
      <w:r>
        <w:rPr>
          <w:rFonts w:hint="eastAsia" w:ascii="仿宋" w:hAnsi="仿宋" w:eastAsia="仿宋"/>
          <w:b/>
          <w:color w:val="000000" w:themeColor="text1"/>
          <w:sz w:val="32"/>
          <w:szCs w:val="32"/>
          <w14:textFill>
            <w14:solidFill>
              <w14:schemeClr w14:val="tx1"/>
            </w14:solidFill>
          </w14:textFill>
        </w:rPr>
        <w:t>一、响应函</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一、我方自愿按照磋商文件规定的各项要求向采购人提供所需货物/服务。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二、一旦我方成交，我方将严格履行政府采购合同规定的责任和义务。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三、我方为本项目提交的响应文件正本1份，副本</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份，用于磋商报价。</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四、本次磋商，我方递交的响应文件有效期为磋商文件规定起算之日起XX天。</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w:t>
      </w:r>
    </w:p>
    <w:p>
      <w:pPr>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r>
        <w:rPr>
          <w:rFonts w:ascii="仿宋" w:hAnsi="仿宋" w:eastAsia="仿宋"/>
          <w:b/>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格式2-3</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二、承诺函（实质性要求）</w:t>
      </w:r>
    </w:p>
    <w:p>
      <w:pPr>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我方作为本次采购项目的供应商，根据磋商文件要求，现郑重承诺如下：</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五、我方实际控制人或者中高级管理人员，不存在同时是采购代理机构工作人员的情形。</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color w:val="000000" w:themeColor="text1"/>
          <w:spacing w:val="-6"/>
          <w:sz w:val="24"/>
          <w14:textFill>
            <w14:solidFill>
              <w14:schemeClr w14:val="tx1"/>
            </w14:solidFill>
          </w14:textFill>
        </w:rPr>
      </w:pPr>
      <w:r>
        <w:rPr>
          <w:rFonts w:hint="eastAsia" w:ascii="仿宋" w:hAnsi="仿宋" w:eastAsia="仿宋" w:cs="仿宋"/>
          <w:color w:val="000000" w:themeColor="text1"/>
          <w:spacing w:val="-6"/>
          <w:sz w:val="24"/>
          <w14:textFill>
            <w14:solidFill>
              <w14:schemeClr w14:val="tx1"/>
            </w14:solidFill>
          </w14:textFill>
        </w:rPr>
        <w:t>七、我方与采购代理机构不存在关联关系，也不是采购代理机构的母公司或子公司。</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八、响应文件中提供的任何资料和技术、服务、商务等响应承诺情况都是真实的、有效的、合法的。</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十二、在本次递交响应文件之前一周年内，供应商本次磋商中对同一品牌同一型号的产品报价与其在中国境内其他地方的最低报价相比不得高于20%，我方承诺符合该要求。</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bookmarkEnd w:id="105"/>
      <w:bookmarkStart w:id="106" w:name="_Toc217446087"/>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格式2-4</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bookmarkStart w:id="107" w:name="_Toc14002"/>
      <w:r>
        <w:rPr>
          <w:rFonts w:hint="eastAsia" w:ascii="仿宋" w:hAnsi="仿宋" w:eastAsia="仿宋"/>
          <w:b/>
          <w:color w:val="000000" w:themeColor="text1"/>
          <w:sz w:val="32"/>
          <w:szCs w:val="32"/>
          <w14:textFill>
            <w14:solidFill>
              <w14:schemeClr w14:val="tx1"/>
            </w14:solidFill>
          </w14:textFill>
        </w:rPr>
        <w:t>三、中小企业声明函</w:t>
      </w:r>
      <w:bookmarkEnd w:id="107"/>
      <w:r>
        <w:rPr>
          <w:rFonts w:hint="eastAsia" w:ascii="仿宋" w:hAnsi="仿宋" w:eastAsia="仿宋"/>
          <w:b/>
          <w:color w:val="000000" w:themeColor="text1"/>
          <w:sz w:val="32"/>
          <w:szCs w:val="32"/>
          <w14:textFill>
            <w14:solidFill>
              <w14:schemeClr w14:val="tx1"/>
            </w14:solidFill>
          </w14:textFill>
        </w:rPr>
        <w:t>（货物）</w:t>
      </w:r>
    </w:p>
    <w:p>
      <w:pPr>
        <w:pStyle w:val="17"/>
        <w:spacing w:line="360" w:lineRule="auto"/>
        <w:ind w:left="0" w:leftChars="0"/>
        <w:rPr>
          <w:rFonts w:asciiTheme="minorEastAsia" w:hAnsiTheme="minorEastAsia"/>
          <w:b/>
          <w:color w:val="000000" w:themeColor="text1"/>
          <w:szCs w:val="21"/>
          <w14:textFill>
            <w14:solidFill>
              <w14:schemeClr w14:val="tx1"/>
            </w14:solidFill>
          </w14:textFill>
        </w:rPr>
      </w:pPr>
    </w:p>
    <w:p>
      <w:pPr>
        <w:autoSpaceDE w:val="0"/>
        <w:autoSpaceDN w:val="0"/>
        <w:adjustRightInd w:val="0"/>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本公司（联合体）郑重声明，根据《政府采购促进中小企业发展管理办法》（财库﹝2020﹞46 号）的规定，本公司（联合体）参加</w:t>
      </w:r>
      <w:r>
        <w:rPr>
          <w:rFonts w:hint="eastAsia" w:ascii="仿宋" w:hAnsi="仿宋" w:eastAsia="仿宋" w:cs="仿宋"/>
          <w:color w:val="000000" w:themeColor="text1"/>
          <w:kern w:val="0"/>
          <w:sz w:val="24"/>
          <w:u w:val="single"/>
          <w14:textFill>
            <w14:solidFill>
              <w14:schemeClr w14:val="tx1"/>
            </w14:solidFill>
          </w14:textFill>
        </w:rPr>
        <w:t>（单位名称）</w:t>
      </w:r>
      <w:r>
        <w:rPr>
          <w:rFonts w:hint="eastAsia" w:ascii="仿宋" w:hAnsi="仿宋" w:eastAsia="仿宋" w:cs="仿宋"/>
          <w:color w:val="000000" w:themeColor="text1"/>
          <w:kern w:val="0"/>
          <w:sz w:val="24"/>
          <w14:textFill>
            <w14:solidFill>
              <w14:schemeClr w14:val="tx1"/>
            </w14:solidFill>
          </w14:textFill>
        </w:rPr>
        <w:t>的</w:t>
      </w:r>
      <w:r>
        <w:rPr>
          <w:rFonts w:hint="eastAsia" w:ascii="仿宋" w:hAnsi="仿宋" w:eastAsia="仿宋" w:cs="仿宋"/>
          <w:color w:val="000000" w:themeColor="text1"/>
          <w:kern w:val="0"/>
          <w:sz w:val="24"/>
          <w:u w:val="single"/>
          <w14:textFill>
            <w14:solidFill>
              <w14:schemeClr w14:val="tx1"/>
            </w14:solidFill>
          </w14:textFill>
        </w:rPr>
        <w:t>（项目名称）</w:t>
      </w:r>
      <w:r>
        <w:rPr>
          <w:rFonts w:hint="eastAsia" w:ascii="仿宋" w:hAnsi="仿宋" w:eastAsia="仿宋" w:cs="仿宋"/>
          <w:color w:val="000000" w:themeColor="text1"/>
          <w:kern w:val="0"/>
          <w:sz w:val="24"/>
          <w14:textFill>
            <w14:solidFill>
              <w14:schemeClr w14:val="tx1"/>
            </w14:solidFill>
          </w14:textFill>
        </w:rPr>
        <w:t>采购活动，提供的货物全部由符合政策要求的中小企业制造。相关企业（含联合体中的中小企业、签订分包意向协议的中小企业）的具体情况如下：</w:t>
      </w:r>
    </w:p>
    <w:p>
      <w:pPr>
        <w:autoSpaceDE w:val="0"/>
        <w:autoSpaceDN w:val="0"/>
        <w:adjustRightInd w:val="0"/>
        <w:spacing w:line="360" w:lineRule="auto"/>
        <w:ind w:firstLine="240" w:firstLineChars="1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1. </w:t>
      </w:r>
      <w:r>
        <w:rPr>
          <w:rFonts w:hint="eastAsia" w:ascii="仿宋" w:hAnsi="仿宋" w:eastAsia="仿宋" w:cs="仿宋"/>
          <w:color w:val="000000" w:themeColor="text1"/>
          <w:kern w:val="0"/>
          <w:sz w:val="24"/>
          <w:u w:val="single"/>
          <w14:textFill>
            <w14:solidFill>
              <w14:schemeClr w14:val="tx1"/>
            </w14:solidFill>
          </w14:textFill>
        </w:rPr>
        <w:t xml:space="preserve">（标的名称）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行业；制造商为</w:t>
      </w:r>
      <w:r>
        <w:rPr>
          <w:rFonts w:hint="eastAsia" w:ascii="仿宋" w:hAnsi="仿宋" w:eastAsia="仿宋" w:cs="仿宋"/>
          <w:color w:val="000000" w:themeColor="text1"/>
          <w:kern w:val="0"/>
          <w:sz w:val="24"/>
          <w:u w:val="single"/>
          <w14:textFill>
            <w14:solidFill>
              <w14:schemeClr w14:val="tx1"/>
            </w14:solidFill>
          </w14:textFill>
        </w:rPr>
        <w:t>（企业名称）</w:t>
      </w:r>
      <w:r>
        <w:rPr>
          <w:rFonts w:hint="eastAsia" w:ascii="仿宋" w:hAnsi="仿宋" w:eastAsia="仿宋" w:cs="仿宋"/>
          <w:color w:val="000000" w:themeColor="text1"/>
          <w:kern w:val="0"/>
          <w:sz w:val="24"/>
          <w14:textFill>
            <w14:solidFill>
              <w14:schemeClr w14:val="tx1"/>
            </w14:solidFill>
          </w14:textFill>
        </w:rPr>
        <w:t>，从业人员</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人，营业收入为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万元，资产总额为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万元，属于</w:t>
      </w:r>
      <w:r>
        <w:rPr>
          <w:rFonts w:hint="eastAsia" w:ascii="仿宋" w:hAnsi="仿宋" w:eastAsia="仿宋" w:cs="仿宋"/>
          <w:color w:val="000000" w:themeColor="text1"/>
          <w:kern w:val="0"/>
          <w:sz w:val="24"/>
          <w:u w:val="single"/>
          <w14:textFill>
            <w14:solidFill>
              <w14:schemeClr w14:val="tx1"/>
            </w14:solidFill>
          </w14:textFill>
        </w:rPr>
        <w:t>（中型企业、小型企业、微型企业）</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360" w:lineRule="auto"/>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2. </w:t>
      </w:r>
      <w:r>
        <w:rPr>
          <w:rFonts w:hint="eastAsia" w:ascii="仿宋" w:hAnsi="仿宋" w:eastAsia="仿宋" w:cs="仿宋"/>
          <w:color w:val="000000" w:themeColor="text1"/>
          <w:kern w:val="0"/>
          <w:sz w:val="24"/>
          <w:u w:val="single"/>
          <w14:textFill>
            <w14:solidFill>
              <w14:schemeClr w14:val="tx1"/>
            </w14:solidFill>
          </w14:textFill>
        </w:rPr>
        <w:t>（标的名称）</w:t>
      </w:r>
      <w:r>
        <w:rPr>
          <w:rFonts w:hint="eastAsia" w:ascii="仿宋" w:hAnsi="仿宋" w:eastAsia="仿宋" w:cs="仿宋"/>
          <w:color w:val="000000" w:themeColor="text1"/>
          <w:kern w:val="0"/>
          <w:sz w:val="24"/>
          <w14:textFill>
            <w14:solidFill>
              <w14:schemeClr w14:val="tx1"/>
            </w14:solidFill>
          </w14:textFill>
        </w:rPr>
        <w:t xml:space="preserve"> ，属于</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行业；制造商为</w:t>
      </w:r>
      <w:r>
        <w:rPr>
          <w:rFonts w:hint="eastAsia" w:ascii="仿宋" w:hAnsi="仿宋" w:eastAsia="仿宋" w:cs="仿宋"/>
          <w:color w:val="000000" w:themeColor="text1"/>
          <w:kern w:val="0"/>
          <w:sz w:val="24"/>
          <w:u w:val="single"/>
          <w14:textFill>
            <w14:solidFill>
              <w14:schemeClr w14:val="tx1"/>
            </w14:solidFill>
          </w14:textFill>
        </w:rPr>
        <w:t>（企业名称）</w:t>
      </w:r>
      <w:r>
        <w:rPr>
          <w:rFonts w:hint="eastAsia" w:ascii="仿宋" w:hAnsi="仿宋" w:eastAsia="仿宋" w:cs="仿宋"/>
          <w:color w:val="000000" w:themeColor="text1"/>
          <w:kern w:val="0"/>
          <w:sz w:val="24"/>
          <w14:textFill>
            <w14:solidFill>
              <w14:schemeClr w14:val="tx1"/>
            </w14:solidFill>
          </w14:textFill>
        </w:rPr>
        <w:t>，从业人员</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人，营业收入为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万元，资产总额为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万元，属于</w:t>
      </w:r>
      <w:r>
        <w:rPr>
          <w:rFonts w:hint="eastAsia" w:ascii="仿宋" w:hAnsi="仿宋" w:eastAsia="仿宋" w:cs="仿宋"/>
          <w:color w:val="000000" w:themeColor="text1"/>
          <w:kern w:val="0"/>
          <w:sz w:val="24"/>
          <w:u w:val="single"/>
          <w14:textFill>
            <w14:solidFill>
              <w14:schemeClr w14:val="tx1"/>
            </w14:solidFill>
          </w14:textFill>
        </w:rPr>
        <w:t>（中型企业、小型企业、微型企业）</w:t>
      </w:r>
      <w:r>
        <w:rPr>
          <w:rFonts w:hint="eastAsia" w:ascii="仿宋" w:hAnsi="仿宋" w:eastAsia="仿宋" w:cs="仿宋"/>
          <w:color w:val="000000" w:themeColor="text1"/>
          <w:kern w:val="0"/>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企业名称（盖章）：</w:t>
      </w:r>
    </w:p>
    <w:p>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3、从业人员、营业收入、资产总额填报上一年度数据，无上一年度数据的新成立企业及监狱企业可不填报。</w:t>
      </w: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br w:type="page"/>
      </w:r>
    </w:p>
    <w:p>
      <w:pPr>
        <w:widowControl/>
        <w:spacing w:line="360" w:lineRule="atLeast"/>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格式2-5</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日期：XXXX</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4"/>
        </w:numPr>
        <w:spacing w:after="16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after="160"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供应商为非残疾人福利性单位的，可不提供此声明。</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格式2-6</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五、监狱企业</w:t>
      </w: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p>
    <w:p>
      <w:pPr>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color w:val="000000" w:themeColor="text1"/>
          <w:sz w:val="24"/>
          <w14:textFill>
            <w14:solidFill>
              <w14:schemeClr w14:val="tx1"/>
            </w14:solidFill>
          </w14:textFill>
        </w:rPr>
      </w:pPr>
    </w:p>
    <w:p>
      <w:pPr>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1、供应商符合《政府采购支持监狱企业发展有关问题的通知》（财库〔2014〕68号）规定的划分标准为监狱企业的适用。</w:t>
      </w:r>
    </w:p>
    <w:p>
      <w:pPr>
        <w:spacing w:line="3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2、在政府采购活动中，监狱企业视同小型、微型企业，享受预留份额、评审中价格扣除等政府采购促进中小企业发展的政府采购政策。</w:t>
      </w:r>
    </w:p>
    <w:p>
      <w:pPr>
        <w:pStyle w:val="18"/>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格式2-7</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六、供应商基本情况表</w:t>
      </w:r>
    </w:p>
    <w:p>
      <w:pPr>
        <w:jc w:val="center"/>
        <w:rPr>
          <w:rFonts w:ascii="仿宋" w:hAnsi="仿宋" w:eastAsia="仿宋" w:cs="Arial"/>
          <w:b/>
          <w:bCs/>
          <w:color w:val="000000" w:themeColor="text1"/>
          <w:sz w:val="32"/>
          <w:szCs w:val="32"/>
          <w14:textFill>
            <w14:solidFill>
              <w14:schemeClr w14:val="tx1"/>
            </w14:solidFill>
          </w14:textFill>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供应商名称</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注册地址</w:t>
            </w:r>
          </w:p>
        </w:tc>
        <w:tc>
          <w:tcPr>
            <w:tcW w:w="4680" w:type="dxa"/>
            <w:gridSpan w:val="6"/>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邮政编码</w:t>
            </w:r>
          </w:p>
        </w:tc>
        <w:tc>
          <w:tcPr>
            <w:tcW w:w="1620" w:type="dxa"/>
            <w:gridSpan w:val="2"/>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联系方式</w:t>
            </w:r>
          </w:p>
        </w:tc>
        <w:tc>
          <w:tcPr>
            <w:tcW w:w="108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联系人</w:t>
            </w:r>
          </w:p>
        </w:tc>
        <w:tc>
          <w:tcPr>
            <w:tcW w:w="3600" w:type="dxa"/>
            <w:gridSpan w:val="5"/>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tc>
        <w:tc>
          <w:tcPr>
            <w:tcW w:w="1620" w:type="dxa"/>
            <w:gridSpan w:val="2"/>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08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传真</w:t>
            </w:r>
          </w:p>
        </w:tc>
        <w:tc>
          <w:tcPr>
            <w:tcW w:w="3600" w:type="dxa"/>
            <w:gridSpan w:val="5"/>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网址</w:t>
            </w:r>
          </w:p>
        </w:tc>
        <w:tc>
          <w:tcPr>
            <w:tcW w:w="1620" w:type="dxa"/>
            <w:gridSpan w:val="2"/>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组织结构</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法定代表人</w:t>
            </w:r>
          </w:p>
        </w:tc>
        <w:tc>
          <w:tcPr>
            <w:tcW w:w="1260" w:type="dxa"/>
            <w:gridSpan w:val="2"/>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姓名</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技术职称</w:t>
            </w: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技术负责人</w:t>
            </w:r>
          </w:p>
        </w:tc>
        <w:tc>
          <w:tcPr>
            <w:tcW w:w="1260" w:type="dxa"/>
            <w:gridSpan w:val="2"/>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姓名</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技术职称</w:t>
            </w: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26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联系电话</w:t>
            </w:r>
          </w:p>
        </w:tc>
        <w:tc>
          <w:tcPr>
            <w:tcW w:w="1260" w:type="dxa"/>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成立时间</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5040" w:type="dxa"/>
            <w:gridSpan w:val="8"/>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企业资质等级</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restart"/>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其中</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项目经理</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营业执照</w:t>
            </w:r>
            <w:r>
              <w:rPr>
                <w:rFonts w:hint="eastAsia" w:ascii="仿宋" w:hAnsi="仿宋" w:eastAsia="仿宋" w:cs="仿宋"/>
                <w:color w:val="000000" w:themeColor="text1"/>
                <w14:textFill>
                  <w14:solidFill>
                    <w14:schemeClr w14:val="tx1"/>
                  </w14:solidFill>
                </w14:textFill>
              </w:rPr>
              <w:t>号</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高级职称人员</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注册资金</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中级职称人员</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开户银行</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初级职称人员</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账号</w:t>
            </w:r>
          </w:p>
        </w:tc>
        <w:tc>
          <w:tcPr>
            <w:tcW w:w="252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2"/>
            <w:vMerge w:val="continue"/>
            <w:vAlign w:val="center"/>
          </w:tcPr>
          <w:p>
            <w:pPr>
              <w:jc w:val="center"/>
              <w:rPr>
                <w:rFonts w:ascii="仿宋" w:hAnsi="仿宋" w:eastAsia="仿宋" w:cs="仿宋"/>
                <w:bCs/>
                <w:color w:val="000000" w:themeColor="text1"/>
                <w:szCs w:val="21"/>
                <w14:textFill>
                  <w14:solidFill>
                    <w14:schemeClr w14:val="tx1"/>
                  </w14:solidFill>
                </w14:textFill>
              </w:rPr>
            </w:pP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技工</w:t>
            </w:r>
          </w:p>
        </w:tc>
        <w:tc>
          <w:tcPr>
            <w:tcW w:w="1680" w:type="dxa"/>
            <w:gridSpan w:val="3"/>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经营范围</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备注</w:t>
            </w:r>
          </w:p>
        </w:tc>
        <w:tc>
          <w:tcPr>
            <w:tcW w:w="7560" w:type="dxa"/>
            <w:gridSpan w:val="11"/>
            <w:vAlign w:val="center"/>
          </w:tcPr>
          <w:p>
            <w:pPr>
              <w:jc w:val="center"/>
              <w:rPr>
                <w:rFonts w:ascii="仿宋" w:hAnsi="仿宋" w:eastAsia="仿宋" w:cs="仿宋"/>
                <w:bCs/>
                <w:color w:val="000000" w:themeColor="text1"/>
                <w:szCs w:val="21"/>
                <w14:textFill>
                  <w14:solidFill>
                    <w14:schemeClr w14:val="tx1"/>
                  </w14:solidFill>
                </w14:textFill>
              </w:rPr>
            </w:pPr>
          </w:p>
        </w:tc>
      </w:tr>
    </w:tbl>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格式2-8</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七、技术、服务要求应答表</w:t>
      </w:r>
    </w:p>
    <w:p>
      <w:pPr>
        <w:jc w:val="center"/>
        <w:rPr>
          <w:rFonts w:ascii="仿宋" w:hAnsi="仿宋" w:eastAsia="仿宋"/>
          <w:b/>
          <w:bCs/>
          <w:color w:val="000000" w:themeColor="text1"/>
          <w:sz w:val="32"/>
          <w:szCs w:val="32"/>
          <w14:textFill>
            <w14:solidFill>
              <w14:schemeClr w14:val="tx1"/>
            </w14:solidFill>
          </w14:textFill>
        </w:rPr>
      </w:pPr>
    </w:p>
    <w:tbl>
      <w:tblPr>
        <w:tblStyle w:val="32"/>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磋商文件要求</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磋商响应文件响应说明</w:t>
            </w:r>
          </w:p>
        </w:tc>
        <w:tc>
          <w:tcPr>
            <w:tcW w:w="2193"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必须据实填写，不得虚假应答，否则将取消其参加采购活动或成交资格。如与第五章竞争性磋商文件技术/服务要求条款无偏离，则无须在此表中应答。如有偏离内容事项，请将偏离内容事项（包括正偏离和负偏离）逐条应答。未明确偏离的偏离内容事项，视为默认接受。</w:t>
      </w:r>
    </w:p>
    <w:p>
      <w:pPr>
        <w:ind w:firstLine="482" w:firstLineChars="200"/>
        <w:rPr>
          <w:rFonts w:ascii="仿宋" w:hAnsi="仿宋" w:eastAsia="仿宋"/>
          <w:b/>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XXX年XXX月XXX日</w:t>
      </w:r>
    </w:p>
    <w:p>
      <w:pPr>
        <w:spacing w:line="400" w:lineRule="exact"/>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jc w:val="lef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格式2-9</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八、商务要求应答表</w:t>
      </w:r>
    </w:p>
    <w:tbl>
      <w:tblPr>
        <w:tblStyle w:val="32"/>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磋商文件要求</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磋商响应文件响应说明</w:t>
            </w:r>
          </w:p>
        </w:tc>
        <w:tc>
          <w:tcPr>
            <w:tcW w:w="2795" w:type="dxa"/>
            <w:vAlign w:val="center"/>
          </w:tcPr>
          <w:p>
            <w:pPr>
              <w:spacing w:before="60" w:after="60"/>
              <w:jc w:val="center"/>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必须据实填写，不得虚假应答，否则将取消其参加采购活动或成交资格。如与第五章竞争性磋商文件技术/服务要求条款无偏离，则无须在此表中应答。如有偏离内容事项，请将偏离内容事项（包括正偏离和负偏离）逐条应答。未明确偏离的偏离内容事项，视为默认接受。</w:t>
      </w:r>
    </w:p>
    <w:p>
      <w:pPr>
        <w:ind w:firstLine="482" w:firstLineChars="200"/>
        <w:rPr>
          <w:rFonts w:ascii="仿宋" w:hAnsi="仿宋" w:eastAsia="仿宋"/>
          <w:b/>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w:t>
      </w:r>
      <w:r>
        <w:rPr>
          <w:rFonts w:hint="eastAsia" w:ascii="仿宋" w:hAnsi="仿宋" w:eastAsia="仿宋"/>
          <w:color w:val="000000" w:themeColor="text1"/>
          <w:sz w:val="24"/>
          <w14:textFill>
            <w14:solidFill>
              <w14:schemeClr w14:val="tx1"/>
            </w14:solidFill>
          </w14:textFill>
        </w:rPr>
        <w:t>（签字或加盖个人印章）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格式2-10</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九、商务、技术、服务应答附表</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（仅用于成交结果公告，此表不作为评审内容）</w:t>
      </w:r>
    </w:p>
    <w:p>
      <w:pPr>
        <w:rPr>
          <w:rFonts w:ascii="仿宋" w:hAnsi="仿宋" w:eastAsia="仿宋" w:cs="宋体"/>
          <w:bCs/>
          <w:color w:val="000000" w:themeColor="text1"/>
          <w:sz w:val="28"/>
          <w:szCs w:val="28"/>
          <w14:textFill>
            <w14:solidFill>
              <w14:schemeClr w14:val="tx1"/>
            </w14:solidFill>
          </w14:textFill>
        </w:rPr>
      </w:pPr>
    </w:p>
    <w:p>
      <w:pPr>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2"/>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2"/>
            <w:tcBorders>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7"/>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大型企业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中型企业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2"/>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c>
          <w:tcPr>
            <w:tcW w:w="1529"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3"/>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000000" w:themeColor="text1"/>
                <w14:textFill>
                  <w14:solidFill>
                    <w14:schemeClr w14:val="tx1"/>
                  </w14:solidFill>
                </w14:textFill>
              </w:rPr>
            </w:pP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6"/>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供应商应答“招标文件第五章服务要求”的主要内容</w:t>
            </w: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widowControl/>
        <w:numPr>
          <w:ilvl w:val="0"/>
          <w:numId w:val="5"/>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供应商需如实完善表格内容。</w:t>
      </w:r>
    </w:p>
    <w:p>
      <w:pPr>
        <w:widowControl/>
        <w:numPr>
          <w:ilvl w:val="0"/>
          <w:numId w:val="5"/>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供应商应答的主要内容应与响应文件一致，可以进行简要概括性表述。</w:t>
      </w:r>
    </w:p>
    <w:p>
      <w:pPr>
        <w:widowControl/>
        <w:numPr>
          <w:ilvl w:val="0"/>
          <w:numId w:val="5"/>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供应商名称：XXX（盖单位公章）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法定代表人/单位负责人或授权代表：XXX（签字或加盖个人印章）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格式2-11</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十、供应商类似项目业绩一览表</w:t>
      </w:r>
    </w:p>
    <w:p>
      <w:pPr>
        <w:spacing w:line="400" w:lineRule="exact"/>
        <w:rPr>
          <w:rFonts w:ascii="仿宋" w:hAnsi="仿宋" w:eastAsia="仿宋" w:cs="Arial"/>
          <w:color w:val="000000" w:themeColor="text1"/>
          <w:sz w:val="24"/>
          <w14:textFill>
            <w14:solidFill>
              <w14:schemeClr w14:val="tx1"/>
            </w14:solidFill>
          </w14:textFill>
        </w:rPr>
      </w:pPr>
    </w:p>
    <w:tbl>
      <w:tblPr>
        <w:tblStyle w:val="32"/>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年份</w:t>
            </w:r>
          </w:p>
        </w:tc>
        <w:tc>
          <w:tcPr>
            <w:tcW w:w="143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用户名称</w:t>
            </w:r>
          </w:p>
        </w:tc>
        <w:tc>
          <w:tcPr>
            <w:tcW w:w="131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项目名称</w:t>
            </w:r>
          </w:p>
        </w:tc>
        <w:tc>
          <w:tcPr>
            <w:tcW w:w="1160"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完成时间</w:t>
            </w:r>
          </w:p>
        </w:tc>
        <w:tc>
          <w:tcPr>
            <w:tcW w:w="1421" w:type="dxa"/>
            <w:gridSpan w:val="2"/>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bl>
    <w:p>
      <w:pPr>
        <w:rPr>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000000" w:themeColor="text1"/>
          <w:sz w:val="24"/>
          <w14:textFill>
            <w14:solidFill>
              <w14:schemeClr w14:val="tx1"/>
            </w14:solidFill>
          </w14:textFill>
        </w:rPr>
      </w:pPr>
    </w:p>
    <w:p>
      <w:pPr>
        <w:spacing w:line="400" w:lineRule="exact"/>
        <w:ind w:left="360"/>
        <w:jc w:val="center"/>
        <w:rPr>
          <w:rFonts w:ascii="仿宋" w:hAnsi="仿宋" w:eastAsia="仿宋" w:cs="Arial"/>
          <w:color w:val="000000" w:themeColor="text1"/>
          <w:sz w:val="24"/>
          <w14:textFill>
            <w14:solidFill>
              <w14:schemeClr w14:val="tx1"/>
            </w14:solidFill>
          </w14:textFill>
        </w:rPr>
      </w:pPr>
    </w:p>
    <w:p>
      <w:pPr>
        <w:jc w:val="left"/>
        <w:rPr>
          <w:rFonts w:ascii="仿宋" w:hAnsi="仿宋" w:eastAsia="仿宋" w:cs="Arial"/>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法定代表人/单位负责人或授权代表：XXXX（签字或加盖个人印章）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XXXX</w:t>
      </w: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格式2-12</w:t>
      </w:r>
    </w:p>
    <w:p>
      <w:pPr>
        <w:widowControl/>
        <w:spacing w:line="360" w:lineRule="atLeast"/>
        <w:jc w:val="center"/>
        <w:outlineLvl w:val="3"/>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十一、拟投入本项目人员情况表</w:t>
      </w:r>
    </w:p>
    <w:p>
      <w:pPr>
        <w:rPr>
          <w:rFonts w:ascii="仿宋" w:hAnsi="仿宋" w:eastAsia="仿宋"/>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采购编号：</w:t>
      </w:r>
    </w:p>
    <w:tbl>
      <w:tblPr>
        <w:tblStyle w:val="3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947"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3788" w:type="dxa"/>
            <w:gridSpan w:val="4"/>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947"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c>
          <w:tcPr>
            <w:tcW w:w="947" w:type="dxa"/>
            <w:vAlign w:val="center"/>
          </w:tcPr>
          <w:p>
            <w:pPr>
              <w:jc w:val="center"/>
              <w:rPr>
                <w:rFonts w:ascii="仿宋" w:hAnsi="仿宋" w:eastAsia="仿宋"/>
                <w:color w:val="000000" w:themeColor="text1"/>
                <w:sz w:val="24"/>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法定代表人/单位负责人或授权代表：XXX（签字或加盖个人印章）</w:t>
      </w:r>
    </w:p>
    <w:p>
      <w:pPr>
        <w:rPr>
          <w:ins w:id="1" w:author="模板" w:date="2021-03-29T00:46:00Z"/>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w:t>
      </w:r>
      <w:bookmarkEnd w:id="106"/>
    </w:p>
    <w:p>
      <w:pPr>
        <w:spacing w:line="360" w:lineRule="auto"/>
        <w:rPr>
          <w:rFonts w:ascii="仿宋" w:hAnsi="仿宋" w:eastAsia="仿宋"/>
          <w:bCs/>
          <w:color w:val="000000" w:themeColor="text1"/>
          <w:sz w:val="24"/>
          <w14:textFill>
            <w14:solidFill>
              <w14:schemeClr w14:val="tx1"/>
            </w14:solidFill>
          </w14:textFill>
        </w:rPr>
      </w:pPr>
    </w:p>
    <w:p>
      <w:pPr>
        <w:pStyle w:val="29"/>
        <w:outlineLvl w:val="9"/>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spacing w:line="360" w:lineRule="atLeast"/>
        <w:jc w:val="left"/>
        <w:outlineLvl w:val="2"/>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格式2-13</w:t>
      </w:r>
    </w:p>
    <w:p>
      <w:pPr>
        <w:pStyle w:val="7"/>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十二、项目方案</w:t>
      </w:r>
    </w:p>
    <w:p>
      <w:pPr>
        <w:pStyle w:val="29"/>
        <w:outlineLvl w:val="9"/>
        <w:rPr>
          <w:rFonts w:ascii="仿宋" w:hAnsi="仿宋" w:eastAsia="仿宋" w:cs="仿宋"/>
          <w:color w:val="000000" w:themeColor="text1"/>
          <w:sz w:val="24"/>
          <w14:textFill>
            <w14:solidFill>
              <w14:schemeClr w14:val="tx1"/>
            </w14:solidFill>
          </w14:textFill>
        </w:rPr>
      </w:pPr>
      <w:bookmarkStart w:id="108" w:name="_Toc29467"/>
      <w:bookmarkStart w:id="109" w:name="_Toc14009"/>
      <w:bookmarkStart w:id="110" w:name="_Toc10144"/>
      <w:r>
        <w:rPr>
          <w:rFonts w:hint="eastAsia" w:ascii="仿宋" w:hAnsi="仿宋" w:eastAsia="仿宋" w:cs="仿宋"/>
          <w:color w:val="000000" w:themeColor="text1"/>
          <w:sz w:val="24"/>
          <w14:textFill>
            <w14:solidFill>
              <w14:schemeClr w14:val="tx1"/>
            </w14:solidFill>
          </w14:textFill>
        </w:rPr>
        <w:t>(由供应商自行编写，格式不限）</w:t>
      </w:r>
      <w:bookmarkEnd w:id="108"/>
      <w:bookmarkEnd w:id="109"/>
      <w:bookmarkEnd w:id="110"/>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p>
    <w:p>
      <w:pPr>
        <w:pStyle w:val="2"/>
        <w:ind w:left="0" w:leftChars="0" w:firstLine="0" w:firstLineChars="0"/>
        <w:outlineLvl w:val="2"/>
        <w:rPr>
          <w:rFonts w:hint="default"/>
          <w:b/>
          <w:bCs/>
          <w:sz w:val="32"/>
          <w:szCs w:val="32"/>
          <w:lang w:val="en-US" w:eastAsia="zh-CN"/>
        </w:rPr>
      </w:pPr>
      <w:r>
        <w:rPr>
          <w:rFonts w:hint="eastAsia" w:ascii="仿宋" w:hAnsi="仿宋" w:eastAsia="仿宋" w:cs="仿宋"/>
          <w:b/>
          <w:bCs/>
          <w:sz w:val="32"/>
          <w:szCs w:val="32"/>
          <w:lang w:val="en-US" w:eastAsia="zh-CN"/>
        </w:rPr>
        <w:t>格式2-14</w:t>
      </w:r>
    </w:p>
    <w:p>
      <w:pPr>
        <w:widowControl/>
        <w:spacing w:line="360" w:lineRule="atLeast"/>
        <w:jc w:val="center"/>
        <w:outlineLvl w:val="3"/>
        <w:rPr>
          <w:rFonts w:hint="eastAsia" w:ascii="仿宋" w:hAnsi="仿宋" w:eastAsia="仿宋" w:cs="仿宋"/>
          <w:b/>
          <w:bCs/>
          <w:sz w:val="32"/>
          <w:szCs w:val="32"/>
        </w:rPr>
      </w:pPr>
      <w:bookmarkStart w:id="111" w:name="_Toc5121"/>
      <w:r>
        <w:rPr>
          <w:rFonts w:hint="eastAsia" w:ascii="仿宋" w:hAnsi="仿宋" w:eastAsia="仿宋" w:cs="仿宋"/>
          <w:b/>
          <w:bCs/>
          <w:sz w:val="32"/>
          <w:szCs w:val="32"/>
          <w:lang w:val="en-US" w:eastAsia="zh-CN"/>
        </w:rPr>
        <w:t>十三、</w:t>
      </w:r>
      <w:r>
        <w:rPr>
          <w:rFonts w:hint="eastAsia" w:ascii="仿宋" w:hAnsi="仿宋" w:eastAsia="仿宋" w:cs="仿宋"/>
          <w:b/>
          <w:bCs/>
          <w:sz w:val="32"/>
          <w:szCs w:val="32"/>
        </w:rPr>
        <w:t>报价一览表</w:t>
      </w:r>
      <w:bookmarkEnd w:id="111"/>
    </w:p>
    <w:p>
      <w:pPr>
        <w:jc w:val="left"/>
        <w:rPr>
          <w:rFonts w:hint="eastAsia" w:ascii="仿宋" w:hAnsi="仿宋" w:eastAsia="仿宋" w:cs="仿宋"/>
          <w:sz w:val="18"/>
          <w:szCs w:val="18"/>
        </w:rPr>
      </w:pPr>
    </w:p>
    <w:p>
      <w:pPr>
        <w:ind w:right="1302" w:rightChars="620"/>
        <w:rPr>
          <w:rFonts w:hint="eastAsia" w:ascii="仿宋" w:hAnsi="仿宋" w:eastAsia="仿宋" w:cs="仿宋"/>
          <w:sz w:val="24"/>
          <w:szCs w:val="24"/>
        </w:rPr>
      </w:pPr>
      <w:r>
        <w:rPr>
          <w:rFonts w:hint="eastAsia" w:ascii="仿宋" w:hAnsi="仿宋" w:eastAsia="仿宋" w:cs="仿宋"/>
          <w:sz w:val="24"/>
          <w:szCs w:val="24"/>
        </w:rPr>
        <w:t>项目名称：</w:t>
      </w:r>
    </w:p>
    <w:p>
      <w:pPr>
        <w:ind w:right="1302" w:rightChars="620"/>
        <w:rPr>
          <w:rFonts w:hint="eastAsia" w:ascii="仿宋" w:hAnsi="仿宋" w:eastAsia="仿宋" w:cs="仿宋"/>
          <w:sz w:val="24"/>
          <w:szCs w:val="24"/>
        </w:rPr>
      </w:pPr>
      <w:r>
        <w:rPr>
          <w:rFonts w:hint="eastAsia" w:ascii="仿宋" w:hAnsi="仿宋" w:eastAsia="仿宋" w:cs="仿宋"/>
          <w:sz w:val="24"/>
          <w:szCs w:val="24"/>
        </w:rPr>
        <w:t>采购编号：</w:t>
      </w:r>
    </w:p>
    <w:p>
      <w:pPr>
        <w:ind w:right="1302" w:rightChars="620"/>
        <w:rPr>
          <w:rFonts w:hint="eastAsia" w:ascii="仿宋" w:hAnsi="仿宋" w:eastAsia="仿宋" w:cs="仿宋"/>
          <w:sz w:val="24"/>
          <w:szCs w:val="24"/>
        </w:rPr>
      </w:pPr>
      <w:r>
        <w:rPr>
          <w:rFonts w:hint="eastAsia" w:ascii="仿宋" w:hAnsi="仿宋" w:eastAsia="仿宋" w:cs="仿宋"/>
          <w:sz w:val="24"/>
          <w:szCs w:val="24"/>
        </w:rPr>
        <w:t>第XX包</w:t>
      </w:r>
    </w:p>
    <w:tbl>
      <w:tblPr>
        <w:tblStyle w:val="32"/>
        <w:tblW w:w="5059" w:type="pct"/>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434"/>
        <w:gridCol w:w="1881"/>
        <w:gridCol w:w="1023"/>
        <w:gridCol w:w="1179"/>
        <w:gridCol w:w="1162"/>
        <w:gridCol w:w="1179"/>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91"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763" w:type="pct"/>
            <w:vAlign w:val="center"/>
          </w:tcPr>
          <w:p>
            <w:pPr>
              <w:jc w:val="center"/>
              <w:rPr>
                <w:rFonts w:hint="eastAsia" w:ascii="仿宋" w:hAnsi="仿宋" w:eastAsia="仿宋" w:cs="仿宋"/>
                <w:sz w:val="24"/>
                <w:szCs w:val="24"/>
              </w:rPr>
            </w:pPr>
            <w:r>
              <w:rPr>
                <w:rFonts w:hint="eastAsia" w:ascii="仿宋" w:hAnsi="仿宋" w:eastAsia="仿宋" w:cs="仿宋"/>
                <w:sz w:val="24"/>
                <w:szCs w:val="24"/>
                <w:lang w:val="en-US" w:eastAsia="zh-CN"/>
              </w:rPr>
              <w:t>货物</w:t>
            </w:r>
            <w:r>
              <w:rPr>
                <w:rFonts w:hint="eastAsia" w:ascii="仿宋" w:hAnsi="仿宋" w:eastAsia="仿宋" w:cs="仿宋"/>
                <w:sz w:val="24"/>
                <w:szCs w:val="24"/>
              </w:rPr>
              <w:t>名称</w:t>
            </w:r>
          </w:p>
        </w:tc>
        <w:tc>
          <w:tcPr>
            <w:tcW w:w="1001"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制造厂家及规格型号</w:t>
            </w:r>
          </w:p>
        </w:tc>
        <w:tc>
          <w:tcPr>
            <w:tcW w:w="544"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数量</w:t>
            </w:r>
          </w:p>
        </w:tc>
        <w:tc>
          <w:tcPr>
            <w:tcW w:w="627"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单价</w:t>
            </w:r>
          </w:p>
          <w:p>
            <w:pPr>
              <w:jc w:val="center"/>
              <w:rPr>
                <w:rFonts w:hint="eastAsia" w:ascii="仿宋" w:hAnsi="仿宋" w:eastAsia="仿宋" w:cs="仿宋"/>
                <w:sz w:val="24"/>
                <w:szCs w:val="24"/>
              </w:rPr>
            </w:pPr>
            <w:r>
              <w:rPr>
                <w:rFonts w:hint="eastAsia" w:ascii="仿宋" w:hAnsi="仿宋" w:eastAsia="仿宋" w:cs="仿宋"/>
                <w:sz w:val="24"/>
                <w:szCs w:val="24"/>
              </w:rPr>
              <w:t>（万元）</w:t>
            </w:r>
          </w:p>
        </w:tc>
        <w:tc>
          <w:tcPr>
            <w:tcW w:w="618" w:type="pct"/>
            <w:vAlign w:val="center"/>
          </w:tcPr>
          <w:p>
            <w:pPr>
              <w:jc w:val="center"/>
              <w:rPr>
                <w:rFonts w:hint="eastAsia" w:ascii="仿宋" w:hAnsi="仿宋" w:eastAsia="仿宋" w:cs="仿宋"/>
                <w:sz w:val="24"/>
                <w:szCs w:val="24"/>
              </w:rPr>
            </w:pPr>
            <w:r>
              <w:rPr>
                <w:rFonts w:hint="eastAsia" w:ascii="仿宋" w:hAnsi="仿宋" w:eastAsia="仿宋" w:cs="仿宋"/>
                <w:sz w:val="24"/>
                <w:szCs w:val="24"/>
              </w:rPr>
              <w:t>总价</w:t>
            </w:r>
          </w:p>
          <w:p>
            <w:pPr>
              <w:jc w:val="center"/>
              <w:rPr>
                <w:rFonts w:hint="eastAsia" w:ascii="仿宋" w:hAnsi="仿宋" w:eastAsia="仿宋" w:cs="仿宋"/>
                <w:sz w:val="24"/>
                <w:szCs w:val="24"/>
              </w:rPr>
            </w:pPr>
            <w:r>
              <w:rPr>
                <w:rFonts w:hint="eastAsia" w:ascii="仿宋" w:hAnsi="仿宋" w:eastAsia="仿宋" w:cs="仿宋"/>
                <w:sz w:val="24"/>
                <w:szCs w:val="24"/>
              </w:rPr>
              <w:t>（万元）</w:t>
            </w:r>
          </w:p>
        </w:tc>
        <w:tc>
          <w:tcPr>
            <w:tcW w:w="627" w:type="pct"/>
            <w:vAlign w:val="center"/>
          </w:tcPr>
          <w:p>
            <w:pPr>
              <w:ind w:left="311" w:hanging="355" w:hangingChars="148"/>
              <w:jc w:val="center"/>
              <w:rPr>
                <w:rFonts w:hint="eastAsia" w:ascii="仿宋" w:hAnsi="仿宋" w:eastAsia="仿宋" w:cs="仿宋"/>
                <w:sz w:val="24"/>
                <w:szCs w:val="24"/>
              </w:rPr>
            </w:pPr>
            <w:r>
              <w:rPr>
                <w:rFonts w:hint="eastAsia" w:ascii="仿宋" w:hAnsi="仿宋" w:eastAsia="仿宋" w:cs="仿宋"/>
                <w:sz w:val="24"/>
                <w:szCs w:val="24"/>
              </w:rPr>
              <w:t>是否属于</w:t>
            </w:r>
          </w:p>
          <w:p>
            <w:pPr>
              <w:ind w:left="311" w:hanging="355" w:hangingChars="148"/>
              <w:jc w:val="center"/>
              <w:rPr>
                <w:rFonts w:hint="eastAsia" w:ascii="仿宋" w:hAnsi="仿宋" w:eastAsia="仿宋" w:cs="仿宋"/>
                <w:sz w:val="24"/>
                <w:szCs w:val="24"/>
              </w:rPr>
            </w:pPr>
            <w:r>
              <w:rPr>
                <w:rFonts w:hint="eastAsia" w:ascii="仿宋" w:hAnsi="仿宋" w:eastAsia="仿宋" w:cs="仿宋"/>
                <w:sz w:val="24"/>
                <w:szCs w:val="24"/>
              </w:rPr>
              <w:t>进口产品</w:t>
            </w:r>
          </w:p>
        </w:tc>
        <w:tc>
          <w:tcPr>
            <w:tcW w:w="425" w:type="pct"/>
            <w:vAlign w:val="center"/>
          </w:tcPr>
          <w:p>
            <w:pPr>
              <w:ind w:left="311" w:hanging="355" w:hangingChars="148"/>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1" w:type="pct"/>
          </w:tcPr>
          <w:p>
            <w:pPr>
              <w:rPr>
                <w:rFonts w:hint="eastAsia" w:ascii="仿宋" w:hAnsi="仿宋" w:eastAsia="仿宋" w:cs="仿宋"/>
                <w:sz w:val="24"/>
                <w:szCs w:val="24"/>
              </w:rPr>
            </w:pPr>
          </w:p>
        </w:tc>
        <w:tc>
          <w:tcPr>
            <w:tcW w:w="763" w:type="pct"/>
            <w:vAlign w:val="center"/>
          </w:tcPr>
          <w:p>
            <w:pPr>
              <w:jc w:val="center"/>
              <w:rPr>
                <w:rFonts w:hint="eastAsia" w:ascii="仿宋" w:hAnsi="仿宋" w:eastAsia="仿宋" w:cs="仿宋"/>
                <w:sz w:val="24"/>
                <w:szCs w:val="24"/>
              </w:rPr>
            </w:pPr>
          </w:p>
        </w:tc>
        <w:tc>
          <w:tcPr>
            <w:tcW w:w="1001" w:type="pct"/>
          </w:tcPr>
          <w:p>
            <w:pPr>
              <w:rPr>
                <w:rFonts w:hint="eastAsia" w:ascii="仿宋" w:hAnsi="仿宋" w:eastAsia="仿宋" w:cs="仿宋"/>
                <w:sz w:val="24"/>
                <w:szCs w:val="24"/>
              </w:rPr>
            </w:pPr>
          </w:p>
        </w:tc>
        <w:tc>
          <w:tcPr>
            <w:tcW w:w="544"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618"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425" w:type="pct"/>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1" w:type="pct"/>
          </w:tcPr>
          <w:p>
            <w:pPr>
              <w:rPr>
                <w:rFonts w:hint="eastAsia" w:ascii="仿宋" w:hAnsi="仿宋" w:eastAsia="仿宋" w:cs="仿宋"/>
                <w:sz w:val="24"/>
                <w:szCs w:val="24"/>
              </w:rPr>
            </w:pPr>
          </w:p>
        </w:tc>
        <w:tc>
          <w:tcPr>
            <w:tcW w:w="763" w:type="pct"/>
          </w:tcPr>
          <w:p>
            <w:pPr>
              <w:rPr>
                <w:rFonts w:hint="eastAsia" w:ascii="仿宋" w:hAnsi="仿宋" w:eastAsia="仿宋" w:cs="仿宋"/>
                <w:sz w:val="24"/>
                <w:szCs w:val="24"/>
              </w:rPr>
            </w:pPr>
          </w:p>
        </w:tc>
        <w:tc>
          <w:tcPr>
            <w:tcW w:w="1001" w:type="pct"/>
          </w:tcPr>
          <w:p>
            <w:pPr>
              <w:rPr>
                <w:rFonts w:hint="eastAsia" w:ascii="仿宋" w:hAnsi="仿宋" w:eastAsia="仿宋" w:cs="仿宋"/>
                <w:sz w:val="24"/>
                <w:szCs w:val="24"/>
              </w:rPr>
            </w:pPr>
          </w:p>
        </w:tc>
        <w:tc>
          <w:tcPr>
            <w:tcW w:w="544"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618"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425" w:type="pct"/>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391" w:type="pct"/>
          </w:tcPr>
          <w:p>
            <w:pPr>
              <w:rPr>
                <w:rFonts w:hint="eastAsia" w:ascii="仿宋" w:hAnsi="仿宋" w:eastAsia="仿宋" w:cs="仿宋"/>
                <w:sz w:val="24"/>
                <w:szCs w:val="24"/>
              </w:rPr>
            </w:pPr>
          </w:p>
        </w:tc>
        <w:tc>
          <w:tcPr>
            <w:tcW w:w="763" w:type="pct"/>
          </w:tcPr>
          <w:p>
            <w:pPr>
              <w:rPr>
                <w:rFonts w:hint="eastAsia" w:ascii="仿宋" w:hAnsi="仿宋" w:eastAsia="仿宋" w:cs="仿宋"/>
                <w:sz w:val="24"/>
                <w:szCs w:val="24"/>
              </w:rPr>
            </w:pPr>
          </w:p>
        </w:tc>
        <w:tc>
          <w:tcPr>
            <w:tcW w:w="1001" w:type="pct"/>
          </w:tcPr>
          <w:p>
            <w:pPr>
              <w:rPr>
                <w:rFonts w:hint="eastAsia" w:ascii="仿宋" w:hAnsi="仿宋" w:eastAsia="仿宋" w:cs="仿宋"/>
                <w:sz w:val="24"/>
                <w:szCs w:val="24"/>
              </w:rPr>
            </w:pPr>
          </w:p>
        </w:tc>
        <w:tc>
          <w:tcPr>
            <w:tcW w:w="544"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618" w:type="pct"/>
          </w:tcPr>
          <w:p>
            <w:pPr>
              <w:rPr>
                <w:rFonts w:hint="eastAsia" w:ascii="仿宋" w:hAnsi="仿宋" w:eastAsia="仿宋" w:cs="仿宋"/>
                <w:sz w:val="24"/>
                <w:szCs w:val="24"/>
              </w:rPr>
            </w:pPr>
          </w:p>
        </w:tc>
        <w:tc>
          <w:tcPr>
            <w:tcW w:w="627" w:type="pct"/>
          </w:tcPr>
          <w:p>
            <w:pPr>
              <w:rPr>
                <w:rFonts w:hint="eastAsia" w:ascii="仿宋" w:hAnsi="仿宋" w:eastAsia="仿宋" w:cs="仿宋"/>
                <w:sz w:val="24"/>
                <w:szCs w:val="24"/>
              </w:rPr>
            </w:pPr>
          </w:p>
        </w:tc>
        <w:tc>
          <w:tcPr>
            <w:tcW w:w="425" w:type="pct"/>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000" w:type="pct"/>
            <w:gridSpan w:val="8"/>
          </w:tcPr>
          <w:p>
            <w:pPr>
              <w:rPr>
                <w:rFonts w:hint="eastAsia" w:ascii="仿宋" w:hAnsi="仿宋" w:eastAsia="仿宋" w:cs="仿宋"/>
                <w:sz w:val="24"/>
                <w:szCs w:val="24"/>
              </w:rPr>
            </w:pPr>
            <w:r>
              <w:rPr>
                <w:rFonts w:hint="eastAsia" w:ascii="仿宋" w:hAnsi="仿宋" w:eastAsia="仿宋" w:cs="仿宋"/>
                <w:sz w:val="24"/>
                <w:szCs w:val="24"/>
              </w:rPr>
              <w:t>报价合计（万元）：</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大写：</w:t>
            </w:r>
          </w:p>
        </w:tc>
      </w:tr>
    </w:tbl>
    <w:p>
      <w:pPr>
        <w:ind w:right="1302" w:rightChars="620"/>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注: 1.所有报价均用人民币表示,所报价格是交货地的验收价格，其总价即为履行合同的固定价格。运输、安装、调试、检验、培训、税金和保险等费用以及采购文件规定的其他费用均应包含在报价中。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2.应完整填写</w:t>
      </w:r>
      <w:r>
        <w:rPr>
          <w:rFonts w:hint="eastAsia" w:ascii="仿宋" w:hAnsi="仿宋" w:eastAsia="仿宋" w:cs="仿宋"/>
          <w:sz w:val="24"/>
          <w:szCs w:val="24"/>
          <w:lang w:val="en-US" w:eastAsia="zh-CN"/>
        </w:rPr>
        <w:t>货物</w:t>
      </w:r>
      <w:r>
        <w:rPr>
          <w:rFonts w:hint="eastAsia" w:ascii="仿宋" w:hAnsi="仿宋" w:eastAsia="仿宋" w:cs="仿宋"/>
          <w:sz w:val="24"/>
          <w:szCs w:val="24"/>
        </w:rPr>
        <w:t>的品牌和型号或项目内容。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pStyle w:val="2"/>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法定代表人/单位负责人或授权代表：XXX（签字或加盖个人印章）</w:t>
      </w:r>
    </w:p>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sz w:val="24"/>
          <w:szCs w:val="24"/>
        </w:rPr>
        <w:t>日      期：XXX年XXX月XXX日</w:t>
      </w: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ind w:left="0" w:leftChars="0" w:firstLine="0" w:firstLineChars="0"/>
        <w:outlineLvl w:val="2"/>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格式2-15</w:t>
      </w:r>
    </w:p>
    <w:p>
      <w:pPr>
        <w:pStyle w:val="2"/>
        <w:ind w:left="0" w:leftChars="0" w:firstLine="0" w:firstLineChars="0"/>
        <w:jc w:val="center"/>
        <w:outlineLvl w:val="3"/>
        <w:rPr>
          <w:rFonts w:hint="eastAsia" w:ascii="仿宋" w:hAnsi="仿宋" w:eastAsia="仿宋" w:cs="仿宋"/>
          <w:b/>
          <w:bCs/>
          <w:sz w:val="32"/>
          <w:szCs w:val="32"/>
          <w:lang w:val="en-US" w:eastAsia="zh-CN"/>
        </w:rPr>
      </w:pPr>
      <w:bookmarkStart w:id="112" w:name="_Toc31364"/>
      <w:r>
        <w:rPr>
          <w:rFonts w:hint="eastAsia" w:ascii="仿宋" w:hAnsi="仿宋" w:eastAsia="仿宋" w:cs="仿宋"/>
          <w:b/>
          <w:bCs/>
          <w:sz w:val="32"/>
          <w:szCs w:val="32"/>
          <w:lang w:val="en-US" w:eastAsia="zh-CN"/>
        </w:rPr>
        <w:t>十四、分项报价明细表</w:t>
      </w:r>
      <w:bookmarkEnd w:id="112"/>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项目名称：</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采购编号：</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02"/>
        <w:gridCol w:w="1368"/>
        <w:gridCol w:w="891"/>
        <w:gridCol w:w="1383"/>
        <w:gridCol w:w="1563"/>
        <w:gridCol w:w="851"/>
        <w:gridCol w:w="853"/>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6" w:hRule="exac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3" w:name="_Toc11158"/>
            <w:r>
              <w:rPr>
                <w:rFonts w:hint="eastAsia" w:ascii="仿宋" w:hAnsi="仿宋" w:eastAsia="仿宋" w:cs="仿宋"/>
                <w:b w:val="0"/>
                <w:bCs w:val="0"/>
                <w:sz w:val="24"/>
                <w:szCs w:val="24"/>
                <w:lang w:val="en-US" w:eastAsia="zh-CN"/>
              </w:rPr>
              <w:t>序号</w:t>
            </w:r>
            <w:bookmarkEnd w:id="113"/>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4" w:name="_Toc25122"/>
            <w:r>
              <w:rPr>
                <w:rFonts w:hint="eastAsia" w:ascii="仿宋" w:hAnsi="仿宋" w:eastAsia="仿宋" w:cs="仿宋"/>
                <w:b w:val="0"/>
                <w:bCs w:val="0"/>
                <w:sz w:val="24"/>
                <w:szCs w:val="24"/>
                <w:lang w:val="en-US" w:eastAsia="zh-CN"/>
              </w:rPr>
              <w:t>货物名称</w:t>
            </w:r>
            <w:bookmarkEnd w:id="114"/>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5" w:name="_Toc28263"/>
            <w:r>
              <w:rPr>
                <w:rFonts w:hint="eastAsia" w:ascii="仿宋" w:hAnsi="仿宋" w:eastAsia="仿宋" w:cs="仿宋"/>
                <w:b w:val="0"/>
                <w:bCs w:val="0"/>
                <w:sz w:val="24"/>
                <w:szCs w:val="24"/>
                <w:lang w:val="en-US" w:eastAsia="zh-CN"/>
              </w:rPr>
              <w:t>规格型号</w:t>
            </w:r>
            <w:bookmarkEnd w:id="115"/>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6" w:name="_Toc21063"/>
            <w:r>
              <w:rPr>
                <w:rFonts w:hint="eastAsia" w:ascii="仿宋" w:hAnsi="仿宋" w:eastAsia="仿宋" w:cs="仿宋"/>
                <w:b w:val="0"/>
                <w:bCs w:val="0"/>
                <w:sz w:val="24"/>
                <w:szCs w:val="24"/>
                <w:lang w:val="en-US" w:eastAsia="zh-CN"/>
              </w:rPr>
              <w:t>品牌</w:t>
            </w:r>
            <w:bookmarkEnd w:id="116"/>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7" w:name="_Toc845"/>
            <w:r>
              <w:rPr>
                <w:rFonts w:hint="eastAsia" w:ascii="仿宋" w:hAnsi="仿宋" w:eastAsia="仿宋" w:cs="仿宋"/>
                <w:b w:val="0"/>
                <w:bCs w:val="0"/>
                <w:sz w:val="24"/>
                <w:szCs w:val="24"/>
                <w:lang w:val="en-US" w:eastAsia="zh-CN"/>
              </w:rPr>
              <w:t>单位</w:t>
            </w:r>
            <w:bookmarkEnd w:id="117"/>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8" w:name="_Toc13881"/>
            <w:r>
              <w:rPr>
                <w:rFonts w:hint="eastAsia" w:ascii="仿宋" w:hAnsi="仿宋" w:eastAsia="仿宋" w:cs="仿宋"/>
                <w:b w:val="0"/>
                <w:bCs w:val="0"/>
                <w:sz w:val="24"/>
                <w:szCs w:val="24"/>
                <w:lang w:val="en-US" w:eastAsia="zh-CN"/>
              </w:rPr>
              <w:t>数量</w:t>
            </w:r>
            <w:bookmarkEnd w:id="118"/>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19" w:name="_Toc30638"/>
            <w:r>
              <w:rPr>
                <w:rFonts w:hint="eastAsia" w:ascii="仿宋" w:hAnsi="仿宋" w:eastAsia="仿宋" w:cs="仿宋"/>
                <w:b w:val="0"/>
                <w:bCs w:val="0"/>
                <w:sz w:val="24"/>
                <w:szCs w:val="24"/>
                <w:lang w:val="en-US" w:eastAsia="zh-CN"/>
              </w:rPr>
              <w:t>单价</w:t>
            </w:r>
            <w:bookmarkEnd w:id="119"/>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0" w:name="_Toc24598"/>
            <w:r>
              <w:rPr>
                <w:rFonts w:hint="eastAsia" w:ascii="仿宋" w:hAnsi="仿宋" w:eastAsia="仿宋" w:cs="仿宋"/>
                <w:b w:val="0"/>
                <w:bCs w:val="0"/>
                <w:sz w:val="24"/>
                <w:szCs w:val="24"/>
                <w:lang w:val="en-US" w:eastAsia="zh-CN"/>
              </w:rPr>
              <w:t>金额</w:t>
            </w:r>
            <w:bookmarkEnd w:id="120"/>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1" w:name="_Toc11832"/>
            <w:r>
              <w:rPr>
                <w:rFonts w:hint="eastAsia" w:ascii="仿宋" w:hAnsi="仿宋" w:eastAsia="仿宋" w:cs="仿宋"/>
                <w:b w:val="0"/>
                <w:bCs w:val="0"/>
                <w:sz w:val="24"/>
                <w:szCs w:val="24"/>
                <w:lang w:val="en-US" w:eastAsia="zh-CN"/>
              </w:rPr>
              <w:t>备注</w:t>
            </w:r>
            <w:bookmarkEnd w:id="1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232" w:type="pct"/>
            <w:tcBorders>
              <w:left w:val="single" w:color="auto" w:sz="4" w:space="0"/>
            </w:tcBorders>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32"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649"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38"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8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746"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843"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0"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461"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c>
          <w:tcPr>
            <w:tcW w:w="384" w:type="pct"/>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00" w:type="pct"/>
            <w:gridSpan w:val="9"/>
            <w:tcBorders>
              <w:top w:val="single" w:color="auto" w:sz="4" w:space="0"/>
              <w:bottom w:val="single" w:color="auto" w:sz="4" w:space="0"/>
            </w:tcBorders>
            <w:vAlign w:val="center"/>
          </w:tcPr>
          <w:p>
            <w:pPr>
              <w:pStyle w:val="2"/>
              <w:ind w:left="0" w:leftChars="0" w:firstLine="0" w:firstLineChars="0"/>
              <w:outlineLvl w:val="2"/>
              <w:rPr>
                <w:rFonts w:hint="eastAsia" w:ascii="仿宋" w:hAnsi="仿宋" w:eastAsia="仿宋" w:cs="仿宋"/>
                <w:b w:val="0"/>
                <w:bCs w:val="0"/>
                <w:sz w:val="24"/>
                <w:szCs w:val="24"/>
                <w:lang w:val="en-US" w:eastAsia="zh-CN"/>
              </w:rPr>
            </w:pPr>
            <w:bookmarkStart w:id="122" w:name="_Toc17591"/>
            <w:r>
              <w:rPr>
                <w:rFonts w:hint="eastAsia" w:ascii="仿宋" w:hAnsi="仿宋" w:eastAsia="仿宋" w:cs="仿宋"/>
                <w:b w:val="0"/>
                <w:bCs w:val="0"/>
                <w:sz w:val="24"/>
                <w:szCs w:val="24"/>
                <w:lang w:val="en-US" w:eastAsia="zh-CN"/>
              </w:rPr>
              <w:t>分项报价合计（万元）：     大写：</w:t>
            </w:r>
            <w:bookmarkEnd w:id="122"/>
          </w:p>
        </w:tc>
      </w:tr>
    </w:tbl>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注：1、供应商应按“分项报价明细表”的格式详细报出总价的各个组成部分的报价。</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“分项报价明细表”各分项报价合计应当与“报价一览表”报价合计相等。</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3、本项目采用现场报价，响应文件中不用首次报价（除现场报价以响应文件报价为准的情形之外，响应文件报价不作为评审的依据，以现场报价为准）。</w:t>
      </w: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供应商名称：XXX（盖单位公章）</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法定代表人/单位负责人或授权代表：XXX（签字或加盖个人印章）</w:t>
      </w:r>
    </w:p>
    <w:p>
      <w:pPr>
        <w:pStyle w:val="2"/>
        <w:ind w:left="0" w:leftChars="0" w:firstLine="0" w:firstLineChars="0"/>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日      期：XXX年XXX月XXX日</w:t>
      </w: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rFonts w:hint="eastAsia" w:ascii="仿宋" w:hAnsi="仿宋" w:eastAsia="仿宋" w:cs="仿宋"/>
          <w:b w:val="0"/>
          <w:bCs w:val="0"/>
          <w:color w:val="000000" w:themeColor="text1"/>
          <w:sz w:val="24"/>
          <w:szCs w:val="24"/>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9"/>
        <w:rPr>
          <w:rFonts w:ascii="仿宋" w:hAnsi="仿宋" w:eastAsia="仿宋"/>
          <w:color w:val="000000" w:themeColor="text1"/>
          <w14:textFill>
            <w14:solidFill>
              <w14:schemeClr w14:val="tx1"/>
            </w14:solidFill>
          </w14:textFill>
        </w:rPr>
      </w:pPr>
      <w:bookmarkStart w:id="123" w:name="_Toc13996"/>
      <w:r>
        <w:rPr>
          <w:rFonts w:hint="eastAsia" w:ascii="仿宋" w:hAnsi="仿宋" w:eastAsia="仿宋"/>
          <w:color w:val="000000" w:themeColor="text1"/>
          <w14:textFill>
            <w14:solidFill>
              <w14:schemeClr w14:val="tx1"/>
            </w14:solidFill>
          </w14:textFill>
        </w:rPr>
        <w:t>第八章  评审方法</w:t>
      </w:r>
      <w:bookmarkEnd w:id="123"/>
    </w:p>
    <w:p>
      <w:pPr>
        <w:rPr>
          <w:color w:val="000000" w:themeColor="text1"/>
          <w14:textFill>
            <w14:solidFill>
              <w14:schemeClr w14:val="tx1"/>
            </w14:solidFill>
          </w14:textFill>
        </w:rPr>
      </w:pPr>
      <w:bookmarkStart w:id="124" w:name="_Toc209847065"/>
      <w:bookmarkStart w:id="125" w:name="_Toc101338358"/>
      <w:bookmarkStart w:id="126" w:name="_Toc101174146"/>
      <w:bookmarkStart w:id="127" w:name="_Toc101250640"/>
      <w:bookmarkStart w:id="128" w:name="_Toc430773924"/>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1.总则</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磋商工作由采购代理机构负责组织，具体磋商由采购代理机构依法组建的磋商小组负责。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 磋商小组按照磋商文件规定的磋商程序、评分方法和标准进行评审，并独立履行下列职责：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（二）审查供应商响应文件是否满足磋商文件要求，并作出公正评价；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（四）推荐成交供应商，或者受采购人委托确定成交供应商；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（五）起草评审报告并进行签署；</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（六）向采购人/采购代理机构、财政部门或者其他监督部门报告非法干预评审工作的行为；</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1.5磋商过程独立、保密。供应商非法干预磋商过程的，其响应文件作无效处理。</w:t>
      </w:r>
    </w:p>
    <w:p>
      <w:pPr>
        <w:ind w:firstLine="413"/>
        <w:rPr>
          <w:rFonts w:ascii="仿宋" w:hAnsi="仿宋" w:eastAsia="仿宋"/>
          <w:color w:val="000000" w:themeColor="text1"/>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2.磋商程序</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2.1审查磋商文件和停止评审。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本磋商文件有下列情形之一的，磋商小组应当停止评审：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（1）磋商文件的规定存在歧义、重大缺陷的；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（2）磋商文件明显以不合理条件对供应商实行差别待遇或者歧视待遇的；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（5）磋商文件将供应商的资格条件列为评分因素的；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（6）磋商文件载明的成交原则不合法的；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（7）磋商文件有违反国家其他有关强制性规定的情形。</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2.2资格性审查。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2.2.1本项目需要磋商小组进行资格性检查。</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通过资格性审查的供应商不足3家的（本章2.3.1的情况除外），终止本次采购活动，并发布终止采购活动公告。</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w:t>
      </w:r>
      <w:r>
        <w:rPr>
          <w:rFonts w:hint="eastAsia" w:ascii="仿宋" w:hAnsi="仿宋" w:eastAsia="仿宋" w:cs="仿宋"/>
          <w:color w:val="000000" w:themeColor="text1"/>
          <w:sz w:val="24"/>
          <w:lang w:val="zh-CN"/>
          <w14:textFill>
            <w14:solidFill>
              <w14:schemeClr w14:val="tx1"/>
            </w14:solidFill>
          </w14:textFill>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2.4磋商。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2.4.6磋商过程中，</w:t>
      </w:r>
      <w:r>
        <w:rPr>
          <w:rFonts w:hint="eastAsia" w:ascii="仿宋" w:hAnsi="仿宋" w:eastAsia="仿宋" w:cs="仿宋"/>
          <w:color w:val="000000" w:themeColor="text1"/>
          <w:sz w:val="24"/>
          <w:lang w:val="zh-CN"/>
          <w14:textFill>
            <w14:solidFill>
              <w14:schemeClr w14:val="tx1"/>
            </w14:solidFill>
          </w14:textFill>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（1）响应文件正副本数量不足的；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）响应文件组成明显不符合采购文件的规定要求，影响评审委员会评判的；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（4）经最终磋商后，供应商的响应文件仍不能完全响应采购文件的实质性要求的；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属于竞争性磋商文件中无效响应情形的。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但磋商小组对响应文件签署、盖章等进行审查过程中，有下列情形的，磋商小组应当评定为不影响整个响应文件有效性和采购活动公平竞争，并通过响应文件的有效性审查：</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）响应文件除采购文件明确要求加盖单位(法人)公章的以外，其他地方以相关专用章加盖的；</w:t>
      </w:r>
    </w:p>
    <w:p>
      <w:pPr>
        <w:spacing w:line="40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zh-CN"/>
          <w14:textFill>
            <w14:solidFill>
              <w14:schemeClr w14:val="tx1"/>
            </w14:solidFill>
          </w14:textFill>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磋商小组</w:t>
      </w:r>
      <w:r>
        <w:rPr>
          <w:rFonts w:hint="eastAsia" w:ascii="仿宋" w:hAnsi="仿宋" w:eastAsia="仿宋" w:cs="仿宋"/>
          <w:color w:val="000000" w:themeColor="text1"/>
          <w:sz w:val="24"/>
          <w:lang w:val="zh-CN"/>
          <w14:textFill>
            <w14:solidFill>
              <w14:schemeClr w14:val="tx1"/>
            </w14:solidFill>
          </w14:textFill>
        </w:rPr>
        <w:t>对所有响应文件的有效性、完整性和响应程度进行审查</w:t>
      </w:r>
      <w:r>
        <w:rPr>
          <w:rFonts w:hint="eastAsia" w:ascii="仿宋" w:hAnsi="仿宋" w:eastAsia="仿宋" w:cs="仿宋"/>
          <w:color w:val="000000" w:themeColor="text1"/>
          <w:sz w:val="24"/>
          <w14:textFill>
            <w14:solidFill>
              <w14:schemeClr w14:val="tx1"/>
            </w14:solidFill>
          </w14:textFill>
        </w:rPr>
        <w:t>后，向采购</w:t>
      </w:r>
      <w:r>
        <w:rPr>
          <w:rFonts w:hint="eastAsia" w:ascii="仿宋" w:hAnsi="仿宋" w:eastAsia="仿宋" w:cs="仿宋"/>
          <w:color w:val="000000" w:themeColor="text1"/>
          <w:sz w:val="24"/>
          <w:lang w:val="zh-CN"/>
          <w14:textFill>
            <w14:solidFill>
              <w14:schemeClr w14:val="tx1"/>
            </w14:solidFill>
          </w14:textFill>
        </w:rPr>
        <w:t>代理机构</w:t>
      </w:r>
      <w:r>
        <w:rPr>
          <w:rFonts w:hint="eastAsia" w:ascii="仿宋" w:hAnsi="仿宋" w:eastAsia="仿宋" w:cs="仿宋"/>
          <w:color w:val="000000" w:themeColor="text1"/>
          <w:sz w:val="24"/>
          <w14:textFill>
            <w14:solidFill>
              <w14:schemeClr w14:val="tx1"/>
            </w14:solidFill>
          </w14:textFill>
        </w:rPr>
        <w:t>出具</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审查报告，确定继续磋商的供应商名单。没有通过</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审查的供应商，磋商小组应在</w:t>
      </w:r>
      <w:r>
        <w:rPr>
          <w:rFonts w:hint="eastAsia" w:ascii="仿宋" w:hAnsi="仿宋" w:eastAsia="仿宋" w:cs="仿宋"/>
          <w:color w:val="000000" w:themeColor="text1"/>
          <w:sz w:val="24"/>
          <w:lang w:val="zh-CN"/>
          <w14:textFill>
            <w14:solidFill>
              <w14:schemeClr w14:val="tx1"/>
            </w14:solidFill>
          </w14:textFill>
        </w:rPr>
        <w:t>有效性、完整性和响应程度</w:t>
      </w:r>
      <w:r>
        <w:rPr>
          <w:rFonts w:hint="eastAsia" w:ascii="仿宋" w:hAnsi="仿宋" w:eastAsia="仿宋" w:cs="仿宋"/>
          <w:color w:val="000000" w:themeColor="text1"/>
          <w:sz w:val="24"/>
          <w14:textFill>
            <w14:solidFill>
              <w14:schemeClr w14:val="tx1"/>
            </w14:solidFill>
          </w14:textFill>
        </w:rPr>
        <w:t>审查报告中说明原因。</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2.5报价。</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b/>
          <w:bCs/>
          <w:color w:val="000000" w:themeColor="text1"/>
          <w:sz w:val="24"/>
          <w14:textFill>
            <w14:solidFill>
              <w14:schemeClr w14:val="tx1"/>
            </w14:solidFill>
          </w14:textFill>
        </w:rPr>
        <w:t>2.5.</w:t>
      </w:r>
      <w:r>
        <w:rPr>
          <w:rFonts w:ascii="仿宋" w:hAnsi="仿宋" w:eastAsia="仿宋"/>
          <w:b/>
          <w:bCs/>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供应商的设计方案或者解决方案，并要求其在规定时间内提交最后报价。</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符合</w:t>
      </w:r>
      <w:bookmarkStart w:id="129" w:name="_Toc30986"/>
      <w:r>
        <w:rPr>
          <w:rFonts w:hint="eastAsia" w:ascii="仿宋" w:hAnsi="仿宋" w:eastAsia="仿宋"/>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政府采购竞争性磋商采购方式管理暂行办法</w:t>
      </w:r>
      <w:r>
        <w:rPr>
          <w:rFonts w:hint="eastAsia" w:ascii="仿宋" w:hAnsi="仿宋" w:eastAsia="仿宋"/>
          <w:b/>
          <w:bCs/>
          <w:color w:val="000000" w:themeColor="text1"/>
          <w:sz w:val="24"/>
          <w14:textFill>
            <w14:solidFill>
              <w14:schemeClr w14:val="tx1"/>
            </w14:solidFill>
          </w14:textFill>
        </w:rPr>
        <w:t>财库》〔2014〕214号</w:t>
      </w:r>
      <w:bookmarkEnd w:id="129"/>
      <w:r>
        <w:rPr>
          <w:rFonts w:hint="eastAsia" w:ascii="仿宋" w:hAnsi="仿宋" w:eastAsia="仿宋"/>
          <w:b/>
          <w:bCs/>
          <w:color w:val="000000" w:themeColor="text1"/>
          <w:sz w:val="24"/>
          <w14:textFill>
            <w14:solidFill>
              <w14:schemeClr w14:val="tx1"/>
            </w14:solidFill>
          </w14:textFill>
        </w:rPr>
        <w:t>第三条第四项情形的，提交最后报价的供应商可以为2家。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供应商最后报价应当由法定代表人/主要负责人/本人或其授权代表签字确认（</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报价如果出现下列不一致的，可按以下原则进行修改：</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w:t>
      </w:r>
      <w:r>
        <w:rPr>
          <w:rFonts w:hint="eastAsia" w:ascii="仿宋" w:hAnsi="仿宋" w:eastAsia="仿宋" w:cs="宋体"/>
          <w:color w:val="000000" w:themeColor="text1"/>
          <w:kern w:val="0"/>
          <w:sz w:val="24"/>
          <w14:textFill>
            <w14:solidFill>
              <w14:schemeClr w14:val="tx1"/>
            </w14:solidFill>
          </w14:textFill>
        </w:rPr>
        <w:t>大写金额和小写金额不一致的，以大写金额为准</w:t>
      </w:r>
      <w:r>
        <w:rPr>
          <w:rFonts w:hint="eastAsia" w:ascii="仿宋" w:hAnsi="仿宋" w:eastAsia="仿宋"/>
          <w:color w:val="000000" w:themeColor="text1"/>
          <w:sz w:val="24"/>
          <w14:textFill>
            <w14:solidFill>
              <w14:schemeClr w14:val="tx1"/>
            </w14:solidFill>
          </w14:textFill>
        </w:rPr>
        <w:t>，但大写金额文字存在错误的，应当先对大写金额的文字错误进行澄清、说明或者更正，再行修正。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w:t>
      </w:r>
      <w:r>
        <w:rPr>
          <w:rFonts w:hint="eastAsia" w:ascii="仿宋" w:hAnsi="仿宋" w:eastAsia="仿宋" w:cs="宋体"/>
          <w:color w:val="000000" w:themeColor="text1"/>
          <w:kern w:val="0"/>
          <w:sz w:val="24"/>
          <w14:textFill>
            <w14:solidFill>
              <w14:schemeClr w14:val="tx1"/>
            </w14:solidFill>
          </w14:textFill>
        </w:rPr>
        <w:t>总价金额与按单价汇总金额不一致的，以单价金额计算结果为准，</w:t>
      </w:r>
      <w:r>
        <w:rPr>
          <w:rFonts w:hint="eastAsia" w:ascii="仿宋" w:hAnsi="仿宋" w:eastAsia="仿宋"/>
          <w:color w:val="000000" w:themeColor="text1"/>
          <w:sz w:val="24"/>
          <w14:textFill>
            <w14:solidFill>
              <w14:schemeClr w14:val="tx1"/>
            </w14:solidFill>
          </w14:textFill>
        </w:rPr>
        <w:t>但</w:t>
      </w:r>
      <w:r>
        <w:rPr>
          <w:rFonts w:hint="eastAsia" w:ascii="仿宋" w:hAnsi="仿宋" w:eastAsia="仿宋" w:cs="宋体"/>
          <w:color w:val="000000" w:themeColor="text1"/>
          <w:kern w:val="0"/>
          <w:sz w:val="24"/>
          <w14:textFill>
            <w14:solidFill>
              <w14:schemeClr w14:val="tx1"/>
            </w14:solidFill>
          </w14:textFill>
        </w:rPr>
        <w:t>单价或者单价汇总金额存在数字或者</w:t>
      </w:r>
      <w:r>
        <w:rPr>
          <w:rFonts w:hint="eastAsia" w:ascii="仿宋" w:hAnsi="仿宋" w:eastAsia="仿宋"/>
          <w:color w:val="000000" w:themeColor="text1"/>
          <w:sz w:val="24"/>
          <w14:textFill>
            <w14:solidFill>
              <w14:schemeClr w14:val="tx1"/>
            </w14:solidFill>
          </w14:textFill>
        </w:rPr>
        <w:t>文字错误的，应当先对</w:t>
      </w:r>
      <w:r>
        <w:rPr>
          <w:rFonts w:hint="eastAsia" w:ascii="仿宋" w:hAnsi="仿宋" w:eastAsia="仿宋" w:cs="宋体"/>
          <w:color w:val="000000" w:themeColor="text1"/>
          <w:kern w:val="0"/>
          <w:sz w:val="24"/>
          <w14:textFill>
            <w14:solidFill>
              <w14:schemeClr w14:val="tx1"/>
            </w14:solidFill>
          </w14:textFill>
        </w:rPr>
        <w:t>数字或者</w:t>
      </w:r>
      <w:r>
        <w:rPr>
          <w:rFonts w:hint="eastAsia" w:ascii="仿宋" w:hAnsi="仿宋" w:eastAsia="仿宋"/>
          <w:color w:val="000000" w:themeColor="text1"/>
          <w:sz w:val="24"/>
          <w14:textFill>
            <w14:solidFill>
              <w14:schemeClr w14:val="tx1"/>
            </w14:solidFill>
          </w14:textFill>
        </w:rPr>
        <w:t>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w:t>
      </w:r>
      <w:r>
        <w:rPr>
          <w:rFonts w:hint="eastAsia" w:ascii="仿宋" w:hAnsi="仿宋" w:eastAsia="仿宋" w:cs="宋体"/>
          <w:color w:val="000000" w:themeColor="text1"/>
          <w:kern w:val="0"/>
          <w:sz w:val="24"/>
          <w14:textFill>
            <w14:solidFill>
              <w14:schemeClr w14:val="tx1"/>
            </w14:solidFill>
          </w14:textFill>
        </w:rPr>
        <w:t>或者百分比有明显错位的</w:t>
      </w:r>
      <w:r>
        <w:rPr>
          <w:rFonts w:hint="eastAsia" w:ascii="仿宋" w:hAnsi="仿宋" w:eastAsia="仿宋"/>
          <w:color w:val="000000" w:themeColor="text1"/>
          <w:sz w:val="24"/>
          <w14:textFill>
            <w14:solidFill>
              <w14:schemeClr w14:val="tx1"/>
            </w14:solidFill>
          </w14:textFill>
        </w:rPr>
        <w:t>，以总价为准，修正单价。</w:t>
      </w:r>
    </w:p>
    <w:p>
      <w:pPr>
        <w:ind w:firstLine="480" w:firstLineChars="20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推荐成交候选供应商。磋商小组应当根据综合评分情况，按照评审得分由高到低顺序推荐3家以上（本章2.3.1和2.5.3的情况除外）成交候选供应商，并编写磋商报告。评审得分相同的，按照最后报价由低到高的顺序推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2.9采购组织单位现场复核评审结果。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（1）资格性审查认定错误的；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（2）分值汇总计算错误的；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（3）分项评分超出评分标准范围的；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（4）客观评分不一致的。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采购代理机构复核过程中，磋商小组成员不得离开评审现场。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2.9.2有下列情形之一的，不得现场修改评审结果：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（1）磋商小组已经出具磋商报告并且离开评审现场的；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（2）采购代理机构现场复核时，复核工作人员数量不足的；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（3）采购代理机构现场复核时，没有采购监督人员现场监督的；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（4）采购代理机构现场复核内容超出规定范围的；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（5）采购代理机构未提供书面建议的。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（1）邀请供应商参加采购活动的具体方式和相关情况；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（2）响应文件开启日期和地点；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（3）获取磋商文件的供应商名单和磋商小组成员名单；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（5）提出的成交候选供应商的排序名单及理由。</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2.12供应商澄清、说明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2.13终止磋商采购活动。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（1）因情况变化，不再符合规定的竞争性磋商采购方式适用情形的；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（3）除</w:t>
      </w:r>
      <w:r>
        <w:rPr>
          <w:rFonts w:hint="eastAsia" w:ascii="仿宋" w:hAnsi="仿宋" w:eastAsia="仿宋"/>
          <w:b/>
          <w:color w:val="000000" w:themeColor="text1"/>
          <w:sz w:val="24"/>
          <w14:textFill>
            <w14:solidFill>
              <w14:schemeClr w14:val="tx1"/>
            </w14:solidFill>
          </w14:textFill>
        </w:rPr>
        <w:t>本章2.3.1和</w:t>
      </w:r>
      <w:r>
        <w:rPr>
          <w:rFonts w:hint="eastAsia" w:ascii="仿宋" w:hAnsi="仿宋" w:eastAsia="仿宋"/>
          <w:b/>
          <w:bCs/>
          <w:color w:val="000000" w:themeColor="text1"/>
          <w:sz w:val="24"/>
          <w14:textFill>
            <w14:solidFill>
              <w14:schemeClr w14:val="tx1"/>
            </w14:solidFill>
          </w14:textFill>
        </w:rPr>
        <w:t>2.5.</w:t>
      </w:r>
      <w:r>
        <w:rPr>
          <w:rFonts w:ascii="仿宋" w:hAnsi="仿宋" w:eastAsia="仿宋"/>
          <w:b/>
          <w:bCs/>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的情况外，</w:t>
      </w:r>
      <w:r>
        <w:rPr>
          <w:rFonts w:hint="eastAsia" w:ascii="仿宋" w:hAnsi="仿宋" w:eastAsia="仿宋"/>
          <w:color w:val="000000" w:themeColor="text1"/>
          <w:sz w:val="24"/>
          <w14:textFill>
            <w14:solidFill>
              <w14:schemeClr w14:val="tx1"/>
            </w14:solidFill>
          </w14:textFill>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3.综合评分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3.1本次综合评分的因素详见综合评分明细表。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3"/>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3.3综合评分明细表</w:t>
      </w:r>
    </w:p>
    <w:p>
      <w:pPr>
        <w:pStyle w:val="13"/>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综合评分明细表按须知表中的相关要求进行价格调整，再参与价格分评审。</w:t>
      </w:r>
    </w:p>
    <w:p>
      <w:pPr>
        <w:spacing w:line="40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3.3.3综合评分明细表</w:t>
      </w:r>
    </w:p>
    <w:bookmarkEnd w:id="124"/>
    <w:bookmarkEnd w:id="125"/>
    <w:bookmarkEnd w:id="126"/>
    <w:bookmarkEnd w:id="127"/>
    <w:tbl>
      <w:tblPr>
        <w:tblStyle w:val="32"/>
        <w:tblW w:w="0" w:type="auto"/>
        <w:jc w:val="center"/>
        <w:tblLayout w:type="autofit"/>
        <w:tblCellMar>
          <w:top w:w="0" w:type="dxa"/>
          <w:left w:w="108" w:type="dxa"/>
          <w:bottom w:w="0" w:type="dxa"/>
          <w:right w:w="108" w:type="dxa"/>
        </w:tblCellMar>
      </w:tblPr>
      <w:tblGrid>
        <w:gridCol w:w="457"/>
        <w:gridCol w:w="1005"/>
        <w:gridCol w:w="616"/>
        <w:gridCol w:w="7210"/>
      </w:tblGrid>
      <w:tr>
        <w:tblPrEx>
          <w:tblCellMar>
            <w:top w:w="0" w:type="dxa"/>
            <w:left w:w="108" w:type="dxa"/>
            <w:bottom w:w="0" w:type="dxa"/>
            <w:right w:w="108" w:type="dxa"/>
          </w:tblCellMar>
        </w:tblPrEx>
        <w:trPr>
          <w:trHeight w:val="5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序号</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评分因素及权重</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分值</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000000" w:themeColor="text1"/>
                <w:kern w:val="0"/>
                <w:sz w:val="20"/>
                <w:szCs w:val="20"/>
                <w14:textFill>
                  <w14:solidFill>
                    <w14:schemeClr w14:val="tx1"/>
                  </w14:solidFill>
                </w14:textFill>
              </w:rPr>
            </w:pPr>
            <w:r>
              <w:rPr>
                <w:rFonts w:hint="eastAsia" w:ascii="仿宋" w:hAnsi="仿宋" w:eastAsia="仿宋" w:cs="仿宋"/>
                <w:b/>
                <w:bCs/>
                <w:color w:val="000000" w:themeColor="text1"/>
                <w:kern w:val="0"/>
                <w:sz w:val="20"/>
                <w:szCs w:val="20"/>
                <w14:textFill>
                  <w14:solidFill>
                    <w14:schemeClr w14:val="tx1"/>
                  </w14:solidFill>
                </w14:textFill>
              </w:rPr>
              <w:t>评分标准</w:t>
            </w:r>
          </w:p>
        </w:tc>
      </w:tr>
      <w:tr>
        <w:tblPrEx>
          <w:tblCellMar>
            <w:top w:w="0" w:type="dxa"/>
            <w:left w:w="108" w:type="dxa"/>
            <w:bottom w:w="0" w:type="dxa"/>
            <w:right w:w="108" w:type="dxa"/>
          </w:tblCellMar>
        </w:tblPrEx>
        <w:trPr>
          <w:trHeight w:val="5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报价30%</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30</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满足招标文件要求且投标价格最低的投标报价为评标基准价，其价格分为满分。其他投标人的价格分统一按照下列公式计算：投标报价得分=(评标基准价／投标报价)*30分。</w:t>
            </w:r>
          </w:p>
        </w:tc>
      </w:tr>
      <w:tr>
        <w:tblPrEx>
          <w:tblCellMar>
            <w:top w:w="0" w:type="dxa"/>
            <w:left w:w="108" w:type="dxa"/>
            <w:bottom w:w="0" w:type="dxa"/>
            <w:right w:w="108" w:type="dxa"/>
          </w:tblCellMar>
        </w:tblPrEx>
        <w:trPr>
          <w:trHeight w:val="104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技术指标及配置3</w:t>
            </w:r>
            <w:r>
              <w:rPr>
                <w:rFonts w:ascii="仿宋" w:hAnsi="仿宋" w:eastAsia="仿宋" w:cs="仿宋"/>
                <w:color w:val="000000" w:themeColor="text1"/>
                <w:kern w:val="0"/>
                <w:sz w:val="20"/>
                <w:szCs w:val="20"/>
                <w14:textFill>
                  <w14:solidFill>
                    <w14:schemeClr w14:val="tx1"/>
                  </w14:solidFill>
                </w14:textFill>
              </w:rPr>
              <w:t>7</w:t>
            </w:r>
            <w:r>
              <w:rPr>
                <w:rFonts w:hint="eastAsia" w:ascii="仿宋" w:hAnsi="仿宋" w:eastAsia="仿宋" w:cs="仿宋"/>
                <w:color w:val="000000" w:themeColor="text1"/>
                <w:kern w:val="0"/>
                <w:sz w:val="20"/>
                <w:szCs w:val="20"/>
                <w14:textFill>
                  <w14:solidFill>
                    <w14:schemeClr w14:val="tx1"/>
                  </w14:solidFill>
                </w14:textFill>
              </w:rPr>
              <w:t>.</w:t>
            </w:r>
            <w:r>
              <w:rPr>
                <w:rFonts w:ascii="仿宋" w:hAnsi="仿宋" w:eastAsia="仿宋" w:cs="仿宋"/>
                <w:color w:val="000000" w:themeColor="text1"/>
                <w:kern w:val="0"/>
                <w:sz w:val="20"/>
                <w:szCs w:val="20"/>
                <w14:textFill>
                  <w14:solidFill>
                    <w14:schemeClr w14:val="tx1"/>
                  </w14:solidFill>
                </w14:textFill>
              </w:rPr>
              <w:t>8</w:t>
            </w:r>
            <w:r>
              <w:rPr>
                <w:rFonts w:hint="eastAsia" w:ascii="仿宋" w:hAnsi="仿宋" w:eastAsia="仿宋" w:cs="仿宋"/>
                <w:color w:val="000000" w:themeColor="text1"/>
                <w:kern w:val="0"/>
                <w:sz w:val="20"/>
                <w:szCs w:val="20"/>
                <w14:textFill>
                  <w14:solidFill>
                    <w14:schemeClr w14:val="tx1"/>
                  </w14:solidFill>
                </w14:textFill>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w:t>
            </w:r>
            <w:r>
              <w:rPr>
                <w:rFonts w:ascii="仿宋" w:hAnsi="仿宋" w:eastAsia="仿宋" w:cs="仿宋"/>
                <w:color w:val="000000" w:themeColor="text1"/>
                <w:kern w:val="0"/>
                <w:sz w:val="20"/>
                <w:szCs w:val="20"/>
                <w14:textFill>
                  <w14:solidFill>
                    <w14:schemeClr w14:val="tx1"/>
                  </w14:solidFill>
                </w14:textFill>
              </w:rPr>
              <w:t>7</w:t>
            </w:r>
            <w:r>
              <w:rPr>
                <w:rFonts w:hint="eastAsia" w:ascii="仿宋" w:hAnsi="仿宋" w:eastAsia="仿宋" w:cs="仿宋"/>
                <w:color w:val="000000" w:themeColor="text1"/>
                <w:kern w:val="0"/>
                <w:sz w:val="20"/>
                <w:szCs w:val="20"/>
                <w14:textFill>
                  <w14:solidFill>
                    <w14:schemeClr w14:val="tx1"/>
                  </w14:solidFill>
                </w14:textFill>
              </w:rPr>
              <w:t>.</w:t>
            </w:r>
            <w:r>
              <w:rPr>
                <w:rFonts w:ascii="仿宋" w:hAnsi="仿宋" w:eastAsia="仿宋" w:cs="仿宋"/>
                <w:color w:val="000000" w:themeColor="text1"/>
                <w:kern w:val="0"/>
                <w:sz w:val="20"/>
                <w:szCs w:val="20"/>
                <w14:textFill>
                  <w14:solidFill>
                    <w14:schemeClr w14:val="tx1"/>
                  </w14:solidFill>
                </w14:textFill>
              </w:rPr>
              <w:t>8</w:t>
            </w:r>
          </w:p>
        </w:tc>
        <w:tc>
          <w:tcPr>
            <w:tcW w:w="0" w:type="auto"/>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完全满足招标文件第五章“采购项目技术、服务、商务要求”中“设备参数及清单”所有参数要求没有负偏离的得3</w:t>
            </w:r>
            <w:r>
              <w:rPr>
                <w:rFonts w:ascii="仿宋" w:hAnsi="仿宋" w:eastAsia="仿宋" w:cs="仿宋"/>
                <w:color w:val="000000" w:themeColor="text1"/>
                <w:kern w:val="0"/>
                <w:sz w:val="20"/>
                <w:szCs w:val="20"/>
                <w14:textFill>
                  <w14:solidFill>
                    <w14:schemeClr w14:val="tx1"/>
                  </w14:solidFill>
                </w14:textFill>
              </w:rPr>
              <w:t>7</w:t>
            </w:r>
            <w:r>
              <w:rPr>
                <w:rFonts w:hint="eastAsia" w:ascii="仿宋" w:hAnsi="仿宋" w:eastAsia="仿宋" w:cs="仿宋"/>
                <w:color w:val="000000" w:themeColor="text1"/>
                <w:kern w:val="0"/>
                <w:sz w:val="20"/>
                <w:szCs w:val="20"/>
                <w14:textFill>
                  <w14:solidFill>
                    <w14:schemeClr w14:val="tx1"/>
                  </w14:solidFill>
                </w14:textFill>
              </w:rPr>
              <w:t>.</w:t>
            </w:r>
            <w:r>
              <w:rPr>
                <w:rFonts w:ascii="仿宋" w:hAnsi="仿宋" w:eastAsia="仿宋" w:cs="仿宋"/>
                <w:color w:val="000000" w:themeColor="text1"/>
                <w:kern w:val="0"/>
                <w:sz w:val="20"/>
                <w:szCs w:val="20"/>
                <w14:textFill>
                  <w14:solidFill>
                    <w14:schemeClr w14:val="tx1"/>
                  </w14:solidFill>
                </w14:textFill>
              </w:rPr>
              <w:t>8</w:t>
            </w:r>
            <w:r>
              <w:rPr>
                <w:rFonts w:hint="eastAsia" w:ascii="仿宋" w:hAnsi="仿宋" w:eastAsia="仿宋" w:cs="仿宋"/>
                <w:color w:val="000000" w:themeColor="text1"/>
                <w:kern w:val="0"/>
                <w:sz w:val="20"/>
                <w:szCs w:val="20"/>
                <w14:textFill>
                  <w14:solidFill>
                    <w14:schemeClr w14:val="tx1"/>
                  </w14:solidFill>
                </w14:textFill>
              </w:rPr>
              <w:t>分。不满足的扣分细则如下：</w:t>
            </w:r>
          </w:p>
          <w:p>
            <w:pPr>
              <w:widowControl/>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1、技术参数中“▲”（34个）项，每有一个不满足扣</w:t>
            </w:r>
            <w:r>
              <w:rPr>
                <w:rFonts w:ascii="仿宋" w:hAnsi="仿宋" w:eastAsia="仿宋" w:cs="仿宋"/>
                <w:color w:val="000000" w:themeColor="text1"/>
                <w:kern w:val="0"/>
                <w:sz w:val="20"/>
                <w:szCs w:val="20"/>
                <w14:textFill>
                  <w14:solidFill>
                    <w14:schemeClr w14:val="tx1"/>
                  </w14:solidFill>
                </w14:textFill>
              </w:rPr>
              <w:t>1</w:t>
            </w:r>
            <w:r>
              <w:rPr>
                <w:rFonts w:hint="eastAsia" w:ascii="仿宋" w:hAnsi="仿宋" w:eastAsia="仿宋" w:cs="仿宋"/>
                <w:color w:val="000000" w:themeColor="text1"/>
                <w:kern w:val="0"/>
                <w:sz w:val="20"/>
                <w:szCs w:val="20"/>
                <w14:textFill>
                  <w14:solidFill>
                    <w14:schemeClr w14:val="tx1"/>
                  </w14:solidFill>
                </w14:textFill>
              </w:rPr>
              <w:t>分，本项</w:t>
            </w:r>
            <w:r>
              <w:rPr>
                <w:rFonts w:ascii="仿宋" w:hAnsi="仿宋" w:eastAsia="仿宋" w:cs="仿宋"/>
                <w:color w:val="000000" w:themeColor="text1"/>
                <w:kern w:val="0"/>
                <w:sz w:val="20"/>
                <w:szCs w:val="20"/>
                <w14:textFill>
                  <w14:solidFill>
                    <w14:schemeClr w14:val="tx1"/>
                  </w14:solidFill>
                </w14:textFill>
              </w:rPr>
              <w:t>34</w:t>
            </w:r>
            <w:r>
              <w:rPr>
                <w:rFonts w:hint="eastAsia" w:ascii="仿宋" w:hAnsi="仿宋" w:eastAsia="仿宋" w:cs="仿宋"/>
                <w:color w:val="000000" w:themeColor="text1"/>
                <w:kern w:val="0"/>
                <w:sz w:val="20"/>
                <w:szCs w:val="20"/>
                <w14:textFill>
                  <w14:solidFill>
                    <w14:schemeClr w14:val="tx1"/>
                  </w14:solidFill>
                </w14:textFill>
              </w:rPr>
              <w:t>分；</w:t>
            </w:r>
          </w:p>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2、非“▲”（190个）项，每有一个不满足扣0.02分，本项共3.8分。</w:t>
            </w:r>
          </w:p>
        </w:tc>
      </w:tr>
      <w:tr>
        <w:tblPrEx>
          <w:tblCellMar>
            <w:top w:w="0" w:type="dxa"/>
            <w:left w:w="108" w:type="dxa"/>
            <w:bottom w:w="0" w:type="dxa"/>
            <w:right w:w="108" w:type="dxa"/>
          </w:tblCellMar>
        </w:tblPrEx>
        <w:trPr>
          <w:trHeight w:val="52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履约能力3</w:t>
            </w:r>
            <w:r>
              <w:rPr>
                <w:rFonts w:ascii="仿宋" w:hAnsi="仿宋" w:eastAsia="仿宋" w:cs="仿宋"/>
                <w:color w:val="000000" w:themeColor="text1"/>
                <w:kern w:val="0"/>
                <w:sz w:val="20"/>
                <w:szCs w:val="20"/>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3.2</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投标人2019年1月1日以来具有类似业绩每提供1个得1</w:t>
            </w:r>
            <w:r>
              <w:rPr>
                <w:rFonts w:ascii="仿宋" w:hAnsi="仿宋" w:eastAsia="仿宋" w:cs="仿宋"/>
                <w:color w:val="000000" w:themeColor="text1"/>
                <w:kern w:val="0"/>
                <w:sz w:val="20"/>
                <w:szCs w:val="20"/>
                <w14:textFill>
                  <w14:solidFill>
                    <w14:schemeClr w14:val="tx1"/>
                  </w14:solidFill>
                </w14:textFill>
              </w:rPr>
              <w:t>.6</w:t>
            </w:r>
            <w:r>
              <w:rPr>
                <w:rFonts w:hint="eastAsia" w:ascii="仿宋" w:hAnsi="仿宋" w:eastAsia="仿宋" w:cs="仿宋"/>
                <w:color w:val="000000" w:themeColor="text1"/>
                <w:kern w:val="0"/>
                <w:sz w:val="20"/>
                <w:szCs w:val="20"/>
                <w14:textFill>
                  <w14:solidFill>
                    <w14:schemeClr w14:val="tx1"/>
                  </w14:solidFill>
                </w14:textFill>
              </w:rPr>
              <w:t>分，最多得3</w:t>
            </w:r>
            <w:r>
              <w:rPr>
                <w:rFonts w:ascii="仿宋" w:hAnsi="仿宋" w:eastAsia="仿宋" w:cs="仿宋"/>
                <w:color w:val="000000" w:themeColor="text1"/>
                <w:kern w:val="0"/>
                <w:sz w:val="20"/>
                <w:szCs w:val="20"/>
                <w14:textFill>
                  <w14:solidFill>
                    <w14:schemeClr w14:val="tx1"/>
                  </w14:solidFill>
                </w14:textFill>
              </w:rPr>
              <w:t>.</w:t>
            </w:r>
            <w:r>
              <w:rPr>
                <w:rFonts w:hint="eastAsia" w:ascii="仿宋" w:hAnsi="仿宋" w:eastAsia="仿宋" w:cs="仿宋"/>
                <w:color w:val="000000" w:themeColor="text1"/>
                <w:kern w:val="0"/>
                <w:sz w:val="20"/>
                <w:szCs w:val="20"/>
                <w14:textFill>
                  <w14:solidFill>
                    <w14:schemeClr w14:val="tx1"/>
                  </w14:solidFill>
                </w14:textFill>
              </w:rPr>
              <w:t>2分；没有不得分。（提供中标通知书或合同复印件加盖公章）</w:t>
            </w:r>
          </w:p>
        </w:tc>
      </w:tr>
      <w:tr>
        <w:tblPrEx>
          <w:tblCellMar>
            <w:top w:w="0" w:type="dxa"/>
            <w:left w:w="108" w:type="dxa"/>
            <w:bottom w:w="0" w:type="dxa"/>
            <w:right w:w="108" w:type="dxa"/>
          </w:tblCellMar>
        </w:tblPrEx>
        <w:trPr>
          <w:trHeight w:val="1300"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4</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实施方案12%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投标人提供完善的项目实施方案（内容包括①施工图纸及技术方案；②项目施工质量；③组织安排；④验收方案；⑤进度管理；⑥项目培训）进行评审：提供齐全且</w:t>
            </w:r>
            <w:r>
              <w:rPr>
                <w:rFonts w:hint="eastAsia" w:ascii="仿宋" w:hAnsi="仿宋" w:eastAsia="仿宋" w:cs="仿宋"/>
                <w:color w:val="000000" w:themeColor="text1"/>
                <w:kern w:val="0"/>
                <w:sz w:val="20"/>
                <w:szCs w:val="20"/>
                <w:lang w:val="en-US" w:eastAsia="zh-CN"/>
                <w14:textFill>
                  <w14:solidFill>
                    <w14:schemeClr w14:val="tx1"/>
                  </w14:solidFill>
                </w14:textFill>
              </w:rPr>
              <w:t>全面</w:t>
            </w:r>
            <w:r>
              <w:rPr>
                <w:rFonts w:hint="eastAsia" w:ascii="仿宋" w:hAnsi="仿宋" w:eastAsia="仿宋" w:cs="仿宋"/>
                <w:color w:val="000000" w:themeColor="text1"/>
                <w:kern w:val="0"/>
                <w:sz w:val="20"/>
                <w:szCs w:val="20"/>
                <w14:textFill>
                  <w14:solidFill>
                    <w14:schemeClr w14:val="tx1"/>
                  </w14:solidFill>
                </w14:textFill>
              </w:rPr>
              <w:t>的得12分，每缺少一项或每项中存在一处不</w:t>
            </w:r>
            <w:r>
              <w:rPr>
                <w:rFonts w:hint="eastAsia" w:ascii="仿宋" w:hAnsi="仿宋" w:eastAsia="仿宋" w:cs="仿宋"/>
                <w:color w:val="000000" w:themeColor="text1"/>
                <w:kern w:val="0"/>
                <w:sz w:val="20"/>
                <w:szCs w:val="20"/>
                <w:lang w:val="en-US" w:eastAsia="zh-CN"/>
                <w14:textFill>
                  <w14:solidFill>
                    <w14:schemeClr w14:val="tx1"/>
                  </w14:solidFill>
                </w14:textFill>
              </w:rPr>
              <w:t>全面</w:t>
            </w:r>
            <w:r>
              <w:rPr>
                <w:rFonts w:hint="eastAsia" w:ascii="仿宋" w:hAnsi="仿宋" w:eastAsia="仿宋" w:cs="仿宋"/>
                <w:color w:val="000000" w:themeColor="text1"/>
                <w:kern w:val="0"/>
                <w:sz w:val="20"/>
                <w:szCs w:val="20"/>
                <w14:textFill>
                  <w14:solidFill>
                    <w14:schemeClr w14:val="tx1"/>
                  </w14:solidFill>
                </w14:textFill>
              </w:rPr>
              <w:t>的扣2分，扣完为止，未提供不得分。</w:t>
            </w:r>
          </w:p>
          <w:p>
            <w:pPr>
              <w:widowControl/>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注：不</w:t>
            </w:r>
            <w:r>
              <w:rPr>
                <w:rFonts w:hint="eastAsia" w:ascii="仿宋" w:hAnsi="仿宋" w:eastAsia="仿宋" w:cs="仿宋"/>
                <w:color w:val="000000" w:themeColor="text1"/>
                <w:kern w:val="0"/>
                <w:sz w:val="20"/>
                <w:szCs w:val="20"/>
                <w:lang w:val="en-US" w:eastAsia="zh-CN"/>
                <w14:textFill>
                  <w14:solidFill>
                    <w14:schemeClr w14:val="tx1"/>
                  </w14:solidFill>
                </w14:textFill>
              </w:rPr>
              <w:t>全面</w:t>
            </w:r>
            <w:r>
              <w:rPr>
                <w:rFonts w:hint="eastAsia" w:ascii="仿宋" w:hAnsi="仿宋" w:eastAsia="仿宋" w:cs="仿宋"/>
                <w:color w:val="000000" w:themeColor="text1"/>
                <w:kern w:val="0"/>
                <w:sz w:val="20"/>
                <w:szCs w:val="20"/>
                <w14:textFill>
                  <w14:solidFill>
                    <w14:schemeClr w14:val="tx1"/>
                  </w14:solidFill>
                </w14:textFill>
              </w:rPr>
              <w:t>是指：方案中存在不适用项目实际情况、凭空捏造、套用其他无关内容、逻辑漏洞、科学原理错误、内容不完整、实用性差以及与本项目无关等情况。</w:t>
            </w:r>
          </w:p>
        </w:tc>
      </w:tr>
      <w:tr>
        <w:tblPrEx>
          <w:tblCellMar>
            <w:top w:w="0" w:type="dxa"/>
            <w:left w:w="108" w:type="dxa"/>
            <w:bottom w:w="0" w:type="dxa"/>
            <w:right w:w="108" w:type="dxa"/>
          </w:tblCellMar>
        </w:tblPrEx>
        <w:trPr>
          <w:trHeight w:val="841" w:hRule="atLeast"/>
          <w:jc w:val="center"/>
        </w:trPr>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售后服务1</w:t>
            </w:r>
            <w:r>
              <w:rPr>
                <w:rFonts w:ascii="仿宋" w:hAnsi="仿宋" w:eastAsia="仿宋" w:cs="仿宋"/>
                <w:color w:val="000000" w:themeColor="text1"/>
                <w:kern w:val="0"/>
                <w:sz w:val="20"/>
                <w:szCs w:val="20"/>
                <w14:textFill>
                  <w14:solidFill>
                    <w14:schemeClr w14:val="tx1"/>
                  </w14:solidFill>
                </w14:textFill>
              </w:rPr>
              <w:t>5</w:t>
            </w:r>
            <w:r>
              <w:rPr>
                <w:rFonts w:hint="eastAsia" w:ascii="仿宋" w:hAnsi="仿宋" w:eastAsia="仿宋" w:cs="仿宋"/>
                <w:color w:val="000000" w:themeColor="text1"/>
                <w:kern w:val="0"/>
                <w:sz w:val="20"/>
                <w:szCs w:val="20"/>
                <w14:textFill>
                  <w14:solidFill>
                    <w14:schemeClr w14:val="tx1"/>
                  </w14:solidFill>
                </w14:textFill>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12</w:t>
            </w:r>
          </w:p>
        </w:tc>
        <w:tc>
          <w:tcPr>
            <w:tcW w:w="0" w:type="auto"/>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投标人提供完善的售后服务方案（内容包括：①售后服务响应时间、紧急故障处理保障；②具体售后服务措施（人员配备、联系方式、职责分工明确）；③备品备件；④巡检机制）进行评审：提供齐全且</w:t>
            </w:r>
            <w:r>
              <w:rPr>
                <w:rFonts w:hint="eastAsia" w:ascii="仿宋" w:hAnsi="仿宋" w:eastAsia="仿宋" w:cs="仿宋"/>
                <w:color w:val="000000" w:themeColor="text1"/>
                <w:kern w:val="0"/>
                <w:sz w:val="20"/>
                <w:szCs w:val="20"/>
                <w:lang w:val="en-US" w:eastAsia="zh-CN"/>
                <w14:textFill>
                  <w14:solidFill>
                    <w14:schemeClr w14:val="tx1"/>
                  </w14:solidFill>
                </w14:textFill>
              </w:rPr>
              <w:t>全面</w:t>
            </w:r>
            <w:r>
              <w:rPr>
                <w:rFonts w:hint="eastAsia" w:ascii="仿宋" w:hAnsi="仿宋" w:eastAsia="仿宋" w:cs="仿宋"/>
                <w:color w:val="000000" w:themeColor="text1"/>
                <w:kern w:val="0"/>
                <w:sz w:val="20"/>
                <w:szCs w:val="20"/>
                <w14:textFill>
                  <w14:solidFill>
                    <w14:schemeClr w14:val="tx1"/>
                  </w14:solidFill>
                </w14:textFill>
              </w:rPr>
              <w:t>的得12分，每缺少一项或每项中存在一处不</w:t>
            </w:r>
            <w:r>
              <w:rPr>
                <w:rFonts w:hint="eastAsia" w:ascii="仿宋" w:hAnsi="仿宋" w:eastAsia="仿宋" w:cs="仿宋"/>
                <w:color w:val="000000" w:themeColor="text1"/>
                <w:kern w:val="0"/>
                <w:sz w:val="20"/>
                <w:szCs w:val="20"/>
                <w:lang w:val="en-US" w:eastAsia="zh-CN"/>
                <w14:textFill>
                  <w14:solidFill>
                    <w14:schemeClr w14:val="tx1"/>
                  </w14:solidFill>
                </w14:textFill>
              </w:rPr>
              <w:t>全面</w:t>
            </w:r>
            <w:r>
              <w:rPr>
                <w:rFonts w:hint="eastAsia" w:ascii="仿宋" w:hAnsi="仿宋" w:eastAsia="仿宋" w:cs="仿宋"/>
                <w:color w:val="000000" w:themeColor="text1"/>
                <w:kern w:val="0"/>
                <w:sz w:val="20"/>
                <w:szCs w:val="20"/>
                <w14:textFill>
                  <w14:solidFill>
                    <w14:schemeClr w14:val="tx1"/>
                  </w14:solidFill>
                </w14:textFill>
              </w:rPr>
              <w:t>的扣3分，扣完为止，未提供不得分。</w:t>
            </w:r>
          </w:p>
          <w:p>
            <w:pPr>
              <w:widowControl/>
              <w:rPr>
                <w:rFonts w:hint="eastAsia"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注：不</w:t>
            </w:r>
            <w:r>
              <w:rPr>
                <w:rFonts w:hint="eastAsia" w:ascii="仿宋" w:hAnsi="仿宋" w:eastAsia="仿宋" w:cs="仿宋"/>
                <w:color w:val="000000" w:themeColor="text1"/>
                <w:kern w:val="0"/>
                <w:sz w:val="20"/>
                <w:szCs w:val="20"/>
                <w:lang w:val="en-US" w:eastAsia="zh-CN"/>
                <w14:textFill>
                  <w14:solidFill>
                    <w14:schemeClr w14:val="tx1"/>
                  </w14:solidFill>
                </w14:textFill>
              </w:rPr>
              <w:t>全面</w:t>
            </w:r>
            <w:r>
              <w:rPr>
                <w:rFonts w:hint="eastAsia" w:ascii="仿宋" w:hAnsi="仿宋" w:eastAsia="仿宋" w:cs="仿宋"/>
                <w:color w:val="000000" w:themeColor="text1"/>
                <w:kern w:val="0"/>
                <w:sz w:val="20"/>
                <w:szCs w:val="20"/>
                <w14:textFill>
                  <w14:solidFill>
                    <w14:schemeClr w14:val="tx1"/>
                  </w14:solidFill>
                </w14:textFill>
              </w:rPr>
              <w:t>是指：方案中存在不适用项目实际情况、凭空捏造、套用其他无关内容、逻辑漏洞、科学原理错误、内容不完整、实用性差以及与本项目无关等情况。</w:t>
            </w:r>
          </w:p>
        </w:tc>
      </w:tr>
      <w:tr>
        <w:tblPrEx>
          <w:tblCellMar>
            <w:top w:w="0" w:type="dxa"/>
            <w:left w:w="108" w:type="dxa"/>
            <w:bottom w:w="0" w:type="dxa"/>
            <w:right w:w="108" w:type="dxa"/>
          </w:tblCellMar>
        </w:tblPrEx>
        <w:trPr>
          <w:trHeight w:val="780"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themeColor="text1"/>
                <w:kern w:val="0"/>
                <w:sz w:val="20"/>
                <w:szCs w:val="20"/>
                <w14:textFill>
                  <w14:solidFill>
                    <w14:schemeClr w14:val="tx1"/>
                  </w14:solidFill>
                </w14:textFill>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themeColor="text1"/>
                <w:kern w:val="0"/>
                <w:sz w:val="20"/>
                <w:szCs w:val="20"/>
                <w14:textFill>
                  <w14:solidFill>
                    <w14:schemeClr w14:val="tx1"/>
                  </w14:solidFill>
                </w14:textFill>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3</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投标人所投产品（安全视频平台管理主控设备、核心链路设备）在满足招标文件质保期要求基础上，每增加一年加1.</w:t>
            </w:r>
            <w:r>
              <w:rPr>
                <w:rFonts w:ascii="仿宋" w:hAnsi="仿宋" w:eastAsia="仿宋" w:cs="仿宋"/>
                <w:color w:val="000000" w:themeColor="text1"/>
                <w:kern w:val="0"/>
                <w:sz w:val="20"/>
                <w:szCs w:val="20"/>
                <w14:textFill>
                  <w14:solidFill>
                    <w14:schemeClr w14:val="tx1"/>
                  </w14:solidFill>
                </w14:textFill>
              </w:rPr>
              <w:t>5</w:t>
            </w:r>
            <w:r>
              <w:rPr>
                <w:rFonts w:hint="eastAsia" w:ascii="仿宋" w:hAnsi="仿宋" w:eastAsia="仿宋" w:cs="仿宋"/>
                <w:color w:val="000000" w:themeColor="text1"/>
                <w:kern w:val="0"/>
                <w:sz w:val="20"/>
                <w:szCs w:val="20"/>
                <w14:textFill>
                  <w14:solidFill>
                    <w14:schemeClr w14:val="tx1"/>
                  </w14:solidFill>
                </w14:textFill>
              </w:rPr>
              <w:t>分，最高得</w:t>
            </w:r>
            <w:r>
              <w:rPr>
                <w:rFonts w:ascii="仿宋" w:hAnsi="仿宋" w:eastAsia="仿宋" w:cs="仿宋"/>
                <w:color w:val="000000" w:themeColor="text1"/>
                <w:kern w:val="0"/>
                <w:sz w:val="20"/>
                <w:szCs w:val="20"/>
                <w14:textFill>
                  <w14:solidFill>
                    <w14:schemeClr w14:val="tx1"/>
                  </w14:solidFill>
                </w14:textFill>
              </w:rPr>
              <w:t>3</w:t>
            </w:r>
            <w:r>
              <w:rPr>
                <w:rFonts w:hint="eastAsia" w:ascii="仿宋" w:hAnsi="仿宋" w:eastAsia="仿宋" w:cs="仿宋"/>
                <w:color w:val="000000" w:themeColor="text1"/>
                <w:kern w:val="0"/>
                <w:sz w:val="20"/>
                <w:szCs w:val="20"/>
                <w14:textFill>
                  <w14:solidFill>
                    <w14:schemeClr w14:val="tx1"/>
                  </w14:solidFill>
                </w14:textFill>
              </w:rPr>
              <w:t>分；无或不齐不得分。（提供产品制造商的售后服务承诺书加盖投标人公章）</w:t>
            </w:r>
          </w:p>
        </w:tc>
      </w:tr>
      <w:tr>
        <w:tblPrEx>
          <w:tblCellMar>
            <w:top w:w="0" w:type="dxa"/>
            <w:left w:w="108" w:type="dxa"/>
            <w:bottom w:w="0" w:type="dxa"/>
            <w:right w:w="108" w:type="dxa"/>
          </w:tblCellMar>
        </w:tblPrEx>
        <w:trPr>
          <w:trHeight w:val="1266" w:hRule="atLeast"/>
          <w:jc w:val="center"/>
        </w:trPr>
        <w:tc>
          <w:tcPr>
            <w:tcW w:w="0" w:type="auto"/>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ascii="仿宋" w:hAnsi="仿宋" w:eastAsia="仿宋" w:cs="仿宋"/>
                <w:color w:val="000000" w:themeColor="text1"/>
                <w:kern w:val="0"/>
                <w:sz w:val="20"/>
                <w:szCs w:val="20"/>
                <w14:textFill>
                  <w14:solidFill>
                    <w14:schemeClr w14:val="tx1"/>
                  </w14:solidFill>
                </w14:textFill>
              </w:rPr>
              <w:t>6</w:t>
            </w:r>
          </w:p>
        </w:tc>
        <w:tc>
          <w:tcPr>
            <w:tcW w:w="0" w:type="auto"/>
            <w:tcBorders>
              <w:top w:val="nil"/>
              <w:left w:val="nil"/>
              <w:bottom w:val="single" w:color="auto" w:sz="4" w:space="0"/>
              <w:right w:val="single" w:color="auto" w:sz="4" w:space="0"/>
            </w:tcBorders>
            <w:shd w:val="clear" w:color="auto" w:fill="auto"/>
            <w:vAlign w:val="center"/>
          </w:tcPr>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节能环保2%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w:t>
            </w:r>
          </w:p>
        </w:tc>
        <w:tc>
          <w:tcPr>
            <w:tcW w:w="0" w:type="auto"/>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1、根据《财政部 发展改革委 生态环境部 市场监管总局 关于调整优化节能产品、环境标志产品政府采购执行机制的通知》财库〔2019〕9号, 《关于印发环境标志产品政府采购品目清单的通知》财库〔2019〕18号，《关于印发节能产品政府采购品目清单的通知》财库〔2019〕19号的法律精神，依据国家确定的认证机构出具的、处于有效期之内的节能产品、环境标志产品认证证书，对获得证书的产品每提供一个得0.5分。（强制采购产品除外）</w:t>
            </w:r>
          </w:p>
          <w:p>
            <w:pPr>
              <w:widowControl/>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注：（1）节能产品认证应依据国家相关标准的最新版本，依据国家能效标准中二级能效（水效）指标。</w:t>
            </w:r>
          </w:p>
          <w:p>
            <w:pPr>
              <w:widowControl/>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（2）《节能产品政府采购品目清单》中产品认证标准发生变更的，依据原认证标准获得的、仍在有效期内的认证证书可使用至 2019年6月1日。</w:t>
            </w:r>
          </w:p>
          <w:p>
            <w:pPr>
              <w:widowControl/>
              <w:rPr>
                <w:rFonts w:hint="eastAsia" w:ascii="仿宋" w:hAnsi="仿宋" w:eastAsia="仿宋" w:cs="仿宋"/>
                <w:color w:val="000000" w:themeColor="text1"/>
                <w:kern w:val="0"/>
                <w:sz w:val="20"/>
                <w:szCs w:val="20"/>
                <w:lang w:eastAsia="zh-CN"/>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（3）《节能产品政府采购品目清单》中“★”标注的为政府强制采购产品，属于强制采购产品品目内的产品，必须提供认证证书。</w:t>
            </w:r>
          </w:p>
          <w:p>
            <w:pPr>
              <w:widowControl/>
              <w:rPr>
                <w:rFonts w:ascii="仿宋" w:hAnsi="仿宋" w:eastAsia="仿宋" w:cs="仿宋"/>
                <w:color w:val="000000" w:themeColor="text1"/>
                <w:kern w:val="0"/>
                <w:sz w:val="20"/>
                <w:szCs w:val="20"/>
                <w14:textFill>
                  <w14:solidFill>
                    <w14:schemeClr w14:val="tx1"/>
                  </w14:solidFill>
                </w14:textFill>
              </w:rPr>
            </w:pPr>
            <w:r>
              <w:rPr>
                <w:rFonts w:hint="eastAsia" w:ascii="仿宋" w:hAnsi="仿宋" w:eastAsia="仿宋" w:cs="仿宋"/>
                <w:color w:val="000000" w:themeColor="text1"/>
                <w:kern w:val="0"/>
                <w:sz w:val="20"/>
                <w:szCs w:val="20"/>
                <w14:textFill>
                  <w14:solidFill>
                    <w14:schemeClr w14:val="tx1"/>
                  </w14:solidFill>
                </w14:textFill>
              </w:rPr>
              <w:t>2、提供符合国家无线局域网安全标准（GB 15629．11/1102）并通过国家产品认证的产品，每提供一个得0.5分。</w:t>
            </w:r>
          </w:p>
        </w:tc>
      </w:tr>
    </w:tbl>
    <w:p>
      <w:pPr>
        <w:tabs>
          <w:tab w:val="left" w:pos="851"/>
        </w:tabs>
        <w:spacing w:line="400" w:lineRule="exact"/>
        <w:rPr>
          <w:rFonts w:ascii="仿宋" w:hAnsi="仿宋" w:eastAsia="仿宋"/>
          <w:b/>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4.磋商纪律及注意事项</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 磋商小组独立评判，推荐成交候选人，并写出书面报告。</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4.5 磋商小组可根据需要对供应商进行实地考察。</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bookmarkEnd w:id="128"/>
      <w:r>
        <w:rPr>
          <w:rFonts w:hint="eastAsia" w:ascii="仿宋" w:hAnsi="仿宋" w:eastAsia="仿宋"/>
          <w:color w:val="000000" w:themeColor="text1"/>
          <w:sz w:val="24"/>
          <w:szCs w:val="24"/>
          <w14:textFill>
            <w14:solidFill>
              <w14:schemeClr w14:val="tx1"/>
            </w14:solidFill>
          </w14:textFill>
        </w:rPr>
        <w:t>磋商小组在政府采购活动中承担以下义务：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（一）遵守评审工作纪律；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（七）配合答复处理供应商的询问、质疑和投诉等事项；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（八）法律、法规和规章规定的其他义务。</w:t>
      </w:r>
    </w:p>
    <w:p>
      <w:pPr>
        <w:tabs>
          <w:tab w:val="left" w:pos="7665"/>
        </w:tabs>
        <w:spacing w:line="400" w:lineRule="exact"/>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6.评审专家在政府采购活动中应当遵守以下工作纪律：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（七）遵守有关廉洁自律规定，不得私下接触供应商，不得收受供应商及有关业务单位和个人的财物或好处，不得接受采购代理机构的请托。</w:t>
      </w:r>
    </w:p>
    <w:p>
      <w:pPr>
        <w:rPr>
          <w:rFonts w:ascii="仿宋" w:hAnsi="仿宋" w:eastAsia="仿宋"/>
          <w:color w:val="000000" w:themeColor="text1"/>
          <w14:textFill>
            <w14:solidFill>
              <w14:schemeClr w14:val="tx1"/>
            </w14:solidFill>
          </w14:textFill>
        </w:rPr>
      </w:pPr>
    </w:p>
    <w:p>
      <w:pPr>
        <w:pStyle w:val="3"/>
        <w:keepNext w:val="0"/>
        <w:keepLines w:val="0"/>
        <w:spacing w:line="360" w:lineRule="exact"/>
        <w:jc w:val="center"/>
        <w:rPr>
          <w:rFonts w:ascii="仿宋" w:hAnsi="仿宋" w:eastAsia="仿宋" w:cs="仿宋"/>
          <w:b w:val="0"/>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bookmarkStart w:id="130" w:name="_Toc17602"/>
      <w:r>
        <w:rPr>
          <w:rFonts w:hint="eastAsia" w:ascii="仿宋" w:hAnsi="仿宋" w:eastAsia="仿宋"/>
          <w:color w:val="000000" w:themeColor="text1"/>
          <w14:textFill>
            <w14:solidFill>
              <w14:schemeClr w14:val="tx1"/>
            </w14:solidFill>
          </w14:textFill>
        </w:rPr>
        <w:t xml:space="preserve">第九章  </w:t>
      </w:r>
      <w:bookmarkEnd w:id="95"/>
      <w:bookmarkEnd w:id="96"/>
      <w:bookmarkEnd w:id="97"/>
      <w:r>
        <w:rPr>
          <w:rFonts w:hint="eastAsia" w:ascii="仿宋" w:hAnsi="仿宋" w:eastAsia="仿宋" w:cs="仿宋"/>
          <w:bCs w:val="0"/>
          <w:color w:val="000000" w:themeColor="text1"/>
          <w:sz w:val="36"/>
          <w14:textFill>
            <w14:solidFill>
              <w14:schemeClr w14:val="tx1"/>
            </w14:solidFill>
          </w14:textFill>
        </w:rPr>
        <w:t>政府采购合同（草案）</w:t>
      </w:r>
      <w:bookmarkEnd w:id="130"/>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签订地点：</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签订时间：</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采购人（甲方）：                              </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供应商（乙方）：</w:t>
      </w:r>
      <w:r>
        <w:rPr>
          <w:rFonts w:hint="eastAsia" w:ascii="仿宋" w:hAnsi="仿宋" w:eastAsia="仿宋" w:cs="仿宋"/>
          <w:color w:val="000000" w:themeColor="text1"/>
          <w14:textFill>
            <w14:solidFill>
              <w14:schemeClr w14:val="tx1"/>
            </w14:solidFill>
          </w14:textFill>
        </w:rPr>
        <w:t xml:space="preserve">                                      </w:t>
      </w:r>
    </w:p>
    <w:p>
      <w:pPr>
        <w:adjustRightInd w:val="0"/>
        <w:snapToGrid w:val="0"/>
        <w:spacing w:line="360" w:lineRule="auto"/>
        <w:rPr>
          <w:rFonts w:ascii="仿宋" w:hAnsi="仿宋" w:eastAsia="仿宋" w:cs="仿宋"/>
          <w:color w:val="000000" w:themeColor="text1"/>
          <w:sz w:val="24"/>
          <w14:textFill>
            <w14:solidFill>
              <w14:schemeClr w14:val="tx1"/>
            </w14:solidFill>
          </w14:textFill>
        </w:rPr>
      </w:pP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中华人民共和国政府采购法》、《中华人民共和国民法典》及本采购项目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1" w:name="_Toc217446107"/>
      <w:r>
        <w:rPr>
          <w:rFonts w:hint="eastAsia" w:ascii="仿宋" w:hAnsi="仿宋" w:eastAsia="仿宋" w:cs="仿宋"/>
          <w:color w:val="000000" w:themeColor="text1"/>
          <w:sz w:val="24"/>
          <w14:textFill>
            <w14:solidFill>
              <w14:schemeClr w14:val="tx1"/>
            </w14:solidFill>
          </w14:textFill>
        </w:rPr>
        <w:t>一、合同货物</w:t>
      </w:r>
      <w:bookmarkEnd w:id="131"/>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49"/>
        <w:gridCol w:w="966"/>
        <w:gridCol w:w="966"/>
        <w:gridCol w:w="717"/>
        <w:gridCol w:w="842"/>
        <w:gridCol w:w="936"/>
        <w:gridCol w:w="1088"/>
        <w:gridCol w:w="1159"/>
        <w:gridCol w:w="1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81"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货物品名</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材质</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规格</w:t>
            </w:r>
          </w:p>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型号</w:t>
            </w:r>
          </w:p>
        </w:tc>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数量</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120" w:firstLineChars="5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单价</w:t>
            </w:r>
          </w:p>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（元）</w:t>
            </w:r>
          </w:p>
        </w:tc>
        <w:tc>
          <w:tcPr>
            <w:tcW w:w="586"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总价</w:t>
            </w:r>
          </w:p>
          <w:p>
            <w:pPr>
              <w:adjustRightInd w:val="0"/>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（元）</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随机</w:t>
            </w:r>
          </w:p>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配件</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ind w:firstLine="120" w:firstLineChars="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7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78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p>
        </w:tc>
        <w:tc>
          <w:tcPr>
            <w:tcW w:w="5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5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49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5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c>
          <w:tcPr>
            <w:tcW w:w="624"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p>
        </w:tc>
      </w:tr>
    </w:tbl>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2" w:name="_Toc217446108"/>
      <w:r>
        <w:rPr>
          <w:rFonts w:hint="eastAsia" w:ascii="仿宋" w:hAnsi="仿宋" w:eastAsia="仿宋" w:cs="仿宋"/>
          <w:color w:val="000000" w:themeColor="text1"/>
          <w:sz w:val="24"/>
          <w14:textFill>
            <w14:solidFill>
              <w14:schemeClr w14:val="tx1"/>
            </w14:solidFill>
          </w14:textFill>
        </w:rPr>
        <w:t>二、合同总价</w:t>
      </w:r>
      <w:bookmarkEnd w:id="132"/>
    </w:p>
    <w:p>
      <w:pPr>
        <w:pStyle w:val="2"/>
        <w:adjustRightInd w:val="0"/>
        <w:snapToGrid w:val="0"/>
        <w:spacing w:line="360" w:lineRule="auto"/>
        <w:ind w:firstLineChars="175"/>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合同总价为人民币大写：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元，即RMB￥</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3" w:name="_Toc217446109"/>
      <w:r>
        <w:rPr>
          <w:rFonts w:hint="eastAsia" w:ascii="仿宋" w:hAnsi="仿宋" w:eastAsia="仿宋" w:cs="仿宋"/>
          <w:color w:val="000000" w:themeColor="text1"/>
          <w:sz w:val="24"/>
          <w14:textFill>
            <w14:solidFill>
              <w14:schemeClr w14:val="tx1"/>
            </w14:solidFill>
          </w14:textFill>
        </w:rPr>
        <w:t>三、质量要求</w:t>
      </w:r>
      <w:bookmarkEnd w:id="133"/>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1、乙方须提供全新的货物（含零部件、配件等），表面无划伤、无碰撞痕迹，且权属清楚，不得侵害他人的知识产权。</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2、货物必须符合或优于国家（行业）</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标准，以及本项目磋商文件的质量要求和技术指标与出厂标准。</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3、乙方须在本合同签订之日起</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4、货物制造质量出现问题，乙方应负责三包（包修、包换、包退），费用由乙方负担，甲方有权到乙方生产场地检查货物质量和生产进度。</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5、货到现场后由于甲方保管不当造成的质量问题，乙方亦应负责修理，但费用由甲方负担。</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4" w:name="_Toc217446110"/>
      <w:r>
        <w:rPr>
          <w:rFonts w:hint="eastAsia" w:ascii="仿宋" w:hAnsi="仿宋" w:eastAsia="仿宋" w:cs="仿宋"/>
          <w:color w:val="000000" w:themeColor="text1"/>
          <w:sz w:val="24"/>
          <w14:textFill>
            <w14:solidFill>
              <w14:schemeClr w14:val="tx1"/>
            </w14:solidFill>
          </w14:textFill>
        </w:rPr>
        <w:t>四、交货及验收</w:t>
      </w:r>
      <w:bookmarkEnd w:id="134"/>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1、乙方交货期限为合同签订生效后的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日内，在合同签订生效之日起</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天内交货到甲方指定地点，随即在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日内全部完成安装调试验收合格交付使用，并且最迟应在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月</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2、验收由甲方组织，乙方配合进行：</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货物在乙方通知安装调试完毕后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日内初步验收。初步验收合格后，进入</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试用期；试用期间发生重大质量问题，修复后试用相应顺延；试用期结束后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日内完成最终验收；</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验收标准：按国家有关规定以及甲方磋商文件的质量要求和技术指标、乙方的响应文件及承诺与本合同约定标准进行验收；甲乙双方如对质量要求和技术指标的约定标准有相互抵触或异议的事项，由甲方在磋商与响应文件中按质量要求和技术指标比较优胜的原则确定该项的约定标准进行验收；</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 如质量验收合格，双方签署质量验收报告。</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3、货物安装完成后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日内，甲方无故不进行验收工作并已使用货物的，视同已安装调试完成并验收合格。</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5、如货物经乙方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6、其他未尽事宜应严格按照《财政部关于进一步加强政府采购需求和履约验收管理的指导意见》（财库〔2016〕205号）的要求进行。</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5" w:name="_Toc217446111"/>
      <w:r>
        <w:rPr>
          <w:rFonts w:hint="eastAsia" w:ascii="仿宋" w:hAnsi="仿宋" w:eastAsia="仿宋" w:cs="仿宋"/>
          <w:color w:val="000000" w:themeColor="text1"/>
          <w:sz w:val="24"/>
          <w14:textFill>
            <w14:solidFill>
              <w14:schemeClr w14:val="tx1"/>
            </w14:solidFill>
          </w14:textFill>
        </w:rPr>
        <w:t>五、付款方式</w:t>
      </w:r>
      <w:bookmarkEnd w:id="135"/>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（一）适用于无预付款采购项目</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1、全部货物安装调试完毕并验收合格之日起，甲方接到乙方通知与票据凭证资料以后的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日内，按照财政性资金支付有关规定，向乙方支付合同价款￥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2、履约保证金退还：在货物验收合格满</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日内，递交结算凭证资料给银行并由其向乙方支付价款￥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 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元整；乙方履约不合格的，履约保证金不予退还。</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3、乙方须向甲方出具合法有效完整的完税发票及凭证资料进行支付结算。</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（二）适用于有预付款采购项目（预付款建议不超过政府采购合同金额的30%）</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1、甲方在本合同签订生效之日起接到乙方通知和票据凭证资料以及乙方交给甲方的合同履约保证金（按合同总价的百分之  计算款额￥</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日内支付合同金额百分之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的价款；</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2、全部货物安装调试完毕并验收合格之日起，甲方接到乙方通知与票据凭证资料以后的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日内，提交支付凭证资料给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财政国库支付执行机构办理财政国库支付手续，并由其向乙方核拨合同总价的百分之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款项：￥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3、履约保证金退还：在货物验收合格满</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日内，递交结算凭证资料给银行并由其向乙方支付价款￥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 人民币大写：</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元整；乙方履约不合格的，履约保证金不予退还。</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4、乙方须向甲方出具合法有效完整的完税发票及凭证资料进行支付结算。</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6" w:name="_Toc217446112"/>
      <w:r>
        <w:rPr>
          <w:rFonts w:hint="eastAsia" w:ascii="仿宋" w:hAnsi="仿宋" w:eastAsia="仿宋" w:cs="仿宋"/>
          <w:color w:val="000000" w:themeColor="text1"/>
          <w:sz w:val="24"/>
          <w14:textFill>
            <w14:solidFill>
              <w14:schemeClr w14:val="tx1"/>
            </w14:solidFill>
          </w14:textFill>
        </w:rPr>
        <w:t>六、售后服务</w:t>
      </w:r>
      <w:bookmarkEnd w:id="136"/>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1、质保期为验收合格后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年，质保期内出现质量问题，乙方在接到通知后</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小时内响应到场，</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小时内完成维修或更换，并承担修理调换的费用；如货物经乙方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2、乙方须指派专人负责与甲方联系售后服务事宜。 </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7" w:name="_Toc217446113"/>
      <w:r>
        <w:rPr>
          <w:rFonts w:hint="eastAsia" w:ascii="仿宋" w:hAnsi="仿宋" w:eastAsia="仿宋" w:cs="仿宋"/>
          <w:color w:val="000000" w:themeColor="text1"/>
          <w:sz w:val="24"/>
          <w14:textFill>
            <w14:solidFill>
              <w14:schemeClr w14:val="tx1"/>
            </w14:solidFill>
          </w14:textFill>
        </w:rPr>
        <w:t>七、违约责任</w:t>
      </w:r>
      <w:bookmarkEnd w:id="137"/>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1、甲方违约责任</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 甲方无正当理由拒收货物的，甲方应偿付合同总价百分之  的违约金；</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 甲方逾期支付货款的，除应及时付足货款外，应向乙方偿付欠款总额万分之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/天的违约金；逾期付款超过</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天的，乙方有权终止合同；</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 甲方偿付的违约金不足以弥补乙方损失的，还应按乙方损失尚未弥补的部分，支付赔偿金给乙方。</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2、乙方违约责任</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（1）乙方交付的货物质量不符合合同规定的，乙方应向甲方支付合同总价的百分之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的违约金，并须在合同规定的交货时间内更换合格的货物给甲方，否则，视作乙方不能交付货物而违约，按本条本款下述第“（2）”项规定由乙方偿付违约赔偿金给甲方。</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（2）乙方不能交付货物或逾期交付货物而违约的，除应及时交足货物外，应向甲方偿付逾期交货部分货款总额的万分之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/天的违约金；逾期交货超过</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天，甲方有权终止合同，乙方则应按合同总价的百分之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的款额向甲方偿付赔偿金，并须全额退还甲方已经付给乙方的货款及其利息。</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天内无条件更换合格的货物，如逾期不能更换合格的货物，甲方有权终止本合同，乙方应另付合同总价的百分之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的赔偿金给甲方。</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向甲方支付违约金并赔偿因此给甲方造成的一切损失。</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（5）乙方偿付的违约金不足以弥补甲方损失的，还应按甲方损失尚未弥补的部分，支付赔偿金给甲方。</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8" w:name="_Toc217446114"/>
      <w:r>
        <w:rPr>
          <w:rFonts w:hint="eastAsia" w:ascii="仿宋" w:hAnsi="仿宋" w:eastAsia="仿宋" w:cs="仿宋"/>
          <w:color w:val="000000" w:themeColor="text1"/>
          <w:sz w:val="24"/>
          <w14:textFill>
            <w14:solidFill>
              <w14:schemeClr w14:val="tx1"/>
            </w14:solidFill>
          </w14:textFill>
        </w:rPr>
        <w:t>八、争议解决办法</w:t>
      </w:r>
      <w:bookmarkEnd w:id="138"/>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2、合同履行期间,若双方发生争议，可协商或由有关部门调解解决，协商或调解不成的，由当事人依法维护其合法权益。</w:t>
      </w:r>
    </w:p>
    <w:p>
      <w:pPr>
        <w:pStyle w:val="6"/>
        <w:keepNext w:val="0"/>
        <w:keepLines w:val="0"/>
        <w:adjustRightInd w:val="0"/>
        <w:snapToGrid w:val="0"/>
        <w:spacing w:line="360" w:lineRule="auto"/>
        <w:ind w:firstLine="482" w:firstLineChars="200"/>
        <w:rPr>
          <w:rFonts w:ascii="仿宋" w:hAnsi="仿宋" w:eastAsia="仿宋" w:cs="仿宋"/>
          <w:color w:val="000000" w:themeColor="text1"/>
          <w:sz w:val="24"/>
          <w14:textFill>
            <w14:solidFill>
              <w14:schemeClr w14:val="tx1"/>
            </w14:solidFill>
          </w14:textFill>
        </w:rPr>
      </w:pPr>
      <w:bookmarkStart w:id="139" w:name="_Toc217446115"/>
      <w:r>
        <w:rPr>
          <w:rFonts w:hint="eastAsia" w:ascii="仿宋" w:hAnsi="仿宋" w:eastAsia="仿宋" w:cs="仿宋"/>
          <w:color w:val="000000" w:themeColor="text1"/>
          <w:sz w:val="24"/>
          <w14:textFill>
            <w14:solidFill>
              <w14:schemeClr w14:val="tx1"/>
            </w14:solidFill>
          </w14:textFill>
        </w:rPr>
        <w:t>九、其他</w:t>
      </w:r>
      <w:bookmarkEnd w:id="139"/>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1、如有未尽事宜，由双方依法订立补充合同。</w:t>
      </w:r>
    </w:p>
    <w:p>
      <w:pPr>
        <w:pStyle w:val="56"/>
        <w:adjustRightInd w:val="0"/>
        <w:snapToGrid w:val="0"/>
        <w:spacing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2、本合同一式六份，自双方签章之日起生效。甲方三份，乙方、政府采购管理部门、采购代理机构各一份。</w:t>
      </w:r>
    </w:p>
    <w:p>
      <w:pPr>
        <w:adjustRightInd w:val="0"/>
        <w:snapToGrid w:val="0"/>
        <w:spacing w:line="360" w:lineRule="auto"/>
        <w:rPr>
          <w:rFonts w:ascii="仿宋" w:hAnsi="仿宋" w:eastAsia="仿宋" w:cs="仿宋"/>
          <w:color w:val="000000" w:themeColor="text1"/>
          <w:sz w:val="24"/>
          <w14:textFill>
            <w14:solidFill>
              <w14:schemeClr w14:val="tx1"/>
            </w14:solidFill>
          </w14:textFill>
        </w:rPr>
      </w:pP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甲方：   （盖章）   </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乙方：   （盖章）</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法定代表人（授权代表）：               法定代表人（授权代表）：</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                             地    址：</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                             开户银行：</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账号：                                 账号：</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    话：                             电    话：</w:t>
      </w:r>
    </w:p>
    <w:p>
      <w:pPr>
        <w:adjustRightInd w:val="0"/>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                             传    真：</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签约日期：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日 </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 xml:space="preserve"> 签约日期：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日</w:t>
      </w:r>
      <w:bookmarkStart w:id="140" w:name="_Toc349810624"/>
      <w:bookmarkStart w:id="141" w:name="_Toc350864527"/>
    </w:p>
    <w:bookmarkEnd w:id="140"/>
    <w:bookmarkEnd w:id="141"/>
    <w:p>
      <w:pPr>
        <w:rPr>
          <w:color w:val="000000" w:themeColor="text1"/>
          <w14:textFill>
            <w14:solidFill>
              <w14:schemeClr w14:val="tx1"/>
            </w14:solidFill>
          </w14:textFill>
        </w:rPr>
      </w:pPr>
    </w:p>
    <w:p>
      <w:pPr>
        <w:widowControl/>
        <w:jc w:val="left"/>
        <w:rPr>
          <w:rFonts w:ascii="仿宋" w:hAnsi="仿宋" w:eastAsia="仿宋"/>
          <w:color w:val="000000" w:themeColor="text1"/>
          <w:sz w:val="24"/>
          <w14:textFill>
            <w14:solidFill>
              <w14:schemeClr w14:val="tx1"/>
            </w14:solidFill>
          </w14:textFill>
        </w:rPr>
        <w:sectPr>
          <w:headerReference r:id="rId4" w:type="first"/>
          <w:footerReference r:id="rId6" w:type="first"/>
          <w:headerReference r:id="rId3" w:type="default"/>
          <w:footerReference r:id="rId5" w:type="default"/>
          <w:pgSz w:w="11907" w:h="16840"/>
          <w:pgMar w:top="1440" w:right="1276" w:bottom="1440" w:left="1559" w:header="425" w:footer="992" w:gutter="0"/>
          <w:pgNumType w:fmt="decimal"/>
          <w:cols w:space="0" w:num="1"/>
          <w:titlePg/>
          <w:docGrid w:linePitch="326" w:charSpace="0"/>
        </w:sectPr>
      </w:pPr>
      <w:r>
        <w:rPr>
          <w:rFonts w:ascii="仿宋" w:hAnsi="仿宋" w:eastAsia="仿宋"/>
          <w:color w:val="000000" w:themeColor="text1"/>
          <w14:textFill>
            <w14:solidFill>
              <w14:schemeClr w14:val="tx1"/>
            </w14:solidFill>
          </w14:textFill>
        </w:rPr>
        <w:br w:type="page"/>
      </w:r>
    </w:p>
    <w:bookmarkEnd w:id="102"/>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附件一：川财采[2018]123号</w:t>
      </w:r>
    </w:p>
    <w:p>
      <w:pPr>
        <w:rPr>
          <w:rFonts w:ascii="仿宋" w:hAnsi="仿宋" w:eastAsia="仿宋"/>
          <w:color w:val="000000" w:themeColor="text1"/>
          <w14:textFill>
            <w14:solidFill>
              <w14:schemeClr w14:val="tx1"/>
            </w14:solidFill>
          </w14:textFill>
        </w:rPr>
        <w:sectPr>
          <w:headerReference r:id="rId7" w:type="first"/>
          <w:footerReference r:id="rId9" w:type="first"/>
          <w:footerReference r:id="rId8" w:type="default"/>
          <w:pgSz w:w="11907" w:h="16840"/>
          <w:pgMar w:top="1440" w:right="1474" w:bottom="1440" w:left="1474" w:header="425" w:footer="992" w:gutter="0"/>
          <w:pgNumType w:fmt="decimal"/>
          <w:cols w:space="0" w:num="1"/>
          <w:titlePg/>
          <w:docGrid w:linePitch="312" w:charSpace="0"/>
        </w:sectPr>
      </w:pPr>
      <w:r>
        <w:rPr>
          <w:rFonts w:ascii="仿宋" w:hAnsi="仿宋" w:eastAsia="仿宋"/>
          <w:color w:val="000000" w:themeColor="text1"/>
          <w14:textFill>
            <w14:solidFill>
              <w14:schemeClr w14:val="tx1"/>
            </w14:solidFill>
          </w14:textFill>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000000" w:themeColor="text1"/>
          <w:sz w:val="30"/>
          <w:szCs w:val="30"/>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widowControl/>
        <w:spacing w:line="360" w:lineRule="atLeast"/>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附件二：成财采[2019]17号</w:t>
      </w:r>
    </w:p>
    <w:p>
      <w:pPr>
        <w:rPr>
          <w:rStyle w:val="41"/>
          <w:rFonts w:asciiTheme="minorHAnsi" w:hAnsiTheme="minorHAnsi" w:eastAsiaTheme="minorEastAsia" w:cstheme="minorBidi"/>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8"/>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pStyle w:val="20"/>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jc w:val="left"/>
        <w:rPr>
          <w:rFonts w:ascii="仿宋" w:hAnsi="仿宋" w:eastAsia="仿宋"/>
          <w:color w:val="000000" w:themeColor="text1"/>
          <w14:textFill>
            <w14:solidFill>
              <w14:schemeClr w14:val="tx1"/>
            </w14:solidFill>
          </w14:textFill>
        </w:rPr>
      </w:pPr>
    </w:p>
    <w:sectPr>
      <w:footerReference r:id="rId11" w:type="first"/>
      <w:footerReference r:id="rId10" w:type="default"/>
      <w:pgSz w:w="11907" w:h="16840"/>
      <w:pgMar w:top="1440" w:right="1474" w:bottom="1440" w:left="1474" w:header="425" w:footer="992"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sdt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71</w:t>
                    </w:r>
                    <w:r>
                      <w:fldChar w:fldCharType="end"/>
                    </w:r>
                  </w:p>
                </w:txbxContent>
              </v:textbox>
            </v:shape>
          </w:pict>
        </mc:Fallback>
      </mc:AlternateContent>
    </w:r>
    <w:sdt>
      <w:sdtPr>
        <w:id w:val="-298072480"/>
      </w:sdt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72</w:t>
                    </w:r>
                    <w:r>
                      <w:fldChar w:fldCharType="end"/>
                    </w:r>
                  </w:p>
                </w:txbxContent>
              </v:textbox>
            </v:shape>
          </w:pict>
        </mc:Fallback>
      </mc:AlternateContent>
    </w:r>
    <w:sdt>
      <w:sdtPr>
        <w:id w:val="871419135"/>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p>
  <w:p>
    <w:pPr>
      <w:pStyle w:val="21"/>
      <w:pBdr>
        <w:bottom w:val="single" w:color="auto" w:sz="4" w:space="0"/>
      </w:pBdr>
      <w:tabs>
        <w:tab w:val="left" w:pos="403"/>
      </w:tabs>
      <w:spacing w:line="360" w:lineRule="auto"/>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p>
  <w:p>
    <w:pPr>
      <w:pStyle w:val="21"/>
      <w:pBdr>
        <w:bottom w:val="single" w:color="auto" w:sz="4" w:space="0"/>
      </w:pBdr>
      <w:spacing w:line="360" w:lineRule="auto"/>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p>
  <w:p>
    <w:pPr>
      <w:pBdr>
        <w:bottom w:val="single" w:color="auto" w:sz="6" w:space="9"/>
      </w:pBdr>
      <w:tabs>
        <w:tab w:val="center" w:pos="4153"/>
        <w:tab w:val="right" w:pos="8306"/>
      </w:tabs>
      <w:snapToGrid w:val="0"/>
      <w:jc w:val="left"/>
    </w:pPr>
    <w:r>
      <w:rPr>
        <w:rFonts w:asciiTheme="majorHAnsi" w:hAnsiTheme="majorHAnsi" w:eastAsiaTheme="majorEastAsia" w:cstheme="majorBidi"/>
        <w:kern w:val="0"/>
        <w:sz w:val="32"/>
        <w:szCs w:val="32"/>
      </w:rPr>
      <w:drawing>
        <wp:inline distT="0" distB="0" distL="0" distR="0">
          <wp:extent cx="769620" cy="40068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620" cy="400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C43A65"/>
    <w:multiLevelType w:val="singleLevel"/>
    <w:tmpl w:val="19C43A65"/>
    <w:lvl w:ilvl="0" w:tentative="0">
      <w:start w:val="2"/>
      <w:numFmt w:val="chineseCounting"/>
      <w:suff w:val="nothing"/>
      <w:lvlText w:val="%1、"/>
      <w:lvlJc w:val="left"/>
      <w:rPr>
        <w:rFonts w:hint="eastAsia"/>
      </w:rPr>
    </w:lvl>
  </w:abstractNum>
  <w:abstractNum w:abstractNumId="1">
    <w:nsid w:val="490CFF24"/>
    <w:multiLevelType w:val="singleLevel"/>
    <w:tmpl w:val="490CFF24"/>
    <w:lvl w:ilvl="0" w:tentative="0">
      <w:start w:val="7"/>
      <w:numFmt w:val="chineseCounting"/>
      <w:suff w:val="nothing"/>
      <w:lvlText w:val="%1、"/>
      <w:lvlJc w:val="left"/>
      <w:rPr>
        <w:rFonts w:hint="eastAsia"/>
      </w:rPr>
    </w:lvl>
  </w:abstractNum>
  <w:abstractNum w:abstractNumId="2">
    <w:nsid w:val="587D89C6"/>
    <w:multiLevelType w:val="singleLevel"/>
    <w:tmpl w:val="587D89C6"/>
    <w:lvl w:ilvl="0" w:tentative="0">
      <w:start w:val="1"/>
      <w:numFmt w:val="decimal"/>
      <w:suff w:val="nothing"/>
      <w:lvlText w:val="%1、"/>
      <w:lvlJc w:val="left"/>
    </w:lvl>
  </w:abstractNum>
  <w:abstractNum w:abstractNumId="3">
    <w:nsid w:val="59C07086"/>
    <w:multiLevelType w:val="singleLevel"/>
    <w:tmpl w:val="59C07086"/>
    <w:lvl w:ilvl="0" w:tentative="0">
      <w:start w:val="1"/>
      <w:numFmt w:val="decimal"/>
      <w:suff w:val="nothing"/>
      <w:lvlText w:val="%1、"/>
      <w:lvlJc w:val="left"/>
    </w:lvl>
  </w:abstractNum>
  <w:abstractNum w:abstractNumId="4">
    <w:nsid w:val="69108085"/>
    <w:multiLevelType w:val="singleLevel"/>
    <w:tmpl w:val="69108085"/>
    <w:lvl w:ilvl="0" w:tentative="0">
      <w:start w:val="5"/>
      <w:numFmt w:val="decimal"/>
      <w:lvlText w:val="%1."/>
      <w:lvlJc w:val="left"/>
      <w:pPr>
        <w:tabs>
          <w:tab w:val="left" w:pos="312"/>
        </w:tabs>
      </w:pPr>
    </w:lvl>
  </w:abstractNum>
  <w:num w:numId="1">
    <w:abstractNumId w:val="1"/>
  </w:num>
  <w:num w:numId="2">
    <w:abstractNumId w:val="0"/>
  </w:num>
  <w:num w:numId="3">
    <w:abstractNumId w:val="4"/>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模板">
    <w15:presenceInfo w15:providerId="None" w15:userId="模板"/>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440"/>
    <w:rsid w:val="00042771"/>
    <w:rsid w:val="00045D6D"/>
    <w:rsid w:val="00047C44"/>
    <w:rsid w:val="00051A4C"/>
    <w:rsid w:val="00051AE7"/>
    <w:rsid w:val="00063229"/>
    <w:rsid w:val="00076F73"/>
    <w:rsid w:val="000771C9"/>
    <w:rsid w:val="000841FB"/>
    <w:rsid w:val="00085618"/>
    <w:rsid w:val="0009026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08D3"/>
    <w:rsid w:val="001E153C"/>
    <w:rsid w:val="001E3951"/>
    <w:rsid w:val="001F11D9"/>
    <w:rsid w:val="001F2444"/>
    <w:rsid w:val="001F50A2"/>
    <w:rsid w:val="001F5865"/>
    <w:rsid w:val="002019AA"/>
    <w:rsid w:val="0020506E"/>
    <w:rsid w:val="002103A1"/>
    <w:rsid w:val="00211967"/>
    <w:rsid w:val="002227AF"/>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6023D"/>
    <w:rsid w:val="00360E7D"/>
    <w:rsid w:val="00364CD9"/>
    <w:rsid w:val="00365A61"/>
    <w:rsid w:val="00366415"/>
    <w:rsid w:val="0037656C"/>
    <w:rsid w:val="00380DE6"/>
    <w:rsid w:val="0039128B"/>
    <w:rsid w:val="00392B8F"/>
    <w:rsid w:val="003A2B3E"/>
    <w:rsid w:val="003B4840"/>
    <w:rsid w:val="003B5F8D"/>
    <w:rsid w:val="003C11FC"/>
    <w:rsid w:val="003C2CE4"/>
    <w:rsid w:val="003C46EC"/>
    <w:rsid w:val="003D228C"/>
    <w:rsid w:val="003D3FD1"/>
    <w:rsid w:val="003F2556"/>
    <w:rsid w:val="0040095C"/>
    <w:rsid w:val="00400BCF"/>
    <w:rsid w:val="00404839"/>
    <w:rsid w:val="004061B6"/>
    <w:rsid w:val="0041309E"/>
    <w:rsid w:val="00413C01"/>
    <w:rsid w:val="00414245"/>
    <w:rsid w:val="00415B17"/>
    <w:rsid w:val="00415B9A"/>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01229"/>
    <w:rsid w:val="00507A86"/>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D5F2E"/>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D70E2"/>
    <w:rsid w:val="006E3522"/>
    <w:rsid w:val="006E51C7"/>
    <w:rsid w:val="006E5BCA"/>
    <w:rsid w:val="006E6D02"/>
    <w:rsid w:val="006E7E45"/>
    <w:rsid w:val="006F70F8"/>
    <w:rsid w:val="00701BF2"/>
    <w:rsid w:val="00702355"/>
    <w:rsid w:val="007166B4"/>
    <w:rsid w:val="007213C7"/>
    <w:rsid w:val="00730D86"/>
    <w:rsid w:val="00731C4A"/>
    <w:rsid w:val="00735FAD"/>
    <w:rsid w:val="007366B1"/>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00ED"/>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3FE3"/>
    <w:rsid w:val="00825FAC"/>
    <w:rsid w:val="0083070F"/>
    <w:rsid w:val="008307DA"/>
    <w:rsid w:val="008357E7"/>
    <w:rsid w:val="008364B3"/>
    <w:rsid w:val="00842320"/>
    <w:rsid w:val="00842C6A"/>
    <w:rsid w:val="00844FBE"/>
    <w:rsid w:val="0084647B"/>
    <w:rsid w:val="008523A0"/>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59B4"/>
    <w:rsid w:val="009467E8"/>
    <w:rsid w:val="00946A45"/>
    <w:rsid w:val="009474C6"/>
    <w:rsid w:val="00965CCF"/>
    <w:rsid w:val="00966CFD"/>
    <w:rsid w:val="0097716E"/>
    <w:rsid w:val="009803D0"/>
    <w:rsid w:val="00980A95"/>
    <w:rsid w:val="00982F11"/>
    <w:rsid w:val="00987329"/>
    <w:rsid w:val="00993204"/>
    <w:rsid w:val="00993C92"/>
    <w:rsid w:val="0099694D"/>
    <w:rsid w:val="00997531"/>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246EE"/>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4086"/>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D36B5"/>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288B"/>
    <w:rsid w:val="00CF4AB7"/>
    <w:rsid w:val="00CF5EB3"/>
    <w:rsid w:val="00D00F83"/>
    <w:rsid w:val="00D03E12"/>
    <w:rsid w:val="00D03FE7"/>
    <w:rsid w:val="00D10617"/>
    <w:rsid w:val="00D14E6F"/>
    <w:rsid w:val="00D15A43"/>
    <w:rsid w:val="00D23343"/>
    <w:rsid w:val="00D23DA9"/>
    <w:rsid w:val="00D24B29"/>
    <w:rsid w:val="00D2500F"/>
    <w:rsid w:val="00D26901"/>
    <w:rsid w:val="00D272DF"/>
    <w:rsid w:val="00D3011E"/>
    <w:rsid w:val="00D37063"/>
    <w:rsid w:val="00D51BF2"/>
    <w:rsid w:val="00D52443"/>
    <w:rsid w:val="00D56921"/>
    <w:rsid w:val="00D6617F"/>
    <w:rsid w:val="00D735F8"/>
    <w:rsid w:val="00D74B0A"/>
    <w:rsid w:val="00D77B84"/>
    <w:rsid w:val="00D84369"/>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1D37E3C"/>
    <w:rsid w:val="02091687"/>
    <w:rsid w:val="0447488B"/>
    <w:rsid w:val="049B5035"/>
    <w:rsid w:val="049C1341"/>
    <w:rsid w:val="05015D85"/>
    <w:rsid w:val="0726365C"/>
    <w:rsid w:val="08260891"/>
    <w:rsid w:val="093F7DF8"/>
    <w:rsid w:val="095837D1"/>
    <w:rsid w:val="0C06083B"/>
    <w:rsid w:val="0C3B1F34"/>
    <w:rsid w:val="0E4E4508"/>
    <w:rsid w:val="0E624571"/>
    <w:rsid w:val="0ED20410"/>
    <w:rsid w:val="0F6953E0"/>
    <w:rsid w:val="106506B0"/>
    <w:rsid w:val="125750FC"/>
    <w:rsid w:val="13DF4653"/>
    <w:rsid w:val="168F7E84"/>
    <w:rsid w:val="18A0709F"/>
    <w:rsid w:val="191D3CB0"/>
    <w:rsid w:val="19ED00A4"/>
    <w:rsid w:val="19F83A81"/>
    <w:rsid w:val="1A84202C"/>
    <w:rsid w:val="1BAF0824"/>
    <w:rsid w:val="1BC05B5E"/>
    <w:rsid w:val="1C921CC0"/>
    <w:rsid w:val="1CD35043"/>
    <w:rsid w:val="1D9D4893"/>
    <w:rsid w:val="1FC03C5A"/>
    <w:rsid w:val="1FC33D00"/>
    <w:rsid w:val="1FD51579"/>
    <w:rsid w:val="200846A0"/>
    <w:rsid w:val="202B4DBE"/>
    <w:rsid w:val="21153713"/>
    <w:rsid w:val="21A6640C"/>
    <w:rsid w:val="22286C0E"/>
    <w:rsid w:val="22F96DEE"/>
    <w:rsid w:val="23591277"/>
    <w:rsid w:val="23E5206A"/>
    <w:rsid w:val="24671F22"/>
    <w:rsid w:val="26222B16"/>
    <w:rsid w:val="27C4080F"/>
    <w:rsid w:val="288652F0"/>
    <w:rsid w:val="29560BF0"/>
    <w:rsid w:val="2A8C2756"/>
    <w:rsid w:val="2B193DD1"/>
    <w:rsid w:val="2B51259E"/>
    <w:rsid w:val="2B672D15"/>
    <w:rsid w:val="2C144117"/>
    <w:rsid w:val="2C783060"/>
    <w:rsid w:val="2D6128FB"/>
    <w:rsid w:val="2D935D9A"/>
    <w:rsid w:val="2E804718"/>
    <w:rsid w:val="2FF84291"/>
    <w:rsid w:val="32560280"/>
    <w:rsid w:val="326C67DD"/>
    <w:rsid w:val="32881C74"/>
    <w:rsid w:val="334E0780"/>
    <w:rsid w:val="366E6E0B"/>
    <w:rsid w:val="37AF2097"/>
    <w:rsid w:val="38684D3C"/>
    <w:rsid w:val="3F072749"/>
    <w:rsid w:val="40AC1DEA"/>
    <w:rsid w:val="426A6CB0"/>
    <w:rsid w:val="43275185"/>
    <w:rsid w:val="45FA51A7"/>
    <w:rsid w:val="460377A8"/>
    <w:rsid w:val="488E7A2D"/>
    <w:rsid w:val="489B12AF"/>
    <w:rsid w:val="49D77651"/>
    <w:rsid w:val="4AA92CAC"/>
    <w:rsid w:val="4CFB4376"/>
    <w:rsid w:val="4E712735"/>
    <w:rsid w:val="4FC94D9D"/>
    <w:rsid w:val="4FF824C6"/>
    <w:rsid w:val="51972EBD"/>
    <w:rsid w:val="5463295C"/>
    <w:rsid w:val="558F3576"/>
    <w:rsid w:val="55DE29F2"/>
    <w:rsid w:val="5A2803BB"/>
    <w:rsid w:val="5C230AA3"/>
    <w:rsid w:val="5CA06525"/>
    <w:rsid w:val="5F191A5B"/>
    <w:rsid w:val="5F646604"/>
    <w:rsid w:val="60E6364D"/>
    <w:rsid w:val="633A721C"/>
    <w:rsid w:val="63C569F2"/>
    <w:rsid w:val="65747675"/>
    <w:rsid w:val="660E5E1C"/>
    <w:rsid w:val="66CE78DC"/>
    <w:rsid w:val="67D45749"/>
    <w:rsid w:val="681D48E0"/>
    <w:rsid w:val="69C0524F"/>
    <w:rsid w:val="6B496C86"/>
    <w:rsid w:val="6C2D0C1E"/>
    <w:rsid w:val="6D142F3E"/>
    <w:rsid w:val="6D532901"/>
    <w:rsid w:val="6ED412F9"/>
    <w:rsid w:val="6F87409D"/>
    <w:rsid w:val="6F9B3CC3"/>
    <w:rsid w:val="6F9D27A8"/>
    <w:rsid w:val="706D12CD"/>
    <w:rsid w:val="70750F2C"/>
    <w:rsid w:val="741F04CE"/>
    <w:rsid w:val="755E1BBB"/>
    <w:rsid w:val="764323AE"/>
    <w:rsid w:val="769F157D"/>
    <w:rsid w:val="76FC5E98"/>
    <w:rsid w:val="78C106B3"/>
    <w:rsid w:val="79D30701"/>
    <w:rsid w:val="7A2568D5"/>
    <w:rsid w:val="7A567F6D"/>
    <w:rsid w:val="7C71581C"/>
    <w:rsid w:val="7CD61AEE"/>
    <w:rsid w:val="7CEA5E8A"/>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44"/>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5"/>
    <w:qFormat/>
    <w:uiPriority w:val="0"/>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9"/>
    <w:pPr>
      <w:keepNext/>
      <w:keepLines/>
      <w:spacing w:before="280" w:after="290" w:line="372" w:lineRule="auto"/>
      <w:outlineLvl w:val="3"/>
    </w:pPr>
    <w:rPr>
      <w:rFonts w:ascii="Arial" w:hAnsi="Arial" w:eastAsia="黑体"/>
      <w:b/>
      <w:sz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9"/>
    <w:qFormat/>
    <w:uiPriority w:val="0"/>
    <w:pPr>
      <w:ind w:firstLine="420" w:firstLineChars="200"/>
    </w:pPr>
  </w:style>
  <w:style w:type="paragraph" w:customStyle="1" w:styleId="5">
    <w:name w:val="Normal Indent1"/>
    <w:basedOn w:val="1"/>
    <w:qFormat/>
    <w:uiPriority w:val="0"/>
    <w:pPr>
      <w:ind w:firstLine="420" w:firstLineChars="200"/>
    </w:pPr>
  </w:style>
  <w:style w:type="paragraph" w:styleId="8">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9">
    <w:name w:val="Document Map"/>
    <w:basedOn w:val="1"/>
    <w:link w:val="71"/>
    <w:qFormat/>
    <w:uiPriority w:val="0"/>
    <w:rPr>
      <w:rFonts w:ascii="宋体"/>
      <w:sz w:val="18"/>
      <w:szCs w:val="18"/>
    </w:rPr>
  </w:style>
  <w:style w:type="paragraph" w:styleId="10">
    <w:name w:val="annotation text"/>
    <w:basedOn w:val="1"/>
    <w:link w:val="62"/>
    <w:qFormat/>
    <w:uiPriority w:val="0"/>
    <w:pPr>
      <w:jc w:val="left"/>
    </w:pPr>
    <w:rPr>
      <w:rFonts w:asciiTheme="minorHAnsi" w:hAnsiTheme="minorHAnsi" w:eastAsiaTheme="minorEastAsia" w:cstheme="minorBidi"/>
      <w:sz w:val="18"/>
      <w:szCs w:val="22"/>
    </w:rPr>
  </w:style>
  <w:style w:type="paragraph" w:styleId="11">
    <w:name w:val="Body Text 3"/>
    <w:basedOn w:val="1"/>
    <w:qFormat/>
    <w:uiPriority w:val="0"/>
    <w:pPr>
      <w:spacing w:after="120"/>
    </w:pPr>
    <w:rPr>
      <w:rFonts w:ascii="Calibri" w:hAnsi="Calibri"/>
      <w:sz w:val="16"/>
      <w:szCs w:val="16"/>
    </w:rPr>
  </w:style>
  <w:style w:type="paragraph" w:styleId="12">
    <w:name w:val="Body Text"/>
    <w:basedOn w:val="1"/>
    <w:next w:val="1"/>
    <w:link w:val="72"/>
    <w:qFormat/>
    <w:uiPriority w:val="0"/>
    <w:pPr>
      <w:spacing w:after="120"/>
    </w:pPr>
  </w:style>
  <w:style w:type="paragraph" w:styleId="13">
    <w:name w:val="Body Text Indent"/>
    <w:basedOn w:val="1"/>
    <w:link w:val="49"/>
    <w:qFormat/>
    <w:uiPriority w:val="0"/>
    <w:pPr>
      <w:ind w:firstLine="630"/>
    </w:pPr>
    <w:rPr>
      <w:sz w:val="32"/>
      <w:szCs w:val="20"/>
    </w:rPr>
  </w:style>
  <w:style w:type="paragraph" w:styleId="14">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5">
    <w:name w:val="toc 3"/>
    <w:basedOn w:val="1"/>
    <w:next w:val="1"/>
    <w:unhideWhenUsed/>
    <w:qFormat/>
    <w:uiPriority w:val="39"/>
    <w:pPr>
      <w:ind w:left="840" w:leftChars="400"/>
    </w:pPr>
  </w:style>
  <w:style w:type="paragraph" w:styleId="16">
    <w:name w:val="Plain Text"/>
    <w:basedOn w:val="1"/>
    <w:link w:val="64"/>
    <w:qFormat/>
    <w:uiPriority w:val="0"/>
    <w:pPr>
      <w:autoSpaceDE w:val="0"/>
      <w:autoSpaceDN w:val="0"/>
      <w:adjustRightInd w:val="0"/>
    </w:pPr>
    <w:rPr>
      <w:rFonts w:ascii="宋体" w:hAnsi="Tms Rmn" w:cstheme="minorBidi"/>
      <w:szCs w:val="22"/>
    </w:rPr>
  </w:style>
  <w:style w:type="paragraph" w:styleId="17">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8">
    <w:name w:val="Body Text Indent 2"/>
    <w:basedOn w:val="1"/>
    <w:link w:val="52"/>
    <w:qFormat/>
    <w:uiPriority w:val="0"/>
    <w:pPr>
      <w:spacing w:after="120" w:line="480" w:lineRule="auto"/>
      <w:ind w:left="420" w:leftChars="200"/>
    </w:pPr>
  </w:style>
  <w:style w:type="paragraph" w:styleId="19">
    <w:name w:val="Balloon Text"/>
    <w:basedOn w:val="1"/>
    <w:link w:val="58"/>
    <w:qFormat/>
    <w:uiPriority w:val="0"/>
    <w:rPr>
      <w:sz w:val="18"/>
      <w:szCs w:val="18"/>
    </w:rPr>
  </w:style>
  <w:style w:type="paragraph" w:styleId="20">
    <w:name w:val="footer"/>
    <w:basedOn w:val="1"/>
    <w:link w:val="47"/>
    <w:unhideWhenUsed/>
    <w:qFormat/>
    <w:uiPriority w:val="99"/>
    <w:pPr>
      <w:tabs>
        <w:tab w:val="center" w:pos="4153"/>
        <w:tab w:val="right" w:pos="8306"/>
      </w:tabs>
      <w:snapToGrid w:val="0"/>
      <w:jc w:val="left"/>
    </w:pPr>
    <w:rPr>
      <w:sz w:val="18"/>
      <w:szCs w:val="18"/>
    </w:rPr>
  </w:style>
  <w:style w:type="paragraph" w:styleId="21">
    <w:name w:val="header"/>
    <w:basedOn w:val="1"/>
    <w:link w:val="46"/>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spacing w:line="360" w:lineRule="auto"/>
    </w:pPr>
    <w:rPr>
      <w:rFonts w:eastAsia="微软雅黑"/>
      <w:sz w:val="24"/>
    </w:rPr>
  </w:style>
  <w:style w:type="paragraph" w:styleId="23">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4">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5">
    <w:name w:val="Body Text Indent 3"/>
    <w:basedOn w:val="1"/>
    <w:link w:val="53"/>
    <w:qFormat/>
    <w:uiPriority w:val="0"/>
    <w:pPr>
      <w:spacing w:after="120"/>
      <w:ind w:left="420" w:leftChars="200"/>
    </w:pPr>
    <w:rPr>
      <w:sz w:val="16"/>
      <w:szCs w:val="16"/>
    </w:rPr>
  </w:style>
  <w:style w:type="paragraph" w:styleId="26">
    <w:name w:val="toc 2"/>
    <w:basedOn w:val="1"/>
    <w:next w:val="1"/>
    <w:unhideWhenUsed/>
    <w:qFormat/>
    <w:uiPriority w:val="39"/>
    <w:pPr>
      <w:ind w:left="420" w:leftChars="200"/>
    </w:pPr>
  </w:style>
  <w:style w:type="paragraph" w:styleId="27">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9">
    <w:name w:val="Title"/>
    <w:basedOn w:val="1"/>
    <w:next w:val="1"/>
    <w:link w:val="75"/>
    <w:qFormat/>
    <w:uiPriority w:val="10"/>
    <w:pPr>
      <w:spacing w:before="240" w:after="60"/>
      <w:jc w:val="center"/>
      <w:outlineLvl w:val="0"/>
    </w:pPr>
    <w:rPr>
      <w:rFonts w:asciiTheme="majorHAnsi" w:hAnsiTheme="majorHAnsi" w:cstheme="majorBidi"/>
      <w:b/>
      <w:bCs/>
      <w:sz w:val="32"/>
      <w:szCs w:val="32"/>
    </w:rPr>
  </w:style>
  <w:style w:type="paragraph" w:styleId="30">
    <w:name w:val="annotation subject"/>
    <w:basedOn w:val="10"/>
    <w:next w:val="10"/>
    <w:link w:val="69"/>
    <w:qFormat/>
    <w:uiPriority w:val="0"/>
    <w:rPr>
      <w:b/>
      <w:bCs/>
      <w:sz w:val="21"/>
      <w:szCs w:val="24"/>
    </w:rPr>
  </w:style>
  <w:style w:type="paragraph" w:styleId="31">
    <w:name w:val="Body Text First Indent"/>
    <w:basedOn w:val="12"/>
    <w:qFormat/>
    <w:uiPriority w:val="0"/>
    <w:pPr>
      <w:ind w:firstLine="420" w:firstLineChars="10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22"/>
    <w:rPr>
      <w:b/>
      <w:bCs/>
    </w:rPr>
  </w:style>
  <w:style w:type="character" w:styleId="36">
    <w:name w:val="page number"/>
    <w:basedOn w:val="34"/>
    <w:qFormat/>
    <w:uiPriority w:val="0"/>
  </w:style>
  <w:style w:type="character" w:styleId="37">
    <w:name w:val="FollowedHyperlink"/>
    <w:basedOn w:val="34"/>
    <w:semiHidden/>
    <w:unhideWhenUsed/>
    <w:qFormat/>
    <w:uiPriority w:val="99"/>
    <w:rPr>
      <w:color w:val="3177FD"/>
      <w:u w:val="none"/>
    </w:rPr>
  </w:style>
  <w:style w:type="character" w:styleId="38">
    <w:name w:val="HTML Definition"/>
    <w:basedOn w:val="34"/>
    <w:semiHidden/>
    <w:unhideWhenUsed/>
    <w:qFormat/>
    <w:uiPriority w:val="99"/>
    <w:rPr>
      <w:i/>
      <w:iCs/>
    </w:rPr>
  </w:style>
  <w:style w:type="character" w:styleId="39">
    <w:name w:val="Hyperlink"/>
    <w:qFormat/>
    <w:uiPriority w:val="99"/>
    <w:rPr>
      <w:color w:val="0000FF"/>
      <w:u w:val="single"/>
    </w:rPr>
  </w:style>
  <w:style w:type="character" w:styleId="40">
    <w:name w:val="HTML Code"/>
    <w:basedOn w:val="34"/>
    <w:semiHidden/>
    <w:unhideWhenUsed/>
    <w:qFormat/>
    <w:uiPriority w:val="99"/>
    <w:rPr>
      <w:rFonts w:ascii="Consolas" w:hAnsi="Consolas" w:eastAsia="Consolas" w:cs="Consolas"/>
      <w:sz w:val="21"/>
      <w:szCs w:val="21"/>
    </w:rPr>
  </w:style>
  <w:style w:type="character" w:styleId="41">
    <w:name w:val="annotation reference"/>
    <w:basedOn w:val="34"/>
    <w:qFormat/>
    <w:uiPriority w:val="99"/>
    <w:rPr>
      <w:sz w:val="21"/>
      <w:szCs w:val="21"/>
    </w:rPr>
  </w:style>
  <w:style w:type="character" w:styleId="42">
    <w:name w:val="HTML Keyboard"/>
    <w:basedOn w:val="34"/>
    <w:semiHidden/>
    <w:unhideWhenUsed/>
    <w:qFormat/>
    <w:uiPriority w:val="99"/>
    <w:rPr>
      <w:rFonts w:hint="default" w:ascii="Consolas" w:hAnsi="Consolas" w:eastAsia="Consolas" w:cs="Consolas"/>
      <w:sz w:val="21"/>
      <w:szCs w:val="21"/>
    </w:rPr>
  </w:style>
  <w:style w:type="character" w:styleId="43">
    <w:name w:val="HTML Sample"/>
    <w:basedOn w:val="34"/>
    <w:semiHidden/>
    <w:unhideWhenUsed/>
    <w:qFormat/>
    <w:uiPriority w:val="99"/>
    <w:rPr>
      <w:rFonts w:hint="default" w:ascii="Consolas" w:hAnsi="Consolas" w:eastAsia="Consolas" w:cs="Consolas"/>
      <w:sz w:val="21"/>
      <w:szCs w:val="21"/>
    </w:rPr>
  </w:style>
  <w:style w:type="character" w:customStyle="1" w:styleId="44">
    <w:name w:val="标题 2 Char"/>
    <w:basedOn w:val="34"/>
    <w:link w:val="4"/>
    <w:qFormat/>
    <w:uiPriority w:val="0"/>
    <w:rPr>
      <w:rFonts w:ascii="Arial" w:hAnsi="Arial" w:eastAsia="黑体" w:cs="Times New Roman"/>
      <w:b/>
      <w:bCs/>
      <w:sz w:val="32"/>
      <w:szCs w:val="32"/>
    </w:rPr>
  </w:style>
  <w:style w:type="character" w:customStyle="1" w:styleId="45">
    <w:name w:val="标题 3 Char"/>
    <w:basedOn w:val="34"/>
    <w:link w:val="6"/>
    <w:qFormat/>
    <w:uiPriority w:val="0"/>
    <w:rPr>
      <w:rFonts w:ascii="Times New Roman" w:hAnsi="Times New Roman" w:eastAsia="宋体" w:cs="Times New Roman"/>
      <w:b/>
      <w:bCs/>
      <w:sz w:val="32"/>
      <w:szCs w:val="32"/>
    </w:rPr>
  </w:style>
  <w:style w:type="character" w:customStyle="1" w:styleId="46">
    <w:name w:val="页眉 Char"/>
    <w:basedOn w:val="34"/>
    <w:link w:val="21"/>
    <w:qFormat/>
    <w:uiPriority w:val="0"/>
    <w:rPr>
      <w:sz w:val="18"/>
      <w:szCs w:val="18"/>
    </w:rPr>
  </w:style>
  <w:style w:type="character" w:customStyle="1" w:styleId="47">
    <w:name w:val="页脚 Char"/>
    <w:basedOn w:val="34"/>
    <w:link w:val="20"/>
    <w:qFormat/>
    <w:uiPriority w:val="99"/>
    <w:rPr>
      <w:sz w:val="18"/>
      <w:szCs w:val="18"/>
    </w:rPr>
  </w:style>
  <w:style w:type="character" w:customStyle="1" w:styleId="48">
    <w:name w:val="标题 1 Char"/>
    <w:basedOn w:val="34"/>
    <w:link w:val="3"/>
    <w:qFormat/>
    <w:uiPriority w:val="0"/>
    <w:rPr>
      <w:rFonts w:ascii="Times New Roman" w:hAnsi="Times New Roman" w:eastAsia="宋体" w:cs="Times New Roman"/>
      <w:b/>
      <w:bCs/>
      <w:kern w:val="44"/>
      <w:sz w:val="44"/>
      <w:szCs w:val="44"/>
    </w:rPr>
  </w:style>
  <w:style w:type="character" w:customStyle="1" w:styleId="49">
    <w:name w:val="正文文本缩进 Char"/>
    <w:basedOn w:val="34"/>
    <w:link w:val="13"/>
    <w:qFormat/>
    <w:uiPriority w:val="0"/>
    <w:rPr>
      <w:rFonts w:ascii="Times New Roman" w:hAnsi="Times New Roman" w:eastAsia="宋体" w:cs="Times New Roman"/>
      <w:sz w:val="32"/>
      <w:szCs w:val="20"/>
    </w:rPr>
  </w:style>
  <w:style w:type="paragraph" w:customStyle="1" w:styleId="50">
    <w:name w:val="正文首行缩进两字符"/>
    <w:basedOn w:val="1"/>
    <w:qFormat/>
    <w:uiPriority w:val="0"/>
    <w:pPr>
      <w:spacing w:line="360" w:lineRule="auto"/>
      <w:ind w:firstLine="200" w:firstLineChars="200"/>
    </w:pPr>
  </w:style>
  <w:style w:type="paragraph" w:customStyle="1" w:styleId="5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2">
    <w:name w:val="正文文本缩进 2 Char"/>
    <w:basedOn w:val="34"/>
    <w:link w:val="18"/>
    <w:qFormat/>
    <w:uiPriority w:val="0"/>
    <w:rPr>
      <w:rFonts w:ascii="Times New Roman" w:hAnsi="Times New Roman" w:eastAsia="宋体" w:cs="Times New Roman"/>
      <w:szCs w:val="24"/>
    </w:rPr>
  </w:style>
  <w:style w:type="character" w:customStyle="1" w:styleId="53">
    <w:name w:val="正文文本缩进 3 Char"/>
    <w:basedOn w:val="34"/>
    <w:link w:val="25"/>
    <w:qFormat/>
    <w:uiPriority w:val="0"/>
    <w:rPr>
      <w:rFonts w:ascii="Times New Roman" w:hAnsi="Times New Roman" w:eastAsia="宋体" w:cs="Times New Roman"/>
      <w:sz w:val="16"/>
      <w:szCs w:val="16"/>
    </w:rPr>
  </w:style>
  <w:style w:type="paragraph" w:customStyle="1" w:styleId="5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5">
    <w:name w:val="表格"/>
    <w:basedOn w:val="1"/>
    <w:qFormat/>
    <w:uiPriority w:val="0"/>
    <w:pPr>
      <w:spacing w:line="400" w:lineRule="exact"/>
    </w:pPr>
    <w:rPr>
      <w:sz w:val="24"/>
    </w:rPr>
  </w:style>
  <w:style w:type="paragraph" w:customStyle="1" w:styleId="56">
    <w:name w:val="样式 首行缩进:  2 字符"/>
    <w:basedOn w:val="1"/>
    <w:qFormat/>
    <w:uiPriority w:val="0"/>
    <w:pPr>
      <w:spacing w:line="400" w:lineRule="exact"/>
      <w:ind w:firstLine="200" w:firstLineChars="200"/>
    </w:pPr>
    <w:rPr>
      <w:rFonts w:cs="宋体"/>
      <w:sz w:val="24"/>
    </w:rPr>
  </w:style>
  <w:style w:type="character" w:customStyle="1" w:styleId="57">
    <w:name w:val="（符号）邀请函中一、"/>
    <w:basedOn w:val="34"/>
    <w:qFormat/>
    <w:uiPriority w:val="0"/>
    <w:rPr>
      <w:rFonts w:ascii="黑体" w:hAnsi="黑体" w:eastAsia="黑体"/>
      <w:b/>
      <w:bCs/>
      <w:sz w:val="24"/>
    </w:rPr>
  </w:style>
  <w:style w:type="character" w:customStyle="1" w:styleId="58">
    <w:name w:val="批注框文本 Char"/>
    <w:basedOn w:val="34"/>
    <w:link w:val="19"/>
    <w:qFormat/>
    <w:uiPriority w:val="0"/>
    <w:rPr>
      <w:rFonts w:ascii="Times New Roman" w:hAnsi="Times New Roman" w:eastAsia="宋体" w:cs="Times New Roman"/>
      <w:sz w:val="18"/>
      <w:szCs w:val="18"/>
    </w:rPr>
  </w:style>
  <w:style w:type="character" w:customStyle="1" w:styleId="59">
    <w:name w:val="正文缩进 Char"/>
    <w:link w:val="2"/>
    <w:qFormat/>
    <w:uiPriority w:val="0"/>
    <w:rPr>
      <w:rFonts w:ascii="Times New Roman" w:hAnsi="Times New Roman" w:eastAsia="宋体" w:cs="Times New Roman"/>
      <w:szCs w:val="24"/>
    </w:rPr>
  </w:style>
  <w:style w:type="character" w:customStyle="1" w:styleId="60">
    <w:name w:val="Char Char9"/>
    <w:qFormat/>
    <w:uiPriority w:val="0"/>
    <w:rPr>
      <w:kern w:val="2"/>
      <w:sz w:val="21"/>
    </w:rPr>
  </w:style>
  <w:style w:type="character" w:customStyle="1" w:styleId="61">
    <w:name w:val="批注文字 Char"/>
    <w:qFormat/>
    <w:uiPriority w:val="0"/>
    <w:rPr>
      <w:sz w:val="18"/>
    </w:rPr>
  </w:style>
  <w:style w:type="character" w:customStyle="1" w:styleId="62">
    <w:name w:val="批注文字 Char1"/>
    <w:basedOn w:val="34"/>
    <w:link w:val="10"/>
    <w:qFormat/>
    <w:uiPriority w:val="0"/>
    <w:rPr>
      <w:rFonts w:ascii="Times New Roman" w:hAnsi="Times New Roman" w:eastAsia="宋体" w:cs="Times New Roman"/>
      <w:szCs w:val="24"/>
    </w:rPr>
  </w:style>
  <w:style w:type="character" w:customStyle="1" w:styleId="63">
    <w:name w:val="纯文本 Char"/>
    <w:unhideWhenUsed/>
    <w:qFormat/>
    <w:uiPriority w:val="0"/>
    <w:rPr>
      <w:rFonts w:ascii="宋体" w:hAnsi="Tms Rmn" w:eastAsia="宋体"/>
    </w:rPr>
  </w:style>
  <w:style w:type="character" w:customStyle="1" w:styleId="64">
    <w:name w:val="纯文本 Char1"/>
    <w:basedOn w:val="34"/>
    <w:link w:val="16"/>
    <w:qFormat/>
    <w:uiPriority w:val="99"/>
    <w:rPr>
      <w:rFonts w:ascii="宋体" w:hAnsi="Courier New" w:eastAsia="宋体" w:cs="Courier New"/>
      <w:szCs w:val="21"/>
    </w:rPr>
  </w:style>
  <w:style w:type="paragraph" w:customStyle="1" w:styleId="65">
    <w:name w:val="GW-正文"/>
    <w:basedOn w:val="1"/>
    <w:link w:val="66"/>
    <w:qFormat/>
    <w:uiPriority w:val="0"/>
    <w:pPr>
      <w:spacing w:line="360" w:lineRule="auto"/>
      <w:ind w:firstLine="200" w:firstLineChars="200"/>
    </w:pPr>
    <w:rPr>
      <w:rFonts w:eastAsia="仿宋_GB2312"/>
      <w:sz w:val="24"/>
    </w:rPr>
  </w:style>
  <w:style w:type="character" w:customStyle="1" w:styleId="66">
    <w:name w:val="GW-正文 Char"/>
    <w:link w:val="65"/>
    <w:qFormat/>
    <w:uiPriority w:val="0"/>
    <w:rPr>
      <w:rFonts w:ascii="Times New Roman" w:hAnsi="Times New Roman" w:eastAsia="仿宋_GB2312" w:cs="Times New Roman"/>
      <w:sz w:val="24"/>
      <w:szCs w:val="24"/>
    </w:rPr>
  </w:style>
  <w:style w:type="paragraph" w:styleId="67">
    <w:name w:val="List Paragraph"/>
    <w:basedOn w:val="1"/>
    <w:link w:val="68"/>
    <w:qFormat/>
    <w:uiPriority w:val="0"/>
    <w:pPr>
      <w:ind w:firstLine="420" w:firstLineChars="200"/>
    </w:pPr>
  </w:style>
  <w:style w:type="character" w:customStyle="1" w:styleId="68">
    <w:name w:val="列出段落 Char"/>
    <w:link w:val="67"/>
    <w:qFormat/>
    <w:uiPriority w:val="0"/>
    <w:rPr>
      <w:rFonts w:ascii="Times New Roman" w:hAnsi="Times New Roman" w:eastAsia="宋体" w:cs="Times New Roman"/>
      <w:szCs w:val="24"/>
    </w:rPr>
  </w:style>
  <w:style w:type="character" w:customStyle="1" w:styleId="69">
    <w:name w:val="批注主题 Char"/>
    <w:basedOn w:val="62"/>
    <w:link w:val="30"/>
    <w:qFormat/>
    <w:uiPriority w:val="0"/>
    <w:rPr>
      <w:rFonts w:ascii="Times New Roman" w:hAnsi="Times New Roman" w:eastAsia="宋体" w:cs="Times New Roman"/>
      <w:b/>
      <w:bCs/>
      <w:szCs w:val="24"/>
    </w:rPr>
  </w:style>
  <w:style w:type="paragraph" w:customStyle="1" w:styleId="70">
    <w:name w:val="Char Char Char Char Char Char Char Char Char Char Char Char Char Char1 Char Char Char Char"/>
    <w:basedOn w:val="1"/>
    <w:qFormat/>
    <w:uiPriority w:val="0"/>
    <w:rPr>
      <w:szCs w:val="21"/>
    </w:rPr>
  </w:style>
  <w:style w:type="character" w:customStyle="1" w:styleId="71">
    <w:name w:val="文档结构图 Char"/>
    <w:basedOn w:val="34"/>
    <w:link w:val="9"/>
    <w:qFormat/>
    <w:uiPriority w:val="0"/>
    <w:rPr>
      <w:rFonts w:ascii="宋体" w:hAnsi="Times New Roman" w:eastAsia="宋体" w:cs="Times New Roman"/>
      <w:sz w:val="18"/>
      <w:szCs w:val="18"/>
    </w:rPr>
  </w:style>
  <w:style w:type="character" w:customStyle="1" w:styleId="72">
    <w:name w:val="正文文本 Char"/>
    <w:basedOn w:val="34"/>
    <w:link w:val="12"/>
    <w:qFormat/>
    <w:uiPriority w:val="0"/>
    <w:rPr>
      <w:rFonts w:ascii="Times New Roman" w:hAnsi="Times New Roman" w:eastAsia="宋体" w:cs="Times New Roman"/>
      <w:szCs w:val="24"/>
    </w:rPr>
  </w:style>
  <w:style w:type="paragraph" w:customStyle="1" w:styleId="73">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4">
    <w:name w:val="font31"/>
    <w:basedOn w:val="34"/>
    <w:qFormat/>
    <w:uiPriority w:val="0"/>
    <w:rPr>
      <w:rFonts w:hint="eastAsia" w:ascii="宋体" w:hAnsi="宋体" w:eastAsia="宋体" w:cs="宋体"/>
      <w:color w:val="000000"/>
      <w:sz w:val="21"/>
      <w:szCs w:val="21"/>
      <w:u w:val="none"/>
    </w:rPr>
  </w:style>
  <w:style w:type="character" w:customStyle="1" w:styleId="75">
    <w:name w:val="标题 Char"/>
    <w:basedOn w:val="34"/>
    <w:link w:val="29"/>
    <w:qFormat/>
    <w:uiPriority w:val="10"/>
    <w:rPr>
      <w:rFonts w:eastAsia="宋体" w:asciiTheme="majorHAnsi" w:hAnsiTheme="majorHAnsi" w:cstheme="majorBidi"/>
      <w:b/>
      <w:bCs/>
      <w:kern w:val="2"/>
      <w:sz w:val="32"/>
      <w:szCs w:val="32"/>
    </w:rPr>
  </w:style>
  <w:style w:type="character" w:customStyle="1" w:styleId="76">
    <w:name w:val="font91"/>
    <w:qFormat/>
    <w:uiPriority w:val="0"/>
    <w:rPr>
      <w:rFonts w:hint="eastAsia" w:ascii="宋体" w:hAnsi="宋体" w:eastAsia="宋体" w:cs="宋体"/>
      <w:color w:val="FF0000"/>
      <w:sz w:val="21"/>
      <w:szCs w:val="21"/>
      <w:u w:val="single"/>
    </w:rPr>
  </w:style>
  <w:style w:type="paragraph" w:customStyle="1" w:styleId="7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8">
    <w:name w:val="Default"/>
    <w:basedOn w:val="29"/>
    <w:next w:val="3"/>
    <w:qFormat/>
    <w:uiPriority w:val="0"/>
    <w:pPr>
      <w:autoSpaceDE w:val="0"/>
      <w:autoSpaceDN w:val="0"/>
      <w:adjustRightInd w:val="0"/>
    </w:pPr>
    <w:rPr>
      <w:rFonts w:ascii="宋体" w:hAnsi="Times New Roman" w:cs="宋体"/>
      <w:color w:val="000000"/>
      <w:sz w:val="24"/>
      <w:szCs w:val="24"/>
    </w:rPr>
  </w:style>
  <w:style w:type="character" w:customStyle="1" w:styleId="79">
    <w:name w:val="ant-radio+*"/>
    <w:basedOn w:val="34"/>
    <w:qFormat/>
    <w:uiPriority w:val="0"/>
  </w:style>
  <w:style w:type="character" w:customStyle="1" w:styleId="80">
    <w:name w:val="first-child"/>
    <w:basedOn w:val="34"/>
    <w:qFormat/>
    <w:uiPriority w:val="0"/>
  </w:style>
  <w:style w:type="character" w:customStyle="1" w:styleId="81">
    <w:name w:val="nc-lang-cnt"/>
    <w:basedOn w:val="34"/>
    <w:qFormat/>
    <w:uiPriority w:val="0"/>
  </w:style>
  <w:style w:type="character" w:customStyle="1" w:styleId="82">
    <w:name w:val="nc-lang-cnt1"/>
    <w:basedOn w:val="34"/>
    <w:qFormat/>
    <w:uiPriority w:val="0"/>
  </w:style>
  <w:style w:type="character" w:customStyle="1" w:styleId="83">
    <w:name w:val="nc-lang-cnt2"/>
    <w:basedOn w:val="34"/>
    <w:qFormat/>
    <w:uiPriority w:val="0"/>
  </w:style>
  <w:style w:type="character" w:customStyle="1" w:styleId="84">
    <w:name w:val="nc-lang-cnt3"/>
    <w:basedOn w:val="34"/>
    <w:qFormat/>
    <w:uiPriority w:val="0"/>
    <w:rPr>
      <w:rFonts w:hint="cs"/>
      <w:rtl/>
    </w:rPr>
  </w:style>
  <w:style w:type="character" w:customStyle="1" w:styleId="85">
    <w:name w:val="nc-lang-cnt4"/>
    <w:basedOn w:val="34"/>
    <w:qFormat/>
    <w:uiPriority w:val="0"/>
    <w:rPr>
      <w:rFonts w:hint="cs"/>
      <w:rtl/>
    </w:rPr>
  </w:style>
  <w:style w:type="character" w:customStyle="1" w:styleId="86">
    <w:name w:val="nc-lang-cnt5"/>
    <w:basedOn w:val="34"/>
    <w:qFormat/>
    <w:uiPriority w:val="0"/>
    <w:rPr>
      <w:rFonts w:hint="cs"/>
      <w:rtl/>
    </w:rPr>
  </w:style>
  <w:style w:type="character" w:customStyle="1" w:styleId="87">
    <w:name w:val="nc-lang-cnt6"/>
    <w:basedOn w:val="34"/>
    <w:qFormat/>
    <w:uiPriority w:val="0"/>
    <w:rPr>
      <w:rFonts w:hint="cs"/>
      <w:rtl/>
    </w:rPr>
  </w:style>
  <w:style w:type="character" w:customStyle="1" w:styleId="88">
    <w:name w:val="ant-input28"/>
    <w:basedOn w:val="34"/>
    <w:qFormat/>
    <w:uiPriority w:val="0"/>
  </w:style>
  <w:style w:type="character" w:customStyle="1" w:styleId="89">
    <w:name w:val="last-child1"/>
    <w:basedOn w:val="34"/>
    <w:qFormat/>
    <w:uiPriority w:val="0"/>
  </w:style>
  <w:style w:type="character" w:customStyle="1" w:styleId="90">
    <w:name w:val="ant-select-tree-switcher"/>
    <w:basedOn w:val="34"/>
    <w:qFormat/>
    <w:uiPriority w:val="0"/>
  </w:style>
  <w:style w:type="character" w:customStyle="1" w:styleId="91">
    <w:name w:val="ant-select-tree-iconele"/>
    <w:basedOn w:val="34"/>
    <w:qFormat/>
    <w:uiPriority w:val="0"/>
  </w:style>
  <w:style w:type="character" w:customStyle="1" w:styleId="92">
    <w:name w:val="ant-select-tree-checkbox2"/>
    <w:basedOn w:val="34"/>
    <w:qFormat/>
    <w:uiPriority w:val="0"/>
  </w:style>
  <w:style w:type="paragraph" w:customStyle="1" w:styleId="93">
    <w:name w:val="_Style 92"/>
    <w:basedOn w:val="1"/>
    <w:next w:val="1"/>
    <w:qFormat/>
    <w:uiPriority w:val="0"/>
    <w:pPr>
      <w:pBdr>
        <w:bottom w:val="single" w:color="auto" w:sz="6" w:space="1"/>
      </w:pBdr>
      <w:jc w:val="center"/>
    </w:pPr>
    <w:rPr>
      <w:rFonts w:ascii="Arial" w:eastAsia="宋体"/>
      <w:vanish/>
      <w:sz w:val="16"/>
    </w:rPr>
  </w:style>
  <w:style w:type="paragraph" w:customStyle="1" w:styleId="94">
    <w:name w:val="_Style 93"/>
    <w:basedOn w:val="1"/>
    <w:next w:val="1"/>
    <w:qFormat/>
    <w:uiPriority w:val="0"/>
    <w:pPr>
      <w:pBdr>
        <w:top w:val="single" w:color="auto" w:sz="6" w:space="1"/>
      </w:pBdr>
      <w:jc w:val="center"/>
    </w:pPr>
    <w:rPr>
      <w:rFonts w:ascii="Arial" w:eastAsia="宋体"/>
      <w:vanish/>
      <w:sz w:val="16"/>
    </w:rPr>
  </w:style>
  <w:style w:type="character" w:customStyle="1" w:styleId="95">
    <w:name w:val="ant-form-item-children1"/>
    <w:basedOn w:val="34"/>
    <w:qFormat/>
    <w:uiPriority w:val="0"/>
  </w:style>
  <w:style w:type="character" w:customStyle="1" w:styleId="96">
    <w:name w:val="ant-select-tree-checkbox"/>
    <w:basedOn w:val="34"/>
    <w:qFormat/>
    <w:uiPriority w:val="0"/>
  </w:style>
  <w:style w:type="character" w:customStyle="1" w:styleId="97">
    <w:name w:val="ant-radio+*1"/>
    <w:basedOn w:val="3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E35034-77DB-42FB-80F9-E6C79E8E0FC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6675</Words>
  <Characters>38050</Characters>
  <Lines>317</Lines>
  <Paragraphs>89</Paragraphs>
  <TotalTime>6</TotalTime>
  <ScaleCrop>false</ScaleCrop>
  <LinksUpToDate>false</LinksUpToDate>
  <CharactersWithSpaces>44636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2021-11-07T08:42:00Z</dcterms:created>
  <dc:creator>刘春阳</dc:creator>
  <cp:lastModifiedBy>97627</cp:lastModifiedBy>
  <dcterms:modified xsi:type="dcterms:W3CDTF">2021-11-24T06:24:50Z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5CF9F3BEAB884ECAB9C1794878D769B0</vt:lpwstr>
  </property>
</Properties>
</file>