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color w:val="auto"/>
          <w:highlight w:val="none"/>
        </w:rPr>
      </w:pPr>
      <w:bookmarkStart w:id="0" w:name="_Toc26056"/>
      <w:r>
        <w:rPr>
          <w:rFonts w:hint="eastAsia"/>
          <w:color w:val="auto"/>
          <w:highlight w:val="none"/>
        </w:rPr>
        <w:t>项目技术、服务及其他要求</w:t>
      </w:r>
      <w:bookmarkEnd w:id="0"/>
    </w:p>
    <w:p>
      <w:pPr>
        <w:pStyle w:val="4"/>
        <w:rPr>
          <w:color w:val="auto"/>
          <w:sz w:val="24"/>
          <w:szCs w:val="24"/>
          <w:highlight w:val="none"/>
        </w:rPr>
      </w:pPr>
      <w:bookmarkStart w:id="1" w:name="_Toc16752"/>
      <w:bookmarkStart w:id="2" w:name="_Toc23195"/>
      <w:r>
        <w:rPr>
          <w:rFonts w:hint="eastAsia"/>
          <w:color w:val="auto"/>
          <w:sz w:val="24"/>
          <w:szCs w:val="24"/>
          <w:highlight w:val="none"/>
          <w:lang w:val="en-US" w:eastAsia="zh-CN"/>
        </w:rPr>
        <w:t>项目概况</w:t>
      </w:r>
      <w:bookmarkEnd w:id="1"/>
    </w:p>
    <w:p>
      <w:pPr>
        <w:keepNext w:val="0"/>
        <w:keepLines w:val="0"/>
        <w:pageBreakBefore w:val="0"/>
        <w:kinsoku/>
        <w:wordWrap/>
        <w:overflowPunct/>
        <w:topLinePunct w:val="0"/>
        <w:bidi w:val="0"/>
        <w:adjustRightInd/>
        <w:snapToGrid/>
        <w:spacing w:after="0"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color w:val="000000"/>
          <w:sz w:val="24"/>
          <w:szCs w:val="24"/>
          <w:lang w:val="en-US" w:eastAsia="zh-CN"/>
        </w:rPr>
        <w:t>为认真贯彻落实中央政法委、省委政法委、市委政法委关于推进市域社会治理现代化试点工作要求和《武侯区推进市域社会治理现代化试点工作方案》（平安武侯组[2020]2号）以及街道党工委安排部署，加强辖区社会治安综合治理，深入推进市域社会治理现代化试点工作各项任务在街道落地落实，助力平安武侯、平安成都建设</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lang w:val="en-US" w:eastAsia="zh-CN"/>
        </w:rPr>
        <w:t>本项目拟通过竞争性磋商确定一名供应商实施辖区社会治安协助管理相关</w:t>
      </w:r>
      <w:r>
        <w:rPr>
          <w:rFonts w:hint="eastAsia" w:ascii="宋体" w:hAnsi="宋体" w:cs="宋体"/>
          <w:color w:val="000000"/>
          <w:sz w:val="24"/>
          <w:szCs w:val="24"/>
          <w:lang w:val="en-US" w:eastAsia="zh-CN"/>
        </w:rPr>
        <w:t>工作</w:t>
      </w:r>
      <w:r>
        <w:rPr>
          <w:rFonts w:hint="eastAsia" w:ascii="宋体" w:hAnsi="宋体" w:eastAsia="宋体" w:cs="宋体"/>
          <w:color w:val="000000"/>
          <w:sz w:val="24"/>
          <w:szCs w:val="24"/>
          <w:lang w:val="en-US" w:eastAsia="zh-CN"/>
        </w:rPr>
        <w:t>。</w:t>
      </w:r>
    </w:p>
    <w:bookmarkEnd w:id="2"/>
    <w:p>
      <w:pPr>
        <w:pStyle w:val="4"/>
        <w:rPr>
          <w:color w:val="auto"/>
          <w:sz w:val="24"/>
          <w:szCs w:val="24"/>
          <w:highlight w:val="none"/>
        </w:rPr>
      </w:pPr>
      <w:bookmarkStart w:id="3" w:name="_Toc27462"/>
      <w:bookmarkStart w:id="4" w:name="_Toc26098"/>
      <w:r>
        <w:rPr>
          <w:rFonts w:hint="eastAsia"/>
          <w:color w:val="auto"/>
          <w:sz w:val="24"/>
          <w:szCs w:val="24"/>
          <w:highlight w:val="none"/>
          <w:lang w:val="en-US" w:eastAsia="zh-CN"/>
        </w:rPr>
        <w:t>总体要求</w:t>
      </w:r>
      <w:bookmarkEnd w:id="3"/>
    </w:p>
    <w:p>
      <w:pPr>
        <w:pStyle w:val="5"/>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指导思想</w:t>
      </w:r>
    </w:p>
    <w:p>
      <w:pPr>
        <w:keepNext w:val="0"/>
        <w:keepLines w:val="0"/>
        <w:pageBreakBefore w:val="0"/>
        <w:widowControl w:val="0"/>
        <w:tabs>
          <w:tab w:val="left" w:pos="8460"/>
        </w:tabs>
        <w:kinsoku/>
        <w:wordWrap/>
        <w:overflowPunct/>
        <w:topLinePunct w:val="0"/>
        <w:autoSpaceDE/>
        <w:autoSpaceDN/>
        <w:bidi w:val="0"/>
        <w:adjustRightInd/>
        <w:snapToGrid/>
        <w:spacing w:line="360" w:lineRule="auto"/>
        <w:ind w:firstLine="456" w:firstLineChars="200"/>
        <w:jc w:val="left"/>
        <w:textAlignment w:val="auto"/>
        <w:outlineLvl w:val="9"/>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以中央、省委、市委城市工作会议精神为指导，紧扣成都建设高品质美丽宜居公园城市示范区目标，深入推进市域社会治理现代化试点工作各项任务，为做好市域社会治理现代化试点并结合城市治安管理工作相关要求，加快推进治安秩序保障服务市场化，确保辖区平安和谐稳定。</w:t>
      </w:r>
    </w:p>
    <w:p>
      <w:pPr>
        <w:pStyle w:val="5"/>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工作目标</w:t>
      </w:r>
    </w:p>
    <w:p>
      <w:pPr>
        <w:keepNext w:val="0"/>
        <w:keepLines w:val="0"/>
        <w:pageBreakBefore w:val="0"/>
        <w:widowControl w:val="0"/>
        <w:tabs>
          <w:tab w:val="left" w:pos="8460"/>
        </w:tabs>
        <w:kinsoku/>
        <w:wordWrap/>
        <w:overflowPunct/>
        <w:topLinePunct w:val="0"/>
        <w:autoSpaceDE/>
        <w:autoSpaceDN/>
        <w:bidi w:val="0"/>
        <w:adjustRightInd/>
        <w:snapToGrid/>
        <w:spacing w:line="360" w:lineRule="auto"/>
        <w:ind w:firstLine="456" w:firstLineChars="200"/>
        <w:jc w:val="left"/>
        <w:textAlignment w:val="auto"/>
        <w:outlineLvl w:val="9"/>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火车南站街道辖区范围内开展社会治安协助管理物业化服务一体化工作，由一家专业化服务企业统一实施管理，探索治安协管物业化服务一体化路线。</w:t>
      </w:r>
    </w:p>
    <w:p>
      <w:pPr>
        <w:pStyle w:val="4"/>
        <w:rPr>
          <w:color w:val="auto"/>
          <w:sz w:val="24"/>
          <w:szCs w:val="24"/>
          <w:highlight w:val="none"/>
        </w:rPr>
      </w:pPr>
      <w:bookmarkStart w:id="5" w:name="_Toc29116"/>
      <w:r>
        <w:rPr>
          <w:rFonts w:hint="eastAsia"/>
          <w:color w:val="auto"/>
          <w:sz w:val="24"/>
          <w:szCs w:val="24"/>
          <w:highlight w:val="none"/>
          <w:lang w:val="en-US" w:eastAsia="zh-CN"/>
        </w:rPr>
        <w:t>服务范围及内容</w:t>
      </w:r>
      <w:bookmarkEnd w:id="5"/>
    </w:p>
    <w:p>
      <w:pPr>
        <w:keepNext w:val="0"/>
        <w:keepLines w:val="0"/>
        <w:pageBreakBefore w:val="0"/>
        <w:kinsoku/>
        <w:wordWrap/>
        <w:overflowPunct/>
        <w:topLinePunct w:val="0"/>
        <w:bidi w:val="0"/>
        <w:adjustRightInd/>
        <w:snapToGrid/>
        <w:spacing w:after="0" w:line="360" w:lineRule="auto"/>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以火车南站街道片区为区域，边界东临府河锦江段，南至成绵铁路，西接新光路，北至二环路，面积约4.23平方公里。</w:t>
      </w:r>
    </w:p>
    <w:p>
      <w:pPr>
        <w:pStyle w:val="5"/>
        <w:numPr>
          <w:ilvl w:val="2"/>
          <w:numId w:val="0"/>
        </w:numPr>
        <w:bidi w:val="0"/>
        <w:ind w:firstLine="480" w:firstLineChars="200"/>
        <w:rPr>
          <w:rFonts w:hint="eastAsia" w:ascii="宋体" w:hAnsi="宋体" w:eastAsia="宋体" w:cs="宋体"/>
          <w:b w:val="0"/>
          <w:bCs w:val="0"/>
          <w:color w:val="000000"/>
          <w:kern w:val="0"/>
          <w:sz w:val="24"/>
          <w:szCs w:val="24"/>
          <w:lang w:val="en-US" w:eastAsia="zh-CN" w:bidi="ar-SA"/>
        </w:rPr>
      </w:pPr>
      <w:r>
        <w:rPr>
          <w:rFonts w:hint="eastAsia" w:ascii="宋体" w:hAnsi="宋体" w:eastAsia="宋体" w:cs="宋体"/>
          <w:b w:val="0"/>
          <w:bCs w:val="0"/>
          <w:color w:val="000000"/>
          <w:kern w:val="0"/>
          <w:sz w:val="24"/>
          <w:szCs w:val="24"/>
          <w:lang w:val="en-US" w:eastAsia="zh-CN" w:bidi="ar-SA"/>
        </w:rPr>
        <w:t>服务内容包括市维护街面治安秩序，为人民群众安居乐业创造良好的社会治安环境。包括公共复杂场所、特种行业、危险物品、消防监督、道路交通的协助检查管理。预防、发现和控制盗、抢、黄、赌、毒等违法犯罪活动。辅助公安机关查处治安案件、治安事故，处置治安事件查处治安案件、治安事故。帮助群众排危解难，发现并及时上报各类突发事件。</w:t>
      </w:r>
    </w:p>
    <w:p>
      <w:pPr>
        <w:keepNext w:val="0"/>
        <w:keepLines w:val="0"/>
        <w:pageBreakBefore w:val="0"/>
        <w:kinsoku/>
        <w:wordWrap/>
        <w:overflowPunct/>
        <w:topLinePunct w:val="0"/>
        <w:bidi w:val="0"/>
        <w:adjustRightInd/>
        <w:snapToGrid/>
        <w:spacing w:after="0" w:line="360" w:lineRule="auto"/>
        <w:ind w:firstLine="480" w:firstLineChars="200"/>
        <w:textAlignment w:val="auto"/>
        <w:rPr>
          <w:rFonts w:hint="eastAsia" w:ascii="宋体" w:hAnsi="宋体" w:eastAsia="宋体" w:cs="宋体"/>
          <w:color w:val="000000"/>
          <w:sz w:val="24"/>
          <w:szCs w:val="24"/>
          <w:lang w:val="en-US" w:eastAsia="zh-CN"/>
        </w:rPr>
      </w:pPr>
    </w:p>
    <w:p>
      <w:pPr>
        <w:pStyle w:val="4"/>
        <w:rPr>
          <w:color w:val="auto"/>
          <w:sz w:val="24"/>
          <w:szCs w:val="24"/>
          <w:highlight w:val="none"/>
        </w:rPr>
      </w:pPr>
      <w:bookmarkStart w:id="6" w:name="_Toc3590"/>
      <w:r>
        <w:rPr>
          <w:rFonts w:hint="eastAsia"/>
          <w:color w:val="auto"/>
          <w:sz w:val="24"/>
          <w:szCs w:val="24"/>
          <w:highlight w:val="none"/>
          <w:lang w:val="en-US" w:eastAsia="zh-CN"/>
        </w:rPr>
        <w:t>工作要求</w:t>
      </w:r>
      <w:bookmarkEnd w:id="6"/>
    </w:p>
    <w:p>
      <w:pPr>
        <w:pStyle w:val="5"/>
        <w:bidi w:val="0"/>
        <w:rPr>
          <w:rFonts w:hint="eastAsia" w:cs="Times New Roman"/>
          <w:b w:val="0"/>
          <w:bCs w:val="0"/>
          <w:lang w:val="en-US" w:eastAsia="zh-CN"/>
        </w:rPr>
      </w:pPr>
      <w:r>
        <w:rPr>
          <w:rFonts w:hint="eastAsia" w:cs="Times New Roman"/>
          <w:b w:val="0"/>
          <w:bCs w:val="0"/>
          <w:lang w:val="en-US" w:eastAsia="zh-CN"/>
        </w:rPr>
        <w:t>按要求招聘工作人员，签订劳动合同，并按时支付其工资、福利，依法购买劳动法律法规固定的各类保险。</w:t>
      </w:r>
    </w:p>
    <w:p>
      <w:pPr>
        <w:pStyle w:val="5"/>
        <w:bidi w:val="0"/>
        <w:rPr>
          <w:rFonts w:hint="eastAsia" w:cs="Times New Roman"/>
          <w:b w:val="0"/>
          <w:bCs w:val="0"/>
          <w:lang w:val="en-US" w:eastAsia="zh-CN"/>
        </w:rPr>
      </w:pPr>
      <w:r>
        <w:rPr>
          <w:rFonts w:hint="eastAsia" w:cs="Times New Roman"/>
          <w:b w:val="0"/>
          <w:bCs w:val="0"/>
          <w:lang w:val="en-US" w:eastAsia="zh-CN"/>
        </w:rPr>
        <w:t>定期对工作人员进行思想政治、法律知识、业务技能、行风行纪等培训，切实提高职业道德水平、业务素质和责任意识。</w:t>
      </w:r>
    </w:p>
    <w:p>
      <w:pPr>
        <w:pStyle w:val="5"/>
        <w:bidi w:val="0"/>
        <w:rPr>
          <w:rFonts w:hint="eastAsia" w:cs="Times New Roman"/>
          <w:b w:val="0"/>
          <w:bCs w:val="0"/>
          <w:lang w:val="en-US" w:eastAsia="zh-CN"/>
        </w:rPr>
      </w:pPr>
      <w:r>
        <w:rPr>
          <w:rFonts w:hint="eastAsia" w:cs="Times New Roman"/>
          <w:b w:val="0"/>
          <w:bCs w:val="0"/>
          <w:lang w:val="en-US" w:eastAsia="zh-CN"/>
        </w:rPr>
        <w:t>负责服务队伍建设，统一工装，设立监督电话，接受市民的投诉、举报，积极开展各类便民利民活动，维护好形象。</w:t>
      </w:r>
    </w:p>
    <w:p>
      <w:pPr>
        <w:pStyle w:val="5"/>
        <w:bidi w:val="0"/>
        <w:rPr>
          <w:rFonts w:hint="eastAsia" w:cs="Times New Roman"/>
          <w:b w:val="0"/>
          <w:bCs w:val="0"/>
          <w:lang w:val="en-US" w:eastAsia="zh-CN"/>
        </w:rPr>
      </w:pPr>
      <w:r>
        <w:rPr>
          <w:rFonts w:hint="eastAsia" w:cs="Times New Roman"/>
          <w:b w:val="0"/>
          <w:bCs w:val="0"/>
          <w:lang w:val="en-US" w:eastAsia="zh-CN"/>
        </w:rPr>
        <w:t>按照合同约定时限，对工作人员服务质量和工作成效进行监督检查，制定行之有效的绩效管理体系及薪酬分配体系，通过“奖勤罚懒、赏优罚劣”充分调动服务人员的主动性，提升服务水平和能力。</w:t>
      </w:r>
    </w:p>
    <w:p>
      <w:pPr>
        <w:pStyle w:val="5"/>
        <w:bidi w:val="0"/>
        <w:rPr>
          <w:b/>
          <w:bCs/>
        </w:rPr>
      </w:pPr>
      <w:r>
        <w:rPr>
          <w:rFonts w:hint="eastAsia" w:cs="Times New Roman"/>
          <w:b w:val="0"/>
          <w:bCs w:val="0"/>
          <w:lang w:val="en-US" w:eastAsia="zh-CN"/>
        </w:rPr>
        <w:t>按照合同约定方式，负责服务区域治安协管服务事项服务，接受上级部门的监督检查。</w:t>
      </w:r>
    </w:p>
    <w:p>
      <w:pPr>
        <w:pStyle w:val="4"/>
        <w:rPr>
          <w:color w:val="auto"/>
          <w:sz w:val="24"/>
          <w:szCs w:val="24"/>
          <w:highlight w:val="none"/>
        </w:rPr>
      </w:pPr>
      <w:bookmarkStart w:id="7" w:name="_Toc6358"/>
      <w:r>
        <w:rPr>
          <w:rFonts w:hint="eastAsia"/>
          <w:color w:val="auto"/>
          <w:sz w:val="24"/>
          <w:szCs w:val="24"/>
          <w:highlight w:val="none"/>
          <w:lang w:val="en-US" w:eastAsia="zh-CN"/>
        </w:rPr>
        <w:t>管理标准</w:t>
      </w:r>
      <w:bookmarkEnd w:id="7"/>
    </w:p>
    <w:p>
      <w:pPr>
        <w:spacing w:line="570" w:lineRule="exact"/>
        <w:ind w:firstLine="456" w:firstLineChars="200"/>
        <w:rPr>
          <w:rFonts w:hint="eastAsia" w:ascii="宋体" w:hAnsi="宋体" w:eastAsia="宋体" w:cs="宋体"/>
          <w:color w:val="auto"/>
          <w:spacing w:val="-6"/>
          <w:sz w:val="24"/>
          <w:szCs w:val="24"/>
          <w:lang w:eastAsia="zh-CN"/>
        </w:rPr>
      </w:pPr>
      <w:r>
        <w:rPr>
          <w:rFonts w:hint="eastAsia" w:ascii="宋体" w:hAnsi="宋体" w:eastAsia="宋体" w:cs="宋体"/>
          <w:color w:val="auto"/>
          <w:spacing w:val="-6"/>
          <w:sz w:val="24"/>
          <w:szCs w:val="24"/>
          <w:lang w:eastAsia="zh-CN"/>
        </w:rPr>
        <w:t>作业时间和方式：每日（全天候）对辖区所有街道，早中晚人流高峰时段，主街干道、重点路段、重点区域采取值守、巡线方式开展治安秩序管理工作。</w:t>
      </w:r>
    </w:p>
    <w:p>
      <w:pPr>
        <w:pStyle w:val="4"/>
        <w:rPr>
          <w:color w:val="auto"/>
          <w:sz w:val="24"/>
          <w:szCs w:val="24"/>
          <w:highlight w:val="none"/>
        </w:rPr>
      </w:pPr>
      <w:bookmarkStart w:id="8" w:name="_Toc19791"/>
      <w:r>
        <w:rPr>
          <w:rFonts w:hint="eastAsia"/>
          <w:color w:val="auto"/>
          <w:sz w:val="24"/>
          <w:szCs w:val="24"/>
          <w:highlight w:val="none"/>
          <w:lang w:val="en-US" w:eastAsia="zh-CN"/>
        </w:rPr>
        <w:t>人员基本配备要求</w:t>
      </w:r>
      <w:bookmarkEnd w:id="8"/>
    </w:p>
    <w:p>
      <w:pPr>
        <w:pStyle w:val="5"/>
        <w:bidi w:val="0"/>
        <w:rPr>
          <w:rFonts w:hint="eastAsia"/>
          <w:lang w:val="en-US" w:eastAsia="zh-CN"/>
        </w:rPr>
      </w:pPr>
      <w:r>
        <w:rPr>
          <w:rFonts w:hint="eastAsia"/>
          <w:lang w:val="en-US" w:eastAsia="zh-CN"/>
        </w:rPr>
        <w:t>火车南站辖区治安协管服务项目基本情况</w:t>
      </w:r>
    </w:p>
    <w:p>
      <w:pPr>
        <w:keepNext w:val="0"/>
        <w:keepLines w:val="0"/>
        <w:pageBreakBefore w:val="0"/>
        <w:numPr>
          <w:ilvl w:val="0"/>
          <w:numId w:val="0"/>
        </w:numPr>
        <w:kinsoku/>
        <w:wordWrap/>
        <w:overflowPunct/>
        <w:topLinePunct w:val="0"/>
        <w:bidi w:val="0"/>
        <w:adjustRightInd/>
        <w:snapToGrid/>
        <w:spacing w:after="0" w:line="360" w:lineRule="auto"/>
        <w:ind w:left="420" w:leftChars="0" w:firstLine="480" w:firstLineChars="200"/>
        <w:textAlignment w:val="auto"/>
        <w:rPr>
          <w:rFonts w:hint="default" w:ascii="宋体" w:hAnsi="宋体" w:eastAsia="宋体" w:cs="宋体"/>
          <w:color w:val="000000"/>
          <w:sz w:val="24"/>
          <w:szCs w:val="24"/>
          <w:lang w:val="en-US"/>
        </w:rPr>
      </w:pPr>
      <w:r>
        <w:rPr>
          <w:rFonts w:hint="eastAsia" w:ascii="宋体" w:hAnsi="宋体" w:cs="宋体"/>
          <w:color w:val="000000"/>
          <w:sz w:val="24"/>
          <w:szCs w:val="24"/>
          <w:lang w:val="en-US" w:eastAsia="zh-CN"/>
        </w:rPr>
        <w:t>点位配备：</w:t>
      </w:r>
    </w:p>
    <w:p>
      <w:pPr>
        <w:rPr>
          <w:rFonts w:hint="eastAsia"/>
          <w:lang w:val="en-US" w:eastAsia="zh-CN"/>
        </w:rPr>
      </w:pPr>
    </w:p>
    <w:p>
      <w:pPr>
        <w:rPr>
          <w:rFonts w:hint="eastAsia"/>
          <w:lang w:val="en-US" w:eastAsia="zh-CN"/>
        </w:rPr>
      </w:pPr>
    </w:p>
    <w:tbl>
      <w:tblPr>
        <w:tblStyle w:val="8"/>
        <w:tblW w:w="8140" w:type="dxa"/>
        <w:jc w:val="center"/>
        <w:tblLayout w:type="fixed"/>
        <w:tblCellMar>
          <w:top w:w="0" w:type="dxa"/>
          <w:left w:w="108" w:type="dxa"/>
          <w:bottom w:w="0" w:type="dxa"/>
          <w:right w:w="108" w:type="dxa"/>
        </w:tblCellMar>
      </w:tblPr>
      <w:tblGrid>
        <w:gridCol w:w="1028"/>
        <w:gridCol w:w="7112"/>
      </w:tblGrid>
      <w:tr>
        <w:tblPrEx>
          <w:tblCellMar>
            <w:top w:w="0" w:type="dxa"/>
            <w:left w:w="108" w:type="dxa"/>
            <w:bottom w:w="0" w:type="dxa"/>
            <w:right w:w="108" w:type="dxa"/>
          </w:tblCellMar>
        </w:tblPrEx>
        <w:trPr>
          <w:trHeight w:val="285" w:hRule="atLeast"/>
          <w:jc w:val="center"/>
        </w:trPr>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序号</w:t>
            </w:r>
          </w:p>
        </w:tc>
        <w:tc>
          <w:tcPr>
            <w:tcW w:w="711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点位</w:t>
            </w:r>
          </w:p>
        </w:tc>
      </w:tr>
      <w:tr>
        <w:tblPrEx>
          <w:tblCellMar>
            <w:top w:w="0" w:type="dxa"/>
            <w:left w:w="108" w:type="dxa"/>
            <w:bottom w:w="0" w:type="dxa"/>
            <w:right w:w="108" w:type="dxa"/>
          </w:tblCellMar>
        </w:tblPrEx>
        <w:trPr>
          <w:trHeight w:val="582" w:hRule="atLeast"/>
          <w:jc w:val="center"/>
        </w:trPr>
        <w:tc>
          <w:tcPr>
            <w:tcW w:w="1028"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1</w:t>
            </w:r>
          </w:p>
        </w:tc>
        <w:tc>
          <w:tcPr>
            <w:tcW w:w="7112"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color w:val="auto"/>
                <w:kern w:val="0"/>
                <w:sz w:val="24"/>
                <w:lang w:val="en-US" w:eastAsia="zh-CN"/>
              </w:rPr>
            </w:pPr>
            <w:r>
              <w:rPr>
                <w:rFonts w:hint="eastAsia" w:ascii="宋体" w:hAnsi="宋体" w:cs="宋体"/>
                <w:color w:val="auto"/>
                <w:kern w:val="0"/>
                <w:sz w:val="24"/>
                <w:lang w:eastAsia="zh-CN"/>
              </w:rPr>
              <w:t>桐梓林地铁</w:t>
            </w:r>
            <w:r>
              <w:rPr>
                <w:rFonts w:hint="eastAsia" w:ascii="宋体" w:hAnsi="宋体" w:cs="宋体"/>
                <w:color w:val="auto"/>
                <w:kern w:val="0"/>
                <w:sz w:val="24"/>
                <w:lang w:val="en-US" w:eastAsia="zh-CN"/>
              </w:rPr>
              <w:t>B口</w:t>
            </w:r>
          </w:p>
        </w:tc>
      </w:tr>
      <w:tr>
        <w:tblPrEx>
          <w:tblCellMar>
            <w:top w:w="0" w:type="dxa"/>
            <w:left w:w="108" w:type="dxa"/>
            <w:bottom w:w="0" w:type="dxa"/>
            <w:right w:w="108" w:type="dxa"/>
          </w:tblCellMar>
        </w:tblPrEx>
        <w:trPr>
          <w:trHeight w:val="552" w:hRule="atLeast"/>
          <w:jc w:val="center"/>
        </w:trPr>
        <w:tc>
          <w:tcPr>
            <w:tcW w:w="1028"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2</w:t>
            </w:r>
          </w:p>
        </w:tc>
        <w:tc>
          <w:tcPr>
            <w:tcW w:w="7112"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eastAsia="zh-CN"/>
              </w:rPr>
              <w:t>桐梓林地铁</w:t>
            </w:r>
            <w:r>
              <w:rPr>
                <w:rFonts w:hint="eastAsia" w:ascii="宋体" w:hAnsi="宋体" w:cs="宋体"/>
                <w:color w:val="auto"/>
                <w:kern w:val="0"/>
                <w:sz w:val="24"/>
                <w:lang w:val="en-US" w:eastAsia="zh-CN"/>
              </w:rPr>
              <w:t>D口</w:t>
            </w:r>
          </w:p>
        </w:tc>
      </w:tr>
    </w:tbl>
    <w:p>
      <w:pPr>
        <w:ind w:firstLine="560" w:firstLineChars="200"/>
        <w:rPr>
          <w:rFonts w:hint="eastAsia"/>
          <w:color w:val="auto"/>
          <w:sz w:val="28"/>
          <w:szCs w:val="28"/>
        </w:rPr>
      </w:pPr>
      <w:r>
        <w:rPr>
          <w:rFonts w:hint="eastAsia"/>
          <w:color w:val="auto"/>
          <w:sz w:val="28"/>
          <w:szCs w:val="28"/>
        </w:rPr>
        <w:t xml:space="preserve">                                     　 </w:t>
      </w:r>
    </w:p>
    <w:p>
      <w:pPr>
        <w:numPr>
          <w:ilvl w:val="0"/>
          <w:numId w:val="0"/>
        </w:numPr>
        <w:ind w:left="280" w:leftChars="0" w:firstLine="480" w:firstLineChars="200"/>
        <w:outlineLvl w:val="0"/>
        <w:rPr>
          <w:rFonts w:hint="default"/>
          <w:color w:val="auto"/>
          <w:sz w:val="28"/>
          <w:szCs w:val="28"/>
          <w:lang w:val="en-US" w:eastAsia="zh-CN"/>
        </w:rPr>
      </w:pPr>
      <w:bookmarkStart w:id="9" w:name="_Toc5459"/>
      <w:r>
        <w:rPr>
          <w:rFonts w:hint="eastAsia" w:ascii="宋体" w:hAnsi="宋体" w:eastAsia="宋体" w:cs="宋体"/>
          <w:color w:val="000000"/>
          <w:sz w:val="24"/>
          <w:szCs w:val="24"/>
          <w:lang w:val="en-US" w:eastAsia="zh-CN"/>
        </w:rPr>
        <w:t>巡逻队员</w:t>
      </w:r>
      <w:r>
        <w:rPr>
          <w:rFonts w:hint="eastAsia" w:ascii="宋体" w:hAnsi="宋体" w:cs="宋体"/>
          <w:color w:val="000000"/>
          <w:sz w:val="24"/>
          <w:szCs w:val="24"/>
          <w:lang w:val="en-US" w:eastAsia="zh-CN"/>
        </w:rPr>
        <w:t>配备：</w:t>
      </w:r>
      <w:bookmarkEnd w:id="9"/>
    </w:p>
    <w:tbl>
      <w:tblPr>
        <w:tblStyle w:val="8"/>
        <w:tblW w:w="8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7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06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color w:val="auto"/>
                <w:kern w:val="0"/>
                <w:sz w:val="24"/>
              </w:rPr>
            </w:pPr>
            <w:r>
              <w:rPr>
                <w:rFonts w:hint="eastAsia" w:ascii="宋体" w:hAnsi="宋体" w:cs="宋体"/>
                <w:color w:val="auto"/>
                <w:kern w:val="0"/>
                <w:sz w:val="24"/>
              </w:rPr>
              <w:t>序号</w:t>
            </w:r>
          </w:p>
        </w:tc>
        <w:tc>
          <w:tcPr>
            <w:tcW w:w="720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color w:val="auto"/>
                <w:kern w:val="0"/>
                <w:sz w:val="24"/>
              </w:rPr>
            </w:pPr>
            <w:r>
              <w:rPr>
                <w:rFonts w:hint="eastAsia" w:ascii="宋体" w:hAnsi="宋体" w:cs="宋体"/>
                <w:color w:val="auto"/>
                <w:kern w:val="0"/>
                <w:sz w:val="24"/>
              </w:rPr>
              <w:t>管控路段(范围)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1</w:t>
            </w:r>
          </w:p>
        </w:tc>
        <w:tc>
          <w:tcPr>
            <w:tcW w:w="720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二环路高架、航空路、高攀西巷、高攀路、高远路、长华路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2</w:t>
            </w:r>
          </w:p>
        </w:tc>
        <w:tc>
          <w:tcPr>
            <w:tcW w:w="720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高阳路、高翔西路步云巷、高翔路、高翔东路、中环路高攀西段、步云巷、高翔路、高翔东路、中环路高攀西段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3</w:t>
            </w:r>
          </w:p>
        </w:tc>
        <w:tc>
          <w:tcPr>
            <w:tcW w:w="720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长荣路、长胜巷、科华中路、长寿路、科华南路、长寿南路、火车南站东路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4</w:t>
            </w:r>
          </w:p>
        </w:tc>
        <w:tc>
          <w:tcPr>
            <w:tcW w:w="720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Cs w:val="21"/>
                <w:lang w:eastAsia="zh-CN"/>
              </w:rPr>
            </w:pPr>
            <w:r>
              <w:rPr>
                <w:rFonts w:hint="eastAsia" w:ascii="宋体" w:hAnsi="宋体" w:cs="宋体"/>
                <w:color w:val="auto"/>
                <w:kern w:val="0"/>
                <w:szCs w:val="21"/>
                <w:lang w:eastAsia="zh-CN"/>
              </w:rPr>
              <w:t>二环路、科华中路、新希望路、航空路、中苑巷、航中街、棕树东街、南街、西街、北街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5</w:t>
            </w:r>
          </w:p>
        </w:tc>
        <w:tc>
          <w:tcPr>
            <w:tcW w:w="720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Cs w:val="21"/>
                <w:lang w:eastAsia="zh-CN"/>
              </w:rPr>
            </w:pPr>
            <w:r>
              <w:rPr>
                <w:rFonts w:hint="eastAsia" w:ascii="宋体" w:hAnsi="宋体" w:cs="宋体"/>
                <w:color w:val="auto"/>
                <w:kern w:val="0"/>
                <w:szCs w:val="21"/>
                <w:lang w:eastAsia="zh-CN"/>
              </w:rPr>
              <w:t>人民南路四段、二环路南三段、桐凤路、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6</w:t>
            </w:r>
          </w:p>
        </w:tc>
        <w:tc>
          <w:tcPr>
            <w:tcW w:w="720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auto"/>
                <w:kern w:val="0"/>
                <w:szCs w:val="21"/>
                <w:lang w:eastAsia="zh-CN"/>
              </w:rPr>
            </w:pPr>
            <w:r>
              <w:rPr>
                <w:rFonts w:hint="eastAsia" w:ascii="宋体" w:hAnsi="宋体" w:cs="宋体"/>
                <w:color w:val="auto"/>
                <w:kern w:val="0"/>
                <w:szCs w:val="21"/>
                <w:lang w:eastAsia="zh-CN"/>
              </w:rPr>
              <w:t>火车南站西路、益州大道下穿隧道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7</w:t>
            </w:r>
          </w:p>
        </w:tc>
        <w:tc>
          <w:tcPr>
            <w:tcW w:w="720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新光路、桐梓林中路、桐梓林北路、桐梓林东路、桐梓林路、桐梓林南路、桐叶路</w:t>
            </w:r>
          </w:p>
        </w:tc>
      </w:tr>
    </w:tbl>
    <w:p>
      <w:pPr>
        <w:pStyle w:val="5"/>
        <w:bidi w:val="0"/>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点位队员至少6人，巡逻队员至少</w:t>
      </w:r>
      <w:r>
        <w:rPr>
          <w:rFonts w:hint="eastAsia" w:cs="宋体"/>
          <w:color w:val="auto"/>
          <w:spacing w:val="-6"/>
          <w:sz w:val="24"/>
          <w:szCs w:val="24"/>
          <w:lang w:val="en-US" w:eastAsia="zh-CN"/>
        </w:rPr>
        <w:t>18</w:t>
      </w:r>
      <w:r>
        <w:rPr>
          <w:rFonts w:hint="eastAsia" w:ascii="宋体" w:hAnsi="宋体" w:eastAsia="宋体" w:cs="宋体"/>
          <w:color w:val="auto"/>
          <w:spacing w:val="-6"/>
          <w:sz w:val="24"/>
          <w:szCs w:val="24"/>
          <w:lang w:val="en-US" w:eastAsia="zh-CN"/>
        </w:rPr>
        <w:t>人，轮休队员至少6人，分为3班，具体安排如下：</w:t>
      </w:r>
    </w:p>
    <w:p>
      <w:pPr>
        <w:numPr>
          <w:ilvl w:val="0"/>
          <w:numId w:val="2"/>
        </w:numPr>
        <w:spacing w:line="570" w:lineRule="exact"/>
        <w:ind w:left="0" w:leftChars="0" w:firstLine="420" w:firstLineChars="0"/>
        <w:jc w:val="left"/>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早班（08:00—16:00）：至少9人，其中点位队员至少2人，巡逻队员至少7人；</w:t>
      </w:r>
    </w:p>
    <w:p>
      <w:pPr>
        <w:numPr>
          <w:ilvl w:val="0"/>
          <w:numId w:val="2"/>
        </w:numPr>
        <w:spacing w:line="570" w:lineRule="exact"/>
        <w:ind w:left="0" w:leftChars="0" w:firstLine="420" w:firstLineChars="0"/>
        <w:jc w:val="left"/>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中班（16:00—24:00）；至少9人，其中点位队员至少2人，巡逻队员至少7人；</w:t>
      </w:r>
    </w:p>
    <w:p>
      <w:pPr>
        <w:numPr>
          <w:ilvl w:val="0"/>
          <w:numId w:val="2"/>
        </w:numPr>
        <w:spacing w:line="570" w:lineRule="exact"/>
        <w:ind w:left="0" w:leftChars="0" w:firstLine="420" w:firstLineChars="0"/>
        <w:jc w:val="left"/>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夜班（24:00—08:00）：至少8人，其中点位队员至少2人，巡逻队员至少6人。</w:t>
      </w:r>
    </w:p>
    <w:p>
      <w:pPr>
        <w:pStyle w:val="5"/>
        <w:bidi w:val="0"/>
        <w:rPr>
          <w:rFonts w:hint="eastAsia"/>
          <w:lang w:val="en-US" w:eastAsia="zh-CN"/>
        </w:rPr>
      </w:pPr>
      <w:r>
        <w:rPr>
          <w:rFonts w:hint="eastAsia"/>
          <w:lang w:val="en-US" w:eastAsia="zh-CN"/>
        </w:rPr>
        <w:t>人员要求</w:t>
      </w:r>
    </w:p>
    <w:p>
      <w:pPr>
        <w:pStyle w:val="5"/>
        <w:numPr>
          <w:ilvl w:val="2"/>
          <w:numId w:val="0"/>
        </w:numPr>
        <w:bidi w:val="0"/>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年龄45岁以下，身高≥170cm，初中以上文化，身体健康，政治合格，无刑事犯罪记录。</w:t>
      </w:r>
    </w:p>
    <w:p>
      <w:pPr>
        <w:rPr>
          <w:rFonts w:hint="eastAsia"/>
          <w:lang w:val="en-US" w:eastAsia="zh-CN"/>
        </w:rPr>
      </w:pPr>
    </w:p>
    <w:p>
      <w:pPr>
        <w:pStyle w:val="4"/>
        <w:rPr>
          <w:color w:val="auto"/>
          <w:sz w:val="24"/>
          <w:szCs w:val="24"/>
          <w:highlight w:val="none"/>
        </w:rPr>
      </w:pPr>
      <w:bookmarkStart w:id="10" w:name="_Toc8302"/>
      <w:r>
        <w:rPr>
          <w:rFonts w:hint="eastAsia"/>
          <w:color w:val="auto"/>
          <w:sz w:val="24"/>
          <w:szCs w:val="24"/>
          <w:highlight w:val="none"/>
          <w:lang w:val="en-US" w:eastAsia="zh-CN"/>
        </w:rPr>
        <w:t>设备基本配备要求</w:t>
      </w:r>
      <w:bookmarkEnd w:id="10"/>
    </w:p>
    <w:p>
      <w:pPr>
        <w:pStyle w:val="5"/>
        <w:bidi w:val="0"/>
        <w:rPr>
          <w:rFonts w:hint="eastAsia"/>
          <w:b w:val="0"/>
          <w:bCs w:val="0"/>
          <w:lang w:val="en-US" w:eastAsia="zh-CN"/>
        </w:rPr>
      </w:pPr>
      <w:r>
        <w:rPr>
          <w:rFonts w:hint="eastAsia"/>
          <w:b w:val="0"/>
          <w:bCs w:val="0"/>
          <w:lang w:val="en-US" w:eastAsia="zh-CN"/>
        </w:rPr>
        <w:t>两轮执法电瓶车10辆（统一综治巡逻标识）。</w:t>
      </w:r>
    </w:p>
    <w:p>
      <w:pPr>
        <w:pStyle w:val="5"/>
        <w:bidi w:val="0"/>
        <w:rPr>
          <w:rFonts w:hint="eastAsia"/>
          <w:b w:val="0"/>
          <w:bCs w:val="0"/>
          <w:lang w:val="en-US" w:eastAsia="zh-CN"/>
        </w:rPr>
      </w:pPr>
      <w:r>
        <w:rPr>
          <w:rFonts w:hint="eastAsia"/>
          <w:b w:val="0"/>
          <w:bCs w:val="0"/>
          <w:lang w:val="en-US" w:eastAsia="zh-CN"/>
        </w:rPr>
        <w:t>电动四轮巡逻车：2辆（统一综治巡逻标识）。</w:t>
      </w:r>
    </w:p>
    <w:p>
      <w:pPr>
        <w:pStyle w:val="5"/>
        <w:bidi w:val="0"/>
        <w:rPr>
          <w:rFonts w:hint="eastAsia"/>
          <w:b w:val="0"/>
          <w:bCs w:val="0"/>
          <w:lang w:val="en-US" w:eastAsia="zh-CN"/>
        </w:rPr>
      </w:pPr>
      <w:r>
        <w:rPr>
          <w:rFonts w:hint="eastAsia"/>
          <w:b w:val="0"/>
          <w:bCs w:val="0"/>
          <w:lang w:val="en-US" w:eastAsia="zh-CN"/>
        </w:rPr>
        <w:t>执法记录仪：10台。智能对讲机：20部。</w:t>
      </w:r>
    </w:p>
    <w:p>
      <w:pPr>
        <w:pStyle w:val="5"/>
        <w:bidi w:val="0"/>
        <w:rPr>
          <w:rFonts w:hint="eastAsia"/>
          <w:b w:val="0"/>
          <w:bCs w:val="0"/>
          <w:lang w:val="en-US" w:eastAsia="zh-CN"/>
        </w:rPr>
      </w:pPr>
      <w:r>
        <w:rPr>
          <w:rFonts w:hint="eastAsia"/>
          <w:b w:val="0"/>
          <w:bCs w:val="0"/>
          <w:lang w:val="en-US" w:eastAsia="zh-CN"/>
        </w:rPr>
        <w:t>服装配备标准</w:t>
      </w:r>
    </w:p>
    <w:p>
      <w:pPr>
        <w:pStyle w:val="5"/>
        <w:numPr>
          <w:ilvl w:val="2"/>
          <w:numId w:val="0"/>
        </w:numPr>
        <w:bidi w:val="0"/>
        <w:ind w:firstLine="480" w:firstLineChars="200"/>
        <w:rPr>
          <w:rFonts w:hint="eastAsia"/>
          <w:b w:val="0"/>
          <w:bCs w:val="0"/>
          <w:lang w:val="en-US" w:eastAsia="zh-CN"/>
        </w:rPr>
      </w:pPr>
      <w:r>
        <w:rPr>
          <w:rFonts w:hint="eastAsia"/>
          <w:b w:val="0"/>
          <w:bCs w:val="0"/>
          <w:lang w:val="en-US" w:eastAsia="zh-CN"/>
        </w:rPr>
        <w:t>每个队员标准：春秋执勤服上衣2件、裤子2条，冬执勤服上衣2件、裤子2条。长袖夏装制式衬衣2件，短袖夏装制式衬衣2件。单裤2条。反光背心1件。软肩章2套。臂章、软胸徽、软胸号各2套。</w:t>
      </w:r>
    </w:p>
    <w:p>
      <w:pPr>
        <w:pStyle w:val="5"/>
        <w:bidi w:val="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办公配置</w:t>
      </w:r>
    </w:p>
    <w:p>
      <w:pPr>
        <w:keepNext w:val="0"/>
        <w:keepLines w:val="0"/>
        <w:pageBreakBefore w:val="0"/>
        <w:numPr>
          <w:ilvl w:val="0"/>
          <w:numId w:val="3"/>
        </w:numPr>
        <w:kinsoku/>
        <w:wordWrap/>
        <w:overflowPunct/>
        <w:topLinePunct w:val="0"/>
        <w:bidi w:val="0"/>
        <w:adjustRightInd w:val="0"/>
        <w:snapToGrid w:val="0"/>
        <w:spacing w:line="360" w:lineRule="auto"/>
        <w:ind w:left="0" w:leftChars="0" w:firstLine="420" w:firstLineChars="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办公室：1间</w:t>
      </w:r>
      <w:r>
        <w:rPr>
          <w:rFonts w:hint="eastAsia" w:ascii="宋体" w:hAnsi="宋体" w:cs="宋体"/>
          <w:color w:val="000000"/>
          <w:sz w:val="24"/>
          <w:szCs w:val="24"/>
          <w:lang w:val="en-US" w:eastAsia="zh-CN"/>
        </w:rPr>
        <w:t>。</w:t>
      </w:r>
    </w:p>
    <w:p>
      <w:pPr>
        <w:keepNext w:val="0"/>
        <w:keepLines w:val="0"/>
        <w:pageBreakBefore w:val="0"/>
        <w:numPr>
          <w:ilvl w:val="0"/>
          <w:numId w:val="3"/>
        </w:numPr>
        <w:kinsoku/>
        <w:wordWrap/>
        <w:overflowPunct/>
        <w:topLinePunct w:val="0"/>
        <w:bidi w:val="0"/>
        <w:adjustRightInd w:val="0"/>
        <w:snapToGrid w:val="0"/>
        <w:spacing w:line="360" w:lineRule="auto"/>
        <w:ind w:left="0" w:leftChars="0" w:firstLine="420" w:firstLineChars="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办公桌椅、电脑、打印机等必要办公设备</w:t>
      </w:r>
      <w:r>
        <w:rPr>
          <w:rFonts w:hint="eastAsia" w:ascii="宋体" w:hAnsi="宋体" w:cs="宋体"/>
          <w:color w:val="000000"/>
          <w:sz w:val="24"/>
          <w:szCs w:val="24"/>
          <w:lang w:val="en-US" w:eastAsia="zh-CN"/>
        </w:rPr>
        <w:t>。</w:t>
      </w:r>
    </w:p>
    <w:p>
      <w:pPr>
        <w:pStyle w:val="4"/>
        <w:rPr>
          <w:color w:val="auto"/>
          <w:sz w:val="24"/>
          <w:szCs w:val="24"/>
          <w:highlight w:val="none"/>
        </w:rPr>
      </w:pPr>
      <w:bookmarkStart w:id="11" w:name="_Toc23386"/>
      <w:r>
        <w:rPr>
          <w:rFonts w:hint="eastAsia"/>
          <w:color w:val="auto"/>
          <w:sz w:val="24"/>
          <w:szCs w:val="24"/>
          <w:highlight w:val="none"/>
          <w:lang w:val="en-US" w:eastAsia="zh-CN"/>
        </w:rPr>
        <w:t>考核办法</w:t>
      </w:r>
      <w:bookmarkEnd w:id="11"/>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rPr>
        <w:t>火南</w:t>
      </w:r>
      <w:r>
        <w:rPr>
          <w:rFonts w:hint="eastAsia" w:ascii="宋体" w:hAnsi="宋体" w:cs="宋体"/>
          <w:b/>
          <w:bCs/>
          <w:sz w:val="32"/>
          <w:szCs w:val="32"/>
          <w:lang w:eastAsia="zh-CN"/>
        </w:rPr>
        <w:t>街办</w:t>
      </w:r>
      <w:r>
        <w:rPr>
          <w:rFonts w:hint="eastAsia" w:ascii="宋体" w:hAnsi="宋体" w:eastAsia="宋体" w:cs="宋体"/>
          <w:b/>
          <w:bCs/>
          <w:sz w:val="32"/>
          <w:szCs w:val="32"/>
          <w:lang w:eastAsia="zh-CN"/>
        </w:rPr>
        <w:t>治安协管服务</w:t>
      </w:r>
      <w:r>
        <w:rPr>
          <w:rFonts w:hint="eastAsia" w:ascii="宋体" w:hAnsi="宋体" w:eastAsia="宋体" w:cs="宋体"/>
          <w:b/>
          <w:bCs/>
          <w:sz w:val="32"/>
          <w:szCs w:val="32"/>
          <w:lang w:val="en-US" w:eastAsia="zh-CN"/>
        </w:rPr>
        <w:t>管理内容</w:t>
      </w:r>
      <w:r>
        <w:rPr>
          <w:rFonts w:hint="eastAsia" w:ascii="宋体" w:hAnsi="宋体" w:eastAsia="宋体" w:cs="宋体"/>
          <w:b/>
          <w:bCs/>
          <w:sz w:val="32"/>
          <w:szCs w:val="32"/>
        </w:rPr>
        <w:t>标准</w:t>
      </w:r>
      <w:r>
        <w:rPr>
          <w:rFonts w:hint="eastAsia" w:ascii="宋体" w:hAnsi="宋体" w:eastAsia="宋体" w:cs="宋体"/>
          <w:b/>
          <w:bCs/>
          <w:sz w:val="32"/>
          <w:szCs w:val="32"/>
          <w:lang w:eastAsia="zh-CN"/>
        </w:rPr>
        <w:t>及考核</w:t>
      </w:r>
    </w:p>
    <w:p>
      <w:pPr>
        <w:rPr>
          <w:rFonts w:hint="eastAsia" w:ascii="宋体" w:hAnsi="宋体" w:eastAsia="宋体" w:cs="宋体"/>
          <w:color w:val="auto"/>
          <w:sz w:val="32"/>
          <w:szCs w:val="32"/>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6"/>
          <w:sz w:val="24"/>
          <w:szCs w:val="24"/>
          <w:lang w:eastAsia="zh-CN"/>
        </w:rPr>
      </w:pPr>
      <w:r>
        <w:rPr>
          <w:rFonts w:hint="eastAsia" w:ascii="宋体" w:hAnsi="宋体" w:eastAsia="宋体" w:cs="宋体"/>
          <w:sz w:val="24"/>
          <w:szCs w:val="24"/>
          <w:lang w:val="en-US" w:eastAsia="zh-CN"/>
        </w:rPr>
        <w:t>为认真贯彻落实中央政法委、省委政法委、市委政法委关于推进市域社会治理现代化试点工作要求和《武侯区推进市域社会治理现代化试点工作方案》（平安武侯组[2020]2号）以及街道党工委安排部署，加强辖区社会治安综合治理，深入推进市域社会治理现代化试点工作各项任务在街道落地落实，助力平安武侯、平安成都建设，</w:t>
      </w:r>
      <w:r>
        <w:rPr>
          <w:rFonts w:hint="eastAsia" w:ascii="宋体" w:hAnsi="宋体" w:eastAsia="宋体" w:cs="宋体"/>
          <w:color w:val="auto"/>
          <w:spacing w:val="-6"/>
          <w:sz w:val="24"/>
          <w:szCs w:val="24"/>
          <w:lang w:eastAsia="zh-CN"/>
        </w:rPr>
        <w:t>确保辖区平安和谐</w:t>
      </w:r>
      <w:r>
        <w:rPr>
          <w:rFonts w:hint="eastAsia" w:ascii="宋体" w:hAnsi="宋体" w:eastAsia="宋体" w:cs="宋体"/>
          <w:color w:val="auto"/>
          <w:spacing w:val="-6"/>
          <w:sz w:val="24"/>
          <w:szCs w:val="24"/>
          <w:lang w:val="en-US" w:eastAsia="zh-CN"/>
        </w:rPr>
        <w:t>稳定</w:t>
      </w:r>
      <w:r>
        <w:rPr>
          <w:rFonts w:hint="eastAsia" w:ascii="宋体" w:hAnsi="宋体" w:eastAsia="宋体" w:cs="宋体"/>
          <w:color w:val="auto"/>
          <w:spacing w:val="-6"/>
          <w:sz w:val="24"/>
          <w:szCs w:val="24"/>
          <w:lang w:eastAsia="zh-CN"/>
        </w:rPr>
        <w:t>，制定本考核标准。</w:t>
      </w:r>
    </w:p>
    <w:p>
      <w:pPr>
        <w:keepNext w:val="0"/>
        <w:keepLines w:val="0"/>
        <w:pageBreakBefore w:val="0"/>
        <w:kinsoku/>
        <w:wordWrap/>
        <w:overflowPunct/>
        <w:topLinePunct w:val="0"/>
        <w:autoSpaceDE/>
        <w:autoSpaceDN/>
        <w:bidi w:val="0"/>
        <w:adjustRightInd/>
        <w:snapToGrid/>
        <w:spacing w:line="360" w:lineRule="auto"/>
        <w:ind w:firstLine="482" w:firstLineChars="20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管理内容</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一、街面治安秩序管理内容</w:t>
      </w:r>
    </w:p>
    <w:p>
      <w:pPr>
        <w:keepNext w:val="0"/>
        <w:keepLines w:val="0"/>
        <w:pageBreakBefore w:val="0"/>
        <w:kinsoku/>
        <w:wordWrap/>
        <w:overflowPunct/>
        <w:topLinePunct w:val="0"/>
        <w:autoSpaceDE/>
        <w:autoSpaceDN/>
        <w:bidi w:val="0"/>
        <w:adjustRightInd/>
        <w:snapToGrid/>
        <w:spacing w:line="360" w:lineRule="auto"/>
        <w:ind w:firstLine="456" w:firstLineChars="200"/>
        <w:textAlignment w:val="auto"/>
        <w:rPr>
          <w:rFonts w:hint="eastAsia" w:ascii="宋体" w:hAnsi="宋体" w:eastAsia="宋体" w:cs="宋体"/>
          <w:color w:val="auto"/>
          <w:spacing w:val="-6"/>
          <w:sz w:val="24"/>
          <w:szCs w:val="24"/>
          <w:lang w:eastAsia="zh-CN"/>
        </w:rPr>
      </w:pPr>
      <w:r>
        <w:rPr>
          <w:rFonts w:hint="eastAsia" w:ascii="宋体" w:hAnsi="宋体" w:eastAsia="宋体" w:cs="宋体"/>
          <w:color w:val="auto"/>
          <w:spacing w:val="-6"/>
          <w:sz w:val="24"/>
          <w:szCs w:val="24"/>
          <w:lang w:val="en-US" w:eastAsia="zh-CN"/>
        </w:rPr>
        <w:t>1.</w:t>
      </w:r>
      <w:r>
        <w:rPr>
          <w:rFonts w:hint="eastAsia" w:ascii="宋体" w:hAnsi="宋体" w:eastAsia="宋体" w:cs="宋体"/>
          <w:color w:val="auto"/>
          <w:spacing w:val="-6"/>
          <w:sz w:val="24"/>
          <w:szCs w:val="24"/>
          <w:lang w:eastAsia="zh-CN"/>
        </w:rPr>
        <w:t>作业时间和方式：每日（全天候）对辖区所有街道，早中晚人流高峰时段，主街干道、重点路段、重点区域采取值守、巡线方式开展治安秩序管理工作。</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pacing w:val="-6"/>
          <w:sz w:val="24"/>
          <w:szCs w:val="24"/>
          <w:lang w:eastAsia="zh-CN"/>
        </w:rPr>
        <w:t>具体内容</w:t>
      </w:r>
    </w:p>
    <w:p>
      <w:pPr>
        <w:keepNext w:val="0"/>
        <w:keepLines w:val="0"/>
        <w:pageBreakBefore w:val="0"/>
        <w:kinsoku/>
        <w:wordWrap/>
        <w:overflowPunct/>
        <w:topLinePunct w:val="0"/>
        <w:autoSpaceDE/>
        <w:autoSpaceDN/>
        <w:bidi w:val="0"/>
        <w:adjustRightInd/>
        <w:snapToGrid/>
        <w:spacing w:line="360" w:lineRule="auto"/>
        <w:ind w:firstLine="456" w:firstLineChars="200"/>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（一）维护街面治安秩序，为人民群众安居乐业创造良好的社会治安环境。包括公共复杂场所、特种行业、危险物品、消防监督、道路交通的协助检查管理等。</w:t>
      </w:r>
    </w:p>
    <w:p>
      <w:pPr>
        <w:keepNext w:val="0"/>
        <w:keepLines w:val="0"/>
        <w:pageBreakBefore w:val="0"/>
        <w:kinsoku/>
        <w:wordWrap/>
        <w:overflowPunct/>
        <w:topLinePunct w:val="0"/>
        <w:autoSpaceDE/>
        <w:autoSpaceDN/>
        <w:bidi w:val="0"/>
        <w:adjustRightInd/>
        <w:snapToGrid/>
        <w:spacing w:line="360" w:lineRule="auto"/>
        <w:ind w:firstLine="456" w:firstLineChars="200"/>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（二）预防、发现和控制盗、抢、黄、赌、毒等违法犯罪活动。</w:t>
      </w:r>
    </w:p>
    <w:p>
      <w:pPr>
        <w:keepNext w:val="0"/>
        <w:keepLines w:val="0"/>
        <w:pageBreakBefore w:val="0"/>
        <w:kinsoku/>
        <w:wordWrap/>
        <w:overflowPunct/>
        <w:topLinePunct w:val="0"/>
        <w:autoSpaceDE/>
        <w:autoSpaceDN/>
        <w:bidi w:val="0"/>
        <w:adjustRightInd/>
        <w:snapToGrid/>
        <w:spacing w:line="360" w:lineRule="auto"/>
        <w:ind w:firstLine="456" w:firstLineChars="200"/>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（三）辅助公安机关查处治安案件、治安事故，处置治安事件查处治安案件、治安事故。</w:t>
      </w:r>
    </w:p>
    <w:p>
      <w:pPr>
        <w:keepNext w:val="0"/>
        <w:keepLines w:val="0"/>
        <w:pageBreakBefore w:val="0"/>
        <w:kinsoku/>
        <w:wordWrap/>
        <w:overflowPunct/>
        <w:topLinePunct w:val="0"/>
        <w:autoSpaceDE/>
        <w:autoSpaceDN/>
        <w:bidi w:val="0"/>
        <w:adjustRightInd/>
        <w:snapToGrid/>
        <w:spacing w:line="360" w:lineRule="auto"/>
        <w:ind w:firstLine="456" w:firstLineChars="200"/>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（四）帮助群众排危解难，发现并及时上报各类突发事件。</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firstLine="684" w:firstLineChars="300"/>
        <w:jc w:val="left"/>
        <w:textAlignment w:val="auto"/>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人员配置方案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56" w:firstLineChars="200"/>
        <w:jc w:val="left"/>
        <w:textAlignment w:val="auto"/>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人员数量配置，根据2020年7月至2021年3月的运行情况和工作实际，治安协管人员职数确定为3</w:t>
      </w:r>
      <w:r>
        <w:rPr>
          <w:rFonts w:hint="eastAsia" w:ascii="宋体" w:hAnsi="宋体" w:cs="宋体"/>
          <w:color w:val="auto"/>
          <w:spacing w:val="-6"/>
          <w:sz w:val="24"/>
          <w:szCs w:val="24"/>
          <w:lang w:val="en-US" w:eastAsia="zh-CN"/>
        </w:rPr>
        <w:t>0</w:t>
      </w:r>
      <w:r>
        <w:rPr>
          <w:rFonts w:hint="eastAsia" w:ascii="宋体" w:hAnsi="宋体" w:eastAsia="宋体" w:cs="宋体"/>
          <w:color w:val="auto"/>
          <w:spacing w:val="-6"/>
          <w:sz w:val="24"/>
          <w:szCs w:val="24"/>
          <w:lang w:val="en-US" w:eastAsia="zh-CN"/>
        </w:rPr>
        <w:t>人，分早、中、晚三班运作。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考  核</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考核方法</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6"/>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pacing w:val="-6"/>
          <w:sz w:val="24"/>
          <w:szCs w:val="24"/>
          <w:lang w:val="en-US" w:eastAsia="zh-CN"/>
        </w:rPr>
        <w:t>每日检查</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街道治安协管对服务公司工作情况进行不间断监督检查。做好检查记录，对存在问题开具整改通知书，限时整改。</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2.每周考核</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由分管领导组织治安协管及公司负责人每周定期不定期进行检查、考核、督办。</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3.每月考核</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街道治安协管每月20日前将每日、每周考核结果汇总报分管领导，街道于每月22日前对上月每日、周考评情况进行统计，结合市区政法委等相关部门对街道的考核情况进行累计汇总，每月作为一个考核周期，依据每月检查情况制作每月督查通报，核定公司每月考核，作为工作经费拨付和奖惩依据。</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pacing w:val="-6"/>
          <w:sz w:val="24"/>
          <w:szCs w:val="24"/>
          <w:lang w:val="en-US" w:eastAsia="zh-CN"/>
        </w:rPr>
      </w:pPr>
      <w:r>
        <w:rPr>
          <w:rFonts w:hint="eastAsia" w:ascii="宋体" w:hAnsi="宋体" w:eastAsia="宋体" w:cs="宋体"/>
          <w:b/>
          <w:bCs/>
          <w:color w:val="auto"/>
          <w:spacing w:val="-6"/>
          <w:sz w:val="24"/>
          <w:szCs w:val="24"/>
          <w:lang w:val="en-US" w:eastAsia="zh-CN"/>
        </w:rPr>
        <w:t>二、考核标准</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547" w:firstLineChars="240"/>
        <w:textAlignment w:val="auto"/>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1.安全防范，向辖区居民和单位通报治安情况;宣传安全防范知识。向辖区居民和单位通报治安情况(警情通报)，每月不少于一次，少一次扣1分。</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547" w:firstLineChars="240"/>
        <w:textAlignment w:val="auto"/>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2.组织、指导辖区群防群治队伍开展安全防范工作，带领辖区(责任区)群防群治队伍治安巡逻，每半月不少于1次，每月不少于一次，未开展的，每次扣1分。</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547" w:firstLineChars="240"/>
        <w:textAlignment w:val="auto"/>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3.巡逻防控，规划巡逻方案制定巡逻方案(划区域、路线、重点、时段)，无的扣1分，不完善的扣0.5分。</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547" w:firstLineChars="240"/>
        <w:textAlignment w:val="auto"/>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4.落实开展辖区党政机关、重点要害部位、大型公共场所、校园周边、大型居民区等重点地区的治安巡逻。未完成街道规定要求，每少一次扣0.2分。</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547" w:firstLineChars="240"/>
        <w:textAlignment w:val="auto"/>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5.辖区街面、门面商铺、市场发生公共设施盗窃、(扒窃)、抢劫、抢夺、摩托车、电瓶车、汽车被盗等五种可防性案件(以区局指挥中心接警数据为准)，每件扣0.05分，抓获该案件现行的不扣，并加2分，非现行案件嫌疑人每名1分。</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547" w:firstLineChars="240"/>
        <w:textAlignment w:val="auto"/>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6.《收缴物品登记表》、《主动上交物品登记表》并与警综平台核对，数据不符的，每处扣1分。</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547" w:firstLineChars="240"/>
        <w:textAlignment w:val="auto"/>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7.防范和处理邪教工作成效明显，发生问题扣0.1分。</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547" w:firstLineChars="240"/>
        <w:textAlignment w:val="auto"/>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8.预防和处置群体性事件，发生群体性事件扣0.5分。工作有差距酌情计分。</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547" w:firstLineChars="240"/>
        <w:textAlignment w:val="auto"/>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9.预防恶性刑事案件，发生恶性刑事案件扣1分;工作有差距酌情计分。</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547" w:firstLineChars="240"/>
        <w:textAlignment w:val="auto"/>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10.防范安全生产事故成效明显，且未发生安全生产事故计1分;工作有差距酌情计分。</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547" w:firstLineChars="240"/>
        <w:textAlignment w:val="auto"/>
        <w:rPr>
          <w:rFonts w:hint="eastAsia" w:ascii="宋体" w:hAnsi="宋体" w:eastAsia="宋体" w:cs="宋体"/>
          <w:sz w:val="24"/>
          <w:szCs w:val="24"/>
          <w:lang w:val="en-US" w:eastAsia="zh-CN"/>
        </w:rPr>
      </w:pPr>
      <w:r>
        <w:rPr>
          <w:rFonts w:hint="eastAsia" w:ascii="宋体" w:hAnsi="宋体" w:eastAsia="宋体" w:cs="宋体"/>
          <w:color w:val="auto"/>
          <w:spacing w:val="-6"/>
          <w:sz w:val="24"/>
          <w:szCs w:val="24"/>
          <w:lang w:val="en-US" w:eastAsia="zh-CN"/>
        </w:rPr>
        <w:t>11.未及时完成街道工作部署任务扣1分。</w:t>
      </w:r>
    </w:p>
    <w:p>
      <w:pPr>
        <w:pStyle w:val="4"/>
        <w:rPr>
          <w:color w:val="auto"/>
          <w:sz w:val="24"/>
          <w:szCs w:val="24"/>
          <w:highlight w:val="none"/>
        </w:rPr>
      </w:pPr>
      <w:bookmarkStart w:id="12" w:name="_Toc17609"/>
      <w:r>
        <w:rPr>
          <w:rFonts w:hint="eastAsia"/>
          <w:color w:val="auto"/>
          <w:sz w:val="24"/>
          <w:szCs w:val="24"/>
          <w:highlight w:val="none"/>
        </w:rPr>
        <w:t>商务要求</w:t>
      </w:r>
      <w:bookmarkEnd w:id="4"/>
      <w:bookmarkEnd w:id="12"/>
    </w:p>
    <w:p>
      <w:pPr>
        <w:pStyle w:val="5"/>
        <w:bidi w:val="0"/>
        <w:rPr>
          <w:rFonts w:hint="eastAsia" w:ascii="宋体" w:hAnsi="宋体" w:eastAsia="宋体" w:cs="宋体"/>
          <w:sz w:val="24"/>
          <w:szCs w:val="24"/>
        </w:rPr>
      </w:pPr>
      <w:r>
        <w:rPr>
          <w:rFonts w:hint="eastAsia" w:ascii="宋体" w:hAnsi="宋体" w:eastAsia="宋体" w:cs="宋体"/>
          <w:sz w:val="24"/>
          <w:szCs w:val="24"/>
        </w:rPr>
        <w:t>服务期限</w:t>
      </w:r>
    </w:p>
    <w:p>
      <w:pPr>
        <w:ind w:firstLine="480" w:firstLineChars="200"/>
        <w:rPr>
          <w:rFonts w:hint="eastAsia" w:eastAsia="宋体"/>
          <w:lang w:val="en-US" w:eastAsia="zh-CN"/>
        </w:rPr>
      </w:pPr>
      <w:r>
        <w:rPr>
          <w:rFonts w:hint="eastAsia" w:ascii="宋体" w:hAnsi="宋体" w:cs="宋体"/>
          <w:sz w:val="24"/>
          <w:szCs w:val="24"/>
          <w:lang w:val="en-US" w:eastAsia="zh-CN"/>
        </w:rPr>
        <w:t>一年。</w:t>
      </w:r>
    </w:p>
    <w:p>
      <w:pPr>
        <w:pStyle w:val="5"/>
        <w:bidi w:val="0"/>
        <w:rPr>
          <w:rFonts w:hint="eastAsia" w:ascii="宋体" w:hAnsi="宋体" w:eastAsia="宋体" w:cs="宋体"/>
          <w:b/>
          <w:bCs/>
          <w:sz w:val="24"/>
          <w:szCs w:val="24"/>
        </w:rPr>
      </w:pPr>
      <w:r>
        <w:rPr>
          <w:rFonts w:hint="eastAsia" w:ascii="宋体" w:hAnsi="宋体" w:eastAsia="宋体" w:cs="宋体"/>
          <w:b/>
          <w:bCs/>
          <w:sz w:val="24"/>
          <w:szCs w:val="24"/>
        </w:rPr>
        <w:t>付款方式</w:t>
      </w:r>
    </w:p>
    <w:p>
      <w:pPr>
        <w:pStyle w:val="7"/>
        <w:spacing w:line="480" w:lineRule="exact"/>
        <w:ind w:firstLine="480" w:firstLineChars="200"/>
        <w:contextualSpacing/>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按月考核后拨付。</w:t>
      </w:r>
    </w:p>
    <w:p>
      <w:pPr>
        <w:pStyle w:val="5"/>
        <w:bidi w:val="0"/>
        <w:rPr>
          <w:rFonts w:hint="eastAsia" w:ascii="宋体" w:hAnsi="宋体" w:eastAsia="宋体" w:cs="宋体"/>
          <w:sz w:val="24"/>
          <w:szCs w:val="24"/>
        </w:rPr>
      </w:pPr>
      <w:r>
        <w:rPr>
          <w:rFonts w:hint="eastAsia" w:ascii="宋体" w:hAnsi="宋体" w:eastAsia="宋体" w:cs="宋体"/>
          <w:sz w:val="24"/>
          <w:szCs w:val="24"/>
        </w:rPr>
        <w:t>验收要求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ascii="宋体" w:hAnsi="宋体" w:eastAsia="宋体" w:cs="宋体"/>
          <w:b w:val="0"/>
          <w:bCs w:val="0"/>
          <w:color w:val="auto"/>
          <w:sz w:val="24"/>
          <w:szCs w:val="24"/>
          <w:highlight w:val="none"/>
          <w:lang w:val="en-US" w:eastAsia="zh-CN"/>
        </w:rPr>
        <w:t>按照《财政部关于进一步加强政府采购需求和履约验收管理的指导意见》（财库[2016]205号）执行。</w:t>
      </w:r>
    </w:p>
    <w:p>
      <w:pPr>
        <w:pStyle w:val="5"/>
        <w:pageBreakBefore w:val="0"/>
        <w:kinsoku/>
        <w:wordWrap/>
        <w:overflowPunct/>
        <w:topLinePunct w:val="0"/>
        <w:bidi w:val="0"/>
        <w:spacing w:line="360" w:lineRule="auto"/>
        <w:textAlignment w:val="auto"/>
        <w:rPr>
          <w:rFonts w:hint="eastAsia" w:ascii="宋体" w:hAnsi="宋体" w:eastAsia="宋体" w:cs="宋体"/>
          <w:b/>
          <w:bCs/>
          <w:color w:val="auto"/>
          <w:sz w:val="24"/>
          <w:szCs w:val="24"/>
          <w:highlight w:val="none"/>
        </w:rPr>
      </w:pPr>
      <w:bookmarkStart w:id="13" w:name="_Toc21146"/>
      <w:r>
        <w:rPr>
          <w:rFonts w:hint="eastAsia" w:ascii="宋体" w:hAnsi="宋体" w:eastAsia="宋体" w:cs="宋体"/>
          <w:b/>
          <w:bCs/>
          <w:color w:val="auto"/>
          <w:sz w:val="24"/>
          <w:szCs w:val="24"/>
          <w:highlight w:val="none"/>
        </w:rPr>
        <w:t>最高限价</w:t>
      </w:r>
      <w:bookmarkEnd w:id="13"/>
    </w:p>
    <w:p>
      <w:pPr>
        <w:pageBreakBefore w:val="0"/>
        <w:tabs>
          <w:tab w:val="left" w:pos="0"/>
          <w:tab w:val="left" w:pos="585"/>
        </w:tabs>
        <w:kinsoku/>
        <w:wordWrap/>
        <w:overflowPunct/>
        <w:topLinePunct w:val="0"/>
        <w:autoSpaceDE/>
        <w:autoSpaceDN/>
        <w:bidi w:val="0"/>
        <w:adjustRightInd/>
        <w:snapToGrid/>
        <w:spacing w:line="360" w:lineRule="auto"/>
        <w:ind w:left="0" w:leftChars="0" w:right="0" w:rightChars="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rPr>
        <w:t>★本项目</w:t>
      </w:r>
      <w:r>
        <w:rPr>
          <w:rFonts w:hint="eastAsia" w:ascii="宋体" w:hAnsi="宋体" w:eastAsia="宋体" w:cs="宋体"/>
          <w:b/>
          <w:color w:val="auto"/>
          <w:kern w:val="0"/>
          <w:sz w:val="24"/>
          <w:szCs w:val="24"/>
          <w:highlight w:val="none"/>
          <w:lang w:val="en-US" w:eastAsia="zh-CN"/>
        </w:rPr>
        <w:t>最高限价</w:t>
      </w:r>
      <w:r>
        <w:rPr>
          <w:rFonts w:hint="eastAsia" w:ascii="宋体" w:hAnsi="宋体" w:cs="宋体"/>
          <w:b/>
          <w:color w:val="auto"/>
          <w:kern w:val="0"/>
          <w:sz w:val="24"/>
          <w:szCs w:val="24"/>
          <w:highlight w:val="none"/>
          <w:lang w:val="en-US" w:eastAsia="zh-CN"/>
        </w:rPr>
        <w:t>250万元</w:t>
      </w:r>
      <w:r>
        <w:rPr>
          <w:rFonts w:hint="eastAsia" w:ascii="宋体" w:hAnsi="宋体" w:eastAsia="宋体" w:cs="宋体"/>
          <w:b/>
          <w:color w:val="auto"/>
          <w:kern w:val="0"/>
          <w:sz w:val="24"/>
          <w:szCs w:val="24"/>
          <w:highlight w:val="none"/>
          <w:lang w:val="en-US" w:eastAsia="zh-CN"/>
        </w:rPr>
        <w:t>，</w:t>
      </w:r>
      <w:r>
        <w:rPr>
          <w:rFonts w:hint="eastAsia" w:ascii="宋体" w:hAnsi="宋体" w:eastAsia="宋体" w:cs="宋体"/>
          <w:b/>
          <w:color w:val="auto"/>
          <w:kern w:val="0"/>
          <w:sz w:val="24"/>
          <w:szCs w:val="24"/>
          <w:highlight w:val="none"/>
          <w:lang w:eastAsia="zh-CN"/>
        </w:rPr>
        <w:t>供应商</w:t>
      </w:r>
      <w:r>
        <w:rPr>
          <w:rFonts w:hint="eastAsia" w:ascii="宋体" w:hAnsi="宋体" w:eastAsia="宋体" w:cs="宋体"/>
          <w:b/>
          <w:color w:val="auto"/>
          <w:kern w:val="0"/>
          <w:sz w:val="24"/>
          <w:szCs w:val="24"/>
          <w:highlight w:val="none"/>
          <w:lang w:val="en-US" w:eastAsia="zh-CN"/>
        </w:rPr>
        <w:t>报价</w:t>
      </w:r>
      <w:r>
        <w:rPr>
          <w:rFonts w:hint="eastAsia" w:ascii="宋体" w:hAnsi="宋体" w:eastAsia="宋体" w:cs="宋体"/>
          <w:b/>
          <w:color w:val="auto"/>
          <w:kern w:val="0"/>
          <w:sz w:val="24"/>
          <w:szCs w:val="24"/>
          <w:highlight w:val="none"/>
          <w:lang w:eastAsia="zh-CN"/>
        </w:rPr>
        <w:t>高于最高限价</w:t>
      </w:r>
      <w:r>
        <w:rPr>
          <w:rFonts w:hint="eastAsia" w:ascii="宋体" w:hAnsi="宋体" w:eastAsia="宋体" w:cs="宋体"/>
          <w:b/>
          <w:color w:val="auto"/>
          <w:kern w:val="0"/>
          <w:sz w:val="24"/>
          <w:szCs w:val="24"/>
          <w:highlight w:val="none"/>
        </w:rPr>
        <w:t>的</w:t>
      </w:r>
      <w:r>
        <w:rPr>
          <w:rFonts w:hint="eastAsia" w:ascii="宋体" w:hAnsi="宋体" w:eastAsia="宋体" w:cs="宋体"/>
          <w:b/>
          <w:color w:val="auto"/>
          <w:kern w:val="0"/>
          <w:sz w:val="24"/>
          <w:szCs w:val="24"/>
          <w:highlight w:val="none"/>
          <w:lang w:eastAsia="zh-CN"/>
        </w:rPr>
        <w:t>，</w:t>
      </w:r>
      <w:r>
        <w:rPr>
          <w:rFonts w:hint="eastAsia" w:ascii="宋体" w:hAnsi="宋体" w:eastAsia="宋体" w:cs="宋体"/>
          <w:b/>
          <w:color w:val="auto"/>
          <w:kern w:val="0"/>
          <w:sz w:val="24"/>
          <w:szCs w:val="24"/>
          <w:highlight w:val="none"/>
        </w:rPr>
        <w:t>其</w:t>
      </w:r>
      <w:r>
        <w:rPr>
          <w:rFonts w:hint="eastAsia" w:ascii="宋体" w:hAnsi="宋体" w:eastAsia="宋体" w:cs="宋体"/>
          <w:b/>
          <w:color w:val="auto"/>
          <w:kern w:val="0"/>
          <w:sz w:val="24"/>
          <w:szCs w:val="24"/>
          <w:highlight w:val="none"/>
          <w:lang w:eastAsia="zh-CN"/>
        </w:rPr>
        <w:t>响应</w:t>
      </w:r>
      <w:r>
        <w:rPr>
          <w:rFonts w:hint="eastAsia" w:ascii="宋体" w:hAnsi="宋体" w:eastAsia="宋体" w:cs="宋体"/>
          <w:b/>
          <w:color w:val="auto"/>
          <w:kern w:val="0"/>
          <w:sz w:val="24"/>
          <w:szCs w:val="24"/>
          <w:highlight w:val="none"/>
        </w:rPr>
        <w:t>文件将按无效</w:t>
      </w:r>
      <w:r>
        <w:rPr>
          <w:rFonts w:hint="eastAsia" w:ascii="宋体" w:hAnsi="宋体" w:eastAsia="宋体" w:cs="宋体"/>
          <w:b/>
          <w:color w:val="auto"/>
          <w:kern w:val="0"/>
          <w:sz w:val="24"/>
          <w:szCs w:val="24"/>
          <w:highlight w:val="none"/>
          <w:lang w:eastAsia="zh-CN"/>
        </w:rPr>
        <w:t>响应</w:t>
      </w:r>
      <w:r>
        <w:rPr>
          <w:rFonts w:hint="eastAsia" w:ascii="宋体" w:hAnsi="宋体" w:eastAsia="宋体" w:cs="宋体"/>
          <w:b/>
          <w:color w:val="auto"/>
          <w:kern w:val="0"/>
          <w:sz w:val="24"/>
          <w:szCs w:val="24"/>
          <w:highlight w:val="none"/>
        </w:rPr>
        <w:t>文件处理。</w:t>
      </w:r>
      <w:r>
        <w:rPr>
          <w:rFonts w:hint="eastAsia" w:ascii="宋体" w:hAnsi="宋体" w:eastAsia="宋体" w:cs="宋体"/>
          <w:b/>
          <w:color w:val="auto"/>
          <w:sz w:val="24"/>
          <w:szCs w:val="24"/>
          <w:highlight w:val="none"/>
        </w:rPr>
        <w:t xml:space="preserve"> </w:t>
      </w:r>
    </w:p>
    <w:p>
      <w:pPr>
        <w:pStyle w:val="6"/>
        <w:pageBreakBefore w:val="0"/>
        <w:kinsoku/>
        <w:wordWrap/>
        <w:overflowPunct/>
        <w:topLinePunct w:val="0"/>
        <w:bidi w:val="0"/>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注：本章及合同条款均属于磋商内容，在磋商过程中均可变更（含实质性变更）。</w:t>
      </w:r>
    </w:p>
    <w:p>
      <w:pPr>
        <w:pStyle w:val="6"/>
        <w:pageBreakBefore w:val="0"/>
        <w:kinsoku/>
        <w:wordWrap/>
        <w:overflowPunct/>
        <w:topLinePunct w:val="0"/>
        <w:bidi w:val="0"/>
        <w:spacing w:line="360" w:lineRule="auto"/>
        <w:ind w:firstLine="964" w:firstLineChars="4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本章加★条款为采购项目实质性要求，不允许有负偏离。</w:t>
      </w:r>
    </w:p>
    <w:p>
      <w:pPr>
        <w:pStyle w:val="6"/>
        <w:pageBreakBefore w:val="0"/>
        <w:kinsoku/>
        <w:wordWrap/>
        <w:overflowPunct/>
        <w:topLinePunct w:val="0"/>
        <w:bidi w:val="0"/>
        <w:spacing w:line="360" w:lineRule="auto"/>
        <w:ind w:firstLine="964" w:firstLineChars="4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本章所列内容（含加★的）均可在磋商过程中进行响应。</w:t>
      </w:r>
    </w:p>
    <w:p>
      <w:pPr>
        <w:pStyle w:val="6"/>
        <w:rPr>
          <w:color w:val="auto"/>
          <w:highlight w:val="none"/>
        </w:rPr>
      </w:pPr>
    </w:p>
    <w:p>
      <w:bookmarkStart w:id="14" w:name="_GoBack"/>
      <w:bookmarkEnd w:id="1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D97E5E"/>
    <w:multiLevelType w:val="singleLevel"/>
    <w:tmpl w:val="83D97E5E"/>
    <w:lvl w:ilvl="0" w:tentative="0">
      <w:start w:val="3"/>
      <w:numFmt w:val="decimal"/>
      <w:lvlText w:val="%1."/>
      <w:lvlJc w:val="left"/>
      <w:pPr>
        <w:tabs>
          <w:tab w:val="left" w:pos="312"/>
        </w:tabs>
      </w:pPr>
    </w:lvl>
  </w:abstractNum>
  <w:abstractNum w:abstractNumId="1">
    <w:nsid w:val="A98C0278"/>
    <w:multiLevelType w:val="singleLevel"/>
    <w:tmpl w:val="A98C0278"/>
    <w:lvl w:ilvl="0" w:tentative="0">
      <w:start w:val="1"/>
      <w:numFmt w:val="chineseCounting"/>
      <w:suff w:val="nothing"/>
      <w:lvlText w:val="%1、"/>
      <w:lvlJc w:val="left"/>
      <w:pPr>
        <w:ind w:left="0" w:firstLine="420"/>
      </w:pPr>
      <w:rPr>
        <w:rFonts w:hint="eastAsia"/>
      </w:rPr>
    </w:lvl>
  </w:abstractNum>
  <w:abstractNum w:abstractNumId="2">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851"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851"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1843"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3">
    <w:nsid w:val="0289EF98"/>
    <w:multiLevelType w:val="singleLevel"/>
    <w:tmpl w:val="0289EF98"/>
    <w:lvl w:ilvl="0" w:tentative="0">
      <w:start w:val="1"/>
      <w:numFmt w:val="chineseCounting"/>
      <w:suff w:val="nothing"/>
      <w:lvlText w:val="%1、"/>
      <w:lvlJc w:val="left"/>
      <w:pPr>
        <w:ind w:left="0" w:firstLine="420"/>
      </w:pPr>
      <w:rPr>
        <w:rFonts w:hint="eastAsia"/>
      </w:rPr>
    </w:lvl>
  </w:abstractNum>
  <w:abstractNum w:abstractNumId="4">
    <w:nsid w:val="49D4E66D"/>
    <w:multiLevelType w:val="singleLevel"/>
    <w:tmpl w:val="49D4E66D"/>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0D6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qFormat/>
    <w:uiPriority w:val="0"/>
    <w:pPr>
      <w:keepNext/>
      <w:keepLines/>
      <w:numPr>
        <w:ilvl w:val="0"/>
        <w:numId w:val="1"/>
      </w:numPr>
      <w:spacing w:line="360" w:lineRule="auto"/>
      <w:ind w:left="0" w:firstLine="0"/>
      <w:jc w:val="center"/>
      <w:outlineLvl w:val="0"/>
    </w:pPr>
    <w:rPr>
      <w:rFonts w:ascii="宋体" w:hAnsi="宋体"/>
      <w:b/>
      <w:bCs/>
      <w:kern w:val="44"/>
      <w:sz w:val="32"/>
      <w:szCs w:val="32"/>
    </w:rPr>
  </w:style>
  <w:style w:type="paragraph" w:styleId="4">
    <w:name w:val="heading 2"/>
    <w:basedOn w:val="1"/>
    <w:next w:val="1"/>
    <w:qFormat/>
    <w:uiPriority w:val="0"/>
    <w:pPr>
      <w:keepNext/>
      <w:keepLines/>
      <w:widowControl w:val="0"/>
      <w:numPr>
        <w:ilvl w:val="1"/>
        <w:numId w:val="1"/>
      </w:numPr>
      <w:tabs>
        <w:tab w:val="left" w:pos="426"/>
        <w:tab w:val="left" w:pos="567"/>
      </w:tabs>
      <w:spacing w:line="360" w:lineRule="auto"/>
      <w:ind w:left="0" w:firstLine="0"/>
      <w:outlineLvl w:val="1"/>
    </w:pPr>
    <w:rPr>
      <w:rFonts w:ascii="宋体" w:hAnsi="宋体"/>
      <w:b/>
      <w:bCs/>
      <w:iCs/>
      <w:sz w:val="28"/>
      <w:szCs w:val="28"/>
    </w:rPr>
  </w:style>
  <w:style w:type="paragraph" w:styleId="5">
    <w:name w:val="heading 3"/>
    <w:basedOn w:val="1"/>
    <w:next w:val="1"/>
    <w:qFormat/>
    <w:uiPriority w:val="0"/>
    <w:pPr>
      <w:keepNext/>
      <w:keepLines/>
      <w:widowControl w:val="0"/>
      <w:numPr>
        <w:ilvl w:val="2"/>
        <w:numId w:val="1"/>
      </w:numPr>
      <w:spacing w:line="360" w:lineRule="auto"/>
      <w:ind w:left="0" w:firstLine="640" w:firstLineChars="200"/>
      <w:outlineLvl w:val="2"/>
    </w:pPr>
    <w:rPr>
      <w:rFonts w:ascii="宋体" w:hAnsi="宋体"/>
      <w:b/>
      <w:bCs/>
      <w:color w:val="000000"/>
      <w:kern w:val="2"/>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99"/>
    <w:pPr>
      <w:snapToGrid w:val="0"/>
      <w:jc w:val="left"/>
    </w:pPr>
    <w:rPr>
      <w:rFonts w:cs="Times New Roman"/>
      <w:kern w:val="0"/>
      <w:sz w:val="18"/>
      <w:szCs w:val="18"/>
    </w:rPr>
  </w:style>
  <w:style w:type="paragraph" w:styleId="6">
    <w:name w:val="Body Text"/>
    <w:basedOn w:val="1"/>
    <w:next w:val="1"/>
    <w:qFormat/>
    <w:uiPriority w:val="0"/>
    <w:pPr>
      <w:spacing w:after="120"/>
    </w:pPr>
  </w:style>
  <w:style w:type="paragraph" w:styleId="7">
    <w:name w:val="Plain Text"/>
    <w:basedOn w:val="1"/>
    <w:qFormat/>
    <w:uiPriority w:val="0"/>
    <w:pPr>
      <w:widowControl w:val="0"/>
      <w:autoSpaceDE w:val="0"/>
      <w:autoSpaceDN w:val="0"/>
      <w:adjustRightInd w:val="0"/>
      <w:jc w:val="both"/>
    </w:pPr>
    <w:rPr>
      <w:rFonts w:ascii="宋体" w:hAnsi="Tms Rmn"/>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2021-05-27T05:19:43Z</dcterms:created>
  <dc:creator>Administrator</dc:creator>
  <cp:lastModifiedBy>Wàн°</cp:lastModifiedBy>
  <dcterms:modified xsi:type="dcterms:W3CDTF">2021-05-27T05:20:20Z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63C87EDFD1B04F2DB35D71E129B0D691</vt:lpwstr>
  </property>
</Properties>
</file>