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sz w:val="44"/>
        </w:rPr>
      </w:pPr>
    </w:p>
    <w:p>
      <w:pPr>
        <w:snapToGrid w:val="0"/>
        <w:spacing w:line="360" w:lineRule="auto"/>
        <w:jc w:val="center"/>
        <w:rPr>
          <w:rFonts w:hint="eastAsia" w:asciiTheme="minorEastAsia" w:hAnsiTheme="minorEastAsia" w:eastAsiaTheme="minorEastAsia"/>
          <w:b/>
          <w:color w:val="auto"/>
          <w:sz w:val="44"/>
          <w:lang w:eastAsia="zh-CN"/>
        </w:rPr>
      </w:pPr>
      <w:r>
        <w:rPr>
          <w:rFonts w:hint="eastAsia" w:asciiTheme="minorEastAsia" w:hAnsiTheme="minorEastAsia"/>
          <w:b/>
          <w:sz w:val="44"/>
        </w:rPr>
        <w:t>项目编号</w:t>
      </w:r>
      <w:r>
        <w:rPr>
          <w:rFonts w:hint="eastAsia" w:asciiTheme="minorEastAsia" w:hAnsiTheme="minorEastAsia"/>
          <w:b/>
          <w:color w:val="auto"/>
          <w:sz w:val="44"/>
        </w:rPr>
        <w:t>：</w:t>
      </w:r>
      <w:r>
        <w:rPr>
          <w:rFonts w:hint="eastAsia" w:asciiTheme="minorEastAsia" w:hAnsiTheme="minorEastAsia"/>
          <w:b/>
          <w:color w:val="auto"/>
          <w:sz w:val="44"/>
          <w:lang w:eastAsia="zh-CN"/>
        </w:rPr>
        <w:t>510118202100050</w:t>
      </w:r>
    </w:p>
    <w:p>
      <w:pPr>
        <w:snapToGrid w:val="0"/>
        <w:spacing w:line="360" w:lineRule="auto"/>
        <w:jc w:val="center"/>
        <w:rPr>
          <w:rFonts w:hint="eastAsia" w:asciiTheme="minorEastAsia" w:hAnsiTheme="minorEastAsia"/>
          <w:b/>
          <w:color w:val="auto"/>
          <w:sz w:val="44"/>
        </w:rPr>
      </w:pPr>
      <w:r>
        <w:rPr>
          <w:rFonts w:hint="eastAsia" w:asciiTheme="minorEastAsia" w:hAnsiTheme="minorEastAsia"/>
          <w:b/>
          <w:color w:val="auto"/>
          <w:sz w:val="44"/>
        </w:rPr>
        <w:t>成都东部新区高明镇专职网格员服务</w:t>
      </w:r>
    </w:p>
    <w:p>
      <w:pPr>
        <w:snapToGrid w:val="0"/>
        <w:spacing w:line="360" w:lineRule="auto"/>
        <w:jc w:val="center"/>
        <w:rPr>
          <w:rFonts w:asciiTheme="minorEastAsia" w:hAnsiTheme="minorEastAsia"/>
          <w:b/>
          <w:color w:val="auto"/>
          <w:sz w:val="44"/>
        </w:rPr>
      </w:pPr>
      <w:r>
        <w:rPr>
          <w:rFonts w:hint="eastAsia" w:asciiTheme="minorEastAsia" w:hAnsiTheme="minorEastAsia"/>
          <w:b/>
          <w:color w:val="auto"/>
          <w:sz w:val="44"/>
        </w:rPr>
        <w:t>采购项目</w:t>
      </w:r>
    </w:p>
    <w:p>
      <w:pPr>
        <w:snapToGrid w:val="0"/>
        <w:spacing w:line="360" w:lineRule="auto"/>
        <w:jc w:val="center"/>
        <w:rPr>
          <w:rFonts w:asciiTheme="minorEastAsia" w:hAnsiTheme="minorEastAsia"/>
          <w:b/>
          <w:sz w:val="44"/>
        </w:rPr>
      </w:pPr>
    </w:p>
    <w:p>
      <w:pPr>
        <w:snapToGrid w:val="0"/>
        <w:jc w:val="center"/>
        <w:rPr>
          <w:rFonts w:asciiTheme="minorEastAsia" w:hAnsiTheme="minorEastAsia"/>
          <w:b/>
          <w:sz w:val="72"/>
        </w:rPr>
      </w:pPr>
      <w:r>
        <w:rPr>
          <w:rFonts w:hint="eastAsia" w:asciiTheme="minorEastAsia" w:hAnsiTheme="minorEastAsia"/>
          <w:b/>
          <w:sz w:val="72"/>
        </w:rPr>
        <w:t>磋</w:t>
      </w:r>
    </w:p>
    <w:p>
      <w:pPr>
        <w:snapToGrid w:val="0"/>
        <w:jc w:val="center"/>
        <w:rPr>
          <w:rFonts w:asciiTheme="minorEastAsia" w:hAnsiTheme="minorEastAsia"/>
          <w:b/>
          <w:sz w:val="72"/>
        </w:rPr>
      </w:pPr>
      <w:r>
        <w:rPr>
          <w:rFonts w:hint="eastAsia" w:asciiTheme="minorEastAsia" w:hAnsiTheme="minorEastAsia"/>
          <w:b/>
          <w:sz w:val="72"/>
        </w:rPr>
        <w:t>商</w:t>
      </w:r>
    </w:p>
    <w:p>
      <w:pPr>
        <w:snapToGrid w:val="0"/>
        <w:jc w:val="center"/>
        <w:rPr>
          <w:rFonts w:asciiTheme="minorEastAsia" w:hAnsiTheme="minorEastAsia"/>
          <w:b/>
          <w:sz w:val="72"/>
        </w:rPr>
      </w:pPr>
      <w:r>
        <w:rPr>
          <w:rFonts w:hint="eastAsia" w:asciiTheme="minorEastAsia" w:hAnsiTheme="minorEastAsia"/>
          <w:b/>
          <w:sz w:val="72"/>
        </w:rPr>
        <w:t>文</w:t>
      </w:r>
    </w:p>
    <w:p>
      <w:pPr>
        <w:snapToGrid w:val="0"/>
        <w:jc w:val="center"/>
        <w:rPr>
          <w:rFonts w:asciiTheme="minorEastAsia" w:hAnsiTheme="minorEastAsia"/>
          <w:b/>
        </w:rPr>
      </w:pPr>
      <w:r>
        <w:rPr>
          <w:rFonts w:hint="eastAsia" w:asciiTheme="minorEastAsia" w:hAnsiTheme="minorEastAsia"/>
          <w:b/>
          <w:sz w:val="72"/>
        </w:rPr>
        <w:t>件</w:t>
      </w:r>
    </w:p>
    <w:p>
      <w:pPr>
        <w:snapToGrid w:val="0"/>
        <w:spacing w:line="360" w:lineRule="auto"/>
        <w:jc w:val="center"/>
        <w:rPr>
          <w:rFonts w:asciiTheme="minorEastAsia" w:hAnsiTheme="minorEastAsia"/>
          <w:b/>
          <w:sz w:val="32"/>
        </w:rPr>
      </w:pPr>
    </w:p>
    <w:p>
      <w:pPr>
        <w:pStyle w:val="2"/>
        <w:rPr>
          <w:b/>
        </w:rPr>
      </w:pPr>
    </w:p>
    <w:p>
      <w:pPr>
        <w:snapToGrid w:val="0"/>
        <w:spacing w:line="360" w:lineRule="auto"/>
        <w:jc w:val="center"/>
        <w:rPr>
          <w:rFonts w:asciiTheme="minorEastAsia" w:hAnsiTheme="minorEastAsia"/>
          <w:b/>
          <w:sz w:val="32"/>
        </w:rPr>
      </w:pPr>
    </w:p>
    <w:p>
      <w:pPr>
        <w:snapToGrid w:val="0"/>
        <w:spacing w:line="360" w:lineRule="auto"/>
        <w:jc w:val="center"/>
        <w:rPr>
          <w:rFonts w:asciiTheme="minorEastAsia" w:hAnsiTheme="minorEastAsia"/>
          <w:b/>
          <w:sz w:val="32"/>
        </w:rPr>
      </w:pPr>
      <w:r>
        <w:rPr>
          <w:rFonts w:hint="eastAsia" w:asciiTheme="minorEastAsia" w:hAnsiTheme="minorEastAsia"/>
          <w:b/>
          <w:sz w:val="32"/>
        </w:rPr>
        <w:t>采购人：成都东部新区高明镇人民政府</w:t>
      </w:r>
    </w:p>
    <w:p>
      <w:pPr>
        <w:snapToGrid w:val="0"/>
        <w:spacing w:line="360" w:lineRule="auto"/>
        <w:jc w:val="center"/>
        <w:rPr>
          <w:rFonts w:asciiTheme="minorEastAsia" w:hAnsiTheme="minorEastAsia"/>
          <w:b/>
          <w:sz w:val="32"/>
        </w:rPr>
      </w:pPr>
      <w:r>
        <w:rPr>
          <w:rFonts w:hint="eastAsia" w:asciiTheme="minorEastAsia" w:hAnsiTheme="minorEastAsia"/>
          <w:b/>
          <w:sz w:val="32"/>
        </w:rPr>
        <w:t>采购代理机构：四川全诚招标代理有限公司</w:t>
      </w:r>
    </w:p>
    <w:p>
      <w:pPr>
        <w:snapToGrid w:val="0"/>
        <w:spacing w:line="360" w:lineRule="auto"/>
        <w:jc w:val="center"/>
        <w:rPr>
          <w:rFonts w:asciiTheme="minorEastAsia" w:hAnsiTheme="minorEastAsia"/>
          <w:b/>
          <w:sz w:val="32"/>
        </w:rPr>
      </w:pPr>
      <w:r>
        <w:rPr>
          <w:rFonts w:hint="eastAsia" w:asciiTheme="minorEastAsia" w:hAnsiTheme="minorEastAsia"/>
          <w:b/>
          <w:sz w:val="32"/>
        </w:rPr>
        <w:t>共同编制</w:t>
      </w:r>
    </w:p>
    <w:p>
      <w:pPr>
        <w:snapToGrid w:val="0"/>
        <w:spacing w:line="360" w:lineRule="auto"/>
        <w:jc w:val="center"/>
        <w:rPr>
          <w:rFonts w:asciiTheme="minorEastAsia" w:hAnsiTheme="minorEastAsia"/>
          <w:b/>
          <w:sz w:val="32"/>
        </w:rPr>
      </w:pPr>
      <w:r>
        <w:rPr>
          <w:rFonts w:hint="eastAsia" w:asciiTheme="minorEastAsia" w:hAnsiTheme="minorEastAsia"/>
          <w:b/>
          <w:sz w:val="32"/>
        </w:rPr>
        <w:t>二〇二一年七月</w:t>
      </w:r>
      <w:bookmarkStart w:id="0" w:name="_Toc525999255"/>
      <w:bookmarkStart w:id="1" w:name="_Toc24017274"/>
      <w:bookmarkStart w:id="2" w:name="_Toc24017616"/>
      <w:bookmarkStart w:id="3" w:name="_Toc518483519"/>
      <w:bookmarkStart w:id="4" w:name="_Toc24017320"/>
      <w:bookmarkStart w:id="5" w:name="_Toc525980201"/>
      <w:bookmarkStart w:id="6" w:name="_Toc517270454"/>
      <w:bookmarkStart w:id="7" w:name="_Toc517271088"/>
      <w:bookmarkStart w:id="8" w:name="_Toc522545809"/>
      <w:bookmarkStart w:id="9" w:name="_Toc11835032"/>
    </w:p>
    <w:p>
      <w:pPr>
        <w:rPr>
          <w:rFonts w:asciiTheme="minorEastAsia" w:hAnsiTheme="minorEastAsia" w:cstheme="majorBidi"/>
          <w:bCs/>
          <w:kern w:val="28"/>
          <w:sz w:val="44"/>
          <w:szCs w:val="44"/>
        </w:rPr>
      </w:pPr>
      <w:bookmarkStart w:id="10" w:name="_Toc44237523"/>
    </w:p>
    <w:p>
      <w:pPr>
        <w:rPr>
          <w:rFonts w:asciiTheme="minorEastAsia" w:hAnsiTheme="minorEastAsia" w:cstheme="majorBidi"/>
          <w:bCs/>
          <w:kern w:val="28"/>
          <w:sz w:val="44"/>
          <w:szCs w:val="44"/>
        </w:rPr>
      </w:pPr>
    </w:p>
    <w:p>
      <w:pPr>
        <w:pStyle w:val="35"/>
        <w:spacing w:line="480" w:lineRule="auto"/>
        <w:rPr>
          <w:rFonts w:asciiTheme="minorEastAsia" w:hAnsiTheme="minorEastAsia" w:eastAsiaTheme="minorEastAsia"/>
          <w:b w:val="0"/>
          <w:sz w:val="44"/>
          <w:szCs w:val="44"/>
        </w:rPr>
      </w:pPr>
      <w:r>
        <w:rPr>
          <w:rFonts w:hint="eastAsia" w:asciiTheme="minorEastAsia" w:hAnsiTheme="minorEastAsia" w:eastAsiaTheme="minorEastAsia"/>
          <w:b w:val="0"/>
          <w:sz w:val="44"/>
          <w:szCs w:val="44"/>
        </w:rPr>
        <w:t>目 录</w:t>
      </w:r>
      <w:bookmarkEnd w:id="0"/>
      <w:bookmarkEnd w:id="1"/>
      <w:bookmarkEnd w:id="2"/>
      <w:bookmarkEnd w:id="3"/>
      <w:bookmarkEnd w:id="4"/>
      <w:bookmarkEnd w:id="5"/>
      <w:bookmarkEnd w:id="6"/>
      <w:bookmarkEnd w:id="7"/>
      <w:bookmarkEnd w:id="8"/>
      <w:bookmarkEnd w:id="9"/>
      <w:bookmarkEnd w:id="10"/>
      <w:r>
        <w:rPr>
          <w:rFonts w:asciiTheme="minorEastAsia" w:hAnsiTheme="minorEastAsia" w:eastAsiaTheme="minorEastAsia"/>
          <w:b w:val="0"/>
          <w:sz w:val="44"/>
          <w:szCs w:val="44"/>
        </w:rPr>
        <w:fldChar w:fldCharType="begin"/>
      </w:r>
      <w:r>
        <w:rPr>
          <w:rFonts w:asciiTheme="minorEastAsia" w:hAnsiTheme="minorEastAsia" w:eastAsiaTheme="minorEastAsia"/>
          <w:b w:val="0"/>
          <w:sz w:val="44"/>
          <w:szCs w:val="44"/>
        </w:rPr>
        <w:instrText xml:space="preserve"> TOC \o "1-1" \h \z \u </w:instrText>
      </w:r>
      <w:r>
        <w:rPr>
          <w:rFonts w:asciiTheme="minorEastAsia" w:hAnsiTheme="minorEastAsia" w:eastAsiaTheme="minorEastAsia"/>
          <w:b w:val="0"/>
          <w:sz w:val="44"/>
          <w:szCs w:val="44"/>
        </w:rPr>
        <w:fldChar w:fldCharType="separate"/>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"_Toc44237524" </w:instrText>
      </w:r>
      <w:r>
        <w:fldChar w:fldCharType="separate"/>
      </w:r>
      <w:r>
        <w:rPr>
          <w:rStyle w:val="47"/>
          <w:rFonts w:hint="eastAsia" w:asciiTheme="minorEastAsia" w:hAnsiTheme="minorEastAsia"/>
          <w:b w:val="0"/>
          <w:color w:val="auto"/>
          <w:sz w:val="24"/>
          <w:szCs w:val="24"/>
        </w:rPr>
        <w:t>第一章 竞争性磋商公告</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_Toc44237524 \h </w:instrText>
      </w:r>
      <w:r>
        <w:rPr>
          <w:rFonts w:asciiTheme="minorEastAsia" w:hAnsiTheme="minorEastAsia"/>
          <w:b w:val="0"/>
          <w:sz w:val="24"/>
          <w:szCs w:val="24"/>
        </w:rPr>
        <w:fldChar w:fldCharType="separate"/>
      </w:r>
      <w:r>
        <w:rPr>
          <w:rFonts w:asciiTheme="minorEastAsia" w:hAnsiTheme="minorEastAsia"/>
          <w:b w:val="0"/>
          <w:sz w:val="24"/>
          <w:szCs w:val="24"/>
        </w:rPr>
        <w:t>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"_Toc44237525" </w:instrText>
      </w:r>
      <w:r>
        <w:fldChar w:fldCharType="separate"/>
      </w:r>
      <w:r>
        <w:rPr>
          <w:rStyle w:val="47"/>
          <w:rFonts w:hint="eastAsia" w:asciiTheme="minorEastAsia" w:hAnsiTheme="minorEastAsia"/>
          <w:b w:val="0"/>
          <w:color w:val="auto"/>
          <w:sz w:val="24"/>
          <w:szCs w:val="24"/>
        </w:rPr>
        <w:t>第二章 磋商须知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_Toc44237525 \h </w:instrText>
      </w:r>
      <w:r>
        <w:rPr>
          <w:rFonts w:asciiTheme="minorEastAsia" w:hAnsiTheme="minorEastAsia"/>
          <w:b w:val="0"/>
          <w:sz w:val="24"/>
          <w:szCs w:val="24"/>
        </w:rPr>
        <w:fldChar w:fldCharType="separate"/>
      </w:r>
      <w:r>
        <w:rPr>
          <w:rFonts w:asciiTheme="minorEastAsia" w:hAnsiTheme="minorEastAsia"/>
          <w:b w:val="0"/>
          <w:sz w:val="24"/>
          <w:szCs w:val="24"/>
        </w:rPr>
        <w:t>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"_Toc44237526" </w:instrText>
      </w:r>
      <w:r>
        <w:fldChar w:fldCharType="separate"/>
      </w:r>
      <w:r>
        <w:rPr>
          <w:rStyle w:val="47"/>
          <w:rFonts w:hint="eastAsia" w:asciiTheme="minorEastAsia" w:hAnsiTheme="minorEastAsia"/>
          <w:b w:val="0"/>
          <w:color w:val="auto"/>
          <w:sz w:val="24"/>
          <w:szCs w:val="24"/>
        </w:rPr>
        <w:t>第三章 供应商资格条件要求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_Toc44237526 \h </w:instrText>
      </w:r>
      <w:r>
        <w:rPr>
          <w:rFonts w:asciiTheme="minorEastAsia" w:hAnsiTheme="minorEastAsia"/>
          <w:b w:val="0"/>
          <w:sz w:val="24"/>
          <w:szCs w:val="24"/>
        </w:rPr>
        <w:fldChar w:fldCharType="separate"/>
      </w:r>
      <w:r>
        <w:rPr>
          <w:rFonts w:asciiTheme="minorEastAsia" w:hAnsiTheme="minorEastAsia"/>
          <w:b w:val="0"/>
          <w:sz w:val="24"/>
          <w:szCs w:val="24"/>
        </w:rPr>
        <w:t>25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"_Toc44237527" </w:instrText>
      </w:r>
      <w:r>
        <w:fldChar w:fldCharType="separate"/>
      </w:r>
      <w:r>
        <w:rPr>
          <w:rStyle w:val="47"/>
          <w:rFonts w:hint="eastAsia" w:asciiTheme="minorEastAsia" w:hAnsiTheme="minorEastAsia"/>
          <w:b w:val="0"/>
          <w:color w:val="auto"/>
          <w:sz w:val="24"/>
          <w:szCs w:val="24"/>
        </w:rPr>
        <w:t>第四章 供应商资格证明材料</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_Toc44237527 \h </w:instrText>
      </w:r>
      <w:r>
        <w:rPr>
          <w:rFonts w:asciiTheme="minorEastAsia" w:hAnsiTheme="minorEastAsia"/>
          <w:b w:val="0"/>
          <w:sz w:val="24"/>
          <w:szCs w:val="24"/>
        </w:rPr>
        <w:fldChar w:fldCharType="separate"/>
      </w:r>
      <w:r>
        <w:rPr>
          <w:rFonts w:asciiTheme="minorEastAsia" w:hAnsiTheme="minorEastAsia"/>
          <w:b w:val="0"/>
          <w:sz w:val="24"/>
          <w:szCs w:val="24"/>
        </w:rPr>
        <w:t>26</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"_Toc44237528" </w:instrText>
      </w:r>
      <w:r>
        <w:fldChar w:fldCharType="separate"/>
      </w:r>
      <w:r>
        <w:rPr>
          <w:rStyle w:val="47"/>
          <w:rFonts w:hint="eastAsia" w:asciiTheme="minorEastAsia" w:hAnsiTheme="minorEastAsia"/>
          <w:b w:val="0"/>
          <w:color w:val="auto"/>
          <w:sz w:val="24"/>
          <w:szCs w:val="24"/>
        </w:rPr>
        <w:t>第五章 采购项目技术、服务、政府采购合同内容条款及其他商务要求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_Toc44237528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"_Toc44237529" </w:instrText>
      </w:r>
      <w:r>
        <w:fldChar w:fldCharType="separate"/>
      </w:r>
      <w:r>
        <w:rPr>
          <w:rStyle w:val="47"/>
          <w:rFonts w:hint="eastAsia" w:asciiTheme="minorEastAsia" w:hAnsiTheme="minorEastAsia"/>
          <w:b w:val="0"/>
          <w:color w:val="auto"/>
          <w:sz w:val="24"/>
          <w:szCs w:val="24"/>
        </w:rPr>
        <w:t>第六章 采购项目中不可实质性变动的要求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_Toc44237529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"_Toc44237530" </w:instrText>
      </w:r>
      <w:r>
        <w:fldChar w:fldCharType="separate"/>
      </w:r>
      <w:r>
        <w:rPr>
          <w:rStyle w:val="47"/>
          <w:rFonts w:hint="eastAsia" w:asciiTheme="minorEastAsia" w:hAnsiTheme="minorEastAsia"/>
          <w:b w:val="0"/>
          <w:color w:val="auto"/>
          <w:sz w:val="24"/>
          <w:szCs w:val="24"/>
        </w:rPr>
        <w:t>第七章 磋商内容、磋商过程中可实质性变动的内容</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_Toc44237530 \h </w:instrText>
      </w:r>
      <w:r>
        <w:rPr>
          <w:rFonts w:asciiTheme="minorEastAsia" w:hAnsiTheme="minorEastAsia"/>
          <w:b w:val="0"/>
          <w:sz w:val="24"/>
          <w:szCs w:val="24"/>
        </w:rPr>
        <w:fldChar w:fldCharType="separate"/>
      </w:r>
      <w:r>
        <w:rPr>
          <w:rFonts w:asciiTheme="minorEastAsia" w:hAnsiTheme="minorEastAsia"/>
          <w:b w:val="0"/>
          <w:sz w:val="24"/>
          <w:szCs w:val="24"/>
        </w:rPr>
        <w:t>33</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"_Toc44237531" </w:instrText>
      </w:r>
      <w:r>
        <w:fldChar w:fldCharType="separate"/>
      </w:r>
      <w:r>
        <w:rPr>
          <w:rStyle w:val="47"/>
          <w:rFonts w:hint="eastAsia" w:asciiTheme="minorEastAsia" w:hAnsiTheme="minorEastAsia"/>
          <w:b w:val="0"/>
          <w:color w:val="auto"/>
          <w:kern w:val="32"/>
          <w:sz w:val="24"/>
          <w:szCs w:val="24"/>
        </w:rPr>
        <w:t>第八章 响应文件格式</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_Toc44237531 \h </w:instrText>
      </w:r>
      <w:r>
        <w:rPr>
          <w:rFonts w:asciiTheme="minorEastAsia" w:hAnsiTheme="minorEastAsia"/>
          <w:b w:val="0"/>
          <w:sz w:val="24"/>
          <w:szCs w:val="24"/>
        </w:rPr>
        <w:fldChar w:fldCharType="separate"/>
      </w:r>
      <w:r>
        <w:rPr>
          <w:rFonts w:asciiTheme="minorEastAsia" w:hAnsiTheme="minorEastAsia"/>
          <w:b w:val="0"/>
          <w:sz w:val="24"/>
          <w:szCs w:val="24"/>
        </w:rPr>
        <w:t>34</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"_Toc44237532" </w:instrText>
      </w:r>
      <w:r>
        <w:fldChar w:fldCharType="separate"/>
      </w:r>
      <w:r>
        <w:rPr>
          <w:rStyle w:val="47"/>
          <w:rFonts w:hint="eastAsia" w:asciiTheme="minorEastAsia" w:hAnsiTheme="minorEastAsia"/>
          <w:b w:val="0"/>
          <w:color w:val="auto"/>
          <w:sz w:val="24"/>
          <w:szCs w:val="24"/>
        </w:rPr>
        <w:t>第九章 评审方法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_Toc44237532 \h </w:instrText>
      </w:r>
      <w:r>
        <w:rPr>
          <w:rFonts w:asciiTheme="minorEastAsia" w:hAnsiTheme="minorEastAsia"/>
          <w:b w:val="0"/>
          <w:sz w:val="24"/>
          <w:szCs w:val="24"/>
        </w:rPr>
        <w:fldChar w:fldCharType="separate"/>
      </w:r>
      <w:r>
        <w:rPr>
          <w:rFonts w:asciiTheme="minorEastAsia" w:hAnsiTheme="minorEastAsia"/>
          <w:b w:val="0"/>
          <w:sz w:val="24"/>
          <w:szCs w:val="24"/>
        </w:rPr>
        <w:t>61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"_Toc44237533" </w:instrText>
      </w:r>
      <w:r>
        <w:fldChar w:fldCharType="separate"/>
      </w:r>
      <w:r>
        <w:rPr>
          <w:rStyle w:val="47"/>
          <w:rFonts w:hint="eastAsia" w:asciiTheme="minorEastAsia" w:hAnsiTheme="minorEastAsia"/>
          <w:b w:val="0"/>
          <w:color w:val="auto"/>
          <w:sz w:val="24"/>
          <w:szCs w:val="24"/>
        </w:rPr>
        <w:t>第十章 政府采购合同（仅供参考）</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_Toc44237533 \h </w:instrText>
      </w:r>
      <w:r>
        <w:rPr>
          <w:rFonts w:asciiTheme="minorEastAsia" w:hAnsiTheme="minorEastAsia"/>
          <w:b w:val="0"/>
          <w:sz w:val="24"/>
          <w:szCs w:val="24"/>
        </w:rPr>
        <w:fldChar w:fldCharType="separate"/>
      </w:r>
      <w:r>
        <w:rPr>
          <w:rFonts w:asciiTheme="minorEastAsia" w:hAnsiTheme="minorEastAsia"/>
          <w:b w:val="0"/>
          <w:sz w:val="24"/>
          <w:szCs w:val="24"/>
        </w:rPr>
        <w:t>73</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1"/>
          <w:szCs w:val="22"/>
        </w:rPr>
      </w:pPr>
      <w:r>
        <w:rPr>
          <w:rFonts w:asciiTheme="minorEastAsia" w:hAnsiTheme="minorEastAsia"/>
          <w:sz w:val="30"/>
          <w:szCs w:val="30"/>
        </w:rPr>
        <w:fldChar w:fldCharType="end"/>
      </w:r>
    </w:p>
    <w:p>
      <w:pPr>
        <w:pStyle w:val="35"/>
        <w:spacing w:line="360" w:lineRule="auto"/>
        <w:rPr>
          <w:rFonts w:asciiTheme="minorEastAsia" w:hAnsiTheme="minorEastAsia" w:eastAsiaTheme="minorEastAsia"/>
        </w:rPr>
        <w:sectPr>
          <w:headerReference r:id="rId3" w:type="first"/>
          <w:type w:val="continuous"/>
          <w:pgSz w:w="11907" w:h="16839"/>
          <w:pgMar w:top="1440" w:right="1416" w:bottom="1440" w:left="1800" w:header="851" w:footer="992" w:gutter="0"/>
          <w:pgNumType w:start="1"/>
          <w:cols w:space="425" w:num="1"/>
          <w:titlePg/>
          <w:docGrid w:type="linesAndChars" w:linePitch="326" w:charSpace="0"/>
        </w:sectPr>
      </w:pPr>
      <w:bookmarkStart w:id="11" w:name="_Toc505697519"/>
    </w:p>
    <w:bookmarkEnd w:id="11"/>
    <w:p>
      <w:pPr>
        <w:pStyle w:val="35"/>
        <w:spacing w:line="360" w:lineRule="auto"/>
        <w:rPr>
          <w:rFonts w:ascii="宋体" w:hAnsi="宋体" w:eastAsia="宋体"/>
        </w:rPr>
      </w:pPr>
      <w:bookmarkStart w:id="12" w:name="_Toc492547548"/>
      <w:bookmarkStart w:id="13" w:name="_Toc411426748"/>
      <w:bookmarkStart w:id="14" w:name="_Toc44237524"/>
      <w:r>
        <w:rPr>
          <w:rFonts w:ascii="宋体" w:hAnsi="宋体" w:eastAsia="宋体"/>
        </w:rPr>
        <w:t>第一</w:t>
      </w:r>
      <w:r>
        <w:rPr>
          <w:rFonts w:hint="eastAsia" w:ascii="宋体" w:hAnsi="宋体" w:eastAsia="宋体"/>
        </w:rPr>
        <w:t>章</w:t>
      </w:r>
      <w:bookmarkEnd w:id="12"/>
      <w:bookmarkEnd w:id="13"/>
      <w:r>
        <w:rPr>
          <w:rFonts w:hint="eastAsia" w:ascii="宋体" w:hAnsi="宋体" w:eastAsia="宋体"/>
        </w:rPr>
        <w:t xml:space="preserve"> 竞争性磋商公告</w:t>
      </w:r>
      <w:bookmarkEnd w:id="1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pacing w:line="360" w:lineRule="auto"/>
              <w:rPr>
                <w:rFonts w:ascii="宋体" w:hAnsi="宋体" w:eastAsia="宋体"/>
                <w:color w:val="auto"/>
                <w:sz w:val="21"/>
                <w:szCs w:val="21"/>
              </w:rPr>
            </w:pPr>
            <w:r>
              <w:rPr>
                <w:rFonts w:hint="eastAsia" w:ascii="宋体" w:hAnsi="宋体" w:eastAsia="宋体"/>
                <w:color w:val="auto"/>
                <w:sz w:val="21"/>
                <w:szCs w:val="21"/>
              </w:rPr>
              <w:t>项目概况：</w:t>
            </w:r>
          </w:p>
          <w:p>
            <w:pPr>
              <w:pStyle w:val="2"/>
              <w:spacing w:line="360" w:lineRule="auto"/>
              <w:ind w:firstLine="420" w:firstLineChars="200"/>
              <w:rPr>
                <w:rFonts w:ascii="宋体" w:hAnsi="宋体" w:eastAsia="宋体"/>
                <w:color w:val="auto"/>
                <w:sz w:val="21"/>
                <w:szCs w:val="21"/>
                <w:u w:val="single"/>
              </w:rPr>
            </w:pPr>
            <w:r>
              <w:rPr>
                <w:rFonts w:hint="eastAsia" w:ascii="宋体" w:hAnsi="宋体" w:eastAsia="宋体"/>
                <w:color w:val="auto"/>
                <w:kern w:val="2"/>
                <w:sz w:val="21"/>
                <w:szCs w:val="21"/>
                <w:u w:val="single"/>
              </w:rPr>
              <w:t>成都东部新区高明镇专职网格员服务采购项目</w:t>
            </w:r>
            <w:r>
              <w:rPr>
                <w:rFonts w:hint="eastAsia" w:ascii="宋体" w:hAnsi="宋体" w:eastAsia="宋体"/>
                <w:color w:val="auto"/>
                <w:kern w:val="2"/>
                <w:sz w:val="21"/>
                <w:szCs w:val="21"/>
              </w:rPr>
              <w:t>的潜在供应商应在</w:t>
            </w:r>
            <w:r>
              <w:rPr>
                <w:rFonts w:hint="eastAsia" w:eastAsia="宋体"/>
                <w:color w:val="auto"/>
                <w:sz w:val="21"/>
                <w:u w:val="single"/>
              </w:rPr>
              <w:t>四川省成都市金牛区金科南路169号安格斯峰汇中心1216号</w:t>
            </w:r>
            <w:r>
              <w:rPr>
                <w:rFonts w:hint="eastAsia"/>
                <w:color w:val="auto"/>
                <w:sz w:val="21"/>
                <w:u w:val="single"/>
              </w:rPr>
              <w:t>现场或网上</w:t>
            </w:r>
            <w:r>
              <w:rPr>
                <w:rFonts w:hint="eastAsia" w:ascii="宋体" w:hAnsi="宋体" w:eastAsia="宋体"/>
                <w:color w:val="auto"/>
                <w:kern w:val="2"/>
                <w:sz w:val="21"/>
                <w:szCs w:val="21"/>
                <w:u w:val="single"/>
              </w:rPr>
              <w:t>购买</w:t>
            </w:r>
            <w:r>
              <w:rPr>
                <w:rFonts w:hint="eastAsia" w:ascii="宋体" w:hAnsi="宋体" w:eastAsia="宋体"/>
                <w:color w:val="auto"/>
                <w:kern w:val="2"/>
                <w:sz w:val="21"/>
                <w:szCs w:val="21"/>
              </w:rPr>
              <w:t>采购文件，并</w:t>
            </w:r>
            <w:r>
              <w:rPr>
                <w:rFonts w:hint="eastAsia" w:ascii="宋体" w:hAnsi="宋体" w:eastAsia="宋体"/>
                <w:color w:val="auto"/>
                <w:kern w:val="2"/>
                <w:sz w:val="21"/>
                <w:szCs w:val="21"/>
                <w:u w:val="single"/>
              </w:rPr>
              <w:t>于2021年</w:t>
            </w:r>
            <w:r>
              <w:rPr>
                <w:rFonts w:hint="eastAsia" w:ascii="宋体" w:hAnsi="宋体" w:eastAsia="宋体"/>
                <w:color w:val="auto"/>
                <w:kern w:val="2"/>
                <w:sz w:val="21"/>
                <w:szCs w:val="21"/>
                <w:u w:val="single"/>
                <w:lang w:val="en-US" w:eastAsia="zh-CN"/>
              </w:rPr>
              <w:t>0</w:t>
            </w:r>
            <w:r>
              <w:rPr>
                <w:rFonts w:hint="eastAsia" w:ascii="宋体" w:hAnsi="宋体" w:eastAsia="宋体"/>
                <w:color w:val="auto"/>
                <w:kern w:val="2"/>
                <w:sz w:val="21"/>
                <w:szCs w:val="21"/>
                <w:u w:val="single"/>
              </w:rPr>
              <w:t>7月</w:t>
            </w:r>
            <w:r>
              <w:rPr>
                <w:rFonts w:hint="eastAsia" w:ascii="宋体" w:hAnsi="宋体" w:eastAsia="宋体"/>
                <w:color w:val="auto"/>
                <w:kern w:val="2"/>
                <w:sz w:val="21"/>
                <w:szCs w:val="21"/>
                <w:u w:val="single"/>
                <w:lang w:val="en-US" w:eastAsia="zh-CN"/>
              </w:rPr>
              <w:t>27</w:t>
            </w:r>
            <w:r>
              <w:rPr>
                <w:rFonts w:hint="eastAsia" w:ascii="宋体" w:hAnsi="宋体" w:eastAsia="宋体"/>
                <w:color w:val="auto"/>
                <w:kern w:val="2"/>
                <w:sz w:val="21"/>
                <w:szCs w:val="21"/>
                <w:u w:val="single"/>
              </w:rPr>
              <w:t>日</w:t>
            </w:r>
            <w:r>
              <w:rPr>
                <w:rFonts w:hint="eastAsia" w:ascii="宋体" w:hAnsi="宋体" w:eastAsia="宋体"/>
                <w:color w:val="auto"/>
                <w:kern w:val="2"/>
                <w:sz w:val="21"/>
                <w:szCs w:val="21"/>
                <w:u w:val="single"/>
                <w:lang w:val="en-US" w:eastAsia="zh-CN"/>
              </w:rPr>
              <w:t>10</w:t>
            </w:r>
            <w:r>
              <w:rPr>
                <w:rFonts w:hint="eastAsia" w:ascii="宋体" w:hAnsi="宋体" w:eastAsia="宋体"/>
                <w:color w:val="auto"/>
                <w:kern w:val="2"/>
                <w:sz w:val="21"/>
                <w:szCs w:val="21"/>
                <w:u w:val="single"/>
              </w:rPr>
              <w:t>点</w:t>
            </w:r>
            <w:r>
              <w:rPr>
                <w:rFonts w:hint="eastAsia" w:ascii="宋体" w:hAnsi="宋体" w:eastAsia="宋体"/>
                <w:color w:val="auto"/>
                <w:kern w:val="2"/>
                <w:sz w:val="21"/>
                <w:szCs w:val="21"/>
                <w:u w:val="single"/>
                <w:lang w:val="en-US" w:eastAsia="zh-CN"/>
              </w:rPr>
              <w:t>30</w:t>
            </w:r>
            <w:r>
              <w:rPr>
                <w:rFonts w:hint="eastAsia" w:ascii="宋体" w:hAnsi="宋体" w:eastAsia="宋体"/>
                <w:color w:val="auto"/>
                <w:kern w:val="2"/>
                <w:sz w:val="21"/>
                <w:szCs w:val="21"/>
                <w:u w:val="single"/>
              </w:rPr>
              <w:t>分</w:t>
            </w:r>
            <w:r>
              <w:rPr>
                <w:rFonts w:hint="eastAsia" w:ascii="宋体" w:hAnsi="宋体" w:eastAsia="宋体"/>
                <w:color w:val="auto"/>
                <w:kern w:val="2"/>
                <w:sz w:val="21"/>
                <w:szCs w:val="21"/>
              </w:rPr>
              <w:t>（北京时间）前提交响应文件。</w:t>
            </w:r>
          </w:p>
        </w:tc>
      </w:tr>
    </w:tbl>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一、项目基本情况</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1、项目编号：</w:t>
      </w:r>
      <w:r>
        <w:rPr>
          <w:rFonts w:hint="eastAsia" w:asciiTheme="minorEastAsia" w:hAnsiTheme="minorEastAsia"/>
          <w:color w:val="auto"/>
          <w:sz w:val="21"/>
          <w:szCs w:val="21"/>
          <w:lang w:eastAsia="zh-CN"/>
        </w:rPr>
        <w:t>510118202100050</w:t>
      </w:r>
      <w:r>
        <w:rPr>
          <w:rFonts w:hint="eastAsia" w:asciiTheme="minorEastAsia" w:hAnsiTheme="minorEastAsia"/>
          <w:color w:val="auto"/>
          <w:sz w:val="21"/>
          <w:szCs w:val="21"/>
        </w:rPr>
        <w:t>。</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2、项目名称：成都东部新区高明镇专职网格员服务采购项目。</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3、采购方式：竞争性磋商</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4、资金来源、预算金额及最高限价：</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（1）资金来源：财政性资金，已落实；</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（2）预算金额（人民币）:</w:t>
      </w:r>
      <w:r>
        <w:rPr>
          <w:color w:val="auto"/>
        </w:rPr>
        <w:t xml:space="preserve"> </w:t>
      </w:r>
      <w:r>
        <w:rPr>
          <w:rFonts w:asciiTheme="minorEastAsia" w:hAnsiTheme="minorEastAsia"/>
          <w:color w:val="auto"/>
          <w:sz w:val="21"/>
          <w:szCs w:val="21"/>
        </w:rPr>
        <w:t>77.824</w:t>
      </w:r>
      <w:r>
        <w:rPr>
          <w:rFonts w:hint="eastAsia" w:asciiTheme="minorEastAsia" w:hAnsiTheme="minorEastAsia"/>
          <w:color w:val="auto"/>
          <w:sz w:val="21"/>
          <w:szCs w:val="21"/>
        </w:rPr>
        <w:t>万元；</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（3）最高限价：:</w:t>
      </w:r>
      <w:r>
        <w:rPr>
          <w:rFonts w:hint="eastAsia"/>
          <w:color w:val="auto"/>
        </w:rPr>
        <w:t xml:space="preserve"> </w:t>
      </w:r>
      <w:r>
        <w:rPr>
          <w:rFonts w:hint="eastAsia" w:asciiTheme="minorEastAsia" w:hAnsiTheme="minorEastAsia"/>
          <w:color w:val="auto"/>
          <w:sz w:val="21"/>
          <w:szCs w:val="21"/>
        </w:rPr>
        <w:t>人民币77.824万元/年，其中76万元为不可竞争费用，其余（即管理服务费）为可竞争费用，最高限价0.096万元/人/年。</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备注：每年度薪酬待遇按照“中共成都市委成都市人民政府关于实施幸福美好生活十大工程的意见”文件“第二条、总体要求”的“第一点、居民收入水平提升工程”要求提高薪资待遇。</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5、采购需求：</w:t>
      </w:r>
    </w:p>
    <w:p>
      <w:pPr>
        <w:numPr>
          <w:ilvl w:val="0"/>
          <w:numId w:val="1"/>
        </w:numPr>
        <w:spacing w:line="360" w:lineRule="auto"/>
        <w:ind w:firstLine="55"/>
        <w:rPr>
          <w:rFonts w:asciiTheme="minorEastAsia" w:hAnsiTheme="minorEastAsia"/>
          <w:bCs/>
          <w:color w:val="auto"/>
          <w:sz w:val="21"/>
          <w:szCs w:val="21"/>
        </w:rPr>
      </w:pPr>
      <w:r>
        <w:rPr>
          <w:rFonts w:hint="eastAsia" w:asciiTheme="minorEastAsia" w:hAnsiTheme="minorEastAsia"/>
          <w:color w:val="auto"/>
          <w:sz w:val="21"/>
          <w:szCs w:val="21"/>
        </w:rPr>
        <w:t xml:space="preserve">服务内容及数量：：成都东部新区高明镇专职网格员服务（具体内容为：劳务派遣19名网格员）  </w:t>
      </w:r>
    </w:p>
    <w:p>
      <w:pPr>
        <w:numPr>
          <w:ilvl w:val="0"/>
          <w:numId w:val="1"/>
        </w:numPr>
        <w:spacing w:line="360" w:lineRule="auto"/>
        <w:ind w:firstLine="55"/>
        <w:rPr>
          <w:rFonts w:asciiTheme="minorEastAsia" w:hAnsiTheme="minorEastAsia"/>
          <w:color w:val="auto"/>
          <w:sz w:val="21"/>
          <w:szCs w:val="21"/>
        </w:rPr>
      </w:pPr>
      <w:r>
        <w:rPr>
          <w:rFonts w:hint="eastAsia" w:asciiTheme="minorEastAsia" w:hAnsiTheme="minorEastAsia"/>
          <w:color w:val="auto"/>
          <w:sz w:val="21"/>
          <w:szCs w:val="21"/>
        </w:rPr>
        <w:t>本项目所属行业：租赁和商务服务业</w:t>
      </w:r>
    </w:p>
    <w:p>
      <w:pPr>
        <w:numPr>
          <w:ilvl w:val="0"/>
          <w:numId w:val="1"/>
        </w:numPr>
        <w:spacing w:line="360" w:lineRule="auto"/>
        <w:ind w:firstLine="55"/>
        <w:rPr>
          <w:rFonts w:asciiTheme="minorEastAsia" w:hAnsiTheme="minorEastAsia"/>
          <w:color w:val="auto"/>
          <w:sz w:val="21"/>
          <w:szCs w:val="21"/>
        </w:rPr>
      </w:pPr>
      <w:r>
        <w:rPr>
          <w:rFonts w:hint="eastAsia" w:asciiTheme="minorEastAsia" w:hAnsiTheme="minorEastAsia"/>
          <w:color w:val="auto"/>
          <w:sz w:val="21"/>
          <w:szCs w:val="21"/>
        </w:rPr>
        <w:t xml:space="preserve">简要技术要求或服务需求：详见第五章“采购项目技术、服务、政府采购合同内容条款及其他商务要求” </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6、合同履行期限：3年，合同1年1签。</w:t>
      </w:r>
    </w:p>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二、申请人的资格要求：</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1、符合《中华人民共和国政府采购法》第二十二条第一款规定的条件；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（1）具有独立承担民事责任的能力；</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（2）具有良好的商业信誉和健全的财务会计制度；</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（3）具有履行合同所必须的设备和专业技术能力；</w:t>
      </w:r>
    </w:p>
    <w:p>
      <w:pPr>
        <w:spacing w:line="360" w:lineRule="auto"/>
        <w:ind w:firstLine="420" w:firstLineChars="200"/>
        <w:rPr>
          <w:rFonts w:ascii="宋体" w:hAnsi="宋体"/>
          <w:color w:val="auto"/>
          <w:sz w:val="21"/>
          <w:szCs w:val="21"/>
        </w:rPr>
      </w:pPr>
      <w:r>
        <w:rPr>
          <w:rFonts w:hint="eastAsia" w:ascii="宋体" w:hAnsi="宋体"/>
          <w:color w:val="auto"/>
          <w:sz w:val="21"/>
          <w:szCs w:val="21"/>
        </w:rPr>
        <w:t>（4）具有依法缴纳税收和社会保障资金的良好记录；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（5）参加本次政府采购活动前三年内，在经营活动中没有重大违法记录；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（6）符合法律、行政法规规定的其他条件。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color w:val="auto"/>
          <w:sz w:val="21"/>
          <w:szCs w:val="21"/>
        </w:rPr>
      </w:pPr>
      <w:r>
        <w:rPr>
          <w:rFonts w:hint="eastAsia" w:ascii="宋体" w:hAnsi="宋体"/>
          <w:color w:val="auto"/>
          <w:sz w:val="21"/>
          <w:szCs w:val="21"/>
        </w:rPr>
        <w:t>3、本项目的特定资格要求：具备在有效期内的《人力资源服务许可证》和具备在有效期内的《劳务派遣经营许可证》。</w:t>
      </w:r>
      <w:r>
        <w:rPr>
          <w:rFonts w:ascii="宋体" w:hAnsi="宋体"/>
          <w:color w:val="auto"/>
          <w:sz w:val="21"/>
          <w:szCs w:val="21"/>
        </w:rPr>
        <w:tab/>
      </w:r>
    </w:p>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三、获取采购文件</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1、时间：2021年</w:t>
      </w:r>
      <w:r>
        <w:rPr>
          <w:rFonts w:hint="eastAsia" w:asciiTheme="minorEastAsia" w:hAnsiTheme="minorEastAsia"/>
          <w:color w:val="auto"/>
          <w:sz w:val="21"/>
          <w:szCs w:val="21"/>
          <w:lang w:val="en-US" w:eastAsia="zh-CN"/>
        </w:rPr>
        <w:t>07</w:t>
      </w:r>
      <w:r>
        <w:rPr>
          <w:rFonts w:hint="eastAsia" w:asciiTheme="minorEastAsia" w:hAnsiTheme="minorEastAsia"/>
          <w:color w:val="auto"/>
          <w:sz w:val="21"/>
          <w:szCs w:val="21"/>
        </w:rPr>
        <w:t>月</w:t>
      </w:r>
      <w:r>
        <w:rPr>
          <w:rFonts w:hint="eastAsia" w:asciiTheme="minorEastAsia" w:hAnsiTheme="minorEastAsia"/>
          <w:color w:val="auto"/>
          <w:sz w:val="21"/>
          <w:szCs w:val="21"/>
          <w:lang w:val="en-US" w:eastAsia="zh-CN"/>
        </w:rPr>
        <w:t>15</w:t>
      </w:r>
      <w:r>
        <w:rPr>
          <w:rFonts w:hint="eastAsia" w:asciiTheme="minorEastAsia" w:hAnsiTheme="minorEastAsia"/>
          <w:color w:val="auto"/>
          <w:sz w:val="21"/>
          <w:szCs w:val="21"/>
        </w:rPr>
        <w:t>日至2021年</w:t>
      </w:r>
      <w:r>
        <w:rPr>
          <w:rFonts w:hint="eastAsia" w:asciiTheme="minorEastAsia" w:hAnsiTheme="minorEastAsia"/>
          <w:color w:val="auto"/>
          <w:sz w:val="21"/>
          <w:szCs w:val="21"/>
          <w:lang w:val="en-US" w:eastAsia="zh-CN"/>
        </w:rPr>
        <w:t>07</w:t>
      </w:r>
      <w:r>
        <w:rPr>
          <w:rFonts w:hint="eastAsia" w:asciiTheme="minorEastAsia" w:hAnsiTheme="minorEastAsia"/>
          <w:color w:val="auto"/>
          <w:sz w:val="21"/>
          <w:szCs w:val="21"/>
        </w:rPr>
        <w:t>月</w:t>
      </w:r>
      <w:r>
        <w:rPr>
          <w:rFonts w:hint="eastAsia" w:asciiTheme="minorEastAsia" w:hAnsiTheme="minorEastAsia"/>
          <w:color w:val="auto"/>
          <w:sz w:val="21"/>
          <w:szCs w:val="21"/>
          <w:lang w:val="en-US" w:eastAsia="zh-CN"/>
        </w:rPr>
        <w:t>21</w:t>
      </w:r>
      <w:r>
        <w:rPr>
          <w:rFonts w:hint="eastAsia" w:asciiTheme="minorEastAsia" w:hAnsiTheme="minorEastAsia"/>
          <w:color w:val="auto"/>
          <w:sz w:val="21"/>
          <w:szCs w:val="21"/>
        </w:rPr>
        <w:t>日，每天上午09：00至12：00，下午14：00-17：00（北京时间，法定节假日除外）。</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2、地点：四川省成都市金牛区金科南路169号安格斯峰汇中心1216号。</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3、购买方式</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b/>
          <w:color w:val="auto"/>
          <w:sz w:val="21"/>
          <w:szCs w:val="21"/>
        </w:rPr>
        <w:t>邮件获取：</w:t>
      </w:r>
      <w:r>
        <w:rPr>
          <w:rFonts w:hint="eastAsia" w:asciiTheme="minorEastAsia" w:hAnsiTheme="minorEastAsia"/>
          <w:color w:val="auto"/>
          <w:sz w:val="21"/>
          <w:szCs w:val="21"/>
        </w:rPr>
        <w:t>潜在供应商将单位介绍信及经办人身份证正反面（加盖供应商公章）的扫描件发送至以下邮箱：</w:t>
      </w:r>
      <w:r>
        <w:rPr>
          <w:rFonts w:hint="eastAsia" w:asciiTheme="minorEastAsia" w:hAnsiTheme="minorEastAsia"/>
          <w:b/>
          <w:color w:val="auto"/>
          <w:sz w:val="21"/>
          <w:szCs w:val="21"/>
        </w:rPr>
        <w:t>quancheng0511@163.com</w:t>
      </w:r>
      <w:r>
        <w:rPr>
          <w:rFonts w:hint="eastAsia" w:asciiTheme="minorEastAsia" w:hAnsiTheme="minorEastAsia"/>
          <w:color w:val="auto"/>
          <w:sz w:val="21"/>
          <w:szCs w:val="21"/>
        </w:rPr>
        <w:t>，待报名资料审核完毕将以电子邮件的形式向报名的供应商发送磋商文件。（报名联系电话：田女士028-87673546）</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4、售价：</w:t>
      </w:r>
      <w:r>
        <w:rPr>
          <w:rFonts w:hint="eastAsia" w:ascii="宋体" w:hAnsi="宋体" w:eastAsia="宋体"/>
          <w:color w:val="auto"/>
          <w:sz w:val="21"/>
        </w:rPr>
        <w:t>免费获取。</w:t>
      </w:r>
    </w:p>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四、响应文件提交</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1、截止时间：2021年</w:t>
      </w:r>
      <w:r>
        <w:rPr>
          <w:rFonts w:hint="eastAsia" w:asciiTheme="minorEastAsia" w:hAnsiTheme="minorEastAsia"/>
          <w:color w:val="auto"/>
          <w:sz w:val="21"/>
          <w:szCs w:val="21"/>
          <w:lang w:val="en-US" w:eastAsia="zh-CN"/>
        </w:rPr>
        <w:t>07</w:t>
      </w:r>
      <w:r>
        <w:rPr>
          <w:rFonts w:hint="eastAsia" w:asciiTheme="minorEastAsia" w:hAnsiTheme="minorEastAsia"/>
          <w:color w:val="auto"/>
          <w:sz w:val="21"/>
          <w:szCs w:val="21"/>
        </w:rPr>
        <w:t>月</w:t>
      </w:r>
      <w:r>
        <w:rPr>
          <w:rFonts w:hint="eastAsia" w:asciiTheme="minorEastAsia" w:hAnsiTheme="minorEastAsia"/>
          <w:color w:val="auto"/>
          <w:sz w:val="21"/>
          <w:szCs w:val="21"/>
          <w:lang w:val="en-US" w:eastAsia="zh-CN"/>
        </w:rPr>
        <w:t>27</w:t>
      </w:r>
      <w:r>
        <w:rPr>
          <w:rFonts w:hint="eastAsia" w:asciiTheme="minorEastAsia" w:hAnsiTheme="minorEastAsia"/>
          <w:color w:val="auto"/>
          <w:sz w:val="21"/>
          <w:szCs w:val="21"/>
        </w:rPr>
        <w:t>日</w:t>
      </w:r>
      <w:r>
        <w:rPr>
          <w:rFonts w:hint="eastAsia" w:asciiTheme="minorEastAsia" w:hAnsiTheme="minorEastAsia"/>
          <w:color w:val="auto"/>
          <w:sz w:val="21"/>
          <w:szCs w:val="21"/>
          <w:lang w:val="en-US" w:eastAsia="zh-CN"/>
        </w:rPr>
        <w:t>10</w:t>
      </w:r>
      <w:r>
        <w:rPr>
          <w:rFonts w:hint="eastAsia" w:asciiTheme="minorEastAsia" w:hAnsiTheme="minorEastAsia"/>
          <w:color w:val="auto"/>
          <w:sz w:val="21"/>
          <w:szCs w:val="21"/>
        </w:rPr>
        <w:t>:</w:t>
      </w: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rPr>
        <w:t>0时（北京时间）。</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2、地点：四川省成都市金牛区金科南路169号安格斯峰汇中心1216号一号开评标室（响应文件必须在递交响应文件截止时间前送达，逾期送达的响应文件恕不接收，本次采购不接受邮寄的响应文件）。</w:t>
      </w:r>
    </w:p>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五、开启</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3、时间：2021年</w:t>
      </w:r>
      <w:r>
        <w:rPr>
          <w:rFonts w:hint="eastAsia" w:asciiTheme="minorEastAsia" w:hAnsiTheme="minorEastAsia"/>
          <w:color w:val="auto"/>
          <w:sz w:val="21"/>
          <w:szCs w:val="21"/>
          <w:lang w:val="en-US" w:eastAsia="zh-CN"/>
        </w:rPr>
        <w:t>07</w:t>
      </w:r>
      <w:r>
        <w:rPr>
          <w:rFonts w:hint="eastAsia" w:asciiTheme="minorEastAsia" w:hAnsiTheme="minorEastAsia"/>
          <w:color w:val="auto"/>
          <w:sz w:val="21"/>
          <w:szCs w:val="21"/>
        </w:rPr>
        <w:t>月</w:t>
      </w:r>
      <w:r>
        <w:rPr>
          <w:rFonts w:hint="eastAsia" w:asciiTheme="minorEastAsia" w:hAnsiTheme="minorEastAsia"/>
          <w:color w:val="auto"/>
          <w:sz w:val="21"/>
          <w:szCs w:val="21"/>
          <w:lang w:val="en-US" w:eastAsia="zh-CN"/>
        </w:rPr>
        <w:t>27</w:t>
      </w:r>
      <w:r>
        <w:rPr>
          <w:rFonts w:hint="eastAsia" w:asciiTheme="minorEastAsia" w:hAnsiTheme="minorEastAsia"/>
          <w:color w:val="auto"/>
          <w:sz w:val="21"/>
          <w:szCs w:val="21"/>
        </w:rPr>
        <w:t>日1</w:t>
      </w:r>
      <w:r>
        <w:rPr>
          <w:rFonts w:hint="eastAsia" w:asciiTheme="minorEastAsia" w:hAnsiTheme="minorEastAsia"/>
          <w:color w:val="auto"/>
          <w:sz w:val="21"/>
          <w:szCs w:val="21"/>
          <w:lang w:val="en-US" w:eastAsia="zh-CN"/>
        </w:rPr>
        <w:t>0</w:t>
      </w:r>
      <w:r>
        <w:rPr>
          <w:rFonts w:hint="eastAsia" w:asciiTheme="minorEastAsia" w:hAnsiTheme="minorEastAsia"/>
          <w:color w:val="auto"/>
          <w:sz w:val="21"/>
          <w:szCs w:val="21"/>
        </w:rPr>
        <w:t>:</w:t>
      </w: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rPr>
        <w:t>0时（北京时间）。</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4、地点：四川省成都市金牛区金科南路169号安格斯峰汇中心1216号一号开评标室。</w:t>
      </w:r>
    </w:p>
    <w:p>
      <w:pPr>
        <w:spacing w:line="360" w:lineRule="auto"/>
        <w:rPr>
          <w:rFonts w:asciiTheme="minorEastAsia" w:hAnsiTheme="minorEastAsia"/>
          <w:color w:val="auto"/>
          <w:sz w:val="21"/>
          <w:szCs w:val="21"/>
        </w:rPr>
      </w:pPr>
      <w:r>
        <w:rPr>
          <w:rFonts w:hint="eastAsia" w:asciiTheme="minorEastAsia" w:hAnsiTheme="minorEastAsia"/>
          <w:color w:val="auto"/>
          <w:sz w:val="21"/>
          <w:szCs w:val="21"/>
        </w:rPr>
        <w:t>六、公告地址和期限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本项目在四川政府采购网上以公告形式发布，公告期限自本公告发布之日起3个工作日。</w:t>
      </w:r>
    </w:p>
    <w:p>
      <w:pPr>
        <w:spacing w:line="360" w:lineRule="auto"/>
        <w:rPr>
          <w:rFonts w:asciiTheme="minorEastAsia" w:hAnsiTheme="minorEastAsia"/>
          <w:sz w:val="21"/>
          <w:szCs w:val="21"/>
        </w:rPr>
      </w:pPr>
      <w:r>
        <w:rPr>
          <w:rFonts w:hint="eastAsia" w:asciiTheme="minorEastAsia" w:hAnsiTheme="minorEastAsia"/>
          <w:sz w:val="21"/>
          <w:szCs w:val="21"/>
        </w:rPr>
        <w:t>七、其他补充事项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磋商文件附件“成财采[2019]17号”）中标（成交）供应商为中小微企业的，可依据政府采购合同申请政府采购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3、禁止参加本次采购活动的供应商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 xml:space="preserve">3.1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asciiTheme="minorEastAsia" w:hAnsiTheme="minorEastAsia"/>
          <w:sz w:val="21"/>
          <w:szCs w:val="21"/>
        </w:rPr>
      </w:pPr>
      <w:r>
        <w:rPr>
          <w:rFonts w:hint="eastAsia" w:asciiTheme="minorEastAsia" w:hAnsiTheme="minorEastAsia"/>
          <w:sz w:val="21"/>
          <w:szCs w:val="21"/>
        </w:rPr>
        <w:t>八、凡对本次采购提出询问，请按以下方式联系。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1、采购人信息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名称：成都东部新区高明镇人民政府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地址：成都东部新区高明镇建设路50号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联系人：曾老师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联系电话：</w:t>
      </w:r>
      <w:r>
        <w:rPr>
          <w:rFonts w:asciiTheme="minorEastAsia" w:hAnsiTheme="minorEastAsia"/>
          <w:sz w:val="21"/>
          <w:szCs w:val="21"/>
        </w:rPr>
        <w:t>028-27977001</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sz w:val="21"/>
          <w:szCs w:val="21"/>
        </w:rPr>
        <w:t>2、采购代理机构信息</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名称：四川全诚招标代理有限公司</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地 址：四川省成都市金牛区金科南路169号安格斯峰汇中心1216号</w:t>
      </w:r>
    </w:p>
    <w:p>
      <w:pPr>
        <w:spacing w:line="360" w:lineRule="auto"/>
        <w:ind w:firstLine="420" w:firstLineChars="200"/>
        <w:rPr>
          <w:rFonts w:asciiTheme="minorEastAsia" w:hAnsiTheme="minorEastAsia"/>
          <w:color w:val="auto"/>
          <w:sz w:val="21"/>
          <w:szCs w:val="21"/>
        </w:rPr>
      </w:pPr>
      <w:r>
        <w:rPr>
          <w:color w:val="auto"/>
          <w:sz w:val="21"/>
          <w:szCs w:val="21"/>
        </w:rPr>
        <w:t>联系人：</w:t>
      </w:r>
      <w:r>
        <w:rPr>
          <w:rFonts w:hint="eastAsia"/>
          <w:color w:val="auto"/>
          <w:sz w:val="21"/>
          <w:szCs w:val="21"/>
        </w:rPr>
        <w:t>田女士</w:t>
      </w:r>
    </w:p>
    <w:p>
      <w:pPr>
        <w:spacing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联系方式：028-87673546</w:t>
      </w:r>
    </w:p>
    <w:p>
      <w:pPr>
        <w:spacing w:line="360" w:lineRule="auto"/>
        <w:jc w:val="right"/>
        <w:rPr>
          <w:rFonts w:asciiTheme="minorEastAsia" w:hAnsiTheme="minorEastAsia"/>
          <w:color w:val="auto"/>
          <w:sz w:val="21"/>
          <w:szCs w:val="21"/>
        </w:rPr>
      </w:pPr>
      <w:r>
        <w:rPr>
          <w:rFonts w:hint="eastAsia" w:asciiTheme="minorEastAsia" w:hAnsiTheme="minorEastAsia"/>
          <w:color w:val="auto"/>
          <w:sz w:val="21"/>
          <w:szCs w:val="21"/>
        </w:rPr>
        <w:t>四川全诚招标代理有限公司</w:t>
      </w:r>
    </w:p>
    <w:p>
      <w:pPr>
        <w:spacing w:line="360" w:lineRule="auto"/>
        <w:jc w:val="right"/>
        <w:rPr>
          <w:rFonts w:asciiTheme="minorEastAsia" w:hAnsiTheme="minorEastAsia"/>
          <w:color w:val="auto"/>
          <w:sz w:val="21"/>
          <w:szCs w:val="21"/>
        </w:rPr>
      </w:pPr>
      <w:r>
        <w:rPr>
          <w:rFonts w:hint="eastAsia" w:asciiTheme="minorEastAsia" w:hAnsiTheme="minorEastAsia"/>
          <w:color w:val="auto"/>
          <w:sz w:val="21"/>
          <w:szCs w:val="21"/>
        </w:rPr>
        <w:t>2021年</w:t>
      </w:r>
      <w:r>
        <w:rPr>
          <w:rFonts w:hint="eastAsia" w:asciiTheme="minorEastAsia" w:hAnsiTheme="minorEastAsia"/>
          <w:color w:val="auto"/>
          <w:sz w:val="21"/>
          <w:szCs w:val="21"/>
          <w:lang w:val="en-US" w:eastAsia="zh-CN"/>
        </w:rPr>
        <w:t>07</w:t>
      </w:r>
      <w:r>
        <w:rPr>
          <w:rFonts w:hint="eastAsia" w:asciiTheme="minorEastAsia" w:hAnsiTheme="minorEastAsia"/>
          <w:color w:val="auto"/>
          <w:sz w:val="21"/>
          <w:szCs w:val="21"/>
        </w:rPr>
        <w:t>月</w:t>
      </w:r>
      <w:r>
        <w:rPr>
          <w:rFonts w:hint="eastAsia" w:asciiTheme="minorEastAsia" w:hAnsiTheme="minorEastAsia"/>
          <w:color w:val="auto"/>
          <w:sz w:val="21"/>
          <w:szCs w:val="21"/>
          <w:lang w:val="en-US" w:eastAsia="zh-CN"/>
        </w:rPr>
        <w:t>14</w:t>
      </w:r>
      <w:r>
        <w:rPr>
          <w:rFonts w:hint="eastAsia" w:asciiTheme="minorEastAsia" w:hAnsiTheme="minorEastAsia"/>
          <w:color w:val="auto"/>
          <w:sz w:val="21"/>
          <w:szCs w:val="21"/>
        </w:rPr>
        <w:t>日</w:t>
      </w:r>
    </w:p>
    <w:p>
      <w:pPr>
        <w:pStyle w:val="35"/>
        <w:spacing w:line="360" w:lineRule="auto"/>
        <w:rPr>
          <w:rFonts w:asciiTheme="minorEastAsia" w:hAnsiTheme="minorEastAsia" w:eastAsiaTheme="minorEastAsia"/>
        </w:rPr>
      </w:pPr>
      <w:r>
        <w:rPr>
          <w:rFonts w:asciiTheme="minorEastAsia" w:hAnsiTheme="minorEastAsia" w:eastAsiaTheme="minorEastAsia"/>
          <w:color w:val="auto"/>
        </w:rPr>
        <w:br w:type="page"/>
      </w:r>
      <w:bookmarkStart w:id="15" w:name="_Toc217446031"/>
      <w:bookmarkStart w:id="16" w:name="_Toc213396759"/>
      <w:bookmarkStart w:id="17" w:name="_Toc213496267"/>
      <w:bookmarkStart w:id="18" w:name="_Toc505697520"/>
      <w:bookmarkStart w:id="19" w:name="_Toc44237525"/>
      <w:bookmarkStart w:id="20" w:name="_Toc24017276"/>
      <w:bookmarkStart w:id="21" w:name="_Toc213397009"/>
      <w:bookmarkStart w:id="22" w:name="_Toc213396945"/>
      <w:bookmarkStart w:id="23" w:name="_Toc11835034"/>
      <w:r>
        <w:rPr>
          <w:rFonts w:hint="eastAsia" w:asciiTheme="minorEastAsia" w:hAnsiTheme="minorEastAsia" w:eastAsiaTheme="minorEastAsia"/>
        </w:rPr>
        <w:t>第二章磋商须知</w:t>
      </w:r>
      <w:bookmarkEnd w:id="15"/>
      <w:bookmarkEnd w:id="16"/>
      <w:bookmarkEnd w:id="17"/>
      <w:bookmarkEnd w:id="18"/>
      <w:bookmarkEnd w:id="19"/>
      <w:bookmarkEnd w:id="20"/>
      <w:bookmarkEnd w:id="21"/>
      <w:bookmarkEnd w:id="22"/>
      <w:bookmarkEnd w:id="23"/>
    </w:p>
    <w:p>
      <w:pPr>
        <w:pStyle w:val="27"/>
        <w:spacing w:line="360" w:lineRule="auto"/>
        <w:jc w:val="center"/>
        <w:rPr>
          <w:rFonts w:asciiTheme="minorEastAsia" w:hAnsiTheme="minorEastAsia" w:eastAsiaTheme="minorEastAsia"/>
          <w:sz w:val="21"/>
          <w:szCs w:val="21"/>
        </w:rPr>
      </w:pPr>
      <w:bookmarkStart w:id="24" w:name="_Toc24017277"/>
      <w:bookmarkStart w:id="25" w:name="_Toc11835035"/>
      <w:r>
        <w:rPr>
          <w:rFonts w:hint="eastAsia" w:asciiTheme="minorEastAsia" w:hAnsiTheme="minorEastAsia" w:eastAsiaTheme="minorEastAsia"/>
          <w:sz w:val="21"/>
          <w:szCs w:val="21"/>
        </w:rPr>
        <w:t>一、供应商须知前附表</w:t>
      </w:r>
      <w:bookmarkEnd w:id="24"/>
      <w:bookmarkEnd w:id="25"/>
    </w:p>
    <w:tbl>
      <w:tblPr>
        <w:tblStyle w:val="38"/>
        <w:tblW w:w="9357" w:type="dxa"/>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2410"/>
        <w:gridCol w:w="62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710" w:type="dxa"/>
            <w:shd w:val="clear" w:color="auto" w:fill="auto"/>
            <w:vAlign w:val="center"/>
          </w:tcPr>
          <w:p>
            <w:pPr>
              <w:pStyle w:val="89"/>
              <w:spacing w:line="360" w:lineRule="auto"/>
              <w:ind w:left="9"/>
              <w:jc w:val="center"/>
              <w:rPr>
                <w:rFonts w:asciiTheme="minorEastAsia" w:hAnsiTheme="minorEastAsia"/>
                <w:sz w:val="21"/>
                <w:szCs w:val="21"/>
                <w:lang w:val="zh-CN"/>
              </w:rPr>
            </w:pPr>
            <w:r>
              <w:rPr>
                <w:rFonts w:hint="eastAsia" w:asciiTheme="minorEastAsia" w:hAnsiTheme="minorEastAsia"/>
                <w:sz w:val="21"/>
                <w:szCs w:val="21"/>
                <w:lang w:val="zh-CN"/>
              </w:rPr>
              <w:t>序号</w:t>
            </w:r>
          </w:p>
        </w:tc>
        <w:tc>
          <w:tcPr>
            <w:tcW w:w="2410" w:type="dxa"/>
            <w:shd w:val="clear" w:color="auto" w:fill="auto"/>
            <w:vAlign w:val="center"/>
          </w:tcPr>
          <w:p>
            <w:pPr>
              <w:pStyle w:val="89"/>
              <w:spacing w:line="360" w:lineRule="auto"/>
              <w:ind w:left="38"/>
              <w:jc w:val="center"/>
              <w:rPr>
                <w:rFonts w:asciiTheme="minorEastAsia" w:hAnsiTheme="minorEastAsia"/>
                <w:sz w:val="21"/>
                <w:szCs w:val="21"/>
                <w:lang w:val="zh-CN"/>
              </w:rPr>
            </w:pPr>
            <w:r>
              <w:rPr>
                <w:rFonts w:hint="eastAsia" w:asciiTheme="minorEastAsia" w:hAnsiTheme="minorEastAsia"/>
                <w:sz w:val="21"/>
                <w:szCs w:val="21"/>
                <w:lang w:val="zh-CN"/>
              </w:rPr>
              <w:t>应知事项</w:t>
            </w:r>
          </w:p>
        </w:tc>
        <w:tc>
          <w:tcPr>
            <w:tcW w:w="6237" w:type="dxa"/>
            <w:shd w:val="clear" w:color="auto" w:fill="auto"/>
            <w:vAlign w:val="center"/>
          </w:tcPr>
          <w:p>
            <w:pPr>
              <w:pStyle w:val="89"/>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采购预算</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采购预算：同竞争性磋商公告。</w:t>
            </w:r>
          </w:p>
          <w:p>
            <w:pPr>
              <w:spacing w:line="360" w:lineRule="auto"/>
              <w:jc w:val="both"/>
              <w:rPr>
                <w:rFonts w:asciiTheme="minorEastAsia" w:hAnsiTheme="minorEastAsia"/>
                <w:sz w:val="21"/>
                <w:szCs w:val="21"/>
                <w:lang w:val="zh-CN"/>
              </w:rPr>
            </w:pPr>
            <w:r>
              <w:rPr>
                <w:rFonts w:hint="eastAsia" w:asciiTheme="minorEastAsia" w:hAnsiTheme="minorEastAsia"/>
                <w:bCs/>
                <w:sz w:val="21"/>
                <w:szCs w:val="21"/>
                <w:lang w:val="zh-CN"/>
              </w:rPr>
              <w:t>超过采购预算的报价响应文件为无效响应文件。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2</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最高限价</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rPr>
            </w:pPr>
            <w:r>
              <w:rPr>
                <w:rFonts w:hint="eastAsia" w:asciiTheme="minorEastAsia" w:hAnsiTheme="minorEastAsia"/>
                <w:sz w:val="21"/>
                <w:szCs w:val="21"/>
              </w:rPr>
              <w:t>最高限价：同竞争性磋商公告。</w:t>
            </w:r>
          </w:p>
          <w:p>
            <w:pPr>
              <w:spacing w:line="360" w:lineRule="auto"/>
              <w:jc w:val="both"/>
              <w:rPr>
                <w:rFonts w:asciiTheme="minorEastAsia" w:hAnsiTheme="minorEastAsia"/>
                <w:sz w:val="21"/>
                <w:szCs w:val="21"/>
              </w:rPr>
            </w:pPr>
            <w:r>
              <w:rPr>
                <w:rFonts w:hint="eastAsia" w:asciiTheme="minorEastAsia" w:hAnsiTheme="minorEastAsia"/>
                <w:sz w:val="21"/>
                <w:szCs w:val="21"/>
              </w:rPr>
              <w:t>超过最高限价的报价响应文件为无效响应文件。</w:t>
            </w:r>
          </w:p>
          <w:p>
            <w:pPr>
              <w:pStyle w:val="2"/>
              <w:rPr>
                <w:rFonts w:asciiTheme="minorEastAsia" w:hAnsiTheme="minorEastAsia"/>
                <w:sz w:val="21"/>
                <w:szCs w:val="21"/>
              </w:rPr>
            </w:pPr>
            <w:r>
              <w:rPr>
                <w:rFonts w:hint="eastAsia" w:asciiTheme="minorEastAsia" w:hAnsiTheme="minorEastAsia"/>
                <w:sz w:val="21"/>
                <w:szCs w:val="21"/>
              </w:rPr>
              <w:t>备注：1.可竞争费用。即供应商服务管理费，管理费最高限价0.096万元/人/年，限价计算依据19人×0.096万元/人/年，合计为：1.8240万元。</w:t>
            </w:r>
          </w:p>
          <w:p>
            <w:pPr>
              <w:pStyle w:val="113"/>
              <w:ind w:left="60" w:leftChars="25" w:right="60" w:rightChars="25"/>
              <w:rPr>
                <w:rFonts w:cs="Times New Roman" w:asciiTheme="minorEastAsia" w:hAnsiTheme="minorEastAsia" w:eastAsiaTheme="minorEastAsia"/>
                <w:snapToGrid/>
                <w:kern w:val="0"/>
                <w:szCs w:val="21"/>
              </w:rPr>
            </w:pPr>
            <w:r>
              <w:rPr>
                <w:rFonts w:hint="eastAsia" w:cs="Times New Roman" w:asciiTheme="minorEastAsia" w:hAnsiTheme="minorEastAsia" w:eastAsiaTheme="minorEastAsia"/>
                <w:snapToGrid/>
                <w:kern w:val="0"/>
                <w:szCs w:val="21"/>
              </w:rPr>
              <w:t>2.不可竞争费用。采购人支付供应商，由供应商代发（代缴）的派遣员工的劳动报酬（含个税、个人承担的五险一金）、单位承担的五险一金，以及除工资、社保以外的依法的应由用人单位承担的雇主责任费用和招聘费用。费用共计：76万元；</w:t>
            </w:r>
          </w:p>
          <w:p>
            <w:pPr>
              <w:spacing w:line="360" w:lineRule="auto"/>
              <w:jc w:val="both"/>
              <w:rPr>
                <w:rFonts w:asciiTheme="minorEastAsia" w:hAnsiTheme="minorEastAsia"/>
                <w:sz w:val="21"/>
                <w:szCs w:val="21"/>
                <w:lang w:val="zh-CN"/>
              </w:rPr>
            </w:pPr>
            <w:r>
              <w:rPr>
                <w:rFonts w:hint="eastAsia" w:asciiTheme="minorEastAsia" w:hAnsiTheme="minorEastAsia"/>
                <w:sz w:val="21"/>
                <w:szCs w:val="21"/>
              </w:rPr>
              <w:t>3.供应商提交的报价（包括最后报价）不得超过本项目最高限价，否则将被作为无效响应处理。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3</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低于成本价不正当竞争预防措施</w:t>
            </w:r>
            <w:r>
              <w:rPr>
                <w:rFonts w:asciiTheme="minorEastAsia" w:hAnsiTheme="minorEastAsia"/>
                <w:sz w:val="21"/>
                <w:szCs w:val="21"/>
              </w:rPr>
              <w:br w:type="textWrapping"/>
            </w:r>
            <w:r>
              <w:rPr>
                <w:rFonts w:hint="eastAsia" w:asciiTheme="minorEastAsia" w:hAnsiTheme="minorEastAsia"/>
                <w:sz w:val="21"/>
                <w:szCs w:val="21"/>
              </w:rPr>
              <w:t>（实质性要求）</w:t>
            </w:r>
          </w:p>
        </w:tc>
        <w:tc>
          <w:tcPr>
            <w:tcW w:w="6237" w:type="dxa"/>
            <w:shd w:val="clear" w:color="auto" w:fill="auto"/>
          </w:tcPr>
          <w:p>
            <w:pPr>
              <w:spacing w:line="360" w:lineRule="auto"/>
              <w:jc w:val="both"/>
              <w:rPr>
                <w:rFonts w:asciiTheme="minorEastAsia" w:hAnsiTheme="minorEastAsia"/>
                <w:sz w:val="21"/>
                <w:szCs w:val="21"/>
              </w:rPr>
            </w:pPr>
            <w:r>
              <w:rPr>
                <w:rFonts w:hint="eastAsia" w:asciiTheme="minorEastAsia" w:hAnsiTheme="minorEastAsia"/>
                <w:sz w:val="21"/>
                <w:szCs w:val="21"/>
              </w:rPr>
              <w:t>1. 根据《四川省财政厅关于防范和惩处政府采购中不正当竞争行为的通知》（川财采[2017]63号）供应商在参加政府采购活动过程中，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相关证明材料，证明其报价的合理性，无法证明其报价合理性的，其响应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rPr>
                <w:rFonts w:asciiTheme="minorEastAsia" w:hAnsiTheme="minorEastAsia"/>
                <w:sz w:val="21"/>
                <w:szCs w:val="21"/>
              </w:rPr>
            </w:pPr>
            <w:r>
              <w:rPr>
                <w:rFonts w:hint="eastAsia" w:asciiTheme="minorEastAsia" w:hAnsiTheme="minor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asciiTheme="minorEastAsia" w:hAnsiTheme="minorEastAsia"/>
                <w:sz w:val="21"/>
                <w:szCs w:val="21"/>
              </w:rPr>
            </w:pPr>
            <w:r>
              <w:rPr>
                <w:rFonts w:hint="eastAsia" w:asciiTheme="minorEastAsia" w:hAnsiTheme="minorEastAsia"/>
                <w:sz w:val="21"/>
                <w:szCs w:val="21"/>
              </w:rPr>
              <w:t>3.供应商书面说明应当签字确认或者加盖公章，否则无效。书面说明的签字确认，由其法定代表人/主要负责人/本人或者其授权代表签字确认。</w:t>
            </w:r>
          </w:p>
          <w:p>
            <w:pPr>
              <w:spacing w:line="360" w:lineRule="auto"/>
              <w:rPr>
                <w:rFonts w:asciiTheme="minorEastAsia" w:hAnsiTheme="minorEastAsia"/>
                <w:sz w:val="21"/>
                <w:szCs w:val="21"/>
              </w:rPr>
            </w:pPr>
            <w:r>
              <w:rPr>
                <w:rFonts w:hint="eastAsia" w:asciiTheme="minorEastAsia" w:hAnsiTheme="minorEastAsia"/>
                <w:sz w:val="21"/>
                <w:szCs w:val="21"/>
              </w:rPr>
              <w:t>4.供应商提供书面说明后，磋商小组应当结合采购项目采购需求、专业实际情况、供应商财务状况报告、与其他供应商比较情况等就供应商书面说明进行审查评价。</w:t>
            </w:r>
          </w:p>
          <w:p>
            <w:pPr>
              <w:spacing w:line="360" w:lineRule="auto"/>
              <w:rPr>
                <w:rFonts w:asciiTheme="minorEastAsia" w:hAnsiTheme="minorEastAsia"/>
                <w:sz w:val="21"/>
                <w:szCs w:val="21"/>
              </w:rPr>
            </w:pPr>
            <w:r>
              <w:rPr>
                <w:rFonts w:hint="eastAsia" w:asciiTheme="minorEastAsia" w:hAnsiTheme="minorEastAsia"/>
                <w:sz w:val="21"/>
                <w:szCs w:val="21"/>
              </w:rPr>
              <w:t>5.供应商拒绝或者变相拒绝提供有效书面说明或者书面说明不能证明其报价合理性的或未在规定时间内递交有效书面说明书的，磋商小组应当将其响应文件作为无效处理。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4</w:t>
            </w:r>
          </w:p>
        </w:tc>
        <w:tc>
          <w:tcPr>
            <w:tcW w:w="2410" w:type="dxa"/>
            <w:shd w:val="clear" w:color="auto" w:fill="auto"/>
            <w:vAlign w:val="center"/>
          </w:tcPr>
          <w:p>
            <w:pPr>
              <w:autoSpaceDE w:val="0"/>
              <w:autoSpaceDN w:val="0"/>
              <w:snapToGrid w:val="0"/>
              <w:spacing w:line="360" w:lineRule="auto"/>
              <w:ind w:left="96"/>
              <w:jc w:val="center"/>
              <w:rPr>
                <w:sz w:val="21"/>
                <w:szCs w:val="21"/>
              </w:rPr>
            </w:pPr>
            <w:r>
              <w:rPr>
                <w:rFonts w:hint="eastAsia"/>
                <w:sz w:val="21"/>
                <w:szCs w:val="21"/>
              </w:rPr>
              <w:t>小微企业（监狱企业、残疾人福利性单位视同小微企业）价格扣除</w:t>
            </w:r>
            <w:r>
              <w:rPr>
                <w:rFonts w:hint="eastAsia"/>
                <w:b/>
                <w:sz w:val="21"/>
                <w:szCs w:val="21"/>
              </w:rPr>
              <w:t>（本项目专门面向中小，本条不适用）</w:t>
            </w:r>
          </w:p>
        </w:tc>
        <w:tc>
          <w:tcPr>
            <w:tcW w:w="6237" w:type="dxa"/>
            <w:shd w:val="clear" w:color="auto" w:fill="auto"/>
            <w:vAlign w:val="center"/>
          </w:tcPr>
          <w:p>
            <w:pPr>
              <w:snapToGrid w:val="0"/>
              <w:spacing w:line="360" w:lineRule="auto"/>
              <w:rPr>
                <w:sz w:val="21"/>
                <w:szCs w:val="21"/>
              </w:rPr>
            </w:pPr>
            <w:r>
              <w:rPr>
                <w:rFonts w:hint="eastAsia"/>
                <w:sz w:val="21"/>
                <w:szCs w:val="21"/>
              </w:rPr>
              <w:t>1、根据</w:t>
            </w:r>
            <w:r>
              <w:rPr>
                <w:rFonts w:hint="eastAsia" w:asciiTheme="minorEastAsia" w:hAnsiTheme="minorEastAsia"/>
                <w:sz w:val="21"/>
                <w:szCs w:val="21"/>
              </w:rPr>
              <w:t>《政府采购促进中小企业发展管理办法》</w:t>
            </w:r>
            <w:r>
              <w:rPr>
                <w:rFonts w:hint="eastAsia"/>
                <w:sz w:val="21"/>
                <w:szCs w:val="21"/>
              </w:rPr>
              <w:t>（财库[2020]46号）的规定，对小型和微型企业产品的价格给予10%的价格扣除，用扣除后的价格参与评审。</w:t>
            </w:r>
          </w:p>
          <w:p>
            <w:pPr>
              <w:snapToGrid w:val="0"/>
              <w:spacing w:line="360" w:lineRule="auto"/>
              <w:rPr>
                <w:sz w:val="21"/>
                <w:szCs w:val="21"/>
              </w:rPr>
            </w:pPr>
            <w:r>
              <w:rPr>
                <w:rFonts w:hint="eastAsia"/>
                <w:sz w:val="21"/>
                <w:szCs w:val="21"/>
              </w:rPr>
              <w:t>2、参加政府采购活动的中小企业（监狱企业）提供《中小企业（监狱企业）声明函》原件，未提供的，视为放弃享受小微企业价格扣除优惠政策。</w:t>
            </w:r>
          </w:p>
          <w:p>
            <w:pPr>
              <w:snapToGrid w:val="0"/>
              <w:spacing w:line="360" w:lineRule="auto"/>
              <w:rPr>
                <w:b/>
                <w:sz w:val="21"/>
                <w:szCs w:val="21"/>
              </w:rPr>
            </w:pPr>
            <w:r>
              <w:rPr>
                <w:rFonts w:hint="eastAsia"/>
                <w:sz w:val="21"/>
                <w:szCs w:val="21"/>
              </w:rPr>
              <w:t>3、参加政府采购活动的残疾人福利性单位应当提供《残疾人福利性单位声明函》原件，未提供的，视为放弃享受小微企业价格扣除优惠政策。残疾人福利性单位属于小型、微型企业的，不重复享受政策。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5</w:t>
            </w:r>
          </w:p>
        </w:tc>
        <w:tc>
          <w:tcPr>
            <w:tcW w:w="2410" w:type="dxa"/>
            <w:shd w:val="clear" w:color="auto" w:fill="auto"/>
            <w:vAlign w:val="center"/>
          </w:tcPr>
          <w:p>
            <w:pPr>
              <w:pStyle w:val="89"/>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失信企业报价加成（实质性要求）</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1、对</w:t>
            </w:r>
            <w:r>
              <w:rPr>
                <w:rFonts w:hint="eastAsia"/>
                <w:sz w:val="21"/>
                <w:szCs w:val="21"/>
              </w:rPr>
              <w:t>参照原</w:t>
            </w:r>
            <w:r>
              <w:rPr>
                <w:rFonts w:hint="eastAsia" w:asciiTheme="minorEastAsia" w:hAnsiTheme="minorEastAsia"/>
                <w:sz w:val="21"/>
                <w:szCs w:val="21"/>
              </w:rPr>
              <w:t>《四川省政府采购当事人诚信管理办法》（川财采[2015]33号）记入诚信档案的且在有效期内的失信供应商，在参加政府采购活动中实行10%的报价加成，以加成后报价作为该供应商报价评审。供应商失信行为惩戒实行无限制累加制。若加成后的报价超过预算的，视为无效响应文件。</w:t>
            </w:r>
          </w:p>
          <w:p>
            <w:pPr>
              <w:spacing w:line="360" w:lineRule="auto"/>
              <w:rPr>
                <w:rFonts w:asciiTheme="minorEastAsia" w:hAnsiTheme="minorEastAsia"/>
                <w:sz w:val="21"/>
                <w:szCs w:val="21"/>
              </w:rPr>
            </w:pPr>
            <w:r>
              <w:rPr>
                <w:rFonts w:hint="eastAsia" w:asciiTheme="minorEastAsia" w:hAnsiTheme="minorEastAsia"/>
                <w:sz w:val="21"/>
                <w:szCs w:val="21"/>
              </w:rPr>
              <w:t>2、供应商参加政府采购活动时，应当就自己的诚信情况在响应文件中进行承诺，并提供《供应商诚信情况的承诺函》原件。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6</w:t>
            </w:r>
          </w:p>
        </w:tc>
        <w:tc>
          <w:tcPr>
            <w:tcW w:w="2410" w:type="dxa"/>
            <w:shd w:val="clear" w:color="auto" w:fill="auto"/>
            <w:vAlign w:val="center"/>
          </w:tcPr>
          <w:p>
            <w:pPr>
              <w:spacing w:line="360" w:lineRule="auto"/>
              <w:ind w:left="284" w:firstLine="210" w:firstLineChars="100"/>
              <w:jc w:val="both"/>
              <w:rPr>
                <w:rFonts w:cs="Courier New" w:asciiTheme="minorEastAsia" w:hAnsiTheme="minorEastAsia"/>
                <w:sz w:val="21"/>
                <w:szCs w:val="21"/>
                <w:lang w:val="zh-CN"/>
              </w:rPr>
            </w:pPr>
            <w:r>
              <w:rPr>
                <w:rFonts w:hint="eastAsia"/>
                <w:sz w:val="21"/>
                <w:szCs w:val="21"/>
              </w:rPr>
              <w:t>评审情况公告</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供应商资格审查情况、磋商情况、报价情况、磋商结果等在四川政府采购网上采购结果公告栏中予以公告。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0" w:hRule="atLeast"/>
        </w:trPr>
        <w:tc>
          <w:tcPr>
            <w:tcW w:w="7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7</w:t>
            </w:r>
          </w:p>
        </w:tc>
        <w:tc>
          <w:tcPr>
            <w:tcW w:w="2410" w:type="dxa"/>
            <w:shd w:val="clear" w:color="auto" w:fill="auto"/>
            <w:vAlign w:val="center"/>
          </w:tcPr>
          <w:p>
            <w:pPr>
              <w:spacing w:line="360" w:lineRule="auto"/>
              <w:jc w:val="center"/>
              <w:rPr>
                <w:rFonts w:cs="Courier New" w:asciiTheme="minorEastAsia" w:hAnsiTheme="minorEastAsia"/>
                <w:sz w:val="21"/>
                <w:szCs w:val="21"/>
                <w:lang w:val="zh-CN"/>
              </w:rPr>
            </w:pPr>
            <w:r>
              <w:rPr>
                <w:rFonts w:hint="eastAsia" w:cs="Courier New" w:asciiTheme="minorEastAsia" w:hAnsiTheme="minorEastAsia"/>
                <w:sz w:val="21"/>
                <w:szCs w:val="21"/>
                <w:lang w:val="zh-CN"/>
              </w:rPr>
              <w:t>响应文件份数</w:t>
            </w:r>
          </w:p>
        </w:tc>
        <w:tc>
          <w:tcPr>
            <w:tcW w:w="6237" w:type="dxa"/>
            <w:shd w:val="clear" w:color="auto" w:fill="auto"/>
            <w:vAlign w:val="center"/>
          </w:tcPr>
          <w:p>
            <w:pPr>
              <w:tabs>
                <w:tab w:val="left" w:pos="7665"/>
              </w:tabs>
              <w:snapToGrid w:val="0"/>
              <w:spacing w:line="360" w:lineRule="auto"/>
              <w:rPr>
                <w:rFonts w:asciiTheme="minorEastAsia" w:hAnsiTheme="minorEastAsia"/>
                <w:sz w:val="21"/>
                <w:szCs w:val="21"/>
                <w:lang w:val="zh-CN"/>
              </w:rPr>
            </w:pPr>
            <w:r>
              <w:rPr>
                <w:rFonts w:hint="eastAsia"/>
                <w:sz w:val="21"/>
                <w:szCs w:val="21"/>
              </w:rPr>
              <w:t>资格性响应文件和其他响应文件正本各1份、资格性响应文件和其他响应文件副本各2份和相应的电子文档U盘（内容为正本的扫描件PDF或JPG格式）1份。（其中文件数量为实质性要求）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8</w:t>
            </w:r>
          </w:p>
        </w:tc>
        <w:tc>
          <w:tcPr>
            <w:tcW w:w="2410" w:type="dxa"/>
            <w:shd w:val="clear" w:color="auto" w:fill="auto"/>
            <w:vAlign w:val="center"/>
          </w:tcPr>
          <w:p>
            <w:pPr>
              <w:spacing w:line="360" w:lineRule="auto"/>
              <w:jc w:val="center"/>
              <w:rPr>
                <w:rFonts w:cs="Courier New" w:asciiTheme="minorEastAsia" w:hAnsiTheme="minorEastAsia"/>
                <w:bCs/>
                <w:sz w:val="21"/>
                <w:szCs w:val="21"/>
                <w:lang w:val="zh-CN"/>
              </w:rPr>
            </w:pPr>
            <w:r>
              <w:rPr>
                <w:rFonts w:hint="eastAsia" w:cs="Courier New" w:asciiTheme="minorEastAsia" w:hAnsiTheme="minorEastAsia"/>
                <w:bCs/>
                <w:sz w:val="21"/>
                <w:szCs w:val="21"/>
                <w:lang w:val="zh-CN"/>
              </w:rPr>
              <w:t>磋商保证金</w:t>
            </w:r>
          </w:p>
        </w:tc>
        <w:tc>
          <w:tcPr>
            <w:tcW w:w="6237" w:type="dxa"/>
            <w:shd w:val="clear" w:color="auto" w:fill="auto"/>
            <w:vAlign w:val="center"/>
          </w:tcPr>
          <w:p>
            <w:pPr>
              <w:spacing w:line="360" w:lineRule="auto"/>
              <w:jc w:val="both"/>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9</w:t>
            </w:r>
          </w:p>
        </w:tc>
        <w:tc>
          <w:tcPr>
            <w:tcW w:w="24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履约保证金</w:t>
            </w:r>
          </w:p>
        </w:tc>
        <w:tc>
          <w:tcPr>
            <w:tcW w:w="6237" w:type="dxa"/>
            <w:shd w:val="clear" w:color="auto" w:fill="auto"/>
            <w:vAlign w:val="center"/>
          </w:tcPr>
          <w:p>
            <w:pPr>
              <w:spacing w:line="360" w:lineRule="auto"/>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10</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磋商有效期</w:t>
            </w:r>
          </w:p>
        </w:tc>
        <w:tc>
          <w:tcPr>
            <w:tcW w:w="6237" w:type="dxa"/>
            <w:shd w:val="clear" w:color="auto" w:fill="auto"/>
            <w:vAlign w:val="center"/>
          </w:tcPr>
          <w:p>
            <w:pPr>
              <w:spacing w:line="360" w:lineRule="auto"/>
              <w:rPr>
                <w:rFonts w:asciiTheme="minorEastAsia" w:hAnsiTheme="minorEastAsia"/>
                <w:sz w:val="21"/>
                <w:szCs w:val="21"/>
                <w:lang w:val="zh-CN"/>
              </w:rPr>
            </w:pPr>
            <w:r>
              <w:rPr>
                <w:rFonts w:asciiTheme="minorEastAsia" w:hAnsiTheme="minorEastAsia"/>
                <w:sz w:val="21"/>
                <w:szCs w:val="21"/>
              </w:rPr>
              <w:t>90</w:t>
            </w:r>
            <w:r>
              <w:rPr>
                <w:rFonts w:hint="eastAsia" w:asciiTheme="minorEastAsia" w:hAnsiTheme="minorEastAsia"/>
                <w:sz w:val="21"/>
                <w:szCs w:val="21"/>
              </w:rPr>
              <w:t>天，从提交响应文件的截止之日起算。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成交通知书领取</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采购结果公告在四川政府采购网上发布后，请成交供应商凭有效身份证明证件到</w:t>
            </w:r>
            <w:r>
              <w:rPr>
                <w:rFonts w:hint="eastAsia" w:ascii="宋体" w:hAnsi="宋体" w:eastAsia="宋体"/>
                <w:kern w:val="2"/>
                <w:sz w:val="21"/>
                <w:szCs w:val="21"/>
              </w:rPr>
              <w:t>四川省成都市金牛区金科南路169号安格斯峰汇中心1216号</w:t>
            </w:r>
            <w:r>
              <w:rPr>
                <w:rFonts w:hint="eastAsia" w:asciiTheme="minorEastAsia" w:hAnsiTheme="minorEastAsia"/>
                <w:sz w:val="21"/>
                <w:szCs w:val="21"/>
                <w:lang w:val="zh-CN"/>
              </w:rPr>
              <w:t>四川全诚招标代理有限公司领取成交通知书。</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2"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12</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供应商询问</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根据委托代理协议约定，</w:t>
            </w:r>
            <w:r>
              <w:rPr>
                <w:rFonts w:asciiTheme="minorEastAsia" w:hAnsiTheme="minorEastAsia"/>
                <w:sz w:val="21"/>
                <w:szCs w:val="21"/>
              </w:rPr>
              <w:t>针对</w:t>
            </w:r>
            <w:r>
              <w:rPr>
                <w:rFonts w:hint="eastAsia" w:asciiTheme="minorEastAsia" w:hAnsiTheme="minorEastAsia"/>
                <w:sz w:val="21"/>
                <w:szCs w:val="21"/>
              </w:rPr>
              <w:t>磋商</w:t>
            </w:r>
            <w:r>
              <w:rPr>
                <w:rFonts w:asciiTheme="minorEastAsia" w:hAnsiTheme="minorEastAsia"/>
                <w:sz w:val="21"/>
                <w:szCs w:val="21"/>
              </w:rPr>
              <w:t>文件技术条款和除政府采购法第二十二条</w:t>
            </w:r>
            <w:r>
              <w:rPr>
                <w:rFonts w:hint="eastAsia" w:asciiTheme="minorEastAsia" w:hAnsiTheme="minorEastAsia"/>
                <w:sz w:val="21"/>
                <w:szCs w:val="21"/>
              </w:rPr>
              <w:t>之</w:t>
            </w:r>
            <w:r>
              <w:rPr>
                <w:rFonts w:asciiTheme="minorEastAsia" w:hAnsiTheme="minorEastAsia"/>
                <w:sz w:val="21"/>
                <w:szCs w:val="21"/>
              </w:rPr>
              <w:t>外的</w:t>
            </w:r>
            <w:r>
              <w:rPr>
                <w:rFonts w:hint="eastAsia" w:asciiTheme="minorEastAsia" w:hAnsiTheme="minorEastAsia"/>
                <w:sz w:val="21"/>
                <w:szCs w:val="21"/>
              </w:rPr>
              <w:t>其他</w:t>
            </w:r>
            <w:r>
              <w:rPr>
                <w:rFonts w:asciiTheme="minorEastAsia" w:hAnsiTheme="minorEastAsia"/>
                <w:sz w:val="21"/>
                <w:szCs w:val="21"/>
              </w:rPr>
              <w:t>资格条件、专业商务条件的</w:t>
            </w:r>
            <w:r>
              <w:rPr>
                <w:rFonts w:hint="eastAsia" w:asciiTheme="minorEastAsia" w:hAnsiTheme="minorEastAsia"/>
                <w:sz w:val="21"/>
                <w:szCs w:val="21"/>
              </w:rPr>
              <w:t>询问由</w:t>
            </w:r>
            <w:r>
              <w:rPr>
                <w:rFonts w:asciiTheme="minorEastAsia" w:hAnsiTheme="minorEastAsia"/>
                <w:sz w:val="21"/>
                <w:szCs w:val="21"/>
              </w:rPr>
              <w:t>采购人</w:t>
            </w:r>
            <w:r>
              <w:rPr>
                <w:rFonts w:hint="eastAsia" w:asciiTheme="minorEastAsia" w:hAnsiTheme="minorEastAsia"/>
                <w:sz w:val="21"/>
                <w:szCs w:val="21"/>
              </w:rPr>
              <w:t>进行</w:t>
            </w:r>
            <w:r>
              <w:rPr>
                <w:rFonts w:asciiTheme="minorEastAsia" w:hAnsiTheme="minorEastAsia"/>
                <w:sz w:val="21"/>
                <w:szCs w:val="21"/>
              </w:rPr>
              <w:t>答复。</w:t>
            </w:r>
            <w:r>
              <w:rPr>
                <w:rFonts w:hint="eastAsia" w:asciiTheme="minorEastAsia" w:hAnsiTheme="minorEastAsia"/>
                <w:sz w:val="21"/>
                <w:szCs w:val="21"/>
              </w:rPr>
              <w:t>针对采购</w:t>
            </w:r>
            <w:r>
              <w:rPr>
                <w:rFonts w:asciiTheme="minorEastAsia" w:hAnsiTheme="minorEastAsia"/>
                <w:sz w:val="21"/>
                <w:szCs w:val="21"/>
              </w:rPr>
              <w:t>过程及</w:t>
            </w:r>
            <w:r>
              <w:rPr>
                <w:rFonts w:hint="eastAsia" w:asciiTheme="minorEastAsia" w:hAnsiTheme="minorEastAsia"/>
                <w:sz w:val="21"/>
                <w:szCs w:val="21"/>
              </w:rPr>
              <w:t>磋商</w:t>
            </w:r>
            <w:r>
              <w:rPr>
                <w:rFonts w:asciiTheme="minorEastAsia" w:hAnsiTheme="minorEastAsia"/>
                <w:sz w:val="21"/>
                <w:szCs w:val="21"/>
              </w:rPr>
              <w:t>文件</w:t>
            </w:r>
            <w:r>
              <w:rPr>
                <w:rFonts w:hint="eastAsia" w:asciiTheme="minorEastAsia" w:hAnsiTheme="minorEastAsia"/>
                <w:sz w:val="21"/>
                <w:szCs w:val="21"/>
              </w:rPr>
              <w:t>其他</w:t>
            </w:r>
            <w:r>
              <w:rPr>
                <w:rFonts w:asciiTheme="minorEastAsia" w:hAnsiTheme="minorEastAsia"/>
                <w:sz w:val="21"/>
                <w:szCs w:val="21"/>
              </w:rPr>
              <w:t>内容提出的</w:t>
            </w:r>
            <w:r>
              <w:rPr>
                <w:rFonts w:hint="eastAsia" w:asciiTheme="minorEastAsia" w:hAnsiTheme="minorEastAsia"/>
                <w:sz w:val="21"/>
                <w:szCs w:val="21"/>
              </w:rPr>
              <w:t>询问由</w:t>
            </w:r>
            <w:r>
              <w:rPr>
                <w:rFonts w:asciiTheme="minorEastAsia" w:hAnsiTheme="minorEastAsia"/>
                <w:sz w:val="21"/>
                <w:szCs w:val="21"/>
              </w:rPr>
              <w:t>采购代理机构</w:t>
            </w:r>
            <w:r>
              <w:rPr>
                <w:rFonts w:hint="eastAsia" w:asciiTheme="minorEastAsia" w:hAnsiTheme="minorEastAsia"/>
                <w:sz w:val="21"/>
                <w:szCs w:val="21"/>
              </w:rPr>
              <w:t>进行答复。</w:t>
            </w:r>
          </w:p>
          <w:p>
            <w:pPr>
              <w:spacing w:line="360" w:lineRule="auto"/>
              <w:rPr>
                <w:rFonts w:asciiTheme="minorEastAsia" w:hAnsiTheme="minorEastAsia"/>
                <w:sz w:val="21"/>
                <w:szCs w:val="21"/>
              </w:rPr>
            </w:pPr>
            <w:r>
              <w:rPr>
                <w:rFonts w:hint="eastAsia" w:asciiTheme="minorEastAsia" w:hAnsiTheme="minorEastAsia"/>
                <w:sz w:val="21"/>
                <w:szCs w:val="21"/>
              </w:rPr>
              <w:t>联系人：</w:t>
            </w:r>
            <w:r>
              <w:rPr>
                <w:rFonts w:hint="eastAsia"/>
                <w:sz w:val="21"/>
                <w:szCs w:val="21"/>
              </w:rPr>
              <w:t>田女士</w:t>
            </w:r>
          </w:p>
          <w:p>
            <w:pPr>
              <w:spacing w:line="360" w:lineRule="auto"/>
              <w:rPr>
                <w:rFonts w:asciiTheme="minorEastAsia" w:hAnsiTheme="minorEastAsia"/>
                <w:sz w:val="21"/>
                <w:szCs w:val="21"/>
              </w:rPr>
            </w:pPr>
            <w:r>
              <w:rPr>
                <w:rFonts w:hint="eastAsia" w:asciiTheme="minorEastAsia" w:hAnsiTheme="minorEastAsia"/>
                <w:sz w:val="21"/>
                <w:szCs w:val="21"/>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13</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供应商质疑</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1、根据委托代理协议约定，供应商的质疑由四川全诚招标代理有限公司和采购人根据内容分别负责答复。</w:t>
            </w:r>
          </w:p>
          <w:p>
            <w:pPr>
              <w:autoSpaceDE w:val="0"/>
              <w:autoSpaceDN w:val="0"/>
              <w:snapToGrid w:val="0"/>
              <w:spacing w:line="360" w:lineRule="auto"/>
              <w:rPr>
                <w:sz w:val="21"/>
                <w:szCs w:val="21"/>
              </w:rPr>
            </w:pPr>
            <w:r>
              <w:rPr>
                <w:rFonts w:hint="eastAsia"/>
                <w:sz w:val="21"/>
                <w:szCs w:val="21"/>
              </w:rPr>
              <w:t>2、</w:t>
            </w:r>
            <w:r>
              <w:rPr>
                <w:sz w:val="21"/>
                <w:szCs w:val="21"/>
              </w:rPr>
              <w:t>供应商认为采购文件、采购过程、成交结果使自己的权益受到损害的，可以在知道或者应知权益受到损害之日起7个工作日内提出质疑。</w:t>
            </w:r>
          </w:p>
          <w:p>
            <w:pPr>
              <w:autoSpaceDE w:val="0"/>
              <w:autoSpaceDN w:val="0"/>
              <w:snapToGrid w:val="0"/>
              <w:spacing w:line="360" w:lineRule="auto"/>
              <w:rPr>
                <w:sz w:val="21"/>
                <w:szCs w:val="21"/>
              </w:rPr>
            </w:pPr>
            <w:r>
              <w:rPr>
                <w:rFonts w:hint="eastAsia"/>
                <w:sz w:val="21"/>
                <w:szCs w:val="21"/>
              </w:rPr>
              <w:t>3、根据《中华人民共和国政府采购法》及《政府采购质疑和投诉办法》的规定，供应商质疑不得超出采购文件、采购过程、采购结果的范围，供应商在法定质疑期内应一次性提出针对同一采购程序环节的质疑。</w:t>
            </w:r>
          </w:p>
          <w:p>
            <w:pPr>
              <w:autoSpaceDE w:val="0"/>
              <w:autoSpaceDN w:val="0"/>
              <w:snapToGrid w:val="0"/>
              <w:spacing w:line="360" w:lineRule="auto"/>
              <w:rPr>
                <w:sz w:val="21"/>
                <w:szCs w:val="21"/>
              </w:rPr>
            </w:pPr>
            <w:r>
              <w:rPr>
                <w:rFonts w:hint="eastAsia"/>
                <w:sz w:val="21"/>
                <w:szCs w:val="21"/>
              </w:rPr>
              <w:t>4、</w:t>
            </w:r>
            <w:r>
              <w:rPr>
                <w:sz w:val="21"/>
                <w:szCs w:val="21"/>
              </w:rPr>
              <w:t>受理质疑方式：书面方式</w:t>
            </w:r>
            <w:r>
              <w:rPr>
                <w:rFonts w:hint="eastAsia"/>
                <w:sz w:val="21"/>
                <w:szCs w:val="21"/>
              </w:rPr>
              <w:t>；供应商递交书面质疑的，请随原件递交一份内容相同的word文档 。</w:t>
            </w:r>
          </w:p>
          <w:p>
            <w:pPr>
              <w:autoSpaceDE w:val="0"/>
              <w:autoSpaceDN w:val="0"/>
              <w:snapToGrid w:val="0"/>
              <w:spacing w:line="360" w:lineRule="auto"/>
              <w:rPr>
                <w:sz w:val="21"/>
                <w:szCs w:val="21"/>
              </w:rPr>
            </w:pPr>
            <w:r>
              <w:rPr>
                <w:rFonts w:hint="eastAsia"/>
                <w:sz w:val="21"/>
                <w:szCs w:val="21"/>
              </w:rPr>
              <w:t>5、</w:t>
            </w:r>
            <w:r>
              <w:rPr>
                <w:sz w:val="21"/>
                <w:szCs w:val="21"/>
              </w:rPr>
              <w:t xml:space="preserve">供应商提出质疑应当提交质疑函和必要的证明材料。质疑函应当包括下列内容： </w:t>
            </w:r>
          </w:p>
          <w:p>
            <w:pPr>
              <w:autoSpaceDE w:val="0"/>
              <w:autoSpaceDN w:val="0"/>
              <w:snapToGrid w:val="0"/>
              <w:spacing w:line="360" w:lineRule="auto"/>
              <w:rPr>
                <w:sz w:val="21"/>
                <w:szCs w:val="21"/>
              </w:rPr>
            </w:pPr>
            <w:r>
              <w:rPr>
                <w:rFonts w:hint="eastAsia"/>
                <w:sz w:val="21"/>
                <w:szCs w:val="21"/>
              </w:rPr>
              <w:t>5</w:t>
            </w:r>
            <w:r>
              <w:rPr>
                <w:sz w:val="21"/>
                <w:szCs w:val="21"/>
              </w:rPr>
              <w:t>.</w:t>
            </w:r>
            <w:r>
              <w:rPr>
                <w:rFonts w:hint="eastAsia"/>
                <w:sz w:val="21"/>
                <w:szCs w:val="21"/>
              </w:rPr>
              <w:t>1</w:t>
            </w:r>
            <w:r>
              <w:rPr>
                <w:sz w:val="21"/>
                <w:szCs w:val="21"/>
              </w:rPr>
              <w:t xml:space="preserve">供应商的姓名或者名称、地址、邮编、联系人及联 系电话； </w:t>
            </w:r>
          </w:p>
          <w:p>
            <w:pPr>
              <w:autoSpaceDE w:val="0"/>
              <w:autoSpaceDN w:val="0"/>
              <w:snapToGrid w:val="0"/>
              <w:spacing w:line="360" w:lineRule="auto"/>
              <w:rPr>
                <w:sz w:val="21"/>
                <w:szCs w:val="21"/>
              </w:rPr>
            </w:pPr>
            <w:r>
              <w:rPr>
                <w:rFonts w:hint="eastAsia"/>
                <w:sz w:val="21"/>
                <w:szCs w:val="21"/>
              </w:rPr>
              <w:t>5</w:t>
            </w:r>
            <w:r>
              <w:rPr>
                <w:sz w:val="21"/>
                <w:szCs w:val="21"/>
              </w:rPr>
              <w:t xml:space="preserve">.2质疑项目的名称、编号； </w:t>
            </w:r>
          </w:p>
          <w:p>
            <w:pPr>
              <w:autoSpaceDE w:val="0"/>
              <w:autoSpaceDN w:val="0"/>
              <w:snapToGrid w:val="0"/>
              <w:spacing w:line="360" w:lineRule="auto"/>
              <w:rPr>
                <w:sz w:val="21"/>
                <w:szCs w:val="21"/>
              </w:rPr>
            </w:pPr>
            <w:r>
              <w:rPr>
                <w:rFonts w:hint="eastAsia"/>
                <w:sz w:val="21"/>
                <w:szCs w:val="21"/>
              </w:rPr>
              <w:t>5</w:t>
            </w:r>
            <w:r>
              <w:rPr>
                <w:sz w:val="21"/>
                <w:szCs w:val="21"/>
              </w:rPr>
              <w:t xml:space="preserve">.3具体、明确的质疑事项和与质疑事项相关的请求； </w:t>
            </w:r>
          </w:p>
          <w:p>
            <w:pPr>
              <w:autoSpaceDE w:val="0"/>
              <w:autoSpaceDN w:val="0"/>
              <w:snapToGrid w:val="0"/>
              <w:spacing w:line="360" w:lineRule="auto"/>
              <w:rPr>
                <w:sz w:val="21"/>
                <w:szCs w:val="21"/>
              </w:rPr>
            </w:pPr>
            <w:r>
              <w:rPr>
                <w:rFonts w:hint="eastAsia"/>
                <w:sz w:val="21"/>
                <w:szCs w:val="21"/>
              </w:rPr>
              <w:t>5</w:t>
            </w:r>
            <w:r>
              <w:rPr>
                <w:sz w:val="21"/>
                <w:szCs w:val="21"/>
              </w:rPr>
              <w:t xml:space="preserve">.4事实依据； </w:t>
            </w:r>
          </w:p>
          <w:p>
            <w:pPr>
              <w:autoSpaceDE w:val="0"/>
              <w:autoSpaceDN w:val="0"/>
              <w:snapToGrid w:val="0"/>
              <w:spacing w:line="360" w:lineRule="auto"/>
              <w:rPr>
                <w:sz w:val="21"/>
                <w:szCs w:val="21"/>
              </w:rPr>
            </w:pPr>
            <w:r>
              <w:rPr>
                <w:rFonts w:hint="eastAsia"/>
                <w:sz w:val="21"/>
                <w:szCs w:val="21"/>
              </w:rPr>
              <w:t>5</w:t>
            </w:r>
            <w:r>
              <w:rPr>
                <w:sz w:val="21"/>
                <w:szCs w:val="21"/>
              </w:rPr>
              <w:t xml:space="preserve">.5必要的法律依据； </w:t>
            </w:r>
          </w:p>
          <w:p>
            <w:pPr>
              <w:autoSpaceDE w:val="0"/>
              <w:autoSpaceDN w:val="0"/>
              <w:snapToGrid w:val="0"/>
              <w:spacing w:line="276" w:lineRule="auto"/>
              <w:rPr>
                <w:sz w:val="21"/>
                <w:szCs w:val="21"/>
              </w:rPr>
            </w:pPr>
            <w:r>
              <w:rPr>
                <w:rFonts w:hint="eastAsia"/>
                <w:sz w:val="21"/>
                <w:szCs w:val="21"/>
              </w:rPr>
              <w:t>5</w:t>
            </w:r>
            <w:r>
              <w:rPr>
                <w:sz w:val="21"/>
                <w:szCs w:val="21"/>
              </w:rPr>
              <w:t>.6提出质疑的日期。供应商为自然人的，质疑函应当由本人签字；供应商为法人或者其他组织的，质疑函应当由法定代表人、主要负责人，或者其授权代表签字或者盖章，并加盖公章。供应商委托代理人递交质疑函的</w:t>
            </w:r>
            <w:r>
              <w:rPr>
                <w:rFonts w:hint="eastAsia"/>
                <w:sz w:val="21"/>
                <w:szCs w:val="21"/>
              </w:rPr>
              <w:t>，</w:t>
            </w:r>
            <w:r>
              <w:rPr>
                <w:sz w:val="21"/>
                <w:szCs w:val="21"/>
              </w:rPr>
              <w:t xml:space="preserve">应提供法定代表人授权委托书和代理人身份证复印件。授权委托书应当载明代理人的姓名、授权事项、具体权限、期限和相关事项。 供应商为自然人的，授权委托书应当由本人签字；供应商为法人或者其他组织的，授权委托书应当由法定代表人、主要负责人签字或者盖章，并加盖公章。 </w:t>
            </w:r>
          </w:p>
          <w:p>
            <w:pPr>
              <w:autoSpaceDE w:val="0"/>
              <w:autoSpaceDN w:val="0"/>
              <w:snapToGrid w:val="0"/>
              <w:spacing w:line="276" w:lineRule="auto"/>
              <w:rPr>
                <w:sz w:val="21"/>
                <w:szCs w:val="21"/>
              </w:rPr>
            </w:pPr>
            <w:r>
              <w:rPr>
                <w:rFonts w:hint="eastAsia"/>
                <w:sz w:val="21"/>
                <w:szCs w:val="21"/>
              </w:rPr>
              <w:t>6</w:t>
            </w:r>
            <w:r>
              <w:rPr>
                <w:sz w:val="21"/>
                <w:szCs w:val="21"/>
              </w:rPr>
              <w:t>、联系人：</w:t>
            </w:r>
            <w:r>
              <w:rPr>
                <w:rFonts w:hint="eastAsia"/>
                <w:sz w:val="21"/>
                <w:szCs w:val="21"/>
              </w:rPr>
              <w:t>田女士</w:t>
            </w:r>
          </w:p>
          <w:p>
            <w:pPr>
              <w:autoSpaceDE w:val="0"/>
              <w:autoSpaceDN w:val="0"/>
              <w:snapToGrid w:val="0"/>
              <w:spacing w:line="276" w:lineRule="auto"/>
              <w:rPr>
                <w:sz w:val="21"/>
                <w:szCs w:val="21"/>
              </w:rPr>
            </w:pPr>
            <w:r>
              <w:rPr>
                <w:rFonts w:hint="eastAsia"/>
                <w:sz w:val="21"/>
                <w:szCs w:val="21"/>
              </w:rPr>
              <w:t>7</w:t>
            </w:r>
            <w:r>
              <w:rPr>
                <w:sz w:val="21"/>
                <w:szCs w:val="21"/>
              </w:rPr>
              <w:t>、联系电话：</w:t>
            </w:r>
            <w:r>
              <w:rPr>
                <w:rFonts w:hint="eastAsia"/>
                <w:sz w:val="21"/>
                <w:szCs w:val="21"/>
              </w:rPr>
              <w:t>028-87673546</w:t>
            </w:r>
            <w:r>
              <w:rPr>
                <w:sz w:val="21"/>
                <w:szCs w:val="21"/>
              </w:rPr>
              <w:t xml:space="preserve">。 </w:t>
            </w:r>
          </w:p>
          <w:p>
            <w:pPr>
              <w:spacing w:line="276" w:lineRule="auto"/>
              <w:rPr>
                <w:rFonts w:asciiTheme="minorEastAsia" w:hAnsiTheme="minorEastAsia"/>
                <w:sz w:val="21"/>
                <w:szCs w:val="21"/>
              </w:rPr>
            </w:pPr>
            <w:r>
              <w:rPr>
                <w:rFonts w:hint="eastAsia"/>
                <w:sz w:val="21"/>
                <w:szCs w:val="21"/>
              </w:rPr>
              <w:t>8</w:t>
            </w:r>
            <w:r>
              <w:rPr>
                <w:sz w:val="21"/>
                <w:szCs w:val="21"/>
              </w:rPr>
              <w:t>、</w:t>
            </w:r>
            <w:r>
              <w:rPr>
                <w:rFonts w:hint="eastAsia"/>
                <w:sz w:val="21"/>
                <w:szCs w:val="21"/>
              </w:rPr>
              <w:t>联系</w:t>
            </w:r>
            <w:r>
              <w:rPr>
                <w:sz w:val="21"/>
                <w:szCs w:val="21"/>
              </w:rPr>
              <w:t>地址：</w:t>
            </w:r>
            <w:r>
              <w:rPr>
                <w:rFonts w:hint="eastAsia"/>
                <w:sz w:val="21"/>
                <w:szCs w:val="21"/>
              </w:rPr>
              <w:t>四川省成都市金牛区金科南路169号安格斯峰汇中心1216号</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14</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供应商投诉</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投诉受理单位：本采购项目同级财政部门，即成都东部新区党工委管委会（成都市东部新城办）财政金融局。</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联系电话：028-86360129。</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注：根据《中华人民共和国政府采购法实施条例》的规定，供应商投诉事项不得超出已质疑事项的范围。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15</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sz w:val="21"/>
                <w:szCs w:val="21"/>
              </w:rPr>
              <w:t>国家规定的优先、强制性采购范围</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优先采购：根据《财政部 发展改革委 生态环境部 市场监管总局</w:t>
            </w:r>
          </w:p>
          <w:p>
            <w:pPr>
              <w:autoSpaceDE w:val="0"/>
              <w:autoSpaceDN w:val="0"/>
              <w:snapToGrid w:val="0"/>
              <w:spacing w:line="360" w:lineRule="auto"/>
              <w:rPr>
                <w:sz w:val="21"/>
                <w:szCs w:val="21"/>
              </w:rPr>
            </w:pPr>
            <w:r>
              <w:rPr>
                <w:rFonts w:hint="eastAsia"/>
                <w:sz w:val="21"/>
                <w:szCs w:val="21"/>
              </w:rPr>
              <w:t>关于调整优化节能产品、环境标志产品政府采购执行机制的通知》财库〔2019〕9号文件、《关于印发环境标志产品政府采购品目清单的通知》财库〔2019〕18号和《关于印发节能产品政府采购品目清单的通知》财库〔2019〕19号要求，采购人拟采购的产品属于“品目清单”范围内优先采购的，供应商应提供国家确定的认证机构出具的、处于有效期之内的节能产品、环境标志产品认证证书复印件。具体按磋商文件评审部分执行。</w:t>
            </w:r>
          </w:p>
          <w:p>
            <w:pPr>
              <w:spacing w:line="360" w:lineRule="auto"/>
              <w:rPr>
                <w:rFonts w:asciiTheme="minorEastAsia" w:hAnsiTheme="minorEastAsia"/>
                <w:sz w:val="21"/>
                <w:szCs w:val="21"/>
              </w:rPr>
            </w:pPr>
            <w:r>
              <w:rPr>
                <w:rFonts w:hint="eastAsia"/>
                <w:sz w:val="21"/>
                <w:szCs w:val="21"/>
              </w:rPr>
              <w:t>强制采购（实质性要求）：根据《财政部 发展改革委 生态环境部 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90"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16</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磋商文件内容冲突的解决及优先适用次序</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1.磋商文件（包括修改、澄清文件）作为评审的依据。</w:t>
            </w:r>
          </w:p>
          <w:p>
            <w:pPr>
              <w:spacing w:line="360" w:lineRule="auto"/>
              <w:rPr>
                <w:rFonts w:asciiTheme="minorEastAsia" w:hAnsiTheme="minorEastAsia"/>
                <w:sz w:val="21"/>
                <w:szCs w:val="21"/>
              </w:rPr>
            </w:pPr>
            <w:r>
              <w:rPr>
                <w:rFonts w:hint="eastAsia" w:asciiTheme="minorEastAsia" w:hAnsiTheme="minorEastAsia"/>
                <w:sz w:val="21"/>
                <w:szCs w:val="21"/>
              </w:rPr>
              <w:t>2.磋商文件中编制的内容前后有矛盾或不一致时，有时间先后顺序的，以时间在后的修改、澄清或补正文件为准；没有时间先后顺序的，以供应商须知前附表为准，如前附表中无相关内容，在保证国家、集体和采购人利益不受损害的情况下有利于供应商进行处理；必要时，可以暂停本次采购活动，待修改完善后再继续实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17</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成交服务费</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成交供应商须向采购代理机构按如下标准和规定交纳成交服务费，成交服务费应包含在报价中，且不单列：</w:t>
            </w:r>
          </w:p>
          <w:p>
            <w:pPr>
              <w:spacing w:line="360" w:lineRule="auto"/>
              <w:rPr>
                <w:rFonts w:asciiTheme="minorEastAsia" w:hAnsiTheme="minorEastAsia"/>
                <w:sz w:val="21"/>
                <w:szCs w:val="21"/>
              </w:rPr>
            </w:pPr>
            <w:r>
              <w:rPr>
                <w:rFonts w:hint="eastAsia" w:asciiTheme="minorEastAsia" w:hAnsiTheme="minorEastAsia"/>
                <w:sz w:val="21"/>
                <w:szCs w:val="21"/>
              </w:rPr>
              <w:t>一、成交服务费根据《四川省政府采购营商环境指标提升专项行动工作方案》中“成本+合理利润”原则，按照定额价8000.00元（捌仟元整）收取。</w:t>
            </w:r>
          </w:p>
          <w:p>
            <w:pPr>
              <w:spacing w:line="360" w:lineRule="auto"/>
              <w:rPr>
                <w:rFonts w:asciiTheme="minorEastAsia" w:hAnsiTheme="minorEastAsia"/>
                <w:sz w:val="21"/>
                <w:szCs w:val="21"/>
              </w:rPr>
            </w:pPr>
            <w:r>
              <w:rPr>
                <w:rFonts w:hint="eastAsia" w:asciiTheme="minorEastAsia" w:hAnsiTheme="minorEastAsia"/>
                <w:sz w:val="21"/>
                <w:szCs w:val="21"/>
              </w:rPr>
              <w:t>二、成交服务费的支付方式：</w:t>
            </w:r>
          </w:p>
          <w:p>
            <w:pPr>
              <w:spacing w:line="360" w:lineRule="auto"/>
              <w:rPr>
                <w:rFonts w:asciiTheme="minorEastAsia" w:hAnsiTheme="minorEastAsia"/>
                <w:sz w:val="21"/>
                <w:szCs w:val="21"/>
              </w:rPr>
            </w:pPr>
            <w:r>
              <w:rPr>
                <w:rFonts w:hint="eastAsia" w:asciiTheme="minorEastAsia" w:hAnsiTheme="minorEastAsia"/>
                <w:sz w:val="21"/>
                <w:szCs w:val="21"/>
              </w:rPr>
              <w:t>1、在递交响应文件时按磋商文件的有关规定向采购代理机构递交成交服务费承诺书（格式见“第八部分 响应文件格式 “成交服务费承诺书”）。</w:t>
            </w:r>
          </w:p>
          <w:p>
            <w:pPr>
              <w:spacing w:line="360" w:lineRule="auto"/>
              <w:rPr>
                <w:rFonts w:asciiTheme="minorEastAsia" w:hAnsiTheme="minorEastAsia"/>
                <w:sz w:val="21"/>
                <w:szCs w:val="21"/>
              </w:rPr>
            </w:pPr>
            <w:r>
              <w:rPr>
                <w:rFonts w:hint="eastAsia" w:asciiTheme="minorEastAsia" w:hAnsiTheme="minorEastAsia"/>
                <w:sz w:val="21"/>
                <w:szCs w:val="21"/>
              </w:rPr>
              <w:t>2、成交供应商须承诺在领取成交通知书前全额支付成交服务费。</w:t>
            </w:r>
          </w:p>
          <w:p>
            <w:pPr>
              <w:spacing w:line="360" w:lineRule="auto"/>
              <w:rPr>
                <w:rFonts w:asciiTheme="minorEastAsia" w:hAnsiTheme="minorEastAsia"/>
                <w:sz w:val="21"/>
                <w:szCs w:val="21"/>
              </w:rPr>
            </w:pPr>
            <w:r>
              <w:rPr>
                <w:rFonts w:hint="eastAsia" w:asciiTheme="minorEastAsia" w:hAnsiTheme="minorEastAsia"/>
                <w:sz w:val="21"/>
                <w:szCs w:val="21"/>
              </w:rPr>
              <w:t>3、成交服务费应以成交供应商名义用汇款方式支付。</w:t>
            </w:r>
          </w:p>
          <w:p>
            <w:pPr>
              <w:spacing w:line="360" w:lineRule="auto"/>
              <w:rPr>
                <w:rFonts w:asciiTheme="minorEastAsia" w:hAnsiTheme="minorEastAsia"/>
                <w:sz w:val="21"/>
                <w:szCs w:val="21"/>
              </w:rPr>
            </w:pPr>
            <w:r>
              <w:rPr>
                <w:rFonts w:hint="eastAsia" w:asciiTheme="minorEastAsia" w:hAnsiTheme="minorEastAsia"/>
                <w:sz w:val="21"/>
                <w:szCs w:val="21"/>
              </w:rPr>
              <w:t>三、账户信息</w:t>
            </w:r>
          </w:p>
          <w:p>
            <w:pPr>
              <w:spacing w:line="360" w:lineRule="auto"/>
              <w:rPr>
                <w:rFonts w:asciiTheme="minorEastAsia" w:hAnsiTheme="minorEastAsia"/>
                <w:sz w:val="21"/>
                <w:szCs w:val="21"/>
              </w:rPr>
            </w:pPr>
            <w:r>
              <w:rPr>
                <w:rFonts w:hint="eastAsia" w:asciiTheme="minorEastAsia" w:hAnsiTheme="minorEastAsia"/>
                <w:sz w:val="21"/>
                <w:szCs w:val="21"/>
              </w:rPr>
              <w:t>收款单位：四川全诚招标代理有限公司</w:t>
            </w:r>
          </w:p>
          <w:p>
            <w:pPr>
              <w:spacing w:line="360" w:lineRule="auto"/>
              <w:rPr>
                <w:rFonts w:asciiTheme="minorEastAsia" w:hAnsiTheme="minorEastAsia"/>
                <w:sz w:val="21"/>
                <w:szCs w:val="21"/>
              </w:rPr>
            </w:pPr>
            <w:r>
              <w:rPr>
                <w:rFonts w:hint="eastAsia" w:asciiTheme="minorEastAsia" w:hAnsiTheme="minorEastAsia"/>
                <w:sz w:val="21"/>
                <w:szCs w:val="21"/>
              </w:rPr>
              <w:t>开 户 行：中信银行股份有限公司成都迎宾大道支行</w:t>
            </w:r>
          </w:p>
          <w:p>
            <w:pPr>
              <w:spacing w:line="360" w:lineRule="auto"/>
              <w:rPr>
                <w:rFonts w:asciiTheme="minorEastAsia" w:hAnsiTheme="minorEastAsia"/>
                <w:sz w:val="21"/>
                <w:szCs w:val="21"/>
              </w:rPr>
            </w:pPr>
            <w:r>
              <w:rPr>
                <w:rFonts w:hint="eastAsia" w:asciiTheme="minorEastAsia" w:hAnsiTheme="minorEastAsia"/>
                <w:sz w:val="21"/>
                <w:szCs w:val="21"/>
              </w:rPr>
              <w:t>银行账号：8111001014300664053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9357" w:type="dxa"/>
            <w:gridSpan w:val="3"/>
            <w:tcBorders>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cs="宋体" w:asciiTheme="minorEastAsia" w:hAnsiTheme="minorEastAsia"/>
                <w:sz w:val="21"/>
                <w:szCs w:val="21"/>
                <w:lang w:val="zh-CN"/>
              </w:rPr>
              <w:t>备注：本前附表以外的相关内容是对供应商须知的具体补充，如有矛盾，以本前附表为准。</w:t>
            </w:r>
          </w:p>
        </w:tc>
      </w:tr>
    </w:tbl>
    <w:p>
      <w:pPr>
        <w:spacing w:line="360" w:lineRule="auto"/>
        <w:rPr>
          <w:rFonts w:asciiTheme="minorEastAsia" w:hAnsiTheme="minorEastAsia"/>
          <w:sz w:val="21"/>
          <w:szCs w:val="21"/>
        </w:rPr>
      </w:pPr>
    </w:p>
    <w:p>
      <w:pPr>
        <w:rPr>
          <w:rFonts w:asciiTheme="minorEastAsia" w:hAnsiTheme="minorEastAsia" w:cstheme="majorBidi"/>
          <w:b/>
          <w:sz w:val="21"/>
          <w:szCs w:val="21"/>
        </w:rPr>
      </w:pPr>
      <w:bookmarkStart w:id="26" w:name="_Toc505697522"/>
      <w:bookmarkStart w:id="27" w:name="_Toc11835036"/>
      <w:bookmarkStart w:id="28" w:name="_Toc24017278"/>
    </w:p>
    <w:p>
      <w:pPr>
        <w:pStyle w:val="27"/>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二、总则</w:t>
      </w:r>
      <w:bookmarkEnd w:id="26"/>
      <w:bookmarkEnd w:id="27"/>
      <w:bookmarkEnd w:id="28"/>
      <w:bookmarkStart w:id="29" w:name="_Toc183682342"/>
      <w:bookmarkStart w:id="30" w:name="_Toc183582205"/>
      <w:bookmarkStart w:id="31" w:name="_Toc217446034"/>
    </w:p>
    <w:bookmarkEnd w:id="29"/>
    <w:bookmarkEnd w:id="30"/>
    <w:bookmarkEnd w:id="31"/>
    <w:p>
      <w:pPr>
        <w:spacing w:line="360" w:lineRule="auto"/>
        <w:rPr>
          <w:rFonts w:asciiTheme="minorEastAsia" w:hAnsiTheme="minorEastAsia"/>
          <w:b/>
          <w:sz w:val="21"/>
          <w:szCs w:val="21"/>
        </w:rPr>
      </w:pPr>
      <w:bookmarkStart w:id="32" w:name="_Toc183682368"/>
      <w:bookmarkStart w:id="33" w:name="_Toc89075878"/>
      <w:bookmarkStart w:id="34" w:name="_Toc217446056"/>
      <w:bookmarkStart w:id="35" w:name="_Toc77400782"/>
      <w:bookmarkStart w:id="36" w:name="_Toc183582231"/>
      <w:r>
        <w:rPr>
          <w:rFonts w:hint="eastAsia" w:asciiTheme="minorEastAsia" w:hAnsiTheme="minorEastAsia"/>
          <w:b/>
          <w:sz w:val="21"/>
          <w:szCs w:val="21"/>
        </w:rPr>
        <w:t>1.适用范围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 本磋商文件仅适用于本次磋商所叙述的采购项目。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 本磋商文件的解释权归采购人和采购代理机构所有。</w:t>
      </w:r>
    </w:p>
    <w:p>
      <w:pPr>
        <w:spacing w:line="360" w:lineRule="auto"/>
        <w:rPr>
          <w:rFonts w:asciiTheme="minorEastAsia" w:hAnsiTheme="minorEastAsia"/>
          <w:b/>
          <w:sz w:val="21"/>
          <w:szCs w:val="21"/>
        </w:rPr>
      </w:pPr>
      <w:r>
        <w:rPr>
          <w:rFonts w:hint="eastAsia" w:asciiTheme="minorEastAsia" w:hAnsiTheme="minorEastAsia"/>
          <w:b/>
          <w:sz w:val="21"/>
          <w:szCs w:val="21"/>
        </w:rPr>
        <w:t>2.采购主体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 “采购人”系指依法进行政府采购的国家机关、事业单位、团体组织。本次采购项目的采购人是</w:t>
      </w:r>
      <w:r>
        <w:rPr>
          <w:rFonts w:hint="eastAsia" w:asciiTheme="minorEastAsia" w:hAnsiTheme="minorEastAsia"/>
          <w:sz w:val="21"/>
          <w:szCs w:val="21"/>
          <w:u w:val="single"/>
        </w:rPr>
        <w:t>成都东部新区高明镇人民政府</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2.2 “采购代理机构”系指在采购人的委托范围内依法办理本项目采购事宜的从事采购代理业务的社会中介机构。本次采购项目的采购代理机构是</w:t>
      </w:r>
      <w:r>
        <w:rPr>
          <w:rFonts w:hint="eastAsia" w:asciiTheme="minorEastAsia" w:hAnsiTheme="minorEastAsia"/>
          <w:sz w:val="21"/>
          <w:szCs w:val="21"/>
          <w:u w:val="single"/>
        </w:rPr>
        <w:t>四川全诚招标代理有限公司</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竞争性磋商”，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pPr>
        <w:spacing w:line="360" w:lineRule="auto"/>
        <w:rPr>
          <w:rFonts w:asciiTheme="minorEastAsia" w:hAnsiTheme="minorEastAsia"/>
          <w:b/>
          <w:sz w:val="21"/>
          <w:szCs w:val="21"/>
        </w:rPr>
      </w:pPr>
      <w:r>
        <w:rPr>
          <w:rFonts w:hint="eastAsia" w:asciiTheme="minorEastAsia" w:hAnsiTheme="minorEastAsia"/>
          <w:b/>
          <w:sz w:val="21"/>
          <w:szCs w:val="21"/>
        </w:rPr>
        <w:t>3.合格供应商（实质性要求）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 具备法律法规和本采购文件规定的资格条件；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 不属于禁止参加本项目采购活动的供应商；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3.3 按照规定获取了磋商文件，属于实质性参加政府采购活动的供应商。</w:t>
      </w:r>
    </w:p>
    <w:p>
      <w:pPr>
        <w:spacing w:line="360" w:lineRule="auto"/>
        <w:rPr>
          <w:rFonts w:asciiTheme="minorEastAsia" w:hAnsiTheme="minorEastAsia"/>
          <w:b/>
          <w:sz w:val="21"/>
          <w:szCs w:val="21"/>
        </w:rPr>
      </w:pPr>
      <w:r>
        <w:rPr>
          <w:rFonts w:hint="eastAsia" w:asciiTheme="minorEastAsia" w:hAnsiTheme="minorEastAsia"/>
          <w:b/>
          <w:sz w:val="21"/>
          <w:szCs w:val="21"/>
        </w:rPr>
        <w:t>4.磋商费用（实质性要求）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供应商应自行承担参加磋商活动的全部费用。不论结果如何，采购人和采购代理机构均无义务和责任承担这些费用。</w:t>
      </w:r>
    </w:p>
    <w:p>
      <w:pPr>
        <w:spacing w:line="360" w:lineRule="auto"/>
        <w:rPr>
          <w:rFonts w:asciiTheme="minorEastAsia" w:hAnsiTheme="minorEastAsia"/>
          <w:b/>
          <w:sz w:val="21"/>
          <w:szCs w:val="21"/>
        </w:rPr>
      </w:pPr>
      <w:r>
        <w:rPr>
          <w:rFonts w:hint="eastAsia" w:asciiTheme="minorEastAsia" w:hAnsiTheme="minorEastAsia"/>
          <w:b/>
          <w:sz w:val="21"/>
          <w:szCs w:val="21"/>
        </w:rPr>
        <w:t>5.充分、公平竞争保障措施（实质性要求）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5.4供应商实际控制人或者中高级管理人员，同时是采购代理机构工作人员，不得参与本项目政府采购活动。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5.5同一母公司的两家以上的子公司只能组成联合体参加本项目同一合同项下的采购活动，不得以不同供应商身份同时参加本项目同一合同项下的采购活动。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5.6供应商与采购代理机构存在关联关系，或者是采购代理机构的母公司或子公司，不得参加本项目政府采购活动。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5.7回避。政府采购活动中，采购人员及相关人员与供应商有下列利害关系之一的，应当回避：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（1）参加采购活动前3年内与供应商存在劳动关系；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（2）参加采购活动前3年内担任供应商的董事、监事；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（3）参加采购活动前3年内是供应商的控股股东或者实际控制人；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（4）与供应商的法定代表人或者负责人有夫妻、直系血亲、三代以内旁系血亲或者近姻亲关系；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（5）与供应商有其他可能影响政府采购活动公平、公正进行的关系。</w:t>
      </w:r>
    </w:p>
    <w:p>
      <w:pPr>
        <w:spacing w:line="360" w:lineRule="auto"/>
        <w:rPr>
          <w:rFonts w:asciiTheme="minorEastAsia" w:hAnsiTheme="minorEastAsia"/>
          <w:sz w:val="21"/>
          <w:szCs w:val="21"/>
        </w:rPr>
      </w:pPr>
      <w:r>
        <w:rPr>
          <w:rFonts w:hint="eastAsia" w:asciiTheme="minorEastAsia" w:hAnsiTheme="minorEastAsia"/>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rPr>
          <w:rFonts w:asciiTheme="minorEastAsia" w:hAnsiTheme="minorEastAsia"/>
          <w:sz w:val="21"/>
          <w:szCs w:val="21"/>
        </w:rPr>
      </w:pPr>
      <w:r>
        <w:rPr>
          <w:rFonts w:hint="eastAsia" w:asciiTheme="minorEastAsia" w:hAnsiTheme="minorEastAsia"/>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5.8防范和处理不正当竞争行为。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书面说明和相关证明材料，证明其报价的合理性，无法证明其报价合理性的，其响应文件、响应文件应当按照无效响应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（2）报价是否低于成本价的计算标准，以供应商参与本次采购项目所需正常成本计算。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存在无偿或者低于成本价报价的，除本次的响应文件按照无效响应处理和不确定为成交供应商外，还按照《中华人民共和国政府采购法》、《中华人民共和国反不正当竞争法》、四川省财政厅《关于防范和惩处政府采购中不正当竞争行为的通知》（川财采【2017】63号）等相关法律法规进行处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5.9供应商若无另行说明，则视为供应商响应本条款，无需另行承诺，但如有虚假响应，将依法承担相应责任。</w:t>
      </w:r>
    </w:p>
    <w:p>
      <w:pPr>
        <w:spacing w:line="360" w:lineRule="auto"/>
        <w:rPr>
          <w:rFonts w:asciiTheme="minorEastAsia" w:hAnsiTheme="minorEastAsia"/>
          <w:b/>
          <w:sz w:val="21"/>
          <w:szCs w:val="21"/>
        </w:rPr>
      </w:pPr>
      <w:r>
        <w:rPr>
          <w:rFonts w:hint="eastAsia" w:asciiTheme="minorEastAsia" w:hAnsiTheme="minorEastAsia"/>
          <w:b/>
          <w:sz w:val="21"/>
          <w:szCs w:val="21"/>
        </w:rPr>
        <w:t>6.联合体竞争性磋商（本项目不接受联合体）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6.1 两个以上供应商可以组成一个联合体竞争性磋商，以一个供应商的身份竞争性磋商。以联合体形式参加竞争性磋商的，联合体各方均应当符合《政府采购法》第二十二条第一款规定的条件。采购人如根据采购项目的特殊要求规定特定条件的，联合体各方中至少应当有一方符合采购人规定的特定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6.2 联合体各方之间应当签订联合体竞争性磋商协议（格式自拟），明确约定联合体各方承担的工作和相应的责任。联合体参与竞争性磋商的，应在响应文件中提供联合体协议原件。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6.3 联合体应当确定其中一个单位为竞争性磋商的牵头人，负责参加竞争性磋商的一切事务。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6.4 联合体各方应当共同与采购人签订采购合同，就采购合同约定的事项对采购人承担连带责任。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6.5联合体中有同类资质的供应商按照联合体分工承担相同工作的，将按照资质等级较低的供应商确定资质等级。</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6.6以联合体形式参加政府采购活动的，联合体各方不得再单独参加或者与其他供应商另外组成联合体参加同一合同项下的政府采购活动。联合体各方在同一采购项目中以自己名义单独参与或者参加其他联合体参与的，相关响应均无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6.7本项目不接受联合体参与磋商活动。</w:t>
      </w:r>
    </w:p>
    <w:p>
      <w:pPr>
        <w:spacing w:line="360" w:lineRule="auto"/>
        <w:rPr>
          <w:rFonts w:asciiTheme="minorEastAsia" w:hAnsiTheme="minorEastAsia"/>
          <w:b/>
          <w:sz w:val="21"/>
          <w:szCs w:val="21"/>
        </w:rPr>
      </w:pPr>
      <w:r>
        <w:rPr>
          <w:rFonts w:hint="eastAsia" w:asciiTheme="minorEastAsia" w:hAnsiTheme="minorEastAsia"/>
          <w:b/>
          <w:sz w:val="21"/>
          <w:szCs w:val="21"/>
        </w:rPr>
        <w:t>7.磋商保证金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8.响应文件有效期（实质性要求）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响应文件有效期为递交磋商响应文件截止之日起90日历日。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9.知识产权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9.2除非磋商文件特别规定，采购人享有本项目实施过程中产生的知识成果及知识产权。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9.4如采用供应商所不拥有的知识产权，则在报价中必须包括合法获取该知识产权的相关费用。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 根据《中华人民共和国政府采购法实施条例》第四十三条的规定，成交结果公告内容应当包括主要成交标的的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9.5供应商若无另行说明，则视为响应有关知识产权的全部条款，无需单独进行承诺，但如有虚假内容，将依法承担相应责任。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三、磋商文件</w:t>
      </w:r>
    </w:p>
    <w:p>
      <w:pPr>
        <w:spacing w:line="360" w:lineRule="auto"/>
        <w:rPr>
          <w:rFonts w:asciiTheme="minorEastAsia" w:hAnsiTheme="minorEastAsia"/>
          <w:b/>
          <w:sz w:val="21"/>
          <w:szCs w:val="21"/>
        </w:rPr>
      </w:pPr>
      <w:r>
        <w:rPr>
          <w:rFonts w:hint="eastAsia" w:asciiTheme="minorEastAsia" w:hAnsiTheme="minorEastAsia"/>
          <w:b/>
          <w:sz w:val="21"/>
          <w:szCs w:val="21"/>
        </w:rPr>
        <w:t>10. 磋商文件的构成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pPr>
        <w:spacing w:line="360" w:lineRule="auto"/>
        <w:rPr>
          <w:rFonts w:asciiTheme="minorEastAsia" w:hAnsiTheme="minorEastAsia"/>
          <w:b/>
          <w:sz w:val="21"/>
          <w:szCs w:val="21"/>
        </w:rPr>
      </w:pPr>
      <w:r>
        <w:rPr>
          <w:rFonts w:hint="eastAsia" w:asciiTheme="minorEastAsia" w:hAnsiTheme="minorEastAsia"/>
          <w:b/>
          <w:sz w:val="21"/>
          <w:szCs w:val="21"/>
        </w:rPr>
        <w:t>11. 磋商文件的澄清和修改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11.1 在递交响应文件截止时间前，采购人、采购代理机构可以对磋商文件进行澄清或者修改。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11.3供应商认为采购人/采购代理机构需要对磋商文件进行澄清或者修改的，可以以书面形式向采购人/采购代理机构提出申请，由采购人/采购代理机构决定是否采纳供应商的申请事项。</w:t>
      </w:r>
    </w:p>
    <w:p>
      <w:pPr>
        <w:spacing w:line="360" w:lineRule="auto"/>
        <w:rPr>
          <w:rFonts w:asciiTheme="minorEastAsia" w:hAnsiTheme="minorEastAsia"/>
          <w:b/>
          <w:sz w:val="21"/>
          <w:szCs w:val="21"/>
        </w:rPr>
      </w:pPr>
      <w:r>
        <w:rPr>
          <w:rFonts w:hint="eastAsia" w:asciiTheme="minorEastAsia" w:hAnsiTheme="minorEastAsia"/>
          <w:b/>
          <w:sz w:val="21"/>
          <w:szCs w:val="21"/>
        </w:rPr>
        <w:t>12. 答疑会和现场考察</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12.3 供应商考察现场或者参加答疑会所发生的一切费用由供应商自己承担。</w:t>
      </w:r>
    </w:p>
    <w:p>
      <w:pPr>
        <w:spacing w:line="360" w:lineRule="auto"/>
        <w:rPr>
          <w:rFonts w:asciiTheme="minorEastAsia" w:hAnsiTheme="minorEastAsia"/>
          <w:sz w:val="21"/>
          <w:szCs w:val="21"/>
        </w:rPr>
      </w:pPr>
      <w:r>
        <w:rPr>
          <w:rFonts w:hint="eastAsia" w:asciiTheme="minorEastAsia" w:hAnsiTheme="minorEastAsia"/>
          <w:sz w:val="21"/>
          <w:szCs w:val="21"/>
        </w:rPr>
        <w:t xml:space="preserve">    12.4本项目不组织答疑会，现场考察要求详见磋商文件第五章要求。若磋商文件无相关要求，但供应商认为有需要，可自行现场考察。</w:t>
      </w:r>
    </w:p>
    <w:p>
      <w:pPr>
        <w:spacing w:line="360" w:lineRule="auto"/>
        <w:jc w:val="center"/>
        <w:rPr>
          <w:rFonts w:asciiTheme="minorEastAsia" w:hAnsiTheme="minorEastAsia"/>
          <w:b/>
          <w:sz w:val="21"/>
          <w:szCs w:val="21"/>
        </w:rPr>
      </w:pPr>
      <w:r>
        <w:rPr>
          <w:rFonts w:hint="eastAsia" w:asciiTheme="minorEastAsia" w:hAnsiTheme="minorEastAsia"/>
          <w:b/>
          <w:sz w:val="21"/>
          <w:szCs w:val="21"/>
        </w:rPr>
        <w:t>四、响应文件</w:t>
      </w:r>
    </w:p>
    <w:p>
      <w:pPr>
        <w:spacing w:line="360" w:lineRule="auto"/>
        <w:rPr>
          <w:rFonts w:asciiTheme="minorEastAsia" w:hAnsiTheme="minorEastAsia"/>
          <w:b/>
          <w:sz w:val="21"/>
          <w:szCs w:val="21"/>
        </w:rPr>
      </w:pPr>
      <w:r>
        <w:rPr>
          <w:rFonts w:hint="eastAsia" w:asciiTheme="minorEastAsia" w:hAnsiTheme="minorEastAsia"/>
          <w:b/>
          <w:sz w:val="21"/>
          <w:szCs w:val="21"/>
        </w:rPr>
        <w:t>13.响应文件的组成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供应商应认真阅读和充分理解磋商文件中所有的事项、条款和规范要求。供应商没有对磋商文件全面做出实质性响应是供应商的风险。没有按照磋商文件要求作出实质性响应的响应文件将被视为无效响应文件。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14.响应文件的语言（实质性要求）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14.2 翻译的中文资料与外文资料如果出现差异和矛盾，以中文为准。但不能故意错误翻译，否则，供应商的响应文件将作为无效处理。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15.计量单位（实质性要求）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除磋商文件中另有规定外，本次采购项目所有合同项下的报价均采用国家法定的计量单位。</w:t>
      </w:r>
    </w:p>
    <w:p>
      <w:pPr>
        <w:spacing w:line="360" w:lineRule="auto"/>
        <w:rPr>
          <w:rFonts w:asciiTheme="minorEastAsia" w:hAnsiTheme="minorEastAsia"/>
          <w:b/>
          <w:sz w:val="21"/>
          <w:szCs w:val="21"/>
        </w:rPr>
      </w:pPr>
      <w:r>
        <w:rPr>
          <w:rFonts w:hint="eastAsia" w:asciiTheme="minorEastAsia" w:hAnsiTheme="minorEastAsia"/>
          <w:b/>
          <w:sz w:val="21"/>
          <w:szCs w:val="21"/>
        </w:rPr>
        <w:t>16.报价货币（实质性要求）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本次磋商项目的报价货币为人民币，报价以磋商文件规定为准。</w:t>
      </w:r>
    </w:p>
    <w:p>
      <w:pPr>
        <w:spacing w:line="360" w:lineRule="auto"/>
        <w:rPr>
          <w:rFonts w:asciiTheme="minorEastAsia" w:hAnsiTheme="minorEastAsia"/>
          <w:b/>
          <w:sz w:val="21"/>
          <w:szCs w:val="21"/>
        </w:rPr>
      </w:pPr>
      <w:r>
        <w:rPr>
          <w:rFonts w:hint="eastAsia" w:asciiTheme="minorEastAsia" w:hAnsiTheme="minorEastAsia"/>
          <w:b/>
          <w:sz w:val="21"/>
          <w:szCs w:val="21"/>
        </w:rPr>
        <w:t>17.响应文件格式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17.1供应商可按照磋商文件第八章中提供的“响应文件格式”编制响应文件相关内容。供应商如按“响应文件格式”之外的方式编制响应文件，应保证相关内容包含磋商文件的规定要求，因内容不齐全导致的一切后果由相关供应商自行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17.2 对于没有格式要求的响应文件由供应商自行编写。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17.3根据财库〔2019〕38号《关于促进政府采购公平竞争优化营商环境的通知》，不得因装订、纸张、文件排序等非实质性的格式、形式问题限制和影响供应商投标（响应）。磋商文件中所提供格式仅作供应商参考，供应商可根据自身情况作调整和增减。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18.响应文件的编制和签署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18.1供应商应当准备响应文件见供应商须知前附表。响应文件的正本和副本应在其封面右上角清楚地标明“正本”或“副本”字样。若正本和副本有不一致的内容，以正本书面响应文件为准。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18.3响应文件的打印和书写应清楚工整，任何行间插字、涂改或增删，必须由供应商的法定代表人或其授权代表签字并加盖公章（鲜章）。字迹潦草、表达不清或可能导致非唯一理解的响应文件可能视为无效响应。</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18.4响应文件正本和副本应当采取胶装方式装订成册，不得散装或者合页装订，若响应文件同一册的内容较多，供应商可将响应文件分装成若干册，并在封面标明次序及册数。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18.6除另有规定外除特殊要求（如图纸、彩页等）外，响应文件统一用A4幅面纸印制，逐页编码。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18.7所有要求盖公章的地方都应加盖供应商单位（法定名称）章（鲜章），不得使用专用章（如经济合同章、投标专用章等）或下属单位印章代替。</w:t>
      </w:r>
    </w:p>
    <w:p>
      <w:pPr>
        <w:spacing w:line="360" w:lineRule="auto"/>
        <w:rPr>
          <w:rFonts w:asciiTheme="minorEastAsia" w:hAnsiTheme="minorEastAsia"/>
          <w:b/>
          <w:sz w:val="21"/>
          <w:szCs w:val="21"/>
        </w:rPr>
      </w:pPr>
      <w:r>
        <w:rPr>
          <w:rFonts w:hint="eastAsia" w:asciiTheme="minorEastAsia" w:hAnsiTheme="minorEastAsia"/>
          <w:b/>
          <w:sz w:val="21"/>
          <w:szCs w:val="21"/>
        </w:rPr>
        <w:t>19.响应文件的密封和标注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19.1 资格性响应文件、其他响应文件、电子文档应分别密封包装。供应商可将响应文件正副本单独密封包装，也可将正副本密封包装在一个密封袋内。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19.2 响应文件密封袋的最外层应清楚地标明采购项目名称、采购编号、包件号及名称（若有）、供应商名称。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19.3未按以上要求进行密封和标注的响应文件，采购人、采购代理机构将拒收或者在时间允许的范围内，要求修改完善后接收。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19.4本条款不属于本项目磋商小组评审范畴，由采购人、采购代理机构在接收响应文件时按规定处理。</w:t>
      </w:r>
    </w:p>
    <w:p>
      <w:pPr>
        <w:spacing w:line="360" w:lineRule="auto"/>
        <w:rPr>
          <w:rFonts w:asciiTheme="minorEastAsia" w:hAnsiTheme="minorEastAsia"/>
          <w:b/>
          <w:sz w:val="21"/>
          <w:szCs w:val="21"/>
        </w:rPr>
      </w:pPr>
      <w:r>
        <w:rPr>
          <w:rFonts w:hint="eastAsia" w:asciiTheme="minorEastAsia" w:hAnsiTheme="minorEastAsia"/>
          <w:b/>
          <w:sz w:val="21"/>
          <w:szCs w:val="21"/>
        </w:rPr>
        <w:t>20.响应文件的递交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20.1 资格性响应文件和其他响应文件及电子文档应于递交响应文件截止时间前送达指定地点，逾期送达或者未按照磋商文件要求密封的响应文件，采购单位应当拒收。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20.2 资格审查结束后，采购代理机构将告知未通过资格审查的供应商未通过的原因。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20.3 报价表在磋商后，磋商小组要求供应商进行最后报价时递交。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20.4 本次采购不接收邮寄的响应文件。</w:t>
      </w:r>
    </w:p>
    <w:p>
      <w:pPr>
        <w:spacing w:line="360" w:lineRule="auto"/>
        <w:rPr>
          <w:rFonts w:asciiTheme="minorEastAsia" w:hAnsiTheme="minorEastAsia"/>
          <w:b/>
          <w:sz w:val="21"/>
          <w:szCs w:val="21"/>
        </w:rPr>
      </w:pPr>
      <w:r>
        <w:rPr>
          <w:rFonts w:hint="eastAsia" w:asciiTheme="minorEastAsia" w:hAnsiTheme="minorEastAsia"/>
          <w:b/>
          <w:sz w:val="21"/>
          <w:szCs w:val="21"/>
        </w:rPr>
        <w:t>21.响应文件的修改和撤回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21.2供应商对响应文件修改的书面材料或撤回的通知应该按规定进行编写、密封、标注和递送，并注明“修改响应文件”字样。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21.3供应商不得在递交截止时间起至响应文件有效期期满前撤销其响应文件。否则其磋商保证金将按“第二部分供应商采购须知”的相关规定被没收。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21.4 响应文件中报价如果出现下列不一致的，可按以下原则进行修改：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（3）单价金额小数点或者百分比有明显错位的，以总价为准，修正单价。</w:t>
      </w:r>
    </w:p>
    <w:p>
      <w:pPr>
        <w:spacing w:line="360" w:lineRule="auto"/>
        <w:rPr>
          <w:rFonts w:asciiTheme="minorEastAsia" w:hAnsiTheme="minorEastAsia"/>
          <w:sz w:val="21"/>
          <w:szCs w:val="21"/>
        </w:rPr>
      </w:pPr>
      <w:r>
        <w:rPr>
          <w:rFonts w:hint="eastAsia" w:asciiTheme="minorEastAsia" w:hAnsiTheme="minorEastAsia"/>
          <w:sz w:val="21"/>
          <w:szCs w:val="21"/>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21.5供应商对其提交的响应文件的真实性、合法性承担法律责任。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21.6补充、修改响应文件的密封和标注按照本章“19.响应文件的密封和标注”规定处理。</w:t>
      </w:r>
    </w:p>
    <w:p>
      <w:pPr>
        <w:spacing w:line="360" w:lineRule="auto"/>
        <w:jc w:val="center"/>
        <w:rPr>
          <w:rFonts w:asciiTheme="minorEastAsia" w:hAnsiTheme="minorEastAsia"/>
          <w:b/>
          <w:sz w:val="21"/>
          <w:szCs w:val="21"/>
        </w:rPr>
      </w:pPr>
      <w:r>
        <w:rPr>
          <w:rFonts w:hint="eastAsia" w:asciiTheme="minorEastAsia" w:hAnsiTheme="minorEastAsia"/>
          <w:b/>
          <w:sz w:val="21"/>
          <w:szCs w:val="21"/>
        </w:rPr>
        <w:t>五、评审</w:t>
      </w:r>
    </w:p>
    <w:p>
      <w:pPr>
        <w:spacing w:line="360" w:lineRule="auto"/>
        <w:rPr>
          <w:rFonts w:asciiTheme="minorEastAsia" w:hAnsiTheme="minorEastAsia"/>
          <w:b/>
          <w:sz w:val="21"/>
          <w:szCs w:val="21"/>
        </w:rPr>
      </w:pPr>
      <w:r>
        <w:rPr>
          <w:rFonts w:hint="eastAsia" w:asciiTheme="minorEastAsia" w:hAnsiTheme="minorEastAsia"/>
          <w:b/>
          <w:sz w:val="21"/>
          <w:szCs w:val="21"/>
        </w:rPr>
        <w:t>22.磋商小组的组建及其评审工作按照有关法律制度和本文件第九章的规定进行。</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六、成交事项</w:t>
      </w:r>
    </w:p>
    <w:p>
      <w:pPr>
        <w:spacing w:line="360" w:lineRule="auto"/>
        <w:rPr>
          <w:rFonts w:asciiTheme="minorEastAsia" w:hAnsiTheme="minorEastAsia"/>
          <w:b/>
          <w:sz w:val="21"/>
          <w:szCs w:val="21"/>
        </w:rPr>
      </w:pPr>
      <w:r>
        <w:rPr>
          <w:rFonts w:hint="eastAsia" w:asciiTheme="minorEastAsia" w:hAnsiTheme="minorEastAsia"/>
          <w:b/>
          <w:sz w:val="21"/>
          <w:szCs w:val="21"/>
        </w:rPr>
        <w:t>23.确定成交供应商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采购人将按磋商小组推荐的成交候选供应商顺序确定成交供应商。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23.1采购代理机构自评审结束后2个工作日内将磋商报告及有关资料送交采购人确定成交供应商。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23.3采购人确定成交供应商过程中，发现成交候选供应商有下列情形之一的，应当不予确定其为成交供应商：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（1）发现成交候选供应商存在禁止参加本项目采购活动的违法行为的；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（2）成交候选供应商因不可抗力，不能继续参加政府采购活动；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（3）成交候选供应商无偿赠与或者低于成本价竞争；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（4）成交候选供应商提供虚假材料；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（5）成交候选供应商恶意串通。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成交候选供应商有本条情形之一的，采购人可以确定后一位成交候选供应商为成交供应商，依次类推。无法确定成交供应商的，应当重新组织采购。</w:t>
      </w:r>
    </w:p>
    <w:p>
      <w:pPr>
        <w:spacing w:line="360" w:lineRule="auto"/>
        <w:rPr>
          <w:rFonts w:asciiTheme="minorEastAsia" w:hAnsiTheme="minorEastAsia"/>
          <w:b/>
          <w:sz w:val="21"/>
          <w:szCs w:val="21"/>
        </w:rPr>
      </w:pPr>
      <w:r>
        <w:rPr>
          <w:rFonts w:hint="eastAsia" w:asciiTheme="minorEastAsia" w:hAnsiTheme="minorEastAsia"/>
          <w:b/>
          <w:sz w:val="21"/>
          <w:szCs w:val="21"/>
        </w:rPr>
        <w:t>24.行贿犯罪档案查询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24.1根据《最高人民检察院关于行贿犯罪档案查询工作的规定》和《关于在政府采购活动中全面开展行贿犯罪档案查询的通知》（川检会[2016]5号）的要求，参加政府采购的供应商其其单位及其现任法定代表人、主要负责人不得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24.2参加本项目磋商的供应商应提供其单位及其现任法定代表人、主要负责人不得具有行贿犯罪记录的承诺函（见第八章响应文件格式），若核实提供虚假信息，除供应商按照虚假应标处理外，还须承担相关法律责任及承担其在政府采购活动中造成的相应损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rPr>
          <w:rFonts w:asciiTheme="minorEastAsia" w:hAnsiTheme="minorEastAsia"/>
          <w:b/>
          <w:sz w:val="21"/>
          <w:szCs w:val="21"/>
        </w:rPr>
      </w:pPr>
      <w:r>
        <w:rPr>
          <w:rFonts w:hint="eastAsia" w:asciiTheme="minorEastAsia" w:hAnsiTheme="minorEastAsia"/>
          <w:b/>
          <w:sz w:val="21"/>
          <w:szCs w:val="21"/>
        </w:rPr>
        <w:t>25.成交结果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25.1采购人确定成交供应商后，将及时书面通知采购代理机构，发出成交通知书并发布成交结果公告。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25.2成交供应商应当及时领取成交通知书。本项目需要交纳履约保证金的，成交供应商应当及时向采购人交纳。</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25.3成交供应商不能及时领取成交通知书，采购人或者采购代理机应当通过邮寄、快递等方式将项目成交通知书送达成交供应商。</w:t>
      </w:r>
    </w:p>
    <w:p>
      <w:pPr>
        <w:spacing w:line="360" w:lineRule="auto"/>
        <w:rPr>
          <w:rFonts w:asciiTheme="minorEastAsia" w:hAnsiTheme="minorEastAsia"/>
          <w:b/>
          <w:sz w:val="21"/>
          <w:szCs w:val="21"/>
        </w:rPr>
      </w:pPr>
      <w:r>
        <w:rPr>
          <w:rFonts w:hint="eastAsia" w:asciiTheme="minorEastAsia" w:hAnsiTheme="minorEastAsia"/>
          <w:b/>
          <w:sz w:val="21"/>
          <w:szCs w:val="21"/>
        </w:rPr>
        <w:t>26.成交通知书</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26.1成交通知书为签订政府采购合同的依据之一，是合同的有效组成部分。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七、合同事项</w:t>
      </w:r>
    </w:p>
    <w:p>
      <w:pPr>
        <w:spacing w:line="360" w:lineRule="auto"/>
        <w:rPr>
          <w:rFonts w:asciiTheme="minorEastAsia" w:hAnsiTheme="minorEastAsia"/>
          <w:b/>
          <w:sz w:val="21"/>
          <w:szCs w:val="21"/>
        </w:rPr>
      </w:pPr>
      <w:r>
        <w:rPr>
          <w:rFonts w:hint="eastAsia" w:asciiTheme="minorEastAsia" w:hAnsiTheme="minorEastAsia"/>
          <w:b/>
          <w:sz w:val="21"/>
          <w:szCs w:val="21"/>
        </w:rPr>
        <w:t>27.签订合同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27.2 磋商文件、成交供应商的响应文件及双方确认的澄清文件等，均为有法律约束力的合同组成部分。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27.4 成交供应商因不可抗力原因不能履行采购合同或放弃成交的，采购人可以与排在成交供应商之后第一位的成交候选人签订采购合同，以此类推。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27.5竞争性磋商文件、成交供应商提交的响应文件、磋商中的最后报价、成交供应商承诺书、成交通知书等均称为有法律约束力的合同组成内容。</w:t>
      </w:r>
    </w:p>
    <w:p>
      <w:pPr>
        <w:spacing w:line="360" w:lineRule="auto"/>
        <w:rPr>
          <w:rFonts w:asciiTheme="minorEastAsia" w:hAnsiTheme="minorEastAsia"/>
          <w:b/>
          <w:sz w:val="21"/>
          <w:szCs w:val="21"/>
        </w:rPr>
      </w:pPr>
      <w:r>
        <w:rPr>
          <w:rFonts w:hint="eastAsia" w:asciiTheme="minorEastAsia" w:hAnsiTheme="minorEastAsia"/>
          <w:b/>
          <w:sz w:val="21"/>
          <w:szCs w:val="21"/>
        </w:rPr>
        <w:t>28.合同分包（实质性要求）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28.2 采购合同实行分包履行的，成交供应商就采购项目和分包项目向采购人负责，分包供应商就分包项目承担责任。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28.3中小企业依据《政府采购促进中小企业发展管理办法》（财库[2020]46号）规定的政策获取政府采购合同后，小微企业不得将合同分包给大中型企业，中型企业不得将合同分包给大型企业；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28.4本项目不允许将采购合同分包。</w:t>
      </w:r>
    </w:p>
    <w:p>
      <w:pPr>
        <w:spacing w:line="360" w:lineRule="auto"/>
        <w:rPr>
          <w:rFonts w:asciiTheme="minorEastAsia" w:hAnsiTheme="minorEastAsia"/>
          <w:b/>
          <w:sz w:val="21"/>
          <w:szCs w:val="21"/>
        </w:rPr>
      </w:pPr>
      <w:r>
        <w:rPr>
          <w:rFonts w:hint="eastAsia" w:asciiTheme="minorEastAsia" w:hAnsiTheme="minorEastAsia"/>
          <w:b/>
          <w:sz w:val="21"/>
          <w:szCs w:val="21"/>
        </w:rPr>
        <w:t>29.合同转包（实质性要求）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成交供应商转包的，视同拒绝履行政府采购合同义务，将依法追究法律责任。</w:t>
      </w:r>
    </w:p>
    <w:p>
      <w:pPr>
        <w:spacing w:line="360" w:lineRule="auto"/>
        <w:rPr>
          <w:rFonts w:asciiTheme="minorEastAsia" w:hAnsiTheme="minorEastAsia"/>
          <w:b/>
          <w:sz w:val="21"/>
          <w:szCs w:val="21"/>
        </w:rPr>
      </w:pPr>
      <w:r>
        <w:rPr>
          <w:rFonts w:hint="eastAsia" w:asciiTheme="minorEastAsia" w:hAnsiTheme="minorEastAsia"/>
          <w:b/>
          <w:sz w:val="21"/>
          <w:szCs w:val="21"/>
        </w:rPr>
        <w:t>30.补充合同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Theme="minorEastAsia" w:hAnsiTheme="minorEastAsia"/>
          <w:b/>
          <w:sz w:val="21"/>
          <w:szCs w:val="21"/>
        </w:rPr>
      </w:pPr>
      <w:r>
        <w:rPr>
          <w:rFonts w:hint="eastAsia" w:asciiTheme="minorEastAsia" w:hAnsiTheme="minorEastAsia"/>
          <w:b/>
          <w:sz w:val="21"/>
          <w:szCs w:val="21"/>
        </w:rPr>
        <w:t>31.履约保证金（实质性要求）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31.1 成交供应商应在合同签订之前交纳采购文件规定数额的履约保证金。详见供应商须知前附表。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31.2 如果成交供应商在规定的合同签订时间内，没有按照采购文件的规定交纳履约保证金，且又无正当理由的，将视为放弃成交。</w:t>
      </w:r>
    </w:p>
    <w:p>
      <w:pPr>
        <w:spacing w:line="360" w:lineRule="auto"/>
        <w:rPr>
          <w:rFonts w:asciiTheme="minorEastAsia" w:hAnsiTheme="minorEastAsia"/>
          <w:b/>
          <w:sz w:val="21"/>
          <w:szCs w:val="21"/>
        </w:rPr>
      </w:pPr>
      <w:r>
        <w:rPr>
          <w:rFonts w:hint="eastAsia" w:asciiTheme="minorEastAsia" w:hAnsiTheme="minorEastAsia"/>
          <w:b/>
          <w:sz w:val="21"/>
          <w:szCs w:val="21"/>
        </w:rPr>
        <w:t>32.合同公告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Theme="minorEastAsia" w:hAnsiTheme="minorEastAsia"/>
          <w:b/>
          <w:sz w:val="21"/>
          <w:szCs w:val="21"/>
        </w:rPr>
      </w:pPr>
      <w:r>
        <w:rPr>
          <w:rFonts w:hint="eastAsia" w:asciiTheme="minorEastAsia" w:hAnsiTheme="minorEastAsia"/>
          <w:b/>
          <w:sz w:val="21"/>
          <w:szCs w:val="21"/>
        </w:rPr>
        <w:t>33.合同备案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采购人应当将政府采购合同副本自签订（双方当事人均已签字盖章）之日起七个工作日内通过四川政府采购网报同级财政部门备案。</w:t>
      </w:r>
    </w:p>
    <w:p>
      <w:pPr>
        <w:spacing w:line="360" w:lineRule="auto"/>
        <w:rPr>
          <w:rFonts w:asciiTheme="minorEastAsia" w:hAnsiTheme="minorEastAsia"/>
          <w:b/>
          <w:sz w:val="21"/>
          <w:szCs w:val="21"/>
        </w:rPr>
      </w:pPr>
      <w:r>
        <w:rPr>
          <w:rFonts w:hint="eastAsia" w:asciiTheme="minorEastAsia" w:hAnsiTheme="minorEastAsia"/>
          <w:b/>
          <w:sz w:val="21"/>
          <w:szCs w:val="21"/>
        </w:rPr>
        <w:t>34.履行合同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34.1 成交供应商与采购人签订合同后，合同双方应严格执行合同条款，履行合同规定的义务，保证合同的顺利完成。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34.2 在合同履行过程中，如发生合同纠纷，合同双方应按照《中华人民共和国民法典》的有关规定进行处理。</w:t>
      </w:r>
    </w:p>
    <w:p>
      <w:pPr>
        <w:spacing w:line="360" w:lineRule="auto"/>
        <w:rPr>
          <w:rFonts w:asciiTheme="minorEastAsia" w:hAnsiTheme="minorEastAsia"/>
          <w:b/>
          <w:sz w:val="21"/>
          <w:szCs w:val="21"/>
        </w:rPr>
      </w:pPr>
      <w:r>
        <w:rPr>
          <w:rFonts w:hint="eastAsia" w:asciiTheme="minorEastAsia" w:hAnsiTheme="minorEastAsia"/>
          <w:b/>
          <w:sz w:val="21"/>
          <w:szCs w:val="21"/>
        </w:rPr>
        <w:t>35.验收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35.1本项目采购人或其委托的采购代理机构将依据《财政部关于进一步加强政府采购需求和履约验收管理的指导意见》财库〔2016〕205号的要求进行验收。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35.2 验收结果合格的，成交供应商凭验收结算书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rPr>
          <w:rFonts w:asciiTheme="minorEastAsia" w:hAnsiTheme="minorEastAsia"/>
          <w:b/>
          <w:sz w:val="21"/>
          <w:szCs w:val="21"/>
        </w:rPr>
      </w:pPr>
      <w:r>
        <w:rPr>
          <w:rFonts w:hint="eastAsia" w:asciiTheme="minorEastAsia" w:hAnsiTheme="minorEastAsia"/>
          <w:b/>
          <w:sz w:val="21"/>
          <w:szCs w:val="21"/>
        </w:rPr>
        <w:t>36.资金支付</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八、磋商纪律要求</w:t>
      </w:r>
    </w:p>
    <w:p>
      <w:pPr>
        <w:spacing w:line="360" w:lineRule="auto"/>
        <w:rPr>
          <w:rFonts w:asciiTheme="minorEastAsia" w:hAnsiTheme="minorEastAsia"/>
          <w:b/>
          <w:sz w:val="21"/>
          <w:szCs w:val="21"/>
        </w:rPr>
      </w:pPr>
      <w:r>
        <w:rPr>
          <w:rFonts w:hint="eastAsia" w:asciiTheme="minorEastAsia" w:hAnsiTheme="minorEastAsia"/>
          <w:b/>
          <w:sz w:val="21"/>
          <w:szCs w:val="21"/>
        </w:rPr>
        <w:t>37.供应商不得具有的情形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供应商参加本项目磋商不得有下列情形：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（1）提供虚假材料谋取成交；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（2）采取不正当手段诋毁、排挤其他供应商；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（3）与采购人、采购代理机构、或其他供应商恶意串通；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（4）向采购人、采购代理机构、磋商小组成员行贿或者提供其他不正当利益；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（5）在磋商过程中与采购人、采购代理机构进行协商；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（6）成交后无正当理由拒不与采购人签订政府采购合同；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（7）未按照磋商文件确定的事项签订政府采购合同；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（8）将政府采购合同转包或者违规分包；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（9）提供假冒伪劣产品；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（10）擅自变更、中止或者终止政府采购合同；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（11）拒绝有关部门的监督检查或者向监督检查部门提供虚假情况；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（12）中标后拒绝、拖欠或不如数支付成交服务费的；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（13）法律法规规定的其他情形。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供应商有上述情形的，按照规定追究法律责任，具备（1）-（5）条情形之一的，同时将取消被确认为成交供应商的资格或者认定成交无效。并提请财政监督部门按相关法律法规将该供应商列入黑名单。</w:t>
      </w:r>
    </w:p>
    <w:p>
      <w:pPr>
        <w:spacing w:line="360" w:lineRule="auto"/>
        <w:jc w:val="center"/>
        <w:rPr>
          <w:rFonts w:asciiTheme="minorEastAsia" w:hAnsiTheme="minorEastAsia"/>
          <w:b/>
          <w:sz w:val="21"/>
          <w:szCs w:val="21"/>
        </w:rPr>
      </w:pPr>
      <w:r>
        <w:rPr>
          <w:rFonts w:hint="eastAsia" w:asciiTheme="minorEastAsia" w:hAnsiTheme="minorEastAsia"/>
          <w:b/>
          <w:sz w:val="21"/>
          <w:szCs w:val="21"/>
        </w:rPr>
        <w:t>九、询问、质疑和投诉</w:t>
      </w:r>
    </w:p>
    <w:p>
      <w:pPr>
        <w:spacing w:line="360" w:lineRule="auto"/>
        <w:rPr>
          <w:rFonts w:asciiTheme="minorEastAsia" w:hAnsiTheme="minorEastAsia"/>
          <w:b/>
          <w:sz w:val="21"/>
          <w:szCs w:val="21"/>
        </w:rPr>
      </w:pPr>
      <w:r>
        <w:rPr>
          <w:rFonts w:hint="eastAsia" w:asciiTheme="minorEastAsia" w:hAnsiTheme="minorEastAsia"/>
          <w:b/>
          <w:sz w:val="21"/>
          <w:szCs w:val="21"/>
        </w:rPr>
        <w:t>38.质疑、投诉的处理方式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投诉的接收和处理严格按照《中华人共和国政府采购法》、《中华人民共和国政府采购法实施条例》、《政府采购质疑和投诉办法》和四川省的有关规定办理（详细规定请在四川政府采购网政策法规模块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38.1供应商对政府采购活动事项有疑问的，可以向采购人或其委托授权的采购代理机构提出询问，采购人或者采购代理机构应当在3个工作日内对供应商依法提出的询问作出答复，但答复的内容不得涉及商业秘密。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38.3提出质疑的供应商应当是参与所质疑项目采购活动的供应商。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“获取采购文件”适用于采购公告中未提供完整采购文件，供应商报名并购买获取采购文件的情况。“采购文件公告期限届满之日”适用于已在采购公告中提供完整的采购文件的情况。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十、其他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rPr>
          <w:rFonts w:asciiTheme="minorEastAsia" w:hAnsiTheme="minorEastAsia"/>
          <w:b/>
          <w:sz w:val="21"/>
          <w:szCs w:val="21"/>
        </w:rPr>
      </w:pPr>
      <w:r>
        <w:rPr>
          <w:rFonts w:hint="eastAsia" w:asciiTheme="minorEastAsia" w:hAnsiTheme="minorEastAsia"/>
          <w:b/>
          <w:sz w:val="21"/>
          <w:szCs w:val="21"/>
        </w:rPr>
        <w:t>十一、代理服务费</w:t>
      </w:r>
      <w:r>
        <w:rPr>
          <w:rFonts w:hint="eastAsia" w:asciiTheme="minorEastAsia" w:hAnsiTheme="minorEastAsia"/>
          <w:sz w:val="21"/>
          <w:szCs w:val="21"/>
        </w:rPr>
        <w:t>（实质性要求</w:t>
      </w:r>
      <w:r>
        <w:rPr>
          <w:rFonts w:hint="eastAsia" w:asciiTheme="minorEastAsia" w:hAnsiTheme="minorEastAsia"/>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本项目代理服务费：以本磋商文件第二章磋商须知、供应商须知前附表中约定为准。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十二、附则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1、本项目非电子招标投标，除监控视频外，磋商文件、现场记录、供应商的响应文件及评审资料等一律以其纸质文档正本或原件为最终解释版本。</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2、政府采购货物中的进口机电产品招标投标有关特殊事宜，由财政部另行规定。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3、磋商文件规定按日计算期间的，开始当天不计入，从次日开始计算。期限的最后一日是国家法定节假日的，顺延到节假日后的次日为期限的最后一日。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4、磋商文件所称的“以上”、“以下”、“内”、“以内”，包括本数；所称的“不足”，不包括本数。</w:t>
      </w:r>
    </w:p>
    <w:p>
      <w:pPr>
        <w:rPr>
          <w:rFonts w:asciiTheme="minorEastAsia" w:hAnsiTheme="minorEastAsia" w:cstheme="majorBidi"/>
          <w:b/>
          <w:bCs/>
          <w:kern w:val="28"/>
          <w:sz w:val="36"/>
          <w:szCs w:val="32"/>
        </w:rPr>
      </w:pPr>
      <w:bookmarkStart w:id="37" w:name="_Toc505697531"/>
      <w:bookmarkStart w:id="38" w:name="_Toc11835045"/>
      <w:bookmarkStart w:id="39" w:name="_Toc44237526"/>
      <w:bookmarkStart w:id="40" w:name="_Toc24017287"/>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第三章供应商资格条件要求</w:t>
      </w:r>
      <w:bookmarkEnd w:id="37"/>
      <w:bookmarkEnd w:id="38"/>
      <w:bookmarkEnd w:id="39"/>
      <w:bookmarkEnd w:id="40"/>
    </w:p>
    <w:p>
      <w:pPr>
        <w:pStyle w:val="27"/>
        <w:spacing w:line="360" w:lineRule="auto"/>
        <w:rPr>
          <w:rFonts w:ascii="宋体" w:hAnsi="宋体" w:eastAsia="宋体"/>
          <w:sz w:val="21"/>
          <w:szCs w:val="21"/>
        </w:rPr>
      </w:pPr>
      <w:bookmarkStart w:id="41" w:name="_Toc24017288"/>
      <w:bookmarkStart w:id="42" w:name="_Toc11835046"/>
      <w:r>
        <w:rPr>
          <w:rFonts w:hint="eastAsia" w:ascii="宋体" w:hAnsi="宋体" w:eastAsia="宋体"/>
          <w:sz w:val="21"/>
          <w:szCs w:val="21"/>
        </w:rPr>
        <w:t>一、参加磋商的供应商应具备下列资格条件：</w:t>
      </w:r>
      <w:bookmarkEnd w:id="41"/>
      <w:bookmarkEnd w:id="42"/>
    </w:p>
    <w:p>
      <w:pPr>
        <w:spacing w:line="360" w:lineRule="auto"/>
        <w:ind w:firstLine="420" w:firstLineChars="200"/>
        <w:rPr>
          <w:rFonts w:ascii="宋体" w:hAnsi="宋体"/>
          <w:sz w:val="21"/>
          <w:szCs w:val="21"/>
        </w:rPr>
      </w:pPr>
      <w:bookmarkStart w:id="43" w:name="_Toc11835047"/>
      <w:bookmarkStart w:id="44" w:name="_Toc24017289"/>
      <w:r>
        <w:rPr>
          <w:rFonts w:hint="eastAsia" w:ascii="宋体" w:hAnsi="宋体"/>
          <w:sz w:val="21"/>
          <w:szCs w:val="21"/>
        </w:rPr>
        <w:t>1、符合《中华人民共和国政府采购法》第二十二条第一款规定的条件；</w:t>
      </w:r>
    </w:p>
    <w:p>
      <w:pPr>
        <w:spacing w:line="360"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360"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360" w:lineRule="auto"/>
        <w:ind w:firstLine="420" w:firstLineChars="200"/>
        <w:rPr>
          <w:rFonts w:ascii="宋体" w:hAnsi="宋体"/>
          <w:sz w:val="21"/>
          <w:szCs w:val="21"/>
        </w:rPr>
      </w:pPr>
      <w:r>
        <w:rPr>
          <w:rFonts w:hint="eastAsia" w:ascii="宋体" w:hAnsi="宋体"/>
          <w:sz w:val="21"/>
          <w:szCs w:val="21"/>
        </w:rPr>
        <w:t>（3）具有履行合同所必须的设备和专业技术能力；</w:t>
      </w:r>
    </w:p>
    <w:p>
      <w:pPr>
        <w:spacing w:line="360" w:lineRule="auto"/>
        <w:ind w:firstLine="420" w:firstLineChars="200"/>
        <w:rPr>
          <w:rFonts w:ascii="宋体" w:hAnsi="宋体"/>
          <w:sz w:val="21"/>
          <w:szCs w:val="21"/>
        </w:rPr>
      </w:pPr>
      <w:r>
        <w:rPr>
          <w:rFonts w:hint="eastAsia" w:ascii="宋体" w:hAnsi="宋体"/>
          <w:sz w:val="21"/>
          <w:szCs w:val="21"/>
        </w:rPr>
        <w:t>（4）具有依法缴纳税收和社会保障资金的良好记录；</w:t>
      </w:r>
    </w:p>
    <w:p>
      <w:pPr>
        <w:spacing w:line="360" w:lineRule="auto"/>
        <w:ind w:firstLine="420" w:firstLineChars="200"/>
        <w:rPr>
          <w:rFonts w:ascii="宋体" w:hAnsi="宋体"/>
          <w:sz w:val="21"/>
          <w:szCs w:val="21"/>
        </w:rPr>
      </w:pPr>
      <w:r>
        <w:rPr>
          <w:rFonts w:hint="eastAsia" w:ascii="宋体" w:hAnsi="宋体"/>
          <w:sz w:val="21"/>
          <w:szCs w:val="21"/>
        </w:rPr>
        <w:t>（5）参加本次政府采购活动前三年内，在经营活动中没有重大违法记录；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（6）符合法律、行政法规规定的其他条件。</w:t>
      </w:r>
    </w:p>
    <w:p>
      <w:pPr>
        <w:spacing w:line="360" w:lineRule="auto"/>
        <w:ind w:firstLine="420" w:firstLineChars="200"/>
        <w:rPr>
          <w:rFonts w:ascii="宋体" w:hAnsi="宋体"/>
          <w:sz w:val="21"/>
          <w:szCs w:val="21"/>
        </w:rPr>
      </w:pPr>
      <w:r>
        <w:rPr>
          <w:rFonts w:hint="eastAsia" w:ascii="宋体" w:hAnsi="宋体"/>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sz w:val="21"/>
          <w:szCs w:val="21"/>
        </w:rPr>
      </w:pPr>
      <w:r>
        <w:rPr>
          <w:rFonts w:hint="eastAsia" w:ascii="宋体" w:hAnsi="宋体"/>
          <w:sz w:val="21"/>
          <w:szCs w:val="21"/>
        </w:rPr>
        <w:t>3、本项目的特定资格要求：</w:t>
      </w:r>
      <w:r>
        <w:rPr>
          <w:rFonts w:ascii="宋体" w:hAnsi="宋体"/>
          <w:sz w:val="21"/>
          <w:szCs w:val="21"/>
        </w:rPr>
        <w:tab/>
      </w:r>
    </w:p>
    <w:bookmarkEnd w:id="43"/>
    <w:bookmarkEnd w:id="44"/>
    <w:p>
      <w:pPr>
        <w:spacing w:line="360" w:lineRule="auto"/>
        <w:ind w:firstLine="525" w:firstLineChars="250"/>
        <w:rPr>
          <w:rFonts w:ascii="宋体" w:hAnsi="宋体"/>
          <w:sz w:val="21"/>
          <w:szCs w:val="21"/>
        </w:rPr>
      </w:pPr>
      <w:r>
        <w:rPr>
          <w:rFonts w:hint="eastAsia" w:ascii="宋体" w:hAnsi="宋体"/>
          <w:sz w:val="21"/>
          <w:szCs w:val="21"/>
        </w:rPr>
        <w:t>具备在有效期内的《人力资源服务许可证》和具备在有效期内的《劳务派遣经营许可证》。</w:t>
      </w:r>
    </w:p>
    <w:p>
      <w:pPr>
        <w:snapToGrid w:val="0"/>
        <w:spacing w:line="360" w:lineRule="auto"/>
        <w:rPr>
          <w:rFonts w:ascii="仿宋" w:hAnsi="仿宋" w:eastAsia="仿宋" w:cs="仿宋"/>
          <w:bCs/>
          <w:sz w:val="21"/>
        </w:rPr>
      </w:pPr>
      <w:r>
        <w:rPr>
          <w:rFonts w:hint="eastAsia" w:ascii="仿宋" w:hAnsi="仿宋" w:eastAsia="仿宋" w:cs="仿宋"/>
          <w:bCs/>
          <w:sz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pPr>
        <w:snapToGrid w:val="0"/>
        <w:spacing w:line="360" w:lineRule="auto"/>
        <w:rPr>
          <w:rFonts w:ascii="仿宋" w:hAnsi="仿宋" w:eastAsia="仿宋" w:cs="仿宋"/>
          <w:bCs/>
          <w:sz w:val="21"/>
        </w:rPr>
      </w:pPr>
      <w:r>
        <w:rPr>
          <w:rFonts w:hint="eastAsia" w:ascii="仿宋" w:hAnsi="仿宋" w:eastAsia="仿宋" w:cs="仿宋"/>
          <w:bCs/>
          <w:sz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Theme="minorEastAsia" w:hAnsiTheme="minorEastAsia" w:cstheme="majorBidi"/>
          <w:b/>
          <w:bCs/>
          <w:kern w:val="28"/>
          <w:sz w:val="36"/>
          <w:szCs w:val="32"/>
        </w:rPr>
      </w:pPr>
      <w:bookmarkStart w:id="45" w:name="_Toc11835048"/>
      <w:bookmarkStart w:id="46" w:name="_Toc505697532"/>
      <w:bookmarkStart w:id="47" w:name="_Toc24017290"/>
      <w:bookmarkStart w:id="48" w:name="_Toc44237527"/>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第四章供应商资格证明材料</w:t>
      </w:r>
      <w:bookmarkEnd w:id="45"/>
      <w:bookmarkEnd w:id="46"/>
      <w:bookmarkEnd w:id="47"/>
      <w:bookmarkEnd w:id="48"/>
    </w:p>
    <w:p>
      <w:pPr>
        <w:pStyle w:val="27"/>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val="0"/>
          <w:sz w:val="21"/>
        </w:rPr>
        <w:t>（一）</w:t>
      </w:r>
      <w:r>
        <w:rPr>
          <w:rFonts w:hint="eastAsia" w:asciiTheme="minorEastAsia" w:hAnsiTheme="minorEastAsia" w:eastAsiaTheme="minorEastAsia"/>
          <w:sz w:val="21"/>
          <w:szCs w:val="21"/>
        </w:rPr>
        <w:t>应当提供的供应商或产品资格、资质性的相关证明材料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1、具有独立承担民事责任的能力：</w:t>
      </w:r>
      <w:r>
        <w:rPr>
          <w:rFonts w:hint="eastAsia" w:ascii="仿宋" w:hAnsi="仿宋" w:eastAsia="仿宋"/>
          <w:sz w:val="21"/>
          <w:szCs w:val="21"/>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pPr>
        <w:spacing w:line="360" w:lineRule="auto"/>
        <w:ind w:firstLine="420" w:firstLineChars="200"/>
        <w:rPr>
          <w:rFonts w:ascii="仿宋" w:hAnsi="仿宋" w:eastAsia="仿宋"/>
          <w:sz w:val="21"/>
          <w:szCs w:val="21"/>
        </w:rPr>
      </w:pPr>
      <w:r>
        <w:rPr>
          <w:rFonts w:hint="eastAsia" w:ascii="宋体" w:hAnsi="宋体" w:eastAsia="宋体"/>
          <w:sz w:val="21"/>
          <w:szCs w:val="21"/>
        </w:rPr>
        <w:t>2、具有健全的财务会计制度（提供以下任意一项）：</w:t>
      </w:r>
      <w:r>
        <w:rPr>
          <w:rFonts w:hint="eastAsia" w:ascii="仿宋" w:hAnsi="仿宋" w:eastAsia="仿宋"/>
          <w:sz w:val="21"/>
          <w:szCs w:val="21"/>
        </w:rPr>
        <w:t>①可提供2019年度或2020年度经审计的财务报告复印件（包含审计报告和审计报告中所涉及的财务报表和报表附注），②也可提供或2020年度任一个月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3、承诺函</w:t>
      </w:r>
      <w:r>
        <w:rPr>
          <w:rFonts w:hint="eastAsia" w:ascii="仿宋" w:hAnsi="仿宋" w:eastAsia="仿宋"/>
          <w:sz w:val="21"/>
          <w:szCs w:val="21"/>
        </w:rPr>
        <w:t>（可按照第八章承诺函格式填写，原件加盖供应商公章）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4、声明函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5、竞商函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6、</w:t>
      </w:r>
      <w:r>
        <w:rPr>
          <w:rFonts w:hint="eastAsia" w:ascii="宋体" w:hAnsi="宋体"/>
          <w:sz w:val="21"/>
          <w:szCs w:val="21"/>
        </w:rPr>
        <w:t>落实政府采购政策需满足的资格要求：</w:t>
      </w:r>
      <w:r>
        <w:rPr>
          <w:rFonts w:hint="eastAsia" w:ascii="仿宋" w:hAnsi="仿宋" w:eastAsia="仿宋"/>
          <w:sz w:val="21"/>
          <w:szCs w:val="21"/>
        </w:rPr>
        <w:t>提供中小企业声明函或残疾人福利性单位声明函或监狱企业证明资料。</w:t>
      </w:r>
    </w:p>
    <w:p>
      <w:pPr>
        <w:tabs>
          <w:tab w:val="center" w:pos="4626"/>
        </w:tabs>
        <w:spacing w:line="360" w:lineRule="auto"/>
        <w:ind w:firstLine="420" w:firstLineChars="200"/>
        <w:rPr>
          <w:rFonts w:ascii="宋体" w:hAnsi="宋体"/>
          <w:sz w:val="21"/>
          <w:szCs w:val="21"/>
        </w:rPr>
      </w:pPr>
      <w:r>
        <w:rPr>
          <w:rFonts w:hint="eastAsia" w:ascii="宋体" w:hAnsi="宋体" w:eastAsia="宋体"/>
          <w:sz w:val="21"/>
          <w:szCs w:val="21"/>
        </w:rPr>
        <w:t>7、</w:t>
      </w:r>
      <w:r>
        <w:rPr>
          <w:rFonts w:hint="eastAsia" w:ascii="宋体" w:hAnsi="宋体"/>
          <w:sz w:val="21"/>
          <w:szCs w:val="21"/>
        </w:rPr>
        <w:t>本项目的特定资格要求：</w:t>
      </w:r>
      <w:r>
        <w:rPr>
          <w:rFonts w:hint="eastAsia" w:ascii="仿宋" w:hAnsi="仿宋" w:eastAsia="仿宋"/>
          <w:sz w:val="21"/>
          <w:szCs w:val="21"/>
        </w:rPr>
        <w:t>提供有效期内的《人力资源服务许可证》和具备在有效期内的《劳务派遣经营许可证》,加盖供应商公章。</w:t>
      </w:r>
    </w:p>
    <w:p>
      <w:pPr>
        <w:spacing w:line="360" w:lineRule="auto"/>
        <w:rPr>
          <w:rFonts w:ascii="宋体" w:hAnsi="宋体" w:eastAsia="宋体" w:cstheme="majorBidi"/>
          <w:b/>
          <w:sz w:val="21"/>
          <w:szCs w:val="21"/>
        </w:rPr>
      </w:pPr>
      <w:r>
        <w:rPr>
          <w:rFonts w:hint="eastAsia" w:ascii="宋体" w:hAnsi="宋体" w:eastAsia="宋体" w:cstheme="majorBidi"/>
          <w:b/>
          <w:sz w:val="21"/>
          <w:szCs w:val="21"/>
        </w:rPr>
        <w:t>（二）应当提供的其他类似效力要求的相关证明材料</w:t>
      </w:r>
    </w:p>
    <w:p>
      <w:pPr>
        <w:pStyle w:val="108"/>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1.参加本次磋商活动的供应商代表证明材料。</w:t>
      </w:r>
    </w:p>
    <w:p>
      <w:pPr>
        <w:pStyle w:val="108"/>
        <w:spacing w:line="360" w:lineRule="auto"/>
        <w:rPr>
          <w:rFonts w:ascii="仿宋" w:hAnsi="仿宋" w:eastAsia="仿宋"/>
          <w:color w:val="auto"/>
          <w:sz w:val="21"/>
          <w:szCs w:val="21"/>
        </w:rPr>
      </w:pPr>
      <w:r>
        <w:rPr>
          <w:rFonts w:hint="eastAsia" w:ascii="仿宋" w:hAnsi="仿宋" w:eastAsia="仿宋"/>
          <w:color w:val="auto"/>
          <w:sz w:val="21"/>
          <w:szCs w:val="21"/>
        </w:rPr>
        <w:t>1.1</w:t>
      </w:r>
      <w:r>
        <w:rPr>
          <w:rFonts w:hint="eastAsia" w:ascii="宋体" w:hAnsi="宋体" w:eastAsia="宋体"/>
          <w:color w:val="auto"/>
          <w:sz w:val="21"/>
          <w:szCs w:val="21"/>
        </w:rPr>
        <w:t>法定代表人身份证明文件</w:t>
      </w:r>
      <w:r>
        <w:rPr>
          <w:rFonts w:hint="eastAsia" w:ascii="仿宋" w:hAnsi="仿宋" w:eastAsia="仿宋"/>
          <w:color w:val="auto"/>
          <w:sz w:val="21"/>
          <w:szCs w:val="21"/>
        </w:rPr>
        <w:t>（可按照第八章格式填写，加盖供应商公章）。</w:t>
      </w:r>
    </w:p>
    <w:p>
      <w:pPr>
        <w:pStyle w:val="108"/>
        <w:spacing w:line="360" w:lineRule="auto"/>
        <w:rPr>
          <w:rFonts w:ascii="宋体" w:hAnsi="宋体" w:eastAsia="宋体"/>
          <w:color w:val="auto"/>
          <w:sz w:val="21"/>
          <w:szCs w:val="21"/>
        </w:rPr>
      </w:pPr>
      <w:r>
        <w:rPr>
          <w:rFonts w:hint="eastAsia" w:ascii="仿宋" w:hAnsi="仿宋" w:eastAsia="仿宋"/>
          <w:color w:val="auto"/>
          <w:sz w:val="21"/>
          <w:szCs w:val="21"/>
        </w:rPr>
        <w:t>1.2</w:t>
      </w:r>
      <w:r>
        <w:rPr>
          <w:rFonts w:hint="eastAsia" w:ascii="宋体" w:hAnsi="宋体" w:eastAsia="宋体"/>
          <w:color w:val="auto"/>
          <w:sz w:val="21"/>
          <w:szCs w:val="21"/>
        </w:rPr>
        <w:t>法定代表人授权书（附法定代表人以及授权代表的身份证复印件）</w:t>
      </w:r>
      <w:r>
        <w:rPr>
          <w:rFonts w:hint="eastAsia" w:ascii="仿宋" w:hAnsi="仿宋" w:eastAsia="仿宋"/>
          <w:color w:val="auto"/>
          <w:sz w:val="21"/>
          <w:szCs w:val="21"/>
        </w:rPr>
        <w:t>（非法定代表人参加磋商适用，可按照第八章格式填写，加盖供应商公章）。</w:t>
      </w:r>
    </w:p>
    <w:p>
      <w:pPr>
        <w:spacing w:line="360" w:lineRule="auto"/>
        <w:rPr>
          <w:rFonts w:ascii="宋体" w:hAnsi="宋体" w:eastAsia="宋体"/>
          <w:sz w:val="21"/>
          <w:szCs w:val="21"/>
        </w:rPr>
      </w:pPr>
    </w:p>
    <w:p>
      <w:pPr>
        <w:spacing w:line="360" w:lineRule="auto"/>
        <w:ind w:firstLine="420" w:firstLineChars="200"/>
        <w:rPr>
          <w:rFonts w:ascii="仿宋" w:hAnsi="仿宋" w:eastAsia="仿宋"/>
          <w:sz w:val="21"/>
          <w:szCs w:val="21"/>
        </w:rPr>
      </w:pPr>
      <w:r>
        <w:rPr>
          <w:rFonts w:hint="eastAsia" w:ascii="仿宋" w:hAnsi="仿宋" w:eastAsia="仿宋"/>
          <w:sz w:val="21"/>
          <w:szCs w:val="21"/>
        </w:rPr>
        <w:t>注：1.以上要求的资料原件和复印件（由采购人或采购代理机构提供的证明材料除外）均须加盖投标单位的公章（鲜章）。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和内容自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3、本章要求提供的相关证明材料应当结合采购项目具体情况和供应商的组织机构性质确定，不得一概而论。</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pPr>
        <w:rPr>
          <w:rFonts w:asciiTheme="minorEastAsia" w:hAnsiTheme="minorEastAsia"/>
        </w:rPr>
      </w:pPr>
      <w:r>
        <w:rPr>
          <w:rFonts w:asciiTheme="minorEastAsia" w:hAnsiTheme="minorEastAsia"/>
        </w:rPr>
        <w:br w:type="page"/>
      </w:r>
    </w:p>
    <w:p>
      <w:pPr>
        <w:pStyle w:val="35"/>
        <w:spacing w:line="360" w:lineRule="auto"/>
        <w:rPr>
          <w:rFonts w:asciiTheme="minorEastAsia" w:hAnsiTheme="minorEastAsia" w:eastAsiaTheme="minorEastAsia"/>
        </w:rPr>
      </w:pPr>
      <w:bookmarkStart w:id="49" w:name="_Toc11835051"/>
      <w:bookmarkStart w:id="50" w:name="_Toc24017293"/>
      <w:bookmarkStart w:id="51" w:name="_Toc505697533"/>
      <w:bookmarkStart w:id="52" w:name="_Toc44237528"/>
      <w:r>
        <w:rPr>
          <w:rFonts w:hint="eastAsia" w:asciiTheme="minorEastAsia" w:hAnsiTheme="minorEastAsia" w:eastAsiaTheme="minorEastAsia"/>
        </w:rPr>
        <w:t>第五章采购项目技术、服务、政府采购合同内容条款</w:t>
      </w:r>
      <w:r>
        <w:rPr>
          <w:rFonts w:asciiTheme="minorEastAsia" w:hAnsiTheme="minorEastAsia" w:eastAsiaTheme="minorEastAsia"/>
        </w:rPr>
        <w:br w:type="textWrapping"/>
      </w:r>
      <w:r>
        <w:rPr>
          <w:rFonts w:hint="eastAsia" w:asciiTheme="minorEastAsia" w:hAnsiTheme="minorEastAsia" w:eastAsiaTheme="minorEastAsia"/>
        </w:rPr>
        <w:t>及其他商务要求</w:t>
      </w:r>
      <w:bookmarkEnd w:id="32"/>
      <w:bookmarkEnd w:id="33"/>
      <w:bookmarkEnd w:id="34"/>
      <w:bookmarkEnd w:id="35"/>
      <w:bookmarkEnd w:id="36"/>
      <w:bookmarkEnd w:id="49"/>
      <w:bookmarkEnd w:id="50"/>
      <w:bookmarkEnd w:id="51"/>
      <w:bookmarkEnd w:id="52"/>
      <w:bookmarkStart w:id="53" w:name="_Toc505697535"/>
      <w:bookmarkStart w:id="54" w:name="_Toc44237529"/>
      <w:bookmarkStart w:id="55" w:name="_Toc24017297"/>
      <w:bookmarkStart w:id="56" w:name="_Toc11835055"/>
      <w:bookmarkStart w:id="57" w:name="_Toc183682369"/>
      <w:bookmarkStart w:id="58" w:name="_Toc183582232"/>
      <w:bookmarkStart w:id="59" w:name="_Toc217446057"/>
    </w:p>
    <w:p>
      <w:pPr>
        <w:tabs>
          <w:tab w:val="left" w:pos="7665"/>
        </w:tabs>
        <w:snapToGrid w:val="0"/>
        <w:spacing w:beforeLines="100" w:afterLines="100"/>
        <w:ind w:firstLine="480" w:firstLineChars="200"/>
        <w:rPr>
          <w:rFonts w:ascii="新宋体" w:hAnsi="新宋体" w:eastAsia="新宋体" w:cs="新宋体"/>
          <w:b/>
        </w:rPr>
      </w:pPr>
      <w:bookmarkStart w:id="60" w:name="_Toc217446094"/>
      <w:r>
        <w:rPr>
          <w:rFonts w:hint="eastAsia" w:ascii="新宋体" w:hAnsi="新宋体" w:eastAsia="新宋体" w:cs="新宋体"/>
          <w:b/>
        </w:rPr>
        <w:t>1.项目概述</w:t>
      </w:r>
      <w:bookmarkEnd w:id="60"/>
    </w:p>
    <w:p>
      <w:pPr>
        <w:tabs>
          <w:tab w:val="left" w:pos="7665"/>
        </w:tabs>
        <w:snapToGrid w:val="0"/>
        <w:spacing w:beforeLines="100" w:afterLines="100" w:line="360" w:lineRule="auto"/>
        <w:ind w:firstLine="480" w:firstLineChars="200"/>
        <w:rPr>
          <w:rFonts w:ascii="新宋体" w:hAnsi="新宋体" w:eastAsia="新宋体" w:cs="新宋体"/>
          <w:b/>
        </w:rPr>
      </w:pPr>
      <w:r>
        <w:rPr>
          <w:rFonts w:hint="eastAsia" w:ascii="新宋体" w:hAnsi="新宋体" w:eastAsia="新宋体" w:cs="新宋体"/>
        </w:rPr>
        <w:t>按照成都市政法委《关于印发&lt;进一步加强网格员队伍管理实施办法&gt;的通知》（成政法委〔2020〕61号）文件要求，结合成都东部新区实际情况，按照“一格一员”的原则，以政府购买社会服务的方式建立专职网格员队伍。结合</w:t>
      </w:r>
      <w:r>
        <w:rPr>
          <w:rFonts w:hint="eastAsia" w:ascii="新宋体" w:hAnsi="新宋体" w:eastAsia="新宋体" w:cs="新宋体"/>
          <w:u w:val="single"/>
        </w:rPr>
        <w:t>高明镇</w:t>
      </w:r>
      <w:r>
        <w:rPr>
          <w:rFonts w:hint="eastAsia" w:ascii="新宋体" w:hAnsi="新宋体" w:eastAsia="新宋体" w:cs="新宋体"/>
        </w:rPr>
        <w:t>实际，将以政府购买服务，采取劳务派遣的方式建立专职网格员队伍</w:t>
      </w:r>
      <w:bookmarkStart w:id="61" w:name="_Toc217446095"/>
      <w:r>
        <w:rPr>
          <w:rFonts w:hint="eastAsia" w:ascii="新宋体" w:hAnsi="新宋体" w:eastAsia="新宋体" w:cs="新宋体"/>
        </w:rPr>
        <w:t>，共计配置</w:t>
      </w:r>
      <w:r>
        <w:rPr>
          <w:rFonts w:hint="eastAsia" w:ascii="新宋体" w:hAnsi="新宋体" w:eastAsia="新宋体" w:cs="新宋体"/>
          <w:u w:val="single"/>
        </w:rPr>
        <w:t>19名</w:t>
      </w:r>
      <w:r>
        <w:rPr>
          <w:rFonts w:hint="eastAsia" w:ascii="新宋体" w:hAnsi="新宋体" w:eastAsia="新宋体" w:cs="新宋体"/>
        </w:rPr>
        <w:t>专职网格员。</w:t>
      </w:r>
    </w:p>
    <w:p>
      <w:pPr>
        <w:tabs>
          <w:tab w:val="left" w:pos="7665"/>
        </w:tabs>
        <w:snapToGrid w:val="0"/>
        <w:spacing w:beforeLines="100" w:afterLines="100"/>
        <w:ind w:firstLine="480" w:firstLineChars="200"/>
        <w:rPr>
          <w:rFonts w:ascii="新宋体" w:hAnsi="新宋体" w:eastAsia="新宋体" w:cs="新宋体"/>
        </w:rPr>
      </w:pPr>
      <w:r>
        <w:rPr>
          <w:rFonts w:hint="eastAsia" w:ascii="新宋体" w:hAnsi="新宋体" w:eastAsia="新宋体" w:cs="新宋体"/>
          <w:b/>
        </w:rPr>
        <w:t>2.服务要求</w:t>
      </w:r>
      <w:bookmarkEnd w:id="61"/>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 xml:space="preserve">2.1.1项目名称、主要服务规范及要求、服务量。        </w:t>
      </w:r>
    </w:p>
    <w:tbl>
      <w:tblPr>
        <w:tblStyle w:val="3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565"/>
        <w:gridCol w:w="243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36" w:type="dxa"/>
            <w:vAlign w:val="center"/>
          </w:tcPr>
          <w:p>
            <w:pPr>
              <w:snapToGrid w:val="0"/>
              <w:jc w:val="center"/>
              <w:rPr>
                <w:rFonts w:ascii="新宋体" w:hAnsi="新宋体" w:eastAsia="新宋体" w:cs="新宋体"/>
              </w:rPr>
            </w:pPr>
            <w:r>
              <w:rPr>
                <w:rFonts w:hint="eastAsia" w:ascii="新宋体" w:hAnsi="新宋体" w:eastAsia="新宋体" w:cs="新宋体"/>
              </w:rPr>
              <w:t>项目名称</w:t>
            </w:r>
          </w:p>
        </w:tc>
        <w:tc>
          <w:tcPr>
            <w:tcW w:w="1565" w:type="dxa"/>
            <w:vAlign w:val="center"/>
          </w:tcPr>
          <w:p>
            <w:pPr>
              <w:snapToGrid w:val="0"/>
              <w:jc w:val="center"/>
              <w:rPr>
                <w:rFonts w:ascii="新宋体" w:hAnsi="新宋体" w:eastAsia="新宋体" w:cs="新宋体"/>
              </w:rPr>
            </w:pPr>
            <w:r>
              <w:rPr>
                <w:rFonts w:hint="eastAsia" w:ascii="新宋体" w:hAnsi="新宋体" w:eastAsia="新宋体" w:cs="新宋体"/>
              </w:rPr>
              <w:t>服务人数</w:t>
            </w:r>
          </w:p>
        </w:tc>
        <w:tc>
          <w:tcPr>
            <w:tcW w:w="2430" w:type="dxa"/>
            <w:vAlign w:val="center"/>
          </w:tcPr>
          <w:p>
            <w:pPr>
              <w:snapToGrid w:val="0"/>
              <w:jc w:val="center"/>
              <w:rPr>
                <w:rFonts w:ascii="新宋体" w:hAnsi="新宋体" w:eastAsia="新宋体" w:cs="新宋体"/>
              </w:rPr>
            </w:pPr>
            <w:r>
              <w:rPr>
                <w:rFonts w:hint="eastAsia" w:ascii="新宋体" w:hAnsi="新宋体" w:eastAsia="新宋体" w:cs="新宋体"/>
              </w:rPr>
              <w:t>预算</w:t>
            </w:r>
          </w:p>
        </w:tc>
        <w:tc>
          <w:tcPr>
            <w:tcW w:w="3660" w:type="dxa"/>
            <w:vAlign w:val="center"/>
          </w:tcPr>
          <w:p>
            <w:pPr>
              <w:snapToGrid w:val="0"/>
              <w:jc w:val="center"/>
              <w:rPr>
                <w:rFonts w:ascii="新宋体" w:hAnsi="新宋体" w:eastAsia="新宋体" w:cs="新宋体"/>
              </w:rPr>
            </w:pPr>
            <w:r>
              <w:rPr>
                <w:rFonts w:hint="eastAsia" w:ascii="新宋体" w:hAnsi="新宋体" w:eastAsia="新宋体" w:cs="新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936" w:type="dxa"/>
            <w:vAlign w:val="center"/>
          </w:tcPr>
          <w:p>
            <w:pPr>
              <w:snapToGrid w:val="0"/>
              <w:rPr>
                <w:rFonts w:ascii="新宋体" w:hAnsi="新宋体" w:eastAsia="新宋体" w:cs="新宋体"/>
              </w:rPr>
            </w:pPr>
            <w:r>
              <w:rPr>
                <w:rFonts w:hint="eastAsia" w:ascii="新宋体" w:hAnsi="新宋体" w:eastAsia="新宋体" w:cs="新宋体"/>
              </w:rPr>
              <w:t>成都东部新区高明镇专职网格员服务采购项目</w:t>
            </w:r>
          </w:p>
        </w:tc>
        <w:tc>
          <w:tcPr>
            <w:tcW w:w="1565" w:type="dxa"/>
            <w:vAlign w:val="center"/>
          </w:tcPr>
          <w:p>
            <w:pPr>
              <w:snapToGrid w:val="0"/>
              <w:rPr>
                <w:rFonts w:ascii="新宋体" w:hAnsi="新宋体" w:eastAsia="新宋体" w:cs="新宋体"/>
              </w:rPr>
            </w:pPr>
            <w:r>
              <w:rPr>
                <w:rFonts w:hint="eastAsia" w:ascii="新宋体" w:hAnsi="新宋体" w:eastAsia="新宋体" w:cs="新宋体"/>
              </w:rPr>
              <w:t>共计19名网格员</w:t>
            </w:r>
          </w:p>
        </w:tc>
        <w:tc>
          <w:tcPr>
            <w:tcW w:w="2430" w:type="dxa"/>
            <w:vAlign w:val="center"/>
          </w:tcPr>
          <w:p>
            <w:pPr>
              <w:snapToGrid w:val="0"/>
              <w:rPr>
                <w:rFonts w:ascii="新宋体" w:hAnsi="新宋体" w:eastAsia="新宋体" w:cs="新宋体"/>
              </w:rPr>
            </w:pPr>
            <w:r>
              <w:rPr>
                <w:rFonts w:hint="eastAsia" w:ascii="新宋体" w:hAnsi="新宋体" w:eastAsia="新宋体" w:cs="新宋体"/>
              </w:rPr>
              <w:t>人民币</w:t>
            </w:r>
            <w:r>
              <w:rPr>
                <w:rFonts w:hint="eastAsia" w:ascii="新宋体" w:hAnsi="新宋体" w:eastAsia="新宋体" w:cs="新宋体"/>
                <w:u w:val="single"/>
              </w:rPr>
              <w:t>77.824</w:t>
            </w:r>
            <w:r>
              <w:rPr>
                <w:rFonts w:hint="eastAsia" w:ascii="新宋体" w:hAnsi="新宋体" w:eastAsia="新宋体" w:cs="新宋体"/>
              </w:rPr>
              <w:t>万元/年</w:t>
            </w:r>
          </w:p>
        </w:tc>
        <w:tc>
          <w:tcPr>
            <w:tcW w:w="3660" w:type="dxa"/>
            <w:vAlign w:val="center"/>
          </w:tcPr>
          <w:p>
            <w:pPr>
              <w:snapToGrid w:val="0"/>
              <w:rPr>
                <w:rFonts w:ascii="新宋体" w:hAnsi="新宋体" w:eastAsia="新宋体" w:cs="新宋体"/>
              </w:rPr>
            </w:pPr>
            <w:r>
              <w:rPr>
                <w:rFonts w:hint="eastAsia" w:ascii="新宋体" w:hAnsi="新宋体" w:eastAsia="新宋体" w:cs="新宋体"/>
              </w:rPr>
              <w:t>薪资待遇：4万元/人/年；管理服务费0.096万元/人/年；（</w:t>
            </w:r>
            <w:r>
              <w:rPr>
                <w:rFonts w:hint="eastAsia" w:ascii="新宋体" w:hAnsi="新宋体" w:eastAsia="新宋体" w:cs="新宋体"/>
                <w:color w:val="000000"/>
              </w:rPr>
              <w:t>每年度薪酬待遇按照“中共成都市委成都市人民政府关于实施幸福美好生活十大工程的意见”文件“第二条、总体要求”的“第一点、居民收入水平提升工程”要求提高薪资待遇）。</w:t>
            </w:r>
          </w:p>
        </w:tc>
      </w:tr>
    </w:tbl>
    <w:p>
      <w:pPr>
        <w:pStyle w:val="13"/>
        <w:spacing w:line="400" w:lineRule="exact"/>
        <w:ind w:firstLine="482"/>
        <w:rPr>
          <w:rFonts w:ascii="新宋体" w:hAnsi="新宋体" w:eastAsia="新宋体" w:cs="新宋体"/>
          <w:b/>
        </w:rPr>
      </w:pP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2.1.2服务要求</w:t>
      </w: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（1）供应商按要求招聘劳务派遣人员到岗；</w:t>
      </w:r>
    </w:p>
    <w:p>
      <w:pPr>
        <w:spacing w:line="360" w:lineRule="auto"/>
        <w:ind w:firstLine="480" w:firstLineChars="200"/>
        <w:rPr>
          <w:rFonts w:ascii="新宋体" w:hAnsi="新宋体" w:eastAsia="新宋体" w:cs="新宋体"/>
        </w:rPr>
      </w:pPr>
      <w:r>
        <w:rPr>
          <w:rFonts w:hint="eastAsia" w:ascii="新宋体" w:hAnsi="新宋体" w:eastAsia="新宋体" w:cs="新宋体"/>
        </w:rPr>
        <w:t>（2）供应商按要求与劳务派遣人员签订劳动合同；</w:t>
      </w:r>
    </w:p>
    <w:p>
      <w:pPr>
        <w:spacing w:line="360" w:lineRule="auto"/>
        <w:ind w:firstLine="480" w:firstLineChars="200"/>
        <w:rPr>
          <w:rFonts w:ascii="新宋体" w:hAnsi="新宋体" w:eastAsia="新宋体" w:cs="新宋体"/>
        </w:rPr>
      </w:pPr>
      <w:r>
        <w:rPr>
          <w:rFonts w:hint="eastAsia" w:ascii="新宋体" w:hAnsi="新宋体" w:eastAsia="新宋体" w:cs="新宋体"/>
        </w:rPr>
        <w:t>（3）按照有关政策规定，负责派遣人员人事关系、人事档案事宜及相关人事档案材料的收集、鉴别和整理；</w:t>
      </w:r>
    </w:p>
    <w:p>
      <w:pPr>
        <w:spacing w:line="360" w:lineRule="auto"/>
        <w:ind w:firstLine="480" w:firstLineChars="200"/>
        <w:rPr>
          <w:rFonts w:ascii="新宋体" w:hAnsi="新宋体" w:eastAsia="新宋体" w:cs="新宋体"/>
        </w:rPr>
      </w:pPr>
      <w:r>
        <w:rPr>
          <w:rFonts w:hint="eastAsia" w:ascii="新宋体" w:hAnsi="新宋体" w:eastAsia="新宋体" w:cs="新宋体"/>
        </w:rPr>
        <w:t>（4）负责办理劳务派遣人员的体检、入、离职手续；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（5）根据采购单位各部门考勤代发劳务派遣人员薪资报酬及福利，代扣代缴个人所得税，社保基金，并建立薪酬发放及社会保险台账制度；</w:t>
      </w:r>
    </w:p>
    <w:p>
      <w:pPr>
        <w:spacing w:line="360" w:lineRule="auto"/>
        <w:ind w:firstLine="480" w:firstLineChars="200"/>
        <w:rPr>
          <w:rFonts w:ascii="新宋体" w:hAnsi="新宋体" w:eastAsia="新宋体" w:cs="新宋体"/>
        </w:rPr>
      </w:pPr>
      <w:r>
        <w:rPr>
          <w:rFonts w:hint="eastAsia" w:ascii="新宋体" w:hAnsi="新宋体" w:eastAsia="新宋体" w:cs="新宋体"/>
        </w:rPr>
        <w:t>（6）提供各项社会保险的政策咨询、劳动政策咨询；</w:t>
      </w:r>
    </w:p>
    <w:p>
      <w:pPr>
        <w:spacing w:line="360" w:lineRule="auto"/>
        <w:ind w:firstLine="480" w:firstLineChars="200"/>
        <w:rPr>
          <w:rFonts w:ascii="新宋体" w:hAnsi="新宋体" w:eastAsia="新宋体" w:cs="新宋体"/>
        </w:rPr>
      </w:pPr>
      <w:r>
        <w:rPr>
          <w:rFonts w:hint="eastAsia" w:ascii="新宋体" w:hAnsi="新宋体" w:eastAsia="新宋体" w:cs="新宋体"/>
        </w:rPr>
        <w:t>（7）负责办理劳务派遣人员社会保险增减员相关手续；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（8）按照工伤、生育政策要求对符合工伤、生育报销条件的，按医疗统筹报销规定范围内的医药费用，负责办理医药费报销手续。</w:t>
      </w:r>
    </w:p>
    <w:p>
      <w:pPr>
        <w:spacing w:line="360" w:lineRule="auto"/>
        <w:ind w:firstLine="480" w:firstLineChars="200"/>
        <w:rPr>
          <w:rFonts w:ascii="新宋体" w:hAnsi="新宋体" w:eastAsia="新宋体" w:cs="新宋体"/>
        </w:rPr>
      </w:pPr>
      <w:r>
        <w:rPr>
          <w:rFonts w:hint="eastAsia" w:ascii="新宋体" w:hAnsi="新宋体" w:eastAsia="新宋体" w:cs="新宋体"/>
        </w:rPr>
        <w:t>（9）负责处理派遣员工的劳动争议、解决劳资纠纷。</w:t>
      </w:r>
    </w:p>
    <w:p>
      <w:pPr>
        <w:spacing w:line="360" w:lineRule="auto"/>
        <w:ind w:firstLine="480" w:firstLineChars="200"/>
        <w:rPr>
          <w:rFonts w:ascii="新宋体" w:hAnsi="新宋体" w:eastAsia="新宋体" w:cs="新宋体"/>
        </w:rPr>
      </w:pPr>
      <w:r>
        <w:rPr>
          <w:rFonts w:hint="eastAsia" w:ascii="新宋体" w:hAnsi="新宋体" w:eastAsia="新宋体" w:cs="新宋体"/>
        </w:rPr>
        <w:t>（10）负责办理、协助用人单位在协议期间商定的其他项目。</w:t>
      </w:r>
    </w:p>
    <w:p>
      <w:pPr>
        <w:snapToGrid w:val="0"/>
        <w:spacing w:line="360" w:lineRule="auto"/>
        <w:ind w:firstLine="480" w:firstLineChars="200"/>
        <w:rPr>
          <w:rFonts w:ascii="新宋体" w:hAnsi="新宋体" w:eastAsia="新宋体" w:cs="新宋体"/>
        </w:rPr>
      </w:pPr>
      <w:r>
        <w:rPr>
          <w:rFonts w:hint="eastAsia" w:ascii="新宋体" w:hAnsi="新宋体" w:eastAsia="新宋体" w:cs="新宋体"/>
        </w:rPr>
        <w:t xml:space="preserve"> (11)如遇网格员清退，劳务派遣公司需3日内补充人员到岗。</w:t>
      </w:r>
    </w:p>
    <w:p>
      <w:pPr>
        <w:pStyle w:val="2"/>
        <w:rPr>
          <w:rFonts w:ascii="新宋体" w:hAnsi="新宋体" w:eastAsia="新宋体" w:cs="新宋体"/>
        </w:rPr>
      </w:pPr>
      <w:r>
        <w:rPr>
          <w:rFonts w:hint="eastAsia" w:ascii="新宋体" w:hAnsi="新宋体" w:eastAsia="新宋体" w:cs="新宋体"/>
        </w:rPr>
        <w:t>　　（12）负责组织专职网格员笔试、面试、政审等程序。</w:t>
      </w:r>
    </w:p>
    <w:p>
      <w:pPr>
        <w:snapToGrid w:val="0"/>
        <w:spacing w:line="360" w:lineRule="auto"/>
        <w:rPr>
          <w:rFonts w:ascii="新宋体" w:hAnsi="新宋体" w:eastAsia="新宋体" w:cs="新宋体"/>
        </w:rPr>
      </w:pPr>
      <w:r>
        <w:rPr>
          <w:rFonts w:hint="eastAsia" w:ascii="新宋体" w:hAnsi="新宋体" w:eastAsia="新宋体" w:cs="新宋体"/>
        </w:rPr>
        <w:t>2.1.3人员招聘条件</w:t>
      </w:r>
    </w:p>
    <w:p>
      <w:pPr>
        <w:spacing w:line="360" w:lineRule="auto"/>
        <w:ind w:firstLine="480" w:firstLineChars="200"/>
        <w:rPr>
          <w:rFonts w:ascii="新宋体" w:hAnsi="新宋体" w:eastAsia="新宋体" w:cs="新宋体"/>
        </w:rPr>
      </w:pPr>
      <w:r>
        <w:rPr>
          <w:rFonts w:hint="eastAsia" w:ascii="新宋体" w:hAnsi="新宋体" w:eastAsia="新宋体" w:cs="新宋体"/>
        </w:rPr>
        <w:t>原则上保留现有网格队伍，确保高度稳定，扎实有效推进网格工作持续开展。严格把好专职网格员准入关,具体条件如下：</w:t>
      </w:r>
    </w:p>
    <w:p>
      <w:pPr>
        <w:pStyle w:val="2"/>
        <w:ind w:firstLine="480" w:firstLineChars="200"/>
        <w:rPr>
          <w:rFonts w:ascii="新宋体" w:hAnsi="新宋体" w:eastAsia="新宋体" w:cs="新宋体"/>
        </w:rPr>
      </w:pPr>
      <w:r>
        <w:rPr>
          <w:rFonts w:hint="eastAsia" w:ascii="新宋体" w:hAnsi="新宋体" w:eastAsia="新宋体" w:cs="新宋体"/>
        </w:rPr>
        <w:t>1、拥护党的领导，热爱社会主义，遵纪守法，无违法犯罪记录，品德端正，责任心强，吃苦耐劳，具备良好的职业道德；</w:t>
      </w:r>
    </w:p>
    <w:p>
      <w:pPr>
        <w:pStyle w:val="2"/>
        <w:ind w:firstLine="480" w:firstLineChars="200"/>
        <w:rPr>
          <w:rFonts w:ascii="新宋体" w:hAnsi="新宋体" w:eastAsia="新宋体" w:cs="新宋体"/>
        </w:rPr>
      </w:pPr>
      <w:r>
        <w:rPr>
          <w:rFonts w:hint="eastAsia" w:ascii="新宋体" w:hAnsi="新宋体" w:eastAsia="新宋体" w:cs="新宋体"/>
        </w:rPr>
        <w:t>2、身体健康、无传染病史、无色盲、无口吃、听力正常，能胜任室外工作；</w:t>
      </w:r>
    </w:p>
    <w:p>
      <w:pPr>
        <w:pStyle w:val="2"/>
        <w:ind w:firstLine="480" w:firstLineChars="200"/>
        <w:rPr>
          <w:rFonts w:ascii="新宋体" w:hAnsi="新宋体" w:eastAsia="新宋体" w:cs="新宋体"/>
        </w:rPr>
      </w:pPr>
      <w:r>
        <w:rPr>
          <w:rFonts w:hint="eastAsia" w:ascii="新宋体" w:hAnsi="新宋体" w:eastAsia="新宋体" w:cs="新宋体"/>
        </w:rPr>
        <w:t>3、</w:t>
      </w:r>
      <w:r>
        <w:rPr>
          <w:rFonts w:hint="eastAsia" w:ascii="新宋体" w:hAnsi="新宋体" w:eastAsia="新宋体" w:cs="新宋体"/>
          <w:lang w:eastAsia="zh-CN"/>
        </w:rPr>
        <w:t>原则上</w:t>
      </w:r>
      <w:r>
        <w:rPr>
          <w:rFonts w:hint="eastAsia" w:ascii="新宋体" w:hAnsi="新宋体" w:eastAsia="新宋体" w:cs="新宋体"/>
        </w:rPr>
        <w:t>年龄20周岁及以上，45周岁以下；</w:t>
      </w:r>
    </w:p>
    <w:p>
      <w:pPr>
        <w:pStyle w:val="2"/>
        <w:ind w:firstLine="480" w:firstLineChars="200"/>
        <w:rPr>
          <w:rFonts w:ascii="新宋体" w:hAnsi="新宋体" w:eastAsia="新宋体" w:cs="新宋体"/>
        </w:rPr>
      </w:pPr>
      <w:r>
        <w:rPr>
          <w:rFonts w:hint="eastAsia" w:ascii="新宋体" w:hAnsi="新宋体" w:eastAsia="新宋体" w:cs="新宋体"/>
        </w:rPr>
        <w:t>4、高中及以上文化程度；</w:t>
      </w:r>
    </w:p>
    <w:p>
      <w:pPr>
        <w:pStyle w:val="2"/>
        <w:ind w:firstLine="480" w:firstLineChars="200"/>
        <w:rPr>
          <w:rFonts w:ascii="新宋体" w:hAnsi="新宋体" w:eastAsia="新宋体" w:cs="新宋体"/>
        </w:rPr>
      </w:pPr>
      <w:r>
        <w:rPr>
          <w:rFonts w:hint="eastAsia" w:ascii="新宋体" w:hAnsi="新宋体" w:eastAsia="新宋体" w:cs="新宋体"/>
        </w:rPr>
        <w:t>5、能熟练操作智能手机，会电脑的基本操作；</w:t>
      </w:r>
    </w:p>
    <w:p>
      <w:pPr>
        <w:pStyle w:val="2"/>
        <w:ind w:firstLine="480" w:firstLineChars="200"/>
        <w:rPr>
          <w:rFonts w:ascii="新宋体" w:hAnsi="新宋体" w:eastAsia="新宋体" w:cs="新宋体"/>
        </w:rPr>
      </w:pPr>
      <w:r>
        <w:rPr>
          <w:rFonts w:hint="eastAsia" w:ascii="新宋体" w:hAnsi="新宋体" w:eastAsia="新宋体" w:cs="新宋体"/>
        </w:rPr>
        <w:t>6、有社区工作经验、团队管理经验者优先录取；</w:t>
      </w:r>
    </w:p>
    <w:p>
      <w:pPr>
        <w:pStyle w:val="2"/>
        <w:ind w:firstLine="480" w:firstLineChars="200"/>
        <w:rPr>
          <w:rFonts w:hint="eastAsia" w:ascii="新宋体" w:hAnsi="新宋体" w:eastAsia="新宋体" w:cs="新宋体"/>
        </w:rPr>
      </w:pPr>
      <w:r>
        <w:rPr>
          <w:rFonts w:hint="eastAsia" w:ascii="新宋体" w:hAnsi="新宋体" w:eastAsia="新宋体" w:cs="新宋体"/>
        </w:rPr>
        <w:t>7、在同等条件下，优先招聘辖区内常住居民、拆迁居民、“散乱污”企业下岗职工、失业居民、复员退伍军人、党员、未就业高校毕业生中招录。</w:t>
      </w:r>
    </w:p>
    <w:p>
      <w:pPr>
        <w:pStyle w:val="2"/>
        <w:ind w:firstLine="480" w:firstLineChars="200"/>
        <w:rPr>
          <w:rFonts w:hint="eastAsia" w:ascii="新宋体" w:hAnsi="新宋体" w:eastAsia="新宋体" w:cs="新宋体"/>
          <w:lang w:eastAsia="zh-CN"/>
        </w:rPr>
      </w:pPr>
      <w:r>
        <w:rPr>
          <w:rFonts w:hint="eastAsia" w:ascii="新宋体" w:hAnsi="新宋体" w:eastAsia="新宋体" w:cs="新宋体"/>
          <w:b w:val="0"/>
          <w:bCs w:val="0"/>
          <w:lang w:val="en-US" w:eastAsia="zh-CN"/>
        </w:rPr>
        <w:t>8、</w:t>
      </w:r>
      <w:r>
        <w:rPr>
          <w:rFonts w:hint="eastAsia" w:ascii="新宋体" w:hAnsi="新宋体" w:eastAsia="新宋体" w:cs="新宋体"/>
          <w:b w:val="0"/>
          <w:bCs w:val="0"/>
          <w:lang w:eastAsia="zh-CN"/>
        </w:rPr>
        <w:t>条件优秀者可适当放宽以上条件。</w:t>
      </w:r>
    </w:p>
    <w:p>
      <w:pPr>
        <w:pStyle w:val="2"/>
        <w:ind w:firstLine="480" w:firstLineChars="200"/>
        <w:rPr>
          <w:rFonts w:hint="eastAsia" w:ascii="新宋体" w:hAnsi="新宋体" w:eastAsia="新宋体" w:cs="新宋体"/>
        </w:rPr>
      </w:pPr>
      <w:r>
        <w:rPr>
          <w:rFonts w:hint="eastAsia" w:ascii="新宋体" w:hAnsi="新宋体" w:eastAsia="新宋体" w:cs="新宋体"/>
        </w:rPr>
        <w:t>2.1.4成都东部新</w:t>
      </w:r>
      <w:bookmarkStart w:id="188" w:name="_GoBack"/>
      <w:bookmarkEnd w:id="188"/>
      <w:r>
        <w:rPr>
          <w:rFonts w:hint="eastAsia" w:ascii="新宋体" w:hAnsi="新宋体" w:eastAsia="新宋体" w:cs="新宋体"/>
        </w:rPr>
        <w:t>区全科网格员职责清单（试行）</w:t>
      </w:r>
    </w:p>
    <w:p>
      <w:pPr>
        <w:pStyle w:val="2"/>
        <w:ind w:firstLine="480" w:firstLineChars="200"/>
        <w:rPr>
          <w:rFonts w:hint="eastAsia" w:ascii="新宋体" w:hAnsi="新宋体" w:eastAsia="新宋体" w:cs="新宋体"/>
        </w:rPr>
      </w:pPr>
      <w:r>
        <w:rPr>
          <w:rFonts w:hint="eastAsia" w:ascii="新宋体" w:hAnsi="新宋体" w:eastAsia="新宋体" w:cs="新宋体"/>
        </w:rPr>
        <w:t>网格员职责是指网格员在城乡社区网格内，发现、搜集和报告问题隐患，采集人、地、事、物、组织等基础信息，排查劝调一般矛盾纠纷，宣传发动人民群众参与基层社会治理等工作任务中所需承担的责任。</w:t>
      </w:r>
    </w:p>
    <w:p>
      <w:pPr>
        <w:pStyle w:val="2"/>
        <w:ind w:firstLine="480" w:firstLineChars="200"/>
        <w:rPr>
          <w:rFonts w:hint="eastAsia" w:ascii="新宋体" w:hAnsi="新宋体" w:eastAsia="新宋体" w:cs="新宋体"/>
        </w:rPr>
      </w:pPr>
      <w:r>
        <w:rPr>
          <w:rFonts w:hint="eastAsia" w:ascii="新宋体" w:hAnsi="新宋体" w:eastAsia="新宋体" w:cs="新宋体"/>
        </w:rPr>
        <w:t>一、四类基本职责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（一）发现搜集报告问题隐患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1．社会治安类：发现搜集报告治安防控薄弱环节、治安突出问题、刑事（治安）案件线索、危害国家安全线索。</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2．环境保护类：发现搜集报告水体污染、非法排污、空气污染、噪音扰民、盗采河道沙石、饮用水源保护区设施破坏或损毁及其它环境污染问题。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3．劳动保障类：协助发现搜集报告劳资纠纷问题、非法使用童工线索。</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4．城市管理类：协助发现搜集报告暴露垃圾、出摊占道、流动商贩、道路破损、市政设施损坏、渣土洒漏、施工扰民、书写张贴非法小广告及其它城市管理问题。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5．文化出版类：协助发现搜集报告非法出版、印制、销售等活动，以及非法出版物和信息，黑网吧、色情演出、流动搭台（大蓬车）非法演出等问题。</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6．安全生产类：协助发现搜集报告非法生产、经营烟花爆竹和危险化学品等可见明显安全问题隐患；协助发现搜集报告公共场所无安全警示标志、无应急通道等可见明显安全问题隐患。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7．食品药品安全类：协助发现搜集报告销售无生产日期、无保质期、过保质期等食品药品生产经营可见明显问题隐患，及时发现报告食品药品安全突发事件。</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8．教育监管类：协助发现报告民办教育培训机构违规办学、未亮证办学，以及未在显著位置公布收费项目和标准、教师基本信息、退费程序和标准问题；协助发现报告民办教育培训机构在居民住宅、半地下室、地下室以及其它存在安全隐患的场所办学，以及办学场所无应急照明、疏散标识等可见明显安全问题隐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9．其它公共安全类：协助发现搜集报告消防安全、交通安全等其它公共安全领域可见明显问题隐患，协助开展隐患排查整改。</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10．社情民意类：协助从居民当中了解收集社情民意，排查、报告不安定因素。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（二）采集基础信息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1．社会治安类：协助采集“一标三实”和特殊人群信息，协助做好流动人口和特殊人群服务管理，及时报告特殊人群异常信息。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2．环境保护类：协助采集环保信息。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3．劳动保障类：协助采集劳动用工信息。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4．组织场所类：协助采集经济组织、社会组织信息和公共安全重点场所信息。</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（三）排查劝调一般矛盾纠纷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1．排查报告类：协助排查报告劳动保障、征地拆迁、环境保护、企业改制、城市管理、安全生产、食品药品安全、教育等领域矛盾纠纷。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2．一般劝调类：协助及时劝调一般矛盾纠纷。</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（四）宣传发动人民群众</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1．政策法规类：协助宣传国家政策法律法规、村规民约，引导群众遵纪守法，倡导文明社会风尚。</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2．社会治安类：协助开展社会治安、消防安全、道路交通安全知识和政策法规宣传，发动群众参与平安创建。</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3．环境保护类：协助开展环境保护相关法律法规宣传。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4．劳动保障类：协助开展人力资源社会保障相关法律法规宣传。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5．城市管理类：协助开展城市管理相关政策法规宣传。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6．文化出版类：协助发动群众参与“扫黄打非”工作。</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7．安全生产类：协助开展安全生产科普知识和法律法规宣传。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8．食品药品安全类：协助开展食品药品安全科普知识和法律法规宣传。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9．教育监管类：协助开展教育监管相关法律法规和政策宣传。</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二、补充职责</w:t>
      </w:r>
    </w:p>
    <w:p>
      <w:pPr>
        <w:pStyle w:val="13"/>
        <w:snapToGrid w:val="0"/>
        <w:spacing w:line="360" w:lineRule="auto"/>
        <w:ind w:firstLine="480" w:firstLineChars="0"/>
        <w:rPr>
          <w:rFonts w:ascii="新宋体" w:hAnsi="新宋体" w:eastAsia="新宋体" w:cs="新宋体"/>
        </w:rPr>
      </w:pPr>
      <w:r>
        <w:rPr>
          <w:rFonts w:hint="eastAsia" w:ascii="新宋体" w:hAnsi="新宋体" w:eastAsia="新宋体" w:cs="新宋体"/>
        </w:rPr>
        <w:t>严格执行网格化服务管理事项准入，推行购买服务制度。网格员职责整合后，相关职能部门根据工作实际，需要在“四类基本职责”外新增工作事项，适宜由网格员承担的阶段性、临时性任务，可纳入购买网格员服务项目。按照“一事一议”原则，由相关职能部门报请应急安全管理局审核，并提供相应经费，负责网格员业务培训、指导。</w:t>
      </w:r>
    </w:p>
    <w:p>
      <w:pPr>
        <w:pStyle w:val="13"/>
        <w:snapToGrid w:val="0"/>
        <w:spacing w:line="360" w:lineRule="auto"/>
        <w:ind w:firstLine="0" w:firstLineChars="0"/>
        <w:rPr>
          <w:rFonts w:ascii="新宋体" w:hAnsi="新宋体" w:eastAsia="新宋体" w:cs="新宋体"/>
          <w:b/>
        </w:rPr>
      </w:pPr>
      <w:r>
        <w:rPr>
          <w:rFonts w:hint="eastAsia" w:ascii="宋体" w:hAnsi="宋体" w:eastAsia="宋体"/>
          <w:bCs/>
          <w:sz w:val="21"/>
          <w:szCs w:val="21"/>
        </w:rPr>
        <w:t>★</w:t>
      </w:r>
      <w:r>
        <w:rPr>
          <w:rFonts w:hint="eastAsia" w:ascii="新宋体" w:hAnsi="新宋体" w:eastAsia="新宋体" w:cs="新宋体"/>
          <w:b/>
        </w:rPr>
        <w:t>3、商务要求</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1、服务期限：三年，合同一年一签。</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2、付款方式： 固定人头费、劳务派遣服务费按季度支付；具体结算方式在合同里约定 ；中标人需按时向采购人出具正规发票及费用结算明细单。</w:t>
      </w:r>
    </w:p>
    <w:p>
      <w:pPr>
        <w:pStyle w:val="13"/>
        <w:snapToGrid w:val="0"/>
        <w:spacing w:line="360" w:lineRule="auto"/>
        <w:ind w:firstLine="360" w:firstLineChars="150"/>
        <w:rPr>
          <w:rFonts w:ascii="新宋体" w:hAnsi="新宋体" w:eastAsia="新宋体" w:cs="新宋体"/>
        </w:rPr>
      </w:pPr>
      <w:r>
        <w:rPr>
          <w:rFonts w:hint="eastAsia" w:ascii="新宋体" w:hAnsi="新宋体" w:eastAsia="新宋体" w:cs="新宋体"/>
        </w:rPr>
        <w:t>3、服务地点：采购人指定地点（成都东部新区高明镇人民政府辖区内）。</w:t>
      </w:r>
    </w:p>
    <w:p>
      <w:pPr>
        <w:pStyle w:val="13"/>
        <w:snapToGrid w:val="0"/>
        <w:spacing w:line="360" w:lineRule="auto"/>
        <w:ind w:firstLine="0" w:firstLineChars="0"/>
        <w:rPr>
          <w:rFonts w:ascii="新宋体" w:hAnsi="新宋体" w:eastAsia="新宋体" w:cs="新宋体"/>
        </w:rPr>
      </w:pPr>
      <w:r>
        <w:rPr>
          <w:rFonts w:hint="eastAsia" w:ascii="新宋体" w:hAnsi="新宋体" w:eastAsia="新宋体" w:cs="新宋体"/>
        </w:rPr>
        <w:t>　 ４、其他要求</w:t>
      </w:r>
    </w:p>
    <w:p>
      <w:pPr>
        <w:pStyle w:val="13"/>
        <w:snapToGrid w:val="0"/>
        <w:spacing w:line="360" w:lineRule="auto"/>
        <w:ind w:firstLine="0" w:firstLineChars="0"/>
        <w:rPr>
          <w:rFonts w:ascii="新宋体" w:hAnsi="新宋体" w:eastAsia="新宋体" w:cs="新宋体"/>
        </w:rPr>
      </w:pPr>
      <w:r>
        <w:rPr>
          <w:rFonts w:hint="eastAsia" w:ascii="新宋体" w:hAnsi="新宋体" w:eastAsia="新宋体" w:cs="新宋体"/>
        </w:rPr>
        <w:t>　　（1）合同期限内有派遣人员离职应及时招聘到岗；且不得收取招聘费用。</w:t>
      </w:r>
    </w:p>
    <w:p>
      <w:pPr>
        <w:pStyle w:val="13"/>
        <w:snapToGrid w:val="0"/>
        <w:spacing w:line="360" w:lineRule="auto"/>
        <w:ind w:firstLine="0" w:firstLineChars="0"/>
        <w:rPr>
          <w:rFonts w:ascii="新宋体" w:hAnsi="新宋体" w:eastAsia="新宋体" w:cs="新宋体"/>
        </w:rPr>
      </w:pPr>
      <w:r>
        <w:rPr>
          <w:rFonts w:hint="eastAsia" w:ascii="新宋体" w:hAnsi="新宋体" w:eastAsia="新宋体" w:cs="新宋体"/>
        </w:rPr>
        <w:t>　  （2）固定人头经费为4.0万元/人/年（每年度薪酬待遇按照“中共成都市委成都市人民政府关于实施幸福美好生活十大工程的意见”文件“第二条、总体要求”的“第一点、居民收入水平提升工程”要求提高薪资待遇。）；应按照采购人要求据实发放。</w:t>
      </w:r>
    </w:p>
    <w:p>
      <w:pPr>
        <w:pStyle w:val="13"/>
        <w:snapToGrid w:val="0"/>
        <w:spacing w:line="360" w:lineRule="auto"/>
        <w:ind w:firstLine="0" w:firstLineChars="0"/>
        <w:rPr>
          <w:rFonts w:ascii="新宋体" w:hAnsi="新宋体" w:eastAsia="新宋体" w:cs="新宋体"/>
        </w:rPr>
      </w:pPr>
      <w:r>
        <w:rPr>
          <w:rFonts w:ascii="新宋体" w:hAnsi="新宋体" w:eastAsia="新宋体" w:cs="新宋体"/>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第六章</w:t>
      </w:r>
      <w:bookmarkEnd w:id="53"/>
      <w:r>
        <w:rPr>
          <w:rFonts w:hint="eastAsia" w:asciiTheme="minorEastAsia" w:hAnsiTheme="minorEastAsia" w:eastAsiaTheme="minorEastAsia"/>
        </w:rPr>
        <w:t>采购项目中不可实质性变动的要求</w:t>
      </w:r>
      <w:bookmarkEnd w:id="54"/>
      <w:bookmarkEnd w:id="55"/>
      <w:bookmarkEnd w:id="56"/>
    </w:p>
    <w:p>
      <w:pPr>
        <w:pStyle w:val="27"/>
        <w:spacing w:line="360" w:lineRule="auto"/>
        <w:rPr>
          <w:rFonts w:ascii="宋体" w:hAnsi="宋体" w:eastAsia="宋体"/>
          <w:sz w:val="21"/>
          <w:szCs w:val="21"/>
        </w:rPr>
      </w:pPr>
      <w:bookmarkStart w:id="62" w:name="_Toc24017298"/>
      <w:bookmarkStart w:id="63" w:name="_Toc11835056"/>
      <w:r>
        <w:rPr>
          <w:rFonts w:hint="eastAsia" w:ascii="宋体" w:hAnsi="宋体" w:eastAsia="宋体"/>
          <w:sz w:val="21"/>
          <w:szCs w:val="21"/>
        </w:rPr>
        <w:t>一、技术要求</w:t>
      </w:r>
      <w:bookmarkEnd w:id="62"/>
      <w:bookmarkEnd w:id="63"/>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4" w:name="_Toc11835057"/>
      <w:bookmarkStart w:id="65" w:name="_Toc24017299"/>
      <w:r>
        <w:rPr>
          <w:rFonts w:hint="eastAsia" w:ascii="宋体" w:hAnsi="宋体" w:eastAsia="宋体"/>
          <w:sz w:val="21"/>
          <w:szCs w:val="21"/>
        </w:rPr>
        <w:t>二、服务要求</w:t>
      </w:r>
      <w:bookmarkEnd w:id="64"/>
      <w:bookmarkEnd w:id="65"/>
    </w:p>
    <w:p>
      <w:pPr>
        <w:pStyle w:val="27"/>
        <w:spacing w:line="360" w:lineRule="auto"/>
        <w:ind w:firstLine="420" w:firstLineChars="200"/>
        <w:rPr>
          <w:rFonts w:ascii="宋体" w:hAnsi="宋体" w:eastAsia="宋体"/>
          <w:b w:val="0"/>
          <w:sz w:val="21"/>
          <w:szCs w:val="21"/>
        </w:rPr>
      </w:pPr>
      <w:bookmarkStart w:id="66" w:name="_Toc24017300"/>
      <w:bookmarkStart w:id="67" w:name="_Toc11835058"/>
      <w:r>
        <w:rPr>
          <w:rFonts w:hint="eastAsia" w:ascii="宋体" w:hAnsi="宋体" w:eastAsia="宋体"/>
          <w:b w:val="0"/>
          <w:sz w:val="21"/>
          <w:szCs w:val="21"/>
        </w:rPr>
        <w:t>无</w:t>
      </w:r>
    </w:p>
    <w:p>
      <w:pPr>
        <w:pStyle w:val="27"/>
        <w:spacing w:line="360" w:lineRule="auto"/>
        <w:rPr>
          <w:rFonts w:ascii="宋体" w:hAnsi="宋体" w:eastAsia="宋体"/>
          <w:sz w:val="21"/>
          <w:szCs w:val="21"/>
        </w:rPr>
      </w:pPr>
      <w:r>
        <w:rPr>
          <w:rFonts w:hint="eastAsia" w:ascii="宋体" w:hAnsi="宋体" w:eastAsia="宋体"/>
          <w:sz w:val="21"/>
          <w:szCs w:val="21"/>
        </w:rPr>
        <w:t>三、政府采购合同内容条款要求</w:t>
      </w:r>
      <w:bookmarkEnd w:id="66"/>
      <w:bookmarkEnd w:id="67"/>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8" w:name="_Toc24017301"/>
      <w:bookmarkStart w:id="69" w:name="_Toc11835059"/>
      <w:r>
        <w:rPr>
          <w:rFonts w:hint="eastAsia" w:ascii="宋体" w:hAnsi="宋体" w:eastAsia="宋体"/>
          <w:sz w:val="21"/>
          <w:szCs w:val="21"/>
        </w:rPr>
        <w:t>四、履约能力要求</w:t>
      </w:r>
      <w:bookmarkEnd w:id="68"/>
      <w:bookmarkEnd w:id="69"/>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70" w:name="_Toc11835060"/>
      <w:bookmarkStart w:id="71" w:name="_Toc24017302"/>
      <w:r>
        <w:rPr>
          <w:rFonts w:hint="eastAsia" w:ascii="宋体" w:hAnsi="宋体" w:eastAsia="宋体"/>
          <w:sz w:val="21"/>
          <w:szCs w:val="21"/>
        </w:rPr>
        <w:t>五、其他商务要求</w:t>
      </w:r>
      <w:bookmarkEnd w:id="70"/>
      <w:bookmarkEnd w:id="71"/>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加“★”参数。</w:t>
      </w:r>
    </w:p>
    <w:p>
      <w:pPr>
        <w:pStyle w:val="27"/>
        <w:spacing w:line="360" w:lineRule="auto"/>
        <w:rPr>
          <w:rFonts w:ascii="宋体" w:hAnsi="宋体" w:eastAsia="宋体"/>
          <w:sz w:val="21"/>
          <w:szCs w:val="21"/>
        </w:rPr>
      </w:pPr>
      <w:bookmarkStart w:id="72" w:name="_Toc24017303"/>
      <w:bookmarkStart w:id="73" w:name="_Toc11835061"/>
      <w:r>
        <w:rPr>
          <w:rFonts w:hint="eastAsia" w:ascii="宋体" w:hAnsi="宋体" w:eastAsia="宋体"/>
          <w:sz w:val="21"/>
          <w:szCs w:val="21"/>
        </w:rPr>
        <w:t>六、政府采购政策要求</w:t>
      </w:r>
      <w:bookmarkEnd w:id="72"/>
      <w:bookmarkEnd w:id="73"/>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中小企业、监狱企业、残疾人福利性单位、节能产品、环保标志产品、无线局域网产品加分或优先采购、扶持少数民族和不发达地区、支持脱贫攻坚。</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4" w:name="_Toc24017304"/>
      <w:bookmarkStart w:id="75" w:name="_Toc11835062"/>
      <w:bookmarkStart w:id="76" w:name="_Toc44237530"/>
      <w:r>
        <w:rPr>
          <w:rFonts w:hint="eastAsia" w:asciiTheme="minorEastAsia" w:hAnsiTheme="minorEastAsia" w:eastAsiaTheme="minorEastAsia"/>
        </w:rPr>
        <w:t>第七章磋商内容、磋商过程中可实质性变动的内容</w:t>
      </w:r>
      <w:bookmarkEnd w:id="74"/>
      <w:bookmarkEnd w:id="75"/>
      <w:bookmarkEnd w:id="76"/>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在磋商过程中，磋商小组可根据磋商文件和磋商情况实质性变动采购需求中的技术、服务要求及合同草案条款，但不得变动磋商文件中的其他内容。实质性变动的内容，须经采购人代表确认。</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本章内容以磋商现场书面文件为准，现场记录的书面材料为磋商文件的有效组成部分。</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7" w:name="_Toc44237531"/>
      <w:bookmarkStart w:id="78" w:name="_Toc11835063"/>
      <w:bookmarkStart w:id="79" w:name="_Toc505697536"/>
      <w:bookmarkStart w:id="80" w:name="_Toc24017305"/>
      <w:r>
        <w:rPr>
          <w:rFonts w:hint="eastAsia" w:asciiTheme="minorEastAsia" w:hAnsiTheme="minorEastAsia" w:eastAsiaTheme="minorEastAsia"/>
          <w:bCs w:val="0"/>
        </w:rPr>
        <w:t>第八章响应文件格式</w:t>
      </w:r>
      <w:bookmarkEnd w:id="77"/>
      <w:bookmarkEnd w:id="78"/>
      <w:bookmarkEnd w:id="79"/>
      <w:bookmarkEnd w:id="80"/>
    </w:p>
    <w:p>
      <w:pPr>
        <w:spacing w:line="360" w:lineRule="auto"/>
        <w:ind w:firstLine="420" w:firstLineChars="200"/>
        <w:rPr>
          <w:rFonts w:ascii="宋体" w:hAnsi="宋体" w:eastAsia="宋体"/>
          <w:sz w:val="21"/>
          <w:szCs w:val="21"/>
        </w:rPr>
      </w:pPr>
      <w:r>
        <w:rPr>
          <w:rFonts w:hint="eastAsia" w:ascii="宋体" w:hAnsi="宋体" w:eastAsia="宋体"/>
          <w:sz w:val="21"/>
          <w:szCs w:val="21"/>
        </w:rPr>
        <w:t>一、本章所制响应文件格式，仅作为帮助供应商制作响应文件、简化供应商响应文件制作程序使用，一律不具有强制性。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二、本章所制响应文件格式有关表格中的备注栏，由供应商根据自身响应情况作解释性说明，不作为必填项。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三、本章所制响应文件格式中需要填写的相关内容事项，可能会与本采购项目无关，在不改变响应文件原义、不影响本项目采购需求的情况下，供应商可以不予填写。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本章所制响应文件格式中涉及“法定代表人”的描述，在非法人机构参与本项目情况下可修改为“负责人”，在自然人参与本项目情况下可修改为“本人”，本章所制响应文件格式中涉及“加盖供应商公章”的描述在自然人参与的情况下则为本人或响应代表签字）。</w:t>
      </w:r>
    </w:p>
    <w:p>
      <w:pPr>
        <w:spacing w:line="360" w:lineRule="auto"/>
        <w:rPr>
          <w:rFonts w:asciiTheme="minorEastAsia" w:hAnsiTheme="minorEastAsia"/>
          <w:b/>
        </w:rPr>
      </w:pPr>
      <w:r>
        <w:rPr>
          <w:rFonts w:asciiTheme="minorEastAsia" w:hAnsiTheme="minorEastAsia"/>
          <w:b/>
        </w:rPr>
        <w:br w:type="page"/>
      </w:r>
    </w:p>
    <w:p>
      <w:pPr>
        <w:pStyle w:val="27"/>
        <w:spacing w:line="360" w:lineRule="auto"/>
        <w:rPr>
          <w:rFonts w:asciiTheme="minorEastAsia" w:hAnsiTheme="minorEastAsia" w:eastAsiaTheme="minorEastAsia"/>
        </w:rPr>
      </w:pPr>
      <w:bookmarkStart w:id="81" w:name="_Toc11835064"/>
      <w:bookmarkStart w:id="82" w:name="_Toc24017306"/>
      <w:r>
        <w:rPr>
          <w:rFonts w:hint="eastAsia" w:asciiTheme="minorEastAsia" w:hAnsiTheme="minorEastAsia" w:eastAsiaTheme="minorEastAsia"/>
        </w:rPr>
        <w:t>第一册资格性响应文件</w:t>
      </w:r>
      <w:bookmarkEnd w:id="81"/>
      <w:bookmarkEnd w:id="82"/>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rPr>
        <w:pict>
          <v:shape id="_x0000_s1026" o:spid="_x0000_s1026" o:spt="202" type="#_x0000_t202" style="position:absolute;left:0pt;margin-left:319.35pt;margin-top:13.35pt;height:40.55pt;width:89.55pt;z-index:251660288;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QdI0gkUCAACVBAAADgAAAGRycy9lMm9Eb2MueG1srVTN&#10;bhMxEL4j8Q6W73STNOlP1E1VWgUhlR+p8ACO15u1sD1m7GS3PAC8AScu3HmuPAdj77aEAlIP7GHl&#10;2Rl/M/N9M3t23lnDtgqDBlfy8cGIM+UkVNqtS/7+3fLZCWchClcJA06V/FYFfr54+uSs9XM1gQZM&#10;pZARiAvz1pe8idHPiyLIRlkRDsArR84a0IpIJq6LCkVL6NYUk9HoqGgBK48gVQj09ap38gERHwMI&#10;da2lugK5scrFHhWVEZFaCo32gS9ytXWtZHxT10FFZkpOncb8piR0XqV3sTgT8zUK32g5lCAeU8KD&#10;nqzQjpLeQ12JKNgG9R9QVkuEAHU8kGCLvpHMCHUxHj3g5qYRXuVeiOrg70kP/w9Wvt6+Raarkh9x&#10;5oQlwXdfv+y+/dh9/8wOEz2tD3OKuvEUF7vn0NHQ5FaDvwb5ITAHl41wa3WBCG2jREXljdPNYu9q&#10;jxMSyKp9BRXlEZsIGair0SbuiA1G6CTN7b00qotMppTjw+PJyYwzSb7ZeHpK55RCzO9uewzxhQLL&#10;0qHkSNJndLG9DrEPvQtJyQIYXS21MdnA9erSINsKGpNlfgb038KMY23JT2eTWU/APyFG+fkbhNWR&#10;tsdoW/KT/SDjUh0qT+xQb2IvEdZTF7tVN6ixguqWeETop5l2mQ4N4CfOWprkkoePG4GKM/PSkRan&#10;4+k0jX42prPjCRm471nte4STBFXyyFl/vIz9umw86nVDme7UvyD9ljpTm0rtqxpUp2nN4gybldZh&#10;385Rv/4m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QdI0gk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（资格响应部分）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w:t>
      </w:r>
    </w:p>
    <w:p>
      <w:pPr>
        <w:spacing w:line="360" w:lineRule="auto"/>
        <w:rPr>
          <w:rFonts w:asciiTheme="minorEastAsia" w:hAnsiTheme="minorEastAsia"/>
          <w:b/>
          <w:sz w:val="32"/>
          <w:szCs w:val="32"/>
        </w:rPr>
      </w:pPr>
    </w:p>
    <w:p>
      <w:pPr>
        <w:spacing w:line="360" w:lineRule="auto"/>
        <w:rPr>
          <w:rFonts w:ascii="仿宋" w:hAnsi="仿宋" w:eastAsia="仿宋"/>
          <w:sz w:val="20"/>
          <w:szCs w:val="20"/>
        </w:rPr>
      </w:pPr>
      <w:r>
        <w:rPr>
          <w:rFonts w:hint="eastAsia" w:ascii="仿宋" w:hAnsi="仿宋" w:eastAsia="仿宋"/>
          <w:sz w:val="20"/>
          <w:szCs w:val="20"/>
        </w:rPr>
        <w:t>注：供应商可参照该格式制作响应文件封面，响应文件封面应包括项目名称、采购编号、供应商人名称、分包号（如有分包）、注明为资格审查部分以及“正本”或“副本”字样。</w:t>
      </w:r>
    </w:p>
    <w:p>
      <w:pPr>
        <w:spacing w:line="360" w:lineRule="auto"/>
        <w:rPr>
          <w:rFonts w:asciiTheme="minorEastAsia" w:hAnsiTheme="minorEastAsia"/>
          <w:sz w:val="20"/>
          <w:szCs w:val="20"/>
        </w:rPr>
      </w:pPr>
      <w:r>
        <w:rPr>
          <w:rFonts w:asciiTheme="minorEastAsia" w:hAnsiTheme="minorEastAsia"/>
          <w:sz w:val="20"/>
          <w:szCs w:val="20"/>
        </w:rPr>
        <w:br w:type="page"/>
      </w:r>
    </w:p>
    <w:p>
      <w:pPr>
        <w:pStyle w:val="5"/>
        <w:keepNext w:val="0"/>
        <w:tabs>
          <w:tab w:val="left" w:pos="709"/>
        </w:tabs>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一、声明函（格式）</w:t>
      </w:r>
    </w:p>
    <w:p>
      <w:pPr>
        <w:spacing w:line="360" w:lineRule="auto"/>
        <w:rPr>
          <w:rFonts w:asciiTheme="minorEastAsia" w:hAnsiTheme="minorEastAsia"/>
          <w:sz w:val="21"/>
          <w:szCs w:val="21"/>
        </w:rPr>
      </w:pPr>
      <w:bookmarkStart w:id="83" w:name="_Toc238581783"/>
      <w:r>
        <w:rPr>
          <w:rFonts w:hint="eastAsia" w:asciiTheme="minorEastAsia" w:hAnsiTheme="minorEastAsia"/>
          <w:sz w:val="21"/>
          <w:szCs w:val="21"/>
        </w:rPr>
        <w:t>四川全诚招标代理有限公司（采购代理机构名称）</w:t>
      </w:r>
    </w:p>
    <w:p>
      <w:pPr>
        <w:spacing w:line="360" w:lineRule="auto"/>
        <w:ind w:firstLine="424" w:firstLineChars="202"/>
        <w:rPr>
          <w:rFonts w:asciiTheme="minorEastAsia" w:hAnsiTheme="minorEastAsia"/>
          <w:sz w:val="21"/>
          <w:szCs w:val="21"/>
        </w:rPr>
      </w:pPr>
      <w:r>
        <w:rPr>
          <w:rFonts w:hint="eastAsia" w:asciiTheme="minorEastAsia" w:hAnsiTheme="minorEastAsia"/>
          <w:sz w:val="21"/>
          <w:szCs w:val="21"/>
        </w:rPr>
        <w:t>1、关于我方对参与采购项目（项目编号：</w:t>
      </w:r>
      <w:r>
        <w:rPr>
          <w:rFonts w:hint="eastAsia" w:asciiTheme="minorEastAsia" w:hAnsiTheme="minorEastAsia"/>
          <w:b/>
          <w:sz w:val="21"/>
          <w:szCs w:val="21"/>
        </w:rPr>
        <w:t>）</w:t>
      </w:r>
      <w:r>
        <w:rPr>
          <w:rFonts w:hint="eastAsia" w:asciiTheme="minorEastAsia" w:hAnsiTheme="minorEastAsia"/>
          <w:sz w:val="21"/>
          <w:szCs w:val="21"/>
        </w:rPr>
        <w:t>的竞争性磋商，本签字人愿意参加磋商，我方将按磋商文件的规定履行合同责任和义务</w:t>
      </w:r>
      <w:bookmarkEnd w:id="83"/>
      <w:r>
        <w:rPr>
          <w:rFonts w:hint="eastAsia" w:asciiTheme="minorEastAsia" w:hAnsiTheme="minorEastAsia"/>
          <w:sz w:val="21"/>
          <w:szCs w:val="21"/>
        </w:rPr>
        <w:t>。</w:t>
      </w:r>
    </w:p>
    <w:p>
      <w:pPr>
        <w:pStyle w:val="16"/>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w:t>
      </w:r>
      <w:r>
        <w:rPr>
          <w:rFonts w:hint="eastAsia" w:asciiTheme="minorEastAsia" w:hAnsiTheme="minorEastAsia"/>
          <w:bCs/>
          <w:sz w:val="21"/>
          <w:szCs w:val="21"/>
        </w:rPr>
        <w:t>我方愿意提供贵单位可能另外要求的，与竞争性磋商有关的文件资料，并保证我方已提供和将要提供的文件资料是真实、准确的</w:t>
      </w:r>
      <w:r>
        <w:rPr>
          <w:rFonts w:hint="eastAsia" w:asciiTheme="minorEastAsia" w:hAnsiTheme="minorEastAsia"/>
          <w:sz w:val="21"/>
          <w:szCs w:val="21"/>
        </w:rPr>
        <w:t>，并对此承担一切法律后果。</w:t>
      </w:r>
    </w:p>
    <w:p>
      <w:pPr>
        <w:spacing w:line="360" w:lineRule="auto"/>
        <w:ind w:firstLine="424" w:firstLineChars="202"/>
        <w:rPr>
          <w:rFonts w:asciiTheme="minorEastAsia" w:hAnsiTheme="minorEastAsia"/>
          <w:sz w:val="21"/>
          <w:szCs w:val="21"/>
        </w:rPr>
      </w:pPr>
      <w:r>
        <w:rPr>
          <w:rFonts w:hint="eastAsia" w:cs="宋体" w:asciiTheme="minorEastAsia" w:hAnsiTheme="minorEastAsia"/>
          <w:bCs/>
          <w:sz w:val="21"/>
          <w:szCs w:val="21"/>
        </w:rPr>
        <w:t>3、与本次竞争性磋商采购有关的一切正式往来信函请寄：</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地址：</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电话：</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传真：</w:t>
      </w:r>
    </w:p>
    <w:p>
      <w:pPr>
        <w:tabs>
          <w:tab w:val="left" w:pos="450"/>
        </w:tabs>
        <w:autoSpaceDE w:val="0"/>
        <w:autoSpaceDN w:val="0"/>
        <w:adjustRightInd w:val="0"/>
        <w:spacing w:line="360" w:lineRule="auto"/>
        <w:ind w:firstLine="424" w:firstLineChars="202"/>
        <w:rPr>
          <w:rFonts w:cs="宋体"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邮政编码：</w:t>
      </w:r>
    </w:p>
    <w:p>
      <w:pPr>
        <w:spacing w:line="360" w:lineRule="auto"/>
        <w:ind w:firstLine="403" w:firstLineChars="192"/>
        <w:rPr>
          <w:rFonts w:cs="宋体" w:asciiTheme="minorEastAsia" w:hAnsiTheme="minorEastAsia"/>
          <w:sz w:val="21"/>
          <w:szCs w:val="21"/>
        </w:rPr>
      </w:pPr>
    </w:p>
    <w:p>
      <w:pPr>
        <w:spacing w:line="360" w:lineRule="auto"/>
        <w:rPr>
          <w:rFonts w:cs="宋体" w:asciiTheme="minorEastAsia" w:hAnsiTheme="minorEastAsia"/>
          <w:sz w:val="21"/>
          <w:szCs w:val="21"/>
        </w:rPr>
      </w:pPr>
      <w:r>
        <w:rPr>
          <w:rFonts w:hint="eastAsia" w:cs="宋体" w:asciiTheme="minorEastAsia" w:hAnsiTheme="minorEastAsia"/>
          <w:sz w:val="21"/>
          <w:szCs w:val="21"/>
        </w:rPr>
        <w:t>供应商名称：（加盖公章）</w:t>
      </w:r>
    </w:p>
    <w:p>
      <w:pPr>
        <w:spacing w:line="360" w:lineRule="auto"/>
        <w:rPr>
          <w:rFonts w:cs="宋体" w:asciiTheme="minorEastAsia" w:hAnsiTheme="minorEastAsia"/>
          <w:sz w:val="21"/>
          <w:szCs w:val="21"/>
          <w:u w:val="single"/>
        </w:rPr>
      </w:pPr>
      <w:r>
        <w:rPr>
          <w:rFonts w:hint="eastAsia" w:cs="宋体" w:asciiTheme="minorEastAsia" w:hAnsiTheme="minorEastAsia"/>
          <w:sz w:val="21"/>
          <w:szCs w:val="21"/>
        </w:rPr>
        <w:t>法定代表人或代理人：</w:t>
      </w:r>
      <w:r>
        <w:rPr>
          <w:rFonts w:hint="eastAsia" w:asciiTheme="minorEastAsia" w:hAnsiTheme="minorEastAsia"/>
          <w:sz w:val="21"/>
          <w:szCs w:val="21"/>
        </w:rPr>
        <w:t>（签字或加盖个人名章）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二、法定代表人身份证明书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tabs>
          <w:tab w:val="left" w:pos="6300"/>
        </w:tabs>
        <w:wordWrap w:val="0"/>
        <w:spacing w:line="360" w:lineRule="auto"/>
        <w:ind w:firstLine="573"/>
        <w:rPr>
          <w:rFonts w:asciiTheme="minorEastAsia" w:hAnsiTheme="minorEastAsia"/>
          <w:sz w:val="21"/>
          <w:szCs w:val="21"/>
        </w:rPr>
      </w:pPr>
      <w:r>
        <w:rPr>
          <w:rFonts w:hint="eastAsia" w:asciiTheme="minorEastAsia" w:hAnsiTheme="minorEastAsia"/>
          <w:sz w:val="21"/>
          <w:szCs w:val="21"/>
          <w:u w:val="single"/>
        </w:rPr>
        <w:t>（法定代表人姓名）</w:t>
      </w:r>
      <w:r>
        <w:rPr>
          <w:rFonts w:hint="eastAsia" w:asciiTheme="minorEastAsia" w:hAnsiTheme="minorEastAsia"/>
          <w:sz w:val="21"/>
          <w:szCs w:val="21"/>
        </w:rPr>
        <w:t>在</w:t>
      </w:r>
      <w:r>
        <w:rPr>
          <w:rFonts w:hint="eastAsia" w:asciiTheme="minorEastAsia" w:hAnsiTheme="minorEastAsia"/>
          <w:sz w:val="21"/>
          <w:szCs w:val="21"/>
          <w:u w:val="single"/>
        </w:rPr>
        <w:t>（供应商名称）</w:t>
      </w:r>
      <w:r>
        <w:rPr>
          <w:rFonts w:hint="eastAsia" w:asciiTheme="minorEastAsia" w:hAnsiTheme="minorEastAsia"/>
          <w:sz w:val="21"/>
          <w:szCs w:val="21"/>
        </w:rPr>
        <w:t>处任</w:t>
      </w:r>
      <w:r>
        <w:rPr>
          <w:rFonts w:hint="eastAsia" w:asciiTheme="minorEastAsia" w:hAnsiTheme="minorEastAsia"/>
          <w:sz w:val="21"/>
          <w:szCs w:val="21"/>
          <w:u w:val="single"/>
        </w:rPr>
        <w:t>（职务名称）</w:t>
      </w:r>
      <w:r>
        <w:rPr>
          <w:rFonts w:hint="eastAsia" w:asciiTheme="minorEastAsia" w:hAnsiTheme="minorEastAsia"/>
          <w:sz w:val="21"/>
          <w:szCs w:val="21"/>
        </w:rPr>
        <w:t>职务，是</w:t>
      </w:r>
      <w:r>
        <w:rPr>
          <w:rFonts w:hint="eastAsia" w:asciiTheme="minorEastAsia" w:hAnsiTheme="minorEastAsia"/>
          <w:sz w:val="21"/>
          <w:szCs w:val="21"/>
          <w:u w:val="single"/>
        </w:rPr>
        <w:t>（供应商名称）</w:t>
      </w:r>
      <w:r>
        <w:rPr>
          <w:rFonts w:hint="eastAsia" w:asciiTheme="minorEastAsia" w:hAnsiTheme="minorEastAsia"/>
          <w:sz w:val="21"/>
          <w:szCs w:val="21"/>
        </w:rPr>
        <w:t>的法定代表人。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tabs>
          <w:tab w:val="left" w:pos="6300"/>
        </w:tabs>
        <w:snapToGrid w:val="0"/>
        <w:rPr>
          <w:b/>
          <w:sz w:val="21"/>
        </w:rPr>
      </w:pPr>
    </w:p>
    <w:p>
      <w:pPr>
        <w:snapToGrid w:val="0"/>
        <w:spacing w:line="360" w:lineRule="auto"/>
        <w:rPr>
          <w:rFonts w:eastAsia="仿宋"/>
        </w:rPr>
      </w:pPr>
      <w:r>
        <w:rPr>
          <w:rFonts w:hint="eastAsia" w:ascii="仿宋" w:hAnsi="仿宋" w:eastAsia="仿宋" w:cs="仿宋"/>
          <w:bCs/>
          <w:sz w:val="21"/>
        </w:rPr>
        <w:t>注：上述证明文件在响应文件中附有法定代表人身份证复印件（身份证两面均应复印）或护照复印件（供应商的法定代表人为外籍人士的，则提供护照复印件）时才能生效。</w:t>
      </w:r>
    </w:p>
    <w:p>
      <w:pPr>
        <w:spacing w:line="360" w:lineRule="auto"/>
        <w:rPr>
          <w:rFonts w:asciiTheme="minorEastAsia" w:hAnsiTheme="minorEastAsia"/>
          <w:b/>
          <w:sz w:val="21"/>
          <w:szCs w:val="21"/>
        </w:rPr>
      </w:pPr>
      <w:r>
        <w:rPr>
          <w:rFonts w:asciiTheme="minorEastAsia" w:hAnsiTheme="minorEastAsia"/>
          <w:b/>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三、法定代表人授权委托书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本授权声明</w:t>
      </w:r>
      <w:r>
        <w:rPr>
          <w:rFonts w:hint="eastAsia" w:asciiTheme="minorEastAsia" w:hAnsiTheme="minorEastAsia"/>
          <w:sz w:val="21"/>
          <w:szCs w:val="21"/>
          <w:u w:val="single"/>
        </w:rPr>
        <w:t>：XXX（单位名称）</w:t>
      </w:r>
      <w:r>
        <w:rPr>
          <w:rFonts w:hint="eastAsia" w:asciiTheme="minorEastAsia" w:hAnsiTheme="minorEastAsia"/>
          <w:sz w:val="21"/>
          <w:szCs w:val="21"/>
        </w:rPr>
        <w:t>,</w:t>
      </w:r>
      <w:r>
        <w:rPr>
          <w:rFonts w:hint="eastAsia" w:asciiTheme="minorEastAsia" w:hAnsiTheme="minorEastAsia"/>
          <w:sz w:val="21"/>
          <w:szCs w:val="21"/>
          <w:u w:val="single"/>
        </w:rPr>
        <w:t>XXX（法定代表人姓名、职务）</w:t>
      </w:r>
      <w:r>
        <w:rPr>
          <w:rFonts w:hint="eastAsia" w:asciiTheme="minorEastAsia" w:hAnsiTheme="minorEastAsia"/>
          <w:sz w:val="21"/>
          <w:szCs w:val="21"/>
        </w:rPr>
        <w:t>授权</w:t>
      </w:r>
      <w:r>
        <w:rPr>
          <w:rFonts w:hint="eastAsia" w:asciiTheme="minorEastAsia" w:hAnsiTheme="minorEastAsia"/>
          <w:sz w:val="21"/>
          <w:szCs w:val="21"/>
          <w:u w:val="single"/>
        </w:rPr>
        <w:t>XXX</w:t>
      </w:r>
      <w:r>
        <w:rPr>
          <w:rFonts w:hint="eastAsia" w:asciiTheme="minorEastAsia" w:hAnsiTheme="minorEastAsia"/>
          <w:sz w:val="21"/>
          <w:szCs w:val="21"/>
        </w:rPr>
        <w:t>（代理人姓名、职务）为我方参加</w:t>
      </w:r>
      <w:r>
        <w:rPr>
          <w:rFonts w:hint="eastAsia" w:asciiTheme="minorEastAsia" w:hAnsiTheme="minorEastAsia"/>
          <w:sz w:val="21"/>
          <w:szCs w:val="21"/>
          <w:u w:val="single"/>
        </w:rPr>
        <w:t>XXX项目（采购编号：XXX）</w:t>
      </w:r>
      <w:r>
        <w:rPr>
          <w:rFonts w:hint="eastAsia" w:asciiTheme="minorEastAsia" w:hAnsiTheme="minorEastAsia"/>
          <w:sz w:val="21"/>
          <w:szCs w:val="21"/>
        </w:rPr>
        <w:t>磋商采购活动的合法代表，以我方名义全权处理该项目有关磋商、报价、签订合同以及执行合同等一切事宜。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代理人在本次竞争性磋商中所签署的一切文件和处理的一切有关事宜，我单位均予承认，所产生的法律后果均由我单位承担。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代理人无转委托权，本授权书自 年 月 日签字生效，特此声明。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cs="宋体" w:asciiTheme="minorEastAsia" w:hAnsiTheme="minorEastAsia"/>
          <w:sz w:val="21"/>
          <w:szCs w:val="21"/>
        </w:rPr>
      </w:pPr>
      <w:r>
        <w:rPr>
          <w:rFonts w:hint="eastAsia" w:asciiTheme="minorEastAsia" w:hAnsiTheme="minorEastAsia"/>
          <w:sz w:val="21"/>
          <w:szCs w:val="21"/>
        </w:rPr>
        <w:t>供应商名称：</w:t>
      </w:r>
      <w:r>
        <w:rPr>
          <w:rFonts w:hint="eastAsia" w:cs="宋体" w:asciiTheme="minorEastAsia" w:hAnsiTheme="minorEastAsia"/>
          <w:sz w:val="21"/>
          <w:szCs w:val="21"/>
        </w:rPr>
        <w:t>（加盖公章）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代理人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注：1、供应商为法人单位时提供“法定代表人授权书”，供应商为其他组织时提供“负责人授权书”，供应商为自然人时提供“自然人身份证明材料”。</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2、应附法定代表人/负责人身份证明材料复印件和授权代表身份证明材料复印件。</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3、身份证明材料包括居民身份证或户口本或军官证或护照等。</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4、身份证明材料应同时提供其在有效期的材料，如居民身份证正、反面复印件。</w:t>
      </w:r>
    </w:p>
    <w:p>
      <w:pPr>
        <w:pStyle w:val="108"/>
        <w:spacing w:line="360" w:lineRule="auto"/>
        <w:rPr>
          <w:b/>
          <w:color w:val="auto"/>
          <w:sz w:val="21"/>
        </w:rPr>
      </w:pPr>
      <w:r>
        <w:rPr>
          <w:rFonts w:hint="eastAsia" w:ascii="仿宋" w:hAnsi="仿宋" w:eastAsia="仿宋" w:cs="仿宋"/>
          <w:bCs/>
          <w:color w:val="auto"/>
          <w:sz w:val="21"/>
        </w:rPr>
        <w:t>5、如响应文件均由法定代表人/负责人签字的且法定代表人/负责人本人参与的，则可不提供。</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tabs>
          <w:tab w:val="left" w:pos="709"/>
        </w:tabs>
        <w:spacing w:line="360" w:lineRule="auto"/>
        <w:ind w:left="56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四、竞 商 函（格式）</w:t>
      </w:r>
      <w:bookmarkStart w:id="84" w:name="_Toc492547518"/>
      <w:bookmarkStart w:id="85" w:name="_Toc492547517"/>
      <w:bookmarkStart w:id="86" w:name="_Toc492547615"/>
      <w:bookmarkStart w:id="87" w:name="_Toc492547614"/>
    </w:p>
    <w:bookmarkEnd w:id="84"/>
    <w:bookmarkEnd w:id="85"/>
    <w:bookmarkEnd w:id="86"/>
    <w:bookmarkEnd w:id="87"/>
    <w:p>
      <w:pPr>
        <w:pStyle w:val="5"/>
        <w:keepNext w:val="0"/>
        <w:tabs>
          <w:tab w:val="left" w:pos="709"/>
        </w:tabs>
        <w:spacing w:line="360" w:lineRule="auto"/>
        <w:rPr>
          <w:rFonts w:asciiTheme="minorEastAsia" w:hAnsiTheme="minorEastAsia" w:eastAsiaTheme="minorEastAsia"/>
          <w:b w:val="0"/>
          <w:sz w:val="21"/>
          <w:szCs w:val="21"/>
        </w:rPr>
      </w:pPr>
      <w:bookmarkStart w:id="88" w:name="_Toc492547616"/>
      <w:bookmarkStart w:id="89" w:name="_Toc492547519"/>
      <w:r>
        <w:rPr>
          <w:rFonts w:hint="eastAsia" w:asciiTheme="minorEastAsia" w:hAnsiTheme="minorEastAsia" w:eastAsiaTheme="minorEastAsia"/>
          <w:b w:val="0"/>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本单位作为本次采购项目的供应商，根据磋商文件要求，现郑重承诺如下：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1、按竞争性磋商文件的需求，首次总报价参照报价表；</w:t>
      </w:r>
      <w:bookmarkEnd w:id="88"/>
      <w:bookmarkEnd w:id="89"/>
    </w:p>
    <w:p>
      <w:pPr>
        <w:spacing w:line="360" w:lineRule="auto"/>
        <w:ind w:firstLine="420" w:firstLineChars="200"/>
        <w:rPr>
          <w:rFonts w:asciiTheme="minorEastAsia" w:hAnsiTheme="minorEastAsia"/>
          <w:sz w:val="21"/>
          <w:szCs w:val="21"/>
        </w:rPr>
      </w:pPr>
      <w:bookmarkStart w:id="90" w:name="_Toc492547520"/>
      <w:bookmarkStart w:id="91" w:name="_Toc492547617"/>
      <w:r>
        <w:rPr>
          <w:rFonts w:hint="eastAsia" w:asciiTheme="minorEastAsia" w:hAnsiTheme="minorEastAsia"/>
          <w:sz w:val="21"/>
          <w:szCs w:val="21"/>
        </w:rPr>
        <w:t>2、</w:t>
      </w:r>
      <w:bookmarkEnd w:id="90"/>
      <w:bookmarkEnd w:id="91"/>
      <w:r>
        <w:rPr>
          <w:rFonts w:hint="eastAsia" w:asciiTheme="minorEastAsia" w:hAnsiTheme="minorEastAsia"/>
          <w:sz w:val="21"/>
          <w:szCs w:val="21"/>
        </w:rPr>
        <w:t>我方同意在竞争性磋商须知规定的提交响应文件截止日期起遵循本竞争性磋商文件，并在规定的响应文件有效期(</w:t>
      </w:r>
      <w:r>
        <w:rPr>
          <w:rFonts w:asciiTheme="minorEastAsia" w:hAnsiTheme="minorEastAsia"/>
          <w:sz w:val="21"/>
          <w:szCs w:val="21"/>
        </w:rPr>
        <w:t>90</w:t>
      </w:r>
      <w:r>
        <w:rPr>
          <w:rFonts w:hint="eastAsia" w:asciiTheme="minorEastAsia" w:hAnsiTheme="minorEastAsia"/>
          <w:sz w:val="21"/>
          <w:szCs w:val="21"/>
        </w:rPr>
        <w:t>天，从提交响应文件的截止之日起算)满之前均具有约束力，并有可能成交。</w:t>
      </w:r>
    </w:p>
    <w:p>
      <w:pPr>
        <w:spacing w:line="360" w:lineRule="auto"/>
        <w:ind w:firstLine="420" w:firstLineChars="200"/>
        <w:rPr>
          <w:rFonts w:asciiTheme="minorEastAsia" w:hAnsiTheme="minorEastAsia"/>
          <w:sz w:val="21"/>
          <w:szCs w:val="21"/>
        </w:rPr>
      </w:pPr>
      <w:bookmarkStart w:id="92" w:name="_Toc492547521"/>
      <w:bookmarkStart w:id="93" w:name="_Toc492547618"/>
      <w:r>
        <w:rPr>
          <w:rFonts w:hint="eastAsia" w:asciiTheme="minorEastAsia" w:hAnsiTheme="minorEastAsia"/>
          <w:sz w:val="21"/>
          <w:szCs w:val="21"/>
        </w:rPr>
        <w:t>我公司同时声明如下：</w:t>
      </w:r>
      <w:bookmarkEnd w:id="92"/>
      <w:bookmarkEnd w:id="93"/>
    </w:p>
    <w:p>
      <w:pPr>
        <w:spacing w:line="360" w:lineRule="auto"/>
        <w:ind w:firstLine="420" w:firstLineChars="200"/>
        <w:rPr>
          <w:rFonts w:asciiTheme="minorEastAsia" w:hAnsiTheme="minorEastAsia"/>
          <w:sz w:val="21"/>
          <w:szCs w:val="21"/>
        </w:rPr>
      </w:pPr>
      <w:bookmarkStart w:id="94" w:name="_Toc492547619"/>
      <w:bookmarkStart w:id="95" w:name="_Toc492547522"/>
      <w:r>
        <w:rPr>
          <w:rFonts w:hint="eastAsia" w:asciiTheme="minorEastAsia" w:hAnsiTheme="minorEastAsia"/>
          <w:sz w:val="21"/>
          <w:szCs w:val="21"/>
        </w:rPr>
        <w:t>1、我方根据竞争性磋商文件的规定，承担完成合同的责任和义务。</w:t>
      </w:r>
      <w:bookmarkEnd w:id="94"/>
      <w:bookmarkEnd w:id="95"/>
    </w:p>
    <w:p>
      <w:pPr>
        <w:spacing w:line="360" w:lineRule="auto"/>
        <w:ind w:firstLine="420" w:firstLineChars="200"/>
        <w:rPr>
          <w:rFonts w:asciiTheme="minorEastAsia" w:hAnsiTheme="minorEastAsia"/>
          <w:sz w:val="21"/>
          <w:szCs w:val="21"/>
        </w:rPr>
      </w:pPr>
      <w:bookmarkStart w:id="96" w:name="_Toc492547523"/>
      <w:bookmarkStart w:id="97" w:name="_Toc492547620"/>
      <w:r>
        <w:rPr>
          <w:rFonts w:hint="eastAsia" w:asciiTheme="minorEastAsia" w:hAnsiTheme="minorEastAsia"/>
          <w:sz w:val="21"/>
          <w:szCs w:val="21"/>
        </w:rPr>
        <w:t>2、我方已详细审核竞争性磋商文件，我方知道必须放弃提出含糊不清或误解问题的权利。</w:t>
      </w:r>
      <w:bookmarkEnd w:id="96"/>
      <w:bookmarkEnd w:id="97"/>
    </w:p>
    <w:p>
      <w:pPr>
        <w:spacing w:line="360" w:lineRule="auto"/>
        <w:ind w:firstLine="420" w:firstLineChars="200"/>
        <w:rPr>
          <w:rFonts w:asciiTheme="minorEastAsia" w:hAnsiTheme="minorEastAsia"/>
          <w:sz w:val="21"/>
          <w:szCs w:val="21"/>
        </w:rPr>
      </w:pPr>
      <w:bookmarkStart w:id="98" w:name="_Toc492547524"/>
      <w:bookmarkStart w:id="99" w:name="_Toc492547621"/>
      <w:r>
        <w:rPr>
          <w:rFonts w:hint="eastAsia" w:asciiTheme="minorEastAsia" w:hAnsiTheme="minorEastAsia"/>
          <w:sz w:val="21"/>
          <w:szCs w:val="21"/>
        </w:rPr>
        <w:t>3、如果在响应文件有效期内撤回响应或者有其他违约行为，我方的保证金可被贵方全部不予退还。</w:t>
      </w:r>
      <w:bookmarkEnd w:id="98"/>
      <w:bookmarkEnd w:id="99"/>
    </w:p>
    <w:p>
      <w:pPr>
        <w:spacing w:line="360" w:lineRule="auto"/>
        <w:ind w:firstLine="420" w:firstLineChars="200"/>
        <w:rPr>
          <w:rFonts w:asciiTheme="minorEastAsia" w:hAnsiTheme="minorEastAsia"/>
          <w:sz w:val="21"/>
          <w:szCs w:val="21"/>
        </w:rPr>
      </w:pPr>
      <w:bookmarkStart w:id="100" w:name="_Toc492547525"/>
      <w:bookmarkStart w:id="101" w:name="_Toc492547622"/>
      <w:r>
        <w:rPr>
          <w:rFonts w:hint="eastAsia" w:asciiTheme="minorEastAsia" w:hAnsiTheme="minorEastAsia"/>
          <w:sz w:val="21"/>
          <w:szCs w:val="21"/>
        </w:rPr>
        <w:t>4、同意应贵方与采购人要求提供与本磋商采购有关的任何数据或资料。</w:t>
      </w:r>
      <w:bookmarkEnd w:id="100"/>
      <w:bookmarkEnd w:id="101"/>
    </w:p>
    <w:p>
      <w:pPr>
        <w:spacing w:line="360" w:lineRule="auto"/>
        <w:ind w:firstLine="420" w:firstLineChars="200"/>
        <w:rPr>
          <w:rFonts w:asciiTheme="minorEastAsia" w:hAnsiTheme="minorEastAsia"/>
          <w:sz w:val="21"/>
          <w:szCs w:val="21"/>
        </w:rPr>
      </w:pPr>
      <w:bookmarkStart w:id="102" w:name="_Toc492547526"/>
      <w:bookmarkStart w:id="103" w:name="_Toc492547623"/>
      <w:r>
        <w:rPr>
          <w:rFonts w:hint="eastAsia" w:asciiTheme="minorEastAsia" w:hAnsiTheme="minorEastAsia"/>
          <w:sz w:val="21"/>
          <w:szCs w:val="21"/>
        </w:rPr>
        <w:t>5、我方完全理解贵方不一定要接受最低报价的供应商为成交供应商的行为。</w:t>
      </w:r>
      <w:bookmarkEnd w:id="102"/>
      <w:bookmarkEnd w:id="103"/>
    </w:p>
    <w:p>
      <w:pPr>
        <w:spacing w:line="360" w:lineRule="auto"/>
        <w:ind w:firstLine="420" w:firstLineChars="200"/>
        <w:rPr>
          <w:rFonts w:asciiTheme="minorEastAsia" w:hAnsiTheme="minorEastAsia"/>
          <w:sz w:val="21"/>
          <w:szCs w:val="21"/>
        </w:rPr>
      </w:pPr>
      <w:bookmarkStart w:id="104" w:name="_Toc492547624"/>
      <w:bookmarkStart w:id="105" w:name="_Toc492547527"/>
      <w:r>
        <w:rPr>
          <w:rFonts w:hint="eastAsia" w:asciiTheme="minorEastAsia" w:hAnsiTheme="minorEastAsia"/>
          <w:sz w:val="21"/>
          <w:szCs w:val="21"/>
        </w:rPr>
        <w:t>6、若贵方需要，我方愿意提供我方作出的一切承诺的证明材料。</w:t>
      </w:r>
      <w:bookmarkEnd w:id="104"/>
      <w:bookmarkEnd w:id="105"/>
    </w:p>
    <w:p>
      <w:pPr>
        <w:spacing w:line="360" w:lineRule="auto"/>
        <w:ind w:firstLine="420" w:firstLineChars="200"/>
        <w:rPr>
          <w:rFonts w:asciiTheme="minorEastAsia" w:hAnsiTheme="minorEastAsia"/>
          <w:sz w:val="21"/>
          <w:szCs w:val="21"/>
        </w:rPr>
      </w:pPr>
      <w:bookmarkStart w:id="106" w:name="_Toc492547627"/>
      <w:bookmarkStart w:id="107" w:name="_Toc492547530"/>
      <w:r>
        <w:rPr>
          <w:rFonts w:hint="eastAsia" w:asciiTheme="minorEastAsia" w:hAnsiTheme="minorEastAsia"/>
          <w:sz w:val="21"/>
          <w:szCs w:val="21"/>
        </w:rPr>
        <w:t>7、</w:t>
      </w:r>
      <w:bookmarkEnd w:id="106"/>
      <w:bookmarkEnd w:id="107"/>
      <w:r>
        <w:rPr>
          <w:rFonts w:hint="eastAsia" w:asciiTheme="minorEastAsia" w:hAnsiTheme="minorEastAsia"/>
          <w:sz w:val="21"/>
          <w:szCs w:val="21"/>
        </w:rPr>
        <w:t>参加本次采购活动，不存在和其他供应商在同一合同项下的采购项目中，同时委托同一个自然人、同一家庭的人员、同一单位的人员作为代理人的行为。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8、我公司参加本次采购活动，不存在与单位负责人为同一人或者存在直接控股、管理关系的其他供应商参与同一合同项下的政府采购活动的行为。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9、我公司为本项目未提供整体设计、规范编制或者项目管理、监理、检测等服务。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10、我公司及其现任法定代表人、主要负责人在近10年内不具有行贿犯罪记录。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11、我公司不属于其他国家相关法律法规规定的禁止参加的供应商。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我方对上述承诺的内容事项真实性负责。如经查实上述承诺的内容事项存在虚假，我方愿意接受以提供虚假材料谋取成交的法律责任。</w:t>
      </w:r>
    </w:p>
    <w:p>
      <w:pPr>
        <w:spacing w:line="360" w:lineRule="auto"/>
        <w:rPr>
          <w:rFonts w:asciiTheme="minorEastAsia" w:hAnsiTheme="minorEastAsia"/>
          <w:sz w:val="21"/>
          <w:szCs w:val="21"/>
        </w:rPr>
      </w:pPr>
      <w:r>
        <w:rPr>
          <w:rFonts w:hint="eastAsia" w:asciiTheme="minorEastAsia" w:hAnsiTheme="minorEastAsia"/>
          <w:sz w:val="21"/>
          <w:szCs w:val="21"/>
        </w:rPr>
        <w:t>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 xml:space="preserve">法定代表人或代理人：（签字或加盖个人名章）            </w:t>
      </w:r>
    </w:p>
    <w:p>
      <w:pPr>
        <w:spacing w:line="360" w:lineRule="auto"/>
        <w:rPr>
          <w:rFonts w:asciiTheme="minorEastAsia" w:hAnsiTheme="minorEastAsia"/>
          <w:sz w:val="21"/>
          <w:szCs w:val="21"/>
        </w:rPr>
      </w:pPr>
      <w:r>
        <w:rPr>
          <w:rFonts w:hint="eastAsia" w:asciiTheme="minorEastAsia" w:hAnsiTheme="minorEastAsia"/>
          <w:sz w:val="21"/>
          <w:szCs w:val="21"/>
        </w:rPr>
        <w:t xml:space="preserve">供应商名称：（加盖公章）                                </w:t>
      </w:r>
    </w:p>
    <w:p>
      <w:pPr>
        <w:spacing w:line="360" w:lineRule="auto"/>
        <w:rPr>
          <w:rFonts w:asciiTheme="minorEastAsia" w:hAnsiTheme="minorEastAsia"/>
          <w:bCs/>
          <w:sz w:val="21"/>
          <w:szCs w:val="21"/>
        </w:rPr>
      </w:pPr>
      <w:r>
        <w:rPr>
          <w:rFonts w:hint="eastAsia" w:asciiTheme="minorEastAsia" w:hAnsiTheme="minorEastAsia"/>
          <w:sz w:val="21"/>
          <w:szCs w:val="21"/>
        </w:rPr>
        <w:t xml:space="preserve">日期：              </w:t>
      </w:r>
    </w:p>
    <w:p>
      <w:pPr>
        <w:rPr>
          <w:rFonts w:asciiTheme="minorEastAsia" w:hAnsiTheme="minorEastAsia"/>
          <w:b/>
          <w:bCs/>
          <w:sz w:val="21"/>
          <w:szCs w:val="21"/>
        </w:rPr>
      </w:pPr>
      <w:r>
        <w:rPr>
          <w:rFonts w:asciiTheme="minorEastAsia" w:hAnsiTheme="minorEastAsia"/>
          <w:b/>
          <w:bCs/>
          <w:sz w:val="21"/>
          <w:szCs w:val="21"/>
        </w:rPr>
        <w:br w:type="page"/>
      </w:r>
    </w:p>
    <w:p>
      <w:pPr>
        <w:spacing w:line="360" w:lineRule="auto"/>
        <w:ind w:left="324" w:leftChars="135" w:firstLine="3030" w:firstLineChars="1443"/>
        <w:rPr>
          <w:rFonts w:asciiTheme="minorEastAsia" w:hAnsiTheme="minorEastAsia"/>
          <w:b/>
          <w:sz w:val="21"/>
          <w:szCs w:val="21"/>
        </w:rPr>
      </w:pPr>
      <w:r>
        <w:rPr>
          <w:rFonts w:hint="eastAsia" w:asciiTheme="minorEastAsia" w:hAnsiTheme="minorEastAsia"/>
          <w:b/>
          <w:bCs/>
          <w:sz w:val="21"/>
          <w:szCs w:val="21"/>
        </w:rPr>
        <w:t>五、承  诺  函</w:t>
      </w:r>
    </w:p>
    <w:p>
      <w:pPr>
        <w:spacing w:line="360" w:lineRule="auto"/>
        <w:rPr>
          <w:rFonts w:ascii="宋体" w:hAnsi="宋体" w:eastAsia="宋体"/>
          <w:bCs/>
          <w:sz w:val="21"/>
          <w:szCs w:val="21"/>
        </w:rPr>
      </w:pPr>
      <w:r>
        <w:rPr>
          <w:rFonts w:hint="eastAsia" w:ascii="宋体" w:hAnsi="宋体" w:eastAsia="宋体"/>
          <w:bCs/>
          <w:sz w:val="21"/>
          <w:szCs w:val="21"/>
        </w:rPr>
        <w:t>四川全诚招标代理有限公司（采购代理机构名称）:</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本单位作为参加本次磋商的供应商，郑重承诺具备以下条件（《政府采购法》第二十二条第一款）：</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（一）具有独立承担民事责任的能力；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（二）具有良好的商业信誉和健全的财务会计制度；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 xml:space="preserve">（三）具有履行合同所必需的设备和专业技术能力；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（四）有依法缴纳税收和社会保障资金的良好记录；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（五）参加本次政府采购活动前三年内，在经营活动中没有重大违法违规记录；</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（六）法律、行政法规规定的其他条件。</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本公司对上述承诺的真实性负责。如有虚假，将依法承担相应责任。</w:t>
      </w:r>
    </w:p>
    <w:p>
      <w:pPr>
        <w:spacing w:line="360" w:lineRule="auto"/>
        <w:ind w:left="360" w:leftChars="150" w:firstLine="105" w:firstLineChars="50"/>
        <w:rPr>
          <w:rFonts w:ascii="宋体" w:hAnsi="宋体" w:eastAsia="宋体"/>
          <w:bCs/>
          <w:sz w:val="21"/>
          <w:szCs w:val="21"/>
        </w:rPr>
      </w:pPr>
    </w:p>
    <w:p>
      <w:pPr>
        <w:spacing w:line="360" w:lineRule="auto"/>
        <w:rPr>
          <w:rFonts w:ascii="宋体" w:hAnsi="宋体" w:eastAsia="宋体"/>
          <w:bCs/>
          <w:sz w:val="21"/>
          <w:szCs w:val="21"/>
        </w:rPr>
      </w:pPr>
      <w:r>
        <w:rPr>
          <w:rFonts w:hint="eastAsia" w:ascii="宋体" w:hAnsi="宋体" w:eastAsia="宋体"/>
          <w:bCs/>
          <w:sz w:val="21"/>
          <w:szCs w:val="21"/>
        </w:rPr>
        <w:t>供应商名称：（加盖公章）</w:t>
      </w:r>
    </w:p>
    <w:p>
      <w:pPr>
        <w:spacing w:line="360" w:lineRule="auto"/>
        <w:rPr>
          <w:rFonts w:ascii="宋体" w:hAnsi="宋体" w:eastAsia="宋体"/>
          <w:bCs/>
          <w:sz w:val="21"/>
          <w:szCs w:val="21"/>
        </w:rPr>
      </w:pPr>
      <w:r>
        <w:rPr>
          <w:rFonts w:hint="eastAsia" w:ascii="宋体" w:hAnsi="宋体" w:eastAsia="宋体"/>
          <w:bCs/>
          <w:sz w:val="21"/>
          <w:szCs w:val="21"/>
        </w:rPr>
        <w:t xml:space="preserve">法定代表人或代理人：（签字或加盖个人名章）                         </w:t>
      </w:r>
    </w:p>
    <w:p>
      <w:pPr>
        <w:spacing w:line="360" w:lineRule="auto"/>
        <w:rPr>
          <w:rFonts w:ascii="宋体" w:hAnsi="宋体" w:eastAsia="宋体"/>
          <w:bCs/>
          <w:sz w:val="21"/>
          <w:szCs w:val="21"/>
        </w:rPr>
      </w:pPr>
      <w:r>
        <w:rPr>
          <w:rFonts w:hint="eastAsia" w:ascii="宋体" w:hAnsi="宋体" w:eastAsia="宋体"/>
          <w:bCs/>
          <w:sz w:val="21"/>
          <w:szCs w:val="21"/>
        </w:rPr>
        <w:t xml:space="preserve">日期:    </w:t>
      </w:r>
    </w:p>
    <w:p>
      <w:pPr>
        <w:spacing w:line="360" w:lineRule="auto"/>
        <w:rPr>
          <w:rFonts w:ascii="宋体" w:hAnsi="宋体" w:eastAsia="宋体" w:cstheme="majorBidi"/>
          <w:b/>
          <w:bCs/>
          <w:sz w:val="21"/>
          <w:szCs w:val="21"/>
        </w:rPr>
      </w:pPr>
      <w:r>
        <w:rPr>
          <w:rFonts w:ascii="宋体" w:hAnsi="宋体" w:eastAsia="宋体"/>
          <w:sz w:val="21"/>
          <w:szCs w:val="21"/>
        </w:rPr>
        <w:br w:type="page"/>
      </w:r>
    </w:p>
    <w:p>
      <w:pPr>
        <w:rPr>
          <w:rFonts w:asciiTheme="minorEastAsia" w:hAnsiTheme="minorEastAsia"/>
          <w:b/>
          <w:bCs/>
          <w:sz w:val="21"/>
          <w:szCs w:val="21"/>
        </w:rPr>
      </w:pPr>
    </w:p>
    <w:p>
      <w:pPr>
        <w:jc w:val="center"/>
        <w:rPr>
          <w:rFonts w:asciiTheme="minorEastAsia" w:hAnsiTheme="minorEastAsia"/>
          <w:b/>
          <w:bCs/>
          <w:sz w:val="21"/>
          <w:szCs w:val="21"/>
        </w:rPr>
      </w:pPr>
      <w:r>
        <w:rPr>
          <w:rFonts w:hint="eastAsia" w:asciiTheme="minorEastAsia" w:hAnsiTheme="minorEastAsia"/>
          <w:b/>
          <w:bCs/>
          <w:sz w:val="21"/>
          <w:szCs w:val="21"/>
        </w:rPr>
        <w:t>六、具有独立承担民事责任的能力证明材料</w:t>
      </w:r>
    </w:p>
    <w:p>
      <w:pPr>
        <w:jc w:val="center"/>
        <w:rPr>
          <w:rFonts w:asciiTheme="minorEastAsia" w:hAnsiTheme="minorEastAsia"/>
          <w:bCs/>
          <w:sz w:val="21"/>
          <w:szCs w:val="21"/>
        </w:rPr>
      </w:pPr>
    </w:p>
    <w:p>
      <w:pPr>
        <w:jc w:val="center"/>
        <w:rPr>
          <w:rFonts w:ascii="宋体" w:hAnsi="宋体" w:eastAsia="宋体"/>
          <w:b/>
          <w:sz w:val="21"/>
          <w:szCs w:val="21"/>
        </w:rPr>
      </w:pPr>
      <w:r>
        <w:rPr>
          <w:rFonts w:hint="eastAsia" w:asciiTheme="minorEastAsia" w:hAnsiTheme="minorEastAsia"/>
          <w:bCs/>
          <w:sz w:val="21"/>
          <w:szCs w:val="21"/>
        </w:rPr>
        <w:t>格式自拟</w:t>
      </w:r>
      <w:r>
        <w:rPr>
          <w:rFonts w:ascii="宋体" w:hAnsi="宋体" w:eastAsia="宋体"/>
          <w:sz w:val="21"/>
          <w:szCs w:val="21"/>
        </w:rPr>
        <w:br w:type="page"/>
      </w:r>
      <w:r>
        <w:rPr>
          <w:rFonts w:hint="eastAsia" w:ascii="宋体" w:hAnsi="宋体" w:eastAsia="宋体"/>
          <w:b/>
          <w:sz w:val="21"/>
          <w:szCs w:val="21"/>
        </w:rPr>
        <w:t>七、具有健全的财务会计制度证明材料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pStyle w:val="5"/>
        <w:keepNext w:val="0"/>
        <w:spacing w:line="360" w:lineRule="auto"/>
        <w:jc w:val="center"/>
        <w:rPr>
          <w:rFonts w:asciiTheme="minorEastAsia" w:hAnsiTheme="minorEastAsia" w:eastAsiaTheme="minorEastAsia"/>
          <w:sz w:val="21"/>
          <w:szCs w:val="21"/>
        </w:rPr>
      </w:pPr>
      <w:r>
        <w:rPr>
          <w:rFonts w:ascii="宋体" w:hAnsi="宋体" w:eastAsia="宋体"/>
          <w:sz w:val="21"/>
          <w:szCs w:val="21"/>
        </w:rPr>
        <w:br w:type="page"/>
      </w:r>
      <w:r>
        <w:rPr>
          <w:rFonts w:hint="eastAsia" w:asciiTheme="minorEastAsia" w:hAnsiTheme="minorEastAsia" w:eastAsiaTheme="minorEastAsia"/>
          <w:sz w:val="21"/>
          <w:szCs w:val="21"/>
        </w:rPr>
        <w:t>八、中小企业声明函（服务）</w:t>
      </w:r>
    </w:p>
    <w:p>
      <w:pPr>
        <w:spacing w:line="360" w:lineRule="auto"/>
        <w:rPr>
          <w:rFonts w:cs="宋体" w:asciiTheme="minorEastAsia" w:hAnsiTheme="minorEastAsia"/>
          <w:sz w:val="21"/>
          <w:szCs w:val="21"/>
        </w:rPr>
      </w:pPr>
    </w:p>
    <w:p>
      <w:pPr>
        <w:snapToGrid w:val="0"/>
        <w:spacing w:line="360" w:lineRule="auto"/>
        <w:jc w:val="center"/>
        <w:rPr>
          <w:rFonts w:ascii="宋体" w:hAnsi="宋体" w:cs="宋体"/>
          <w:b/>
          <w:spacing w:val="6"/>
          <w:sz w:val="21"/>
          <w:szCs w:val="21"/>
        </w:rPr>
      </w:pP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本公司郑重声明，根据《政府采购促进中小企业发展管理办法》（财库﹝2020﹞46 号）的规定，本公司参加</w:t>
      </w:r>
      <w:r>
        <w:rPr>
          <w:rFonts w:hint="eastAsia" w:ascii="宋体" w:hAnsi="宋体" w:cs="宋体"/>
          <w:spacing w:val="6"/>
          <w:sz w:val="21"/>
          <w:szCs w:val="21"/>
          <w:u w:val="single"/>
        </w:rPr>
        <w:t>（单位名称）</w:t>
      </w:r>
      <w:r>
        <w:rPr>
          <w:rFonts w:hint="eastAsia" w:ascii="宋体" w:hAnsi="宋体" w:cs="宋体"/>
          <w:spacing w:val="6"/>
          <w:sz w:val="21"/>
          <w:szCs w:val="21"/>
        </w:rPr>
        <w:t>的</w:t>
      </w:r>
      <w:r>
        <w:rPr>
          <w:rFonts w:hint="eastAsia" w:ascii="宋体" w:hAnsi="宋体" w:cs="宋体"/>
          <w:spacing w:val="6"/>
          <w:sz w:val="21"/>
          <w:szCs w:val="21"/>
          <w:u w:val="single"/>
        </w:rPr>
        <w:t>（项目名称）</w:t>
      </w:r>
      <w:r>
        <w:rPr>
          <w:rFonts w:hint="eastAsia" w:ascii="宋体" w:hAnsi="宋体" w:cs="宋体"/>
          <w:spacing w:val="6"/>
          <w:sz w:val="21"/>
          <w:szCs w:val="21"/>
        </w:rPr>
        <w:t>采购活动，服务全部由符合政策要求的中小企业承接。相关企业（含联合体中的中小企业、签订分包意向协议的中小企业）的具体情况如下：</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1.</w:t>
      </w:r>
      <w:r>
        <w:rPr>
          <w:rFonts w:hint="eastAsia"/>
          <w:u w:val="single"/>
        </w:rPr>
        <w:t xml:space="preserve"> 成都东部新区高明镇专职网格员服务</w:t>
      </w:r>
      <w:r>
        <w:rPr>
          <w:rFonts w:hint="eastAsia" w:ascii="宋体" w:hAnsi="宋体" w:cs="宋体"/>
          <w:spacing w:val="6"/>
          <w:sz w:val="21"/>
          <w:szCs w:val="21"/>
        </w:rPr>
        <w:t>，属于</w:t>
      </w:r>
      <w:r>
        <w:rPr>
          <w:rFonts w:hint="eastAsia" w:ascii="宋体" w:hAnsi="宋体" w:cs="宋体"/>
          <w:spacing w:val="6"/>
          <w:sz w:val="21"/>
          <w:szCs w:val="21"/>
          <w:u w:val="single"/>
        </w:rPr>
        <w:t>租赁和商务服务业</w:t>
      </w:r>
      <w:r>
        <w:rPr>
          <w:rFonts w:hint="eastAsia" w:ascii="宋体" w:hAnsi="宋体" w:cs="宋体"/>
          <w:spacing w:val="6"/>
          <w:sz w:val="21"/>
          <w:szCs w:val="21"/>
        </w:rPr>
        <w:t>；承接企业为</w:t>
      </w:r>
      <w:r>
        <w:rPr>
          <w:rFonts w:hint="eastAsia" w:ascii="宋体" w:hAnsi="宋体" w:cs="宋体"/>
          <w:spacing w:val="6"/>
          <w:sz w:val="21"/>
          <w:szCs w:val="21"/>
          <w:u w:val="single"/>
        </w:rPr>
        <w:t>（企业名称）</w:t>
      </w:r>
      <w:r>
        <w:rPr>
          <w:rFonts w:hint="eastAsia" w:ascii="宋体" w:hAnsi="宋体" w:cs="宋体"/>
          <w:spacing w:val="6"/>
          <w:sz w:val="21"/>
          <w:szCs w:val="21"/>
        </w:rPr>
        <w:t>，从业人员人，营业收入为</w:t>
      </w:r>
      <w:r>
        <w:rPr>
          <w:rFonts w:hint="eastAsia" w:ascii="宋体" w:hAnsi="宋体" w:cs="宋体"/>
          <w:spacing w:val="6"/>
          <w:sz w:val="21"/>
          <w:szCs w:val="21"/>
          <w:u w:val="single"/>
        </w:rPr>
        <w:t xml:space="preserve">      </w:t>
      </w:r>
      <w:r>
        <w:rPr>
          <w:rFonts w:hint="eastAsia" w:ascii="宋体" w:hAnsi="宋体" w:cs="宋体"/>
          <w:spacing w:val="6"/>
          <w:sz w:val="21"/>
          <w:szCs w:val="21"/>
        </w:rPr>
        <w:t>万元，资产总额为</w:t>
      </w:r>
      <w:r>
        <w:rPr>
          <w:rFonts w:hint="eastAsia" w:ascii="宋体" w:hAnsi="宋体" w:cs="宋体"/>
          <w:spacing w:val="6"/>
          <w:sz w:val="21"/>
          <w:szCs w:val="21"/>
          <w:u w:val="single"/>
        </w:rPr>
        <w:t xml:space="preserve">         </w:t>
      </w:r>
      <w:r>
        <w:rPr>
          <w:rFonts w:hint="eastAsia" w:ascii="宋体" w:hAnsi="宋体" w:cs="宋体"/>
          <w:spacing w:val="6"/>
          <w:sz w:val="21"/>
          <w:szCs w:val="21"/>
        </w:rPr>
        <w:t>万元</w:t>
      </w:r>
      <w:r>
        <w:rPr>
          <w:rFonts w:hint="eastAsia" w:ascii="宋体" w:hAnsi="宋体" w:cs="宋体"/>
          <w:spacing w:val="6"/>
          <w:sz w:val="21"/>
          <w:szCs w:val="21"/>
          <w:vertAlign w:val="superscript"/>
        </w:rPr>
        <w:t>1</w:t>
      </w:r>
      <w:r>
        <w:rPr>
          <w:rFonts w:hint="eastAsia" w:ascii="宋体" w:hAnsi="宋体" w:cs="宋体"/>
          <w:spacing w:val="6"/>
          <w:sz w:val="21"/>
          <w:szCs w:val="21"/>
        </w:rPr>
        <w:t>，属于</w:t>
      </w:r>
      <w:r>
        <w:rPr>
          <w:rFonts w:hint="eastAsia" w:ascii="宋体" w:hAnsi="宋体" w:cs="宋体"/>
          <w:spacing w:val="6"/>
          <w:sz w:val="21"/>
          <w:szCs w:val="21"/>
          <w:u w:val="single"/>
        </w:rPr>
        <w:t>（中型企业、小型企业、微型企业）</w:t>
      </w:r>
      <w:r>
        <w:rPr>
          <w:rFonts w:hint="eastAsia" w:ascii="宋体" w:hAnsi="宋体" w:cs="宋体"/>
          <w:spacing w:val="6"/>
          <w:sz w:val="21"/>
          <w:szCs w:val="21"/>
        </w:rPr>
        <w:t>；</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本企业对上述声明内容的真实性负责。如有虚假，将依法承担相应责任。</w:t>
      </w: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center"/>
        <w:rPr>
          <w:rFonts w:ascii="宋体" w:hAnsi="宋体" w:cs="宋体"/>
          <w:b/>
          <w:spacing w:val="6"/>
          <w:sz w:val="21"/>
          <w:szCs w:val="21"/>
        </w:rPr>
      </w:pPr>
    </w:p>
    <w:p>
      <w:pPr>
        <w:adjustRightInd w:val="0"/>
        <w:snapToGrid w:val="0"/>
        <w:spacing w:line="360" w:lineRule="auto"/>
        <w:jc w:val="both"/>
        <w:rPr>
          <w:rFonts w:ascii="宋体" w:hAnsi="宋体" w:cs="宋体"/>
          <w:b/>
          <w:spacing w:val="6"/>
          <w:sz w:val="21"/>
          <w:szCs w:val="21"/>
        </w:rPr>
      </w:pPr>
      <w:r>
        <w:rPr>
          <w:rFonts w:hint="eastAsia" w:ascii="宋体" w:hAnsi="宋体" w:cs="宋体"/>
          <w:b/>
          <w:spacing w:val="6"/>
          <w:sz w:val="21"/>
          <w:szCs w:val="21"/>
        </w:rPr>
        <w:t>企业名称（盖章）：</w:t>
      </w:r>
    </w:p>
    <w:p>
      <w:pPr>
        <w:adjustRightInd w:val="0"/>
        <w:snapToGrid w:val="0"/>
        <w:spacing w:line="360" w:lineRule="auto"/>
        <w:rPr>
          <w:rFonts w:ascii="宋体" w:hAnsi="宋体" w:cs="宋体"/>
          <w:b/>
          <w:spacing w:val="6"/>
          <w:sz w:val="21"/>
          <w:szCs w:val="21"/>
        </w:rPr>
      </w:pPr>
      <w:r>
        <w:rPr>
          <w:rFonts w:hint="eastAsia" w:ascii="宋体" w:hAnsi="宋体" w:cs="宋体"/>
          <w:b/>
          <w:spacing w:val="6"/>
          <w:sz w:val="21"/>
          <w:szCs w:val="21"/>
        </w:rPr>
        <w:t>日 期：</w:t>
      </w: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rFonts w:ascii="仿宋" w:hAnsi="仿宋" w:eastAsia="仿宋"/>
          <w:b/>
          <w:sz w:val="21"/>
          <w:szCs w:val="21"/>
        </w:rPr>
      </w:pPr>
      <w:r>
        <w:rPr>
          <w:rFonts w:hint="eastAsia"/>
          <w:vertAlign w:val="superscript"/>
        </w:rPr>
        <w:t>1</w:t>
      </w:r>
      <w:r>
        <w:rPr>
          <w:rFonts w:hint="eastAsia" w:ascii="宋体" w:hAnsi="宋体" w:cs="宋体"/>
          <w:spacing w:val="6"/>
          <w:sz w:val="21"/>
          <w:szCs w:val="21"/>
        </w:rPr>
        <w:t>从业人员、营业收入、资产总额填报上一年度数据，无上一年度数据的新成立企业可不填报。</w:t>
      </w:r>
    </w:p>
    <w:p>
      <w:pPr>
        <w:rPr>
          <w:b/>
        </w:rPr>
      </w:pPr>
      <w:r>
        <w:rPr>
          <w:b/>
        </w:rPr>
        <w:br w:type="page"/>
      </w:r>
    </w:p>
    <w:p>
      <w:pPr>
        <w:rPr>
          <w:rFonts w:ascii="宋体" w:hAnsi="宋体" w:eastAsia="宋体" w:cs="宋体"/>
          <w:b/>
          <w:sz w:val="21"/>
          <w:szCs w:val="21"/>
        </w:rPr>
      </w:pPr>
      <w:r>
        <w:rPr>
          <w:rFonts w:hint="eastAsia" w:ascii="宋体" w:hAnsi="宋体" w:eastAsia="宋体" w:cs="宋体"/>
          <w:b/>
          <w:sz w:val="21"/>
          <w:szCs w:val="21"/>
        </w:rPr>
        <w:t>附：工业和信息化部 国家统计局国家发展和改革委员会 财政部关于印发中小企业划型标准规定的通知（工信部联企业[2011]300号  2011.6.1）</w:t>
      </w:r>
    </w:p>
    <w:p>
      <w:pPr>
        <w:rPr>
          <w:rFonts w:ascii="宋体" w:hAnsi="宋体" w:eastAsia="宋体" w:cs="宋体"/>
          <w:sz w:val="21"/>
          <w:szCs w:val="21"/>
        </w:rPr>
      </w:pPr>
      <w:r>
        <w:rPr>
          <w:rFonts w:hint="eastAsia" w:ascii="宋体" w:hAnsi="宋体" w:eastAsia="宋体" w:cs="宋体"/>
          <w:sz w:val="21"/>
          <w:szCs w:val="21"/>
        </w:rPr>
        <w:t>各省、自治区、直辖市人民政府，国务院各部委、各直属机构及有关单位：</w:t>
      </w:r>
    </w:p>
    <w:p>
      <w:pPr>
        <w:rPr>
          <w:rFonts w:ascii="宋体" w:hAnsi="宋体" w:eastAsia="宋体" w:cs="宋体"/>
          <w:sz w:val="21"/>
          <w:szCs w:val="21"/>
        </w:rPr>
      </w:pPr>
      <w:r>
        <w:rPr>
          <w:rFonts w:hint="eastAsia" w:ascii="宋体" w:hAnsi="宋体" w:eastAsia="宋体" w:cs="宋体"/>
          <w:sz w:val="21"/>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rPr>
          <w:rFonts w:ascii="宋体" w:hAnsi="宋体" w:eastAsia="宋体" w:cs="宋体"/>
          <w:sz w:val="21"/>
          <w:szCs w:val="21"/>
        </w:rPr>
      </w:pPr>
      <w:r>
        <w:rPr>
          <w:rFonts w:hint="eastAsia" w:ascii="宋体" w:hAnsi="宋体" w:eastAsia="宋体" w:cs="宋体"/>
          <w:sz w:val="21"/>
          <w:szCs w:val="21"/>
        </w:rPr>
        <w:t>附件：</w:t>
      </w:r>
    </w:p>
    <w:p>
      <w:pPr>
        <w:rPr>
          <w:rFonts w:ascii="宋体" w:hAnsi="宋体" w:eastAsia="宋体" w:cs="宋体"/>
          <w:sz w:val="21"/>
          <w:szCs w:val="21"/>
        </w:rPr>
      </w:pPr>
      <w:r>
        <w:rPr>
          <w:rFonts w:hint="eastAsia" w:ascii="宋体" w:hAnsi="宋体" w:eastAsia="宋体" w:cs="宋体"/>
          <w:sz w:val="21"/>
          <w:szCs w:val="21"/>
        </w:rPr>
        <w:t>中小企业划型标准规定</w:t>
      </w:r>
    </w:p>
    <w:p>
      <w:pPr>
        <w:rPr>
          <w:rFonts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rPr>
          <w:rFonts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rPr>
          <w:rFonts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ascii="宋体" w:hAnsi="宋体" w:eastAsia="宋体" w:cs="宋体"/>
          <w:sz w:val="21"/>
          <w:szCs w:val="21"/>
        </w:rPr>
      </w:pPr>
      <w:r>
        <w:rPr>
          <w:rFonts w:hint="eastAsia" w:ascii="宋体" w:hAnsi="宋体" w:eastAsia="宋体" w:cs="宋体"/>
          <w:sz w:val="21"/>
          <w:szCs w:val="21"/>
        </w:rPr>
        <w:t>四、各行业划型标准为：</w:t>
      </w:r>
    </w:p>
    <w:p>
      <w:pPr>
        <w:rPr>
          <w:rFonts w:ascii="宋体" w:hAnsi="宋体" w:eastAsia="宋体" w:cs="宋体"/>
          <w:sz w:val="21"/>
          <w:szCs w:val="21"/>
        </w:rPr>
      </w:pPr>
      <w:r>
        <w:rPr>
          <w:rFonts w:hint="eastAsia" w:ascii="宋体" w:hAnsi="宋体" w:eastAsia="宋体" w:cs="宋体"/>
          <w:sz w:val="21"/>
          <w:szCs w:val="21"/>
        </w:rPr>
        <w:t>　　（一）农、林、牧、渔业。营业收入20000万元以下的为中小微型企业。其中，营业收入500万元及以上的为中型企业，营业收入50万元及以上的为小型企业，营业收入50万元以下的为微型企业。</w:t>
      </w:r>
    </w:p>
    <w:p>
      <w:pPr>
        <w:rPr>
          <w:rFonts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rPr>
          <w:rFonts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rPr>
          <w:rFonts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rPr>
          <w:rFonts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rPr>
          <w:rFonts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rPr>
          <w:rFonts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r>
        <w:rPr>
          <w:rFonts w:hint="eastAsia" w:ascii="宋体" w:hAnsi="宋体" w:eastAsia="宋体" w:cs="宋体"/>
          <w:sz w:val="21"/>
          <w:szCs w:val="21"/>
        </w:rPr>
        <w:t>十、本规定自发布之日起执行，原国家经贸委、原国家计委、财政部和国家统计局2003年颁布的《中小企业标准暂行规定》国经贸中小企[2003]143号同时废止。</w:t>
      </w:r>
    </w:p>
    <w:p>
      <w:pPr>
        <w:spacing w:line="360" w:lineRule="auto"/>
        <w:rPr>
          <w:rFonts w:ascii="仿宋" w:hAnsi="仿宋" w:eastAsia="仿宋"/>
          <w:b/>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九、残疾人福利性单位声明函（仅限符合条件的供应商）</w:t>
      </w:r>
    </w:p>
    <w:p>
      <w:pPr>
        <w:spacing w:line="360" w:lineRule="auto"/>
        <w:jc w:val="center"/>
        <w:rPr>
          <w:rFonts w:asciiTheme="minorEastAsia" w:hAnsiTheme="minorEastAsia"/>
          <w:b/>
          <w:spacing w:val="6"/>
          <w:sz w:val="21"/>
          <w:szCs w:val="21"/>
        </w:rPr>
      </w:pP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本单位郑重声明，根据《财政部民政部中国残疾人联合会关于促进残疾人就业政府采购政策的通知》（财库</w:t>
      </w:r>
      <w:r>
        <w:rPr>
          <w:rFonts w:hint="eastAsia" w:asciiTheme="minorEastAsia" w:hAnsiTheme="minorEastAsia"/>
          <w:sz w:val="21"/>
          <w:szCs w:val="21"/>
        </w:rPr>
        <w:t>〔</w:t>
      </w:r>
      <w:r>
        <w:rPr>
          <w:rFonts w:asciiTheme="minorEastAsia" w:hAnsiTheme="minorEastAsia"/>
          <w:sz w:val="21"/>
          <w:szCs w:val="21"/>
        </w:rPr>
        <w:t>2017</w:t>
      </w:r>
      <w:r>
        <w:rPr>
          <w:rFonts w:hint="eastAsia" w:asciiTheme="minorEastAsia" w:hAnsiTheme="minorEastAsia"/>
          <w:sz w:val="21"/>
          <w:szCs w:val="21"/>
        </w:rPr>
        <w:t>〕</w:t>
      </w:r>
      <w:r>
        <w:rPr>
          <w:rFonts w:asciiTheme="minorEastAsia" w:hAnsiTheme="minorEastAsia"/>
          <w:sz w:val="21"/>
          <w:szCs w:val="21"/>
        </w:rPr>
        <w:t xml:space="preserve"> 141</w:t>
      </w:r>
      <w:r>
        <w:rPr>
          <w:rFonts w:hint="eastAsia" w:asciiTheme="minorEastAsia" w:hAnsiTheme="minorEastAsia"/>
          <w:spacing w:val="6"/>
          <w:sz w:val="21"/>
          <w:szCs w:val="21"/>
        </w:rPr>
        <w:t>号）的规定，本单位为符合条件的残疾人福利性单位，且本单位参加</w:t>
      </w:r>
      <w:r>
        <w:rPr>
          <w:rFonts w:asciiTheme="minorEastAsia" w:hAnsiTheme="minorEastAsia"/>
          <w:spacing w:val="6"/>
          <w:sz w:val="21"/>
          <w:szCs w:val="21"/>
        </w:rPr>
        <w:t>______</w:t>
      </w:r>
      <w:r>
        <w:rPr>
          <w:rFonts w:hint="eastAsia" w:asciiTheme="minorEastAsia" w:hAnsiTheme="minorEastAsia"/>
          <w:spacing w:val="6"/>
          <w:sz w:val="21"/>
          <w:szCs w:val="21"/>
        </w:rPr>
        <w:t>单位的</w:t>
      </w:r>
      <w:r>
        <w:rPr>
          <w:rFonts w:asciiTheme="minorEastAsia" w:hAnsiTheme="minorEastAsia"/>
          <w:spacing w:val="6"/>
          <w:sz w:val="21"/>
          <w:szCs w:val="21"/>
        </w:rPr>
        <w:t>______</w:t>
      </w:r>
      <w:r>
        <w:rPr>
          <w:rFonts w:hint="eastAsia" w:asciiTheme="minorEastAsia" w:hAnsiTheme="minorEastAsia"/>
          <w:spacing w:val="6"/>
          <w:sz w:val="21"/>
          <w:szCs w:val="21"/>
        </w:rPr>
        <w:t>项目采购活动提供本单位制造的货物（由本单位承担工程</w:t>
      </w:r>
      <w:r>
        <w:rPr>
          <w:rFonts w:asciiTheme="minorEastAsia" w:hAnsiTheme="minorEastAsia"/>
          <w:spacing w:val="6"/>
          <w:sz w:val="21"/>
          <w:szCs w:val="21"/>
        </w:rPr>
        <w:t>/</w:t>
      </w:r>
      <w:r>
        <w:rPr>
          <w:rFonts w:hint="eastAsia" w:asciiTheme="minorEastAsia" w:hAnsiTheme="minorEastAsia"/>
          <w:spacing w:val="6"/>
          <w:sz w:val="21"/>
          <w:szCs w:val="21"/>
        </w:rPr>
        <w:t>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本单位对上述声明的真实性负责。如有虚假，将依法承担相应责任。</w:t>
      </w:r>
    </w:p>
    <w:p>
      <w:pPr>
        <w:spacing w:line="360" w:lineRule="auto"/>
        <w:ind w:firstLine="420" w:firstLineChars="200"/>
        <w:rPr>
          <w:rFonts w:cs="宋体"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十、监狱企业声明函</w:t>
      </w:r>
    </w:p>
    <w:p>
      <w:pPr>
        <w:snapToGrid w:val="0"/>
        <w:spacing w:line="360" w:lineRule="auto"/>
        <w:ind w:firstLine="420" w:firstLineChars="200"/>
        <w:rPr>
          <w:rFonts w:ascii="宋体" w:hAnsi="宋体" w:cs="宋体"/>
          <w:sz w:val="21"/>
        </w:rPr>
      </w:pPr>
    </w:p>
    <w:p>
      <w:pPr>
        <w:snapToGrid w:val="0"/>
        <w:spacing w:line="360" w:lineRule="auto"/>
        <w:ind w:firstLine="420" w:firstLineChars="200"/>
        <w:rPr>
          <w:rFonts w:ascii="宋体" w:hAnsi="宋体" w:cs="宋体"/>
          <w:sz w:val="21"/>
        </w:rPr>
      </w:pPr>
      <w:r>
        <w:rPr>
          <w:rFonts w:hint="eastAsia" w:ascii="宋体" w:hAnsi="宋体" w:cs="宋体"/>
          <w:sz w:val="21"/>
        </w:rPr>
        <w:t>本单位郑重声明，根据《关于政府采购支持监狱企业发展有关问题的通知》的规定，本单位为(填写:符合或不符合)条件的监狱企业，且本单位参加</w:t>
      </w:r>
      <w:r>
        <w:rPr>
          <w:rFonts w:hint="eastAsia" w:ascii="宋体" w:hAnsi="宋体" w:cs="宋体"/>
          <w:sz w:val="21"/>
          <w:u w:val="single"/>
        </w:rPr>
        <w:t>（项目名称）</w:t>
      </w:r>
      <w:r>
        <w:rPr>
          <w:rFonts w:hint="eastAsia" w:ascii="宋体" w:hAnsi="宋体" w:cs="宋体"/>
          <w:sz w:val="21"/>
        </w:rPr>
        <w:t>采购活动提供本单位制造的货物，或者提供其他监狱企业制造的货物。</w:t>
      </w:r>
    </w:p>
    <w:p>
      <w:pPr>
        <w:snapToGrid w:val="0"/>
        <w:spacing w:line="360" w:lineRule="auto"/>
        <w:ind w:firstLine="420" w:firstLineChars="200"/>
        <w:rPr>
          <w:rFonts w:ascii="宋体" w:hAnsi="宋体" w:cs="宋体"/>
          <w:sz w:val="21"/>
        </w:rPr>
      </w:pPr>
      <w:r>
        <w:rPr>
          <w:rFonts w:hint="eastAsia" w:ascii="宋体" w:hAnsi="宋体" w:cs="宋体"/>
          <w:sz w:val="21"/>
        </w:rPr>
        <w:t>本公司对上述声明的真实性负责。如有虚假，将按照提供虚假响应材料处理。</w:t>
      </w:r>
    </w:p>
    <w:p>
      <w:pPr>
        <w:snapToGrid w:val="0"/>
        <w:spacing w:line="360" w:lineRule="auto"/>
        <w:rPr>
          <w:rFonts w:ascii="宋体" w:hAnsi="宋体"/>
          <w:sz w:val="21"/>
        </w:rPr>
      </w:pPr>
    </w:p>
    <w:p>
      <w:pPr>
        <w:snapToGrid w:val="0"/>
        <w:spacing w:line="360" w:lineRule="auto"/>
        <w:rPr>
          <w:rFonts w:ascii="宋体" w:hAnsi="宋体"/>
          <w:b/>
          <w:sz w:val="21"/>
        </w:rPr>
      </w:pPr>
    </w:p>
    <w:p>
      <w:pPr>
        <w:snapToGrid w:val="0"/>
        <w:spacing w:line="360" w:lineRule="auto"/>
        <w:rPr>
          <w:rFonts w:ascii="宋体" w:hAnsi="宋体" w:cs="宋体"/>
          <w:sz w:val="21"/>
          <w:szCs w:val="21"/>
        </w:rPr>
      </w:pPr>
      <w:r>
        <w:rPr>
          <w:rFonts w:hint="eastAsia" w:ascii="宋体" w:hAnsi="宋体" w:cs="宋体"/>
          <w:sz w:val="21"/>
          <w:szCs w:val="21"/>
        </w:rPr>
        <w:t>供应商人名称：（加盖公章）</w:t>
      </w:r>
    </w:p>
    <w:p>
      <w:pPr>
        <w:snapToGrid w:val="0"/>
        <w:spacing w:line="360" w:lineRule="auto"/>
        <w:rPr>
          <w:rFonts w:ascii="宋体" w:hAnsi="宋体" w:cs="宋体"/>
          <w:sz w:val="21"/>
          <w:szCs w:val="21"/>
        </w:rPr>
      </w:pPr>
      <w:r>
        <w:rPr>
          <w:rFonts w:hint="eastAsia" w:ascii="宋体" w:hAnsi="宋体" w:cs="宋体"/>
          <w:sz w:val="21"/>
          <w:szCs w:val="21"/>
        </w:rPr>
        <w:t>日期：</w:t>
      </w:r>
    </w:p>
    <w:p>
      <w:pPr>
        <w:snapToGrid w:val="0"/>
        <w:spacing w:line="360" w:lineRule="auto"/>
        <w:rPr>
          <w:rFonts w:ascii="宋体" w:hAnsi="宋体"/>
          <w:b/>
          <w:sz w:val="21"/>
        </w:rPr>
      </w:pPr>
    </w:p>
    <w:p>
      <w:pPr>
        <w:snapToGrid w:val="0"/>
        <w:spacing w:line="360" w:lineRule="auto"/>
        <w:rPr>
          <w:rFonts w:ascii="宋体" w:hAnsi="宋体" w:cs="仿宋"/>
          <w:bCs/>
          <w:sz w:val="21"/>
        </w:rPr>
      </w:pPr>
      <w:r>
        <w:rPr>
          <w:rFonts w:hint="eastAsia" w:ascii="宋体" w:hAnsi="宋体" w:cs="仿宋"/>
          <w:bCs/>
          <w:sz w:val="21"/>
        </w:rPr>
        <w:t>注：监狱企业视同小型、微型企业，享受预留份额、评审中价格扣除等促进中小企业发展的政府采购政策。监狱企业属于小型、微型企业的，不重复享受政策。供应商为非监狱企业的，可不提供此声明。</w:t>
      </w:r>
    </w:p>
    <w:p>
      <w:pPr>
        <w:rPr>
          <w:rFonts w:ascii="宋体" w:hAnsi="宋体" w:eastAsia="宋体"/>
          <w:b/>
          <w:sz w:val="21"/>
          <w:szCs w:val="21"/>
        </w:rPr>
      </w:pPr>
      <w:r>
        <w:rPr>
          <w:rFonts w:ascii="宋体" w:hAnsi="宋体" w:eastAsia="宋体"/>
          <w:b/>
          <w:sz w:val="21"/>
          <w:szCs w:val="21"/>
        </w:rPr>
        <w:br w:type="page"/>
      </w:r>
    </w:p>
    <w:p>
      <w:pPr>
        <w:rPr>
          <w:rFonts w:ascii="宋体" w:hAnsi="宋体" w:eastAsia="宋体"/>
          <w:b/>
          <w:sz w:val="21"/>
          <w:szCs w:val="21"/>
        </w:rPr>
      </w:pPr>
      <w:r>
        <w:rPr>
          <w:rFonts w:hint="eastAsia" w:ascii="宋体" w:hAnsi="宋体" w:eastAsia="宋体"/>
          <w:b/>
          <w:sz w:val="21"/>
          <w:szCs w:val="21"/>
        </w:rPr>
        <w:t>十一、应当提供的报价产品（如涉及）的资格、资质性及其他类似效力要求的相关证明材料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rPr>
          <w:rFonts w:ascii="宋体" w:hAnsi="宋体" w:eastAsia="宋体" w:cstheme="majorBidi"/>
          <w:b/>
          <w:bCs/>
          <w:sz w:val="21"/>
          <w:szCs w:val="21"/>
        </w:rPr>
      </w:pPr>
    </w:p>
    <w:p>
      <w:pPr>
        <w:rPr>
          <w:rFonts w:ascii="宋体" w:hAnsi="宋体" w:eastAsia="宋体" w:cstheme="majorBidi"/>
          <w:b/>
          <w:bCs/>
          <w:sz w:val="21"/>
          <w:szCs w:val="21"/>
        </w:rPr>
      </w:pPr>
      <w:r>
        <w:rPr>
          <w:rFonts w:ascii="宋体" w:hAnsi="宋体" w:eastAsia="宋体" w:cstheme="majorBidi"/>
          <w:b/>
          <w:bCs/>
          <w:sz w:val="21"/>
          <w:szCs w:val="21"/>
        </w:rPr>
        <w:br w:type="page"/>
      </w:r>
    </w:p>
    <w:p>
      <w:pPr>
        <w:rPr>
          <w:rFonts w:ascii="宋体" w:hAnsi="宋体" w:eastAsia="宋体" w:cstheme="majorBidi"/>
          <w:b/>
          <w:bCs/>
          <w:sz w:val="21"/>
          <w:szCs w:val="21"/>
        </w:rPr>
      </w:pPr>
    </w:p>
    <w:p>
      <w:pPr>
        <w:pStyle w:val="27"/>
        <w:spacing w:line="360" w:lineRule="auto"/>
        <w:rPr>
          <w:rFonts w:asciiTheme="minorEastAsia" w:hAnsiTheme="minorEastAsia" w:eastAsiaTheme="minorEastAsia"/>
        </w:rPr>
      </w:pPr>
      <w:bookmarkStart w:id="108" w:name="_Toc11835065"/>
      <w:bookmarkStart w:id="109" w:name="_Toc24017307"/>
      <w:r>
        <w:rPr>
          <w:rFonts w:hint="eastAsia" w:asciiTheme="minorEastAsia" w:hAnsiTheme="minorEastAsia" w:eastAsiaTheme="minorEastAsia"/>
        </w:rPr>
        <w:t>第二册其他响应文件</w:t>
      </w:r>
      <w:bookmarkEnd w:id="108"/>
      <w:bookmarkEnd w:id="109"/>
    </w:p>
    <w:p>
      <w:pPr>
        <w:spacing w:line="360" w:lineRule="auto"/>
        <w:rPr>
          <w:rFonts w:asciiTheme="minorEastAsia" w:hAnsiTheme="minorEastAsia"/>
          <w:szCs w:val="21"/>
        </w:rPr>
      </w:pPr>
    </w:p>
    <w:p>
      <w:pPr>
        <w:pStyle w:val="27"/>
        <w:spacing w:line="360" w:lineRule="auto"/>
        <w:rPr>
          <w:rFonts w:asciiTheme="minorEastAsia" w:hAnsiTheme="minorEastAsia"/>
          <w:szCs w:val="21"/>
        </w:rPr>
      </w:pPr>
      <w:r>
        <w:rPr>
          <w:rFonts w:asciiTheme="minorEastAsia" w:hAnsiTheme="minorEastAsia"/>
        </w:rPr>
        <w:pict>
          <v:shape id="_x0000_s1027" o:spid="_x0000_s1027" o:spt="202" type="#_x0000_t202" style="position:absolute;left:0pt;margin-left:319.35pt;margin-top:13.35pt;height:40.55pt;width:89.55pt;z-index:251659264;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xXtuXUUCAACVBAAADgAAAGRycy9lMm9Eb2MueG1srVTN&#10;bhMxEL4j8Q6W73STkNA26qYqiYKQyo9UeADH681a2B4zdrJbHgDegBMX7jxXn4Oxd1tCAakH9rDy&#10;7Iy/mfm+mT0776xhe4VBgyv5+GjEmXISKu22JX//bv3khLMQhauEAadKfq0CP188fnTW+rmaQAOm&#10;UsgIxIV560vexOjnRRFko6wIR+CVI2cNaEUkE7dFhaIldGuKyWj0rGgBK48gVQj0ddU7+YCIDwGE&#10;utZSrUDurHKxR0VlRKSWQqN94ItcbV0rGd/UdVCRmZJTpzG/KQmdN+ldLM7EfIvCN1oOJYiHlHCv&#10;Jyu0o6R3UCsRBduh/gPKaokQoI5HEmzRN5IZoS7Go3vcXDXCq9wLUR38Henh/8HK1/u3yHRV8hln&#10;TlgS/Obrl5tvP26+f2azRE/rw5yirjzFxe45dDQ0udXgL0F+CMzBshFuqy4QoW2UqKi8cbpZHFzt&#10;cUIC2bSvoKI8YhchA3U12sQdscEInaS5vpNGdZHJlHL89HhyQjVK8s3G01M6pxRifnvbY4gvFFiW&#10;DiVHkj6ji/1liH3obUhKFsDoaq2NyQZuN0uDbC9oTNb5GdB/CzOOtSU/nU1mPQH/hBjl528QVkfa&#10;HqNtyU8Og4xLdag8sUO9ib1EWE9d7DbdoMYGqmviEaGfZtplOjSAnzhraZJLHj7uBCrOzEtHWpyO&#10;p9M0+tmYzo4nZOChZ3PoEU4SVMkjZ/1xGft12XnU24Yy3ap/QfqtdaY2ldpXNahO05rFGTYrrcOh&#10;naN+/U0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xXtuXU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（其他响应部分）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日期：年月日</w:t>
      </w:r>
    </w:p>
    <w:p>
      <w:pPr>
        <w:spacing w:line="360" w:lineRule="auto"/>
        <w:rPr>
          <w:rFonts w:ascii="仿宋" w:hAnsi="仿宋" w:eastAsia="仿宋"/>
          <w:b/>
          <w:sz w:val="21"/>
          <w:szCs w:val="21"/>
        </w:rPr>
      </w:pPr>
    </w:p>
    <w:p>
      <w:pPr>
        <w:spacing w:line="360" w:lineRule="auto"/>
        <w:rPr>
          <w:rFonts w:ascii="仿宋" w:hAnsi="仿宋" w:eastAsia="仿宋"/>
          <w:sz w:val="21"/>
          <w:szCs w:val="21"/>
        </w:rPr>
      </w:pPr>
      <w:r>
        <w:rPr>
          <w:rFonts w:hint="eastAsia" w:ascii="仿宋" w:hAnsi="仿宋" w:eastAsia="仿宋"/>
          <w:sz w:val="21"/>
          <w:szCs w:val="21"/>
        </w:rPr>
        <w:t>注：供应商可参照该格式制作响应文件封面，响应文件封面应包括项目名称、采购编号、供应商人名称、分包号（如有分包）、注明为其他响应部分以及“正本”或“副本”字样。</w:t>
      </w:r>
    </w:p>
    <w:p>
      <w:pPr>
        <w:spacing w:line="360" w:lineRule="auto"/>
        <w:rPr>
          <w:rFonts w:asciiTheme="minorEastAsia" w:hAnsiTheme="minorEastAsia"/>
        </w:rPr>
      </w:pPr>
    </w:p>
    <w:p>
      <w:pPr>
        <w:spacing w:line="360" w:lineRule="auto"/>
        <w:rPr>
          <w:rFonts w:ascii="宋体" w:hAnsi="宋体" w:eastAsia="宋体" w:cstheme="majorBidi"/>
          <w:b/>
          <w:sz w:val="21"/>
          <w:szCs w:val="21"/>
        </w:rPr>
      </w:pP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一、首轮报价表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2632"/>
        <w:gridCol w:w="247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58" w:type="dxa"/>
            <w:noWrap/>
            <w:vAlign w:val="center"/>
          </w:tcPr>
          <w:p>
            <w:pPr>
              <w:snapToGrid w:val="0"/>
              <w:jc w:val="center"/>
              <w:rPr>
                <w:rFonts w:ascii="新宋体" w:hAnsi="新宋体" w:eastAsia="新宋体" w:cs="新宋体"/>
                <w:bCs/>
              </w:rPr>
            </w:pPr>
            <w:bookmarkStart w:id="110" w:name="_Toc469324525"/>
            <w:r>
              <w:rPr>
                <w:rFonts w:hint="eastAsia" w:ascii="新宋体" w:hAnsi="新宋体" w:eastAsia="新宋体" w:cs="新宋体"/>
                <w:bCs/>
              </w:rPr>
              <w:t>项目名称</w:t>
            </w:r>
            <w:bookmarkEnd w:id="110"/>
          </w:p>
        </w:tc>
        <w:tc>
          <w:tcPr>
            <w:tcW w:w="263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服务内容</w:t>
            </w:r>
          </w:p>
        </w:tc>
        <w:tc>
          <w:tcPr>
            <w:tcW w:w="2471"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服务年限</w:t>
            </w:r>
          </w:p>
        </w:tc>
        <w:tc>
          <w:tcPr>
            <w:tcW w:w="2259"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报价（万元/年）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858" w:type="dxa"/>
            <w:noWrap/>
            <w:vAlign w:val="center"/>
          </w:tcPr>
          <w:p>
            <w:pPr>
              <w:snapToGrid w:val="0"/>
              <w:rPr>
                <w:rFonts w:ascii="新宋体" w:hAnsi="新宋体" w:eastAsia="新宋体" w:cs="新宋体"/>
                <w:bCs/>
              </w:rPr>
            </w:pPr>
            <w:r>
              <w:rPr>
                <w:rFonts w:hint="eastAsia" w:ascii="新宋体" w:hAnsi="新宋体" w:eastAsia="新宋体" w:cs="新宋体"/>
              </w:rPr>
              <w:t>成都东部新区  高明镇专职网格员服务采购项目</w:t>
            </w:r>
          </w:p>
        </w:tc>
        <w:tc>
          <w:tcPr>
            <w:tcW w:w="2632" w:type="dxa"/>
            <w:noWrap/>
            <w:vAlign w:val="center"/>
          </w:tcPr>
          <w:p>
            <w:pPr>
              <w:snapToGrid w:val="0"/>
              <w:rPr>
                <w:rFonts w:ascii="新宋体" w:hAnsi="新宋体" w:eastAsia="新宋体" w:cs="新宋体"/>
                <w:bCs/>
              </w:rPr>
            </w:pPr>
            <w:r>
              <w:rPr>
                <w:rFonts w:hint="eastAsia" w:ascii="新宋体" w:hAnsi="新宋体" w:eastAsia="新宋体" w:cs="新宋体"/>
              </w:rPr>
              <w:t>劳务派遣</w:t>
            </w:r>
            <w:r>
              <w:rPr>
                <w:rFonts w:hint="eastAsia" w:ascii="新宋体" w:hAnsi="新宋体" w:eastAsia="新宋体" w:cs="新宋体"/>
                <w:u w:val="single"/>
              </w:rPr>
              <w:t>19名</w:t>
            </w:r>
            <w:r>
              <w:rPr>
                <w:rFonts w:hint="eastAsia" w:ascii="新宋体" w:hAnsi="新宋体" w:eastAsia="新宋体" w:cs="新宋体"/>
              </w:rPr>
              <w:t>网格员</w:t>
            </w:r>
          </w:p>
        </w:tc>
        <w:tc>
          <w:tcPr>
            <w:tcW w:w="2471" w:type="dxa"/>
            <w:noWrap/>
            <w:vAlign w:val="center"/>
          </w:tcPr>
          <w:p>
            <w:pPr>
              <w:snapToGrid w:val="0"/>
              <w:rPr>
                <w:rFonts w:ascii="新宋体" w:hAnsi="新宋体" w:eastAsia="新宋体" w:cs="新宋体"/>
                <w:bCs/>
              </w:rPr>
            </w:pPr>
            <w:r>
              <w:rPr>
                <w:rFonts w:hint="eastAsia" w:ascii="新宋体" w:hAnsi="新宋体" w:eastAsia="新宋体" w:cs="新宋体"/>
                <w:bCs/>
              </w:rPr>
              <w:t>三年、合同一年一签</w:t>
            </w:r>
          </w:p>
        </w:tc>
        <w:tc>
          <w:tcPr>
            <w:tcW w:w="2259" w:type="dxa"/>
            <w:noWrap/>
            <w:vAlign w:val="center"/>
          </w:tcPr>
          <w:p>
            <w:pPr>
              <w:snapToGrid w:val="0"/>
              <w:rPr>
                <w:rFonts w:ascii="新宋体" w:hAnsi="新宋体" w:eastAsia="新宋体" w:cs="新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858"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投标总价</w:t>
            </w:r>
          </w:p>
        </w:tc>
        <w:tc>
          <w:tcPr>
            <w:tcW w:w="7362" w:type="dxa"/>
            <w:gridSpan w:val="3"/>
            <w:noWrap/>
            <w:vAlign w:val="center"/>
          </w:tcPr>
          <w:p>
            <w:pPr>
              <w:snapToGrid w:val="0"/>
              <w:spacing w:line="480" w:lineRule="auto"/>
              <w:rPr>
                <w:rFonts w:ascii="新宋体" w:hAnsi="新宋体" w:eastAsia="新宋体" w:cs="新宋体"/>
                <w:bCs/>
              </w:rPr>
            </w:pPr>
          </w:p>
          <w:p>
            <w:pPr>
              <w:snapToGrid w:val="0"/>
              <w:spacing w:line="480" w:lineRule="auto"/>
              <w:rPr>
                <w:rFonts w:ascii="新宋体" w:hAnsi="新宋体" w:eastAsia="新宋体" w:cs="新宋体"/>
                <w:bCs/>
              </w:rPr>
            </w:pPr>
            <w:r>
              <w:rPr>
                <w:rFonts w:hint="eastAsia" w:ascii="新宋体" w:hAnsi="新宋体" w:eastAsia="新宋体" w:cs="新宋体"/>
                <w:bCs/>
              </w:rPr>
              <w:t>人民币大写：</w:t>
            </w:r>
            <w:r>
              <w:rPr>
                <w:rFonts w:hint="eastAsia" w:ascii="新宋体" w:hAnsi="新宋体" w:eastAsia="新宋体" w:cs="新宋体"/>
                <w:bCs/>
                <w:u w:val="single"/>
              </w:rPr>
              <w:t>　　　　　　</w:t>
            </w:r>
          </w:p>
          <w:p>
            <w:pPr>
              <w:snapToGrid w:val="0"/>
              <w:spacing w:line="480" w:lineRule="auto"/>
              <w:rPr>
                <w:rFonts w:ascii="新宋体" w:hAnsi="新宋体" w:eastAsia="新宋体" w:cs="新宋体"/>
                <w:bCs/>
              </w:rPr>
            </w:pPr>
            <w:r>
              <w:rPr>
                <w:rFonts w:hint="eastAsia" w:ascii="新宋体" w:hAnsi="新宋体" w:eastAsia="新宋体" w:cs="新宋体"/>
                <w:bCs/>
              </w:rPr>
              <w:t>（人民币小写：</w:t>
            </w:r>
            <w:r>
              <w:rPr>
                <w:rFonts w:hint="eastAsia" w:ascii="新宋体" w:hAnsi="新宋体" w:eastAsia="新宋体" w:cs="新宋体"/>
                <w:bCs/>
                <w:u w:val="single"/>
              </w:rPr>
              <w:t>　　　　</w:t>
            </w:r>
            <w:r>
              <w:rPr>
                <w:rFonts w:hint="eastAsia" w:ascii="新宋体" w:hAnsi="新宋体" w:eastAsia="新宋体" w:cs="新宋体"/>
                <w:bCs/>
              </w:rPr>
              <w:t>万元/年）</w:t>
            </w:r>
          </w:p>
        </w:tc>
      </w:tr>
    </w:tbl>
    <w:p>
      <w:pPr>
        <w:spacing w:line="360" w:lineRule="auto"/>
        <w:rPr>
          <w:rFonts w:ascii="宋体" w:hAnsi="宋体" w:eastAsia="宋体"/>
          <w:sz w:val="21"/>
          <w:szCs w:val="21"/>
        </w:rPr>
      </w:pPr>
    </w:p>
    <w:p>
      <w:pPr>
        <w:spacing w:after="120" w:line="360" w:lineRule="auto"/>
        <w:rPr>
          <w:rFonts w:ascii="仿宋" w:hAnsi="仿宋" w:eastAsia="仿宋" w:cs="宋体"/>
          <w:i/>
          <w:sz w:val="21"/>
          <w:szCs w:val="21"/>
        </w:rPr>
      </w:pPr>
      <w:r>
        <w:rPr>
          <w:rFonts w:hint="eastAsia" w:ascii="仿宋" w:hAnsi="仿宋" w:eastAsia="仿宋" w:cs="Marigold"/>
          <w:sz w:val="21"/>
          <w:szCs w:val="21"/>
        </w:rPr>
        <w:t>注：1、报价应是最终用户验收合格后的总价，包括但不限于货款、货物运输、保险、代理、培训、</w:t>
      </w:r>
      <w:r>
        <w:rPr>
          <w:rFonts w:hint="eastAsia" w:ascii="仿宋" w:hAnsi="仿宋" w:eastAsia="仿宋" w:cs="宋体"/>
          <w:sz w:val="21"/>
          <w:szCs w:val="21"/>
        </w:rPr>
        <w:t>材料损耗和</w:t>
      </w:r>
      <w:r>
        <w:rPr>
          <w:rFonts w:ascii="仿宋" w:hAnsi="仿宋" w:eastAsia="仿宋" w:cs="宋体"/>
          <w:sz w:val="21"/>
          <w:szCs w:val="21"/>
        </w:rPr>
        <w:t>设备</w:t>
      </w:r>
      <w:r>
        <w:rPr>
          <w:rFonts w:hint="eastAsia" w:ascii="仿宋" w:hAnsi="仿宋" w:eastAsia="仿宋" w:cs="宋体"/>
          <w:sz w:val="21"/>
          <w:szCs w:val="21"/>
        </w:rPr>
        <w:t>折旧成</w:t>
      </w:r>
      <w:r>
        <w:rPr>
          <w:rFonts w:ascii="仿宋" w:hAnsi="仿宋" w:eastAsia="仿宋" w:cs="宋体"/>
          <w:sz w:val="21"/>
          <w:szCs w:val="21"/>
        </w:rPr>
        <w:t>本</w:t>
      </w:r>
      <w:r>
        <w:rPr>
          <w:rFonts w:hint="eastAsia" w:ascii="仿宋" w:hAnsi="仿宋" w:eastAsia="仿宋" w:cs="宋体"/>
          <w:sz w:val="21"/>
          <w:szCs w:val="21"/>
        </w:rPr>
        <w:t>、投入项目人员的工资、福利、社保等人工成本，税金及附加、销售费用、管理费用、财务费用、成交服务费等多种构成因素</w:t>
      </w:r>
      <w:r>
        <w:rPr>
          <w:rFonts w:hint="eastAsia" w:ascii="仿宋" w:hAnsi="仿宋" w:eastAsia="仿宋" w:cs="Marigold"/>
          <w:sz w:val="21"/>
          <w:szCs w:val="21"/>
        </w:rPr>
        <w:t>、磋商文件规定的其它一切费用，所有市场价格波动由供应商自行承担</w:t>
      </w:r>
      <w:r>
        <w:rPr>
          <w:rFonts w:hint="eastAsia" w:ascii="仿宋" w:hAnsi="仿宋" w:eastAsia="仿宋" w:cs="宋体"/>
          <w:sz w:val="21"/>
          <w:szCs w:val="21"/>
        </w:rPr>
        <w:t>。</w:t>
      </w:r>
    </w:p>
    <w:p>
      <w:pPr>
        <w:spacing w:after="120" w:line="360" w:lineRule="auto"/>
        <w:rPr>
          <w:rFonts w:ascii="仿宋" w:hAnsi="仿宋" w:eastAsia="仿宋" w:cs="Marigold"/>
          <w:i/>
          <w:sz w:val="21"/>
          <w:szCs w:val="21"/>
        </w:rPr>
      </w:pPr>
      <w:r>
        <w:rPr>
          <w:rFonts w:hint="eastAsia" w:ascii="仿宋" w:hAnsi="仿宋" w:eastAsia="仿宋" w:cs="Marigold"/>
          <w:sz w:val="21"/>
          <w:szCs w:val="21"/>
        </w:rPr>
        <w:t>2、报价表为多页的，每页均需由法定代表人或</w:t>
      </w:r>
      <w:r>
        <w:rPr>
          <w:rFonts w:hint="eastAsia" w:ascii="仿宋" w:hAnsi="仿宋" w:eastAsia="仿宋"/>
          <w:sz w:val="21"/>
          <w:szCs w:val="21"/>
        </w:rPr>
        <w:t>代理人</w:t>
      </w:r>
      <w:r>
        <w:rPr>
          <w:rFonts w:hint="eastAsia" w:ascii="仿宋" w:hAnsi="仿宋" w:eastAsia="仿宋" w:cs="Marigold"/>
          <w:sz w:val="21"/>
          <w:szCs w:val="21"/>
        </w:rPr>
        <w:t>签字并盖供应商公章。</w:t>
      </w:r>
    </w:p>
    <w:p>
      <w:pPr>
        <w:widowControl w:val="0"/>
        <w:spacing w:line="360" w:lineRule="auto"/>
        <w:jc w:val="both"/>
        <w:rPr>
          <w:rFonts w:ascii="仿宋" w:hAnsi="仿宋" w:eastAsia="仿宋"/>
          <w:sz w:val="21"/>
          <w:szCs w:val="21"/>
        </w:rPr>
      </w:pPr>
      <w:r>
        <w:rPr>
          <w:rFonts w:hint="eastAsia" w:ascii="仿宋" w:hAnsi="仿宋" w:eastAsia="仿宋" w:cs="Marigold"/>
          <w:sz w:val="21"/>
          <w:szCs w:val="21"/>
        </w:rPr>
        <w:t>3、</w:t>
      </w:r>
      <w:r>
        <w:rPr>
          <w:rFonts w:hint="eastAsia" w:ascii="仿宋" w:hAnsi="仿宋" w:eastAsia="仿宋"/>
          <w:sz w:val="21"/>
          <w:szCs w:val="21"/>
        </w:rPr>
        <w:t>以上表格如不能完全表达清楚供应商认为必要的费用明细，供应商可自行补充。</w:t>
      </w:r>
    </w:p>
    <w:p>
      <w:pPr>
        <w:spacing w:after="120" w:line="360" w:lineRule="auto"/>
        <w:ind w:left="240" w:firstLine="37" w:firstLineChars="18"/>
        <w:rPr>
          <w:rFonts w:ascii="宋体" w:hAnsi="宋体" w:eastAsia="宋体" w:cs="Marigold"/>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rPr>
          <w:rFonts w:ascii="宋体" w:hAnsi="宋体" w:eastAsia="宋体"/>
          <w:b/>
          <w:sz w:val="21"/>
          <w:szCs w:val="21"/>
        </w:rPr>
      </w:pPr>
      <w:r>
        <w:rPr>
          <w:rFonts w:ascii="宋体" w:hAnsi="宋体" w:eastAsia="宋体"/>
          <w:b/>
          <w:sz w:val="21"/>
          <w:szCs w:val="21"/>
        </w:rPr>
        <w:br w:type="page"/>
      </w:r>
    </w:p>
    <w:p>
      <w:pPr>
        <w:jc w:val="center"/>
        <w:rPr>
          <w:rFonts w:ascii="宋体" w:hAnsi="宋体" w:eastAsia="宋体" w:cstheme="majorBidi"/>
          <w:b/>
          <w:sz w:val="21"/>
          <w:szCs w:val="21"/>
        </w:rPr>
      </w:pPr>
      <w:r>
        <w:rPr>
          <w:rFonts w:hint="eastAsia" w:ascii="宋体" w:hAnsi="宋体" w:eastAsia="宋体"/>
          <w:b/>
          <w:sz w:val="21"/>
          <w:szCs w:val="21"/>
        </w:rPr>
        <w:t>二、分项报价明细表</w:t>
      </w:r>
    </w:p>
    <w:p>
      <w:pPr>
        <w:spacing w:line="360" w:lineRule="auto"/>
        <w:rPr>
          <w:rFonts w:ascii="宋体" w:hAnsi="宋体" w:eastAsia="宋体"/>
          <w:sz w:val="21"/>
          <w:szCs w:val="21"/>
        </w:rPr>
      </w:pPr>
    </w:p>
    <w:tbl>
      <w:tblPr>
        <w:tblStyle w:val="3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57"/>
        <w:gridCol w:w="1514"/>
        <w:gridCol w:w="264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942" w:type="dxa"/>
            <w:noWrap/>
            <w:vAlign w:val="center"/>
          </w:tcPr>
          <w:p>
            <w:pPr>
              <w:pStyle w:val="19"/>
              <w:snapToGrid w:val="0"/>
              <w:ind w:firstLine="480"/>
              <w:jc w:val="center"/>
              <w:rPr>
                <w:rFonts w:ascii="新宋体" w:hAnsi="新宋体" w:eastAsia="新宋体" w:cs="新宋体"/>
                <w:bCs/>
                <w:szCs w:val="24"/>
              </w:rPr>
            </w:pPr>
            <w:r>
              <w:rPr>
                <w:rFonts w:hint="eastAsia" w:ascii="新宋体" w:hAnsi="新宋体" w:eastAsia="新宋体" w:cs="新宋体"/>
                <w:bCs/>
                <w:szCs w:val="24"/>
              </w:rPr>
              <w:t>序号</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服务内容</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服务期限</w:t>
            </w:r>
          </w:p>
        </w:tc>
        <w:tc>
          <w:tcPr>
            <w:tcW w:w="2641"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w:t>
            </w:r>
          </w:p>
        </w:tc>
        <w:tc>
          <w:tcPr>
            <w:tcW w:w="2343"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1</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派遣人员薪酬固定费用</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三年,合同一年一签</w:t>
            </w:r>
          </w:p>
        </w:tc>
        <w:tc>
          <w:tcPr>
            <w:tcW w:w="2641" w:type="dxa"/>
            <w:noWrap/>
            <w:vAlign w:val="center"/>
          </w:tcPr>
          <w:p>
            <w:pPr>
              <w:pStyle w:val="19"/>
              <w:tabs>
                <w:tab w:val="left" w:pos="720"/>
                <w:tab w:val="center" w:pos="1622"/>
              </w:tabs>
              <w:snapToGrid w:val="0"/>
              <w:jc w:val="center"/>
              <w:rPr>
                <w:rFonts w:ascii="新宋体" w:hAnsi="新宋体" w:eastAsia="新宋体" w:cs="新宋体"/>
                <w:bCs/>
                <w:szCs w:val="24"/>
              </w:rPr>
            </w:pPr>
            <w:r>
              <w:rPr>
                <w:rFonts w:hint="eastAsia" w:ascii="新宋体" w:hAnsi="新宋体" w:eastAsia="新宋体" w:cs="新宋体"/>
                <w:bCs/>
                <w:szCs w:val="24"/>
              </w:rPr>
              <w:t>人民币</w:t>
            </w:r>
            <w:r>
              <w:rPr>
                <w:rFonts w:hint="eastAsia" w:ascii="新宋体" w:hAnsi="新宋体" w:eastAsia="新宋体" w:cs="新宋体"/>
                <w:bCs/>
                <w:szCs w:val="24"/>
                <w:u w:val="single"/>
              </w:rPr>
              <w:t>76.00</w:t>
            </w:r>
            <w:r>
              <w:rPr>
                <w:rFonts w:hint="eastAsia" w:ascii="新宋体" w:hAnsi="新宋体" w:eastAsia="新宋体" w:cs="新宋体"/>
                <w:bCs/>
                <w:szCs w:val="24"/>
              </w:rPr>
              <w:t>万元/年</w:t>
            </w:r>
          </w:p>
        </w:tc>
        <w:tc>
          <w:tcPr>
            <w:tcW w:w="2343"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4.0万元/人/年×19人数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2</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派遣服务费</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三年,合同一年一签</w:t>
            </w:r>
          </w:p>
        </w:tc>
        <w:tc>
          <w:tcPr>
            <w:tcW w:w="2641"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人民币</w:t>
            </w:r>
            <w:r>
              <w:rPr>
                <w:rFonts w:hint="eastAsia" w:ascii="新宋体" w:hAnsi="新宋体" w:eastAsia="新宋体" w:cs="新宋体"/>
                <w:bCs/>
                <w:szCs w:val="24"/>
                <w:u w:val="single"/>
              </w:rPr>
              <w:t>　　　</w:t>
            </w:r>
            <w:r>
              <w:rPr>
                <w:rFonts w:hint="eastAsia" w:ascii="新宋体" w:hAnsi="新宋体" w:eastAsia="新宋体" w:cs="新宋体"/>
                <w:bCs/>
                <w:szCs w:val="24"/>
              </w:rPr>
              <w:t>万元/人/年×19人</w:t>
            </w:r>
          </w:p>
        </w:tc>
        <w:tc>
          <w:tcPr>
            <w:tcW w:w="2343"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报价不得超过0.096万元/人/年，否则作无效响应处理。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42" w:type="dxa"/>
            <w:noWrap/>
            <w:vAlign w:val="center"/>
          </w:tcPr>
          <w:p>
            <w:pPr>
              <w:pStyle w:val="19"/>
              <w:snapToGrid w:val="0"/>
              <w:rPr>
                <w:rFonts w:ascii="新宋体" w:hAnsi="新宋体" w:eastAsia="新宋体" w:cs="新宋体"/>
                <w:bCs/>
                <w:szCs w:val="24"/>
              </w:rPr>
            </w:pPr>
            <w:r>
              <w:rPr>
                <w:rFonts w:hint="eastAsia" w:ascii="新宋体" w:hAnsi="新宋体" w:eastAsia="新宋体" w:cs="新宋体"/>
                <w:bCs/>
                <w:szCs w:val="24"/>
              </w:rPr>
              <w:t>总价(万元)</w:t>
            </w:r>
          </w:p>
        </w:tc>
        <w:tc>
          <w:tcPr>
            <w:tcW w:w="7955" w:type="dxa"/>
            <w:gridSpan w:val="4"/>
            <w:noWrap/>
            <w:vAlign w:val="center"/>
          </w:tcPr>
          <w:p>
            <w:pPr>
              <w:snapToGrid w:val="0"/>
              <w:spacing w:line="480" w:lineRule="auto"/>
              <w:rPr>
                <w:rFonts w:ascii="新宋体" w:hAnsi="新宋体" w:eastAsia="新宋体" w:cs="新宋体"/>
                <w:bCs/>
              </w:rPr>
            </w:pPr>
          </w:p>
          <w:p>
            <w:pPr>
              <w:snapToGrid w:val="0"/>
              <w:spacing w:line="480" w:lineRule="auto"/>
              <w:rPr>
                <w:rFonts w:ascii="新宋体" w:hAnsi="新宋体" w:eastAsia="新宋体" w:cs="新宋体"/>
              </w:rPr>
            </w:pPr>
            <w:r>
              <w:rPr>
                <w:rFonts w:hint="eastAsia" w:ascii="新宋体" w:hAnsi="新宋体" w:eastAsia="新宋体" w:cs="新宋体"/>
                <w:bCs/>
              </w:rPr>
              <w:t>人民币大写：</w:t>
            </w:r>
            <w:r>
              <w:rPr>
                <w:rFonts w:hint="eastAsia" w:ascii="新宋体" w:hAnsi="新宋体" w:eastAsia="新宋体" w:cs="新宋体"/>
                <w:bCs/>
                <w:u w:val="single"/>
              </w:rPr>
              <w:t xml:space="preserve">　　　  </w:t>
            </w:r>
          </w:p>
          <w:p>
            <w:pPr>
              <w:pStyle w:val="19"/>
              <w:snapToGrid w:val="0"/>
              <w:spacing w:line="480" w:lineRule="auto"/>
              <w:rPr>
                <w:rFonts w:ascii="新宋体" w:hAnsi="新宋体" w:eastAsia="新宋体" w:cs="新宋体"/>
                <w:bCs/>
                <w:szCs w:val="24"/>
              </w:rPr>
            </w:pPr>
            <w:r>
              <w:rPr>
                <w:rFonts w:hint="eastAsia" w:ascii="新宋体" w:hAnsi="新宋体" w:eastAsia="新宋体" w:cs="新宋体"/>
                <w:bCs/>
                <w:szCs w:val="24"/>
              </w:rPr>
              <w:t>（人民币小写：</w:t>
            </w:r>
            <w:r>
              <w:rPr>
                <w:rFonts w:hint="eastAsia" w:ascii="新宋体" w:hAnsi="新宋体" w:eastAsia="新宋体" w:cs="新宋体"/>
                <w:bCs/>
                <w:szCs w:val="24"/>
                <w:u w:val="single"/>
              </w:rPr>
              <w:t>　　 　</w:t>
            </w:r>
            <w:r>
              <w:rPr>
                <w:rFonts w:hint="eastAsia" w:ascii="新宋体" w:hAnsi="新宋体" w:eastAsia="新宋体" w:cs="新宋体"/>
                <w:bCs/>
                <w:szCs w:val="24"/>
              </w:rPr>
              <w:t>万元/年）</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仿宋" w:hAnsi="仿宋" w:eastAsia="仿宋"/>
          <w:sz w:val="21"/>
          <w:szCs w:val="21"/>
        </w:rPr>
      </w:pPr>
      <w:r>
        <w:rPr>
          <w:rFonts w:hint="eastAsia" w:ascii="仿宋" w:hAnsi="仿宋" w:eastAsia="仿宋"/>
          <w:sz w:val="21"/>
          <w:szCs w:val="21"/>
        </w:rPr>
        <w:t>注：1、“分项报价明细表”各分项报价合计应当与“首轮报价表”报价相等。</w:t>
      </w:r>
    </w:p>
    <w:p>
      <w:pPr>
        <w:spacing w:line="360" w:lineRule="auto"/>
        <w:rPr>
          <w:rFonts w:ascii="仿宋" w:hAnsi="仿宋" w:eastAsia="仿宋"/>
          <w:sz w:val="21"/>
          <w:szCs w:val="21"/>
        </w:rPr>
      </w:pPr>
      <w:r>
        <w:rPr>
          <w:rFonts w:hint="eastAsia" w:ascii="仿宋" w:hAnsi="仿宋" w:eastAsia="仿宋"/>
          <w:sz w:val="21"/>
          <w:szCs w:val="21"/>
        </w:rPr>
        <w:t>2、分项报价合计与最终报价合计金额差异部分按同比例下浮原则调整处理。</w:t>
      </w:r>
    </w:p>
    <w:p>
      <w:pPr>
        <w:spacing w:line="360" w:lineRule="auto"/>
        <w:ind w:firstLine="420" w:firstLineChars="200"/>
        <w:rPr>
          <w:rFonts w:ascii="仿宋" w:hAnsi="仿宋" w:eastAsia="仿宋"/>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spacing w:line="360" w:lineRule="auto"/>
        <w:rPr>
          <w:rFonts w:ascii="宋体" w:hAnsi="宋体" w:eastAsia="宋体" w:cstheme="majorBidi"/>
          <w:b/>
          <w:sz w:val="21"/>
          <w:szCs w:val="21"/>
        </w:rPr>
      </w:pPr>
      <w:r>
        <w:rPr>
          <w:rFonts w:ascii="宋体" w:hAnsi="宋体" w:eastAsia="宋体" w:cstheme="majorBidi"/>
          <w:b/>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三、技术、服务应答表</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24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2"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技术、服务要求，则只需在此表的任意处填写“完全响应”即可，否则供应商必须根据第五章技术、服务要求逐一据实填写，虚假应答将取消其响应或成交资格。如第五章或评分标准中有要求提供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仿宋" w:hAnsi="仿宋" w:eastAsia="仿宋"/>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供应商人名称：（加盖公章）</w:t>
      </w:r>
    </w:p>
    <w:p>
      <w:pPr>
        <w:spacing w:line="360" w:lineRule="auto"/>
        <w:rPr>
          <w:rFonts w:ascii="宋体" w:hAnsi="宋体" w:eastAsia="宋体"/>
          <w:bCs/>
          <w:sz w:val="21"/>
          <w:szCs w:val="21"/>
        </w:rPr>
      </w:pPr>
      <w:r>
        <w:rPr>
          <w:rFonts w:hint="eastAsia" w:ascii="宋体" w:hAnsi="宋体" w:eastAsia="宋体"/>
          <w:bCs/>
          <w:sz w:val="21"/>
          <w:szCs w:val="21"/>
        </w:rPr>
        <w:t>法定代表人或</w:t>
      </w:r>
      <w:r>
        <w:rPr>
          <w:rFonts w:hint="eastAsia" w:asciiTheme="minorEastAsia" w:hAnsiTheme="minorEastAsia"/>
          <w:sz w:val="21"/>
          <w:szCs w:val="21"/>
        </w:rPr>
        <w:t>代理人</w:t>
      </w:r>
      <w:r>
        <w:rPr>
          <w:rFonts w:hint="eastAsia" w:ascii="宋体" w:hAnsi="宋体" w:eastAsia="宋体"/>
          <w:bCs/>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bCs/>
          <w:sz w:val="21"/>
          <w:szCs w:val="21"/>
        </w:rPr>
      </w:pPr>
      <w:r>
        <w:rPr>
          <w:rFonts w:hint="eastAsia" w:ascii="宋体" w:hAnsi="宋体" w:eastAsia="宋体"/>
          <w:bCs/>
          <w:sz w:val="21"/>
          <w:szCs w:val="21"/>
        </w:rPr>
        <w:t>日期：</w:t>
      </w: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kinsoku w:val="0"/>
        <w:spacing w:line="360" w:lineRule="auto"/>
        <w:jc w:val="center"/>
        <w:rPr>
          <w:rFonts w:ascii="宋体" w:hAnsi="宋体" w:eastAsia="宋体"/>
          <w:sz w:val="21"/>
          <w:szCs w:val="21"/>
        </w:rPr>
      </w:pPr>
      <w:r>
        <w:rPr>
          <w:rFonts w:hint="eastAsia" w:ascii="宋体" w:hAnsi="宋体" w:eastAsia="宋体"/>
          <w:sz w:val="21"/>
          <w:szCs w:val="21"/>
        </w:rPr>
        <w:t>四、商务应答表</w:t>
      </w:r>
    </w:p>
    <w:tbl>
      <w:tblPr>
        <w:tblStyle w:val="38"/>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41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商务要求，则只需在此表的任意处填写“完全响应”即可，否则供应商必须根据第五章商务要求逐一据实填写，虚假应答将取消其响应或成交资格。如第五章有要求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五、管理、技术、服务人员情况表</w:t>
      </w:r>
    </w:p>
    <w:tbl>
      <w:tblPr>
        <w:tblStyle w:val="3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55"/>
        <w:gridCol w:w="1069"/>
        <w:gridCol w:w="1070"/>
        <w:gridCol w:w="1396"/>
        <w:gridCol w:w="980"/>
        <w:gridCol w:w="111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类别</w:t>
            </w:r>
          </w:p>
        </w:tc>
        <w:tc>
          <w:tcPr>
            <w:tcW w:w="1555"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职务</w:t>
            </w:r>
          </w:p>
        </w:tc>
        <w:tc>
          <w:tcPr>
            <w:tcW w:w="1069"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姓名</w:t>
            </w:r>
          </w:p>
        </w:tc>
        <w:tc>
          <w:tcPr>
            <w:tcW w:w="1070"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职称</w:t>
            </w:r>
          </w:p>
        </w:tc>
        <w:tc>
          <w:tcPr>
            <w:tcW w:w="4476" w:type="dxa"/>
            <w:gridSpan w:val="4"/>
            <w:vAlign w:val="center"/>
          </w:tcPr>
          <w:p>
            <w:pPr>
              <w:spacing w:line="360" w:lineRule="auto"/>
              <w:rPr>
                <w:rFonts w:asciiTheme="minorEastAsia" w:hAnsiTheme="minorEastAsia"/>
                <w:sz w:val="21"/>
                <w:szCs w:val="21"/>
              </w:rPr>
            </w:pPr>
            <w:r>
              <w:rPr>
                <w:rFonts w:hint="eastAsia" w:asciiTheme="minorEastAsia" w:hAnsiTheme="minorEastAsia"/>
                <w:sz w:val="21"/>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rPr>
                <w:rFonts w:asciiTheme="minorEastAsia" w:hAnsiTheme="minorEastAsia"/>
                <w:sz w:val="21"/>
                <w:szCs w:val="21"/>
              </w:rPr>
            </w:pPr>
          </w:p>
        </w:tc>
        <w:tc>
          <w:tcPr>
            <w:tcW w:w="1555" w:type="dxa"/>
            <w:vMerge w:val="continue"/>
            <w:vAlign w:val="center"/>
          </w:tcPr>
          <w:p>
            <w:pPr>
              <w:spacing w:line="360" w:lineRule="auto"/>
              <w:rPr>
                <w:rFonts w:asciiTheme="minorEastAsia" w:hAnsiTheme="minorEastAsia"/>
                <w:sz w:val="21"/>
                <w:szCs w:val="21"/>
              </w:rPr>
            </w:pPr>
          </w:p>
        </w:tc>
        <w:tc>
          <w:tcPr>
            <w:tcW w:w="1069" w:type="dxa"/>
            <w:vMerge w:val="continue"/>
            <w:vAlign w:val="center"/>
          </w:tcPr>
          <w:p>
            <w:pPr>
              <w:spacing w:line="360" w:lineRule="auto"/>
              <w:rPr>
                <w:rFonts w:asciiTheme="minorEastAsia" w:hAnsiTheme="minorEastAsia"/>
                <w:sz w:val="21"/>
                <w:szCs w:val="21"/>
              </w:rPr>
            </w:pPr>
          </w:p>
        </w:tc>
        <w:tc>
          <w:tcPr>
            <w:tcW w:w="1070" w:type="dxa"/>
            <w:vMerge w:val="continue"/>
            <w:vAlign w:val="center"/>
          </w:tcPr>
          <w:p>
            <w:pPr>
              <w:spacing w:line="360" w:lineRule="auto"/>
              <w:rPr>
                <w:rFonts w:asciiTheme="minorEastAsia" w:hAnsiTheme="minorEastAsia"/>
                <w:sz w:val="21"/>
                <w:szCs w:val="21"/>
              </w:rPr>
            </w:pPr>
          </w:p>
        </w:tc>
        <w:tc>
          <w:tcPr>
            <w:tcW w:w="139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证书名称</w:t>
            </w:r>
          </w:p>
        </w:tc>
        <w:tc>
          <w:tcPr>
            <w:tcW w:w="980"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级别</w:t>
            </w:r>
          </w:p>
        </w:tc>
        <w:tc>
          <w:tcPr>
            <w:tcW w:w="111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证号</w:t>
            </w:r>
          </w:p>
        </w:tc>
        <w:tc>
          <w:tcPr>
            <w:tcW w:w="984"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注：以上表格可根据供应商情况自行增减，对于不涉及的内容可以填“/”或者进行修改。</w:t>
      </w:r>
    </w:p>
    <w:p>
      <w:pPr>
        <w:spacing w:line="360" w:lineRule="auto"/>
        <w:ind w:firstLine="420" w:firstLineChars="200"/>
        <w:rPr>
          <w:rFonts w:ascii="仿宋" w:hAnsi="仿宋" w:eastAsia="仿宋"/>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六、供应商类似项目业绩一览表</w:t>
      </w:r>
    </w:p>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5"/>
        <w:gridCol w:w="1701"/>
        <w:gridCol w:w="2268"/>
        <w:gridCol w:w="1250"/>
        <w:gridCol w:w="1431"/>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年份</w:t>
            </w:r>
          </w:p>
        </w:tc>
        <w:tc>
          <w:tcPr>
            <w:tcW w:w="1701"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用户名称</w:t>
            </w:r>
          </w:p>
        </w:tc>
        <w:tc>
          <w:tcPr>
            <w:tcW w:w="2268"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项目名称</w:t>
            </w:r>
          </w:p>
        </w:tc>
        <w:tc>
          <w:tcPr>
            <w:tcW w:w="1250"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完成时间</w:t>
            </w:r>
          </w:p>
        </w:tc>
        <w:tc>
          <w:tcPr>
            <w:tcW w:w="1431"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合同金额</w:t>
            </w:r>
          </w:p>
        </w:tc>
        <w:tc>
          <w:tcPr>
            <w:tcW w:w="1387" w:type="dxa"/>
            <w:tcBorders>
              <w:left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left w:val="single" w:color="auto" w:sz="4" w:space="0"/>
            </w:tcBorders>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tcBorders>
            <w:vAlign w:val="center"/>
          </w:tcPr>
          <w:p>
            <w:pPr>
              <w:spacing w:line="360" w:lineRule="auto"/>
              <w:jc w:val="center"/>
              <w:rPr>
                <w:rFonts w:cs="Arial"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注：以上业绩需提供有关书面证明材料。若无业绩或对于不涉及的内容可以填“/”。</w:t>
      </w:r>
    </w:p>
    <w:p>
      <w:pPr>
        <w:spacing w:line="360" w:lineRule="auto"/>
        <w:rPr>
          <w:rFonts w:cs="Arial"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cstheme="majorBidi"/>
          <w:b/>
          <w:bCs/>
          <w:sz w:val="21"/>
          <w:szCs w:val="21"/>
        </w:rPr>
      </w:pPr>
    </w:p>
    <w:p>
      <w:pPr>
        <w:spacing w:line="360" w:lineRule="auto"/>
        <w:rPr>
          <w:rFonts w:asciiTheme="minorEastAsia" w:hAnsiTheme="minorEastAsia"/>
          <w:sz w:val="21"/>
          <w:szCs w:val="21"/>
        </w:rPr>
        <w:sectPr>
          <w:footerReference r:id="rId5" w:type="first"/>
          <w:footerReference r:id="rId4" w:type="default"/>
          <w:pgSz w:w="11907" w:h="16839"/>
          <w:pgMar w:top="1440" w:right="1275" w:bottom="1440" w:left="1800" w:header="851" w:footer="992" w:gutter="0"/>
          <w:pgNumType w:start="1"/>
          <w:cols w:space="425" w:num="1"/>
          <w:titlePg/>
          <w:docGrid w:type="linesAndChars" w:linePitch="326" w:charSpace="0"/>
        </w:sectPr>
      </w:pP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rPr>
          <w:rFonts w:asciiTheme="minorEastAsia" w:hAnsiTheme="minorEastAsia" w:cstheme="majorBidi"/>
          <w:b/>
          <w:bCs/>
          <w:sz w:val="21"/>
          <w:szCs w:val="21"/>
        </w:rPr>
      </w:pP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七、项目实施方案和售后服务方案</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八、供应商认为应当提供的其他文件</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b/>
          <w:bCs/>
          <w:sz w:val="21"/>
          <w:szCs w:val="21"/>
        </w:rPr>
        <w:sectPr>
          <w:type w:val="continuous"/>
          <w:pgSz w:w="11907" w:h="16839"/>
          <w:pgMar w:top="1440" w:right="1785" w:bottom="1440" w:left="1474" w:header="851" w:footer="992" w:gutter="0"/>
          <w:cols w:space="425" w:num="1"/>
          <w:docGrid w:linePitch="326" w:charSpace="0"/>
        </w:sect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九、最终报价表</w:t>
      </w:r>
    </w:p>
    <w:tbl>
      <w:tblPr>
        <w:tblStyle w:val="38"/>
        <w:tblW w:w="8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73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91" w:type="dxa"/>
            <w:tcBorders>
              <w:top w:val="doub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项目名称</w:t>
            </w:r>
          </w:p>
        </w:tc>
        <w:tc>
          <w:tcPr>
            <w:tcW w:w="7313" w:type="dxa"/>
            <w:tcBorders>
              <w:top w:val="double" w:color="auto" w:sz="4" w:space="0"/>
              <w:left w:val="single" w:color="000000" w:sz="6" w:space="0"/>
              <w:bottom w:val="single" w:color="000000" w:sz="6" w:space="0"/>
              <w:right w:val="double" w:color="auto" w:sz="4" w:space="0"/>
            </w:tcBorders>
            <w:vAlign w:val="center"/>
          </w:tcPr>
          <w:p>
            <w:pPr>
              <w:spacing w:line="360" w:lineRule="auto"/>
              <w:jc w:val="center"/>
              <w:rPr>
                <w:rFonts w:ascii="宋体" w:hAnsi="宋体" w:eastAsia="宋体"/>
                <w:b/>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采购编号</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58"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报价</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360" w:lineRule="auto"/>
              <w:rPr>
                <w:rFonts w:ascii="宋体" w:hAnsi="宋体" w:eastAsia="宋体"/>
                <w:sz w:val="21"/>
                <w:szCs w:val="21"/>
              </w:rPr>
            </w:pPr>
            <w:r>
              <w:rPr>
                <w:rFonts w:hint="eastAsia" w:ascii="宋体" w:hAnsi="宋体" w:eastAsia="宋体"/>
                <w:sz w:val="21"/>
                <w:szCs w:val="21"/>
              </w:rPr>
              <w:t>不可竞争费用：76万元</w:t>
            </w:r>
          </w:p>
          <w:p>
            <w:pPr>
              <w:pStyle w:val="2"/>
              <w:rPr>
                <w:rFonts w:ascii="新宋体" w:hAnsi="新宋体" w:eastAsia="新宋体" w:cs="新宋体"/>
                <w:bCs/>
                <w:sz w:val="21"/>
                <w:szCs w:val="21"/>
              </w:rPr>
            </w:pPr>
            <w:r>
              <w:rPr>
                <w:rFonts w:hint="eastAsia"/>
                <w:sz w:val="21"/>
                <w:szCs w:val="21"/>
              </w:rPr>
              <w:t>可竞争费用（管理服务费）：</w:t>
            </w:r>
            <w:r>
              <w:rPr>
                <w:rFonts w:hint="eastAsia" w:ascii="新宋体" w:hAnsi="新宋体" w:eastAsia="新宋体" w:cs="新宋体"/>
                <w:bCs/>
                <w:sz w:val="21"/>
                <w:szCs w:val="21"/>
              </w:rPr>
              <w:t>XX万元/人/年</w:t>
            </w:r>
            <w:r>
              <w:rPr>
                <w:rFonts w:hint="eastAsia" w:ascii="新宋体" w:hAnsi="新宋体" w:eastAsia="新宋体" w:cs="新宋体"/>
                <w:bCs/>
              </w:rPr>
              <w:t>×19人</w:t>
            </w:r>
          </w:p>
          <w:p>
            <w:pPr>
              <w:rPr>
                <w:sz w:val="21"/>
                <w:szCs w:val="21"/>
              </w:rPr>
            </w:pPr>
          </w:p>
          <w:p>
            <w:pPr>
              <w:snapToGrid w:val="0"/>
              <w:spacing w:line="480" w:lineRule="auto"/>
              <w:rPr>
                <w:rFonts w:ascii="新宋体" w:hAnsi="新宋体" w:eastAsia="新宋体" w:cs="新宋体"/>
                <w:bCs/>
                <w:sz w:val="21"/>
                <w:szCs w:val="21"/>
              </w:rPr>
            </w:pPr>
            <w:r>
              <w:rPr>
                <w:rFonts w:hint="eastAsia"/>
                <w:sz w:val="21"/>
                <w:szCs w:val="21"/>
              </w:rPr>
              <w:t>合计：</w:t>
            </w:r>
            <w:r>
              <w:rPr>
                <w:rFonts w:hint="eastAsia" w:ascii="新宋体" w:hAnsi="新宋体" w:eastAsia="新宋体" w:cs="新宋体"/>
                <w:bCs/>
                <w:sz w:val="21"/>
                <w:szCs w:val="21"/>
              </w:rPr>
              <w:t>人民币大写：</w:t>
            </w:r>
            <w:r>
              <w:rPr>
                <w:rFonts w:hint="eastAsia" w:ascii="新宋体" w:hAnsi="新宋体" w:eastAsia="新宋体" w:cs="新宋体"/>
                <w:bCs/>
                <w:sz w:val="21"/>
                <w:szCs w:val="21"/>
                <w:u w:val="single"/>
              </w:rPr>
              <w:t>　　　　　　</w:t>
            </w:r>
          </w:p>
          <w:p>
            <w:r>
              <w:rPr>
                <w:rFonts w:hint="eastAsia" w:ascii="新宋体" w:hAnsi="新宋体" w:eastAsia="新宋体" w:cs="新宋体"/>
                <w:bCs/>
                <w:sz w:val="21"/>
                <w:szCs w:val="21"/>
              </w:rPr>
              <w:t>（人民币小写：</w:t>
            </w:r>
            <w:r>
              <w:rPr>
                <w:rFonts w:hint="eastAsia" w:ascii="新宋体" w:hAnsi="新宋体" w:eastAsia="新宋体" w:cs="新宋体"/>
                <w:bCs/>
                <w:sz w:val="21"/>
                <w:szCs w:val="21"/>
                <w:u w:val="single"/>
              </w:rPr>
              <w:t>　　　　</w:t>
            </w:r>
            <w:r>
              <w:rPr>
                <w:rFonts w:hint="eastAsia" w:ascii="新宋体" w:hAnsi="新宋体" w:eastAsia="新宋体" w:cs="新宋体"/>
                <w:bCs/>
                <w:sz w:val="21"/>
                <w:szCs w:val="21"/>
              </w:rPr>
              <w:t>万元/年）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single" w:color="auto" w:sz="4" w:space="0"/>
            </w:tcBorders>
            <w:vAlign w:val="center"/>
          </w:tcPr>
          <w:p>
            <w:pPr>
              <w:spacing w:line="360" w:lineRule="auto"/>
              <w:jc w:val="center"/>
              <w:rPr>
                <w:rFonts w:ascii="宋体" w:hAnsi="宋体" w:eastAsia="宋体"/>
                <w:b/>
                <w:sz w:val="21"/>
                <w:szCs w:val="21"/>
              </w:rPr>
            </w:pPr>
            <w:r>
              <w:rPr>
                <w:rFonts w:hint="eastAsia" w:ascii="宋体" w:hAnsi="宋体"/>
                <w:b/>
                <w:sz w:val="21"/>
                <w:szCs w:val="21"/>
              </w:rPr>
              <w:t>服务期限</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sz w:val="21"/>
                <w:szCs w:val="21"/>
              </w:rPr>
            </w:pPr>
            <w:r>
              <w:rPr>
                <w:rFonts w:hint="eastAsia"/>
              </w:rPr>
              <w:t>3年，合同1年1签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备注</w:t>
            </w:r>
          </w:p>
        </w:tc>
        <w:tc>
          <w:tcPr>
            <w:tcW w:w="7313" w:type="dxa"/>
            <w:tcBorders>
              <w:top w:val="single" w:color="000000" w:sz="6" w:space="0"/>
              <w:left w:val="single" w:color="000000" w:sz="6" w:space="0"/>
              <w:bottom w:val="double" w:color="auto" w:sz="4" w:space="0"/>
              <w:right w:val="double" w:color="auto" w:sz="4" w:space="0"/>
            </w:tcBorders>
            <w:vAlign w:val="center"/>
          </w:tcPr>
          <w:p>
            <w:pPr>
              <w:pStyle w:val="2"/>
            </w:pPr>
          </w:p>
        </w:tc>
      </w:tr>
    </w:tbl>
    <w:p>
      <w:pPr>
        <w:spacing w:line="360" w:lineRule="auto"/>
        <w:rPr>
          <w:rFonts w:ascii="仿宋" w:hAnsi="仿宋" w:eastAsia="仿宋"/>
          <w:sz w:val="21"/>
          <w:szCs w:val="21"/>
        </w:rPr>
      </w:pPr>
      <w:r>
        <w:rPr>
          <w:rFonts w:hint="eastAsia" w:ascii="仿宋" w:hAnsi="仿宋" w:eastAsia="仿宋"/>
          <w:sz w:val="21"/>
          <w:szCs w:val="21"/>
        </w:rPr>
        <w:t>注：1、 报价应是最终用户验收合格后的总价，包括但不仅限于为采购人提供全部服务所需费用、物料及材料、服务人员、成果提交、保险、代理、培训、验收、税费、成交服务费等和磋商文件规定的其它费用。</w:t>
      </w:r>
    </w:p>
    <w:p>
      <w:pPr>
        <w:spacing w:line="360" w:lineRule="auto"/>
        <w:rPr>
          <w:rFonts w:ascii="仿宋" w:hAnsi="仿宋" w:eastAsia="仿宋"/>
          <w:sz w:val="21"/>
          <w:szCs w:val="21"/>
        </w:rPr>
      </w:pPr>
      <w:r>
        <w:rPr>
          <w:rFonts w:hint="eastAsia" w:ascii="仿宋" w:hAnsi="仿宋" w:eastAsia="仿宋"/>
          <w:sz w:val="21"/>
          <w:szCs w:val="21"/>
        </w:rPr>
        <w:t>2、“最终报价表”为多页的，每页均需由法定代表人或代理人签字。</w:t>
      </w:r>
    </w:p>
    <w:p>
      <w:pPr>
        <w:spacing w:line="360" w:lineRule="auto"/>
        <w:rPr>
          <w:rFonts w:ascii="仿宋" w:hAnsi="仿宋" w:eastAsia="仿宋"/>
          <w:sz w:val="21"/>
          <w:szCs w:val="21"/>
        </w:rPr>
      </w:pPr>
      <w:r>
        <w:rPr>
          <w:rFonts w:hint="eastAsia" w:ascii="仿宋" w:hAnsi="仿宋" w:eastAsia="仿宋"/>
          <w:sz w:val="21"/>
          <w:szCs w:val="21"/>
        </w:rPr>
        <w:t>3、 以上表格如不能完全表达清楚供应商认为必要的费用明细，供应商可自行补充。</w:t>
      </w:r>
    </w:p>
    <w:p>
      <w:pPr>
        <w:spacing w:line="360" w:lineRule="auto"/>
        <w:rPr>
          <w:rFonts w:asciiTheme="minorEastAsia" w:hAnsiTheme="minorEastAsia"/>
          <w:sz w:val="21"/>
          <w:szCs w:val="21"/>
        </w:rPr>
      </w:pPr>
      <w:r>
        <w:rPr>
          <w:rFonts w:hint="eastAsia" w:asciiTheme="minorEastAsia" w:hAnsiTheme="minorEastAsia"/>
          <w:sz w:val="21"/>
          <w:szCs w:val="21"/>
        </w:rPr>
        <w:t>4、</w:t>
      </w:r>
      <w:r>
        <w:rPr>
          <w:rFonts w:hint="eastAsia" w:ascii="仿宋" w:hAnsi="仿宋" w:eastAsia="仿宋"/>
          <w:bCs/>
          <w:sz w:val="21"/>
          <w:szCs w:val="21"/>
        </w:rPr>
        <w:t>最终报价表至少提供原件一份；</w:t>
      </w:r>
      <w:r>
        <w:rPr>
          <w:rFonts w:hint="eastAsia" w:ascii="仿宋" w:hAnsi="仿宋" w:eastAsia="仿宋"/>
          <w:sz w:val="21"/>
          <w:szCs w:val="21"/>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仿宋" w:hAnsi="仿宋" w:eastAsia="仿宋"/>
          <w:sz w:val="21"/>
          <w:szCs w:val="21"/>
        </w:rPr>
      </w:pPr>
      <w:r>
        <w:rPr>
          <w:rFonts w:asciiTheme="minorEastAsia" w:hAnsiTheme="minorEastAsia"/>
          <w:sz w:val="21"/>
          <w:szCs w:val="21"/>
        </w:rPr>
        <w:br w:type="page"/>
      </w:r>
    </w:p>
    <w:p>
      <w:pPr>
        <w:spacing w:line="360" w:lineRule="auto"/>
        <w:rPr>
          <w:rFonts w:asciiTheme="minorEastAsia" w:hAnsiTheme="minorEastAsia"/>
          <w:sz w:val="21"/>
          <w:szCs w:val="21"/>
        </w:rPr>
        <w:sectPr>
          <w:footerReference r:id="rId6" w:type="default"/>
          <w:footerReference r:id="rId7" w:type="even"/>
          <w:type w:val="continuous"/>
          <w:pgSz w:w="11907" w:h="16839"/>
          <w:pgMar w:top="935" w:right="1317" w:bottom="1440" w:left="1800" w:header="851" w:footer="992" w:gutter="0"/>
          <w:cols w:space="425" w:num="1"/>
          <w:docGrid w:type="lines" w:linePitch="326" w:charSpace="0"/>
        </w:sectPr>
      </w:pPr>
    </w:p>
    <w:p>
      <w:pPr>
        <w:pStyle w:val="35"/>
        <w:spacing w:line="360" w:lineRule="auto"/>
        <w:rPr>
          <w:rFonts w:asciiTheme="minorEastAsia" w:hAnsiTheme="minorEastAsia" w:eastAsiaTheme="minorEastAsia"/>
        </w:rPr>
      </w:pPr>
      <w:bookmarkStart w:id="111" w:name="_Toc24017308"/>
      <w:bookmarkStart w:id="112" w:name="_Toc11835066"/>
      <w:bookmarkStart w:id="113" w:name="_Toc44237532"/>
      <w:r>
        <w:rPr>
          <w:rFonts w:hint="eastAsia" w:asciiTheme="minorEastAsia" w:hAnsiTheme="minorEastAsia" w:eastAsiaTheme="minorEastAsia"/>
        </w:rPr>
        <w:t>第九章评审方法</w:t>
      </w:r>
      <w:bookmarkEnd w:id="111"/>
      <w:bookmarkEnd w:id="112"/>
      <w:bookmarkEnd w:id="113"/>
    </w:p>
    <w:p>
      <w:pPr>
        <w:pStyle w:val="27"/>
        <w:spacing w:line="360" w:lineRule="auto"/>
        <w:rPr>
          <w:rFonts w:asciiTheme="minorEastAsia" w:hAnsiTheme="minorEastAsia" w:eastAsiaTheme="minorEastAsia"/>
          <w:sz w:val="21"/>
          <w:szCs w:val="21"/>
        </w:rPr>
      </w:pPr>
      <w:bookmarkStart w:id="114" w:name="_Toc11835067"/>
      <w:bookmarkStart w:id="115" w:name="_Toc24017309"/>
      <w:bookmarkStart w:id="116" w:name="_Toc101174146"/>
      <w:bookmarkStart w:id="117" w:name="_Toc101250640"/>
      <w:bookmarkStart w:id="118" w:name="_Toc209847065"/>
      <w:bookmarkStart w:id="119" w:name="_Toc101338358"/>
      <w:bookmarkStart w:id="120" w:name="_Toc430773924"/>
      <w:r>
        <w:rPr>
          <w:rFonts w:hint="eastAsia" w:asciiTheme="minorEastAsia" w:hAnsiTheme="minorEastAsia" w:eastAsiaTheme="minorEastAsia"/>
          <w:sz w:val="21"/>
          <w:szCs w:val="21"/>
        </w:rPr>
        <w:t>一、总则</w:t>
      </w:r>
      <w:bookmarkEnd w:id="114"/>
      <w:bookmarkEnd w:id="115"/>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1、根据《中华人民共和国政府采购法》、《中华人民共和国政府采购法实施条例》、《政府采购竞争性磋商采购方式管理暂行办法》等法律制度，结合本采购项目特点制定本磋商方法。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2、磋商工作由采购人/采购代理机构负责组织，具体磋商由采购人/采购代理机构依法组建的磋商小组负责。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3、磋商工作应遵循公平、公正、科学及择优的原则，并以相同的磋商程序和标准对待所有的供应商。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4、磋商小组按照磋商文件规定的磋商程序、评分方法和标准进行评审，并独立履行下列职责：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（2）审查供应商响应文件是否满足磋商文件要求，并作出公正评价；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（3）根据需要要求供应商对响应文件中含义不明确、同类问题表述不一致或者有明显文字和计算错误的内容等作出必要的澄清、说明或者更正；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（4）推荐成交供应商，或者受采购人委托确定成交供应商；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（5）起草评审报告并进行签署；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（6）向采购人/采购代理机构、财政部门或者其他监督部门报告非法干预评审工作的行为；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（7）法律、法规和规章规定的其他职责。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5、（实质性要求）磋商过程独立、保密。供应商非法干预磋商过程的，其响应文件作无效处理。</w:t>
      </w:r>
    </w:p>
    <w:p>
      <w:pPr>
        <w:pStyle w:val="27"/>
        <w:spacing w:line="360" w:lineRule="auto"/>
        <w:rPr>
          <w:rFonts w:asciiTheme="minorEastAsia" w:hAnsiTheme="minorEastAsia" w:eastAsiaTheme="minorEastAsia"/>
          <w:sz w:val="21"/>
          <w:szCs w:val="21"/>
        </w:rPr>
      </w:pPr>
      <w:bookmarkStart w:id="121" w:name="_Toc11835068"/>
      <w:bookmarkStart w:id="122" w:name="_Toc24017310"/>
      <w:r>
        <w:rPr>
          <w:rFonts w:hint="eastAsia" w:asciiTheme="minorEastAsia" w:hAnsiTheme="minorEastAsia" w:eastAsiaTheme="minorEastAsia"/>
          <w:sz w:val="21"/>
          <w:szCs w:val="21"/>
        </w:rPr>
        <w:t>二、磋商程序</w:t>
      </w:r>
      <w:bookmarkEnd w:id="121"/>
      <w:bookmarkEnd w:id="122"/>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1、审查磋商文件和停止评审。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（2）本磋商文件有下列情形之一的，磋商小组应当停止评审：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a磋商文件的规定存在歧义、重大缺陷的；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b磋商文件明显以不合理条件对供应商实行差别待遇或者歧视待遇的；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c采购项目属于国家规定的优先、强制采购范围，但是磋商文件未依法体现有限、强制采购相关规定的；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d采购项目属于政府采购促进中小企业发展的范围，但是磋商文件未依法体现促进中小企业发展相关规定的；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e磋商文件将供应商的资格条件列为评分因素的；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f磋商文件载明的成交原则不合法的；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g磋商文件有违反国家其他有关强制性规定的情形。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（3）出现本条（2）规定应当停止评审情形的，磋商小组应当向采购人书面说明情况。除本条规定的情形外，磋商小组不得以任何方式和理由停止评审。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（1）本项目需要磋商小组进行资格性检查。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（2）资格性审查结束后，磋商小组应当出具资格性审查报告，没有通过资格审查的供应商，磋商小组应当在资格审查报告中说明原因。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（3）磋商小组应依据磋商文件规定的实质性要求，对符合资格的响应文件进行有效性、完整性和响应程度审查，以确定参加磋商的供应商名单。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（4）采购人或者采购代理机构宣布未通过资格性审查的供应商名单时，应当告知供应商未通过审查的原因。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3、通过资格性审查的供应商不足3家的，终止本次采购活动，并发布终止采购活动公告。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4、有效性、完整性和响应程度审查表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92"/>
        <w:gridCol w:w="2101"/>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序号</w:t>
            </w:r>
          </w:p>
        </w:tc>
        <w:tc>
          <w:tcPr>
            <w:tcW w:w="1592"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评审因素</w:t>
            </w:r>
          </w:p>
        </w:tc>
        <w:tc>
          <w:tcPr>
            <w:tcW w:w="2101"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评审内容</w:t>
            </w:r>
          </w:p>
        </w:tc>
        <w:tc>
          <w:tcPr>
            <w:tcW w:w="418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1</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响应文件数量</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响应文件正、副本数量和电子文档数量</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符合磋商文件第二章“供应商须知前附表”的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2</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响应文件签署、盖章</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响应文件签署、盖章是否符合磋商文件要求</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3</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响应文件有效期</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报价货币、语言、计量单位</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符合磋商文件第二章“总则”部分的相关规定。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知识产权</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除非磋商文件要求供应商单独进行承诺，或供应商对知识产权进行单独说明。均视为供应商响应磋商文件第二章“总则”部分的相关条款。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4</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报价要求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是否超过最高限价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供应商的任一轮报价超过最高限价的均为无效响应。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both"/>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最后报价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供应商在未提高响应文件中承诺的产品及其服务质量的情况下，其最后报价不得高于对该项目之前的报价。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预防不正当竞争</w:t>
            </w:r>
          </w:p>
        </w:tc>
        <w:tc>
          <w:tcPr>
            <w:tcW w:w="4180"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1、符合磋商文件第二章“供应商须知前附表” 部分的相关规定。</w:t>
            </w:r>
          </w:p>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2、川财采〔2017〕63 号：供应商在参加政府采购活动过程中，不得无偿或以低于所提供的货物、工程、服务的成本价格报价。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5</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其他实质性要求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磋商文件技术、商务、其他实质性要求（如有）</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磋商文件如在技术、商务及其他部分提出实质性要求的，供应商须在响应文件中进行响应，且不允许提出备选方案。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4"/>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以上评审有一条不通过，则视为有效性、完整性和响应程度评审标准不通过，不进入下一步评审，应当否决其响应文件。</w:t>
            </w:r>
          </w:p>
        </w:tc>
      </w:tr>
    </w:tbl>
    <w:p>
      <w:pPr>
        <w:spacing w:line="360" w:lineRule="auto"/>
        <w:ind w:firstLine="420" w:firstLineChars="200"/>
        <w:rPr>
          <w:rFonts w:ascii="宋体" w:hAnsi="宋体" w:eastAsia="宋体"/>
          <w:sz w:val="21"/>
          <w:szCs w:val="21"/>
        </w:rPr>
      </w:pPr>
      <w:r>
        <w:rPr>
          <w:rFonts w:hint="eastAsia" w:ascii="仿宋" w:hAnsi="仿宋" w:eastAsia="仿宋"/>
          <w:sz w:val="21"/>
          <w:szCs w:val="21"/>
        </w:rPr>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分支机构参与磋商，且已按照磋商文件规定取得授权的，须法定代表人签字的可为分支机构负责人签字。联合体参与本项目并已在联合体协议书中明确联合体牵头方的，需要签字/盖章的部分由联合体牵头方及其授权代表签章即可，无需联合体各方逐一签字盖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（3）根据川财采〔2016〕53 号文件规定对供应商的报价进行修正的，如修正后的报价超过政府采购预算或者本项目最高限价，供应商响应文件应作为无效处理。</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个别地方（不超过2个）仅有法定代表人/授权人签字或仅有公章的，不作为无效条件。但报价资料，包括装订在响应文件中的竟商函、以及单独递交的最终报价表等，必须按照磋商文件要求签字确认和加盖公章，否则视为不实质性响应。</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（5）已作为资格性审查的条款和参数不再进行其他实质性审查。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（2）每轮磋商开始前，磋商小组应根据磋商文件的规定，并结合各供应商的响应文件拟定磋商内容。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（4）对磋商文件作出的实质性变动是磋商文件的有效组成部分，磋商小组应当及时以书面形式同时通知所有参加磋商的供应商。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（6）磋商过程中，磋商的任何一方不得透露与磋商有关的其他供应商的技术资料、价格和其他信息。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（7）磋商过程中，磋商小组发现或者知晓供应商存在违法、违纪行为的，磋商小组应当将该供应商响应文件作无效处理，不允许其提交最后报价。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（8）磋商完成后，磋商小组应出具磋商情况记录表，磋商情况记录表需包含磋商内容、磋商意见、实质性变动内容等。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（3）供应商最后报价应当由法定代表人本人或其授权代表签字确认或加盖公章。最后报价是供应商响应文件的有效组成部分。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7、比较与评价。由磋商小组采用综合评分法对提交最后报价的供应商的响应文件和最后报价进行综合评分，具体要求详见本章综合评分部分。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10、采购组织单位现场复核评审结果。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a资格性审查认定错误的；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b分值汇总计算错误的；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c分项评分超出评分标准范围的；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d客观评分不一致的。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rPr>
          <w:rFonts w:asciiTheme="minorEastAsia" w:hAnsiTheme="minorEastAsia"/>
          <w:sz w:val="21"/>
          <w:szCs w:val="21"/>
        </w:rPr>
      </w:pPr>
      <w:r>
        <w:rPr>
          <w:rFonts w:hint="eastAsia" w:asciiTheme="minorEastAsia" w:hAnsiTheme="minorEastAsia"/>
          <w:sz w:val="21"/>
          <w:szCs w:val="21"/>
        </w:rPr>
        <w:t>采购人/采购代理机构复核过程中，磋商小组成员不得离开评审现场。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（2）有下列情形之一的，不得现场修改评审结果：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a磋商小组已经出具磋商报告并且离开评审现场的；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b采购人/采购代理机构现场复核时，复核工作人员数量不足的；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c采购人/采购代理机构现场复核时，没有采购监督人员现场监督的；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d采购人/采购代理机构现场复核内容超出规定范围的；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e采购人/采购代理机构未提供书面建议的。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11、编写磋商报告。磋商小组推荐成交候选供应商后，应向采购人/采购代理机构出具磋商报告。磋商报告应当包括以下主要内容：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（1）邀请供应商参加采购活动的具体方式和相关情况；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（2）响应文件开启日期和地点；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（3）获取磋商文件的供应商名单和磋商小组成员名单；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（4）评审情况记录和说明，包括对供应商的资格审查情况、供应商响应文件审查情况、磋商情况、报价情况等；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（5）提出的成交候选供应商的排序名单及理由。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13、供应商澄清、说明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（2）磋商小组要求供应商澄清、说明或者更正响应文件应当以书面形式作出。供应商的澄清、说明或者更正应当由法定代表人/主要负责人/本人或其授权代表签字或者加盖公章。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14、终止磋商采购活动。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出现下列情形之一的，采购人或者采购代理机构应当终止竞争性磋商采购活动，发布项目终止公告并说明原因，重新开展采购活动：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（1）因情况变化，不再符合规定的竞争性磋商采购方式适用情形的；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（2）出现影响采购公正的违法、违规行为的；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（3）在采购过程中符合要求的供应商或者报价未超过采购预算的供应商不足3家的。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15、符合财库[2015]124号《财政部关于政府采购竞争性磋商采购方式管理暂行办法有关问题的补充通知》规定的，遵照该文件方式处理。</w:t>
      </w:r>
    </w:p>
    <w:p>
      <w:pPr>
        <w:pStyle w:val="27"/>
        <w:spacing w:line="360" w:lineRule="auto"/>
        <w:rPr>
          <w:rFonts w:asciiTheme="minorEastAsia" w:hAnsiTheme="minorEastAsia" w:eastAsiaTheme="minorEastAsia"/>
          <w:sz w:val="21"/>
          <w:szCs w:val="21"/>
        </w:rPr>
      </w:pPr>
      <w:bookmarkStart w:id="123" w:name="_Toc11835069"/>
      <w:bookmarkStart w:id="124" w:name="_Toc24017311"/>
      <w:r>
        <w:rPr>
          <w:rFonts w:hint="eastAsia" w:asciiTheme="minorEastAsia" w:hAnsiTheme="minorEastAsia" w:eastAsiaTheme="minorEastAsia"/>
          <w:sz w:val="21"/>
          <w:szCs w:val="21"/>
        </w:rPr>
        <w:t>三、综合评分</w:t>
      </w:r>
      <w:bookmarkEnd w:id="123"/>
      <w:bookmarkEnd w:id="124"/>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1、本次综合评分的因素是：最终报价、磋商内容、技术服务响应、商务响应、政策性加减分等。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3、综合评分明细表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（1）综合评分明细表的制定以科学合理、降低评委会自由裁量权为原则。</w:t>
      </w:r>
    </w:p>
    <w:p>
      <w:pPr>
        <w:tabs>
          <w:tab w:val="left" w:pos="3081"/>
        </w:tabs>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（2）综合评分明细表</w:t>
      </w:r>
    </w:p>
    <w:tbl>
      <w:tblPr>
        <w:tblStyle w:val="38"/>
        <w:tblpPr w:leftFromText="180" w:rightFromText="180" w:vertAnchor="text" w:horzAnchor="page" w:tblpX="994" w:tblpY="1053"/>
        <w:tblOverlap w:val="never"/>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40"/>
        <w:gridCol w:w="6237"/>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5"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评分因素及分值</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评分标准</w:t>
            </w:r>
          </w:p>
        </w:tc>
        <w:tc>
          <w:tcPr>
            <w:tcW w:w="2059"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795"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1</w:t>
            </w:r>
          </w:p>
        </w:tc>
        <w:tc>
          <w:tcPr>
            <w:tcW w:w="1440"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报价</w:t>
            </w:r>
          </w:p>
          <w:p>
            <w:pPr>
              <w:spacing w:after="160"/>
              <w:jc w:val="center"/>
              <w:rPr>
                <w:rFonts w:ascii="新宋体" w:hAnsi="新宋体" w:eastAsia="新宋体" w:cs="新宋体"/>
                <w:sz w:val="28"/>
                <w:szCs w:val="28"/>
              </w:rPr>
            </w:pPr>
            <w:r>
              <w:rPr>
                <w:rFonts w:hint="eastAsia" w:ascii="新宋体" w:hAnsi="新宋体" w:eastAsia="新宋体" w:cs="新宋体"/>
                <w:sz w:val="28"/>
                <w:szCs w:val="28"/>
              </w:rPr>
              <w:t>（10分）</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满足磋商文件要求且最后报价最低的供应商的价格为磋商基准价，其价格分为满分。其他供应商的价格分统一按照下列公式计算：磋商报价得分=(磋商基准价/最后报价)×10%×100</w:t>
            </w:r>
          </w:p>
        </w:tc>
        <w:tc>
          <w:tcPr>
            <w:tcW w:w="2059"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795"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2</w:t>
            </w:r>
          </w:p>
        </w:tc>
        <w:tc>
          <w:tcPr>
            <w:tcW w:w="1440"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人员配置（8分）</w:t>
            </w:r>
          </w:p>
        </w:tc>
        <w:tc>
          <w:tcPr>
            <w:tcW w:w="6237" w:type="dxa"/>
            <w:tcBorders>
              <w:top w:val="single" w:color="auto" w:sz="4" w:space="0"/>
              <w:left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1、供应商拟投入本项目管理服务人员中有一位具备二级及以上人力资源管理师资格证书的得2分，本项最多得4分。</w:t>
            </w:r>
          </w:p>
          <w:p>
            <w:pPr>
              <w:spacing w:after="160"/>
              <w:rPr>
                <w:rFonts w:ascii="新宋体" w:hAnsi="新宋体" w:eastAsia="新宋体" w:cs="新宋体"/>
                <w:sz w:val="28"/>
                <w:szCs w:val="28"/>
              </w:rPr>
            </w:pPr>
            <w:r>
              <w:rPr>
                <w:rFonts w:hint="eastAsia" w:ascii="新宋体" w:hAnsi="新宋体" w:eastAsia="新宋体" w:cs="新宋体"/>
                <w:sz w:val="28"/>
                <w:szCs w:val="28"/>
              </w:rPr>
              <w:t>2、供应商拟投入本项目管理服务人员中有一位具备劳动关系协调员二级技师及以上资格证书的得2分，本项最多得4分。</w:t>
            </w:r>
          </w:p>
          <w:p>
            <w:pPr>
              <w:spacing w:after="160"/>
              <w:rPr>
                <w:rFonts w:ascii="新宋体" w:hAnsi="新宋体" w:eastAsia="新宋体" w:cs="新宋体"/>
                <w:sz w:val="28"/>
                <w:szCs w:val="28"/>
              </w:rPr>
            </w:pPr>
            <w:r>
              <w:rPr>
                <w:rFonts w:hint="eastAsia" w:ascii="新宋体" w:hAnsi="新宋体" w:eastAsia="新宋体" w:cs="新宋体"/>
                <w:sz w:val="28"/>
                <w:szCs w:val="28"/>
              </w:rPr>
              <w:t>注：供应商需提供拟配备本项目管理服务人员的身份证复印件、相应证书复印件、在投标人单位任职的证明材料，以上证明材料均应加盖投标人公章，同一人员不重复计分。</w:t>
            </w:r>
          </w:p>
        </w:tc>
        <w:tc>
          <w:tcPr>
            <w:tcW w:w="2059"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95" w:type="dxa"/>
            <w:tcBorders>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3</w:t>
            </w:r>
          </w:p>
        </w:tc>
        <w:tc>
          <w:tcPr>
            <w:tcW w:w="1440" w:type="dxa"/>
            <w:tcBorders>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综合能力（12分）</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供应商</w:t>
            </w:r>
            <w:r>
              <w:rPr>
                <w:rFonts w:hint="eastAsia" w:ascii="新宋体" w:hAnsi="新宋体" w:eastAsia="新宋体" w:cs="新宋体"/>
                <w:sz w:val="28"/>
                <w:szCs w:val="28"/>
                <w:lang w:val="zh-CN"/>
              </w:rPr>
              <w:t>具备在有效期内的GB/T22080信息安全管理体系认证证书、</w:t>
            </w:r>
            <w:r>
              <w:rPr>
                <w:rFonts w:hint="eastAsia" w:ascii="新宋体" w:hAnsi="新宋体" w:eastAsia="新宋体" w:cs="新宋体"/>
                <w:sz w:val="28"/>
                <w:szCs w:val="28"/>
              </w:rPr>
              <w:t>SA8000</w:t>
            </w:r>
            <w:r>
              <w:rPr>
                <w:rFonts w:hint="eastAsia" w:ascii="新宋体" w:hAnsi="新宋体" w:eastAsia="新宋体" w:cs="新宋体"/>
                <w:sz w:val="28"/>
                <w:szCs w:val="28"/>
                <w:lang w:val="zh-CN"/>
              </w:rPr>
              <w:t>社会责任管理体系认证证书、</w:t>
            </w:r>
            <w:r>
              <w:rPr>
                <w:rFonts w:hint="eastAsia" w:ascii="新宋体" w:hAnsi="新宋体" w:eastAsia="新宋体" w:cs="新宋体"/>
                <w:sz w:val="28"/>
                <w:szCs w:val="28"/>
              </w:rPr>
              <w:t>环境管理体系认证证书、职业健康安全体系认证证书；有其中一个得3分，本项最高得12分，没有不得分。</w:t>
            </w:r>
          </w:p>
          <w:p>
            <w:pPr>
              <w:pStyle w:val="2"/>
            </w:pPr>
            <w:r>
              <w:rPr>
                <w:rFonts w:hint="eastAsia" w:ascii="新宋体" w:hAnsi="新宋体" w:eastAsia="新宋体" w:cs="新宋体"/>
                <w:sz w:val="28"/>
                <w:szCs w:val="28"/>
              </w:rPr>
              <w:t>注：供应商需提供证书复印件和证书网页查询截图加盖投标人公章，未提供不得分。</w:t>
            </w:r>
          </w:p>
        </w:tc>
        <w:tc>
          <w:tcPr>
            <w:tcW w:w="2059" w:type="dxa"/>
            <w:tcBorders>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95"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4</w:t>
            </w:r>
          </w:p>
        </w:tc>
        <w:tc>
          <w:tcPr>
            <w:tcW w:w="1440"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履约能力（20分）</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供应商提供2018年至今完成或正在实施的类似业绩每有1个得2分，最多得20分。</w:t>
            </w:r>
          </w:p>
          <w:p>
            <w:pPr>
              <w:pStyle w:val="2"/>
            </w:pPr>
            <w:r>
              <w:rPr>
                <w:rFonts w:hint="eastAsia" w:ascii="新宋体" w:hAnsi="新宋体" w:eastAsia="新宋体" w:cs="新宋体"/>
                <w:sz w:val="28"/>
                <w:szCs w:val="28"/>
              </w:rPr>
              <w:t>注：提供合同复印件和中标通知书复印件并加盖投标人公章。</w:t>
            </w:r>
          </w:p>
        </w:tc>
        <w:tc>
          <w:tcPr>
            <w:tcW w:w="2059"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795"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5</w:t>
            </w:r>
          </w:p>
        </w:tc>
        <w:tc>
          <w:tcPr>
            <w:tcW w:w="1440" w:type="dxa"/>
            <w:tcBorders>
              <w:top w:val="single" w:color="auto" w:sz="4" w:space="0"/>
              <w:left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服务方案（48分）</w:t>
            </w:r>
          </w:p>
        </w:tc>
        <w:tc>
          <w:tcPr>
            <w:tcW w:w="6237" w:type="dxa"/>
            <w:tcBorders>
              <w:top w:val="single" w:color="auto" w:sz="4" w:space="0"/>
              <w:left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rPr>
              <w:t>根据供应商针对本项目提供的服务方案包含但不限于①招聘方案②培训方案及历往经验③原聘人员接收、劳动关系转移、劳动风险预防等的处理流程及相关措施④派遣人员社保、住房公积金缴纳、劳动争议等的处理流程及相关措施⑤管理制度⑥考勤制度⑦工作考核方案⑧应急预案进行综合评审。上述内容齐全，分析透彻符合本项目实际需求，逻辑清晰利于本项目实施的得48分，每有一项内容缺失或与本项目无关扣6分，每有一项内容有缺陷的扣3分，扣完为止。</w:t>
            </w:r>
          </w:p>
          <w:p>
            <w:pPr>
              <w:spacing w:after="160"/>
            </w:pPr>
            <w:r>
              <w:rPr>
                <w:rFonts w:hint="eastAsia" w:ascii="新宋体" w:hAnsi="新宋体" w:eastAsia="新宋体" w:cs="新宋体"/>
                <w:sz w:val="28"/>
                <w:szCs w:val="28"/>
              </w:rPr>
              <w:t>注：缺陷是指存在项目名称、服务期限等描述错误的内容；描述有歧义或逻辑有漏洞或表述不清；内容不完整；方案内容实际操作中不能运用等情形。</w:t>
            </w:r>
          </w:p>
        </w:tc>
        <w:tc>
          <w:tcPr>
            <w:tcW w:w="2059" w:type="dxa"/>
            <w:tcBorders>
              <w:top w:val="single" w:color="auto" w:sz="4" w:space="0"/>
              <w:left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lang w:val="en-US" w:eastAsia="zh-CN"/>
              </w:rPr>
              <w:t>技术</w:t>
            </w:r>
            <w:r>
              <w:rPr>
                <w:rFonts w:hint="eastAsia" w:ascii="新宋体" w:hAnsi="新宋体" w:eastAsia="新宋体" w:cs="新宋体"/>
                <w:sz w:val="28"/>
                <w:szCs w:val="28"/>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95"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6</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lang w:val="zh-TW"/>
              </w:rPr>
              <w:t>响应</w:t>
            </w:r>
            <w:r>
              <w:rPr>
                <w:rFonts w:hint="eastAsia" w:ascii="新宋体" w:hAnsi="新宋体" w:eastAsia="新宋体" w:cs="新宋体"/>
                <w:sz w:val="28"/>
                <w:szCs w:val="28"/>
                <w:lang w:val="zh-TW" w:eastAsia="zh-TW"/>
              </w:rPr>
              <w:t>文件规范性</w:t>
            </w:r>
            <w:r>
              <w:rPr>
                <w:rFonts w:hint="eastAsia" w:ascii="新宋体" w:hAnsi="新宋体" w:eastAsia="新宋体" w:cs="新宋体"/>
                <w:sz w:val="28"/>
                <w:szCs w:val="28"/>
                <w:lang w:val="zh-TW"/>
              </w:rPr>
              <w:t>（</w:t>
            </w:r>
            <w:r>
              <w:rPr>
                <w:rFonts w:hint="eastAsia" w:ascii="新宋体" w:hAnsi="新宋体" w:eastAsia="新宋体" w:cs="新宋体"/>
                <w:sz w:val="28"/>
                <w:szCs w:val="28"/>
              </w:rPr>
              <w:t>2分</w:t>
            </w:r>
            <w:r>
              <w:rPr>
                <w:rFonts w:hint="eastAsia" w:ascii="新宋体" w:hAnsi="新宋体" w:eastAsia="新宋体" w:cs="新宋体"/>
                <w:sz w:val="28"/>
                <w:szCs w:val="28"/>
                <w:lang w:val="zh-TW"/>
              </w:rPr>
              <w:t>）</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after="160"/>
              <w:rPr>
                <w:rFonts w:ascii="新宋体" w:hAnsi="新宋体" w:eastAsia="新宋体" w:cs="新宋体"/>
                <w:sz w:val="28"/>
                <w:szCs w:val="28"/>
              </w:rPr>
            </w:pPr>
            <w:r>
              <w:rPr>
                <w:rFonts w:hint="eastAsia" w:ascii="新宋体" w:hAnsi="新宋体" w:eastAsia="新宋体" w:cs="新宋体"/>
                <w:sz w:val="28"/>
                <w:szCs w:val="28"/>
                <w:lang w:val="zh-TW"/>
              </w:rPr>
              <w:t>响应</w:t>
            </w:r>
            <w:r>
              <w:rPr>
                <w:rFonts w:hint="eastAsia" w:ascii="新宋体" w:hAnsi="新宋体" w:eastAsia="新宋体" w:cs="新宋体"/>
                <w:sz w:val="28"/>
                <w:szCs w:val="28"/>
                <w:lang w:val="zh-TW" w:eastAsia="zh-TW"/>
              </w:rPr>
              <w:t>文件制作规范，没有细微偏差情形的得满分，有一项细微偏差扣0.5分，直到该项分值扣完为止。</w:t>
            </w:r>
          </w:p>
        </w:tc>
        <w:tc>
          <w:tcPr>
            <w:tcW w:w="2059" w:type="dxa"/>
            <w:tcBorders>
              <w:top w:val="single" w:color="auto" w:sz="4" w:space="0"/>
              <w:left w:val="single" w:color="auto" w:sz="4" w:space="0"/>
              <w:bottom w:val="single" w:color="auto" w:sz="4" w:space="0"/>
              <w:right w:val="single" w:color="auto" w:sz="4" w:space="0"/>
            </w:tcBorders>
            <w:noWrap/>
            <w:vAlign w:val="center"/>
          </w:tcPr>
          <w:p>
            <w:pPr>
              <w:spacing w:after="160"/>
              <w:jc w:val="center"/>
              <w:rPr>
                <w:rFonts w:ascii="新宋体" w:hAnsi="新宋体" w:eastAsia="新宋体" w:cs="新宋体"/>
                <w:sz w:val="28"/>
                <w:szCs w:val="28"/>
              </w:rPr>
            </w:pPr>
            <w:r>
              <w:rPr>
                <w:rFonts w:hint="eastAsia" w:ascii="新宋体" w:hAnsi="新宋体" w:eastAsia="新宋体" w:cs="新宋体"/>
                <w:sz w:val="28"/>
                <w:szCs w:val="28"/>
              </w:rPr>
              <w:t>共同评审因素</w:t>
            </w:r>
          </w:p>
        </w:tc>
      </w:tr>
    </w:tbl>
    <w:p>
      <w:pPr>
        <w:pStyle w:val="2"/>
      </w:pPr>
    </w:p>
    <w:p>
      <w:pPr>
        <w:pStyle w:val="5"/>
        <w:keepNext w:val="0"/>
        <w:widowControl w:val="0"/>
        <w:spacing w:line="360" w:lineRule="auto"/>
        <w:rPr>
          <w:rFonts w:ascii="仿宋" w:hAnsi="仿宋" w:cs="仿宋"/>
          <w:b w:val="0"/>
          <w:bCs w:val="0"/>
          <w:sz w:val="21"/>
          <w:szCs w:val="21"/>
        </w:rPr>
      </w:pPr>
      <w:r>
        <w:rPr>
          <w:rFonts w:hint="eastAsia" w:ascii="仿宋" w:hAnsi="仿宋" w:cs="仿宋"/>
          <w:b w:val="0"/>
          <w:bCs w:val="0"/>
          <w:sz w:val="21"/>
          <w:szCs w:val="21"/>
        </w:rPr>
        <w:t>注：评分的取值按四舍五入法，保留小数点后两位。</w:t>
      </w:r>
    </w:p>
    <w:p>
      <w:pPr>
        <w:spacing w:line="360" w:lineRule="auto"/>
        <w:rPr>
          <w:rFonts w:ascii="仿宋" w:hAnsi="仿宋" w:eastAsia="仿宋" w:cs="仿宋"/>
          <w:sz w:val="21"/>
          <w:szCs w:val="21"/>
        </w:rPr>
      </w:pPr>
      <w:r>
        <w:rPr>
          <w:rFonts w:hint="eastAsia" w:ascii="仿宋" w:hAnsi="仿宋" w:eastAsia="仿宋" w:cs="仿宋"/>
          <w:sz w:val="21"/>
          <w:szCs w:val="21"/>
        </w:rPr>
        <w:t>以下条款不计入评分：</w:t>
      </w:r>
    </w:p>
    <w:bookmarkEnd w:id="116"/>
    <w:bookmarkEnd w:id="117"/>
    <w:bookmarkEnd w:id="118"/>
    <w:bookmarkEnd w:id="119"/>
    <w:p>
      <w:pPr>
        <w:spacing w:line="360" w:lineRule="auto"/>
        <w:rPr>
          <w:rFonts w:ascii="仿宋" w:hAnsi="仿宋" w:eastAsia="仿宋" w:cs="仿宋"/>
          <w:sz w:val="21"/>
          <w:szCs w:val="21"/>
        </w:rPr>
      </w:pPr>
      <w:bookmarkStart w:id="125" w:name="_Toc11835070"/>
      <w:r>
        <w:rPr>
          <w:rFonts w:hint="eastAsia" w:ascii="仿宋" w:hAnsi="仿宋" w:eastAsia="仿宋" w:cs="仿宋"/>
          <w:sz w:val="21"/>
          <w:szCs w:val="21"/>
        </w:rPr>
        <w:t>（1）已作为资格或符合性审查项的条款或参数。</w:t>
      </w:r>
    </w:p>
    <w:p>
      <w:pPr>
        <w:spacing w:line="360" w:lineRule="auto"/>
        <w:rPr>
          <w:rFonts w:ascii="仿宋" w:hAnsi="仿宋" w:eastAsia="仿宋" w:cs="仿宋"/>
          <w:sz w:val="21"/>
          <w:szCs w:val="21"/>
        </w:rPr>
      </w:pPr>
      <w:r>
        <w:rPr>
          <w:rFonts w:hint="eastAsia" w:ascii="仿宋" w:hAnsi="仿宋" w:eastAsia="仿宋" w:cs="仿宋"/>
          <w:sz w:val="21"/>
          <w:szCs w:val="21"/>
        </w:rPr>
        <w:t>（2）国家或行业等有强制性规定的条款或参数。</w:t>
      </w:r>
    </w:p>
    <w:p>
      <w:pPr>
        <w:spacing w:line="360" w:lineRule="auto"/>
        <w:rPr>
          <w:rFonts w:ascii="仿宋" w:hAnsi="仿宋" w:eastAsia="仿宋" w:cs="仿宋"/>
          <w:sz w:val="21"/>
          <w:szCs w:val="21"/>
        </w:rPr>
      </w:pPr>
      <w:r>
        <w:rPr>
          <w:rFonts w:hint="eastAsia" w:ascii="仿宋" w:hAnsi="仿宋" w:eastAsia="仿宋" w:cs="仿宋"/>
          <w:sz w:val="21"/>
          <w:szCs w:val="21"/>
        </w:rPr>
        <w:t>（3）采购文件中载明为不可变动的实质性要求的条款或参数。</w:t>
      </w:r>
    </w:p>
    <w:p>
      <w:pPr>
        <w:spacing w:line="360" w:lineRule="auto"/>
        <w:rPr>
          <w:rFonts w:ascii="仿宋" w:hAnsi="仿宋" w:eastAsia="仿宋" w:cs="仿宋"/>
          <w:sz w:val="21"/>
          <w:szCs w:val="21"/>
        </w:rPr>
      </w:pPr>
      <w:r>
        <w:rPr>
          <w:rFonts w:hint="eastAsia" w:ascii="仿宋" w:hAnsi="仿宋" w:eastAsia="仿宋" w:cs="仿宋"/>
          <w:sz w:val="21"/>
          <w:szCs w:val="21"/>
        </w:rPr>
        <w:t>（4）其他造成响应文件无效的条款或参数。</w:t>
      </w:r>
      <w:bookmarkStart w:id="126" w:name="_Toc24017312"/>
    </w:p>
    <w:p>
      <w:pPr>
        <w:pStyle w:val="27"/>
        <w:spacing w:line="360" w:lineRule="auto"/>
        <w:rPr>
          <w:rFonts w:asciiTheme="minorEastAsia" w:hAnsiTheme="minorEastAsia" w:eastAsiaTheme="minorEastAsia"/>
          <w:b w:val="0"/>
          <w:sz w:val="21"/>
          <w:szCs w:val="21"/>
        </w:rPr>
      </w:pPr>
      <w:r>
        <w:rPr>
          <w:rFonts w:hint="eastAsia" w:asciiTheme="minorEastAsia" w:hAnsiTheme="minorEastAsia" w:eastAsiaTheme="minorEastAsia"/>
          <w:sz w:val="21"/>
          <w:szCs w:val="21"/>
        </w:rPr>
        <w:t>四、磋商纪律及注意事项</w:t>
      </w:r>
      <w:bookmarkEnd w:id="125"/>
      <w:bookmarkEnd w:id="126"/>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1、磋商小组内部讨论的情况和意见必须保密，任何人不得以任何形式透露给供应商或与供应商有关的单位或个人。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2、在磋商过程中，供应商不得以任何形式对磋商小组成员进行旨在影响磋商结果的私下接触，否则将取消其参与磋商的资格。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3、对各供应商的商业秘密，磋商小组成员应予以保密，不得泄露给其他供应商。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4、磋商小组独立评判，推荐成交候选人，并写出书面报告。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5、磋商小组可根据需要对供应商进行实地考察。</w:t>
      </w:r>
    </w:p>
    <w:bookmarkEnd w:id="120"/>
    <w:p>
      <w:pPr>
        <w:pStyle w:val="27"/>
        <w:spacing w:line="360" w:lineRule="auto"/>
        <w:rPr>
          <w:rFonts w:asciiTheme="minorEastAsia" w:hAnsiTheme="minorEastAsia" w:eastAsiaTheme="minorEastAsia"/>
          <w:sz w:val="21"/>
          <w:szCs w:val="21"/>
        </w:rPr>
      </w:pPr>
      <w:bookmarkStart w:id="127" w:name="_Toc24017313"/>
      <w:bookmarkStart w:id="128" w:name="_Toc11835071"/>
      <w:r>
        <w:rPr>
          <w:rFonts w:hint="eastAsia" w:asciiTheme="minorEastAsia" w:hAnsiTheme="minorEastAsia" w:eastAsiaTheme="minorEastAsia"/>
          <w:sz w:val="21"/>
          <w:szCs w:val="21"/>
        </w:rPr>
        <w:t>五、磋商小组在政府采购活动中承担以下义务：</w:t>
      </w:r>
      <w:bookmarkEnd w:id="127"/>
      <w:bookmarkEnd w:id="128"/>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1、遵守评审工作纪律；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2、按照客观、公正、审慎的原则，根据磋商文件规定的评审程序、评审方法和评审标准进行独立评审；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3、不得泄露评审文件、评审情况和在评审过程中获悉的商业秘密；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4、及时向财政部门报告评审过程中发现的采购人、采购代理机构向评审专家做倾向性、误导性的解释或者说明，以及供应商行贿、提供虚假材料或者串通等违法行为；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5、发现磋商文件内容违反国家有关强制性规定或者磋商文件存在歧义、重大缺陷导致评审工作无法进行时，停止评审并向采购人或者采购代理机构书面说明情况；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6、及时向财政、监察等部门举报在评审过程中受到非法干预的情况；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7、配合答复处理供应商的询问、质疑和投诉等事项；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8、法律、法规和规章规定的其他义务。</w:t>
      </w:r>
    </w:p>
    <w:p>
      <w:pPr>
        <w:pStyle w:val="27"/>
        <w:spacing w:line="360" w:lineRule="auto"/>
        <w:rPr>
          <w:rFonts w:asciiTheme="minorEastAsia" w:hAnsiTheme="minorEastAsia" w:eastAsiaTheme="minorEastAsia"/>
          <w:sz w:val="21"/>
          <w:szCs w:val="21"/>
        </w:rPr>
      </w:pPr>
      <w:bookmarkStart w:id="129" w:name="_Toc11835072"/>
      <w:bookmarkStart w:id="130" w:name="_Toc24017314"/>
      <w:r>
        <w:rPr>
          <w:rFonts w:hint="eastAsia" w:asciiTheme="minorEastAsia" w:hAnsiTheme="minorEastAsia" w:eastAsiaTheme="minorEastAsia"/>
          <w:sz w:val="21"/>
          <w:szCs w:val="21"/>
        </w:rPr>
        <w:t>六、评审专家在政府采购活动中应当遵守以下工作纪律：</w:t>
      </w:r>
      <w:bookmarkEnd w:id="129"/>
      <w:bookmarkEnd w:id="130"/>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2、评审前，应当将通讯工具或者相关电子设备交由采购代理机构统一保管；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3、评审过程中，不得与外界联系，因发生不可预见情况，确实需要与外界联系的，应当在监督人员监督之下办理；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5、在评审过程中和评审结束后，不得记录、复制或带走任何评审资料，不得向外界透露评审内容；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6、评审现场服从采购代理机构工作人员的管理，接受现场监督人员的合法监督；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7、遵守有关廉洁自律规定，不得私下接触供应商，不得收受供应商及有关业务单位和个人的财物或好处，不得接受采购代理机构的请托。</w:t>
      </w:r>
    </w:p>
    <w:p>
      <w:pPr>
        <w:spacing w:line="360" w:lineRule="auto"/>
        <w:rPr>
          <w:rFonts w:asciiTheme="minorEastAsia" w:hAnsiTheme="minorEastAsia"/>
          <w:b/>
        </w:rPr>
      </w:pPr>
      <w:r>
        <w:rPr>
          <w:rFonts w:asciiTheme="minorEastAsia" w:hAnsiTheme="minorEastAsia"/>
          <w:b/>
        </w:rPr>
        <w:br w:type="page"/>
      </w:r>
    </w:p>
    <w:p>
      <w:pPr>
        <w:pStyle w:val="35"/>
        <w:spacing w:line="360" w:lineRule="auto"/>
        <w:rPr>
          <w:rFonts w:asciiTheme="minorEastAsia" w:hAnsiTheme="minorEastAsia" w:eastAsiaTheme="minorEastAsia"/>
        </w:rPr>
      </w:pPr>
      <w:bookmarkStart w:id="131" w:name="_Toc44237533"/>
      <w:bookmarkStart w:id="132" w:name="_Toc11835073"/>
      <w:bookmarkStart w:id="133" w:name="_Toc24017315"/>
      <w:r>
        <w:rPr>
          <w:rFonts w:hint="eastAsia" w:asciiTheme="minorEastAsia" w:hAnsiTheme="minorEastAsia" w:eastAsiaTheme="minorEastAsia"/>
        </w:rPr>
        <w:t>第十章政府采购合同（仅供参考）</w:t>
      </w:r>
      <w:bookmarkEnd w:id="131"/>
      <w:bookmarkEnd w:id="132"/>
      <w:bookmarkEnd w:id="133"/>
    </w:p>
    <w:bookmarkEnd w:id="57"/>
    <w:bookmarkEnd w:id="58"/>
    <w:bookmarkEnd w:id="59"/>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合同编号：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签订地点：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签订时间：年月日。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采购人（甲方）：成都东部新区高明镇人民政府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供应商（乙方）：</w:t>
      </w:r>
    </w:p>
    <w:p>
      <w:pPr>
        <w:spacing w:line="360" w:lineRule="auto"/>
        <w:ind w:firstLine="420" w:firstLineChars="200"/>
        <w:rPr>
          <w:rFonts w:ascii="宋体" w:hAnsi="宋体" w:eastAsia="宋体"/>
          <w:sz w:val="21"/>
          <w:szCs w:val="21"/>
          <w:u w:val="single"/>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依据《中华人民共和国民法典》、《中华人民共和国政府采购法》、</w:t>
      </w:r>
      <w:r>
        <w:rPr>
          <w:rFonts w:ascii="宋体" w:hAnsi="宋体" w:eastAsia="宋体"/>
          <w:sz w:val="21"/>
          <w:szCs w:val="21"/>
        </w:rPr>
        <w:t>《政府采购竞争性磋商采购方式管理暂行办法》</w:t>
      </w:r>
      <w:r>
        <w:rPr>
          <w:rFonts w:hint="eastAsia" w:ascii="宋体" w:hAnsi="宋体" w:eastAsia="宋体"/>
          <w:sz w:val="21"/>
          <w:szCs w:val="21"/>
        </w:rPr>
        <w:t>与项目行业有关的法律法规，以及项目（采购编号：）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一、项目基本情况</w:t>
      </w:r>
    </w:p>
    <w:p>
      <w:pPr>
        <w:spacing w:line="360" w:lineRule="auto"/>
        <w:ind w:firstLine="422" w:firstLineChars="200"/>
        <w:rPr>
          <w:rFonts w:ascii="宋体" w:hAnsi="宋体" w:eastAsia="宋体"/>
          <w:b/>
          <w:sz w:val="21"/>
          <w:szCs w:val="21"/>
        </w:rPr>
      </w:pP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二、合同期限</w:t>
      </w:r>
    </w:p>
    <w:p>
      <w:pPr>
        <w:spacing w:line="360" w:lineRule="auto"/>
        <w:ind w:firstLine="420" w:firstLineChars="200"/>
        <w:rPr>
          <w:rFonts w:ascii="宋体" w:hAnsi="宋体" w:eastAsia="宋体"/>
          <w:sz w:val="21"/>
          <w:szCs w:val="21"/>
        </w:rPr>
      </w:pPr>
    </w:p>
    <w:p>
      <w:pPr>
        <w:spacing w:line="360" w:lineRule="auto"/>
        <w:ind w:firstLine="422" w:firstLineChars="200"/>
        <w:rPr>
          <w:rFonts w:ascii="宋体" w:hAnsi="宋体" w:eastAsia="宋体"/>
          <w:b/>
          <w:sz w:val="21"/>
          <w:szCs w:val="21"/>
        </w:rPr>
      </w:pPr>
      <w:bookmarkStart w:id="134" w:name="_Toc251768862"/>
      <w:bookmarkStart w:id="135" w:name="_Toc237145406"/>
      <w:bookmarkStart w:id="136" w:name="_Toc239233914"/>
      <w:bookmarkStart w:id="137" w:name="_Toc225244852"/>
      <w:bookmarkStart w:id="138" w:name="_Toc211854449"/>
      <w:bookmarkStart w:id="139" w:name="_Toc286993786"/>
      <w:bookmarkStart w:id="140" w:name="_Toc211911348"/>
      <w:bookmarkStart w:id="141" w:name="_Toc232492928"/>
      <w:bookmarkStart w:id="142" w:name="_Toc238984975"/>
      <w:bookmarkStart w:id="143" w:name="_Toc225654644"/>
      <w:bookmarkStart w:id="144" w:name="_Toc247334841"/>
      <w:bookmarkStart w:id="145" w:name="_Toc239568418"/>
      <w:bookmarkStart w:id="146" w:name="_Toc282696226"/>
      <w:bookmarkStart w:id="147" w:name="_Toc283019214"/>
      <w:bookmarkStart w:id="148" w:name="_Toc212019594"/>
      <w:bookmarkStart w:id="149" w:name="_Toc225670751"/>
      <w:bookmarkStart w:id="150" w:name="_Toc241833903"/>
      <w:bookmarkStart w:id="151" w:name="_Toc185395249"/>
      <w:r>
        <w:rPr>
          <w:rFonts w:hint="eastAsia" w:ascii="宋体" w:hAnsi="宋体" w:eastAsia="宋体"/>
          <w:b/>
          <w:sz w:val="21"/>
          <w:szCs w:val="21"/>
        </w:rPr>
        <w:t>三、服务内容与质量标准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四、服务费用及支付方式</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(一)本项目服务费用由以下组成：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(二)服务费支付方式：</w:t>
      </w:r>
      <w:r>
        <w:rPr>
          <w:rFonts w:hint="eastAsia" w:ascii="宋体" w:hAnsi="宋体" w:eastAsia="宋体"/>
          <w:sz w:val="21"/>
          <w:szCs w:val="21"/>
        </w:rPr>
        <w:t>（具体以合同签订时为准）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五、知识产权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乙方应保证所提供的服务或其任何一部分均不会侵犯任何第三方的专利权、商标权或著作权。</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六、无产权瑕疵条款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乙方保证所提供的服务的所有权完全属于乙方且无任何抵押、查封等产权瑕疵。如有产权瑕疵的，视为乙方违约。乙方应负担由此而产生的一切损失。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七、履约保证金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1、履约保证金为合同总价的XX%。</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2、履约保证金作为违约金的一部分及用于补偿甲方因乙方不能履行合同义务而蒙受的损失。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八、甲方的权利和义务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3、负责检查监督乙方管理工作的实施及制度的执行情况。</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4、根据本合同规定，按时向乙方支付应付服务费用。</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5、国家法律、法规所规定由甲方承担的其它责任。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九、乙方的权利和义务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1、对本合同规定的委托服务范围内的项目享有管理权及服务义务。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2、根据本合同的规定向甲方收取相关服务费用，并有权在本项目管理范围内管理及合理使用。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3、及时向甲方通告本项目服务范围内有关服务的重大事项，及时配合处理投诉。</w:t>
      </w:r>
    </w:p>
    <w:p>
      <w:pPr>
        <w:spacing w:line="360" w:lineRule="auto"/>
        <w:ind w:firstLine="420" w:firstLineChars="200"/>
        <w:rPr>
          <w:rFonts w:ascii="宋体" w:hAnsi="宋体" w:eastAsia="宋体"/>
          <w:bCs/>
          <w:sz w:val="21"/>
          <w:szCs w:val="21"/>
        </w:rPr>
      </w:pPr>
      <w:r>
        <w:rPr>
          <w:rFonts w:hint="eastAsia" w:ascii="宋体" w:hAnsi="宋体" w:eastAsia="宋体"/>
          <w:sz w:val="21"/>
          <w:szCs w:val="21"/>
        </w:rPr>
        <w:t>4、</w:t>
      </w:r>
      <w:r>
        <w:rPr>
          <w:rFonts w:hint="eastAsia" w:ascii="宋体" w:hAnsi="宋体" w:eastAsia="宋体"/>
          <w:bCs/>
          <w:sz w:val="21"/>
          <w:szCs w:val="21"/>
        </w:rPr>
        <w:t>接受项目行业管理部门及政府有关部门的指导，接受甲方的监督。</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国家法律、法规所规定由乙方承担的其它责任。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十、违约责任</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1、甲乙双方必须遵守本合同并执行合同中的各项规定，保证本合同的正常履行。</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十一、不可抗力事件处理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2、不可抗力事件发生后，应立即通知对方，并寄送有关权威机构出具的证明。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3、不可抗力事件延续天以上，双方应通过友好协商，确定是否继续履行合同。</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spacing w:line="360" w:lineRule="auto"/>
        <w:ind w:firstLine="422" w:firstLineChars="200"/>
        <w:rPr>
          <w:rFonts w:ascii="宋体" w:hAnsi="宋体" w:eastAsia="宋体"/>
          <w:b/>
          <w:sz w:val="21"/>
          <w:szCs w:val="21"/>
        </w:rPr>
      </w:pPr>
      <w:bookmarkStart w:id="152" w:name="_Toc239568423"/>
      <w:bookmarkStart w:id="153" w:name="_Toc247334846"/>
      <w:bookmarkStart w:id="154" w:name="_Toc239233919"/>
      <w:bookmarkStart w:id="155" w:name="_Toc211911353"/>
      <w:bookmarkStart w:id="156" w:name="_Toc225670756"/>
      <w:bookmarkStart w:id="157" w:name="_Toc237145411"/>
      <w:bookmarkStart w:id="158" w:name="_Toc212019599"/>
      <w:bookmarkStart w:id="159" w:name="_Toc225244857"/>
      <w:bookmarkStart w:id="160" w:name="_Toc241833908"/>
      <w:bookmarkStart w:id="161" w:name="_Toc238984980"/>
      <w:bookmarkStart w:id="162" w:name="_Toc286993792"/>
      <w:bookmarkStart w:id="163" w:name="_Toc232492933"/>
      <w:bookmarkStart w:id="164" w:name="_Toc251768867"/>
      <w:bookmarkStart w:id="165" w:name="_Toc185395254"/>
      <w:bookmarkStart w:id="166" w:name="_Toc225654649"/>
      <w:bookmarkStart w:id="167" w:name="_Toc211854454"/>
      <w:r>
        <w:rPr>
          <w:rFonts w:hint="eastAsia" w:ascii="宋体" w:hAnsi="宋体" w:eastAsia="宋体"/>
          <w:b/>
          <w:sz w:val="21"/>
          <w:szCs w:val="21"/>
        </w:rPr>
        <w:t>十二、解决合同纠纷的方式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20" w:firstLineChars="200"/>
        <w:rPr>
          <w:rFonts w:ascii="宋体" w:hAnsi="宋体" w:eastAsia="宋体"/>
          <w:sz w:val="21"/>
          <w:szCs w:val="21"/>
        </w:rPr>
      </w:pPr>
      <w:r>
        <w:rPr>
          <w:rFonts w:hint="eastAsia" w:ascii="宋体" w:hAnsi="宋体" w:eastAsia="宋体"/>
          <w:sz w:val="21"/>
          <w:szCs w:val="21"/>
        </w:rPr>
        <w:t>1、在执行本合同中发生的或与本合同有关的争端，双方应通过友好协商解决，经协商在XX天内不能达成协议时，应提交项目所在地仲裁委员会仲裁。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2、仲裁裁决应为最终决定，并对双方具有约束力。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3、除另有裁决外，仲裁费应由败诉方负担。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4、在仲裁期间，除正在进行仲裁部分外，合同其他部分继续执行。</w:t>
      </w:r>
    </w:p>
    <w:p>
      <w:pPr>
        <w:spacing w:line="360" w:lineRule="auto"/>
        <w:ind w:firstLine="422" w:firstLineChars="200"/>
        <w:rPr>
          <w:rFonts w:ascii="宋体" w:hAnsi="宋体" w:eastAsia="宋体"/>
          <w:b/>
          <w:sz w:val="21"/>
          <w:szCs w:val="21"/>
        </w:rPr>
      </w:pPr>
      <w:bookmarkStart w:id="168" w:name="_Toc225670757"/>
      <w:bookmarkStart w:id="169" w:name="_Toc211911354"/>
      <w:bookmarkStart w:id="170" w:name="_Toc238984981"/>
      <w:bookmarkStart w:id="171" w:name="_Toc237145412"/>
      <w:bookmarkStart w:id="172" w:name="_Toc286993793"/>
      <w:bookmarkStart w:id="173" w:name="_Toc212019600"/>
      <w:bookmarkStart w:id="174" w:name="_Toc241833909"/>
      <w:bookmarkStart w:id="175" w:name="_Toc239568424"/>
      <w:bookmarkStart w:id="176" w:name="_Toc282696231"/>
      <w:bookmarkStart w:id="177" w:name="_Toc232492934"/>
      <w:bookmarkStart w:id="178" w:name="_Toc247334847"/>
      <w:bookmarkStart w:id="179" w:name="_Toc251768868"/>
      <w:bookmarkStart w:id="180" w:name="_Toc211854455"/>
      <w:bookmarkStart w:id="181" w:name="_Toc225244858"/>
      <w:bookmarkStart w:id="182" w:name="_Toc239233920"/>
      <w:bookmarkStart w:id="183" w:name="_Toc225654650"/>
      <w:bookmarkStart w:id="184" w:name="_Toc283019219"/>
      <w:bookmarkStart w:id="185" w:name="_Toc185395255"/>
      <w:r>
        <w:rPr>
          <w:rFonts w:hint="eastAsia" w:ascii="宋体" w:hAnsi="宋体" w:eastAsia="宋体"/>
          <w:b/>
          <w:sz w:val="21"/>
          <w:szCs w:val="21"/>
        </w:rPr>
        <w:t>十三、合同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宋体" w:hAnsi="宋体" w:eastAsia="宋体"/>
          <w:b/>
          <w:sz w:val="21"/>
          <w:szCs w:val="21"/>
        </w:rPr>
        <w:t>生效及其他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1、合同经双方法定代表人或授权委托代理人签字并加盖单位公章后生效。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3、本合同一式六份，自双方签章之日起起效。甲方二份，乙方二份，政府采购代理机构一份，具有同等法律效力。</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十四、附件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1、项目磋商文件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2、项目修改澄清文件（如有）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3、项目响应文件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4、成交通知书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5、其他</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甲方：（盖章）</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乙方：（盖章）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法定代表人（代理人）：               法定代表人（代理人）：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地址：                               地址：</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开户银行：                           开户银行：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账号：                               账号：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电话：                               电话：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传真：                               传真：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签约日期：年月日</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签约日期：年月日</w:t>
      </w:r>
    </w:p>
    <w:p>
      <w:pPr>
        <w:spacing w:line="360" w:lineRule="auto"/>
        <w:ind w:firstLine="480" w:firstLineChars="200"/>
        <w:rPr>
          <w:rFonts w:asciiTheme="minorEastAsia" w:hAnsiTheme="minorEastAsia"/>
        </w:rPr>
      </w:pPr>
    </w:p>
    <w:p>
      <w:pPr>
        <w:spacing w:line="360" w:lineRule="auto"/>
        <w:rPr>
          <w:rFonts w:asciiTheme="minorEastAsia" w:hAnsiTheme="minorEastAsia"/>
        </w:rPr>
      </w:pPr>
      <w:r>
        <w:rPr>
          <w:rFonts w:asciiTheme="minorEastAsia" w:hAnsiTheme="minorEastAsia"/>
        </w:rPr>
        <w:br w:type="page"/>
      </w:r>
    </w:p>
    <w:p>
      <w:pPr>
        <w:spacing w:line="360" w:lineRule="auto"/>
        <w:rPr>
          <w:rFonts w:ascii="宋体" w:hAnsi="宋体" w:eastAsia="宋体"/>
          <w:sz w:val="21"/>
          <w:szCs w:val="21"/>
        </w:rPr>
      </w:pPr>
    </w:p>
    <w:p>
      <w:pPr>
        <w:pStyle w:val="27"/>
        <w:spacing w:line="360" w:lineRule="auto"/>
        <w:rPr>
          <w:rFonts w:ascii="宋体" w:hAnsi="宋体" w:eastAsia="宋体"/>
          <w:sz w:val="21"/>
          <w:szCs w:val="21"/>
        </w:rPr>
      </w:pPr>
      <w:bookmarkStart w:id="186" w:name="_Toc24017318"/>
      <w:r>
        <w:rPr>
          <w:rFonts w:hint="eastAsia" w:ascii="宋体" w:hAnsi="宋体" w:eastAsia="宋体"/>
          <w:sz w:val="21"/>
          <w:szCs w:val="21"/>
        </w:rPr>
        <w:t>附件1：《四川省财政厅关于推进四川省政府采购供应商信用融资工作的通知》（川财采〔2018〕123 号）</w:t>
      </w:r>
      <w:bookmarkEnd w:id="186"/>
    </w:p>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各市（州）、扩权县（市）财政局，各省直机关、事业单位、团体组织，各金融机构，各采购代理机构，各政府采购供应商：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spacing w:line="360" w:lineRule="auto"/>
        <w:rPr>
          <w:rFonts w:ascii="宋体" w:hAnsi="宋体" w:eastAsia="宋体"/>
          <w:sz w:val="21"/>
          <w:szCs w:val="21"/>
        </w:rPr>
      </w:pPr>
      <w:r>
        <w:rPr>
          <w:rFonts w:hint="eastAsia" w:ascii="宋体" w:hAnsi="宋体" w:eastAsia="宋体"/>
          <w:sz w:val="21"/>
          <w:szCs w:val="21"/>
        </w:rPr>
        <w:t>一、融资概念</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spacing w:line="360" w:lineRule="auto"/>
        <w:rPr>
          <w:rFonts w:ascii="宋体" w:hAnsi="宋体" w:eastAsia="宋体"/>
          <w:sz w:val="21"/>
          <w:szCs w:val="21"/>
        </w:rPr>
      </w:pPr>
      <w:r>
        <w:rPr>
          <w:rFonts w:hint="eastAsia" w:ascii="宋体" w:hAnsi="宋体" w:eastAsia="宋体"/>
          <w:sz w:val="21"/>
          <w:szCs w:val="21"/>
        </w:rPr>
        <w:t>二、基本原则</w:t>
      </w:r>
    </w:p>
    <w:p>
      <w:pPr>
        <w:spacing w:line="360" w:lineRule="auto"/>
        <w:ind w:firstLine="200"/>
        <w:rPr>
          <w:rFonts w:ascii="宋体" w:hAnsi="宋体" w:eastAsia="宋体"/>
          <w:sz w:val="21"/>
          <w:szCs w:val="21"/>
        </w:rPr>
      </w:pPr>
      <w:r>
        <w:rPr>
          <w:rFonts w:hint="eastAsia" w:ascii="宋体" w:hAnsi="宋体" w:eastAsia="宋体"/>
          <w:sz w:val="21"/>
          <w:szCs w:val="21"/>
        </w:rPr>
        <w:t>（一）财政引导，市场运行</w:t>
      </w:r>
    </w:p>
    <w:p>
      <w:pPr>
        <w:spacing w:line="360" w:lineRule="auto"/>
        <w:ind w:firstLine="200"/>
        <w:rPr>
          <w:rFonts w:ascii="宋体" w:hAnsi="宋体" w:eastAsia="宋体"/>
          <w:sz w:val="21"/>
          <w:szCs w:val="21"/>
        </w:rPr>
      </w:pPr>
      <w:r>
        <w:rPr>
          <w:rFonts w:hint="eastAsia" w:ascii="宋体" w:hAnsi="宋体" w:eastAsia="宋体"/>
          <w:sz w:val="21"/>
          <w:szCs w:val="21"/>
        </w:rPr>
        <w:t>财政部门推进“政采贷”，银行和供应商按照自愿原则参与。供应商自愿选择是否申请“政采贷”，银行依据其内部审查制度和决策程序决定是否为供应商提供融资，自担风险。</w:t>
      </w:r>
    </w:p>
    <w:p>
      <w:pPr>
        <w:spacing w:line="360" w:lineRule="auto"/>
        <w:ind w:firstLine="200"/>
        <w:rPr>
          <w:rFonts w:ascii="宋体" w:hAnsi="宋体" w:eastAsia="宋体"/>
          <w:sz w:val="21"/>
          <w:szCs w:val="21"/>
        </w:rPr>
      </w:pPr>
      <w:r>
        <w:rPr>
          <w:rFonts w:hint="eastAsia" w:ascii="宋体" w:hAnsi="宋体" w:eastAsia="宋体"/>
          <w:sz w:val="21"/>
          <w:szCs w:val="21"/>
        </w:rPr>
        <w:t>（二）建立机制，服务银企</w:t>
      </w:r>
    </w:p>
    <w:p>
      <w:pPr>
        <w:spacing w:line="360" w:lineRule="auto"/>
        <w:ind w:firstLine="200"/>
        <w:rPr>
          <w:rFonts w:ascii="宋体" w:hAnsi="宋体" w:eastAsia="宋体"/>
          <w:sz w:val="21"/>
          <w:szCs w:val="21"/>
        </w:rPr>
      </w:pPr>
      <w:r>
        <w:rPr>
          <w:rFonts w:hint="eastAsia" w:ascii="宋体" w:hAnsi="宋体" w:eastAsia="宋体"/>
          <w:sz w:val="21"/>
          <w:szCs w:val="21"/>
        </w:rPr>
        <w:t>财政部门与银行建立“政采贷”工作机制，推动政府采购政策功能和金融资源的有机结合，拓宽银行的融资业务，助力解决政府采购中标、成交供应商资金不足、融资难、融资贵的困难，促进企业健康发展。</w:t>
      </w:r>
    </w:p>
    <w:p>
      <w:pPr>
        <w:spacing w:line="360" w:lineRule="auto"/>
        <w:ind w:firstLine="200"/>
        <w:rPr>
          <w:rFonts w:ascii="宋体" w:hAnsi="宋体" w:eastAsia="宋体"/>
          <w:sz w:val="21"/>
          <w:szCs w:val="21"/>
        </w:rPr>
      </w:pPr>
      <w:r>
        <w:rPr>
          <w:rFonts w:hint="eastAsia" w:ascii="宋体" w:hAnsi="宋体" w:eastAsia="宋体"/>
          <w:sz w:val="21"/>
          <w:szCs w:val="21"/>
        </w:rPr>
        <w:t>（三）优质优惠，加强扶持</w:t>
      </w:r>
    </w:p>
    <w:p>
      <w:pPr>
        <w:spacing w:line="360" w:lineRule="auto"/>
        <w:ind w:firstLine="200"/>
        <w:rPr>
          <w:rFonts w:ascii="宋体" w:hAnsi="宋体" w:eastAsia="宋体"/>
          <w:sz w:val="21"/>
          <w:szCs w:val="21"/>
        </w:rPr>
      </w:pPr>
      <w:r>
        <w:rPr>
          <w:rFonts w:hint="eastAsia" w:ascii="宋体" w:hAnsi="宋体" w:eastAsia="宋体"/>
          <w:sz w:val="21"/>
          <w:szCs w:val="2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spacing w:line="360" w:lineRule="auto"/>
        <w:rPr>
          <w:rFonts w:ascii="宋体" w:hAnsi="宋体" w:eastAsia="宋体"/>
          <w:sz w:val="21"/>
          <w:szCs w:val="21"/>
        </w:rPr>
      </w:pPr>
      <w:r>
        <w:rPr>
          <w:rFonts w:hint="eastAsia" w:ascii="宋体" w:hAnsi="宋体" w:eastAsia="宋体"/>
          <w:sz w:val="21"/>
          <w:szCs w:val="21"/>
        </w:rPr>
        <w:t>三、基本条件</w:t>
      </w:r>
    </w:p>
    <w:p>
      <w:pPr>
        <w:spacing w:line="360" w:lineRule="auto"/>
        <w:ind w:firstLine="200"/>
        <w:rPr>
          <w:rFonts w:ascii="宋体" w:hAnsi="宋体" w:eastAsia="宋体"/>
          <w:sz w:val="21"/>
          <w:szCs w:val="21"/>
        </w:rPr>
      </w:pPr>
      <w:r>
        <w:rPr>
          <w:rFonts w:hint="eastAsia" w:ascii="宋体" w:hAnsi="宋体" w:eastAsia="宋体"/>
          <w:sz w:val="21"/>
          <w:szCs w:val="21"/>
        </w:rPr>
        <w:t>（一）银行暨“政采贷”金融产品</w:t>
      </w:r>
    </w:p>
    <w:p>
      <w:pPr>
        <w:spacing w:line="360" w:lineRule="auto"/>
        <w:ind w:firstLine="200"/>
        <w:rPr>
          <w:rFonts w:ascii="宋体" w:hAnsi="宋体" w:eastAsia="宋体"/>
          <w:sz w:val="21"/>
          <w:szCs w:val="21"/>
        </w:rPr>
      </w:pPr>
      <w:r>
        <w:rPr>
          <w:rFonts w:hint="eastAsia" w:ascii="宋体" w:hAnsi="宋体" w:eastAsia="宋体"/>
          <w:sz w:val="21"/>
          <w:szCs w:val="21"/>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pPr>
        <w:spacing w:line="360" w:lineRule="auto"/>
        <w:ind w:firstLine="200"/>
        <w:rPr>
          <w:rFonts w:ascii="宋体" w:hAnsi="宋体" w:eastAsia="宋体"/>
          <w:sz w:val="21"/>
          <w:szCs w:val="21"/>
        </w:rPr>
      </w:pPr>
      <w:r>
        <w:rPr>
          <w:rFonts w:hint="eastAsia" w:ascii="宋体" w:hAnsi="宋体" w:eastAsia="宋体"/>
          <w:sz w:val="21"/>
          <w:szCs w:val="21"/>
        </w:rPr>
        <w:t>申请材料应当包括银行基本情况、“政采贷”产品名称、申请贷款条件、申请贷款方式、申请贷款程序、贷款审查流程、贷款额度、发放贷款时间、收款方式及其他优质服务和优惠承诺等。</w:t>
      </w:r>
    </w:p>
    <w:p>
      <w:pPr>
        <w:spacing w:line="360" w:lineRule="auto"/>
        <w:ind w:firstLine="200"/>
        <w:rPr>
          <w:rFonts w:ascii="宋体" w:hAnsi="宋体" w:eastAsia="宋体"/>
          <w:sz w:val="21"/>
          <w:szCs w:val="21"/>
        </w:rPr>
      </w:pPr>
      <w:r>
        <w:rPr>
          <w:rFonts w:hint="eastAsia" w:ascii="宋体" w:hAnsi="宋体" w:eastAsia="宋体"/>
          <w:sz w:val="21"/>
          <w:szCs w:val="21"/>
        </w:rPr>
        <w:t>银行提供的“政采贷”产品应当满足“无抵押担保、程序简便、利率优惠、放款及时”的基本条件以及本通知其他相关规定。</w:t>
      </w:r>
    </w:p>
    <w:p>
      <w:pPr>
        <w:spacing w:line="360" w:lineRule="auto"/>
        <w:ind w:firstLine="200"/>
        <w:rPr>
          <w:rFonts w:ascii="宋体" w:hAnsi="宋体" w:eastAsia="宋体"/>
          <w:sz w:val="21"/>
          <w:szCs w:val="21"/>
        </w:rPr>
      </w:pPr>
      <w:r>
        <w:rPr>
          <w:rFonts w:hint="eastAsia" w:ascii="宋体" w:hAnsi="宋体" w:eastAsia="宋体"/>
          <w:sz w:val="21"/>
          <w:szCs w:val="21"/>
        </w:rPr>
        <w:t>银行申请材料中应当载明其自愿提供“政采贷”产品，自担风险，不得要求或者变相要求财政部门和采购人为其提供风险担保、承诺。</w:t>
      </w:r>
    </w:p>
    <w:p>
      <w:pPr>
        <w:spacing w:line="360" w:lineRule="auto"/>
        <w:ind w:firstLine="200"/>
        <w:rPr>
          <w:rFonts w:ascii="宋体" w:hAnsi="宋体" w:eastAsia="宋体"/>
          <w:sz w:val="21"/>
          <w:szCs w:val="21"/>
        </w:rPr>
      </w:pPr>
      <w:r>
        <w:rPr>
          <w:rFonts w:hint="eastAsia" w:ascii="宋体" w:hAnsi="宋体" w:eastAsia="宋体"/>
          <w:sz w:val="21"/>
          <w:szCs w:val="2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spacing w:line="360" w:lineRule="auto"/>
        <w:ind w:firstLine="200"/>
        <w:rPr>
          <w:rFonts w:ascii="宋体" w:hAnsi="宋体" w:eastAsia="宋体"/>
          <w:sz w:val="21"/>
          <w:szCs w:val="21"/>
        </w:rPr>
      </w:pPr>
      <w:r>
        <w:rPr>
          <w:rFonts w:hint="eastAsia" w:ascii="宋体" w:hAnsi="宋体" w:eastAsia="宋体"/>
          <w:sz w:val="21"/>
          <w:szCs w:val="21"/>
        </w:rPr>
        <w:t>（二）供应商</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政府采购供应商向银行申请“政采贷”，应当满足下列基本条件：</w:t>
      </w:r>
    </w:p>
    <w:p>
      <w:pPr>
        <w:spacing w:line="360" w:lineRule="auto"/>
        <w:ind w:firstLine="200"/>
        <w:rPr>
          <w:rFonts w:ascii="宋体" w:hAnsi="宋体" w:eastAsia="宋体"/>
          <w:sz w:val="21"/>
          <w:szCs w:val="21"/>
        </w:rPr>
      </w:pPr>
      <w:r>
        <w:rPr>
          <w:rFonts w:hint="eastAsia" w:ascii="宋体" w:hAnsi="宋体" w:eastAsia="宋体"/>
          <w:sz w:val="21"/>
          <w:szCs w:val="21"/>
        </w:rPr>
        <w:t>1、具有依法承担民事责任的能力；</w:t>
      </w:r>
    </w:p>
    <w:p>
      <w:pPr>
        <w:spacing w:line="360" w:lineRule="auto"/>
        <w:ind w:firstLine="200"/>
        <w:rPr>
          <w:rFonts w:ascii="宋体" w:hAnsi="宋体" w:eastAsia="宋体"/>
          <w:sz w:val="21"/>
          <w:szCs w:val="21"/>
        </w:rPr>
      </w:pPr>
      <w:r>
        <w:rPr>
          <w:rFonts w:hint="eastAsia" w:ascii="宋体" w:hAnsi="宋体" w:eastAsia="宋体"/>
          <w:sz w:val="21"/>
          <w:szCs w:val="21"/>
        </w:rPr>
        <w:t>2、具有依法履行政府采购合同的能力；</w:t>
      </w:r>
    </w:p>
    <w:p>
      <w:pPr>
        <w:spacing w:line="360" w:lineRule="auto"/>
        <w:ind w:firstLine="200"/>
        <w:rPr>
          <w:rFonts w:ascii="宋体" w:hAnsi="宋体" w:eastAsia="宋体"/>
          <w:sz w:val="21"/>
          <w:szCs w:val="21"/>
        </w:rPr>
      </w:pPr>
      <w:r>
        <w:rPr>
          <w:rFonts w:hint="eastAsia" w:ascii="宋体" w:hAnsi="宋体" w:eastAsia="宋体"/>
          <w:sz w:val="21"/>
          <w:szCs w:val="21"/>
        </w:rPr>
        <w:t>3、参加的政府采购活动未被财政部门依法暂停、责令重新开展或者认定中标、成交无效；</w:t>
      </w:r>
    </w:p>
    <w:p>
      <w:pPr>
        <w:spacing w:line="360" w:lineRule="auto"/>
        <w:ind w:firstLine="200"/>
        <w:rPr>
          <w:rFonts w:ascii="宋体" w:hAnsi="宋体" w:eastAsia="宋体"/>
          <w:sz w:val="21"/>
          <w:szCs w:val="21"/>
        </w:rPr>
      </w:pPr>
      <w:r>
        <w:rPr>
          <w:rFonts w:hint="eastAsia" w:ascii="宋体" w:hAnsi="宋体" w:eastAsia="宋体"/>
          <w:sz w:val="21"/>
          <w:szCs w:val="21"/>
        </w:rPr>
        <w:t>4、无《政府采购法》第二十二条第一款第（五）项所称的重大违法记录；</w:t>
      </w:r>
    </w:p>
    <w:p>
      <w:pPr>
        <w:spacing w:line="360" w:lineRule="auto"/>
        <w:ind w:firstLine="200"/>
        <w:rPr>
          <w:rFonts w:ascii="宋体" w:hAnsi="宋体" w:eastAsia="宋体"/>
          <w:sz w:val="21"/>
          <w:szCs w:val="21"/>
        </w:rPr>
      </w:pPr>
      <w:r>
        <w:rPr>
          <w:rFonts w:hint="eastAsia" w:ascii="宋体" w:hAnsi="宋体" w:eastAsia="宋体"/>
          <w:sz w:val="21"/>
          <w:szCs w:val="21"/>
        </w:rPr>
        <w:t>5、未被法院、市场监管、税务、银行等部门单位纳入失信名单且在有效期内；</w:t>
      </w:r>
    </w:p>
    <w:p>
      <w:pPr>
        <w:spacing w:line="360" w:lineRule="auto"/>
        <w:ind w:firstLine="200"/>
        <w:rPr>
          <w:rFonts w:ascii="宋体" w:hAnsi="宋体" w:eastAsia="宋体"/>
          <w:sz w:val="21"/>
          <w:szCs w:val="21"/>
        </w:rPr>
      </w:pPr>
      <w:r>
        <w:rPr>
          <w:rFonts w:hint="eastAsia" w:ascii="宋体" w:hAnsi="宋体" w:eastAsia="宋体"/>
          <w:sz w:val="21"/>
          <w:szCs w:val="21"/>
        </w:rPr>
        <w:t>6、在一定期限内的（银行可以具体确定）政府采购合同履约过程中或者其他经营活动履约过程中，无不依法履约被有关行政部门行政处罚的或者产生法律纠纷被法院、仲裁机构判决、裁决败诉的；</w:t>
      </w:r>
    </w:p>
    <w:p>
      <w:pPr>
        <w:spacing w:line="360" w:lineRule="auto"/>
        <w:ind w:firstLine="200"/>
        <w:rPr>
          <w:rFonts w:ascii="宋体" w:hAnsi="宋体" w:eastAsia="宋体"/>
          <w:sz w:val="21"/>
          <w:szCs w:val="21"/>
        </w:rPr>
      </w:pPr>
      <w:r>
        <w:rPr>
          <w:rFonts w:hint="eastAsia" w:ascii="宋体" w:hAnsi="宋体" w:eastAsia="宋体"/>
          <w:sz w:val="21"/>
          <w:szCs w:val="21"/>
        </w:rPr>
        <w:t>7、其他银行要求的不属于提供财产抵押或第三方担保的条件。</w:t>
      </w:r>
    </w:p>
    <w:p>
      <w:pPr>
        <w:spacing w:line="360" w:lineRule="auto"/>
        <w:rPr>
          <w:rFonts w:ascii="宋体" w:hAnsi="宋体" w:eastAsia="宋体"/>
          <w:sz w:val="21"/>
          <w:szCs w:val="21"/>
        </w:rPr>
      </w:pPr>
      <w:r>
        <w:rPr>
          <w:rFonts w:hint="eastAsia" w:ascii="宋体" w:hAnsi="宋体" w:eastAsia="宋体"/>
          <w:sz w:val="21"/>
          <w:szCs w:val="21"/>
        </w:rPr>
        <w:t>四、构建平台</w:t>
      </w:r>
    </w:p>
    <w:p>
      <w:pPr>
        <w:spacing w:line="360" w:lineRule="auto"/>
        <w:ind w:firstLine="200"/>
        <w:rPr>
          <w:rFonts w:ascii="宋体" w:hAnsi="宋体" w:eastAsia="宋体"/>
          <w:sz w:val="21"/>
          <w:szCs w:val="21"/>
        </w:rPr>
      </w:pPr>
      <w:r>
        <w:rPr>
          <w:rFonts w:hint="eastAsia" w:ascii="宋体" w:hAnsi="宋体" w:eastAsia="宋体"/>
          <w:sz w:val="21"/>
          <w:szCs w:val="21"/>
        </w:rPr>
        <w:t>四川省财政厅将在四川政府采购网统一构建四川省“政采贷”信息化服务平台，推进四川省“政采贷”工作信息化建设。</w:t>
      </w:r>
    </w:p>
    <w:p>
      <w:pPr>
        <w:spacing w:line="360" w:lineRule="auto"/>
        <w:rPr>
          <w:rFonts w:ascii="宋体" w:hAnsi="宋体" w:eastAsia="宋体"/>
          <w:sz w:val="21"/>
          <w:szCs w:val="21"/>
        </w:rPr>
      </w:pPr>
      <w:r>
        <w:rPr>
          <w:rFonts w:hint="eastAsia" w:ascii="宋体" w:hAnsi="宋体" w:eastAsia="宋体"/>
          <w:sz w:val="21"/>
          <w:szCs w:val="21"/>
        </w:rPr>
        <w:t>五、财金互动</w:t>
      </w:r>
    </w:p>
    <w:p>
      <w:pPr>
        <w:spacing w:line="360" w:lineRule="auto"/>
        <w:ind w:firstLine="200"/>
        <w:rPr>
          <w:rFonts w:ascii="宋体" w:hAnsi="宋体" w:eastAsia="宋体"/>
          <w:sz w:val="21"/>
          <w:szCs w:val="21"/>
        </w:rPr>
      </w:pPr>
      <w:r>
        <w:rPr>
          <w:rFonts w:hint="eastAsia" w:ascii="宋体" w:hAnsi="宋体" w:eastAsia="宋体"/>
          <w:sz w:val="21"/>
          <w:szCs w:val="21"/>
        </w:rPr>
        <w:t>各级财政部门应当按照《四川省政府采购促进中小企业发展的若干规定》（川财采[2016]35号）等有关规定，对金融机构向小微企业提供“政采贷”贷款产生的损失，纳入财政金融互动政策范围给予风险补贴。</w:t>
      </w:r>
    </w:p>
    <w:p>
      <w:pPr>
        <w:spacing w:line="360" w:lineRule="auto"/>
        <w:rPr>
          <w:rFonts w:ascii="宋体" w:hAnsi="宋体" w:eastAsia="宋体"/>
          <w:sz w:val="21"/>
          <w:szCs w:val="21"/>
        </w:rPr>
      </w:pPr>
      <w:r>
        <w:rPr>
          <w:rFonts w:hint="eastAsia" w:ascii="宋体" w:hAnsi="宋体" w:eastAsia="宋体"/>
          <w:sz w:val="21"/>
          <w:szCs w:val="21"/>
        </w:rPr>
        <w:t>六、基本流程</w:t>
      </w:r>
    </w:p>
    <w:p>
      <w:pPr>
        <w:spacing w:line="360" w:lineRule="auto"/>
        <w:ind w:firstLine="200"/>
        <w:rPr>
          <w:rFonts w:ascii="宋体" w:hAnsi="宋体" w:eastAsia="宋体"/>
          <w:sz w:val="21"/>
          <w:szCs w:val="21"/>
        </w:rPr>
      </w:pPr>
      <w:r>
        <w:rPr>
          <w:rFonts w:hint="eastAsia" w:ascii="宋体" w:hAnsi="宋体" w:eastAsia="宋体"/>
          <w:sz w:val="21"/>
          <w:szCs w:val="21"/>
        </w:rPr>
        <w:t>（一）意向申请</w:t>
      </w:r>
    </w:p>
    <w:p>
      <w:pPr>
        <w:spacing w:line="360" w:lineRule="auto"/>
        <w:ind w:firstLine="200"/>
        <w:rPr>
          <w:rFonts w:ascii="宋体" w:hAnsi="宋体" w:eastAsia="宋体"/>
          <w:sz w:val="21"/>
          <w:szCs w:val="21"/>
        </w:rPr>
      </w:pPr>
      <w:r>
        <w:rPr>
          <w:rFonts w:hint="eastAsia" w:ascii="宋体" w:hAnsi="宋体" w:eastAsia="宋体"/>
          <w:sz w:val="21"/>
          <w:szCs w:val="21"/>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spacing w:line="360" w:lineRule="auto"/>
        <w:ind w:firstLine="200"/>
        <w:rPr>
          <w:rFonts w:ascii="宋体" w:hAnsi="宋体" w:eastAsia="宋体"/>
          <w:sz w:val="21"/>
          <w:szCs w:val="21"/>
        </w:rPr>
      </w:pPr>
      <w:r>
        <w:rPr>
          <w:rFonts w:hint="eastAsia" w:ascii="宋体" w:hAnsi="宋体" w:eastAsia="宋体"/>
          <w:sz w:val="21"/>
          <w:szCs w:val="21"/>
        </w:rPr>
        <w:t>（二）正式申请</w:t>
      </w:r>
    </w:p>
    <w:p>
      <w:pPr>
        <w:spacing w:line="360" w:lineRule="auto"/>
        <w:ind w:firstLine="200"/>
        <w:rPr>
          <w:rFonts w:ascii="宋体" w:hAnsi="宋体" w:eastAsia="宋体"/>
          <w:sz w:val="21"/>
          <w:szCs w:val="21"/>
        </w:rPr>
      </w:pPr>
      <w:r>
        <w:rPr>
          <w:rFonts w:hint="eastAsia" w:ascii="宋体" w:hAnsi="宋体" w:eastAsia="宋体"/>
          <w:sz w:val="21"/>
          <w:szCs w:val="2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spacing w:line="360" w:lineRule="auto"/>
        <w:ind w:firstLine="200"/>
        <w:rPr>
          <w:rFonts w:ascii="宋体" w:hAnsi="宋体" w:eastAsia="宋体"/>
          <w:sz w:val="21"/>
          <w:szCs w:val="21"/>
        </w:rPr>
      </w:pPr>
      <w:r>
        <w:rPr>
          <w:rFonts w:hint="eastAsia" w:ascii="宋体" w:hAnsi="宋体" w:eastAsia="宋体"/>
          <w:sz w:val="21"/>
          <w:szCs w:val="2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spacing w:line="360" w:lineRule="auto"/>
        <w:ind w:firstLine="200"/>
        <w:rPr>
          <w:rFonts w:ascii="宋体" w:hAnsi="宋体" w:eastAsia="宋体"/>
          <w:sz w:val="21"/>
          <w:szCs w:val="21"/>
        </w:rPr>
      </w:pPr>
      <w:r>
        <w:rPr>
          <w:rFonts w:hint="eastAsia" w:ascii="宋体" w:hAnsi="宋体" w:eastAsia="宋体"/>
          <w:sz w:val="21"/>
          <w:szCs w:val="21"/>
        </w:rPr>
        <w:t>（三）贷款审查</w:t>
      </w:r>
    </w:p>
    <w:p>
      <w:pPr>
        <w:spacing w:line="360" w:lineRule="auto"/>
        <w:ind w:firstLine="200"/>
        <w:rPr>
          <w:rFonts w:ascii="宋体" w:hAnsi="宋体" w:eastAsia="宋体"/>
          <w:sz w:val="21"/>
          <w:szCs w:val="21"/>
        </w:rPr>
      </w:pPr>
      <w:r>
        <w:rPr>
          <w:rFonts w:hint="eastAsia" w:ascii="宋体" w:hAnsi="宋体" w:eastAsia="宋体"/>
          <w:sz w:val="21"/>
          <w:szCs w:val="2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spacing w:line="360" w:lineRule="auto"/>
        <w:ind w:firstLine="200"/>
        <w:rPr>
          <w:rFonts w:ascii="宋体" w:hAnsi="宋体" w:eastAsia="宋体"/>
          <w:sz w:val="21"/>
          <w:szCs w:val="21"/>
        </w:rPr>
      </w:pPr>
      <w:r>
        <w:rPr>
          <w:rFonts w:hint="eastAsia" w:ascii="宋体" w:hAnsi="宋体" w:eastAsia="宋体"/>
          <w:sz w:val="21"/>
          <w:szCs w:val="21"/>
        </w:rPr>
        <w:t>（四）信息报送</w:t>
      </w:r>
    </w:p>
    <w:p>
      <w:pPr>
        <w:spacing w:line="360" w:lineRule="auto"/>
        <w:ind w:firstLine="200"/>
        <w:rPr>
          <w:rFonts w:ascii="宋体" w:hAnsi="宋体" w:eastAsia="宋体"/>
          <w:sz w:val="21"/>
          <w:szCs w:val="21"/>
        </w:rPr>
      </w:pPr>
      <w:r>
        <w:rPr>
          <w:rFonts w:hint="eastAsia" w:ascii="宋体" w:hAnsi="宋体" w:eastAsia="宋体"/>
          <w:sz w:val="21"/>
          <w:szCs w:val="2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spacing w:line="360" w:lineRule="auto"/>
        <w:ind w:firstLine="200"/>
        <w:rPr>
          <w:rFonts w:ascii="宋体" w:hAnsi="宋体" w:eastAsia="宋体"/>
          <w:sz w:val="21"/>
          <w:szCs w:val="21"/>
        </w:rPr>
      </w:pPr>
      <w:r>
        <w:rPr>
          <w:rFonts w:hint="eastAsia" w:ascii="宋体" w:hAnsi="宋体" w:eastAsia="宋体"/>
          <w:sz w:val="21"/>
          <w:szCs w:val="21"/>
        </w:rPr>
        <w:t>（五）资金支付</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政府采购资金支付时，采购人必须将采购资金支付到政府采购合同中注明的贷款银行名称及账号，以保障贷款资金的安全回收。采购人不得将采购资金支付在政府采购合同约定以外的收款账号。</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政府采购资金支付过程中，银行需要查询采购资金支付进程有关信息的，财政部门和采购人应当支持。</w:t>
      </w:r>
    </w:p>
    <w:p>
      <w:pPr>
        <w:spacing w:line="360" w:lineRule="auto"/>
        <w:rPr>
          <w:rFonts w:ascii="宋体" w:hAnsi="宋体" w:eastAsia="宋体"/>
          <w:sz w:val="21"/>
          <w:szCs w:val="21"/>
        </w:rPr>
      </w:pPr>
      <w:r>
        <w:rPr>
          <w:rFonts w:hint="eastAsia" w:ascii="宋体" w:hAnsi="宋体" w:eastAsia="宋体"/>
          <w:sz w:val="21"/>
          <w:szCs w:val="21"/>
        </w:rPr>
        <w:t>七、职责要求</w:t>
      </w:r>
    </w:p>
    <w:p>
      <w:pPr>
        <w:spacing w:line="360" w:lineRule="auto"/>
        <w:ind w:firstLine="200"/>
        <w:rPr>
          <w:rFonts w:ascii="宋体" w:hAnsi="宋体" w:eastAsia="宋体"/>
          <w:sz w:val="21"/>
          <w:szCs w:val="21"/>
        </w:rPr>
      </w:pPr>
      <w:r>
        <w:rPr>
          <w:rFonts w:hint="eastAsia" w:ascii="宋体" w:hAnsi="宋体" w:eastAsia="宋体"/>
          <w:sz w:val="21"/>
          <w:szCs w:val="2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spacing w:line="360" w:lineRule="auto"/>
        <w:ind w:firstLine="200"/>
        <w:rPr>
          <w:rFonts w:ascii="宋体" w:hAnsi="宋体" w:eastAsia="宋体"/>
          <w:sz w:val="21"/>
          <w:szCs w:val="21"/>
        </w:rPr>
      </w:pPr>
      <w:r>
        <w:rPr>
          <w:rFonts w:hint="eastAsia" w:ascii="宋体" w:hAnsi="宋体" w:eastAsia="宋体"/>
          <w:sz w:val="21"/>
          <w:szCs w:val="2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spacing w:line="360" w:lineRule="auto"/>
        <w:ind w:firstLine="200"/>
        <w:rPr>
          <w:rFonts w:ascii="宋体" w:hAnsi="宋体" w:eastAsia="宋体"/>
          <w:sz w:val="21"/>
          <w:szCs w:val="21"/>
        </w:rPr>
      </w:pPr>
      <w:r>
        <w:rPr>
          <w:rFonts w:hint="eastAsia" w:ascii="宋体" w:hAnsi="宋体" w:eastAsia="宋体"/>
          <w:sz w:val="21"/>
          <w:szCs w:val="21"/>
        </w:rPr>
        <w:t>（三）采购人应当积极支持“政采贷”工作，对于银行、供应商提出的合理需求，应当支持。对于已融资采购项目，供应商履约完成后，要及时开展履约验收工作，及时支付采购资金，不得无故拖延和拒付采购资金。</w:t>
      </w:r>
    </w:p>
    <w:p>
      <w:pPr>
        <w:spacing w:line="360" w:lineRule="auto"/>
        <w:ind w:firstLine="200"/>
        <w:rPr>
          <w:rFonts w:ascii="宋体" w:hAnsi="宋体" w:eastAsia="宋体"/>
          <w:sz w:val="21"/>
          <w:szCs w:val="21"/>
        </w:rPr>
      </w:pPr>
      <w:r>
        <w:rPr>
          <w:rFonts w:hint="eastAsia" w:ascii="宋体" w:hAnsi="宋体" w:eastAsia="宋体"/>
          <w:sz w:val="21"/>
          <w:szCs w:val="21"/>
        </w:rPr>
        <w:t>（四）采购代理机构在组织实施政府采购活动中，应当采取有效方式，向供应商宣传“政采贷”政策。银行需要借用采购代理机构的场所直接向供应商介绍其“政采贷”产品的，采购代理机构应当支持。</w:t>
      </w:r>
    </w:p>
    <w:p>
      <w:pPr>
        <w:spacing w:line="360" w:lineRule="auto"/>
        <w:ind w:firstLine="200"/>
        <w:rPr>
          <w:rFonts w:ascii="宋体" w:hAnsi="宋体" w:eastAsia="宋体"/>
          <w:sz w:val="21"/>
          <w:szCs w:val="21"/>
        </w:rPr>
      </w:pPr>
      <w:r>
        <w:rPr>
          <w:rFonts w:hint="eastAsia" w:ascii="宋体" w:hAnsi="宋体" w:eastAsia="宋体"/>
          <w:sz w:val="21"/>
          <w:szCs w:val="21"/>
        </w:rPr>
        <w:t>（五）供应商应当依法参加政府采购活动，公平竞争，诚实守信，严格按照政府采购合同履约，严格按照借款合同偿还债务。</w:t>
      </w:r>
    </w:p>
    <w:p>
      <w:pPr>
        <w:spacing w:line="360" w:lineRule="auto"/>
        <w:ind w:firstLine="200"/>
        <w:rPr>
          <w:rFonts w:ascii="宋体" w:hAnsi="宋体" w:eastAsia="宋体"/>
          <w:sz w:val="21"/>
          <w:szCs w:val="21"/>
        </w:rPr>
      </w:pPr>
      <w:r>
        <w:rPr>
          <w:rFonts w:hint="eastAsia" w:ascii="宋体" w:hAnsi="宋体" w:eastAsia="宋体"/>
          <w:sz w:val="21"/>
          <w:szCs w:val="21"/>
        </w:rPr>
        <w:t>（六）财政部门、采购人、采购代理机构及其他有关单位和个人不得违规干预供应商选择“政采贷”银行及其产品，也不得违规干预银行向供应商进行贷款。</w:t>
      </w:r>
    </w:p>
    <w:p>
      <w:pPr>
        <w:spacing w:line="360" w:lineRule="auto"/>
        <w:ind w:firstLine="200"/>
        <w:rPr>
          <w:rFonts w:ascii="宋体" w:hAnsi="宋体" w:eastAsia="宋体"/>
          <w:sz w:val="21"/>
          <w:szCs w:val="21"/>
        </w:rPr>
      </w:pPr>
      <w:r>
        <w:rPr>
          <w:rFonts w:hint="eastAsia" w:ascii="宋体" w:hAnsi="宋体" w:eastAsia="宋体"/>
          <w:sz w:val="21"/>
          <w:szCs w:val="21"/>
        </w:rPr>
        <w:t>（七）相关单位和个人在开展“政采贷”工作过程中，发现新问题、新情况或者有意见建议的，请及时向四川省财政厅反馈。</w:t>
      </w:r>
    </w:p>
    <w:p>
      <w:pPr>
        <w:spacing w:line="360" w:lineRule="auto"/>
        <w:rPr>
          <w:rFonts w:ascii="宋体" w:hAnsi="宋体" w:eastAsia="宋体"/>
          <w:sz w:val="21"/>
          <w:szCs w:val="21"/>
        </w:rPr>
      </w:pPr>
      <w:r>
        <w:rPr>
          <w:rFonts w:hint="eastAsia" w:ascii="宋体" w:hAnsi="宋体" w:eastAsia="宋体"/>
          <w:sz w:val="21"/>
          <w:szCs w:val="21"/>
        </w:rPr>
        <w:t>八、违规处理</w:t>
      </w:r>
    </w:p>
    <w:p>
      <w:pPr>
        <w:spacing w:line="360" w:lineRule="auto"/>
        <w:ind w:firstLine="200"/>
        <w:rPr>
          <w:rFonts w:ascii="宋体" w:hAnsi="宋体" w:eastAsia="宋体"/>
          <w:sz w:val="21"/>
          <w:szCs w:val="21"/>
        </w:rPr>
      </w:pPr>
      <w:r>
        <w:rPr>
          <w:rFonts w:hint="eastAsia" w:ascii="宋体" w:hAnsi="宋体" w:eastAsia="宋体"/>
          <w:sz w:val="21"/>
          <w:szCs w:val="21"/>
        </w:rPr>
        <w:t>（一）银行违规处理</w:t>
      </w:r>
    </w:p>
    <w:p>
      <w:pPr>
        <w:spacing w:line="360" w:lineRule="auto"/>
        <w:ind w:firstLine="200"/>
        <w:rPr>
          <w:rFonts w:ascii="宋体" w:hAnsi="宋体" w:eastAsia="宋体"/>
          <w:sz w:val="21"/>
          <w:szCs w:val="21"/>
        </w:rPr>
      </w:pPr>
      <w:r>
        <w:rPr>
          <w:rFonts w:hint="eastAsia" w:ascii="宋体" w:hAnsi="宋体" w:eastAsia="宋体"/>
          <w:sz w:val="21"/>
          <w:szCs w:val="2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spacing w:line="360" w:lineRule="auto"/>
        <w:ind w:firstLine="200"/>
        <w:rPr>
          <w:rFonts w:ascii="宋体" w:hAnsi="宋体" w:eastAsia="宋体"/>
          <w:sz w:val="21"/>
          <w:szCs w:val="21"/>
        </w:rPr>
      </w:pPr>
      <w:r>
        <w:rPr>
          <w:rFonts w:hint="eastAsia" w:ascii="宋体" w:hAnsi="宋体" w:eastAsia="宋体"/>
          <w:sz w:val="21"/>
          <w:szCs w:val="21"/>
        </w:rPr>
        <w:t>（二）供应商违规处理</w:t>
      </w:r>
    </w:p>
    <w:p>
      <w:pPr>
        <w:spacing w:line="360" w:lineRule="auto"/>
        <w:ind w:firstLine="200"/>
        <w:rPr>
          <w:rFonts w:ascii="宋体" w:hAnsi="宋体" w:eastAsia="宋体"/>
          <w:sz w:val="21"/>
          <w:szCs w:val="21"/>
        </w:rPr>
      </w:pPr>
      <w:r>
        <w:rPr>
          <w:rFonts w:hint="eastAsia" w:ascii="宋体" w:hAnsi="宋体" w:eastAsia="宋体"/>
          <w:sz w:val="21"/>
          <w:szCs w:val="2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spacing w:line="360" w:lineRule="auto"/>
        <w:ind w:firstLine="200"/>
        <w:rPr>
          <w:rFonts w:ascii="宋体" w:hAnsi="宋体" w:eastAsia="宋体"/>
          <w:sz w:val="21"/>
          <w:szCs w:val="21"/>
        </w:rPr>
      </w:pPr>
      <w:r>
        <w:rPr>
          <w:rFonts w:hint="eastAsia" w:ascii="宋体" w:hAnsi="宋体" w:eastAsia="宋体"/>
          <w:sz w:val="21"/>
          <w:szCs w:val="21"/>
        </w:rPr>
        <w:t>（三）其他违规处理</w:t>
      </w:r>
    </w:p>
    <w:p>
      <w:pPr>
        <w:spacing w:line="360" w:lineRule="auto"/>
        <w:ind w:firstLine="200"/>
        <w:rPr>
          <w:rFonts w:ascii="宋体" w:hAnsi="宋体" w:eastAsia="宋体"/>
          <w:sz w:val="21"/>
          <w:szCs w:val="21"/>
        </w:rPr>
      </w:pPr>
      <w:r>
        <w:rPr>
          <w:rFonts w:hint="eastAsia" w:ascii="宋体" w:hAnsi="宋体" w:eastAsia="宋体"/>
          <w:sz w:val="21"/>
          <w:szCs w:val="2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spacing w:line="360" w:lineRule="auto"/>
        <w:ind w:firstLine="200"/>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27"/>
        <w:spacing w:line="360" w:lineRule="auto"/>
        <w:rPr>
          <w:rFonts w:ascii="宋体" w:hAnsi="宋体" w:eastAsia="宋体"/>
          <w:sz w:val="21"/>
          <w:szCs w:val="21"/>
        </w:rPr>
      </w:pPr>
      <w:bookmarkStart w:id="187" w:name="_Toc24017319"/>
      <w:r>
        <w:rPr>
          <w:rFonts w:hint="eastAsia" w:ascii="宋体" w:hAnsi="宋体" w:eastAsia="宋体"/>
          <w:sz w:val="21"/>
          <w:szCs w:val="21"/>
        </w:rPr>
        <w:t>附件2：《成都市中小企业政府采购信用融资暂行办法》（成财采〔2019〕17 号）</w:t>
      </w:r>
      <w:bookmarkEnd w:id="187"/>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成都市中小企业政府采购信用融资暂行办法</w:t>
      </w:r>
    </w:p>
    <w:p>
      <w:pPr>
        <w:spacing w:line="360" w:lineRule="auto"/>
        <w:jc w:val="center"/>
        <w:rPr>
          <w:rFonts w:ascii="宋体" w:hAnsi="宋体" w:eastAsia="宋体"/>
          <w:b/>
          <w:sz w:val="21"/>
          <w:szCs w:val="21"/>
        </w:rPr>
      </w:pPr>
      <w:r>
        <w:rPr>
          <w:rFonts w:hint="eastAsia" w:ascii="宋体" w:hAnsi="宋体" w:eastAsia="宋体"/>
          <w:b/>
          <w:sz w:val="21"/>
          <w:szCs w:val="21"/>
        </w:rPr>
        <w:t>第一章总则</w:t>
      </w:r>
    </w:p>
    <w:p>
      <w:pPr>
        <w:spacing w:line="360" w:lineRule="auto"/>
        <w:rPr>
          <w:rFonts w:ascii="宋体" w:hAnsi="宋体" w:eastAsia="宋体"/>
          <w:sz w:val="21"/>
          <w:szCs w:val="21"/>
        </w:rPr>
      </w:pPr>
      <w:r>
        <w:rPr>
          <w:rFonts w:hint="eastAsia" w:ascii="宋体" w:hAnsi="宋体" w:eastAsia="宋体"/>
          <w:sz w:val="21"/>
          <w:szCs w:val="21"/>
        </w:rPr>
        <w:t>第一条（政策依据）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spacing w:line="360" w:lineRule="auto"/>
        <w:rPr>
          <w:rFonts w:ascii="宋体" w:hAnsi="宋体" w:eastAsia="宋体"/>
          <w:sz w:val="21"/>
          <w:szCs w:val="21"/>
        </w:rPr>
      </w:pPr>
      <w:r>
        <w:rPr>
          <w:rFonts w:hint="eastAsia" w:ascii="宋体" w:hAnsi="宋体" w:eastAsia="宋体"/>
          <w:sz w:val="21"/>
          <w:szCs w:val="21"/>
        </w:rPr>
        <w:t>第二条（适用范围）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成都市行政区域内政府采购信用融资适用本办法。</w:t>
      </w:r>
    </w:p>
    <w:p>
      <w:pPr>
        <w:spacing w:line="360" w:lineRule="auto"/>
        <w:rPr>
          <w:rFonts w:ascii="宋体" w:hAnsi="宋体" w:eastAsia="宋体"/>
          <w:sz w:val="21"/>
          <w:szCs w:val="21"/>
        </w:rPr>
      </w:pPr>
      <w:r>
        <w:rPr>
          <w:rFonts w:hint="eastAsia" w:ascii="宋体" w:hAnsi="宋体" w:eastAsia="宋体"/>
          <w:sz w:val="21"/>
          <w:szCs w:val="21"/>
        </w:rPr>
        <w:t>第三条（术语定义）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本办法所称政府采购信用融资，是指融资机构以信用审查为基础，依据政府采购合同，按相应的优惠政策向申请融资的中小企业（以下简称供应商）提供资金支持的融资模式。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本办法所称融资机构，是指在成都市属地注册或设立分支机构，有意向按照本办法开展政府采购信用融资业务，经同级财政部门确定的银行机构。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本办法所称中小企业，包括中型、小型及微型企业，其划型标准按照国家相关规定执行。</w:t>
      </w:r>
    </w:p>
    <w:p>
      <w:pPr>
        <w:spacing w:line="360" w:lineRule="auto"/>
        <w:rPr>
          <w:rFonts w:ascii="宋体" w:hAnsi="宋体" w:eastAsia="宋体"/>
          <w:sz w:val="21"/>
          <w:szCs w:val="21"/>
        </w:rPr>
      </w:pPr>
      <w:r>
        <w:rPr>
          <w:rFonts w:hint="eastAsia" w:ascii="宋体" w:hAnsi="宋体" w:eastAsia="宋体"/>
          <w:sz w:val="21"/>
          <w:szCs w:val="21"/>
        </w:rPr>
        <w:t>第四条（基本原则）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政府采购信用融资工作坚持政府引导、市场主导，自愿选择、自担风险，诚实信用、互惠共赢的原则，切实发挥市场在资源配置中的决定性作用。</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jc w:val="center"/>
        <w:rPr>
          <w:rFonts w:ascii="宋体" w:hAnsi="宋体" w:eastAsia="宋体"/>
          <w:b/>
          <w:sz w:val="21"/>
          <w:szCs w:val="21"/>
        </w:rPr>
      </w:pPr>
      <w:r>
        <w:rPr>
          <w:rFonts w:hint="eastAsia" w:ascii="宋体" w:hAnsi="宋体" w:eastAsia="宋体"/>
          <w:b/>
          <w:sz w:val="21"/>
          <w:szCs w:val="21"/>
        </w:rPr>
        <w:t>第二章融资优惠</w:t>
      </w:r>
    </w:p>
    <w:p>
      <w:pPr>
        <w:spacing w:line="360" w:lineRule="auto"/>
        <w:rPr>
          <w:rFonts w:ascii="宋体" w:hAnsi="宋体" w:eastAsia="宋体"/>
          <w:sz w:val="21"/>
          <w:szCs w:val="21"/>
        </w:rPr>
      </w:pPr>
      <w:r>
        <w:rPr>
          <w:rFonts w:hint="eastAsia" w:ascii="宋体" w:hAnsi="宋体" w:eastAsia="宋体"/>
          <w:sz w:val="21"/>
          <w:szCs w:val="21"/>
        </w:rPr>
        <w:t>第五条（融资方式）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供应商无需提供财产抵押或第三方担保，凭借政府采购合同向融资机构申请融资，融资机构根据其授信政策为供应商提供信用贷款。</w:t>
      </w:r>
    </w:p>
    <w:p>
      <w:pPr>
        <w:spacing w:line="360" w:lineRule="auto"/>
        <w:rPr>
          <w:rFonts w:ascii="宋体" w:hAnsi="宋体" w:eastAsia="宋体"/>
          <w:sz w:val="21"/>
          <w:szCs w:val="21"/>
        </w:rPr>
      </w:pPr>
      <w:r>
        <w:rPr>
          <w:rFonts w:hint="eastAsia" w:ascii="宋体" w:hAnsi="宋体" w:eastAsia="宋体"/>
          <w:sz w:val="21"/>
          <w:szCs w:val="21"/>
        </w:rPr>
        <w:t>第六条（融资额度）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融资额度原则上不超过政府采购合同金额。</w:t>
      </w:r>
    </w:p>
    <w:p>
      <w:pPr>
        <w:spacing w:line="360" w:lineRule="auto"/>
        <w:rPr>
          <w:rFonts w:ascii="宋体" w:hAnsi="宋体" w:eastAsia="宋体"/>
          <w:sz w:val="21"/>
          <w:szCs w:val="21"/>
        </w:rPr>
      </w:pPr>
      <w:r>
        <w:rPr>
          <w:rFonts w:hint="eastAsia" w:ascii="宋体" w:hAnsi="宋体" w:eastAsia="宋体"/>
          <w:sz w:val="21"/>
          <w:szCs w:val="21"/>
        </w:rPr>
        <w:t>第七条（融资利率）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融资机构向供应商提供融资的利率应低于同期一般中小企业的贷款利率。融资利率上浮比例原则上不超过中国人民银行公布的同期贷款基准利率的30%。</w:t>
      </w:r>
    </w:p>
    <w:p>
      <w:pPr>
        <w:spacing w:line="360" w:lineRule="auto"/>
        <w:rPr>
          <w:rFonts w:ascii="宋体" w:hAnsi="宋体" w:eastAsia="宋体"/>
          <w:sz w:val="21"/>
          <w:szCs w:val="21"/>
        </w:rPr>
      </w:pPr>
      <w:r>
        <w:rPr>
          <w:rFonts w:hint="eastAsia" w:ascii="宋体" w:hAnsi="宋体" w:eastAsia="宋体"/>
          <w:sz w:val="21"/>
          <w:szCs w:val="21"/>
        </w:rPr>
        <w:t>第八条（融资期限）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融资期限原则上与政府采购合同履行期限一致。</w:t>
      </w:r>
    </w:p>
    <w:p>
      <w:pPr>
        <w:spacing w:line="360" w:lineRule="auto"/>
        <w:rPr>
          <w:rFonts w:ascii="宋体" w:hAnsi="宋体" w:eastAsia="宋体"/>
          <w:sz w:val="21"/>
          <w:szCs w:val="21"/>
        </w:rPr>
      </w:pPr>
      <w:r>
        <w:rPr>
          <w:rFonts w:hint="eastAsia" w:ascii="宋体" w:hAnsi="宋体" w:eastAsia="宋体"/>
          <w:sz w:val="21"/>
          <w:szCs w:val="21"/>
        </w:rPr>
        <w:t>第九条（融资效率）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spacing w:line="360" w:lineRule="auto"/>
        <w:rPr>
          <w:rFonts w:ascii="宋体" w:hAnsi="宋体" w:eastAsia="宋体"/>
          <w:sz w:val="21"/>
          <w:szCs w:val="21"/>
        </w:rPr>
      </w:pPr>
      <w:r>
        <w:rPr>
          <w:rFonts w:hint="eastAsia" w:ascii="宋体" w:hAnsi="宋体" w:eastAsia="宋体"/>
          <w:sz w:val="21"/>
          <w:szCs w:val="21"/>
        </w:rPr>
        <w:t>第十条（融资业务升级）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对履约记录良好、诚信资质高的供应商，融资机构应当在授信额度、融资审查、融资利率等方面给予更大支持，促进供应商依法诚信经营。</w:t>
      </w:r>
    </w:p>
    <w:p>
      <w:pPr>
        <w:spacing w:line="360" w:lineRule="auto"/>
        <w:rPr>
          <w:rFonts w:ascii="宋体" w:hAnsi="宋体" w:eastAsia="宋体"/>
          <w:sz w:val="21"/>
          <w:szCs w:val="21"/>
        </w:rPr>
      </w:pPr>
      <w:r>
        <w:rPr>
          <w:rFonts w:hint="eastAsia" w:ascii="宋体" w:hAnsi="宋体" w:eastAsia="宋体"/>
          <w:sz w:val="21"/>
          <w:szCs w:val="21"/>
        </w:rPr>
        <w:t>第十一条（贷款风险补贴）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spacing w:line="360" w:lineRule="auto"/>
        <w:jc w:val="center"/>
        <w:rPr>
          <w:rFonts w:ascii="宋体" w:hAnsi="宋体" w:eastAsia="宋体"/>
          <w:sz w:val="21"/>
          <w:szCs w:val="21"/>
        </w:rPr>
      </w:pPr>
      <w:r>
        <w:rPr>
          <w:rFonts w:hint="eastAsia" w:ascii="宋体" w:hAnsi="宋体" w:eastAsia="宋体"/>
          <w:b/>
          <w:sz w:val="21"/>
          <w:szCs w:val="21"/>
        </w:rPr>
        <w:t>第三章融资流程</w:t>
      </w:r>
    </w:p>
    <w:p>
      <w:pPr>
        <w:spacing w:line="360" w:lineRule="auto"/>
        <w:rPr>
          <w:rFonts w:ascii="宋体" w:hAnsi="宋体" w:eastAsia="宋体"/>
          <w:sz w:val="21"/>
          <w:szCs w:val="21"/>
        </w:rPr>
      </w:pPr>
      <w:r>
        <w:rPr>
          <w:rFonts w:hint="eastAsia" w:ascii="宋体" w:hAnsi="宋体" w:eastAsia="宋体"/>
          <w:sz w:val="21"/>
          <w:szCs w:val="21"/>
        </w:rPr>
        <w:t>第十二条（融资流程）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（一）信息发布。采购人应当在发布的采购公告和采购文件中载明采购项目可提供信用融资的信息。</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（二）融资申请。有融资需求的供应商自主选择提供政府采购信用融资服务的融资机构及产品，并按要求提供申请资料。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（三）融资审查。融资机构对供应商的融资申请进行审查，并向供应商反馈审查及融资额度等情况。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（四）账户确认。供应商须在合作融资机构开立结算账户，并与采购人在政府采购合同中或通过签订补充协议的方式约定唯一收款账户，融资机构对唯一收款账户进行确认和锁定。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（五）放款。融资机构对政府采购合同及融资相关信息进行确认，并向供应商提供相应的融资产品。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（六）贷款归还。采购人按相关规定和合同约定将合同资金支付至约定的唯一收款账户。</w:t>
      </w:r>
    </w:p>
    <w:p>
      <w:pPr>
        <w:spacing w:line="360" w:lineRule="auto"/>
        <w:jc w:val="center"/>
        <w:rPr>
          <w:rFonts w:ascii="宋体" w:hAnsi="宋体" w:eastAsia="宋体"/>
          <w:b/>
          <w:sz w:val="21"/>
          <w:szCs w:val="21"/>
        </w:rPr>
      </w:pPr>
      <w:r>
        <w:rPr>
          <w:rFonts w:hint="eastAsia" w:ascii="宋体" w:hAnsi="宋体" w:eastAsia="宋体"/>
          <w:b/>
          <w:sz w:val="21"/>
          <w:szCs w:val="21"/>
        </w:rPr>
        <w:t>第四章职责分工</w:t>
      </w:r>
    </w:p>
    <w:p>
      <w:pPr>
        <w:spacing w:line="360" w:lineRule="auto"/>
        <w:rPr>
          <w:rFonts w:ascii="宋体" w:hAnsi="宋体" w:eastAsia="宋体"/>
          <w:sz w:val="21"/>
          <w:szCs w:val="21"/>
        </w:rPr>
      </w:pPr>
      <w:r>
        <w:rPr>
          <w:rFonts w:hint="eastAsia" w:ascii="宋体" w:hAnsi="宋体" w:eastAsia="宋体"/>
          <w:sz w:val="21"/>
          <w:szCs w:val="21"/>
        </w:rPr>
        <w:t>第十三条（财政部门职责）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spacing w:line="360" w:lineRule="auto"/>
        <w:rPr>
          <w:rFonts w:ascii="宋体" w:hAnsi="宋体" w:eastAsia="宋体"/>
          <w:sz w:val="21"/>
          <w:szCs w:val="21"/>
        </w:rPr>
      </w:pPr>
      <w:r>
        <w:rPr>
          <w:rFonts w:hint="eastAsia" w:ascii="宋体" w:hAnsi="宋体" w:eastAsia="宋体"/>
          <w:sz w:val="21"/>
          <w:szCs w:val="21"/>
        </w:rPr>
        <w:t>第十四条（融资机构主管部门职责）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引导融资机构依法依规开展政府采购信用融资。推动成都市政府采购监督管理系统与中征应收账款融资服务平台直联，实现政府采购信用融资线上办理，加强与财政部门的信息共享。</w:t>
      </w:r>
    </w:p>
    <w:p>
      <w:pPr>
        <w:spacing w:line="360" w:lineRule="auto"/>
        <w:rPr>
          <w:rFonts w:ascii="宋体" w:hAnsi="宋体" w:eastAsia="宋体"/>
          <w:sz w:val="21"/>
          <w:szCs w:val="21"/>
        </w:rPr>
      </w:pPr>
      <w:r>
        <w:rPr>
          <w:rFonts w:hint="eastAsia" w:ascii="宋体" w:hAnsi="宋体" w:eastAsia="宋体"/>
          <w:sz w:val="21"/>
          <w:szCs w:val="21"/>
        </w:rPr>
        <w:t>第十五条（采购人职责）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spacing w:line="360" w:lineRule="auto"/>
        <w:rPr>
          <w:rFonts w:ascii="宋体" w:hAnsi="宋体" w:eastAsia="宋体"/>
          <w:sz w:val="21"/>
          <w:szCs w:val="21"/>
        </w:rPr>
      </w:pPr>
      <w:r>
        <w:rPr>
          <w:rFonts w:hint="eastAsia" w:ascii="宋体" w:hAnsi="宋体" w:eastAsia="宋体"/>
          <w:sz w:val="21"/>
          <w:szCs w:val="21"/>
        </w:rPr>
        <w:t>第十六条（融资机构职责）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spacing w:line="360" w:lineRule="auto"/>
        <w:rPr>
          <w:rFonts w:ascii="宋体" w:hAnsi="宋体" w:eastAsia="宋体"/>
          <w:sz w:val="21"/>
          <w:szCs w:val="21"/>
        </w:rPr>
      </w:pPr>
      <w:r>
        <w:rPr>
          <w:rFonts w:hint="eastAsia" w:ascii="宋体" w:hAnsi="宋体" w:eastAsia="宋体"/>
          <w:sz w:val="21"/>
          <w:szCs w:val="21"/>
        </w:rPr>
        <w:t>第十七条（供应商职责）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spacing w:line="360" w:lineRule="auto"/>
        <w:jc w:val="center"/>
        <w:rPr>
          <w:rFonts w:ascii="宋体" w:hAnsi="宋体" w:eastAsia="宋体"/>
          <w:b/>
          <w:sz w:val="21"/>
          <w:szCs w:val="21"/>
        </w:rPr>
      </w:pPr>
      <w:r>
        <w:rPr>
          <w:rFonts w:hint="eastAsia" w:ascii="宋体" w:hAnsi="宋体" w:eastAsia="宋体"/>
          <w:b/>
          <w:sz w:val="21"/>
          <w:szCs w:val="21"/>
        </w:rPr>
        <w:t>第五章监督管理</w:t>
      </w:r>
    </w:p>
    <w:p>
      <w:pPr>
        <w:spacing w:line="360" w:lineRule="auto"/>
        <w:rPr>
          <w:rFonts w:ascii="宋体" w:hAnsi="宋体" w:eastAsia="宋体"/>
          <w:sz w:val="21"/>
          <w:szCs w:val="21"/>
        </w:rPr>
      </w:pPr>
      <w:r>
        <w:rPr>
          <w:rFonts w:hint="eastAsia" w:ascii="宋体" w:hAnsi="宋体" w:eastAsia="宋体"/>
          <w:sz w:val="21"/>
          <w:szCs w:val="21"/>
        </w:rPr>
        <w:t>第十八条（采购人监管）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采购人不执行政府采购信用融资政策，或不正当干预供应商选择合作融资机构，或无故拖延和拒付采购资金的，财政部门视情节进行约谈、通报直至暂停拨付财政资金。</w:t>
      </w:r>
    </w:p>
    <w:p>
      <w:pPr>
        <w:spacing w:line="360" w:lineRule="auto"/>
        <w:rPr>
          <w:rFonts w:ascii="宋体" w:hAnsi="宋体" w:eastAsia="宋体"/>
          <w:sz w:val="21"/>
          <w:szCs w:val="21"/>
        </w:rPr>
      </w:pPr>
      <w:r>
        <w:rPr>
          <w:rFonts w:hint="eastAsia" w:ascii="宋体" w:hAnsi="宋体" w:eastAsia="宋体"/>
          <w:sz w:val="21"/>
          <w:szCs w:val="21"/>
        </w:rPr>
        <w:t>第十九条（融资机构监管）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融资机构违反规定开展政府采购信用融资业务，对政府采购造成负面影响的，财政部门视情节取消其参与政府采购信用融资的业务权限。</w:t>
      </w:r>
    </w:p>
    <w:p>
      <w:pPr>
        <w:spacing w:line="360" w:lineRule="auto"/>
        <w:rPr>
          <w:rFonts w:ascii="宋体" w:hAnsi="宋体" w:eastAsia="宋体"/>
          <w:sz w:val="21"/>
          <w:szCs w:val="21"/>
        </w:rPr>
      </w:pPr>
      <w:r>
        <w:rPr>
          <w:rFonts w:hint="eastAsia" w:ascii="宋体" w:hAnsi="宋体" w:eastAsia="宋体"/>
          <w:sz w:val="21"/>
          <w:szCs w:val="21"/>
        </w:rPr>
        <w:t>第二十条（供应商监管）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spacing w:line="360" w:lineRule="auto"/>
        <w:rPr>
          <w:rFonts w:ascii="宋体" w:hAnsi="宋体" w:eastAsia="宋体"/>
          <w:sz w:val="21"/>
          <w:szCs w:val="21"/>
        </w:rPr>
      </w:pPr>
      <w:r>
        <w:rPr>
          <w:rFonts w:hint="eastAsia" w:ascii="宋体" w:hAnsi="宋体" w:eastAsia="宋体"/>
          <w:sz w:val="21"/>
          <w:szCs w:val="21"/>
        </w:rPr>
        <w:t>第二十一条（相关单位及工作人员监管）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各相关单位及其工作人员在履行职责中存在滥用职权、玩忽职守、徇私舞弊等违法违纪行为的，依照有关规定处理，涉嫌犯罪的，移送司法机关处理。</w:t>
      </w:r>
    </w:p>
    <w:p>
      <w:pPr>
        <w:spacing w:line="360" w:lineRule="auto"/>
        <w:jc w:val="center"/>
        <w:rPr>
          <w:rFonts w:ascii="宋体" w:hAnsi="宋体" w:eastAsia="宋体"/>
          <w:b/>
          <w:sz w:val="21"/>
          <w:szCs w:val="21"/>
        </w:rPr>
      </w:pPr>
      <w:r>
        <w:rPr>
          <w:rFonts w:hint="eastAsia" w:ascii="宋体" w:hAnsi="宋体" w:eastAsia="宋体"/>
          <w:b/>
          <w:sz w:val="21"/>
          <w:szCs w:val="21"/>
        </w:rPr>
        <w:t>第六章附则</w:t>
      </w:r>
    </w:p>
    <w:p>
      <w:pPr>
        <w:spacing w:line="360" w:lineRule="auto"/>
        <w:rPr>
          <w:rFonts w:ascii="宋体" w:hAnsi="宋体" w:eastAsia="宋体"/>
          <w:sz w:val="21"/>
          <w:szCs w:val="21"/>
        </w:rPr>
      </w:pPr>
      <w:r>
        <w:rPr>
          <w:rFonts w:hint="eastAsia" w:ascii="宋体" w:hAnsi="宋体" w:eastAsia="宋体"/>
          <w:sz w:val="21"/>
          <w:szCs w:val="21"/>
        </w:rPr>
        <w:t>第二十二条（解释相关）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本办法由市财政局会同中国人民银行成都分行营业管理部负责解释。</w:t>
      </w:r>
    </w:p>
    <w:p>
      <w:pPr>
        <w:spacing w:line="360" w:lineRule="auto"/>
        <w:rPr>
          <w:rFonts w:ascii="宋体" w:hAnsi="宋体" w:eastAsia="宋体"/>
          <w:sz w:val="21"/>
          <w:szCs w:val="21"/>
        </w:rPr>
      </w:pPr>
      <w:r>
        <w:rPr>
          <w:rFonts w:hint="eastAsia" w:ascii="宋体" w:hAnsi="宋体" w:eastAsia="宋体"/>
          <w:sz w:val="21"/>
          <w:szCs w:val="21"/>
        </w:rPr>
        <w:t>第二十三条（施行相关）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成都市级支持中小企业政府采购信用融资实施方案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spacing w:line="360" w:lineRule="auto"/>
        <w:rPr>
          <w:rFonts w:ascii="宋体" w:hAnsi="宋体" w:eastAsia="宋体"/>
          <w:sz w:val="21"/>
          <w:szCs w:val="21"/>
        </w:rPr>
      </w:pPr>
      <w:r>
        <w:rPr>
          <w:rFonts w:hint="eastAsia" w:ascii="宋体" w:hAnsi="宋体" w:eastAsia="宋体"/>
          <w:sz w:val="21"/>
          <w:szCs w:val="21"/>
        </w:rPr>
        <w:t>一、目标任务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spacing w:line="360" w:lineRule="auto"/>
        <w:rPr>
          <w:rFonts w:ascii="宋体" w:hAnsi="宋体" w:eastAsia="宋体"/>
          <w:sz w:val="21"/>
          <w:szCs w:val="21"/>
        </w:rPr>
      </w:pPr>
      <w:r>
        <w:rPr>
          <w:rFonts w:hint="eastAsia" w:ascii="宋体" w:hAnsi="宋体" w:eastAsia="宋体"/>
          <w:sz w:val="21"/>
          <w:szCs w:val="21"/>
        </w:rPr>
        <w:t>二、适用范围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本《实施方案》适用于成都市本级政府采购信用融资工作。</w:t>
      </w:r>
    </w:p>
    <w:p>
      <w:pPr>
        <w:spacing w:line="360" w:lineRule="auto"/>
        <w:rPr>
          <w:rFonts w:ascii="宋体" w:hAnsi="宋体" w:eastAsia="宋体"/>
          <w:sz w:val="21"/>
          <w:szCs w:val="21"/>
        </w:rPr>
      </w:pPr>
      <w:r>
        <w:rPr>
          <w:rFonts w:hint="eastAsia" w:ascii="宋体" w:hAnsi="宋体" w:eastAsia="宋体"/>
          <w:sz w:val="21"/>
          <w:szCs w:val="21"/>
        </w:rPr>
        <w:t>三、基本原则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spacing w:line="360" w:lineRule="auto"/>
        <w:rPr>
          <w:rFonts w:ascii="宋体" w:hAnsi="宋体" w:eastAsia="宋体"/>
          <w:sz w:val="21"/>
          <w:szCs w:val="21"/>
        </w:rPr>
      </w:pPr>
      <w:r>
        <w:rPr>
          <w:rFonts w:hint="eastAsia" w:ascii="宋体" w:hAnsi="宋体" w:eastAsia="宋体"/>
          <w:sz w:val="21"/>
          <w:szCs w:val="21"/>
        </w:rPr>
        <w:t>四、组织实施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（一）宣传动员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相关部门和单位采取多种方式积极宣传《暂行办法》和《实施方案》，落实财政部门、融资机构主管部门、采购人、融资机构等职责任务，明确各项工作目标任务，确保成都市级政府采购信用融资工作有序推进。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（二）融资机构选择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1．报名。有意向按照《暂行办法》和《实施方案》开展政府采购信用融资业务的融资机构，由其在蓉最高机构或在蓉最高机构指定的分支机构在市财政局政府采购监督管理处报名。报名需提供以下材料：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（1）融资机构基本情况；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（2）政府采购信用融资实施方案（包括授信政策、融资产品、贷款利率及其它优惠措施、业务流程及各环节办结时间、联系方式等）；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（3）关于遵照《暂行办法》和《实施方案》开展政府采购信用融资业务的承诺；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（4）关于政府采购信用融资业务风险及系统对接研发费用自行承担的承诺。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2．系统对接。融资机构成功报名后，须按要求完成政府采购信用融资业务与成都市政府采购监督管理系统的技术对接。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3．确定融资机构。市财政局将完成系统对接的融资机构确定为我市开展政府采购信用融资业务的融资机构，并在成都市政府采购监督管理系统集中展示，为供应商开展融资提供指引。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（三）其他事项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spacing w:line="360" w:lineRule="auto"/>
        <w:rPr>
          <w:rFonts w:ascii="宋体" w:hAnsi="宋体" w:eastAsia="宋体"/>
          <w:sz w:val="21"/>
          <w:szCs w:val="21"/>
        </w:rPr>
      </w:pPr>
      <w:r>
        <w:rPr>
          <w:rFonts w:hint="eastAsia" w:ascii="宋体" w:hAnsi="宋体" w:eastAsia="宋体"/>
          <w:sz w:val="21"/>
          <w:szCs w:val="21"/>
        </w:rPr>
        <w:t>五、相关要求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spacing w:line="360" w:lineRule="auto"/>
        <w:rPr>
          <w:rFonts w:asciiTheme="minorEastAsia" w:hAnsiTheme="minorEastAsia"/>
        </w:rPr>
      </w:pPr>
    </w:p>
    <w:sectPr>
      <w:type w:val="continuous"/>
      <w:pgSz w:w="11907" w:h="16839"/>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arigold">
    <w:altName w:val="Mongolian Baiti"/>
    <w:panose1 w:val="03020702040402020504"/>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0" o:spid="_x0000_s2050"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59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1" o:spid="_x0000_s2051"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 w:val="28"/>
        <w:szCs w:val="28"/>
      </w:rPr>
    </w:pPr>
    <w:r>
      <w:rPr>
        <w:sz w:val="28"/>
        <w:szCs w:val="20"/>
      </w:rPr>
      <w:pict>
        <v:shape id="_x0000_s2049" o:spid="_x0000_s2049"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1JvgWjgCAABhBAAADgAAAGRycy9lMm9Eb2MueG1srVRLbtswEN0X&#10;6B0I7hvJTuK2RuTAjeGiQNAESIuuaYqKBPAHkrbkHqC9QVfZdN9z+Rx9pCSnSLvIohtqyBnOzHt8&#10;o4vLTkmyE843Rhd0cpJTIjQ3ZaPvC/r50/rVG0p8YLpk0mhR0L3w9HLx8sVFa+diamojS+EIkmg/&#10;b21B6xDsPMs8r4Vi/sRYoeGsjFMsYOvus9KxFtmVzKZ5Psta40rrDBfe43TVO+mQ0T0noamqhouV&#10;4VsldOizOiFZACRfN9bTReq2qgQPN1XlRSCyoEAa0ooisDdxzRYXbH7vmK0bPrTAntPCE0yKNRpF&#10;j6lWLDCydc1fqVTDnfGmCifcqKwHkhgBikn+hJu7mlmRsIBqb4+k+/+Xln/c3TrSlAU9o0QzhQc/&#10;/Ph+ePh1+PmNnEV6WuvniLqziAvdO9NBNOO5x2FE3VVOxS/wEPhB7v5IrugC4fHSZDbNzynhcE1O&#10;377OE/nZ42XrfHgvjCLRKKjD2yVK2e7aBzSC0DEk1tJm3UiZ3k9q0hZ0dnqepwtHD25IHWNFUsKQ&#10;JgLqG49W6DbdgHJjyj1AOtOrxFu+btDKNfPhljnIArgwOOEGSyUNSprBoqQ27uu/zmM8XgteSlrI&#10;rKAaU0WJ/KDxilGRo+FGYzMaequuDHQ7wUBankxccEGOZuWM+oJpWsYacDHNUamgYTSvQi91TCMX&#10;y2UKgu4sC9f6zvKYOtLj7XIbQGdiOZLSMwHK4wbKS+QPUxKl/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DUm+BaOAIAAGEEAAAOAAAAAAAAAAEAIAAAACEBAABkcnMvZTJvRG9j&#10;LnhtbFBLBQYAAAAABgAGAFkBAADL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65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8"/>
      </w:pBdr>
      <w:ind w:right="-576"/>
      <w:jc w:val="left"/>
      <w:rPr>
        <w:rFonts w:asciiTheme="majorHAnsi" w:hAnsiTheme="majorHAnsi" w:eastAsiaTheme="majorEastAsia" w:cstheme="majorBidi"/>
        <w:sz w:val="28"/>
        <w:szCs w:val="28"/>
      </w:rPr>
    </w:pPr>
    <w:r>
      <w:rPr>
        <w:rFonts w:asciiTheme="majorHAnsi" w:hAnsiTheme="majorHAnsi" w:eastAsiaTheme="majorEastAsia" w:cstheme="majorBidi"/>
        <w:b/>
        <w:sz w:val="28"/>
        <w:szCs w:val="28"/>
      </w:rPr>
      <w:drawing>
        <wp:inline distT="0" distB="0" distL="0" distR="0">
          <wp:extent cx="2691765" cy="386080"/>
          <wp:effectExtent l="19050" t="0" r="0" b="0"/>
          <wp:docPr id="3" name="图片 2" descr="C:\Users\ADMINI~1\AppData\Local\Temp\16220036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1622003613(1).png"/>
                  <pic:cNvPicPr>
                    <a:picLocks noChangeAspect="1" noChangeArrowheads="1"/>
                  </pic:cNvPicPr>
                </pic:nvPicPr>
                <pic:blipFill>
                  <a:blip r:embed="rId1"/>
                  <a:srcRect/>
                  <a:stretch>
                    <a:fillRect/>
                  </a:stretch>
                </pic:blipFill>
                <pic:spPr>
                  <a:xfrm>
                    <a:off x="0" y="0"/>
                    <a:ext cx="2706139" cy="388132"/>
                  </a:xfrm>
                  <a:prstGeom prst="rect">
                    <a:avLst/>
                  </a:prstGeom>
                  <a:noFill/>
                  <a:ln w="9525">
                    <a:noFill/>
                    <a:miter lim="800000"/>
                    <a:headEnd/>
                    <a:tailEnd/>
                  </a:ln>
                </pic:spPr>
              </pic:pic>
            </a:graphicData>
          </a:graphic>
        </wp:inline>
      </w:drawing>
    </w:r>
    <w:r>
      <w:rPr>
        <w:rFonts w:hint="eastAsia" w:asciiTheme="majorHAnsi" w:hAnsiTheme="majorHAnsi" w:eastAsiaTheme="majorEastAsia" w:cstheme="majorBidi"/>
        <w:b/>
        <w:sz w:val="28"/>
        <w:szCs w:val="28"/>
      </w:rPr>
      <w:t xml:space="preserve">              诚信、专精、创新、共享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922C2"/>
    <w:multiLevelType w:val="singleLevel"/>
    <w:tmpl w:val="494922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B58"/>
    <w:rsid w:val="00002D6C"/>
    <w:rsid w:val="00011064"/>
    <w:rsid w:val="0001683F"/>
    <w:rsid w:val="00026C49"/>
    <w:rsid w:val="00027AB0"/>
    <w:rsid w:val="00030AD3"/>
    <w:rsid w:val="00030C1A"/>
    <w:rsid w:val="00030D87"/>
    <w:rsid w:val="00031535"/>
    <w:rsid w:val="00031827"/>
    <w:rsid w:val="0003403B"/>
    <w:rsid w:val="00034D61"/>
    <w:rsid w:val="00035DBD"/>
    <w:rsid w:val="00040A02"/>
    <w:rsid w:val="00040DD4"/>
    <w:rsid w:val="00043234"/>
    <w:rsid w:val="000449FA"/>
    <w:rsid w:val="0004592C"/>
    <w:rsid w:val="0004689E"/>
    <w:rsid w:val="00046A32"/>
    <w:rsid w:val="0005093E"/>
    <w:rsid w:val="00054AE8"/>
    <w:rsid w:val="00061488"/>
    <w:rsid w:val="00062135"/>
    <w:rsid w:val="0006481D"/>
    <w:rsid w:val="0006609C"/>
    <w:rsid w:val="0006705E"/>
    <w:rsid w:val="00067458"/>
    <w:rsid w:val="00070A50"/>
    <w:rsid w:val="00072710"/>
    <w:rsid w:val="00076646"/>
    <w:rsid w:val="00077C6E"/>
    <w:rsid w:val="0008041E"/>
    <w:rsid w:val="0008148F"/>
    <w:rsid w:val="00082E30"/>
    <w:rsid w:val="00083814"/>
    <w:rsid w:val="00087069"/>
    <w:rsid w:val="00090C3B"/>
    <w:rsid w:val="00093BCA"/>
    <w:rsid w:val="00095FDD"/>
    <w:rsid w:val="00095FE1"/>
    <w:rsid w:val="000A507E"/>
    <w:rsid w:val="000A7F69"/>
    <w:rsid w:val="000B1A48"/>
    <w:rsid w:val="000C1143"/>
    <w:rsid w:val="000C324C"/>
    <w:rsid w:val="000C4A1D"/>
    <w:rsid w:val="000C5274"/>
    <w:rsid w:val="000C5C06"/>
    <w:rsid w:val="000C627E"/>
    <w:rsid w:val="000C67C7"/>
    <w:rsid w:val="000D1054"/>
    <w:rsid w:val="000D13E3"/>
    <w:rsid w:val="000D3DBD"/>
    <w:rsid w:val="000D47CC"/>
    <w:rsid w:val="000D5233"/>
    <w:rsid w:val="000F2647"/>
    <w:rsid w:val="000F30DE"/>
    <w:rsid w:val="0010143D"/>
    <w:rsid w:val="00104C0A"/>
    <w:rsid w:val="00107555"/>
    <w:rsid w:val="001100AD"/>
    <w:rsid w:val="001107A8"/>
    <w:rsid w:val="00110A4B"/>
    <w:rsid w:val="00110A58"/>
    <w:rsid w:val="00112714"/>
    <w:rsid w:val="0011318E"/>
    <w:rsid w:val="00115526"/>
    <w:rsid w:val="001168E3"/>
    <w:rsid w:val="0012157E"/>
    <w:rsid w:val="00126AA7"/>
    <w:rsid w:val="00126C7B"/>
    <w:rsid w:val="001279AC"/>
    <w:rsid w:val="0013115B"/>
    <w:rsid w:val="00131F13"/>
    <w:rsid w:val="0013538F"/>
    <w:rsid w:val="00137D41"/>
    <w:rsid w:val="00137E11"/>
    <w:rsid w:val="00140E84"/>
    <w:rsid w:val="00142A45"/>
    <w:rsid w:val="00143142"/>
    <w:rsid w:val="001435E8"/>
    <w:rsid w:val="00144ECB"/>
    <w:rsid w:val="00146971"/>
    <w:rsid w:val="00151D1A"/>
    <w:rsid w:val="0015256B"/>
    <w:rsid w:val="001557BE"/>
    <w:rsid w:val="00157489"/>
    <w:rsid w:val="001622CC"/>
    <w:rsid w:val="00162821"/>
    <w:rsid w:val="0016378F"/>
    <w:rsid w:val="001638E6"/>
    <w:rsid w:val="00164924"/>
    <w:rsid w:val="00167B27"/>
    <w:rsid w:val="00173B48"/>
    <w:rsid w:val="001756A9"/>
    <w:rsid w:val="0017667A"/>
    <w:rsid w:val="00177C29"/>
    <w:rsid w:val="0018344D"/>
    <w:rsid w:val="001876D2"/>
    <w:rsid w:val="00190B5C"/>
    <w:rsid w:val="00191057"/>
    <w:rsid w:val="00194581"/>
    <w:rsid w:val="001963EF"/>
    <w:rsid w:val="001975C5"/>
    <w:rsid w:val="001A7CF4"/>
    <w:rsid w:val="001B07CF"/>
    <w:rsid w:val="001B0E24"/>
    <w:rsid w:val="001B2F47"/>
    <w:rsid w:val="001B4C03"/>
    <w:rsid w:val="001B6E3A"/>
    <w:rsid w:val="001C391A"/>
    <w:rsid w:val="001C5177"/>
    <w:rsid w:val="001D0972"/>
    <w:rsid w:val="001D3EE1"/>
    <w:rsid w:val="001D58C2"/>
    <w:rsid w:val="001D5C9C"/>
    <w:rsid w:val="001D6536"/>
    <w:rsid w:val="001E2232"/>
    <w:rsid w:val="001E251D"/>
    <w:rsid w:val="001E513B"/>
    <w:rsid w:val="001F0D6A"/>
    <w:rsid w:val="001F2B97"/>
    <w:rsid w:val="001F4CCE"/>
    <w:rsid w:val="001F7C26"/>
    <w:rsid w:val="00200044"/>
    <w:rsid w:val="00200331"/>
    <w:rsid w:val="00200683"/>
    <w:rsid w:val="00202C22"/>
    <w:rsid w:val="002039C3"/>
    <w:rsid w:val="00207338"/>
    <w:rsid w:val="00207AB0"/>
    <w:rsid w:val="00212B13"/>
    <w:rsid w:val="00217B0B"/>
    <w:rsid w:val="00220B6B"/>
    <w:rsid w:val="0022721A"/>
    <w:rsid w:val="002273C8"/>
    <w:rsid w:val="00227965"/>
    <w:rsid w:val="00230C8E"/>
    <w:rsid w:val="00230F6D"/>
    <w:rsid w:val="002310ED"/>
    <w:rsid w:val="002367B5"/>
    <w:rsid w:val="00237E0E"/>
    <w:rsid w:val="002400E6"/>
    <w:rsid w:val="00245B9B"/>
    <w:rsid w:val="00246280"/>
    <w:rsid w:val="002548E7"/>
    <w:rsid w:val="00255178"/>
    <w:rsid w:val="00257632"/>
    <w:rsid w:val="0026140E"/>
    <w:rsid w:val="00264388"/>
    <w:rsid w:val="002648FE"/>
    <w:rsid w:val="0027027F"/>
    <w:rsid w:val="00270681"/>
    <w:rsid w:val="0027118A"/>
    <w:rsid w:val="00277897"/>
    <w:rsid w:val="002814DB"/>
    <w:rsid w:val="002827AB"/>
    <w:rsid w:val="00282CD9"/>
    <w:rsid w:val="00283A1D"/>
    <w:rsid w:val="00284FEB"/>
    <w:rsid w:val="0028674E"/>
    <w:rsid w:val="00287C0C"/>
    <w:rsid w:val="002911AD"/>
    <w:rsid w:val="002953F2"/>
    <w:rsid w:val="00297805"/>
    <w:rsid w:val="002A088E"/>
    <w:rsid w:val="002A0E44"/>
    <w:rsid w:val="002A4B0E"/>
    <w:rsid w:val="002B4A5E"/>
    <w:rsid w:val="002C2FD1"/>
    <w:rsid w:val="002D0FB9"/>
    <w:rsid w:val="002D29AB"/>
    <w:rsid w:val="002D5897"/>
    <w:rsid w:val="002E1E20"/>
    <w:rsid w:val="002E279F"/>
    <w:rsid w:val="002E2D9F"/>
    <w:rsid w:val="002E4020"/>
    <w:rsid w:val="002E731D"/>
    <w:rsid w:val="002E77D4"/>
    <w:rsid w:val="002F1F37"/>
    <w:rsid w:val="002F3512"/>
    <w:rsid w:val="00302C2F"/>
    <w:rsid w:val="00310314"/>
    <w:rsid w:val="00312576"/>
    <w:rsid w:val="003129EE"/>
    <w:rsid w:val="00314797"/>
    <w:rsid w:val="00314A72"/>
    <w:rsid w:val="00314DD4"/>
    <w:rsid w:val="003169A4"/>
    <w:rsid w:val="00317606"/>
    <w:rsid w:val="00317A64"/>
    <w:rsid w:val="003223B7"/>
    <w:rsid w:val="00322A26"/>
    <w:rsid w:val="00322C35"/>
    <w:rsid w:val="00323AB1"/>
    <w:rsid w:val="00324223"/>
    <w:rsid w:val="0033076D"/>
    <w:rsid w:val="00331BB5"/>
    <w:rsid w:val="00332DE3"/>
    <w:rsid w:val="00340043"/>
    <w:rsid w:val="003454C5"/>
    <w:rsid w:val="003456AE"/>
    <w:rsid w:val="00350AAA"/>
    <w:rsid w:val="00351497"/>
    <w:rsid w:val="00353359"/>
    <w:rsid w:val="00353EC6"/>
    <w:rsid w:val="00353EEA"/>
    <w:rsid w:val="003547DD"/>
    <w:rsid w:val="003617E8"/>
    <w:rsid w:val="00362547"/>
    <w:rsid w:val="00365805"/>
    <w:rsid w:val="00367156"/>
    <w:rsid w:val="003672BD"/>
    <w:rsid w:val="003730F0"/>
    <w:rsid w:val="00373BFE"/>
    <w:rsid w:val="0037597D"/>
    <w:rsid w:val="00375E13"/>
    <w:rsid w:val="00377C89"/>
    <w:rsid w:val="00380FEF"/>
    <w:rsid w:val="003855A4"/>
    <w:rsid w:val="003855DF"/>
    <w:rsid w:val="00387301"/>
    <w:rsid w:val="00391EFD"/>
    <w:rsid w:val="003961E1"/>
    <w:rsid w:val="00397FEF"/>
    <w:rsid w:val="003A0261"/>
    <w:rsid w:val="003A0ECE"/>
    <w:rsid w:val="003B0789"/>
    <w:rsid w:val="003B26E6"/>
    <w:rsid w:val="003B5177"/>
    <w:rsid w:val="003C2537"/>
    <w:rsid w:val="003C381C"/>
    <w:rsid w:val="003C3D6D"/>
    <w:rsid w:val="003C4741"/>
    <w:rsid w:val="003C4B6D"/>
    <w:rsid w:val="003D2884"/>
    <w:rsid w:val="003D30C7"/>
    <w:rsid w:val="003D36A8"/>
    <w:rsid w:val="003E0941"/>
    <w:rsid w:val="003E0C09"/>
    <w:rsid w:val="003E20BD"/>
    <w:rsid w:val="003E28D1"/>
    <w:rsid w:val="003E2DD5"/>
    <w:rsid w:val="003E6116"/>
    <w:rsid w:val="003E7EA1"/>
    <w:rsid w:val="003F1A7D"/>
    <w:rsid w:val="003F6CA6"/>
    <w:rsid w:val="00403297"/>
    <w:rsid w:val="004037BB"/>
    <w:rsid w:val="00405243"/>
    <w:rsid w:val="00406142"/>
    <w:rsid w:val="00406769"/>
    <w:rsid w:val="00411103"/>
    <w:rsid w:val="00414293"/>
    <w:rsid w:val="00414E73"/>
    <w:rsid w:val="00416FC6"/>
    <w:rsid w:val="004203A0"/>
    <w:rsid w:val="004229C4"/>
    <w:rsid w:val="004237F5"/>
    <w:rsid w:val="0042416C"/>
    <w:rsid w:val="00425474"/>
    <w:rsid w:val="00425520"/>
    <w:rsid w:val="004258F3"/>
    <w:rsid w:val="00426AC2"/>
    <w:rsid w:val="0043298E"/>
    <w:rsid w:val="00433CCF"/>
    <w:rsid w:val="0043626C"/>
    <w:rsid w:val="0043745A"/>
    <w:rsid w:val="00447322"/>
    <w:rsid w:val="00447715"/>
    <w:rsid w:val="00451273"/>
    <w:rsid w:val="00454B99"/>
    <w:rsid w:val="00464D01"/>
    <w:rsid w:val="004661AA"/>
    <w:rsid w:val="004703D9"/>
    <w:rsid w:val="00470A73"/>
    <w:rsid w:val="004714D4"/>
    <w:rsid w:val="004763C4"/>
    <w:rsid w:val="00484A77"/>
    <w:rsid w:val="0048577E"/>
    <w:rsid w:val="00490450"/>
    <w:rsid w:val="00491D2F"/>
    <w:rsid w:val="00493A8F"/>
    <w:rsid w:val="00496C93"/>
    <w:rsid w:val="004A17F5"/>
    <w:rsid w:val="004A2283"/>
    <w:rsid w:val="004A2BDB"/>
    <w:rsid w:val="004A4B8E"/>
    <w:rsid w:val="004A5042"/>
    <w:rsid w:val="004B7396"/>
    <w:rsid w:val="004C2CF8"/>
    <w:rsid w:val="004C4E69"/>
    <w:rsid w:val="004D0E92"/>
    <w:rsid w:val="004D3BA7"/>
    <w:rsid w:val="004D5F85"/>
    <w:rsid w:val="004E0DB8"/>
    <w:rsid w:val="004E4C5E"/>
    <w:rsid w:val="004E5638"/>
    <w:rsid w:val="004E60E9"/>
    <w:rsid w:val="004F1B23"/>
    <w:rsid w:val="004F4EEF"/>
    <w:rsid w:val="004F5B41"/>
    <w:rsid w:val="0050491E"/>
    <w:rsid w:val="005063EA"/>
    <w:rsid w:val="00507BB0"/>
    <w:rsid w:val="005131E1"/>
    <w:rsid w:val="0051450D"/>
    <w:rsid w:val="005153FB"/>
    <w:rsid w:val="00515A61"/>
    <w:rsid w:val="0052045E"/>
    <w:rsid w:val="005205E4"/>
    <w:rsid w:val="0052104C"/>
    <w:rsid w:val="00522DB0"/>
    <w:rsid w:val="0052497F"/>
    <w:rsid w:val="00527632"/>
    <w:rsid w:val="0053022C"/>
    <w:rsid w:val="005314CC"/>
    <w:rsid w:val="005336F0"/>
    <w:rsid w:val="00534EF8"/>
    <w:rsid w:val="00536DA7"/>
    <w:rsid w:val="0054275E"/>
    <w:rsid w:val="00543B2D"/>
    <w:rsid w:val="0054429D"/>
    <w:rsid w:val="0054460E"/>
    <w:rsid w:val="0054754A"/>
    <w:rsid w:val="00547991"/>
    <w:rsid w:val="0055199E"/>
    <w:rsid w:val="005522F4"/>
    <w:rsid w:val="00553B23"/>
    <w:rsid w:val="00555F20"/>
    <w:rsid w:val="00567337"/>
    <w:rsid w:val="0057128D"/>
    <w:rsid w:val="00574F3D"/>
    <w:rsid w:val="00574F8E"/>
    <w:rsid w:val="00580771"/>
    <w:rsid w:val="0058329B"/>
    <w:rsid w:val="00590ACB"/>
    <w:rsid w:val="00595EC8"/>
    <w:rsid w:val="00596F75"/>
    <w:rsid w:val="005A3A2A"/>
    <w:rsid w:val="005B1509"/>
    <w:rsid w:val="005B2030"/>
    <w:rsid w:val="005B369D"/>
    <w:rsid w:val="005B5147"/>
    <w:rsid w:val="005B625C"/>
    <w:rsid w:val="005C16CB"/>
    <w:rsid w:val="005C51E3"/>
    <w:rsid w:val="005C665F"/>
    <w:rsid w:val="005C6941"/>
    <w:rsid w:val="005C6FA6"/>
    <w:rsid w:val="005C7B02"/>
    <w:rsid w:val="005D2559"/>
    <w:rsid w:val="005D3FEA"/>
    <w:rsid w:val="005D40CA"/>
    <w:rsid w:val="005D5C45"/>
    <w:rsid w:val="005E0ECF"/>
    <w:rsid w:val="005E273D"/>
    <w:rsid w:val="005E3350"/>
    <w:rsid w:val="005E4470"/>
    <w:rsid w:val="005E6D59"/>
    <w:rsid w:val="005E6DF1"/>
    <w:rsid w:val="005E7E70"/>
    <w:rsid w:val="005F18CE"/>
    <w:rsid w:val="005F428F"/>
    <w:rsid w:val="005F6C9F"/>
    <w:rsid w:val="00600089"/>
    <w:rsid w:val="00603773"/>
    <w:rsid w:val="006047D5"/>
    <w:rsid w:val="00612A84"/>
    <w:rsid w:val="00614137"/>
    <w:rsid w:val="00620F99"/>
    <w:rsid w:val="00622307"/>
    <w:rsid w:val="0063008E"/>
    <w:rsid w:val="006344DE"/>
    <w:rsid w:val="0063572C"/>
    <w:rsid w:val="0063656A"/>
    <w:rsid w:val="00641CDC"/>
    <w:rsid w:val="00641D36"/>
    <w:rsid w:val="006423B6"/>
    <w:rsid w:val="00642685"/>
    <w:rsid w:val="00644BB9"/>
    <w:rsid w:val="0065138D"/>
    <w:rsid w:val="00655313"/>
    <w:rsid w:val="00656E99"/>
    <w:rsid w:val="00664CDD"/>
    <w:rsid w:val="00666381"/>
    <w:rsid w:val="006666BD"/>
    <w:rsid w:val="00666B87"/>
    <w:rsid w:val="00667BB2"/>
    <w:rsid w:val="00667E5E"/>
    <w:rsid w:val="006733BA"/>
    <w:rsid w:val="00675155"/>
    <w:rsid w:val="00676881"/>
    <w:rsid w:val="00677A6C"/>
    <w:rsid w:val="006810F8"/>
    <w:rsid w:val="0068532A"/>
    <w:rsid w:val="00685BDF"/>
    <w:rsid w:val="0068701F"/>
    <w:rsid w:val="00691D3B"/>
    <w:rsid w:val="006941E7"/>
    <w:rsid w:val="0069630C"/>
    <w:rsid w:val="00697343"/>
    <w:rsid w:val="00697808"/>
    <w:rsid w:val="00697AAE"/>
    <w:rsid w:val="006A048B"/>
    <w:rsid w:val="006A1235"/>
    <w:rsid w:val="006A4267"/>
    <w:rsid w:val="006B0CE9"/>
    <w:rsid w:val="006B519B"/>
    <w:rsid w:val="006B618C"/>
    <w:rsid w:val="006B650F"/>
    <w:rsid w:val="006B7096"/>
    <w:rsid w:val="006B7383"/>
    <w:rsid w:val="006C09E8"/>
    <w:rsid w:val="006C1049"/>
    <w:rsid w:val="006C10D8"/>
    <w:rsid w:val="006C1F24"/>
    <w:rsid w:val="006C296B"/>
    <w:rsid w:val="006C5DE1"/>
    <w:rsid w:val="006D00F5"/>
    <w:rsid w:val="006D0DA0"/>
    <w:rsid w:val="006E1B0B"/>
    <w:rsid w:val="006E33C3"/>
    <w:rsid w:val="006E45E2"/>
    <w:rsid w:val="007024BF"/>
    <w:rsid w:val="00706B7E"/>
    <w:rsid w:val="00707E2F"/>
    <w:rsid w:val="0071132A"/>
    <w:rsid w:val="00711733"/>
    <w:rsid w:val="007211CB"/>
    <w:rsid w:val="00721284"/>
    <w:rsid w:val="00721815"/>
    <w:rsid w:val="007264C9"/>
    <w:rsid w:val="00730FC9"/>
    <w:rsid w:val="00734686"/>
    <w:rsid w:val="00735AA7"/>
    <w:rsid w:val="00740C71"/>
    <w:rsid w:val="00742B9C"/>
    <w:rsid w:val="00745F64"/>
    <w:rsid w:val="007470D1"/>
    <w:rsid w:val="00747784"/>
    <w:rsid w:val="007505C3"/>
    <w:rsid w:val="0075106A"/>
    <w:rsid w:val="00752655"/>
    <w:rsid w:val="0075303C"/>
    <w:rsid w:val="00753330"/>
    <w:rsid w:val="00753FE2"/>
    <w:rsid w:val="00761749"/>
    <w:rsid w:val="00765182"/>
    <w:rsid w:val="00765604"/>
    <w:rsid w:val="00766733"/>
    <w:rsid w:val="0076794C"/>
    <w:rsid w:val="0077153E"/>
    <w:rsid w:val="00771ABB"/>
    <w:rsid w:val="00781AF1"/>
    <w:rsid w:val="00781CD3"/>
    <w:rsid w:val="00786B1A"/>
    <w:rsid w:val="00787DF3"/>
    <w:rsid w:val="0079064E"/>
    <w:rsid w:val="0079675B"/>
    <w:rsid w:val="007A4964"/>
    <w:rsid w:val="007A675B"/>
    <w:rsid w:val="007A7132"/>
    <w:rsid w:val="007B0DFD"/>
    <w:rsid w:val="007B1AC8"/>
    <w:rsid w:val="007B2838"/>
    <w:rsid w:val="007B6FDB"/>
    <w:rsid w:val="007C0263"/>
    <w:rsid w:val="007C0469"/>
    <w:rsid w:val="007C0959"/>
    <w:rsid w:val="007C2506"/>
    <w:rsid w:val="007C40E8"/>
    <w:rsid w:val="007C4B7A"/>
    <w:rsid w:val="007D051F"/>
    <w:rsid w:val="007D132E"/>
    <w:rsid w:val="007D51F2"/>
    <w:rsid w:val="007E158A"/>
    <w:rsid w:val="007E1D05"/>
    <w:rsid w:val="007E209A"/>
    <w:rsid w:val="007E3716"/>
    <w:rsid w:val="007E3B3B"/>
    <w:rsid w:val="007E447C"/>
    <w:rsid w:val="007E674A"/>
    <w:rsid w:val="007F031B"/>
    <w:rsid w:val="007F1997"/>
    <w:rsid w:val="007F26E5"/>
    <w:rsid w:val="007F52C1"/>
    <w:rsid w:val="00800D47"/>
    <w:rsid w:val="008018F2"/>
    <w:rsid w:val="00804842"/>
    <w:rsid w:val="008122AA"/>
    <w:rsid w:val="00812485"/>
    <w:rsid w:val="00814EB1"/>
    <w:rsid w:val="00815571"/>
    <w:rsid w:val="00816821"/>
    <w:rsid w:val="00816FC2"/>
    <w:rsid w:val="00817AEB"/>
    <w:rsid w:val="00821B09"/>
    <w:rsid w:val="00833BCC"/>
    <w:rsid w:val="008424E9"/>
    <w:rsid w:val="00842F28"/>
    <w:rsid w:val="00844A9A"/>
    <w:rsid w:val="00844B21"/>
    <w:rsid w:val="00844E08"/>
    <w:rsid w:val="00845EA0"/>
    <w:rsid w:val="008470C7"/>
    <w:rsid w:val="008533C6"/>
    <w:rsid w:val="00853B23"/>
    <w:rsid w:val="00853FC7"/>
    <w:rsid w:val="00855393"/>
    <w:rsid w:val="008578E2"/>
    <w:rsid w:val="00861B22"/>
    <w:rsid w:val="008629F7"/>
    <w:rsid w:val="00863057"/>
    <w:rsid w:val="008642F8"/>
    <w:rsid w:val="00866128"/>
    <w:rsid w:val="0087229C"/>
    <w:rsid w:val="00872578"/>
    <w:rsid w:val="0087280D"/>
    <w:rsid w:val="00873814"/>
    <w:rsid w:val="008738C1"/>
    <w:rsid w:val="008771AB"/>
    <w:rsid w:val="00882BC6"/>
    <w:rsid w:val="0088331E"/>
    <w:rsid w:val="00884699"/>
    <w:rsid w:val="00893FA5"/>
    <w:rsid w:val="00895A1F"/>
    <w:rsid w:val="00897634"/>
    <w:rsid w:val="008A2B70"/>
    <w:rsid w:val="008A3E2A"/>
    <w:rsid w:val="008A3F11"/>
    <w:rsid w:val="008A550B"/>
    <w:rsid w:val="008A7249"/>
    <w:rsid w:val="008B0E71"/>
    <w:rsid w:val="008B181D"/>
    <w:rsid w:val="008B2F8F"/>
    <w:rsid w:val="008B3A7C"/>
    <w:rsid w:val="008B767A"/>
    <w:rsid w:val="008C1C9A"/>
    <w:rsid w:val="008C1DF7"/>
    <w:rsid w:val="008C1E67"/>
    <w:rsid w:val="008C38B1"/>
    <w:rsid w:val="008D1EA7"/>
    <w:rsid w:val="008D216A"/>
    <w:rsid w:val="008D4AC3"/>
    <w:rsid w:val="008D7FA7"/>
    <w:rsid w:val="008E6622"/>
    <w:rsid w:val="008E72F0"/>
    <w:rsid w:val="008F18BE"/>
    <w:rsid w:val="008F3CD0"/>
    <w:rsid w:val="008F7498"/>
    <w:rsid w:val="00902345"/>
    <w:rsid w:val="00905024"/>
    <w:rsid w:val="00910546"/>
    <w:rsid w:val="00913E64"/>
    <w:rsid w:val="0091510F"/>
    <w:rsid w:val="009212B1"/>
    <w:rsid w:val="0092226D"/>
    <w:rsid w:val="0092248F"/>
    <w:rsid w:val="00925367"/>
    <w:rsid w:val="00930148"/>
    <w:rsid w:val="00931216"/>
    <w:rsid w:val="009340C3"/>
    <w:rsid w:val="009405E9"/>
    <w:rsid w:val="00941552"/>
    <w:rsid w:val="009429F8"/>
    <w:rsid w:val="009437AF"/>
    <w:rsid w:val="009477D7"/>
    <w:rsid w:val="00951DFD"/>
    <w:rsid w:val="00954711"/>
    <w:rsid w:val="009547EB"/>
    <w:rsid w:val="009604C2"/>
    <w:rsid w:val="009624F3"/>
    <w:rsid w:val="009656CC"/>
    <w:rsid w:val="00965924"/>
    <w:rsid w:val="0096774E"/>
    <w:rsid w:val="00972A9B"/>
    <w:rsid w:val="009732A1"/>
    <w:rsid w:val="00973C2E"/>
    <w:rsid w:val="00980061"/>
    <w:rsid w:val="0098371A"/>
    <w:rsid w:val="00985A0A"/>
    <w:rsid w:val="00992443"/>
    <w:rsid w:val="009927AE"/>
    <w:rsid w:val="00994900"/>
    <w:rsid w:val="009977E1"/>
    <w:rsid w:val="009A0C1A"/>
    <w:rsid w:val="009A2B91"/>
    <w:rsid w:val="009A44C6"/>
    <w:rsid w:val="009A5B7E"/>
    <w:rsid w:val="009A5DA9"/>
    <w:rsid w:val="009B0CCA"/>
    <w:rsid w:val="009B21AD"/>
    <w:rsid w:val="009B247D"/>
    <w:rsid w:val="009B31A0"/>
    <w:rsid w:val="009B359E"/>
    <w:rsid w:val="009B4C80"/>
    <w:rsid w:val="009B4CBB"/>
    <w:rsid w:val="009B6AF4"/>
    <w:rsid w:val="009C04FA"/>
    <w:rsid w:val="009C075A"/>
    <w:rsid w:val="009C1E82"/>
    <w:rsid w:val="009C67E2"/>
    <w:rsid w:val="009D2B0F"/>
    <w:rsid w:val="009D597B"/>
    <w:rsid w:val="009D775A"/>
    <w:rsid w:val="009E4CA2"/>
    <w:rsid w:val="009E519B"/>
    <w:rsid w:val="009E5622"/>
    <w:rsid w:val="009E572A"/>
    <w:rsid w:val="009E6AA3"/>
    <w:rsid w:val="009E753B"/>
    <w:rsid w:val="009F0C63"/>
    <w:rsid w:val="009F1DD4"/>
    <w:rsid w:val="009F2CC8"/>
    <w:rsid w:val="00A02BD7"/>
    <w:rsid w:val="00A02CB9"/>
    <w:rsid w:val="00A11D17"/>
    <w:rsid w:val="00A124D8"/>
    <w:rsid w:val="00A12726"/>
    <w:rsid w:val="00A164E4"/>
    <w:rsid w:val="00A17EAE"/>
    <w:rsid w:val="00A20CF3"/>
    <w:rsid w:val="00A20DAC"/>
    <w:rsid w:val="00A21176"/>
    <w:rsid w:val="00A26809"/>
    <w:rsid w:val="00A2702B"/>
    <w:rsid w:val="00A27F77"/>
    <w:rsid w:val="00A30FAA"/>
    <w:rsid w:val="00A31ADB"/>
    <w:rsid w:val="00A3334B"/>
    <w:rsid w:val="00A364A1"/>
    <w:rsid w:val="00A36502"/>
    <w:rsid w:val="00A36ABD"/>
    <w:rsid w:val="00A36AF7"/>
    <w:rsid w:val="00A40BA5"/>
    <w:rsid w:val="00A41E32"/>
    <w:rsid w:val="00A435D9"/>
    <w:rsid w:val="00A46E7E"/>
    <w:rsid w:val="00A477D7"/>
    <w:rsid w:val="00A55607"/>
    <w:rsid w:val="00A55FFA"/>
    <w:rsid w:val="00A570FC"/>
    <w:rsid w:val="00A574BC"/>
    <w:rsid w:val="00A57A49"/>
    <w:rsid w:val="00A607B5"/>
    <w:rsid w:val="00A62A59"/>
    <w:rsid w:val="00A6795B"/>
    <w:rsid w:val="00A7242B"/>
    <w:rsid w:val="00A725A1"/>
    <w:rsid w:val="00A755D3"/>
    <w:rsid w:val="00A75E15"/>
    <w:rsid w:val="00A8204F"/>
    <w:rsid w:val="00A85363"/>
    <w:rsid w:val="00A8563B"/>
    <w:rsid w:val="00A87ABA"/>
    <w:rsid w:val="00A90279"/>
    <w:rsid w:val="00A921A1"/>
    <w:rsid w:val="00A92F64"/>
    <w:rsid w:val="00A9723F"/>
    <w:rsid w:val="00AA1144"/>
    <w:rsid w:val="00AA13BA"/>
    <w:rsid w:val="00AA50D6"/>
    <w:rsid w:val="00AA6465"/>
    <w:rsid w:val="00AB31CA"/>
    <w:rsid w:val="00AB4300"/>
    <w:rsid w:val="00AB4D69"/>
    <w:rsid w:val="00AB6BF6"/>
    <w:rsid w:val="00AB777E"/>
    <w:rsid w:val="00AC1D58"/>
    <w:rsid w:val="00AC2869"/>
    <w:rsid w:val="00AC3344"/>
    <w:rsid w:val="00AC53E2"/>
    <w:rsid w:val="00AD1EBA"/>
    <w:rsid w:val="00AD2BFE"/>
    <w:rsid w:val="00AD3A40"/>
    <w:rsid w:val="00AD413E"/>
    <w:rsid w:val="00AE4660"/>
    <w:rsid w:val="00AF211C"/>
    <w:rsid w:val="00AF338E"/>
    <w:rsid w:val="00AF661F"/>
    <w:rsid w:val="00AF7CD3"/>
    <w:rsid w:val="00B006B3"/>
    <w:rsid w:val="00B02106"/>
    <w:rsid w:val="00B11062"/>
    <w:rsid w:val="00B1771C"/>
    <w:rsid w:val="00B20212"/>
    <w:rsid w:val="00B20A99"/>
    <w:rsid w:val="00B24466"/>
    <w:rsid w:val="00B24D89"/>
    <w:rsid w:val="00B27385"/>
    <w:rsid w:val="00B27EAE"/>
    <w:rsid w:val="00B30831"/>
    <w:rsid w:val="00B320BB"/>
    <w:rsid w:val="00B410E9"/>
    <w:rsid w:val="00B443E4"/>
    <w:rsid w:val="00B45A95"/>
    <w:rsid w:val="00B46694"/>
    <w:rsid w:val="00B4712B"/>
    <w:rsid w:val="00B50E1D"/>
    <w:rsid w:val="00B5305A"/>
    <w:rsid w:val="00B53184"/>
    <w:rsid w:val="00B53EDF"/>
    <w:rsid w:val="00B640F7"/>
    <w:rsid w:val="00B64A88"/>
    <w:rsid w:val="00B657AF"/>
    <w:rsid w:val="00B75D44"/>
    <w:rsid w:val="00B81A48"/>
    <w:rsid w:val="00B84AE0"/>
    <w:rsid w:val="00B8545A"/>
    <w:rsid w:val="00B86FF8"/>
    <w:rsid w:val="00B91B2E"/>
    <w:rsid w:val="00BA09B4"/>
    <w:rsid w:val="00BA356E"/>
    <w:rsid w:val="00BA3D78"/>
    <w:rsid w:val="00BB2A22"/>
    <w:rsid w:val="00BB3113"/>
    <w:rsid w:val="00BB4749"/>
    <w:rsid w:val="00BB4FD0"/>
    <w:rsid w:val="00BB4FF8"/>
    <w:rsid w:val="00BB6CEA"/>
    <w:rsid w:val="00BC1858"/>
    <w:rsid w:val="00BC28D9"/>
    <w:rsid w:val="00BC2CB1"/>
    <w:rsid w:val="00BC4C62"/>
    <w:rsid w:val="00BC50FC"/>
    <w:rsid w:val="00BC5830"/>
    <w:rsid w:val="00BC7FCA"/>
    <w:rsid w:val="00BD0DC6"/>
    <w:rsid w:val="00BD2D6F"/>
    <w:rsid w:val="00BD587E"/>
    <w:rsid w:val="00BD7A42"/>
    <w:rsid w:val="00BE0A07"/>
    <w:rsid w:val="00BE2C9D"/>
    <w:rsid w:val="00BE6C9D"/>
    <w:rsid w:val="00BE71EF"/>
    <w:rsid w:val="00BF20E7"/>
    <w:rsid w:val="00BF57BC"/>
    <w:rsid w:val="00C02CB6"/>
    <w:rsid w:val="00C036E4"/>
    <w:rsid w:val="00C13BAC"/>
    <w:rsid w:val="00C178F8"/>
    <w:rsid w:val="00C17C47"/>
    <w:rsid w:val="00C206B9"/>
    <w:rsid w:val="00C21752"/>
    <w:rsid w:val="00C22AF9"/>
    <w:rsid w:val="00C253EB"/>
    <w:rsid w:val="00C33A4F"/>
    <w:rsid w:val="00C37B54"/>
    <w:rsid w:val="00C410F7"/>
    <w:rsid w:val="00C45339"/>
    <w:rsid w:val="00C50C09"/>
    <w:rsid w:val="00C63D6C"/>
    <w:rsid w:val="00C72C64"/>
    <w:rsid w:val="00C72F2D"/>
    <w:rsid w:val="00C767A2"/>
    <w:rsid w:val="00C770AF"/>
    <w:rsid w:val="00C814AA"/>
    <w:rsid w:val="00C84C5E"/>
    <w:rsid w:val="00C850C7"/>
    <w:rsid w:val="00C857AA"/>
    <w:rsid w:val="00C871FA"/>
    <w:rsid w:val="00C91E0B"/>
    <w:rsid w:val="00C94033"/>
    <w:rsid w:val="00C948F1"/>
    <w:rsid w:val="00CA0F33"/>
    <w:rsid w:val="00CA25FF"/>
    <w:rsid w:val="00CA2CD0"/>
    <w:rsid w:val="00CA55A6"/>
    <w:rsid w:val="00CB0284"/>
    <w:rsid w:val="00CB1E35"/>
    <w:rsid w:val="00CB21A2"/>
    <w:rsid w:val="00CB3F56"/>
    <w:rsid w:val="00CB5FBE"/>
    <w:rsid w:val="00CC2AB8"/>
    <w:rsid w:val="00CC4A17"/>
    <w:rsid w:val="00CC6398"/>
    <w:rsid w:val="00CD08AD"/>
    <w:rsid w:val="00CD22F9"/>
    <w:rsid w:val="00CD234B"/>
    <w:rsid w:val="00CD458B"/>
    <w:rsid w:val="00CD4CAB"/>
    <w:rsid w:val="00CE2D93"/>
    <w:rsid w:val="00CE436F"/>
    <w:rsid w:val="00CE65D2"/>
    <w:rsid w:val="00CE7FB9"/>
    <w:rsid w:val="00CF1FBF"/>
    <w:rsid w:val="00CF334C"/>
    <w:rsid w:val="00CF3483"/>
    <w:rsid w:val="00D02419"/>
    <w:rsid w:val="00D074D7"/>
    <w:rsid w:val="00D07B58"/>
    <w:rsid w:val="00D12AD7"/>
    <w:rsid w:val="00D13E0C"/>
    <w:rsid w:val="00D147AB"/>
    <w:rsid w:val="00D16689"/>
    <w:rsid w:val="00D20D8D"/>
    <w:rsid w:val="00D34291"/>
    <w:rsid w:val="00D46B5A"/>
    <w:rsid w:val="00D539E5"/>
    <w:rsid w:val="00D54493"/>
    <w:rsid w:val="00D54813"/>
    <w:rsid w:val="00D54B5E"/>
    <w:rsid w:val="00D55DF3"/>
    <w:rsid w:val="00D61566"/>
    <w:rsid w:val="00D6327B"/>
    <w:rsid w:val="00D65209"/>
    <w:rsid w:val="00D652BC"/>
    <w:rsid w:val="00D7042E"/>
    <w:rsid w:val="00D73DFB"/>
    <w:rsid w:val="00D74081"/>
    <w:rsid w:val="00D75D45"/>
    <w:rsid w:val="00D7739F"/>
    <w:rsid w:val="00D80BC4"/>
    <w:rsid w:val="00D82B73"/>
    <w:rsid w:val="00D85368"/>
    <w:rsid w:val="00D86AD5"/>
    <w:rsid w:val="00D86B2E"/>
    <w:rsid w:val="00D92B34"/>
    <w:rsid w:val="00D94035"/>
    <w:rsid w:val="00D94563"/>
    <w:rsid w:val="00D977B2"/>
    <w:rsid w:val="00DB0185"/>
    <w:rsid w:val="00DB1F18"/>
    <w:rsid w:val="00DB4A22"/>
    <w:rsid w:val="00DB6748"/>
    <w:rsid w:val="00DB7B8B"/>
    <w:rsid w:val="00DC0765"/>
    <w:rsid w:val="00DC08D5"/>
    <w:rsid w:val="00DD5A69"/>
    <w:rsid w:val="00DD73E4"/>
    <w:rsid w:val="00DE028A"/>
    <w:rsid w:val="00DE03A3"/>
    <w:rsid w:val="00DE6893"/>
    <w:rsid w:val="00DE72A3"/>
    <w:rsid w:val="00DE7D83"/>
    <w:rsid w:val="00DF0CD6"/>
    <w:rsid w:val="00DF3E2A"/>
    <w:rsid w:val="00DF407C"/>
    <w:rsid w:val="00E00228"/>
    <w:rsid w:val="00E03A8E"/>
    <w:rsid w:val="00E0419F"/>
    <w:rsid w:val="00E05AA6"/>
    <w:rsid w:val="00E06071"/>
    <w:rsid w:val="00E12A19"/>
    <w:rsid w:val="00E131F8"/>
    <w:rsid w:val="00E167F6"/>
    <w:rsid w:val="00E16802"/>
    <w:rsid w:val="00E2137D"/>
    <w:rsid w:val="00E21B73"/>
    <w:rsid w:val="00E363B2"/>
    <w:rsid w:val="00E41642"/>
    <w:rsid w:val="00E436DC"/>
    <w:rsid w:val="00E44324"/>
    <w:rsid w:val="00E44B87"/>
    <w:rsid w:val="00E45BAA"/>
    <w:rsid w:val="00E467EA"/>
    <w:rsid w:val="00E5201C"/>
    <w:rsid w:val="00E53D37"/>
    <w:rsid w:val="00E55673"/>
    <w:rsid w:val="00E55839"/>
    <w:rsid w:val="00E656AF"/>
    <w:rsid w:val="00E67C50"/>
    <w:rsid w:val="00E70640"/>
    <w:rsid w:val="00E71543"/>
    <w:rsid w:val="00E7381A"/>
    <w:rsid w:val="00E73EDE"/>
    <w:rsid w:val="00E8091C"/>
    <w:rsid w:val="00E9436B"/>
    <w:rsid w:val="00E969C0"/>
    <w:rsid w:val="00E96E1A"/>
    <w:rsid w:val="00EA18E4"/>
    <w:rsid w:val="00EA7AF9"/>
    <w:rsid w:val="00EB6948"/>
    <w:rsid w:val="00EB7C17"/>
    <w:rsid w:val="00EB7DA1"/>
    <w:rsid w:val="00EC1599"/>
    <w:rsid w:val="00EC3970"/>
    <w:rsid w:val="00EC6036"/>
    <w:rsid w:val="00ED0EC3"/>
    <w:rsid w:val="00ED6965"/>
    <w:rsid w:val="00EE4275"/>
    <w:rsid w:val="00EE5063"/>
    <w:rsid w:val="00EE643D"/>
    <w:rsid w:val="00EF06E0"/>
    <w:rsid w:val="00EF34C1"/>
    <w:rsid w:val="00F02714"/>
    <w:rsid w:val="00F078FA"/>
    <w:rsid w:val="00F10BD3"/>
    <w:rsid w:val="00F131D9"/>
    <w:rsid w:val="00F13398"/>
    <w:rsid w:val="00F15173"/>
    <w:rsid w:val="00F20A62"/>
    <w:rsid w:val="00F25D3B"/>
    <w:rsid w:val="00F26C80"/>
    <w:rsid w:val="00F30975"/>
    <w:rsid w:val="00F31076"/>
    <w:rsid w:val="00F340E0"/>
    <w:rsid w:val="00F4118F"/>
    <w:rsid w:val="00F443CF"/>
    <w:rsid w:val="00F45612"/>
    <w:rsid w:val="00F50421"/>
    <w:rsid w:val="00F51B3E"/>
    <w:rsid w:val="00F52B1A"/>
    <w:rsid w:val="00F53BEC"/>
    <w:rsid w:val="00F53C0B"/>
    <w:rsid w:val="00F54441"/>
    <w:rsid w:val="00F544B1"/>
    <w:rsid w:val="00F549E5"/>
    <w:rsid w:val="00F57727"/>
    <w:rsid w:val="00F60673"/>
    <w:rsid w:val="00F616F5"/>
    <w:rsid w:val="00F627B6"/>
    <w:rsid w:val="00F62C67"/>
    <w:rsid w:val="00F641E6"/>
    <w:rsid w:val="00F655B8"/>
    <w:rsid w:val="00F65C2A"/>
    <w:rsid w:val="00F72CB6"/>
    <w:rsid w:val="00F73277"/>
    <w:rsid w:val="00F75F1D"/>
    <w:rsid w:val="00F77A04"/>
    <w:rsid w:val="00F8288B"/>
    <w:rsid w:val="00F8480B"/>
    <w:rsid w:val="00F84A22"/>
    <w:rsid w:val="00F84FB9"/>
    <w:rsid w:val="00F84FD3"/>
    <w:rsid w:val="00F851C7"/>
    <w:rsid w:val="00F95675"/>
    <w:rsid w:val="00F956EC"/>
    <w:rsid w:val="00FA3F04"/>
    <w:rsid w:val="00FA629B"/>
    <w:rsid w:val="00FA6300"/>
    <w:rsid w:val="00FB1C44"/>
    <w:rsid w:val="00FB2BF1"/>
    <w:rsid w:val="00FC1E18"/>
    <w:rsid w:val="00FC3349"/>
    <w:rsid w:val="00FC7B79"/>
    <w:rsid w:val="00FD0389"/>
    <w:rsid w:val="00FE00A2"/>
    <w:rsid w:val="00FE6E4C"/>
    <w:rsid w:val="00FF5832"/>
    <w:rsid w:val="03C804BD"/>
    <w:rsid w:val="05054412"/>
    <w:rsid w:val="080F551E"/>
    <w:rsid w:val="09A4482A"/>
    <w:rsid w:val="09FA6793"/>
    <w:rsid w:val="0CD85BDA"/>
    <w:rsid w:val="0EF9008B"/>
    <w:rsid w:val="106B62B7"/>
    <w:rsid w:val="146E2500"/>
    <w:rsid w:val="147C45B3"/>
    <w:rsid w:val="152B47C9"/>
    <w:rsid w:val="15547CB8"/>
    <w:rsid w:val="234F0987"/>
    <w:rsid w:val="28D4545B"/>
    <w:rsid w:val="2AF7070D"/>
    <w:rsid w:val="2DDB2FF5"/>
    <w:rsid w:val="30A13A7E"/>
    <w:rsid w:val="30F31951"/>
    <w:rsid w:val="315510DF"/>
    <w:rsid w:val="337B182D"/>
    <w:rsid w:val="341F7406"/>
    <w:rsid w:val="353C36CD"/>
    <w:rsid w:val="354F1993"/>
    <w:rsid w:val="36725084"/>
    <w:rsid w:val="36842C8C"/>
    <w:rsid w:val="37521D86"/>
    <w:rsid w:val="385A65FD"/>
    <w:rsid w:val="38CB7904"/>
    <w:rsid w:val="3913040B"/>
    <w:rsid w:val="3A152789"/>
    <w:rsid w:val="3E8313A5"/>
    <w:rsid w:val="3EDB7257"/>
    <w:rsid w:val="40205C07"/>
    <w:rsid w:val="4686015B"/>
    <w:rsid w:val="476378A8"/>
    <w:rsid w:val="49E66658"/>
    <w:rsid w:val="4B35534C"/>
    <w:rsid w:val="4B9C6B86"/>
    <w:rsid w:val="4D9E62D9"/>
    <w:rsid w:val="4E67083E"/>
    <w:rsid w:val="512A3BCD"/>
    <w:rsid w:val="51BF64E7"/>
    <w:rsid w:val="51EA483F"/>
    <w:rsid w:val="52E57A38"/>
    <w:rsid w:val="566C4B3F"/>
    <w:rsid w:val="56DF6D64"/>
    <w:rsid w:val="5755412D"/>
    <w:rsid w:val="57BF04D7"/>
    <w:rsid w:val="591D3441"/>
    <w:rsid w:val="5A5957D9"/>
    <w:rsid w:val="5AA128FF"/>
    <w:rsid w:val="5B523559"/>
    <w:rsid w:val="5CC22E97"/>
    <w:rsid w:val="5D1E3B5F"/>
    <w:rsid w:val="5E7C7CA5"/>
    <w:rsid w:val="5F554A4A"/>
    <w:rsid w:val="647900CB"/>
    <w:rsid w:val="65901A72"/>
    <w:rsid w:val="66CC5B76"/>
    <w:rsid w:val="68D176D0"/>
    <w:rsid w:val="68E313E2"/>
    <w:rsid w:val="6B4659EA"/>
    <w:rsid w:val="6DD74723"/>
    <w:rsid w:val="6E693031"/>
    <w:rsid w:val="71405016"/>
    <w:rsid w:val="73B908CF"/>
    <w:rsid w:val="73CE4C44"/>
    <w:rsid w:val="75922F1E"/>
    <w:rsid w:val="7666791B"/>
    <w:rsid w:val="77D17F9A"/>
    <w:rsid w:val="780854AD"/>
    <w:rsid w:val="79454F90"/>
    <w:rsid w:val="7BFB6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3"/>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4">
    <w:name w:val="heading 2"/>
    <w:basedOn w:val="1"/>
    <w:next w:val="1"/>
    <w:link w:val="54"/>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5">
    <w:name w:val="heading 3"/>
    <w:basedOn w:val="1"/>
    <w:next w:val="1"/>
    <w:link w:val="55"/>
    <w:unhideWhenUsed/>
    <w:qFormat/>
    <w:uiPriority w:val="9"/>
    <w:pPr>
      <w:keepNext/>
      <w:spacing w:before="240" w:after="60"/>
      <w:outlineLvl w:val="2"/>
    </w:pPr>
    <w:rPr>
      <w:rFonts w:eastAsia="仿宋" w:asciiTheme="majorHAnsi" w:hAnsiTheme="majorHAnsi" w:cstheme="majorBidi"/>
      <w:b/>
      <w:bCs/>
      <w:szCs w:val="26"/>
    </w:rPr>
  </w:style>
  <w:style w:type="paragraph" w:styleId="6">
    <w:name w:val="heading 4"/>
    <w:basedOn w:val="1"/>
    <w:next w:val="1"/>
    <w:link w:val="56"/>
    <w:unhideWhenUsed/>
    <w:qFormat/>
    <w:uiPriority w:val="9"/>
    <w:pPr>
      <w:keepNext/>
      <w:spacing w:before="240" w:after="60"/>
      <w:outlineLvl w:val="3"/>
    </w:pPr>
    <w:rPr>
      <w:rFonts w:cstheme="majorBidi"/>
      <w:b/>
      <w:bCs/>
      <w:sz w:val="28"/>
      <w:szCs w:val="28"/>
    </w:rPr>
  </w:style>
  <w:style w:type="paragraph" w:styleId="7">
    <w:name w:val="heading 5"/>
    <w:basedOn w:val="1"/>
    <w:next w:val="1"/>
    <w:link w:val="57"/>
    <w:semiHidden/>
    <w:unhideWhenUsed/>
    <w:qFormat/>
    <w:uiPriority w:val="9"/>
    <w:pPr>
      <w:spacing w:before="240" w:after="60"/>
      <w:outlineLvl w:val="4"/>
    </w:pPr>
    <w:rPr>
      <w:rFonts w:cstheme="majorBidi"/>
      <w:b/>
      <w:bCs/>
      <w:i/>
      <w:iCs/>
      <w:sz w:val="26"/>
      <w:szCs w:val="26"/>
    </w:rPr>
  </w:style>
  <w:style w:type="paragraph" w:styleId="8">
    <w:name w:val="heading 6"/>
    <w:basedOn w:val="1"/>
    <w:next w:val="1"/>
    <w:link w:val="58"/>
    <w:semiHidden/>
    <w:unhideWhenUsed/>
    <w:qFormat/>
    <w:uiPriority w:val="9"/>
    <w:pPr>
      <w:spacing w:before="240" w:after="60"/>
      <w:outlineLvl w:val="5"/>
    </w:pPr>
    <w:rPr>
      <w:rFonts w:cstheme="majorBidi"/>
      <w:b/>
      <w:bCs/>
      <w:sz w:val="22"/>
      <w:szCs w:val="22"/>
    </w:rPr>
  </w:style>
  <w:style w:type="paragraph" w:styleId="9">
    <w:name w:val="heading 7"/>
    <w:basedOn w:val="1"/>
    <w:next w:val="1"/>
    <w:link w:val="59"/>
    <w:semiHidden/>
    <w:unhideWhenUsed/>
    <w:qFormat/>
    <w:uiPriority w:val="9"/>
    <w:pPr>
      <w:spacing w:before="240" w:after="60"/>
      <w:outlineLvl w:val="6"/>
    </w:pPr>
    <w:rPr>
      <w:rFonts w:cstheme="majorBidi"/>
    </w:rPr>
  </w:style>
  <w:style w:type="paragraph" w:styleId="10">
    <w:name w:val="heading 8"/>
    <w:basedOn w:val="1"/>
    <w:next w:val="1"/>
    <w:link w:val="60"/>
    <w:semiHidden/>
    <w:unhideWhenUsed/>
    <w:qFormat/>
    <w:uiPriority w:val="9"/>
    <w:pPr>
      <w:spacing w:before="240" w:after="60"/>
      <w:outlineLvl w:val="7"/>
    </w:pPr>
    <w:rPr>
      <w:rFonts w:cstheme="majorBidi"/>
      <w:i/>
      <w:iCs/>
    </w:rPr>
  </w:style>
  <w:style w:type="paragraph" w:styleId="11">
    <w:name w:val="heading 9"/>
    <w:basedOn w:val="1"/>
    <w:next w:val="1"/>
    <w:link w:val="61"/>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unhideWhenUsed/>
    <w:qFormat/>
    <w:uiPriority w:val="99"/>
    <w:pPr>
      <w:spacing w:after="120"/>
    </w:pPr>
  </w:style>
  <w:style w:type="paragraph" w:styleId="12">
    <w:name w:val="toc 7"/>
    <w:basedOn w:val="1"/>
    <w:next w:val="1"/>
    <w:qFormat/>
    <w:uiPriority w:val="39"/>
    <w:pPr>
      <w:ind w:left="1440"/>
    </w:pPr>
    <w:rPr>
      <w:rFonts w:cstheme="minorHAnsi"/>
      <w:sz w:val="18"/>
      <w:szCs w:val="18"/>
    </w:rPr>
  </w:style>
  <w:style w:type="paragraph" w:styleId="13">
    <w:name w:val="Normal Indent"/>
    <w:basedOn w:val="1"/>
    <w:link w:val="93"/>
    <w:qFormat/>
    <w:uiPriority w:val="0"/>
    <w:pPr>
      <w:ind w:firstLine="420" w:firstLineChars="200"/>
    </w:pPr>
  </w:style>
  <w:style w:type="paragraph" w:styleId="14">
    <w:name w:val="caption"/>
    <w:basedOn w:val="1"/>
    <w:next w:val="1"/>
    <w:semiHidden/>
    <w:unhideWhenUsed/>
    <w:qFormat/>
    <w:uiPriority w:val="35"/>
    <w:rPr>
      <w:b/>
      <w:bCs/>
      <w:color w:val="4F81BD" w:themeColor="accent1"/>
      <w:sz w:val="18"/>
      <w:szCs w:val="18"/>
    </w:rPr>
  </w:style>
  <w:style w:type="paragraph" w:styleId="15">
    <w:name w:val="annotation text"/>
    <w:basedOn w:val="1"/>
    <w:link w:val="62"/>
    <w:qFormat/>
    <w:uiPriority w:val="0"/>
    <w:rPr>
      <w:sz w:val="18"/>
      <w:szCs w:val="22"/>
    </w:rPr>
  </w:style>
  <w:style w:type="paragraph" w:styleId="16">
    <w:name w:val="Body Text Indent"/>
    <w:basedOn w:val="1"/>
    <w:link w:val="64"/>
    <w:qFormat/>
    <w:uiPriority w:val="0"/>
    <w:pPr>
      <w:ind w:firstLine="630"/>
    </w:pPr>
    <w:rPr>
      <w:sz w:val="32"/>
      <w:szCs w:val="20"/>
    </w:rPr>
  </w:style>
  <w:style w:type="paragraph" w:styleId="17">
    <w:name w:val="toc 5"/>
    <w:basedOn w:val="1"/>
    <w:next w:val="1"/>
    <w:qFormat/>
    <w:uiPriority w:val="39"/>
    <w:pPr>
      <w:ind w:left="960"/>
    </w:pPr>
    <w:rPr>
      <w:rFonts w:cstheme="minorHAnsi"/>
      <w:sz w:val="18"/>
      <w:szCs w:val="18"/>
    </w:rPr>
  </w:style>
  <w:style w:type="paragraph" w:styleId="18">
    <w:name w:val="toc 3"/>
    <w:basedOn w:val="1"/>
    <w:next w:val="1"/>
    <w:qFormat/>
    <w:uiPriority w:val="39"/>
    <w:pPr>
      <w:ind w:left="480"/>
    </w:pPr>
    <w:rPr>
      <w:rFonts w:cstheme="minorHAnsi"/>
      <w:i/>
      <w:iCs/>
      <w:sz w:val="20"/>
      <w:szCs w:val="20"/>
    </w:rPr>
  </w:style>
  <w:style w:type="paragraph" w:styleId="19">
    <w:name w:val="Plain Text"/>
    <w:basedOn w:val="1"/>
    <w:link w:val="65"/>
    <w:qFormat/>
    <w:uiPriority w:val="0"/>
    <w:pPr>
      <w:autoSpaceDE w:val="0"/>
      <w:autoSpaceDN w:val="0"/>
      <w:adjustRightInd w:val="0"/>
    </w:pPr>
    <w:rPr>
      <w:rFonts w:ascii="宋体" w:hAnsi="Tms Rmn"/>
      <w:szCs w:val="22"/>
    </w:rPr>
  </w:style>
  <w:style w:type="paragraph" w:styleId="20">
    <w:name w:val="toc 8"/>
    <w:basedOn w:val="1"/>
    <w:next w:val="1"/>
    <w:qFormat/>
    <w:uiPriority w:val="39"/>
    <w:pPr>
      <w:ind w:left="1680"/>
    </w:pPr>
    <w:rPr>
      <w:rFonts w:cstheme="minorHAnsi"/>
      <w:sz w:val="18"/>
      <w:szCs w:val="18"/>
    </w:rPr>
  </w:style>
  <w:style w:type="paragraph" w:styleId="21">
    <w:name w:val="Body Text Indent 2"/>
    <w:basedOn w:val="1"/>
    <w:link w:val="66"/>
    <w:qFormat/>
    <w:uiPriority w:val="0"/>
    <w:pPr>
      <w:spacing w:after="120" w:line="480" w:lineRule="auto"/>
      <w:ind w:left="420" w:leftChars="200"/>
    </w:pPr>
  </w:style>
  <w:style w:type="paragraph" w:styleId="22">
    <w:name w:val="Balloon Text"/>
    <w:basedOn w:val="1"/>
    <w:link w:val="67"/>
    <w:semiHidden/>
    <w:qFormat/>
    <w:uiPriority w:val="0"/>
    <w:rPr>
      <w:sz w:val="18"/>
      <w:szCs w:val="18"/>
    </w:rPr>
  </w:style>
  <w:style w:type="paragraph" w:styleId="23">
    <w:name w:val="footer"/>
    <w:basedOn w:val="1"/>
    <w:link w:val="52"/>
    <w:unhideWhenUsed/>
    <w:qFormat/>
    <w:uiPriority w:val="99"/>
    <w:pPr>
      <w:tabs>
        <w:tab w:val="center" w:pos="4153"/>
        <w:tab w:val="right" w:pos="8306"/>
      </w:tabs>
      <w:snapToGrid w:val="0"/>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pPr>
    <w:rPr>
      <w:rFonts w:cstheme="minorHAnsi"/>
      <w:b/>
      <w:bCs/>
      <w:caps/>
      <w:sz w:val="20"/>
      <w:szCs w:val="20"/>
    </w:rPr>
  </w:style>
  <w:style w:type="paragraph" w:styleId="26">
    <w:name w:val="toc 4"/>
    <w:basedOn w:val="1"/>
    <w:next w:val="1"/>
    <w:qFormat/>
    <w:uiPriority w:val="39"/>
    <w:pPr>
      <w:ind w:left="720"/>
    </w:pPr>
    <w:rPr>
      <w:rFonts w:cstheme="minorHAnsi"/>
      <w:sz w:val="18"/>
      <w:szCs w:val="18"/>
    </w:rPr>
  </w:style>
  <w:style w:type="paragraph" w:styleId="27">
    <w:name w:val="Subtitle"/>
    <w:basedOn w:val="1"/>
    <w:next w:val="1"/>
    <w:link w:val="68"/>
    <w:qFormat/>
    <w:uiPriority w:val="11"/>
    <w:pPr>
      <w:spacing w:after="60"/>
      <w:outlineLvl w:val="1"/>
    </w:pPr>
    <w:rPr>
      <w:rFonts w:eastAsia="仿宋" w:asciiTheme="majorHAnsi" w:hAnsiTheme="majorHAnsi" w:cstheme="majorBidi"/>
      <w:b/>
      <w:sz w:val="30"/>
    </w:rPr>
  </w:style>
  <w:style w:type="paragraph" w:styleId="28">
    <w:name w:val="List"/>
    <w:basedOn w:val="1"/>
    <w:qFormat/>
    <w:uiPriority w:val="0"/>
    <w:pPr>
      <w:ind w:left="200" w:hanging="200" w:hangingChars="200"/>
      <w:contextualSpacing/>
    </w:pPr>
    <w:rPr>
      <w:rFonts w:ascii="Times New Roman" w:hAnsi="Times New Roman" w:eastAsia="宋体"/>
      <w:sz w:val="18"/>
      <w:szCs w:val="18"/>
    </w:rPr>
  </w:style>
  <w:style w:type="paragraph" w:styleId="29">
    <w:name w:val="toc 6"/>
    <w:basedOn w:val="1"/>
    <w:next w:val="1"/>
    <w:qFormat/>
    <w:uiPriority w:val="39"/>
    <w:pPr>
      <w:ind w:left="1200"/>
    </w:pPr>
    <w:rPr>
      <w:rFonts w:cstheme="minorHAnsi"/>
      <w:sz w:val="18"/>
      <w:szCs w:val="18"/>
    </w:rPr>
  </w:style>
  <w:style w:type="paragraph" w:styleId="30">
    <w:name w:val="Body Text Indent 3"/>
    <w:basedOn w:val="1"/>
    <w:link w:val="69"/>
    <w:qFormat/>
    <w:uiPriority w:val="0"/>
    <w:pPr>
      <w:spacing w:after="120"/>
      <w:ind w:left="420" w:leftChars="200"/>
    </w:pPr>
    <w:rPr>
      <w:sz w:val="16"/>
      <w:szCs w:val="16"/>
    </w:rPr>
  </w:style>
  <w:style w:type="paragraph" w:styleId="31">
    <w:name w:val="toc 2"/>
    <w:basedOn w:val="1"/>
    <w:next w:val="1"/>
    <w:qFormat/>
    <w:uiPriority w:val="39"/>
    <w:pPr>
      <w:ind w:left="240"/>
    </w:pPr>
    <w:rPr>
      <w:rFonts w:cstheme="minorHAnsi"/>
      <w:smallCaps/>
      <w:sz w:val="20"/>
      <w:szCs w:val="20"/>
    </w:rPr>
  </w:style>
  <w:style w:type="paragraph" w:styleId="32">
    <w:name w:val="toc 9"/>
    <w:basedOn w:val="1"/>
    <w:next w:val="1"/>
    <w:qFormat/>
    <w:uiPriority w:val="39"/>
    <w:pPr>
      <w:ind w:left="1920"/>
    </w:pPr>
    <w:rPr>
      <w:rFonts w:cstheme="minorHAnsi"/>
      <w:sz w:val="18"/>
      <w:szCs w:val="18"/>
    </w:rPr>
  </w:style>
  <w:style w:type="paragraph" w:styleId="33">
    <w:name w:val="Normal (Web)"/>
    <w:basedOn w:val="1"/>
    <w:qFormat/>
    <w:uiPriority w:val="0"/>
    <w:pPr>
      <w:spacing w:before="100" w:beforeAutospacing="1" w:after="100" w:afterAutospacing="1"/>
    </w:pPr>
    <w:rPr>
      <w:rFonts w:ascii="宋体" w:hAnsi="宋体"/>
      <w:sz w:val="18"/>
      <w:szCs w:val="18"/>
    </w:rPr>
  </w:style>
  <w:style w:type="paragraph" w:styleId="34">
    <w:name w:val="index 1"/>
    <w:basedOn w:val="1"/>
    <w:next w:val="1"/>
    <w:qFormat/>
    <w:uiPriority w:val="0"/>
    <w:pPr>
      <w:widowControl w:val="0"/>
      <w:spacing w:line="220" w:lineRule="exact"/>
      <w:jc w:val="center"/>
    </w:pPr>
    <w:rPr>
      <w:rFonts w:ascii="仿宋_GB2312" w:hAnsi="Times New Roman" w:eastAsia="仿宋_GB2312"/>
      <w:kern w:val="2"/>
      <w:sz w:val="21"/>
      <w:szCs w:val="21"/>
    </w:rPr>
  </w:style>
  <w:style w:type="paragraph" w:styleId="35">
    <w:name w:val="Title"/>
    <w:basedOn w:val="1"/>
    <w:next w:val="1"/>
    <w:link w:val="70"/>
    <w:qFormat/>
    <w:uiPriority w:val="10"/>
    <w:pPr>
      <w:spacing w:before="240" w:after="60"/>
      <w:jc w:val="center"/>
      <w:outlineLvl w:val="0"/>
    </w:pPr>
    <w:rPr>
      <w:rFonts w:eastAsia="仿宋" w:asciiTheme="majorHAnsi" w:hAnsiTheme="majorHAnsi" w:cstheme="majorBidi"/>
      <w:b/>
      <w:bCs/>
      <w:kern w:val="28"/>
      <w:sz w:val="36"/>
      <w:szCs w:val="32"/>
    </w:rPr>
  </w:style>
  <w:style w:type="paragraph" w:styleId="36">
    <w:name w:val="annotation subject"/>
    <w:basedOn w:val="15"/>
    <w:next w:val="15"/>
    <w:link w:val="71"/>
    <w:qFormat/>
    <w:uiPriority w:val="0"/>
    <w:rPr>
      <w:b/>
      <w:bCs/>
      <w:sz w:val="21"/>
      <w:szCs w:val="24"/>
    </w:rPr>
  </w:style>
  <w:style w:type="paragraph" w:styleId="37">
    <w:name w:val="Body Text First Indent"/>
    <w:basedOn w:val="2"/>
    <w:link w:val="72"/>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basedOn w:val="40"/>
    <w:semiHidden/>
    <w:unhideWhenUsed/>
    <w:uiPriority w:val="99"/>
    <w:rPr>
      <w:color w:val="3D3D3D"/>
      <w:u w:val="none"/>
      <w:bdr w:val="single" w:color="DCDCDC" w:sz="6" w:space="0"/>
    </w:rPr>
  </w:style>
  <w:style w:type="character" w:styleId="44">
    <w:name w:val="Emphasis"/>
    <w:basedOn w:val="40"/>
    <w:qFormat/>
    <w:uiPriority w:val="20"/>
    <w:rPr>
      <w:rFonts w:asciiTheme="minorHAnsi" w:hAnsiTheme="minorHAnsi"/>
      <w:b/>
      <w:i/>
      <w:iCs/>
    </w:rPr>
  </w:style>
  <w:style w:type="character" w:styleId="45">
    <w:name w:val="HTML Definition"/>
    <w:basedOn w:val="40"/>
    <w:semiHidden/>
    <w:unhideWhenUsed/>
    <w:qFormat/>
    <w:uiPriority w:val="99"/>
  </w:style>
  <w:style w:type="character" w:styleId="46">
    <w:name w:val="HTML Variable"/>
    <w:basedOn w:val="40"/>
    <w:semiHidden/>
    <w:unhideWhenUsed/>
    <w:qFormat/>
    <w:uiPriority w:val="99"/>
  </w:style>
  <w:style w:type="character" w:styleId="47">
    <w:name w:val="Hyperlink"/>
    <w:qFormat/>
    <w:uiPriority w:val="99"/>
    <w:rPr>
      <w:color w:val="0000FF"/>
      <w:u w:val="single"/>
    </w:rPr>
  </w:style>
  <w:style w:type="character" w:styleId="48">
    <w:name w:val="HTML Code"/>
    <w:basedOn w:val="40"/>
    <w:semiHidden/>
    <w:unhideWhenUsed/>
    <w:qFormat/>
    <w:uiPriority w:val="99"/>
    <w:rPr>
      <w:rFonts w:ascii="Courier New" w:hAnsi="Courier New"/>
      <w:sz w:val="20"/>
    </w:rPr>
  </w:style>
  <w:style w:type="character" w:styleId="49">
    <w:name w:val="annotation reference"/>
    <w:qFormat/>
    <w:uiPriority w:val="0"/>
    <w:rPr>
      <w:sz w:val="21"/>
      <w:szCs w:val="21"/>
    </w:rPr>
  </w:style>
  <w:style w:type="character" w:styleId="50">
    <w:name w:val="HTML Cite"/>
    <w:basedOn w:val="40"/>
    <w:semiHidden/>
    <w:unhideWhenUsed/>
    <w:qFormat/>
    <w:uiPriority w:val="99"/>
  </w:style>
  <w:style w:type="character" w:customStyle="1" w:styleId="51">
    <w:name w:val="页眉 Char"/>
    <w:basedOn w:val="40"/>
    <w:link w:val="24"/>
    <w:qFormat/>
    <w:uiPriority w:val="99"/>
    <w:rPr>
      <w:sz w:val="18"/>
      <w:szCs w:val="18"/>
    </w:rPr>
  </w:style>
  <w:style w:type="character" w:customStyle="1" w:styleId="52">
    <w:name w:val="页脚 Char"/>
    <w:basedOn w:val="40"/>
    <w:link w:val="23"/>
    <w:qFormat/>
    <w:uiPriority w:val="99"/>
    <w:rPr>
      <w:sz w:val="18"/>
      <w:szCs w:val="18"/>
    </w:rPr>
  </w:style>
  <w:style w:type="character" w:customStyle="1" w:styleId="53">
    <w:name w:val="标题 1 Char"/>
    <w:basedOn w:val="40"/>
    <w:link w:val="3"/>
    <w:qFormat/>
    <w:uiPriority w:val="9"/>
    <w:rPr>
      <w:rFonts w:asciiTheme="majorHAnsi" w:hAnsiTheme="majorHAnsi" w:eastAsiaTheme="majorEastAsia" w:cstheme="majorBidi"/>
      <w:b/>
      <w:bCs/>
      <w:kern w:val="32"/>
      <w:sz w:val="32"/>
      <w:szCs w:val="32"/>
    </w:rPr>
  </w:style>
  <w:style w:type="character" w:customStyle="1" w:styleId="54">
    <w:name w:val="标题 2 Char"/>
    <w:basedOn w:val="40"/>
    <w:link w:val="4"/>
    <w:qFormat/>
    <w:uiPriority w:val="9"/>
    <w:rPr>
      <w:rFonts w:asciiTheme="majorHAnsi" w:hAnsiTheme="majorHAnsi" w:eastAsiaTheme="majorEastAsia" w:cstheme="majorBidi"/>
      <w:b/>
      <w:bCs/>
      <w:i/>
      <w:iCs/>
      <w:kern w:val="0"/>
      <w:sz w:val="28"/>
      <w:szCs w:val="28"/>
    </w:rPr>
  </w:style>
  <w:style w:type="character" w:customStyle="1" w:styleId="55">
    <w:name w:val="标题 3 Char"/>
    <w:basedOn w:val="40"/>
    <w:link w:val="5"/>
    <w:qFormat/>
    <w:uiPriority w:val="9"/>
    <w:rPr>
      <w:rFonts w:eastAsia="仿宋" w:asciiTheme="majorHAnsi" w:hAnsiTheme="majorHAnsi" w:cstheme="majorBidi"/>
      <w:b/>
      <w:bCs/>
      <w:kern w:val="0"/>
      <w:sz w:val="24"/>
      <w:szCs w:val="26"/>
    </w:rPr>
  </w:style>
  <w:style w:type="character" w:customStyle="1" w:styleId="56">
    <w:name w:val="标题 4 Char"/>
    <w:basedOn w:val="40"/>
    <w:link w:val="6"/>
    <w:qFormat/>
    <w:uiPriority w:val="9"/>
    <w:rPr>
      <w:rFonts w:cstheme="majorBidi"/>
      <w:b/>
      <w:bCs/>
      <w:kern w:val="0"/>
      <w:sz w:val="28"/>
      <w:szCs w:val="28"/>
    </w:rPr>
  </w:style>
  <w:style w:type="character" w:customStyle="1" w:styleId="57">
    <w:name w:val="标题 5 Char"/>
    <w:basedOn w:val="40"/>
    <w:link w:val="7"/>
    <w:semiHidden/>
    <w:qFormat/>
    <w:uiPriority w:val="9"/>
    <w:rPr>
      <w:rFonts w:cstheme="majorBidi"/>
      <w:b/>
      <w:bCs/>
      <w:i/>
      <w:iCs/>
      <w:kern w:val="0"/>
      <w:sz w:val="26"/>
      <w:szCs w:val="26"/>
    </w:rPr>
  </w:style>
  <w:style w:type="character" w:customStyle="1" w:styleId="58">
    <w:name w:val="标题 6 Char"/>
    <w:basedOn w:val="40"/>
    <w:link w:val="8"/>
    <w:semiHidden/>
    <w:qFormat/>
    <w:uiPriority w:val="9"/>
    <w:rPr>
      <w:rFonts w:cstheme="majorBidi"/>
      <w:b/>
      <w:bCs/>
      <w:kern w:val="0"/>
      <w:sz w:val="22"/>
    </w:rPr>
  </w:style>
  <w:style w:type="character" w:customStyle="1" w:styleId="59">
    <w:name w:val="标题 7 Char"/>
    <w:basedOn w:val="40"/>
    <w:link w:val="9"/>
    <w:semiHidden/>
    <w:qFormat/>
    <w:uiPriority w:val="9"/>
    <w:rPr>
      <w:rFonts w:cstheme="majorBidi"/>
      <w:kern w:val="0"/>
      <w:sz w:val="24"/>
      <w:szCs w:val="24"/>
    </w:rPr>
  </w:style>
  <w:style w:type="character" w:customStyle="1" w:styleId="60">
    <w:name w:val="标题 8 Char"/>
    <w:basedOn w:val="40"/>
    <w:link w:val="10"/>
    <w:semiHidden/>
    <w:qFormat/>
    <w:uiPriority w:val="9"/>
    <w:rPr>
      <w:rFonts w:cstheme="majorBidi"/>
      <w:i/>
      <w:iCs/>
      <w:kern w:val="0"/>
      <w:sz w:val="24"/>
      <w:szCs w:val="24"/>
    </w:rPr>
  </w:style>
  <w:style w:type="character" w:customStyle="1" w:styleId="61">
    <w:name w:val="标题 9 Char"/>
    <w:basedOn w:val="40"/>
    <w:link w:val="11"/>
    <w:semiHidden/>
    <w:qFormat/>
    <w:uiPriority w:val="9"/>
    <w:rPr>
      <w:rFonts w:asciiTheme="majorHAnsi" w:hAnsiTheme="majorHAnsi" w:eastAsiaTheme="majorEastAsia" w:cstheme="majorBidi"/>
      <w:kern w:val="0"/>
      <w:sz w:val="22"/>
    </w:rPr>
  </w:style>
  <w:style w:type="character" w:customStyle="1" w:styleId="62">
    <w:name w:val="批注文字 Char"/>
    <w:basedOn w:val="40"/>
    <w:link w:val="15"/>
    <w:qFormat/>
    <w:uiPriority w:val="0"/>
    <w:rPr>
      <w:rFonts w:cs="Times New Roman"/>
      <w:kern w:val="0"/>
      <w:sz w:val="18"/>
    </w:rPr>
  </w:style>
  <w:style w:type="character" w:customStyle="1" w:styleId="63">
    <w:name w:val="正文文本 Char"/>
    <w:basedOn w:val="40"/>
    <w:link w:val="2"/>
    <w:qFormat/>
    <w:uiPriority w:val="99"/>
    <w:rPr>
      <w:rFonts w:cs="Times New Roman"/>
      <w:kern w:val="0"/>
      <w:sz w:val="24"/>
      <w:szCs w:val="24"/>
    </w:rPr>
  </w:style>
  <w:style w:type="character" w:customStyle="1" w:styleId="64">
    <w:name w:val="正文文本缩进 Char"/>
    <w:basedOn w:val="40"/>
    <w:link w:val="16"/>
    <w:qFormat/>
    <w:uiPriority w:val="0"/>
    <w:rPr>
      <w:rFonts w:cs="Times New Roman"/>
      <w:kern w:val="0"/>
      <w:sz w:val="32"/>
      <w:szCs w:val="20"/>
    </w:rPr>
  </w:style>
  <w:style w:type="character" w:customStyle="1" w:styleId="65">
    <w:name w:val="纯文本 Char"/>
    <w:basedOn w:val="40"/>
    <w:link w:val="19"/>
    <w:qFormat/>
    <w:uiPriority w:val="0"/>
    <w:rPr>
      <w:rFonts w:ascii="宋体" w:hAnsi="Tms Rmn" w:cs="Times New Roman"/>
      <w:kern w:val="0"/>
      <w:sz w:val="24"/>
    </w:rPr>
  </w:style>
  <w:style w:type="character" w:customStyle="1" w:styleId="66">
    <w:name w:val="正文文本缩进 2 Char"/>
    <w:basedOn w:val="40"/>
    <w:link w:val="21"/>
    <w:qFormat/>
    <w:uiPriority w:val="0"/>
    <w:rPr>
      <w:rFonts w:cs="Times New Roman"/>
      <w:kern w:val="0"/>
      <w:sz w:val="24"/>
      <w:szCs w:val="24"/>
    </w:rPr>
  </w:style>
  <w:style w:type="character" w:customStyle="1" w:styleId="67">
    <w:name w:val="批注框文本 Char"/>
    <w:basedOn w:val="40"/>
    <w:link w:val="22"/>
    <w:semiHidden/>
    <w:qFormat/>
    <w:uiPriority w:val="0"/>
    <w:rPr>
      <w:rFonts w:cs="Times New Roman"/>
      <w:kern w:val="0"/>
      <w:sz w:val="18"/>
      <w:szCs w:val="18"/>
    </w:rPr>
  </w:style>
  <w:style w:type="character" w:customStyle="1" w:styleId="68">
    <w:name w:val="副标题 Char"/>
    <w:basedOn w:val="40"/>
    <w:link w:val="27"/>
    <w:qFormat/>
    <w:uiPriority w:val="11"/>
    <w:rPr>
      <w:rFonts w:eastAsia="仿宋" w:asciiTheme="majorHAnsi" w:hAnsiTheme="majorHAnsi" w:cstheme="majorBidi"/>
      <w:b/>
      <w:kern w:val="0"/>
      <w:sz w:val="30"/>
      <w:szCs w:val="24"/>
    </w:rPr>
  </w:style>
  <w:style w:type="character" w:customStyle="1" w:styleId="69">
    <w:name w:val="正文文本缩进 3 Char"/>
    <w:basedOn w:val="40"/>
    <w:link w:val="30"/>
    <w:qFormat/>
    <w:uiPriority w:val="0"/>
    <w:rPr>
      <w:rFonts w:cs="Times New Roman"/>
      <w:kern w:val="0"/>
      <w:sz w:val="16"/>
      <w:szCs w:val="16"/>
    </w:rPr>
  </w:style>
  <w:style w:type="character" w:customStyle="1" w:styleId="70">
    <w:name w:val="标题 Char"/>
    <w:basedOn w:val="40"/>
    <w:link w:val="35"/>
    <w:qFormat/>
    <w:uiPriority w:val="10"/>
    <w:rPr>
      <w:rFonts w:eastAsia="仿宋" w:asciiTheme="majorHAnsi" w:hAnsiTheme="majorHAnsi" w:cstheme="majorBidi"/>
      <w:b/>
      <w:bCs/>
      <w:kern w:val="28"/>
      <w:sz w:val="36"/>
      <w:szCs w:val="32"/>
    </w:rPr>
  </w:style>
  <w:style w:type="character" w:customStyle="1" w:styleId="71">
    <w:name w:val="批注主题 Char"/>
    <w:basedOn w:val="62"/>
    <w:link w:val="36"/>
    <w:qFormat/>
    <w:uiPriority w:val="0"/>
    <w:rPr>
      <w:rFonts w:cs="Times New Roman"/>
      <w:b/>
      <w:bCs/>
      <w:kern w:val="0"/>
      <w:sz w:val="18"/>
      <w:szCs w:val="24"/>
    </w:rPr>
  </w:style>
  <w:style w:type="character" w:customStyle="1" w:styleId="72">
    <w:name w:val="正文首行缩进 Char"/>
    <w:basedOn w:val="63"/>
    <w:link w:val="37"/>
    <w:qFormat/>
    <w:uiPriority w:val="0"/>
    <w:rPr>
      <w:rFonts w:cs="Times New Roman"/>
      <w:kern w:val="0"/>
      <w:sz w:val="24"/>
      <w:szCs w:val="24"/>
    </w:rPr>
  </w:style>
  <w:style w:type="paragraph" w:styleId="73">
    <w:name w:val="No Spacing"/>
    <w:basedOn w:val="1"/>
    <w:link w:val="74"/>
    <w:qFormat/>
    <w:uiPriority w:val="1"/>
    <w:rPr>
      <w:szCs w:val="32"/>
    </w:rPr>
  </w:style>
  <w:style w:type="character" w:customStyle="1" w:styleId="74">
    <w:name w:val="无间隔 Char"/>
    <w:link w:val="73"/>
    <w:qFormat/>
    <w:uiPriority w:val="1"/>
    <w:rPr>
      <w:rFonts w:cs="Times New Roman"/>
      <w:kern w:val="0"/>
      <w:sz w:val="24"/>
      <w:szCs w:val="32"/>
    </w:rPr>
  </w:style>
  <w:style w:type="paragraph" w:styleId="75">
    <w:name w:val="List Paragraph"/>
    <w:basedOn w:val="1"/>
    <w:link w:val="76"/>
    <w:qFormat/>
    <w:uiPriority w:val="34"/>
    <w:pPr>
      <w:ind w:left="720"/>
      <w:contextualSpacing/>
    </w:pPr>
  </w:style>
  <w:style w:type="character" w:customStyle="1" w:styleId="76">
    <w:name w:val="列出段落 Char"/>
    <w:link w:val="75"/>
    <w:qFormat/>
    <w:uiPriority w:val="99"/>
    <w:rPr>
      <w:rFonts w:cs="Times New Roman"/>
      <w:kern w:val="0"/>
      <w:sz w:val="24"/>
      <w:szCs w:val="24"/>
    </w:rPr>
  </w:style>
  <w:style w:type="paragraph" w:styleId="77">
    <w:name w:val="Quote"/>
    <w:basedOn w:val="1"/>
    <w:next w:val="1"/>
    <w:link w:val="78"/>
    <w:qFormat/>
    <w:uiPriority w:val="29"/>
    <w:rPr>
      <w:i/>
    </w:rPr>
  </w:style>
  <w:style w:type="character" w:customStyle="1" w:styleId="78">
    <w:name w:val="引用 Char"/>
    <w:basedOn w:val="40"/>
    <w:link w:val="77"/>
    <w:qFormat/>
    <w:uiPriority w:val="29"/>
    <w:rPr>
      <w:rFonts w:cs="Times New Roman"/>
      <w:i/>
      <w:kern w:val="0"/>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Char"/>
    <w:basedOn w:val="40"/>
    <w:link w:val="79"/>
    <w:qFormat/>
    <w:uiPriority w:val="30"/>
    <w:rPr>
      <w:rFonts w:cs="Times New Roman"/>
      <w:b/>
      <w:i/>
      <w:kern w:val="0"/>
      <w:sz w:val="24"/>
    </w:rPr>
  </w:style>
  <w:style w:type="character" w:customStyle="1" w:styleId="81">
    <w:name w:val="不明显强调1"/>
    <w:qFormat/>
    <w:uiPriority w:val="19"/>
    <w:rPr>
      <w:i/>
      <w:color w:val="585858" w:themeColor="text1" w:themeTint="A6"/>
    </w:rPr>
  </w:style>
  <w:style w:type="character" w:customStyle="1" w:styleId="82">
    <w:name w:val="明显强调1"/>
    <w:basedOn w:val="40"/>
    <w:qFormat/>
    <w:uiPriority w:val="21"/>
    <w:rPr>
      <w:b/>
      <w:i/>
      <w:sz w:val="24"/>
      <w:szCs w:val="24"/>
      <w:u w:val="single"/>
    </w:rPr>
  </w:style>
  <w:style w:type="character" w:customStyle="1" w:styleId="83">
    <w:name w:val="不明显参考1"/>
    <w:basedOn w:val="40"/>
    <w:qFormat/>
    <w:uiPriority w:val="31"/>
    <w:rPr>
      <w:sz w:val="24"/>
      <w:szCs w:val="24"/>
      <w:u w:val="single"/>
    </w:rPr>
  </w:style>
  <w:style w:type="character" w:customStyle="1" w:styleId="84">
    <w:name w:val="明显参考1"/>
    <w:basedOn w:val="40"/>
    <w:qFormat/>
    <w:uiPriority w:val="32"/>
    <w:rPr>
      <w:b/>
      <w:sz w:val="24"/>
      <w:u w:val="single"/>
    </w:rPr>
  </w:style>
  <w:style w:type="character" w:customStyle="1" w:styleId="85">
    <w:name w:val="书籍标题1"/>
    <w:basedOn w:val="40"/>
    <w:qFormat/>
    <w:uiPriority w:val="33"/>
    <w:rPr>
      <w:rFonts w:asciiTheme="majorHAnsi" w:hAnsiTheme="majorHAnsi" w:eastAsiaTheme="majorEastAsia"/>
      <w:b/>
      <w:i/>
      <w:sz w:val="24"/>
      <w:szCs w:val="24"/>
    </w:rPr>
  </w:style>
  <w:style w:type="paragraph" w:customStyle="1" w:styleId="86">
    <w:name w:val="TOC 标题1"/>
    <w:basedOn w:val="3"/>
    <w:next w:val="1"/>
    <w:unhideWhenUsed/>
    <w:qFormat/>
    <w:uiPriority w:val="39"/>
    <w:pPr>
      <w:outlineLvl w:val="9"/>
    </w:p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8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90">
    <w:name w:val="表格"/>
    <w:basedOn w:val="1"/>
    <w:qFormat/>
    <w:uiPriority w:val="0"/>
    <w:pPr>
      <w:spacing w:line="400" w:lineRule="exact"/>
    </w:pPr>
  </w:style>
  <w:style w:type="paragraph" w:customStyle="1" w:styleId="91">
    <w:name w:val="样式 首行缩进:  2 字符"/>
    <w:basedOn w:val="1"/>
    <w:qFormat/>
    <w:uiPriority w:val="0"/>
    <w:pPr>
      <w:spacing w:line="400" w:lineRule="exact"/>
      <w:ind w:firstLine="200" w:firstLineChars="200"/>
    </w:pPr>
    <w:rPr>
      <w:rFonts w:cs="宋体"/>
    </w:rPr>
  </w:style>
  <w:style w:type="character" w:customStyle="1" w:styleId="92">
    <w:name w:val="（符号）邀请函中一、"/>
    <w:qFormat/>
    <w:uiPriority w:val="0"/>
    <w:rPr>
      <w:rFonts w:ascii="黑体" w:hAnsi="黑体" w:eastAsia="黑体"/>
      <w:b/>
      <w:bCs/>
      <w:sz w:val="24"/>
    </w:rPr>
  </w:style>
  <w:style w:type="character" w:customStyle="1" w:styleId="93">
    <w:name w:val="正文缩进 Char"/>
    <w:link w:val="13"/>
    <w:qFormat/>
    <w:uiPriority w:val="0"/>
    <w:rPr>
      <w:rFonts w:cs="Times New Roman"/>
      <w:kern w:val="0"/>
      <w:sz w:val="24"/>
      <w:szCs w:val="24"/>
    </w:rPr>
  </w:style>
  <w:style w:type="character" w:customStyle="1" w:styleId="94">
    <w:name w:val="Char Char9"/>
    <w:qFormat/>
    <w:uiPriority w:val="0"/>
    <w:rPr>
      <w:kern w:val="2"/>
      <w:sz w:val="21"/>
    </w:rPr>
  </w:style>
  <w:style w:type="character" w:customStyle="1" w:styleId="95">
    <w:name w:val="批注文字 Char1"/>
    <w:basedOn w:val="40"/>
    <w:qFormat/>
    <w:uiPriority w:val="0"/>
    <w:rPr>
      <w:rFonts w:ascii="Times New Roman" w:hAnsi="Times New Roman" w:eastAsia="宋体"/>
      <w:kern w:val="2"/>
      <w:sz w:val="21"/>
      <w:szCs w:val="24"/>
    </w:rPr>
  </w:style>
  <w:style w:type="character" w:customStyle="1" w:styleId="96">
    <w:name w:val="纯文本 Char1"/>
    <w:basedOn w:val="40"/>
    <w:semiHidden/>
    <w:qFormat/>
    <w:uiPriority w:val="99"/>
    <w:rPr>
      <w:rFonts w:ascii="宋体" w:hAnsi="Courier New" w:eastAsia="宋体" w:cs="Courier New"/>
      <w:kern w:val="2"/>
      <w:sz w:val="21"/>
      <w:szCs w:val="21"/>
    </w:rPr>
  </w:style>
  <w:style w:type="paragraph" w:customStyle="1" w:styleId="97">
    <w:name w:val="GW-正文"/>
    <w:basedOn w:val="1"/>
    <w:link w:val="98"/>
    <w:qFormat/>
    <w:uiPriority w:val="0"/>
    <w:pPr>
      <w:spacing w:line="360" w:lineRule="auto"/>
      <w:ind w:firstLine="200" w:firstLineChars="200"/>
    </w:pPr>
    <w:rPr>
      <w:rFonts w:eastAsia="仿宋_GB2312"/>
    </w:rPr>
  </w:style>
  <w:style w:type="character" w:customStyle="1" w:styleId="98">
    <w:name w:val="GW-正文 Char"/>
    <w:link w:val="97"/>
    <w:qFormat/>
    <w:uiPriority w:val="0"/>
    <w:rPr>
      <w:rFonts w:eastAsia="仿宋_GB2312" w:cs="Times New Roman"/>
      <w:kern w:val="0"/>
      <w:sz w:val="24"/>
      <w:szCs w:val="24"/>
    </w:rPr>
  </w:style>
  <w:style w:type="paragraph" w:customStyle="1" w:styleId="99">
    <w:name w:val="Char Char Char Char Char Char Char Char Char Char Char Char Char Char1 Char Char Char Char"/>
    <w:basedOn w:val="1"/>
    <w:qFormat/>
    <w:uiPriority w:val="0"/>
    <w:rPr>
      <w:szCs w:val="21"/>
    </w:rPr>
  </w:style>
  <w:style w:type="paragraph" w:customStyle="1" w:styleId="100">
    <w:name w:val="正文1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101">
    <w:name w:val="!正文"/>
    <w:basedOn w:val="1"/>
    <w:qFormat/>
    <w:uiPriority w:val="0"/>
    <w:pPr>
      <w:spacing w:line="360" w:lineRule="auto"/>
      <w:ind w:firstLine="480" w:firstLineChars="200"/>
    </w:pPr>
    <w:rPr>
      <w:rFonts w:ascii="Calibri" w:hAnsi="Calibri" w:eastAsia="仿宋"/>
      <w:szCs w:val="21"/>
    </w:rPr>
  </w:style>
  <w:style w:type="paragraph" w:customStyle="1" w:styleId="102">
    <w:name w:val="样式 标题 3 + (中文) 黑体 小四 非加粗 段前: 7.8 磅 段后: 0 磅 行距: 固定值 20 磅"/>
    <w:basedOn w:val="5"/>
    <w:qFormat/>
    <w:uiPriority w:val="0"/>
    <w:pPr>
      <w:spacing w:before="0" w:after="0" w:line="400" w:lineRule="exact"/>
    </w:pPr>
    <w:rPr>
      <w:rFonts w:ascii="Cambria" w:hAnsi="Cambria" w:eastAsia="黑体" w:cs="宋体"/>
      <w:b w:val="0"/>
      <w:bCs w:val="0"/>
      <w:szCs w:val="20"/>
    </w:rPr>
  </w:style>
  <w:style w:type="paragraph" w:customStyle="1" w:styleId="103">
    <w:name w:val="!正文(无缩)"/>
    <w:basedOn w:val="1"/>
    <w:qFormat/>
    <w:uiPriority w:val="0"/>
    <w:pPr>
      <w:spacing w:line="360" w:lineRule="auto"/>
    </w:pPr>
    <w:rPr>
      <w:rFonts w:ascii="Calibri" w:hAnsi="Calibri"/>
      <w:szCs w:val="21"/>
    </w:rPr>
  </w:style>
  <w:style w:type="paragraph" w:customStyle="1" w:styleId="10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05">
    <w:name w:val="纯文本 Char2"/>
    <w:unhideWhenUsed/>
    <w:qFormat/>
    <w:uiPriority w:val="0"/>
    <w:rPr>
      <w:rFonts w:ascii="宋体" w:hAnsi="Tms Rmn" w:eastAsia="宋体"/>
      <w:sz w:val="21"/>
    </w:rPr>
  </w:style>
  <w:style w:type="paragraph" w:customStyle="1" w:styleId="106">
    <w:name w:val="TOC 标题2"/>
    <w:basedOn w:val="3"/>
    <w:next w:val="1"/>
    <w:semiHidden/>
    <w:unhideWhenUsed/>
    <w:qFormat/>
    <w:uiPriority w:val="39"/>
    <w:pPr>
      <w:keepLines/>
      <w:spacing w:before="480" w:after="0" w:line="276" w:lineRule="auto"/>
      <w:outlineLvl w:val="9"/>
    </w:pPr>
    <w:rPr>
      <w:color w:val="366091" w:themeColor="accent1" w:themeShade="BF"/>
      <w:kern w:val="0"/>
      <w:sz w:val="28"/>
      <w:szCs w:val="28"/>
    </w:rPr>
  </w:style>
  <w:style w:type="paragraph" w:customStyle="1" w:styleId="10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0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9">
    <w:name w:val="List Paragraph1"/>
    <w:basedOn w:val="1"/>
    <w:qFormat/>
    <w:uiPriority w:val="99"/>
    <w:pPr>
      <w:ind w:firstLine="420" w:firstLineChars="200"/>
    </w:pPr>
    <w:rPr>
      <w:rFonts w:ascii="Times New Roman" w:hAnsi="Times New Roman"/>
    </w:rPr>
  </w:style>
  <w:style w:type="paragraph" w:customStyle="1" w:styleId="110">
    <w:name w:val="首行缩进"/>
    <w:basedOn w:val="1"/>
    <w:qFormat/>
    <w:uiPriority w:val="0"/>
    <w:pPr>
      <w:widowControl w:val="0"/>
      <w:adjustRightInd w:val="0"/>
      <w:snapToGrid w:val="0"/>
      <w:jc w:val="both"/>
    </w:pPr>
    <w:rPr>
      <w:rFonts w:ascii="Times New Roman" w:hAnsi="Times New Roman" w:eastAsia="宋体"/>
      <w:kern w:val="2"/>
      <w:lang w:val="zh-CN"/>
    </w:rPr>
  </w:style>
  <w:style w:type="character" w:customStyle="1" w:styleId="111">
    <w:name w:val="img"/>
    <w:basedOn w:val="40"/>
    <w:qFormat/>
    <w:uiPriority w:val="0"/>
  </w:style>
  <w:style w:type="character" w:customStyle="1" w:styleId="112">
    <w:name w:val="img1"/>
    <w:basedOn w:val="40"/>
    <w:qFormat/>
    <w:uiPriority w:val="0"/>
  </w:style>
  <w:style w:type="paragraph" w:customStyle="1" w:styleId="113">
    <w:name w:val="12、表格内左对齐正文"/>
    <w:basedOn w:val="1"/>
    <w:link w:val="114"/>
    <w:qFormat/>
    <w:uiPriority w:val="0"/>
    <w:pPr>
      <w:widowControl w:val="0"/>
      <w:tabs>
        <w:tab w:val="left" w:pos="0"/>
      </w:tabs>
      <w:wordWrap w:val="0"/>
      <w:topLinePunct/>
      <w:adjustRightInd w:val="0"/>
      <w:snapToGrid w:val="0"/>
      <w:spacing w:line="360" w:lineRule="exact"/>
      <w:ind w:left="48" w:leftChars="20"/>
    </w:pPr>
    <w:rPr>
      <w:rFonts w:ascii="宋体" w:hAnsi="宋体" w:eastAsia="宋体" w:cstheme="minorBidi"/>
      <w:snapToGrid w:val="0"/>
      <w:kern w:val="2"/>
      <w:sz w:val="21"/>
    </w:rPr>
  </w:style>
  <w:style w:type="character" w:customStyle="1" w:styleId="114">
    <w:name w:val="12、表格内左对齐正文 Char"/>
    <w:link w:val="113"/>
    <w:qFormat/>
    <w:uiPriority w:val="0"/>
    <w:rPr>
      <w:rFonts w:ascii="宋体" w:hAnsi="宋体" w:cstheme="minorBidi"/>
      <w:snapToGrid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7730</Words>
  <Characters>44065</Characters>
  <Lines>367</Lines>
  <Paragraphs>103</Paragraphs>
  <TotalTime>196</TotalTime>
  <ScaleCrop>false</ScaleCrop>
  <LinksUpToDate>false</LinksUpToDate>
  <CharactersWithSpaces>51692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2021-05-28T02:11:00Z</dcterms:created>
  <dc:creator>admin</dc:creator>
  <cp:lastModifiedBy>Dell</cp:lastModifiedBy>
  <cp:lastPrinted>2021-07-14T04:02:00Z</cp:lastPrinted>
  <dcterms:modified xsi:type="dcterms:W3CDTF">2021-07-14T06:26:41Z</dcterms:modified>
  <dc:title>诚信、专精、创新、共享</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58FC703BE64644B0932D00511D6B631F</vt:lpwstr>
  </property>
</Properties>
</file>