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7E4" w:rsidRDefault="009577E4" w:rsidP="009577E4">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w:t>
      </w:r>
      <w:r>
        <w:rPr>
          <w:rFonts w:ascii="华文中宋" w:eastAsia="华文中宋" w:hAnsi="华文中宋" w:hint="eastAsia"/>
        </w:rPr>
        <w:t>结果公告</w:t>
      </w:r>
      <w:bookmarkEnd w:id="0"/>
      <w:bookmarkEnd w:id="1"/>
    </w:p>
    <w:p w:rsidR="009577E4" w:rsidRDefault="009577E4" w:rsidP="009577E4">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Pr="009577E4">
        <w:rPr>
          <w:rFonts w:ascii="黑体" w:eastAsia="黑体" w:hAnsi="黑体"/>
          <w:sz w:val="28"/>
          <w:szCs w:val="28"/>
        </w:rPr>
        <w:t>510182202100061</w:t>
      </w:r>
    </w:p>
    <w:p w:rsidR="009577E4" w:rsidRDefault="009577E4" w:rsidP="009577E4">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Pr="009577E4">
        <w:rPr>
          <w:rFonts w:ascii="黑体" w:eastAsia="黑体" w:hAnsi="黑体" w:hint="eastAsia"/>
          <w:sz w:val="28"/>
          <w:szCs w:val="28"/>
        </w:rPr>
        <w:t>彭州市综合行政执法局2021年庆祝建党一百周年和喜迎国庆城区主题氛围营造采购项目</w:t>
      </w:r>
    </w:p>
    <w:p w:rsidR="009577E4" w:rsidRDefault="009577E4" w:rsidP="009577E4">
      <w:pPr>
        <w:rPr>
          <w:rFonts w:ascii="黑体" w:eastAsia="黑体" w:hAnsi="黑体"/>
          <w:sz w:val="28"/>
          <w:szCs w:val="28"/>
        </w:rPr>
      </w:pPr>
      <w:r>
        <w:rPr>
          <w:rFonts w:ascii="黑体" w:eastAsia="黑体" w:hAnsi="黑体" w:hint="eastAsia"/>
          <w:sz w:val="28"/>
          <w:szCs w:val="28"/>
        </w:rPr>
        <w:t>三、中标（成交）信息</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供应商名称：</w:t>
      </w:r>
      <w:r w:rsidRPr="009577E4">
        <w:rPr>
          <w:rFonts w:ascii="仿宋" w:eastAsia="仿宋" w:hAnsi="仿宋" w:hint="eastAsia"/>
          <w:sz w:val="28"/>
          <w:szCs w:val="28"/>
        </w:rPr>
        <w:t>成都市蜀</w:t>
      </w:r>
      <w:proofErr w:type="gramStart"/>
      <w:r w:rsidRPr="009577E4">
        <w:rPr>
          <w:rFonts w:ascii="仿宋" w:eastAsia="仿宋" w:hAnsi="仿宋" w:hint="eastAsia"/>
          <w:sz w:val="28"/>
          <w:szCs w:val="28"/>
        </w:rPr>
        <w:t>彭</w:t>
      </w:r>
      <w:proofErr w:type="gramEnd"/>
      <w:r w:rsidRPr="009577E4">
        <w:rPr>
          <w:rFonts w:ascii="仿宋" w:eastAsia="仿宋" w:hAnsi="仿宋" w:hint="eastAsia"/>
          <w:sz w:val="28"/>
          <w:szCs w:val="28"/>
        </w:rPr>
        <w:t>环境工程有限公司</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供应商地址：</w:t>
      </w:r>
      <w:r w:rsidRPr="009577E4">
        <w:rPr>
          <w:rFonts w:ascii="仿宋" w:eastAsia="仿宋" w:hAnsi="仿宋" w:hint="eastAsia"/>
          <w:sz w:val="28"/>
          <w:szCs w:val="28"/>
        </w:rPr>
        <w:t>四川省成都市彭州市天彭镇朝阳东巷83号1层</w:t>
      </w:r>
    </w:p>
    <w:p w:rsidR="009577E4" w:rsidRDefault="009577E4" w:rsidP="009577E4">
      <w:pPr>
        <w:ind w:firstLineChars="200" w:firstLine="560"/>
        <w:rPr>
          <w:rFonts w:ascii="仿宋" w:eastAsia="仿宋" w:hAnsi="仿宋"/>
          <w:sz w:val="28"/>
          <w:szCs w:val="28"/>
        </w:rPr>
      </w:pPr>
      <w:r>
        <w:rPr>
          <w:rFonts w:ascii="仿宋" w:eastAsia="仿宋" w:hAnsi="仿宋" w:hint="eastAsia"/>
          <w:sz w:val="28"/>
          <w:szCs w:val="28"/>
        </w:rPr>
        <w:t>中标（成交）金额：</w:t>
      </w:r>
      <w:r>
        <w:rPr>
          <w:rFonts w:ascii="仿宋" w:eastAsia="仿宋" w:hAnsi="仿宋" w:hint="eastAsia"/>
          <w:sz w:val="28"/>
          <w:szCs w:val="28"/>
          <w:u w:val="single"/>
        </w:rPr>
        <w:t>92.91万元</w:t>
      </w:r>
      <w:r>
        <w:rPr>
          <w:rFonts w:ascii="仿宋" w:eastAsia="仿宋" w:hAnsi="仿宋"/>
          <w:sz w:val="28"/>
          <w:szCs w:val="28"/>
        </w:rPr>
        <w:t xml:space="preserve"> </w:t>
      </w:r>
    </w:p>
    <w:p w:rsidR="009577E4" w:rsidRDefault="009577E4" w:rsidP="009577E4">
      <w:pPr>
        <w:rPr>
          <w:rFonts w:ascii="黑体" w:eastAsia="黑体" w:hAnsi="黑体"/>
          <w:sz w:val="28"/>
          <w:szCs w:val="28"/>
        </w:rPr>
      </w:pPr>
      <w:r>
        <w:rPr>
          <w:rFonts w:ascii="黑体" w:eastAsia="黑体" w:hAnsi="黑体" w:hint="eastAsia"/>
          <w:sz w:val="28"/>
          <w:szCs w:val="28"/>
        </w:rPr>
        <w:t>四、主要标的信息</w:t>
      </w:r>
    </w:p>
    <w:tbl>
      <w:tblPr>
        <w:tblStyle w:val="a4"/>
        <w:tblW w:w="8330" w:type="dxa"/>
        <w:tblLayout w:type="fixed"/>
        <w:tblLook w:val="04A0" w:firstRow="1" w:lastRow="0" w:firstColumn="1" w:lastColumn="0" w:noHBand="0" w:noVBand="1"/>
      </w:tblPr>
      <w:tblGrid>
        <w:gridCol w:w="8330"/>
      </w:tblGrid>
      <w:tr w:rsidR="009577E4" w:rsidTr="009577E4">
        <w:tc>
          <w:tcPr>
            <w:tcW w:w="8330" w:type="dxa"/>
          </w:tcPr>
          <w:p w:rsidR="009577E4" w:rsidRDefault="009577E4" w:rsidP="00804ED4">
            <w:pPr>
              <w:jc w:val="center"/>
              <w:rPr>
                <w:rFonts w:ascii="仿宋" w:eastAsia="仿宋" w:hAnsi="仿宋"/>
                <w:sz w:val="28"/>
                <w:szCs w:val="28"/>
              </w:rPr>
            </w:pPr>
            <w:r>
              <w:rPr>
                <w:rFonts w:ascii="仿宋" w:eastAsia="仿宋" w:hAnsi="仿宋" w:hint="eastAsia"/>
                <w:sz w:val="28"/>
                <w:szCs w:val="28"/>
              </w:rPr>
              <w:t>服务类</w:t>
            </w:r>
          </w:p>
        </w:tc>
      </w:tr>
      <w:tr w:rsidR="009577E4" w:rsidTr="009577E4">
        <w:tc>
          <w:tcPr>
            <w:tcW w:w="8330" w:type="dxa"/>
          </w:tcPr>
          <w:p w:rsidR="009577E4" w:rsidRDefault="009577E4" w:rsidP="00804ED4">
            <w:pPr>
              <w:rPr>
                <w:rFonts w:ascii="仿宋" w:eastAsia="仿宋" w:hAnsi="仿宋"/>
                <w:sz w:val="28"/>
                <w:szCs w:val="28"/>
              </w:rPr>
            </w:pPr>
            <w:r>
              <w:rPr>
                <w:rFonts w:ascii="仿宋" w:eastAsia="仿宋" w:hAnsi="仿宋" w:hint="eastAsia"/>
                <w:sz w:val="28"/>
                <w:szCs w:val="28"/>
              </w:rPr>
              <w:t>名称：</w:t>
            </w:r>
            <w:r w:rsidRPr="009577E4">
              <w:rPr>
                <w:rFonts w:ascii="仿宋" w:eastAsia="仿宋" w:hAnsi="仿宋" w:hint="eastAsia"/>
                <w:sz w:val="28"/>
                <w:szCs w:val="28"/>
              </w:rPr>
              <w:t>彭州市综合行政执法局2021年庆祝建党一百周年和喜迎国庆城区主题氛围营造采购项目</w:t>
            </w:r>
          </w:p>
          <w:p w:rsidR="009577E4" w:rsidRDefault="009577E4" w:rsidP="00804ED4">
            <w:pPr>
              <w:rPr>
                <w:rFonts w:ascii="仿宋" w:eastAsia="仿宋" w:hAnsi="仿宋"/>
                <w:sz w:val="28"/>
                <w:szCs w:val="28"/>
              </w:rPr>
            </w:pPr>
            <w:r>
              <w:rPr>
                <w:rFonts w:ascii="仿宋" w:eastAsia="仿宋" w:hAnsi="仿宋" w:hint="eastAsia"/>
                <w:sz w:val="28"/>
                <w:szCs w:val="28"/>
              </w:rPr>
              <w:t>服务范围：</w:t>
            </w:r>
            <w:r w:rsidRPr="009577E4">
              <w:rPr>
                <w:rFonts w:ascii="仿宋" w:eastAsia="仿宋" w:hAnsi="仿宋" w:hint="eastAsia"/>
                <w:sz w:val="28"/>
                <w:szCs w:val="28"/>
              </w:rPr>
              <w:t>彭州市中心城区主要街道路段，包含但不限于汉彭路、金彭东路、牡丹东路、牡丹西路、牡丹西路南段、高铁站出口-繁江南路、成彭高速出口-西河东路路口、牡丹大道、</w:t>
            </w:r>
            <w:proofErr w:type="gramStart"/>
            <w:r w:rsidRPr="009577E4">
              <w:rPr>
                <w:rFonts w:ascii="仿宋" w:eastAsia="仿宋" w:hAnsi="仿宋" w:hint="eastAsia"/>
                <w:sz w:val="28"/>
                <w:szCs w:val="28"/>
              </w:rPr>
              <w:t>锦竹巷</w:t>
            </w:r>
            <w:proofErr w:type="gramEnd"/>
            <w:r w:rsidRPr="009577E4">
              <w:rPr>
                <w:rFonts w:ascii="仿宋" w:eastAsia="仿宋" w:hAnsi="仿宋" w:hint="eastAsia"/>
                <w:sz w:val="28"/>
                <w:szCs w:val="28"/>
              </w:rPr>
              <w:t>、广场西街。</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服务要求：</w:t>
            </w:r>
            <w:r w:rsidRPr="009577E4">
              <w:rPr>
                <w:rFonts w:ascii="仿宋" w:eastAsia="仿宋" w:hAnsi="仿宋" w:hint="eastAsia"/>
                <w:sz w:val="28"/>
                <w:szCs w:val="28"/>
              </w:rPr>
              <w:t>供应商应结合项目实施区域历史文化元素及街道实况，收集与建党100周年和建国72周年相关的材料，制定贴合本项目采</w:t>
            </w:r>
            <w:r>
              <w:rPr>
                <w:rFonts w:ascii="仿宋" w:eastAsia="仿宋" w:hAnsi="仿宋" w:hint="eastAsia"/>
                <w:sz w:val="28"/>
                <w:szCs w:val="28"/>
              </w:rPr>
              <w:t>购服务内容及要求的设计方案，力争设计形式与最终实施效果完美结合等。</w:t>
            </w:r>
          </w:p>
          <w:p w:rsidR="009577E4" w:rsidRDefault="009577E4" w:rsidP="00804ED4">
            <w:pPr>
              <w:rPr>
                <w:rFonts w:ascii="仿宋" w:eastAsia="仿宋" w:hAnsi="仿宋"/>
                <w:sz w:val="28"/>
                <w:szCs w:val="28"/>
                <w:u w:val="single"/>
              </w:rPr>
            </w:pPr>
            <w:r>
              <w:rPr>
                <w:rFonts w:ascii="仿宋" w:eastAsia="仿宋" w:hAnsi="仿宋" w:hint="eastAsia"/>
                <w:sz w:val="28"/>
                <w:szCs w:val="28"/>
              </w:rPr>
              <w:t>服务时间：</w:t>
            </w:r>
            <w:r w:rsidRPr="009577E4">
              <w:rPr>
                <w:rFonts w:ascii="仿宋" w:eastAsia="仿宋" w:hAnsi="仿宋" w:hint="eastAsia"/>
                <w:sz w:val="28"/>
                <w:szCs w:val="28"/>
              </w:rPr>
              <w:t>合同签订后至2021年11月底，具体以采购人指定的拆</w:t>
            </w:r>
            <w:r w:rsidRPr="009577E4">
              <w:rPr>
                <w:rFonts w:ascii="仿宋" w:eastAsia="仿宋" w:hAnsi="仿宋" w:hint="eastAsia"/>
                <w:sz w:val="28"/>
                <w:szCs w:val="28"/>
              </w:rPr>
              <w:lastRenderedPageBreak/>
              <w:t>除时间为准。</w:t>
            </w:r>
          </w:p>
          <w:p w:rsidR="009577E4" w:rsidRPr="009577E4" w:rsidRDefault="009577E4" w:rsidP="009577E4">
            <w:pPr>
              <w:rPr>
                <w:rFonts w:ascii="仿宋" w:eastAsia="仿宋" w:hAnsi="仿宋" w:hint="eastAsia"/>
                <w:sz w:val="28"/>
                <w:szCs w:val="28"/>
              </w:rPr>
            </w:pPr>
            <w:r>
              <w:rPr>
                <w:rFonts w:ascii="仿宋" w:eastAsia="仿宋" w:hAnsi="仿宋" w:hint="eastAsia"/>
                <w:sz w:val="28"/>
                <w:szCs w:val="28"/>
              </w:rPr>
              <w:t>服务标准：</w:t>
            </w:r>
            <w:r w:rsidRPr="009577E4">
              <w:rPr>
                <w:rFonts w:ascii="仿宋" w:eastAsia="仿宋" w:hAnsi="仿宋" w:hint="eastAsia"/>
                <w:sz w:val="28"/>
                <w:szCs w:val="28"/>
              </w:rPr>
              <w:t>1、国家质量标准；</w:t>
            </w:r>
          </w:p>
          <w:p w:rsidR="009577E4" w:rsidRPr="009577E4" w:rsidRDefault="009577E4" w:rsidP="009577E4">
            <w:pPr>
              <w:rPr>
                <w:rFonts w:ascii="仿宋" w:eastAsia="仿宋" w:hAnsi="仿宋" w:hint="eastAsia"/>
                <w:sz w:val="28"/>
                <w:szCs w:val="28"/>
              </w:rPr>
            </w:pPr>
            <w:r w:rsidRPr="009577E4">
              <w:rPr>
                <w:rFonts w:ascii="仿宋" w:eastAsia="仿宋" w:hAnsi="仿宋" w:hint="eastAsia"/>
                <w:sz w:val="28"/>
                <w:szCs w:val="28"/>
              </w:rPr>
              <w:t>2、没有国家质量标准的，应适用行业质量标准；</w:t>
            </w:r>
          </w:p>
          <w:p w:rsidR="009577E4" w:rsidRPr="009577E4" w:rsidRDefault="009577E4" w:rsidP="009577E4">
            <w:pPr>
              <w:rPr>
                <w:rFonts w:ascii="仿宋" w:eastAsia="仿宋" w:hAnsi="仿宋" w:hint="eastAsia"/>
                <w:sz w:val="28"/>
                <w:szCs w:val="28"/>
              </w:rPr>
            </w:pPr>
            <w:r w:rsidRPr="009577E4">
              <w:rPr>
                <w:rFonts w:ascii="仿宋" w:eastAsia="仿宋" w:hAnsi="仿宋" w:hint="eastAsia"/>
                <w:sz w:val="28"/>
                <w:szCs w:val="28"/>
              </w:rPr>
              <w:t>3、没有国家或行业质量标准的，应适用省级质量标准；</w:t>
            </w:r>
          </w:p>
          <w:p w:rsidR="009577E4" w:rsidRDefault="009577E4" w:rsidP="009577E4">
            <w:pPr>
              <w:rPr>
                <w:rFonts w:ascii="仿宋" w:eastAsia="仿宋" w:hAnsi="仿宋"/>
                <w:sz w:val="28"/>
                <w:szCs w:val="28"/>
              </w:rPr>
            </w:pPr>
            <w:r w:rsidRPr="009577E4">
              <w:rPr>
                <w:rFonts w:ascii="仿宋" w:eastAsia="仿宋" w:hAnsi="仿宋" w:hint="eastAsia"/>
                <w:sz w:val="28"/>
                <w:szCs w:val="28"/>
              </w:rPr>
              <w:t>4、没有国家、行业、省级质量标准的，甲乙双方应协商确定可以适用的质量标准。</w:t>
            </w:r>
          </w:p>
        </w:tc>
      </w:tr>
    </w:tbl>
    <w:p w:rsidR="009577E4" w:rsidRDefault="009577E4" w:rsidP="009577E4">
      <w:pPr>
        <w:rPr>
          <w:rFonts w:ascii="黑体" w:eastAsia="黑体" w:hAnsi="黑体"/>
          <w:sz w:val="28"/>
          <w:szCs w:val="28"/>
        </w:rPr>
      </w:pPr>
      <w:r>
        <w:rPr>
          <w:rFonts w:ascii="黑体" w:eastAsia="黑体" w:hAnsi="黑体" w:hint="eastAsia"/>
          <w:sz w:val="28"/>
          <w:szCs w:val="28"/>
        </w:rPr>
        <w:lastRenderedPageBreak/>
        <w:t>五、评审专家（单一来源采购人员）名单：</w:t>
      </w:r>
      <w:r>
        <w:rPr>
          <w:rFonts w:ascii="黑体" w:eastAsia="黑体" w:hAnsi="黑体" w:hint="eastAsia"/>
          <w:sz w:val="28"/>
          <w:szCs w:val="28"/>
        </w:rPr>
        <w:t>吴红梅、康懿、李芳</w:t>
      </w:r>
    </w:p>
    <w:p w:rsidR="009577E4" w:rsidRDefault="009577E4" w:rsidP="009577E4">
      <w:pPr>
        <w:rPr>
          <w:rFonts w:ascii="黑体" w:eastAsia="黑体" w:hAnsi="黑体"/>
          <w:sz w:val="28"/>
          <w:szCs w:val="28"/>
        </w:rPr>
      </w:pPr>
      <w:r>
        <w:rPr>
          <w:rFonts w:ascii="黑体" w:eastAsia="黑体" w:hAnsi="黑体" w:hint="eastAsia"/>
          <w:sz w:val="28"/>
          <w:szCs w:val="28"/>
        </w:rPr>
        <w:t>六、代理服务收费标准及金额：</w:t>
      </w:r>
      <w:r w:rsidRPr="009577E4">
        <w:rPr>
          <w:rFonts w:ascii="黑体" w:eastAsia="黑体" w:hAnsi="黑体" w:hint="eastAsia"/>
          <w:sz w:val="28"/>
          <w:szCs w:val="28"/>
        </w:rPr>
        <w:t>根据《国家发展改革委关于进一步放开建设项目专业服务价格的通知》</w:t>
      </w:r>
      <w:proofErr w:type="gramStart"/>
      <w:r w:rsidRPr="009577E4">
        <w:rPr>
          <w:rFonts w:ascii="黑体" w:eastAsia="黑体" w:hAnsi="黑体" w:hint="eastAsia"/>
          <w:sz w:val="28"/>
          <w:szCs w:val="28"/>
        </w:rPr>
        <w:t>发改价格</w:t>
      </w:r>
      <w:proofErr w:type="gramEnd"/>
      <w:r w:rsidRPr="009577E4">
        <w:rPr>
          <w:rFonts w:ascii="黑体" w:eastAsia="黑体" w:hAnsi="黑体" w:hint="eastAsia"/>
          <w:sz w:val="28"/>
          <w:szCs w:val="28"/>
        </w:rPr>
        <w:t>〔2015〕299号文规定按采购预算的1.5%</w:t>
      </w:r>
      <w:r>
        <w:rPr>
          <w:rFonts w:ascii="黑体" w:eastAsia="黑体" w:hAnsi="黑体" w:hint="eastAsia"/>
          <w:sz w:val="28"/>
          <w:szCs w:val="28"/>
        </w:rPr>
        <w:t>向成交人收取招标代理服务费14100元。</w:t>
      </w:r>
    </w:p>
    <w:p w:rsidR="009577E4" w:rsidRDefault="009577E4" w:rsidP="009577E4">
      <w:pPr>
        <w:rPr>
          <w:rFonts w:ascii="黑体" w:eastAsia="黑体" w:hAnsi="黑体"/>
          <w:sz w:val="28"/>
          <w:szCs w:val="28"/>
        </w:rPr>
      </w:pPr>
      <w:r>
        <w:rPr>
          <w:rFonts w:ascii="黑体" w:eastAsia="黑体" w:hAnsi="黑体" w:hint="eastAsia"/>
          <w:sz w:val="28"/>
          <w:szCs w:val="28"/>
        </w:rPr>
        <w:t>七、公告期限</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9577E4" w:rsidRDefault="009577E4" w:rsidP="009577E4">
      <w:pPr>
        <w:rPr>
          <w:rFonts w:ascii="黑体" w:eastAsia="黑体" w:hAnsi="黑体" w:cs="仿宋"/>
          <w:sz w:val="28"/>
          <w:szCs w:val="28"/>
        </w:rPr>
      </w:pPr>
      <w:r>
        <w:rPr>
          <w:rFonts w:ascii="黑体" w:eastAsia="黑体" w:hAnsi="黑体" w:cs="仿宋" w:hint="eastAsia"/>
          <w:sz w:val="28"/>
          <w:szCs w:val="28"/>
        </w:rPr>
        <w:t>八、其他补充事宜</w:t>
      </w:r>
    </w:p>
    <w:p w:rsidR="009577E4" w:rsidRDefault="009577E4" w:rsidP="009577E4">
      <w:pPr>
        <w:rPr>
          <w:rFonts w:ascii="黑体" w:eastAsia="黑体" w:hAnsi="黑体" w:cs="宋体"/>
          <w:kern w:val="0"/>
          <w:sz w:val="28"/>
          <w:szCs w:val="28"/>
        </w:rPr>
      </w:pPr>
      <w:r w:rsidRPr="009577E4">
        <w:rPr>
          <w:rFonts w:ascii="黑体" w:eastAsia="黑体" w:hAnsi="黑体" w:cs="宋体" w:hint="eastAsia"/>
          <w:kern w:val="0"/>
          <w:sz w:val="28"/>
          <w:szCs w:val="28"/>
        </w:rPr>
        <w:t>监管单位：彭州市财政局，联系电话：028-83888323。计划备案号：(2021)0233号。品目编码及名称：C1399-其他市政公共设施管理服务 。本项目采购预算（最高限价）94万元。超过采购预算（最高限价）的报价为无效报价。推进四川省政府采购供应商信用融资：根据《四川省财政厅关于推进四川省政府采购供应商信用融资工作的通知》（</w:t>
      </w:r>
      <w:proofErr w:type="gramStart"/>
      <w:r w:rsidRPr="009577E4">
        <w:rPr>
          <w:rFonts w:ascii="黑体" w:eastAsia="黑体" w:hAnsi="黑体" w:cs="宋体" w:hint="eastAsia"/>
          <w:kern w:val="0"/>
          <w:sz w:val="28"/>
          <w:szCs w:val="28"/>
        </w:rPr>
        <w:t>川财采</w:t>
      </w:r>
      <w:proofErr w:type="gramEnd"/>
      <w:r w:rsidRPr="009577E4">
        <w:rPr>
          <w:rFonts w:ascii="黑体" w:eastAsia="黑体" w:hAnsi="黑体"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w:t>
      </w:r>
      <w:r w:rsidRPr="009577E4">
        <w:rPr>
          <w:rFonts w:ascii="黑体" w:eastAsia="黑体" w:hAnsi="黑体" w:cs="宋体" w:hint="eastAsia"/>
          <w:kern w:val="0"/>
          <w:sz w:val="28"/>
          <w:szCs w:val="28"/>
        </w:rPr>
        <w:lastRenderedPageBreak/>
        <w:t>交）通知书向银行提出贷款意向申请。银行应及时按照有关规定完成对供应商的信用审查以及开设账户等相关工作。</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9577E4" w:rsidRDefault="009577E4" w:rsidP="009577E4">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彭州市综合行政执法局</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彭州市牡丹大道南段8号</w:t>
      </w:r>
      <w:r>
        <w:rPr>
          <w:rFonts w:ascii="仿宋" w:eastAsia="仿宋" w:hAnsi="仿宋" w:hint="eastAsia"/>
          <w:sz w:val="28"/>
          <w:szCs w:val="28"/>
          <w:u w:val="single"/>
        </w:rPr>
        <w:t xml:space="preserve">　</w:t>
      </w:r>
    </w:p>
    <w:p w:rsidR="009577E4" w:rsidRDefault="009577E4" w:rsidP="009577E4">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林老师； 028-88505722</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中国（四川）自由贸易试验区成都高新区天府二街166号雄川金融中心1栋09层05号</w:t>
      </w:r>
      <w:r>
        <w:rPr>
          <w:rFonts w:ascii="仿宋" w:eastAsia="仿宋" w:hAnsi="仿宋" w:hint="eastAsia"/>
          <w:sz w:val="28"/>
          <w:szCs w:val="28"/>
          <w:u w:val="single"/>
        </w:rPr>
        <w:t xml:space="preserve"> </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王老师；028-62093108</w:t>
      </w:r>
      <w:r>
        <w:rPr>
          <w:rFonts w:ascii="仿宋" w:eastAsia="仿宋" w:hAnsi="仿宋" w:hint="eastAsia"/>
          <w:sz w:val="28"/>
          <w:szCs w:val="28"/>
          <w:u w:val="single"/>
        </w:rPr>
        <w:t xml:space="preserve"> </w:t>
      </w:r>
    </w:p>
    <w:p w:rsidR="009577E4" w:rsidRDefault="009577E4" w:rsidP="009577E4">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9577E4" w:rsidRDefault="009577E4" w:rsidP="009577E4">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sidRPr="009577E4">
        <w:rPr>
          <w:rFonts w:ascii="仿宋" w:eastAsia="仿宋" w:hAnsi="仿宋" w:hint="eastAsia"/>
          <w:sz w:val="28"/>
          <w:szCs w:val="28"/>
          <w:u w:val="single"/>
        </w:rPr>
        <w:t>王老师</w:t>
      </w:r>
    </w:p>
    <w:p w:rsidR="009577E4" w:rsidRDefault="009577E4" w:rsidP="009577E4">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9577E4">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9577E4" w:rsidRDefault="009577E4" w:rsidP="009577E4">
      <w:pPr>
        <w:rPr>
          <w:rFonts w:ascii="黑体" w:eastAsia="黑体" w:hAnsi="黑体" w:cs="宋体"/>
          <w:kern w:val="0"/>
          <w:sz w:val="28"/>
          <w:szCs w:val="28"/>
        </w:rPr>
      </w:pPr>
      <w:r>
        <w:rPr>
          <w:rFonts w:ascii="黑体" w:eastAsia="黑体" w:hAnsi="黑体" w:cs="宋体" w:hint="eastAsia"/>
          <w:kern w:val="0"/>
          <w:sz w:val="28"/>
          <w:szCs w:val="28"/>
        </w:rPr>
        <w:t>十、附件</w:t>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9577E4" w:rsidRDefault="009577E4" w:rsidP="009577E4">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9577E4" w:rsidRPr="009577E4" w:rsidRDefault="009577E4" w:rsidP="009577E4">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14:anchorId="31C1DDC5" wp14:editId="756591D9">
            <wp:extent cx="5320431" cy="3275179"/>
            <wp:effectExtent l="0" t="0" r="0" b="1905"/>
            <wp:docPr id="1" name="图片 1" descr="C:\Users\CYT\AppData\Roaming\Tencent\Users\441963661\QQ\WinTemp\RichOle\2YFK)6S@]J[PS_I%8_VQO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YT\AppData\Roaming\Tencent\Users\441963661\QQ\WinTemp\RichOle\2YFK)6S@]J[PS_I%8_VQOA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0827" cy="3275423"/>
                    </a:xfrm>
                    <a:prstGeom prst="rect">
                      <a:avLst/>
                    </a:prstGeom>
                    <a:noFill/>
                    <a:ln>
                      <a:noFill/>
                    </a:ln>
                  </pic:spPr>
                </pic:pic>
              </a:graphicData>
            </a:graphic>
          </wp:inline>
        </w:drawing>
      </w:r>
      <w:bookmarkStart w:id="14" w:name="_GoBack"/>
      <w:bookmarkEnd w:id="14"/>
    </w:p>
    <w:p w:rsidR="009577E4" w:rsidRDefault="009577E4" w:rsidP="009577E4">
      <w:pPr>
        <w:ind w:firstLineChars="200" w:firstLine="560"/>
        <w:rPr>
          <w:rFonts w:ascii="仿宋" w:eastAsia="仿宋" w:hAnsi="仿宋" w:cs="宋体" w:hint="eastAsia"/>
          <w:kern w:val="0"/>
          <w:sz w:val="28"/>
          <w:szCs w:val="28"/>
        </w:rPr>
      </w:pPr>
      <w:r>
        <w:rPr>
          <w:rFonts w:ascii="仿宋" w:eastAsia="仿宋" w:hAnsi="仿宋" w:cs="宋体" w:hint="eastAsia"/>
          <w:kern w:val="0"/>
          <w:sz w:val="28"/>
          <w:szCs w:val="28"/>
        </w:rPr>
        <w:t>3.中标、成交供应商为中小企业的，应公告其《中小企业声明函》</w:t>
      </w:r>
    </w:p>
    <w:p w:rsidR="009577E4" w:rsidRDefault="003D75E3" w:rsidP="009577E4">
      <w:pPr>
        <w:ind w:firstLineChars="200" w:firstLine="560"/>
        <w:rPr>
          <w:rFonts w:ascii="仿宋" w:eastAsia="仿宋" w:hAnsi="仿宋" w:cs="宋体"/>
          <w:kern w:val="0"/>
          <w:sz w:val="28"/>
          <w:szCs w:val="28"/>
        </w:rPr>
      </w:pPr>
      <w:r>
        <w:rPr>
          <w:rFonts w:ascii="仿宋" w:eastAsia="仿宋" w:hAnsi="仿宋" w:cs="宋体" w:hint="eastAsia"/>
          <w:noProof/>
          <w:kern w:val="0"/>
          <w:sz w:val="28"/>
          <w:szCs w:val="28"/>
        </w:rPr>
        <w:drawing>
          <wp:inline distT="0" distB="0" distL="0" distR="0">
            <wp:extent cx="5274310" cy="3956050"/>
            <wp:effectExtent l="0" t="0" r="2540" b="6350"/>
            <wp:docPr id="2" name="图片 2" descr="C:\Users\CYT\AppData\Local\Temp\WeChat Files\5d3c65b56db5f7218bac457a210a2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T\AppData\Local\Temp\WeChat Files\5d3c65b56db5f7218bac457a210a21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inline>
        </w:drawing>
      </w:r>
    </w:p>
    <w:p w:rsidR="009577E4" w:rsidRDefault="009577E4" w:rsidP="009577E4">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4.中标、成交供应商为残疾人福利性单位的，应公告其《残疾人福利性单位声明函》</w:t>
      </w:r>
    </w:p>
    <w:p w:rsidR="00D4766C" w:rsidRDefault="009577E4" w:rsidP="009577E4">
      <w:r>
        <w:rPr>
          <w:rFonts w:ascii="仿宋" w:eastAsia="仿宋" w:hAnsi="仿宋" w:cs="宋体" w:hint="eastAsia"/>
          <w:kern w:val="0"/>
          <w:sz w:val="28"/>
          <w:szCs w:val="28"/>
        </w:rPr>
        <w:lastRenderedPageBreak/>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sectPr w:rsidR="00D47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E4"/>
    <w:rsid w:val="003D75E3"/>
    <w:rsid w:val="009577E4"/>
    <w:rsid w:val="00D4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7E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9577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77E4"/>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77E4"/>
    <w:rPr>
      <w:rFonts w:ascii="Times New Roman" w:eastAsia="宋体" w:hAnsi="Times New Roman" w:cs="Times New Roman"/>
      <w:b/>
      <w:bCs/>
      <w:kern w:val="44"/>
      <w:sz w:val="44"/>
      <w:szCs w:val="44"/>
    </w:rPr>
  </w:style>
  <w:style w:type="character" w:customStyle="1" w:styleId="2Char">
    <w:name w:val="标题 2 Char"/>
    <w:basedOn w:val="a0"/>
    <w:link w:val="2"/>
    <w:qFormat/>
    <w:rsid w:val="009577E4"/>
    <w:rPr>
      <w:rFonts w:ascii="Arial" w:eastAsia="黑体" w:hAnsi="Arial" w:cs="Arial"/>
      <w:b/>
      <w:bCs/>
      <w:sz w:val="32"/>
      <w:szCs w:val="32"/>
    </w:rPr>
  </w:style>
  <w:style w:type="paragraph" w:styleId="a3">
    <w:name w:val="Plain Text"/>
    <w:basedOn w:val="a"/>
    <w:link w:val="Char"/>
    <w:qFormat/>
    <w:rsid w:val="009577E4"/>
    <w:rPr>
      <w:rFonts w:ascii="宋体" w:eastAsiaTheme="minorEastAsia" w:hAnsi="Courier New" w:cstheme="minorBidi"/>
      <w:szCs w:val="22"/>
    </w:rPr>
  </w:style>
  <w:style w:type="character" w:customStyle="1" w:styleId="Char">
    <w:name w:val="纯文本 Char"/>
    <w:basedOn w:val="a0"/>
    <w:link w:val="a3"/>
    <w:qFormat/>
    <w:rsid w:val="009577E4"/>
    <w:rPr>
      <w:rFonts w:ascii="宋体" w:hAnsi="Courier New"/>
    </w:rPr>
  </w:style>
  <w:style w:type="table" w:styleId="a4">
    <w:name w:val="Table Grid"/>
    <w:basedOn w:val="a1"/>
    <w:qFormat/>
    <w:rsid w:val="009577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9577E4"/>
    <w:rPr>
      <w:sz w:val="18"/>
      <w:szCs w:val="18"/>
    </w:rPr>
  </w:style>
  <w:style w:type="character" w:customStyle="1" w:styleId="Char0">
    <w:name w:val="批注框文本 Char"/>
    <w:basedOn w:val="a0"/>
    <w:link w:val="a5"/>
    <w:uiPriority w:val="99"/>
    <w:semiHidden/>
    <w:rsid w:val="009577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80444">
      <w:bodyDiv w:val="1"/>
      <w:marLeft w:val="0"/>
      <w:marRight w:val="0"/>
      <w:marTop w:val="0"/>
      <w:marBottom w:val="0"/>
      <w:divBdr>
        <w:top w:val="none" w:sz="0" w:space="0" w:color="auto"/>
        <w:left w:val="none" w:sz="0" w:space="0" w:color="auto"/>
        <w:bottom w:val="none" w:sz="0" w:space="0" w:color="auto"/>
        <w:right w:val="none" w:sz="0" w:space="0" w:color="auto"/>
      </w:divBdr>
      <w:divsChild>
        <w:div w:id="1628658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CYT</dc:creator>
  <cp:lastModifiedBy>CYT</cp:lastModifiedBy>
  <cp:revision>1</cp:revision>
  <dcterms:created xsi:type="dcterms:W3CDTF">2021-06-02T02:08:00Z</dcterms:created>
  <dcterms:modified xsi:type="dcterms:W3CDTF">2021-06-02T02:19:00Z</dcterms:modified>
</cp:coreProperties>
</file>