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470" w:firstLineChars="196"/>
        <w:jc w:val="center"/>
        <w:rPr>
          <w:rFonts w:ascii="宋体" w:hAnsi="宋体" w:cs="宋体"/>
          <w:sz w:val="24"/>
          <w:szCs w:val="24"/>
        </w:rPr>
      </w:pPr>
    </w:p>
    <w:p>
      <w:pPr>
        <w:jc w:val="center"/>
        <w:rPr>
          <w:rFonts w:ascii="宋体" w:hAnsi="宋体" w:cs="宋体"/>
          <w:b/>
          <w:bCs/>
          <w:color w:val="000000" w:themeColor="text1"/>
          <w:sz w:val="36"/>
          <w:szCs w:val="36"/>
        </w:rPr>
      </w:pPr>
    </w:p>
    <w:p>
      <w:pPr>
        <w:jc w:val="center"/>
        <w:rPr>
          <w:rFonts w:hint="eastAsia" w:ascii="宋体" w:hAnsi="宋体" w:cs="宋体"/>
          <w:b/>
          <w:sz w:val="32"/>
          <w:szCs w:val="32"/>
          <w:highlight w:val="none"/>
          <w:lang w:val="en-US" w:eastAsia="zh-CN"/>
        </w:rPr>
      </w:pPr>
      <w:r>
        <w:rPr>
          <w:rFonts w:hint="eastAsia" w:ascii="宋体" w:hAnsi="宋体" w:cs="宋体"/>
          <w:b/>
          <w:sz w:val="32"/>
          <w:szCs w:val="32"/>
          <w:highlight w:val="none"/>
          <w:lang w:val="en-US" w:eastAsia="zh-CN"/>
        </w:rPr>
        <w:t>成都市龙泉驿区2021年义务植树基地建设项目</w:t>
      </w:r>
    </w:p>
    <w:p>
      <w:pPr>
        <w:rPr>
          <w:rFonts w:hint="eastAsia"/>
          <w:b/>
          <w:bCs/>
          <w:sz w:val="28"/>
          <w:szCs w:val="36"/>
        </w:rPr>
      </w:pPr>
    </w:p>
    <w:p>
      <w:pPr>
        <w:pStyle w:val="2"/>
        <w:rPr>
          <w:rFonts w:hint="eastAsia"/>
          <w:b/>
          <w:bCs/>
          <w:sz w:val="28"/>
          <w:szCs w:val="36"/>
        </w:rPr>
      </w:pPr>
    </w:p>
    <w:p/>
    <w:p>
      <w:pPr>
        <w:jc w:val="center"/>
        <w:rPr>
          <w:rFonts w:hint="eastAsia" w:ascii="宋体" w:hAnsi="宋体" w:cs="宋体"/>
          <w:b/>
          <w:sz w:val="84"/>
          <w:szCs w:val="84"/>
          <w:lang w:val="en-US" w:eastAsia="zh-CN"/>
        </w:rPr>
      </w:pPr>
      <w:r>
        <w:rPr>
          <w:rFonts w:hint="eastAsia" w:ascii="宋体" w:hAnsi="宋体" w:cs="宋体"/>
          <w:b/>
          <w:sz w:val="84"/>
          <w:szCs w:val="84"/>
        </w:rPr>
        <w:t>采</w:t>
      </w:r>
      <w:r>
        <w:rPr>
          <w:rFonts w:hint="eastAsia" w:ascii="宋体" w:hAnsi="宋体" w:cs="宋体"/>
          <w:b/>
          <w:sz w:val="84"/>
          <w:szCs w:val="84"/>
          <w:lang w:val="en-US" w:eastAsia="zh-CN"/>
        </w:rPr>
        <w:t xml:space="preserve"> </w:t>
      </w:r>
    </w:p>
    <w:p>
      <w:pPr>
        <w:pStyle w:val="2"/>
        <w:rPr>
          <w:rFonts w:hint="eastAsia"/>
          <w:lang w:val="en-US" w:eastAsia="zh-CN"/>
        </w:rPr>
      </w:pPr>
    </w:p>
    <w:p>
      <w:pPr>
        <w:jc w:val="center"/>
        <w:rPr>
          <w:rFonts w:ascii="宋体" w:hAnsi="宋体" w:cs="宋体"/>
          <w:b/>
          <w:sz w:val="84"/>
          <w:szCs w:val="84"/>
        </w:rPr>
      </w:pPr>
      <w:r>
        <w:rPr>
          <w:rFonts w:hint="eastAsia" w:ascii="宋体" w:hAnsi="宋体" w:cs="宋体"/>
          <w:b/>
          <w:sz w:val="84"/>
          <w:szCs w:val="84"/>
        </w:rPr>
        <w:t>购</w:t>
      </w:r>
    </w:p>
    <w:p>
      <w:pPr>
        <w:jc w:val="center"/>
        <w:rPr>
          <w:rFonts w:ascii="宋体" w:hAnsi="宋体" w:cs="宋体"/>
          <w:b/>
          <w:sz w:val="84"/>
          <w:szCs w:val="84"/>
        </w:rPr>
      </w:pPr>
      <w:r>
        <w:rPr>
          <w:rFonts w:hint="eastAsia" w:ascii="宋体" w:hAnsi="宋体" w:cs="宋体"/>
          <w:b/>
          <w:sz w:val="84"/>
          <w:szCs w:val="84"/>
        </w:rPr>
        <w:t>需</w:t>
      </w:r>
    </w:p>
    <w:p>
      <w:pPr>
        <w:jc w:val="center"/>
        <w:rPr>
          <w:rFonts w:ascii="黑体" w:hAnsi="黑体" w:eastAsia="黑体" w:cs="宋体"/>
          <w:b/>
          <w:sz w:val="84"/>
          <w:szCs w:val="84"/>
        </w:rPr>
      </w:pPr>
      <w:r>
        <w:rPr>
          <w:rFonts w:hint="eastAsia" w:ascii="宋体" w:hAnsi="宋体" w:cs="宋体"/>
          <w:b/>
          <w:sz w:val="84"/>
          <w:szCs w:val="84"/>
        </w:rPr>
        <w:t>求</w:t>
      </w:r>
    </w:p>
    <w:p>
      <w:pPr>
        <w:ind w:firstLine="705" w:firstLineChars="196"/>
        <w:jc w:val="center"/>
        <w:rPr>
          <w:rFonts w:ascii="宋体" w:hAnsi="宋体" w:cs="宋体"/>
          <w:sz w:val="36"/>
          <w:szCs w:val="36"/>
        </w:rPr>
      </w:pPr>
    </w:p>
    <w:p>
      <w:pPr>
        <w:ind w:firstLine="705" w:firstLineChars="196"/>
        <w:jc w:val="center"/>
        <w:rPr>
          <w:rFonts w:ascii="宋体" w:hAnsi="宋体" w:cs="宋体"/>
          <w:sz w:val="36"/>
          <w:szCs w:val="36"/>
        </w:rPr>
      </w:pPr>
    </w:p>
    <w:p>
      <w:pPr>
        <w:ind w:firstLine="705" w:firstLineChars="196"/>
        <w:jc w:val="center"/>
        <w:rPr>
          <w:rFonts w:ascii="宋体" w:hAnsi="宋体" w:cs="宋体"/>
          <w:sz w:val="36"/>
          <w:szCs w:val="36"/>
        </w:rPr>
      </w:pPr>
    </w:p>
    <w:p>
      <w:pPr>
        <w:jc w:val="center"/>
        <w:rPr>
          <w:rFonts w:ascii="宋体" w:hAnsi="宋体" w:cs="宋体"/>
          <w:sz w:val="44"/>
          <w:szCs w:val="44"/>
        </w:rPr>
      </w:pPr>
    </w:p>
    <w:p>
      <w:pPr>
        <w:jc w:val="center"/>
        <w:rPr>
          <w:rFonts w:hint="eastAsia" w:ascii="宋体" w:hAnsi="宋体" w:cs="宋体"/>
          <w:b/>
          <w:sz w:val="32"/>
          <w:szCs w:val="32"/>
          <w:highlight w:val="none"/>
          <w:lang w:val="en-US" w:eastAsia="zh-CN"/>
        </w:rPr>
      </w:pPr>
      <w:r>
        <w:rPr>
          <w:rFonts w:hint="eastAsia" w:ascii="宋体" w:hAnsi="宋体" w:cs="宋体"/>
          <w:b/>
          <w:sz w:val="32"/>
          <w:szCs w:val="32"/>
          <w:highlight w:val="none"/>
          <w:lang w:val="en-US" w:eastAsia="zh-CN"/>
        </w:rPr>
        <w:t>成都市龙泉驿区农业农村局</w:t>
      </w:r>
    </w:p>
    <w:p>
      <w:pPr>
        <w:jc w:val="center"/>
        <w:rPr>
          <w:rFonts w:ascii="宋体" w:hAnsi="宋体" w:cs="宋体"/>
          <w:b/>
          <w:sz w:val="32"/>
          <w:szCs w:val="32"/>
        </w:rPr>
      </w:pPr>
      <w:r>
        <w:rPr>
          <w:rFonts w:hint="eastAsia" w:ascii="宋体" w:hAnsi="宋体" w:cs="宋体"/>
          <w:b/>
          <w:sz w:val="32"/>
          <w:szCs w:val="32"/>
        </w:rPr>
        <w:t>20</w:t>
      </w:r>
      <w:r>
        <w:rPr>
          <w:rFonts w:hint="eastAsia" w:ascii="宋体" w:hAnsi="宋体" w:cs="宋体"/>
          <w:b/>
          <w:sz w:val="32"/>
          <w:szCs w:val="32"/>
          <w:lang w:val="en-US" w:eastAsia="zh-CN"/>
        </w:rPr>
        <w:t>21</w:t>
      </w:r>
      <w:r>
        <w:rPr>
          <w:rFonts w:hint="eastAsia" w:ascii="宋体" w:hAnsi="宋体" w:cs="宋体"/>
          <w:b/>
          <w:sz w:val="32"/>
          <w:szCs w:val="32"/>
        </w:rPr>
        <w:t>年</w:t>
      </w:r>
      <w:r>
        <w:rPr>
          <w:rFonts w:hint="eastAsia" w:ascii="宋体" w:hAnsi="宋体" w:cs="宋体"/>
          <w:b/>
          <w:sz w:val="32"/>
          <w:szCs w:val="32"/>
          <w:lang w:val="en-US" w:eastAsia="zh-CN"/>
        </w:rPr>
        <w:t>4</w:t>
      </w:r>
      <w:r>
        <w:rPr>
          <w:rFonts w:hint="eastAsia" w:ascii="宋体" w:hAnsi="宋体" w:cs="宋体"/>
          <w:b/>
          <w:sz w:val="32"/>
          <w:szCs w:val="32"/>
        </w:rPr>
        <w:t>月</w:t>
      </w:r>
    </w:p>
    <w:p>
      <w:pPr>
        <w:widowControl/>
        <w:jc w:val="left"/>
        <w:rPr>
          <w:rFonts w:ascii="宋体" w:hAnsi="宋体" w:cs="宋体"/>
          <w:sz w:val="36"/>
          <w:szCs w:val="36"/>
        </w:rPr>
      </w:pPr>
      <w:r>
        <w:rPr>
          <w:rFonts w:ascii="宋体" w:hAnsi="宋体" w:cs="宋体"/>
          <w:sz w:val="36"/>
          <w:szCs w:val="36"/>
        </w:rPr>
        <w:br w:type="page"/>
      </w:r>
    </w:p>
    <w:p>
      <w:pPr>
        <w:spacing w:after="0" w:line="360" w:lineRule="auto"/>
        <w:outlineLvl w:val="0"/>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 项目概述</w:t>
      </w:r>
    </w:p>
    <w:p>
      <w:pPr>
        <w:pageBreakBefore w:val="0"/>
        <w:widowControl/>
        <w:kinsoku/>
        <w:wordWrap/>
        <w:overflowPunct/>
        <w:topLinePunct w:val="0"/>
        <w:bidi w:val="0"/>
        <w:adjustRightInd w:val="0"/>
        <w:snapToGrid w:val="0"/>
        <w:spacing w:after="0" w:line="288" w:lineRule="auto"/>
        <w:ind w:left="103" w:leftChars="49"/>
        <w:jc w:val="left"/>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rPr>
        <w:t>1</w:t>
      </w:r>
      <w:r>
        <w:rPr>
          <w:rFonts w:hint="eastAsia" w:ascii="宋体" w:hAnsi="宋体" w:eastAsia="宋体" w:cs="宋体"/>
          <w:color w:val="000000"/>
          <w:kern w:val="2"/>
          <w:sz w:val="24"/>
          <w:szCs w:val="24"/>
          <w:lang w:val="en-US" w:eastAsia="zh-CN"/>
        </w:rPr>
        <w:t>.</w:t>
      </w:r>
      <w:r>
        <w:rPr>
          <w:rFonts w:hint="eastAsia" w:ascii="宋体" w:hAnsi="宋体" w:eastAsia="宋体" w:cs="宋体"/>
          <w:color w:val="000000"/>
          <w:kern w:val="2"/>
          <w:sz w:val="24"/>
          <w:szCs w:val="24"/>
        </w:rPr>
        <w:t>项目名称：</w:t>
      </w:r>
      <w:r>
        <w:rPr>
          <w:rFonts w:hint="eastAsia" w:ascii="宋体" w:hAnsi="宋体" w:eastAsia="宋体" w:cs="宋体"/>
          <w:color w:val="000000"/>
          <w:kern w:val="2"/>
          <w:sz w:val="24"/>
          <w:szCs w:val="24"/>
          <w:lang w:eastAsia="zh-CN"/>
        </w:rPr>
        <w:t>成都市龙泉驿区2021年义务植树基地建设项目</w:t>
      </w:r>
      <w:r>
        <w:rPr>
          <w:rFonts w:hint="eastAsia" w:ascii="宋体" w:hAnsi="宋体" w:eastAsia="宋体" w:cs="宋体"/>
          <w:color w:val="000000"/>
          <w:kern w:val="2"/>
          <w:sz w:val="24"/>
          <w:szCs w:val="24"/>
          <w:highlight w:val="none"/>
        </w:rPr>
        <w:t>；</w:t>
      </w:r>
    </w:p>
    <w:p>
      <w:pPr>
        <w:pageBreakBefore w:val="0"/>
        <w:widowControl/>
        <w:kinsoku/>
        <w:wordWrap/>
        <w:overflowPunct/>
        <w:topLinePunct w:val="0"/>
        <w:bidi w:val="0"/>
        <w:adjustRightInd w:val="0"/>
        <w:snapToGrid w:val="0"/>
        <w:spacing w:after="0" w:line="288" w:lineRule="auto"/>
        <w:ind w:left="103" w:leftChars="49"/>
        <w:jc w:val="left"/>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2</w:t>
      </w:r>
      <w:r>
        <w:rPr>
          <w:rFonts w:hint="eastAsia" w:ascii="宋体" w:hAnsi="宋体" w:eastAsia="宋体" w:cs="宋体"/>
          <w:color w:val="000000"/>
          <w:kern w:val="2"/>
          <w:sz w:val="24"/>
          <w:szCs w:val="24"/>
          <w:highlight w:val="none"/>
          <w:lang w:val="en-US" w:eastAsia="zh-CN"/>
        </w:rPr>
        <w:t>.</w:t>
      </w:r>
      <w:r>
        <w:rPr>
          <w:rFonts w:hint="eastAsia" w:ascii="宋体" w:hAnsi="宋体" w:eastAsia="宋体" w:cs="宋体"/>
          <w:color w:val="000000"/>
          <w:kern w:val="2"/>
          <w:sz w:val="24"/>
          <w:szCs w:val="24"/>
          <w:highlight w:val="none"/>
        </w:rPr>
        <w:t>项目采购方式：竞争性磋商；</w:t>
      </w:r>
    </w:p>
    <w:p>
      <w:pPr>
        <w:pageBreakBefore w:val="0"/>
        <w:widowControl/>
        <w:kinsoku/>
        <w:wordWrap/>
        <w:overflowPunct/>
        <w:topLinePunct w:val="0"/>
        <w:bidi w:val="0"/>
        <w:adjustRightInd w:val="0"/>
        <w:snapToGrid w:val="0"/>
        <w:spacing w:after="0" w:line="288" w:lineRule="auto"/>
        <w:ind w:left="105" w:leftChars="50"/>
        <w:jc w:val="left"/>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3</w:t>
      </w:r>
      <w:r>
        <w:rPr>
          <w:rFonts w:hint="eastAsia" w:ascii="宋体" w:hAnsi="宋体" w:eastAsia="宋体" w:cs="宋体"/>
          <w:color w:val="000000"/>
          <w:kern w:val="2"/>
          <w:sz w:val="24"/>
          <w:szCs w:val="24"/>
          <w:highlight w:val="none"/>
          <w:lang w:val="en-US" w:eastAsia="zh-CN"/>
        </w:rPr>
        <w:t>.</w:t>
      </w:r>
      <w:r>
        <w:rPr>
          <w:rFonts w:hint="eastAsia" w:ascii="宋体" w:hAnsi="宋体" w:eastAsia="宋体" w:cs="宋体"/>
          <w:color w:val="000000"/>
          <w:kern w:val="2"/>
          <w:sz w:val="24"/>
          <w:szCs w:val="24"/>
          <w:highlight w:val="none"/>
        </w:rPr>
        <w:t>采购内容：本项目共计1个包，采购</w:t>
      </w:r>
      <w:r>
        <w:rPr>
          <w:rFonts w:hint="eastAsia" w:ascii="宋体" w:hAnsi="宋体" w:eastAsia="宋体" w:cs="宋体"/>
          <w:color w:val="000000"/>
          <w:kern w:val="2"/>
          <w:sz w:val="24"/>
          <w:szCs w:val="24"/>
          <w:lang w:eastAsia="zh-CN"/>
        </w:rPr>
        <w:t>成都市龙泉驿区2021年义务植树基地建设</w:t>
      </w:r>
      <w:r>
        <w:rPr>
          <w:rFonts w:hint="eastAsia" w:ascii="宋体" w:hAnsi="宋体" w:eastAsia="宋体" w:cs="宋体"/>
          <w:color w:val="000000"/>
          <w:kern w:val="2"/>
          <w:sz w:val="24"/>
          <w:szCs w:val="24"/>
          <w:highlight w:val="none"/>
        </w:rPr>
        <w:t>；</w:t>
      </w:r>
    </w:p>
    <w:p>
      <w:pPr>
        <w:pageBreakBefore w:val="0"/>
        <w:widowControl/>
        <w:kinsoku/>
        <w:wordWrap/>
        <w:overflowPunct/>
        <w:topLinePunct w:val="0"/>
        <w:bidi w:val="0"/>
        <w:adjustRightInd w:val="0"/>
        <w:snapToGrid w:val="0"/>
        <w:spacing w:after="0" w:line="288" w:lineRule="auto"/>
        <w:ind w:left="105" w:leftChars="50"/>
        <w:jc w:val="left"/>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4</w:t>
      </w:r>
      <w:r>
        <w:rPr>
          <w:rFonts w:hint="eastAsia" w:ascii="宋体" w:hAnsi="宋体" w:eastAsia="宋体" w:cs="宋体"/>
          <w:color w:val="000000"/>
          <w:kern w:val="2"/>
          <w:sz w:val="24"/>
          <w:szCs w:val="24"/>
          <w:lang w:val="en-US" w:eastAsia="zh-CN"/>
        </w:rPr>
        <w:t>.</w:t>
      </w:r>
      <w:r>
        <w:rPr>
          <w:rFonts w:hint="eastAsia" w:ascii="宋体" w:hAnsi="宋体" w:eastAsia="宋体" w:cs="宋体"/>
          <w:color w:val="000000"/>
          <w:kern w:val="2"/>
          <w:sz w:val="24"/>
          <w:szCs w:val="24"/>
        </w:rPr>
        <w:t>资金来源：财政性资金，资金来源已落实；</w:t>
      </w:r>
    </w:p>
    <w:p>
      <w:pPr>
        <w:pageBreakBefore w:val="0"/>
        <w:widowControl/>
        <w:kinsoku/>
        <w:wordWrap/>
        <w:overflowPunct/>
        <w:topLinePunct w:val="0"/>
        <w:bidi w:val="0"/>
        <w:adjustRightInd w:val="0"/>
        <w:snapToGrid w:val="0"/>
        <w:spacing w:after="0" w:line="288" w:lineRule="auto"/>
        <w:ind w:left="105" w:leftChars="50"/>
        <w:jc w:val="left"/>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rPr>
        <w:t>5</w:t>
      </w:r>
      <w:r>
        <w:rPr>
          <w:rFonts w:hint="eastAsia" w:ascii="宋体" w:hAnsi="宋体" w:eastAsia="宋体" w:cs="宋体"/>
          <w:color w:val="000000"/>
          <w:kern w:val="2"/>
          <w:sz w:val="24"/>
          <w:szCs w:val="24"/>
          <w:lang w:val="en-US" w:eastAsia="zh-CN"/>
        </w:rPr>
        <w:t>.</w:t>
      </w:r>
      <w:r>
        <w:rPr>
          <w:rFonts w:hint="eastAsia" w:ascii="宋体" w:hAnsi="宋体" w:eastAsia="宋体" w:cs="宋体"/>
          <w:color w:val="000000"/>
          <w:kern w:val="2"/>
          <w:sz w:val="24"/>
          <w:szCs w:val="24"/>
        </w:rPr>
        <w:t>本项目预算</w:t>
      </w:r>
      <w:r>
        <w:rPr>
          <w:rFonts w:hint="eastAsia" w:ascii="宋体" w:hAnsi="宋体" w:eastAsia="宋体" w:cs="宋体"/>
          <w:color w:val="000000"/>
          <w:kern w:val="2"/>
          <w:sz w:val="24"/>
          <w:szCs w:val="24"/>
          <w:u w:val="single"/>
          <w:lang w:val="en-US" w:eastAsia="zh-CN"/>
        </w:rPr>
        <w:t>128.19</w:t>
      </w:r>
      <w:r>
        <w:rPr>
          <w:rFonts w:hint="eastAsia" w:ascii="宋体" w:hAnsi="宋体" w:eastAsia="宋体" w:cs="宋体"/>
          <w:color w:val="000000"/>
          <w:kern w:val="2"/>
          <w:sz w:val="24"/>
          <w:szCs w:val="24"/>
        </w:rPr>
        <w:t>万元</w:t>
      </w:r>
      <w:r>
        <w:rPr>
          <w:rFonts w:hint="eastAsia" w:ascii="宋体" w:hAnsi="宋体" w:eastAsia="宋体" w:cs="宋体"/>
          <w:color w:val="000000"/>
          <w:kern w:val="2"/>
          <w:sz w:val="24"/>
          <w:szCs w:val="24"/>
          <w:lang w:val="en-US" w:eastAsia="zh-CN"/>
        </w:rPr>
        <w:t>。</w:t>
      </w:r>
    </w:p>
    <w:p>
      <w:pPr>
        <w:pStyle w:val="2"/>
        <w:rPr>
          <w:rFonts w:hint="eastAsia" w:ascii="宋体" w:hAnsi="宋体" w:eastAsia="宋体" w:cs="宋体"/>
          <w:b/>
          <w:bCs/>
          <w:color w:val="000000"/>
          <w:kern w:val="2"/>
          <w:sz w:val="24"/>
          <w:szCs w:val="24"/>
          <w:lang w:val="en-US" w:eastAsia="zh-CN"/>
        </w:rPr>
      </w:pPr>
      <w:r>
        <w:rPr>
          <w:rFonts w:hint="eastAsia" w:ascii="宋体" w:hAnsi="宋体" w:eastAsia="宋体" w:cs="宋体"/>
          <w:b/>
          <w:bCs/>
          <w:color w:val="000000"/>
          <w:kern w:val="2"/>
          <w:sz w:val="24"/>
          <w:szCs w:val="24"/>
          <w:lang w:val="en-US" w:eastAsia="zh-CN"/>
        </w:rPr>
        <w:t>二、建设内容及规模</w:t>
      </w:r>
    </w:p>
    <w:p>
      <w:pPr>
        <w:bidi w:val="0"/>
        <w:spacing w:line="360" w:lineRule="auto"/>
        <w:ind w:firstLine="480" w:firstLineChars="200"/>
        <w:rPr>
          <w:rFonts w:hint="default"/>
          <w:lang w:val="en-US" w:eastAsia="zh-CN"/>
        </w:rPr>
      </w:pPr>
      <w:r>
        <w:rPr>
          <w:rFonts w:hint="eastAsia" w:ascii="宋体" w:hAnsi="宋体" w:eastAsia="宋体" w:cs="宋体"/>
          <w:color w:val="000000"/>
          <w:kern w:val="2"/>
          <w:sz w:val="24"/>
          <w:szCs w:val="24"/>
          <w:lang w:val="en-US" w:eastAsia="zh-CN"/>
        </w:rPr>
        <w:t>成都市龙泉驿区2021年义务植树基地建设项目涉及一个镇，一个村，项目建设栽植桂花3646株，栽植线型小班66个。主要对2020年度四川省直机关、高校、企业、金融机构龙泉山城市森林公园“包山头”履责植树活动项目—启动仪式区600亩区域进行造林更新，达到增绿增景效果，主要设计树种为桂花。</w:t>
      </w:r>
    </w:p>
    <w:p>
      <w:pPr>
        <w:widowControl w:val="0"/>
        <w:numPr>
          <w:ilvl w:val="0"/>
          <w:numId w:val="0"/>
        </w:numPr>
        <w:spacing w:after="120"/>
        <w:jc w:val="both"/>
        <w:rPr>
          <w:rFonts w:hint="default"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三、项目区基本情况</w:t>
      </w:r>
    </w:p>
    <w:p>
      <w:pPr>
        <w:widowControl/>
        <w:adjustRightInd w:val="0"/>
        <w:snapToGrid w:val="0"/>
        <w:spacing w:after="0" w:afterLines="50" w:line="288" w:lineRule="auto"/>
        <w:jc w:val="left"/>
        <w:rPr>
          <w:rFonts w:hint="default" w:ascii="宋体" w:hAnsi="宋体" w:eastAsia="宋体" w:cs="宋体"/>
          <w:b/>
          <w:kern w:val="2"/>
          <w:sz w:val="24"/>
          <w:szCs w:val="24"/>
          <w:lang w:val="en-US" w:eastAsia="zh-CN"/>
        </w:rPr>
      </w:pPr>
      <w:bookmarkStart w:id="0" w:name="_Toc22650"/>
      <w:bookmarkStart w:id="1" w:name="_Toc13002"/>
      <w:bookmarkStart w:id="2" w:name="_Toc8615"/>
      <w:bookmarkStart w:id="3" w:name="_Toc26968904"/>
      <w:bookmarkStart w:id="4" w:name="_Toc19840_WPSOffice_Level3"/>
      <w:bookmarkStart w:id="5" w:name="_Toc9552"/>
      <w:r>
        <w:rPr>
          <w:rFonts w:hint="eastAsia" w:ascii="宋体" w:hAnsi="宋体" w:eastAsia="宋体" w:cs="宋体"/>
          <w:b/>
          <w:kern w:val="2"/>
          <w:sz w:val="24"/>
          <w:szCs w:val="24"/>
          <w:lang w:val="en-US" w:eastAsia="zh-CN"/>
        </w:rPr>
        <w:t>1.</w:t>
      </w:r>
      <w:r>
        <w:rPr>
          <w:rFonts w:hint="eastAsia" w:ascii="宋体" w:hAnsi="宋体" w:eastAsia="宋体" w:cs="宋体"/>
          <w:b/>
          <w:kern w:val="2"/>
          <w:sz w:val="24"/>
          <w:szCs w:val="24"/>
        </w:rPr>
        <w:t>地理位置</w:t>
      </w:r>
      <w:bookmarkEnd w:id="0"/>
      <w:bookmarkEnd w:id="1"/>
      <w:bookmarkEnd w:id="2"/>
      <w:bookmarkEnd w:id="3"/>
      <w:bookmarkEnd w:id="4"/>
      <w:bookmarkEnd w:id="5"/>
      <w:r>
        <w:rPr>
          <w:rFonts w:hint="eastAsia" w:ascii="宋体" w:hAnsi="宋体" w:eastAsia="宋体" w:cs="宋体"/>
          <w:b/>
          <w:kern w:val="2"/>
          <w:sz w:val="24"/>
          <w:szCs w:val="24"/>
          <w:lang w:val="en-US" w:eastAsia="zh-CN"/>
        </w:rPr>
        <w:t>与地形地貌</w:t>
      </w:r>
    </w:p>
    <w:p>
      <w:pPr>
        <w:pageBreakBefore w:val="0"/>
        <w:widowControl/>
        <w:kinsoku/>
        <w:wordWrap/>
        <w:overflowPunct/>
        <w:topLinePunct w:val="0"/>
        <w:bidi w:val="0"/>
        <w:adjustRightInd w:val="0"/>
        <w:snapToGrid w:val="0"/>
        <w:spacing w:after="0" w:line="288" w:lineRule="auto"/>
        <w:ind w:left="105" w:leftChars="50" w:firstLine="480" w:firstLineChars="200"/>
        <w:jc w:val="left"/>
        <w:textAlignment w:val="auto"/>
        <w:rPr>
          <w:rFonts w:hint="eastAsia" w:ascii="宋体" w:hAnsi="宋体" w:eastAsia="宋体" w:cs="宋体"/>
          <w:color w:val="000000"/>
          <w:kern w:val="2"/>
          <w:sz w:val="24"/>
          <w:szCs w:val="24"/>
          <w:highlight w:val="none"/>
          <w:lang w:val="en-US" w:eastAsia="zh-CN"/>
        </w:rPr>
      </w:pPr>
      <w:bookmarkStart w:id="6" w:name="_Toc1402_WPSOffice_Level3"/>
      <w:bookmarkStart w:id="7" w:name="_Toc14047"/>
      <w:bookmarkStart w:id="8" w:name="_Toc26968905"/>
      <w:bookmarkStart w:id="9" w:name="_Toc26103"/>
      <w:bookmarkStart w:id="10" w:name="_Toc27498"/>
      <w:bookmarkStart w:id="11" w:name="_Toc6932"/>
      <w:r>
        <w:rPr>
          <w:rFonts w:hint="eastAsia" w:ascii="宋体" w:hAnsi="宋体" w:eastAsia="宋体" w:cs="宋体"/>
          <w:color w:val="000000"/>
          <w:kern w:val="2"/>
          <w:sz w:val="24"/>
          <w:szCs w:val="24"/>
          <w:highlight w:val="none"/>
          <w:lang w:val="en-US" w:eastAsia="zh-CN"/>
        </w:rPr>
        <w:t>龙泉驿区，隶属于</w:t>
      </w:r>
      <w:r>
        <w:rPr>
          <w:rFonts w:hint="eastAsia" w:ascii="宋体" w:hAnsi="宋体" w:eastAsia="宋体" w:cs="宋体"/>
          <w:color w:val="000000"/>
          <w:kern w:val="2"/>
          <w:sz w:val="24"/>
          <w:szCs w:val="24"/>
          <w:highlight w:val="none"/>
          <w:lang w:val="en-US" w:eastAsia="zh-CN"/>
        </w:rPr>
        <w:fldChar w:fldCharType="begin"/>
      </w:r>
      <w:r>
        <w:rPr>
          <w:rFonts w:hint="eastAsia" w:ascii="宋体" w:hAnsi="宋体" w:eastAsia="宋体" w:cs="宋体"/>
          <w:color w:val="000000"/>
          <w:kern w:val="2"/>
          <w:sz w:val="24"/>
          <w:szCs w:val="24"/>
          <w:highlight w:val="none"/>
          <w:lang w:val="en-US" w:eastAsia="zh-CN"/>
        </w:rPr>
        <w:instrText xml:space="preserve"> HYPERLINK "https://baike.baidu.com/item/%E5%9B%9B%E5%B7%9D%E7%9C%81/15626925" \t "https://baike.baidu.com/item/%E9%BE%99%E6%B3%89%E9%A9%BF%E5%8C%BA/_blank" </w:instrText>
      </w:r>
      <w:r>
        <w:rPr>
          <w:rFonts w:hint="eastAsia" w:ascii="宋体" w:hAnsi="宋体" w:eastAsia="宋体" w:cs="宋体"/>
          <w:color w:val="000000"/>
          <w:kern w:val="2"/>
          <w:sz w:val="24"/>
          <w:szCs w:val="24"/>
          <w:highlight w:val="none"/>
          <w:lang w:val="en-US" w:eastAsia="zh-CN"/>
        </w:rPr>
        <w:fldChar w:fldCharType="separate"/>
      </w:r>
      <w:r>
        <w:rPr>
          <w:rFonts w:hint="eastAsia" w:ascii="宋体" w:hAnsi="宋体" w:eastAsia="宋体" w:cs="宋体"/>
          <w:color w:val="000000"/>
          <w:kern w:val="2"/>
          <w:sz w:val="24"/>
          <w:szCs w:val="24"/>
          <w:highlight w:val="none"/>
          <w:lang w:val="en-US" w:eastAsia="zh-CN"/>
        </w:rPr>
        <w:t>四川省</w:t>
      </w:r>
      <w:r>
        <w:rPr>
          <w:rFonts w:hint="eastAsia" w:ascii="宋体" w:hAnsi="宋体" w:eastAsia="宋体" w:cs="宋体"/>
          <w:color w:val="000000"/>
          <w:kern w:val="2"/>
          <w:sz w:val="24"/>
          <w:szCs w:val="24"/>
          <w:highlight w:val="none"/>
          <w:lang w:val="en-US" w:eastAsia="zh-CN"/>
        </w:rPr>
        <w:fldChar w:fldCharType="end"/>
      </w:r>
      <w:r>
        <w:rPr>
          <w:rFonts w:hint="eastAsia" w:ascii="宋体" w:hAnsi="宋体" w:eastAsia="宋体" w:cs="宋体"/>
          <w:color w:val="000000"/>
          <w:kern w:val="2"/>
          <w:sz w:val="24"/>
          <w:szCs w:val="24"/>
          <w:highlight w:val="none"/>
          <w:lang w:val="en-US" w:eastAsia="zh-CN"/>
        </w:rPr>
        <w:fldChar w:fldCharType="begin"/>
      </w:r>
      <w:r>
        <w:rPr>
          <w:rFonts w:hint="eastAsia" w:ascii="宋体" w:hAnsi="宋体" w:eastAsia="宋体" w:cs="宋体"/>
          <w:color w:val="000000"/>
          <w:kern w:val="2"/>
          <w:sz w:val="24"/>
          <w:szCs w:val="24"/>
          <w:highlight w:val="none"/>
          <w:lang w:val="en-US" w:eastAsia="zh-CN"/>
        </w:rPr>
        <w:instrText xml:space="preserve"> HYPERLINK "https://baike.baidu.com/item/%E6%88%90%E9%83%BD%E5%B8%82/5020801" \t "https://baike.baidu.com/item/%E9%BE%99%E6%B3%89%E9%A9%BF%E5%8C%BA/_blank" </w:instrText>
      </w:r>
      <w:r>
        <w:rPr>
          <w:rFonts w:hint="eastAsia" w:ascii="宋体" w:hAnsi="宋体" w:eastAsia="宋体" w:cs="宋体"/>
          <w:color w:val="000000"/>
          <w:kern w:val="2"/>
          <w:sz w:val="24"/>
          <w:szCs w:val="24"/>
          <w:highlight w:val="none"/>
          <w:lang w:val="en-US" w:eastAsia="zh-CN"/>
        </w:rPr>
        <w:fldChar w:fldCharType="separate"/>
      </w:r>
      <w:r>
        <w:rPr>
          <w:rFonts w:hint="eastAsia" w:ascii="宋体" w:hAnsi="宋体" w:eastAsia="宋体" w:cs="宋体"/>
          <w:color w:val="000000"/>
          <w:kern w:val="2"/>
          <w:sz w:val="24"/>
          <w:szCs w:val="24"/>
          <w:highlight w:val="none"/>
          <w:lang w:val="en-US" w:eastAsia="zh-CN"/>
        </w:rPr>
        <w:t>成都市</w:t>
      </w:r>
      <w:r>
        <w:rPr>
          <w:rFonts w:hint="eastAsia" w:ascii="宋体" w:hAnsi="宋体" w:eastAsia="宋体" w:cs="宋体"/>
          <w:color w:val="000000"/>
          <w:kern w:val="2"/>
          <w:sz w:val="24"/>
          <w:szCs w:val="24"/>
          <w:highlight w:val="none"/>
          <w:lang w:val="en-US" w:eastAsia="zh-CN"/>
        </w:rPr>
        <w:fldChar w:fldCharType="end"/>
      </w:r>
      <w:r>
        <w:rPr>
          <w:rFonts w:hint="eastAsia" w:ascii="宋体" w:hAnsi="宋体" w:eastAsia="宋体" w:cs="宋体"/>
          <w:color w:val="000000"/>
          <w:kern w:val="2"/>
          <w:sz w:val="24"/>
          <w:szCs w:val="24"/>
          <w:highlight w:val="none"/>
          <w:lang w:val="en-US" w:eastAsia="zh-CN"/>
        </w:rPr>
        <w:t>，是成都市11个市辖区之一，位于成都市东，西与</w:t>
      </w:r>
      <w:r>
        <w:rPr>
          <w:rFonts w:hint="eastAsia" w:ascii="宋体" w:hAnsi="宋体" w:eastAsia="宋体" w:cs="宋体"/>
          <w:color w:val="000000"/>
          <w:kern w:val="2"/>
          <w:sz w:val="24"/>
          <w:szCs w:val="24"/>
          <w:highlight w:val="none"/>
          <w:lang w:val="en-US" w:eastAsia="zh-CN"/>
        </w:rPr>
        <w:fldChar w:fldCharType="begin"/>
      </w:r>
      <w:r>
        <w:rPr>
          <w:rFonts w:hint="eastAsia" w:ascii="宋体" w:hAnsi="宋体" w:eastAsia="宋体" w:cs="宋体"/>
          <w:color w:val="000000"/>
          <w:kern w:val="2"/>
          <w:sz w:val="24"/>
          <w:szCs w:val="24"/>
          <w:highlight w:val="none"/>
          <w:lang w:val="en-US" w:eastAsia="zh-CN"/>
        </w:rPr>
        <w:instrText xml:space="preserve"> HYPERLINK "https://baike.baidu.com/item/%E9%94%A6%E6%B1%9F%E5%8C%BA/8745320" \t "https://baike.baidu.com/item/%E9%BE%99%E6%B3%89%E9%A9%BF%E5%8C%BA/_blank" </w:instrText>
      </w:r>
      <w:r>
        <w:rPr>
          <w:rFonts w:hint="eastAsia" w:ascii="宋体" w:hAnsi="宋体" w:eastAsia="宋体" w:cs="宋体"/>
          <w:color w:val="000000"/>
          <w:kern w:val="2"/>
          <w:sz w:val="24"/>
          <w:szCs w:val="24"/>
          <w:highlight w:val="none"/>
          <w:lang w:val="en-US" w:eastAsia="zh-CN"/>
        </w:rPr>
        <w:fldChar w:fldCharType="separate"/>
      </w:r>
      <w:r>
        <w:rPr>
          <w:rFonts w:hint="eastAsia" w:ascii="宋体" w:hAnsi="宋体" w:eastAsia="宋体" w:cs="宋体"/>
          <w:color w:val="000000"/>
          <w:kern w:val="2"/>
          <w:sz w:val="24"/>
          <w:szCs w:val="24"/>
          <w:highlight w:val="none"/>
          <w:lang w:val="en-US" w:eastAsia="zh-CN"/>
        </w:rPr>
        <w:t>锦江区</w:t>
      </w:r>
      <w:r>
        <w:rPr>
          <w:rFonts w:hint="eastAsia" w:ascii="宋体" w:hAnsi="宋体" w:eastAsia="宋体" w:cs="宋体"/>
          <w:color w:val="000000"/>
          <w:kern w:val="2"/>
          <w:sz w:val="24"/>
          <w:szCs w:val="24"/>
          <w:highlight w:val="none"/>
          <w:lang w:val="en-US" w:eastAsia="zh-CN"/>
        </w:rPr>
        <w:fldChar w:fldCharType="end"/>
      </w:r>
      <w:r>
        <w:rPr>
          <w:rFonts w:hint="eastAsia" w:ascii="宋体" w:hAnsi="宋体" w:eastAsia="宋体" w:cs="宋体"/>
          <w:color w:val="000000"/>
          <w:kern w:val="2"/>
          <w:sz w:val="24"/>
          <w:szCs w:val="24"/>
          <w:highlight w:val="none"/>
          <w:lang w:val="en-US" w:eastAsia="zh-CN"/>
        </w:rPr>
        <w:t>接壤，西南与双流区（</w:t>
      </w:r>
      <w:r>
        <w:rPr>
          <w:rFonts w:hint="eastAsia" w:ascii="宋体" w:hAnsi="宋体" w:eastAsia="宋体" w:cs="宋体"/>
          <w:color w:val="000000"/>
          <w:kern w:val="2"/>
          <w:sz w:val="24"/>
          <w:szCs w:val="24"/>
          <w:highlight w:val="none"/>
          <w:lang w:val="en-US" w:eastAsia="zh-CN"/>
        </w:rPr>
        <w:fldChar w:fldCharType="begin"/>
      </w:r>
      <w:r>
        <w:rPr>
          <w:rFonts w:hint="eastAsia" w:ascii="宋体" w:hAnsi="宋体" w:eastAsia="宋体" w:cs="宋体"/>
          <w:color w:val="000000"/>
          <w:kern w:val="2"/>
          <w:sz w:val="24"/>
          <w:szCs w:val="24"/>
          <w:highlight w:val="none"/>
          <w:lang w:val="en-US" w:eastAsia="zh-CN"/>
        </w:rPr>
        <w:instrText xml:space="preserve"> HYPERLINK "https://baike.baidu.com/item/%E5%A4%A9%E5%BA%9C%E6%96%B0%E5%8C%BA%E6%88%90%E9%83%BD%E7%9B%B4%E7%AE%A1%E5%8C%BA/17801301" \t "https://baike.baidu.com/item/%E9%BE%99%E6%B3%89%E9%A9%BF%E5%8C%BA/_blank" </w:instrText>
      </w:r>
      <w:r>
        <w:rPr>
          <w:rFonts w:hint="eastAsia" w:ascii="宋体" w:hAnsi="宋体" w:eastAsia="宋体" w:cs="宋体"/>
          <w:color w:val="000000"/>
          <w:kern w:val="2"/>
          <w:sz w:val="24"/>
          <w:szCs w:val="24"/>
          <w:highlight w:val="none"/>
          <w:lang w:val="en-US" w:eastAsia="zh-CN"/>
        </w:rPr>
        <w:fldChar w:fldCharType="separate"/>
      </w:r>
      <w:r>
        <w:rPr>
          <w:rFonts w:hint="eastAsia" w:ascii="宋体" w:hAnsi="宋体" w:eastAsia="宋体" w:cs="宋体"/>
          <w:color w:val="000000"/>
          <w:kern w:val="2"/>
          <w:sz w:val="24"/>
          <w:szCs w:val="24"/>
          <w:highlight w:val="none"/>
          <w:lang w:val="en-US" w:eastAsia="zh-CN"/>
        </w:rPr>
        <w:t>天府新区成都直管区</w:t>
      </w:r>
      <w:r>
        <w:rPr>
          <w:rFonts w:hint="eastAsia" w:ascii="宋体" w:hAnsi="宋体" w:eastAsia="宋体" w:cs="宋体"/>
          <w:color w:val="000000"/>
          <w:kern w:val="2"/>
          <w:sz w:val="24"/>
          <w:szCs w:val="24"/>
          <w:highlight w:val="none"/>
          <w:lang w:val="en-US" w:eastAsia="zh-CN"/>
        </w:rPr>
        <w:fldChar w:fldCharType="end"/>
      </w:r>
      <w:r>
        <w:rPr>
          <w:rFonts w:hint="eastAsia" w:ascii="宋体" w:hAnsi="宋体" w:eastAsia="宋体" w:cs="宋体"/>
          <w:color w:val="000000"/>
          <w:kern w:val="2"/>
          <w:sz w:val="24"/>
          <w:szCs w:val="24"/>
          <w:highlight w:val="none"/>
          <w:lang w:val="en-US" w:eastAsia="zh-CN"/>
        </w:rPr>
        <w:t>）毗邻，北界</w:t>
      </w:r>
      <w:r>
        <w:rPr>
          <w:rFonts w:hint="eastAsia" w:ascii="宋体" w:hAnsi="宋体" w:eastAsia="宋体" w:cs="宋体"/>
          <w:color w:val="000000"/>
          <w:kern w:val="2"/>
          <w:sz w:val="24"/>
          <w:szCs w:val="24"/>
          <w:highlight w:val="none"/>
          <w:lang w:val="en-US" w:eastAsia="zh-CN"/>
        </w:rPr>
        <w:fldChar w:fldCharType="begin"/>
      </w:r>
      <w:r>
        <w:rPr>
          <w:rFonts w:hint="eastAsia" w:ascii="宋体" w:hAnsi="宋体" w:eastAsia="宋体" w:cs="宋体"/>
          <w:color w:val="000000"/>
          <w:kern w:val="2"/>
          <w:sz w:val="24"/>
          <w:szCs w:val="24"/>
          <w:highlight w:val="none"/>
          <w:lang w:val="en-US" w:eastAsia="zh-CN"/>
        </w:rPr>
        <w:instrText xml:space="preserve"> HYPERLINK "https://baike.baidu.com/item/%E6%96%B0%E9%83%BD%E5%8C%BA/5274260" \t "https://baike.baidu.com/item/%E9%BE%99%E6%B3%89%E9%A9%BF%E5%8C%BA/_blank" </w:instrText>
      </w:r>
      <w:r>
        <w:rPr>
          <w:rFonts w:hint="eastAsia" w:ascii="宋体" w:hAnsi="宋体" w:eastAsia="宋体" w:cs="宋体"/>
          <w:color w:val="000000"/>
          <w:kern w:val="2"/>
          <w:sz w:val="24"/>
          <w:szCs w:val="24"/>
          <w:highlight w:val="none"/>
          <w:lang w:val="en-US" w:eastAsia="zh-CN"/>
        </w:rPr>
        <w:fldChar w:fldCharType="separate"/>
      </w:r>
      <w:r>
        <w:rPr>
          <w:rFonts w:hint="eastAsia" w:ascii="宋体" w:hAnsi="宋体" w:eastAsia="宋体" w:cs="宋体"/>
          <w:color w:val="000000"/>
          <w:kern w:val="2"/>
          <w:sz w:val="24"/>
          <w:szCs w:val="24"/>
          <w:highlight w:val="none"/>
          <w:lang w:val="en-US" w:eastAsia="zh-CN"/>
        </w:rPr>
        <w:t>新都区</w:t>
      </w:r>
      <w:r>
        <w:rPr>
          <w:rFonts w:hint="eastAsia" w:ascii="宋体" w:hAnsi="宋体" w:eastAsia="宋体" w:cs="宋体"/>
          <w:color w:val="000000"/>
          <w:kern w:val="2"/>
          <w:sz w:val="24"/>
          <w:szCs w:val="24"/>
          <w:highlight w:val="none"/>
          <w:lang w:val="en-US" w:eastAsia="zh-CN"/>
        </w:rPr>
        <w:fldChar w:fldCharType="end"/>
      </w:r>
      <w:r>
        <w:rPr>
          <w:rFonts w:hint="eastAsia" w:ascii="宋体" w:hAnsi="宋体" w:eastAsia="宋体" w:cs="宋体"/>
          <w:color w:val="000000"/>
          <w:kern w:val="2"/>
          <w:sz w:val="24"/>
          <w:szCs w:val="24"/>
          <w:highlight w:val="none"/>
          <w:lang w:val="en-US" w:eastAsia="zh-CN"/>
        </w:rPr>
        <w:t>，西北界</w:t>
      </w:r>
      <w:r>
        <w:rPr>
          <w:rFonts w:hint="eastAsia" w:ascii="宋体" w:hAnsi="宋体" w:eastAsia="宋体" w:cs="宋体"/>
          <w:color w:val="000000"/>
          <w:kern w:val="2"/>
          <w:sz w:val="24"/>
          <w:szCs w:val="24"/>
          <w:highlight w:val="none"/>
          <w:lang w:val="en-US" w:eastAsia="zh-CN"/>
        </w:rPr>
        <w:fldChar w:fldCharType="begin"/>
      </w:r>
      <w:r>
        <w:rPr>
          <w:rFonts w:hint="eastAsia" w:ascii="宋体" w:hAnsi="宋体" w:eastAsia="宋体" w:cs="宋体"/>
          <w:color w:val="000000"/>
          <w:kern w:val="2"/>
          <w:sz w:val="24"/>
          <w:szCs w:val="24"/>
          <w:highlight w:val="none"/>
          <w:lang w:val="en-US" w:eastAsia="zh-CN"/>
        </w:rPr>
        <w:instrText xml:space="preserve"> HYPERLINK "https://baike.baidu.com/item/%E6%88%90%E5%8D%8E%E5%8C%BA/8745524" \t "https://baike.baidu.com/item/%E9%BE%99%E6%B3%89%E9%A9%BF%E5%8C%BA/_blank" </w:instrText>
      </w:r>
      <w:r>
        <w:rPr>
          <w:rFonts w:hint="eastAsia" w:ascii="宋体" w:hAnsi="宋体" w:eastAsia="宋体" w:cs="宋体"/>
          <w:color w:val="000000"/>
          <w:kern w:val="2"/>
          <w:sz w:val="24"/>
          <w:szCs w:val="24"/>
          <w:highlight w:val="none"/>
          <w:lang w:val="en-US" w:eastAsia="zh-CN"/>
        </w:rPr>
        <w:fldChar w:fldCharType="separate"/>
      </w:r>
      <w:r>
        <w:rPr>
          <w:rFonts w:hint="eastAsia" w:ascii="宋体" w:hAnsi="宋体" w:eastAsia="宋体" w:cs="宋体"/>
          <w:color w:val="000000"/>
          <w:kern w:val="2"/>
          <w:sz w:val="24"/>
          <w:szCs w:val="24"/>
          <w:highlight w:val="none"/>
          <w:lang w:val="en-US" w:eastAsia="zh-CN"/>
        </w:rPr>
        <w:t>成华区</w:t>
      </w:r>
      <w:r>
        <w:rPr>
          <w:rFonts w:hint="eastAsia" w:ascii="宋体" w:hAnsi="宋体" w:eastAsia="宋体" w:cs="宋体"/>
          <w:color w:val="000000"/>
          <w:kern w:val="2"/>
          <w:sz w:val="24"/>
          <w:szCs w:val="24"/>
          <w:highlight w:val="none"/>
          <w:lang w:val="en-US" w:eastAsia="zh-CN"/>
        </w:rPr>
        <w:fldChar w:fldCharType="end"/>
      </w:r>
      <w:r>
        <w:rPr>
          <w:rFonts w:hint="eastAsia" w:ascii="宋体" w:hAnsi="宋体" w:eastAsia="宋体" w:cs="宋体"/>
          <w:color w:val="000000"/>
          <w:kern w:val="2"/>
          <w:sz w:val="24"/>
          <w:szCs w:val="24"/>
          <w:highlight w:val="none"/>
          <w:lang w:val="en-US" w:eastAsia="zh-CN"/>
        </w:rPr>
        <w:t>，东与</w:t>
      </w:r>
      <w:r>
        <w:rPr>
          <w:rFonts w:hint="eastAsia" w:ascii="宋体" w:hAnsi="宋体" w:eastAsia="宋体" w:cs="宋体"/>
          <w:color w:val="000000"/>
          <w:kern w:val="2"/>
          <w:sz w:val="24"/>
          <w:szCs w:val="24"/>
          <w:highlight w:val="none"/>
          <w:lang w:val="en-US" w:eastAsia="zh-CN"/>
        </w:rPr>
        <w:fldChar w:fldCharType="begin"/>
      </w:r>
      <w:r>
        <w:rPr>
          <w:rFonts w:hint="eastAsia" w:ascii="宋体" w:hAnsi="宋体" w:eastAsia="宋体" w:cs="宋体"/>
          <w:color w:val="000000"/>
          <w:kern w:val="2"/>
          <w:sz w:val="24"/>
          <w:szCs w:val="24"/>
          <w:highlight w:val="none"/>
          <w:lang w:val="en-US" w:eastAsia="zh-CN"/>
        </w:rPr>
        <w:instrText xml:space="preserve"> HYPERLINK "https://baike.baidu.com/item/%E9%9D%92%E7%99%BD%E6%B1%9F%E5%8C%BA/8745575" \t "https://baike.baidu.com/item/%E9%BE%99%E6%B3%89%E9%A9%BF%E5%8C%BA/_blank" </w:instrText>
      </w:r>
      <w:r>
        <w:rPr>
          <w:rFonts w:hint="eastAsia" w:ascii="宋体" w:hAnsi="宋体" w:eastAsia="宋体" w:cs="宋体"/>
          <w:color w:val="000000"/>
          <w:kern w:val="2"/>
          <w:sz w:val="24"/>
          <w:szCs w:val="24"/>
          <w:highlight w:val="none"/>
          <w:lang w:val="en-US" w:eastAsia="zh-CN"/>
        </w:rPr>
        <w:fldChar w:fldCharType="separate"/>
      </w:r>
      <w:r>
        <w:rPr>
          <w:rFonts w:hint="eastAsia" w:ascii="宋体" w:hAnsi="宋体" w:eastAsia="宋体" w:cs="宋体"/>
          <w:color w:val="000000"/>
          <w:kern w:val="2"/>
          <w:sz w:val="24"/>
          <w:szCs w:val="24"/>
          <w:highlight w:val="none"/>
          <w:lang w:val="en-US" w:eastAsia="zh-CN"/>
        </w:rPr>
        <w:t>龙泉驿区</w:t>
      </w:r>
      <w:r>
        <w:rPr>
          <w:rFonts w:hint="eastAsia" w:ascii="宋体" w:hAnsi="宋体" w:eastAsia="宋体" w:cs="宋体"/>
          <w:color w:val="000000"/>
          <w:kern w:val="2"/>
          <w:sz w:val="24"/>
          <w:szCs w:val="24"/>
          <w:highlight w:val="none"/>
          <w:lang w:val="en-US" w:eastAsia="zh-CN"/>
        </w:rPr>
        <w:fldChar w:fldCharType="end"/>
      </w:r>
      <w:r>
        <w:rPr>
          <w:rFonts w:hint="eastAsia" w:ascii="宋体" w:hAnsi="宋体" w:eastAsia="宋体" w:cs="宋体"/>
          <w:color w:val="000000"/>
          <w:kern w:val="2"/>
          <w:sz w:val="24"/>
          <w:szCs w:val="24"/>
          <w:highlight w:val="none"/>
          <w:lang w:val="en-US" w:eastAsia="zh-CN"/>
        </w:rPr>
        <w:t>、</w:t>
      </w:r>
      <w:r>
        <w:rPr>
          <w:rFonts w:hint="eastAsia" w:ascii="宋体" w:hAnsi="宋体" w:eastAsia="宋体" w:cs="宋体"/>
          <w:color w:val="000000"/>
          <w:kern w:val="2"/>
          <w:sz w:val="24"/>
          <w:szCs w:val="24"/>
          <w:highlight w:val="none"/>
          <w:lang w:val="en-US" w:eastAsia="zh-CN"/>
        </w:rPr>
        <w:fldChar w:fldCharType="begin"/>
      </w:r>
      <w:r>
        <w:rPr>
          <w:rFonts w:hint="eastAsia" w:ascii="宋体" w:hAnsi="宋体" w:eastAsia="宋体" w:cs="宋体"/>
          <w:color w:val="000000"/>
          <w:kern w:val="2"/>
          <w:sz w:val="24"/>
          <w:szCs w:val="24"/>
          <w:highlight w:val="none"/>
          <w:lang w:val="en-US" w:eastAsia="zh-CN"/>
        </w:rPr>
        <w:instrText xml:space="preserve"> HYPERLINK "https://baike.baidu.com/item/%E9%87%91%E5%A0%82%E5%8E%BF/3821020" \t "https://baike.baidu.com/item/%E9%BE%99%E6%B3%89%E9%A9%BF%E5%8C%BA/_blank" </w:instrText>
      </w:r>
      <w:r>
        <w:rPr>
          <w:rFonts w:hint="eastAsia" w:ascii="宋体" w:hAnsi="宋体" w:eastAsia="宋体" w:cs="宋体"/>
          <w:color w:val="000000"/>
          <w:kern w:val="2"/>
          <w:sz w:val="24"/>
          <w:szCs w:val="24"/>
          <w:highlight w:val="none"/>
          <w:lang w:val="en-US" w:eastAsia="zh-CN"/>
        </w:rPr>
        <w:fldChar w:fldCharType="separate"/>
      </w:r>
      <w:r>
        <w:rPr>
          <w:rFonts w:hint="eastAsia" w:ascii="宋体" w:hAnsi="宋体" w:eastAsia="宋体" w:cs="宋体"/>
          <w:color w:val="000000"/>
          <w:kern w:val="2"/>
          <w:sz w:val="24"/>
          <w:szCs w:val="24"/>
          <w:highlight w:val="none"/>
          <w:lang w:val="en-US" w:eastAsia="zh-CN"/>
        </w:rPr>
        <w:t>金堂县</w:t>
      </w:r>
      <w:r>
        <w:rPr>
          <w:rFonts w:hint="eastAsia" w:ascii="宋体" w:hAnsi="宋体" w:eastAsia="宋体" w:cs="宋体"/>
          <w:color w:val="000000"/>
          <w:kern w:val="2"/>
          <w:sz w:val="24"/>
          <w:szCs w:val="24"/>
          <w:highlight w:val="none"/>
          <w:lang w:val="en-US" w:eastAsia="zh-CN"/>
        </w:rPr>
        <w:fldChar w:fldCharType="end"/>
      </w:r>
      <w:r>
        <w:rPr>
          <w:rFonts w:hint="eastAsia" w:ascii="宋体" w:hAnsi="宋体" w:eastAsia="宋体" w:cs="宋体"/>
          <w:color w:val="000000"/>
          <w:kern w:val="2"/>
          <w:sz w:val="24"/>
          <w:szCs w:val="24"/>
          <w:highlight w:val="none"/>
          <w:lang w:val="en-US" w:eastAsia="zh-CN"/>
        </w:rPr>
        <w:t>、</w:t>
      </w:r>
      <w:r>
        <w:rPr>
          <w:rFonts w:hint="eastAsia" w:ascii="宋体" w:hAnsi="宋体" w:eastAsia="宋体" w:cs="宋体"/>
          <w:color w:val="000000"/>
          <w:kern w:val="2"/>
          <w:sz w:val="24"/>
          <w:szCs w:val="24"/>
          <w:highlight w:val="none"/>
          <w:lang w:val="en-US" w:eastAsia="zh-CN"/>
        </w:rPr>
        <w:fldChar w:fldCharType="begin"/>
      </w:r>
      <w:r>
        <w:rPr>
          <w:rFonts w:hint="eastAsia" w:ascii="宋体" w:hAnsi="宋体" w:eastAsia="宋体" w:cs="宋体"/>
          <w:color w:val="000000"/>
          <w:kern w:val="2"/>
          <w:sz w:val="24"/>
          <w:szCs w:val="24"/>
          <w:highlight w:val="none"/>
          <w:lang w:val="en-US" w:eastAsia="zh-CN"/>
        </w:rPr>
        <w:instrText xml:space="preserve"> HYPERLINK "https://baike.baidu.com/item/%E7%AE%80%E9%98%B3%E5%B8%82/2850691" \t "https://baike.baidu.com/item/%E9%BE%99%E6%B3%89%E9%A9%BF%E5%8C%BA/_blank" </w:instrText>
      </w:r>
      <w:r>
        <w:rPr>
          <w:rFonts w:hint="eastAsia" w:ascii="宋体" w:hAnsi="宋体" w:eastAsia="宋体" w:cs="宋体"/>
          <w:color w:val="000000"/>
          <w:kern w:val="2"/>
          <w:sz w:val="24"/>
          <w:szCs w:val="24"/>
          <w:highlight w:val="none"/>
          <w:lang w:val="en-US" w:eastAsia="zh-CN"/>
        </w:rPr>
        <w:fldChar w:fldCharType="separate"/>
      </w:r>
      <w:r>
        <w:rPr>
          <w:rFonts w:hint="eastAsia" w:ascii="宋体" w:hAnsi="宋体" w:eastAsia="宋体" w:cs="宋体"/>
          <w:color w:val="000000"/>
          <w:kern w:val="2"/>
          <w:sz w:val="24"/>
          <w:szCs w:val="24"/>
          <w:highlight w:val="none"/>
          <w:lang w:val="en-US" w:eastAsia="zh-CN"/>
        </w:rPr>
        <w:t>简阳市</w:t>
      </w:r>
      <w:r>
        <w:rPr>
          <w:rFonts w:hint="eastAsia" w:ascii="宋体" w:hAnsi="宋体" w:eastAsia="宋体" w:cs="宋体"/>
          <w:color w:val="000000"/>
          <w:kern w:val="2"/>
          <w:sz w:val="24"/>
          <w:szCs w:val="24"/>
          <w:highlight w:val="none"/>
          <w:lang w:val="en-US" w:eastAsia="zh-CN"/>
        </w:rPr>
        <w:fldChar w:fldCharType="end"/>
      </w:r>
      <w:r>
        <w:rPr>
          <w:rFonts w:hint="eastAsia" w:ascii="宋体" w:hAnsi="宋体" w:eastAsia="宋体" w:cs="宋体"/>
          <w:color w:val="000000"/>
          <w:kern w:val="2"/>
          <w:sz w:val="24"/>
          <w:szCs w:val="24"/>
          <w:highlight w:val="none"/>
          <w:lang w:val="en-US" w:eastAsia="zh-CN"/>
        </w:rPr>
        <w:t>交界，是</w:t>
      </w:r>
      <w:r>
        <w:rPr>
          <w:rFonts w:hint="eastAsia" w:ascii="宋体" w:hAnsi="宋体" w:eastAsia="宋体" w:cs="宋体"/>
          <w:color w:val="000000"/>
          <w:kern w:val="2"/>
          <w:sz w:val="24"/>
          <w:szCs w:val="24"/>
          <w:highlight w:val="none"/>
          <w:lang w:val="en-US" w:eastAsia="zh-CN"/>
        </w:rPr>
        <w:fldChar w:fldCharType="begin"/>
      </w:r>
      <w:r>
        <w:rPr>
          <w:rFonts w:hint="eastAsia" w:ascii="宋体" w:hAnsi="宋体" w:eastAsia="宋体" w:cs="宋体"/>
          <w:color w:val="000000"/>
          <w:kern w:val="2"/>
          <w:sz w:val="24"/>
          <w:szCs w:val="24"/>
          <w:highlight w:val="none"/>
          <w:lang w:val="en-US" w:eastAsia="zh-CN"/>
        </w:rPr>
        <w:instrText xml:space="preserve"> HYPERLINK "https://baike.baidu.com/item/%E6%88%90%E9%83%BD%E5%B8%82%E4%B8%AD%E5%BF%83%E5%9F%8E%E5%8C%BA/20407608" \t "https://baike.baidu.com/item/%E9%BE%99%E6%B3%89%E9%A9%BF%E5%8C%BA/_blank" </w:instrText>
      </w:r>
      <w:r>
        <w:rPr>
          <w:rFonts w:hint="eastAsia" w:ascii="宋体" w:hAnsi="宋体" w:eastAsia="宋体" w:cs="宋体"/>
          <w:color w:val="000000"/>
          <w:kern w:val="2"/>
          <w:sz w:val="24"/>
          <w:szCs w:val="24"/>
          <w:highlight w:val="none"/>
          <w:lang w:val="en-US" w:eastAsia="zh-CN"/>
        </w:rPr>
        <w:fldChar w:fldCharType="separate"/>
      </w:r>
      <w:r>
        <w:rPr>
          <w:rFonts w:hint="eastAsia" w:ascii="宋体" w:hAnsi="宋体" w:eastAsia="宋体" w:cs="宋体"/>
          <w:color w:val="000000"/>
          <w:kern w:val="2"/>
          <w:sz w:val="24"/>
          <w:szCs w:val="24"/>
          <w:highlight w:val="none"/>
          <w:lang w:val="en-US" w:eastAsia="zh-CN"/>
        </w:rPr>
        <w:t>成都市中心城区</w:t>
      </w:r>
      <w:r>
        <w:rPr>
          <w:rFonts w:hint="eastAsia" w:ascii="宋体" w:hAnsi="宋体" w:eastAsia="宋体" w:cs="宋体"/>
          <w:color w:val="000000"/>
          <w:kern w:val="2"/>
          <w:sz w:val="24"/>
          <w:szCs w:val="24"/>
          <w:highlight w:val="none"/>
          <w:lang w:val="en-US" w:eastAsia="zh-CN"/>
        </w:rPr>
        <w:fldChar w:fldCharType="end"/>
      </w:r>
      <w:r>
        <w:rPr>
          <w:rFonts w:hint="eastAsia" w:ascii="宋体" w:hAnsi="宋体" w:eastAsia="宋体" w:cs="宋体"/>
          <w:color w:val="000000"/>
          <w:kern w:val="2"/>
          <w:sz w:val="24"/>
          <w:szCs w:val="24"/>
          <w:highlight w:val="none"/>
          <w:lang w:val="en-US" w:eastAsia="zh-CN"/>
        </w:rPr>
        <w:t>。区域介于北纬30°27′52″—30°43′23″、东经104°08′19″—104°27′09″之间，东西长29.8千米，南北宽28.75千米，总面积556.98平方千米。</w:t>
      </w:r>
    </w:p>
    <w:p>
      <w:pPr>
        <w:pageBreakBefore w:val="0"/>
        <w:widowControl/>
        <w:kinsoku/>
        <w:wordWrap/>
        <w:overflowPunct/>
        <w:topLinePunct w:val="0"/>
        <w:bidi w:val="0"/>
        <w:adjustRightInd w:val="0"/>
        <w:snapToGrid w:val="0"/>
        <w:spacing w:after="0" w:line="288" w:lineRule="auto"/>
        <w:ind w:left="105" w:leftChars="50" w:firstLine="480" w:firstLineChars="200"/>
        <w:jc w:val="left"/>
        <w:textAlignment w:val="auto"/>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龙泉驿区地处成都平原东缘。境域东西长29.8千米、南北宽28.75千米。最高海拔1051.3米（长松山周家梁子），最低海拔456.8米（山泉镇三元村白杨沟），相对高差594.5米。总面积为556.98平方千米。龙泉山中段纵卧区境东南部，呈北北东至南南西走向，为成都平原与川中丘陵之界山。境内低山、丘陵、平坝兼有，地势由东南逐渐向西北微倾，其倾角小于10度；以平坝为主，低山次之，丘陵面积较小。东南部为低山、深丘区，中、北西部为平坝间浅丘区。自西向东横贯区境的成渝公路5千米至18千米的大面街道、龙泉街道境内丘包连绵起伏，高出南、北两侧，成为区境内向沱江与岷江自然排水的分水岭。 龙泉驿区境内有平坝、丘陵、山地、山峰和山脉等地貌类型。</w:t>
      </w:r>
    </w:p>
    <w:bookmarkEnd w:id="6"/>
    <w:bookmarkEnd w:id="7"/>
    <w:bookmarkEnd w:id="8"/>
    <w:bookmarkEnd w:id="9"/>
    <w:bookmarkEnd w:id="10"/>
    <w:bookmarkEnd w:id="11"/>
    <w:p>
      <w:pPr>
        <w:widowControl/>
        <w:adjustRightInd w:val="0"/>
        <w:snapToGrid w:val="0"/>
        <w:spacing w:after="0" w:afterLines="50" w:line="288" w:lineRule="auto"/>
        <w:jc w:val="left"/>
        <w:rPr>
          <w:rFonts w:hint="default" w:ascii="宋体" w:hAnsi="宋体" w:eastAsia="宋体" w:cs="宋体"/>
          <w:b/>
          <w:kern w:val="2"/>
          <w:sz w:val="24"/>
          <w:szCs w:val="24"/>
          <w:lang w:val="en-US" w:eastAsia="zh-CN"/>
        </w:rPr>
      </w:pPr>
      <w:bookmarkStart w:id="12" w:name="_Toc180"/>
      <w:bookmarkStart w:id="13" w:name="_Toc7903"/>
      <w:bookmarkStart w:id="14" w:name="_Toc24307"/>
      <w:bookmarkStart w:id="15" w:name="_Toc10173"/>
      <w:bookmarkStart w:id="16" w:name="_Toc6640_WPSOffice_Level3"/>
      <w:bookmarkStart w:id="17" w:name="_Toc26968906"/>
      <w:r>
        <w:rPr>
          <w:rFonts w:hint="eastAsia" w:ascii="宋体" w:hAnsi="宋体" w:eastAsia="宋体" w:cs="宋体"/>
          <w:b/>
          <w:kern w:val="2"/>
          <w:sz w:val="24"/>
          <w:szCs w:val="24"/>
          <w:lang w:val="en-US" w:eastAsia="zh-CN"/>
        </w:rPr>
        <w:t>2.气候</w:t>
      </w:r>
      <w:bookmarkEnd w:id="12"/>
      <w:bookmarkEnd w:id="13"/>
      <w:bookmarkEnd w:id="14"/>
      <w:bookmarkEnd w:id="15"/>
      <w:r>
        <w:rPr>
          <w:rFonts w:hint="eastAsia" w:ascii="宋体" w:hAnsi="宋体" w:eastAsia="宋体" w:cs="宋体"/>
          <w:b/>
          <w:kern w:val="2"/>
          <w:sz w:val="24"/>
          <w:szCs w:val="24"/>
          <w:lang w:val="en-US" w:eastAsia="zh-CN"/>
        </w:rPr>
        <w:t>与水源</w:t>
      </w:r>
    </w:p>
    <w:bookmarkEnd w:id="16"/>
    <w:bookmarkEnd w:id="17"/>
    <w:p>
      <w:pPr>
        <w:pageBreakBefore w:val="0"/>
        <w:widowControl/>
        <w:kinsoku/>
        <w:wordWrap/>
        <w:overflowPunct/>
        <w:topLinePunct w:val="0"/>
        <w:bidi w:val="0"/>
        <w:adjustRightInd w:val="0"/>
        <w:snapToGrid w:val="0"/>
        <w:spacing w:after="0" w:line="288" w:lineRule="auto"/>
        <w:ind w:left="105" w:leftChars="50" w:firstLine="480" w:firstLineChars="200"/>
        <w:jc w:val="left"/>
        <w:textAlignment w:val="auto"/>
        <w:rPr>
          <w:rFonts w:hint="eastAsia" w:ascii="宋体" w:hAnsi="宋体" w:eastAsia="宋体" w:cs="宋体"/>
          <w:color w:val="000000"/>
          <w:kern w:val="2"/>
          <w:sz w:val="24"/>
          <w:szCs w:val="24"/>
          <w:highlight w:val="none"/>
          <w:lang w:val="en-US" w:eastAsia="zh-CN"/>
        </w:rPr>
      </w:pPr>
      <w:bookmarkStart w:id="18" w:name="_Toc8294"/>
      <w:bookmarkStart w:id="19" w:name="_Toc12425"/>
      <w:bookmarkStart w:id="20" w:name="_Toc14769"/>
      <w:bookmarkStart w:id="21" w:name="_Toc4141"/>
      <w:r>
        <w:rPr>
          <w:rFonts w:hint="eastAsia" w:ascii="宋体" w:hAnsi="宋体" w:eastAsia="宋体" w:cs="宋体"/>
          <w:color w:val="000000"/>
          <w:kern w:val="2"/>
          <w:sz w:val="24"/>
          <w:szCs w:val="24"/>
          <w:highlight w:val="none"/>
          <w:lang w:val="en-US" w:eastAsia="zh-CN"/>
        </w:rPr>
        <w:t>龙泉驿区属四川盆地中亚热带湿润气候区，气候温和，空气潮湿，冬无严寒，夏无酷暑，春暖秋凉，四季分明，无霜期长，风力偏小。春季气温回升快而不稳，易现倒春寒，且降水少，偶有冰雹与阵性大风；夏秋降水多，易成洪涝；秋季多阴雨，天气偏凉；冬季多雾，积雪稀有，日照少。</w:t>
      </w:r>
    </w:p>
    <w:p>
      <w:pPr>
        <w:widowControl/>
        <w:adjustRightInd w:val="0"/>
        <w:snapToGrid w:val="0"/>
        <w:spacing w:after="0" w:afterLines="50" w:line="288" w:lineRule="auto"/>
        <w:jc w:val="left"/>
        <w:rPr>
          <w:rFonts w:hint="eastAsia" w:ascii="宋体" w:hAnsi="宋体" w:eastAsia="宋体" w:cs="宋体"/>
          <w:b w:val="0"/>
          <w:bCs w:val="0"/>
          <w:kern w:val="2"/>
          <w:sz w:val="24"/>
          <w:szCs w:val="24"/>
          <w:lang w:val="en-US" w:eastAsia="zh-CN"/>
        </w:rPr>
      </w:pPr>
      <w:r>
        <w:rPr>
          <w:rFonts w:hint="eastAsia" w:ascii="宋体" w:hAnsi="宋体" w:eastAsia="宋体" w:cs="宋体"/>
          <w:color w:val="000000"/>
          <w:kern w:val="2"/>
          <w:sz w:val="24"/>
          <w:szCs w:val="24"/>
          <w:highlight w:val="none"/>
          <w:lang w:val="en-US" w:eastAsia="zh-CN"/>
        </w:rPr>
        <w:t>龙泉驿区水系属长江水系支流岷江和沱江水系的支流。境内东南部有芦溪河、陡沟河和沙河支沟，为岷江支流锦江的支流。其流域为124平方千米，占总面积的22.3%。西北部的西江河、袁家沟、跳礅河、黄水河、长安沟属沱江水系的毗河、绛溪河支</w:t>
      </w:r>
      <w:r>
        <w:rPr>
          <w:rFonts w:hint="eastAsia" w:ascii="宋体" w:hAnsi="宋体" w:eastAsia="宋体" w:cs="宋体"/>
          <w:b w:val="0"/>
          <w:bCs w:val="0"/>
          <w:color w:val="000000"/>
          <w:kern w:val="2"/>
          <w:sz w:val="24"/>
          <w:szCs w:val="24"/>
          <w:highlight w:val="none"/>
          <w:lang w:val="en-US" w:eastAsia="zh-CN"/>
        </w:rPr>
        <w:t>流。其</w:t>
      </w:r>
      <w:r>
        <w:rPr>
          <w:rFonts w:hint="eastAsia" w:ascii="宋体" w:hAnsi="宋体" w:eastAsia="宋体" w:cs="宋体"/>
          <w:b w:val="0"/>
          <w:bCs w:val="0"/>
          <w:kern w:val="2"/>
          <w:sz w:val="24"/>
          <w:szCs w:val="24"/>
          <w:lang w:val="en-US" w:eastAsia="zh-CN"/>
        </w:rPr>
        <w:t>流域为433平方千米，占总面积的77.7%。长松山脊一线为岷江与沱江水系的分水岭。流域大于50平方千米的有芦溪河、西江河、跳礅河。</w:t>
      </w:r>
    </w:p>
    <w:bookmarkEnd w:id="18"/>
    <w:bookmarkEnd w:id="19"/>
    <w:bookmarkEnd w:id="20"/>
    <w:bookmarkEnd w:id="21"/>
    <w:p>
      <w:pPr>
        <w:widowControl/>
        <w:adjustRightInd w:val="0"/>
        <w:snapToGrid w:val="0"/>
        <w:spacing w:after="0" w:afterLines="50" w:line="288" w:lineRule="auto"/>
        <w:jc w:val="left"/>
        <w:rPr>
          <w:rFonts w:hint="eastAsia"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3.森林资源</w:t>
      </w:r>
    </w:p>
    <w:p>
      <w:pPr>
        <w:widowControl/>
        <w:adjustRightInd w:val="0"/>
        <w:snapToGrid w:val="0"/>
        <w:spacing w:after="0" w:afterLines="50" w:line="288" w:lineRule="auto"/>
        <w:ind w:firstLine="480" w:firstLineChars="200"/>
        <w:jc w:val="left"/>
        <w:rPr>
          <w:rFonts w:hint="eastAsia" w:ascii="宋体" w:hAnsi="宋体" w:eastAsia="宋体" w:cs="宋体"/>
          <w:color w:val="000000"/>
          <w:kern w:val="2"/>
          <w:sz w:val="24"/>
          <w:szCs w:val="24"/>
          <w:highlight w:val="none"/>
          <w:lang w:val="en-US" w:eastAsia="zh-CN"/>
        </w:rPr>
      </w:pPr>
      <w:bookmarkStart w:id="22" w:name="_Toc26968909"/>
      <w:bookmarkStart w:id="23" w:name="_Toc20986"/>
      <w:bookmarkStart w:id="24" w:name="_Toc26968907"/>
      <w:bookmarkStart w:id="25" w:name="_Toc15507_WPSOffice_Level3"/>
      <w:bookmarkStart w:id="26" w:name="_Toc25283"/>
      <w:bookmarkStart w:id="27" w:name="_Toc26932_WPSOffice_Level3"/>
      <w:bookmarkStart w:id="28" w:name="_Toc2657"/>
      <w:bookmarkStart w:id="29" w:name="_Toc26122"/>
      <w:r>
        <w:rPr>
          <w:rFonts w:hint="eastAsia" w:ascii="宋体" w:hAnsi="宋体" w:eastAsia="宋体" w:cs="宋体"/>
          <w:b w:val="0"/>
          <w:bCs/>
          <w:kern w:val="2"/>
          <w:sz w:val="24"/>
          <w:szCs w:val="24"/>
          <w:lang w:val="en-US" w:eastAsia="zh-CN"/>
        </w:rPr>
        <w:t>龙泉驿区植物种类较多，森林植被与农田植被相间分布，山坝差异明显。全区地带性森林植被属亚热带常绿阔叶林带，由于长期人为活动的结果，自然原始森林植被己被破坏，代之而起的是天然次生林和人工栽培的乔木林、</w:t>
      </w:r>
      <w:r>
        <w:rPr>
          <w:rFonts w:hint="eastAsia" w:ascii="宋体" w:hAnsi="宋体" w:eastAsia="宋体" w:cs="宋体"/>
          <w:b w:val="0"/>
          <w:bCs/>
          <w:color w:val="000000"/>
          <w:kern w:val="2"/>
          <w:sz w:val="24"/>
          <w:szCs w:val="24"/>
          <w:highlight w:val="none"/>
          <w:lang w:val="en-US" w:eastAsia="zh-CN"/>
        </w:rPr>
        <w:t>果树林和竹林</w:t>
      </w:r>
      <w:r>
        <w:rPr>
          <w:rFonts w:hint="eastAsia" w:ascii="宋体" w:hAnsi="宋体" w:eastAsia="宋体" w:cs="宋体"/>
          <w:color w:val="000000"/>
          <w:kern w:val="2"/>
          <w:sz w:val="24"/>
          <w:szCs w:val="24"/>
          <w:highlight w:val="none"/>
          <w:lang w:val="en-US" w:eastAsia="zh-CN"/>
        </w:rPr>
        <w:t>。山区以各种乔木林、果树林相间分布，平坝则为果树林与四旁树、竹并存。主要森林植被类型为天然次生柏木、马尾松、青冈林和人工栽培的桤柏混交林、林农间作的经济林。主要森林植物有57科，145种。其中，用材树主要有柏木、马尾松、桤木、青冈、按树、千丈、香樟、楠木、女贞、刺槐、合欢、榆树、风杨和近年人工栽植的湿地松、火炬松、露丝柏（墨西哥柏）、意大利杨树等；经济树主要有油桐、核桃、棕榈、桑树、黄柏、桃、枇杷、葡萄、梨、柑桔、苹果、樱桃、李、杏等；竹类主要有慈竹、斑竹、硬头黄竹、金竹等。境内属国家二级保护树种有银杏、杜仲，三级保护树种有楠木、红豆树等。</w:t>
      </w:r>
      <w:bookmarkEnd w:id="22"/>
      <w:bookmarkEnd w:id="23"/>
      <w:bookmarkEnd w:id="24"/>
      <w:bookmarkEnd w:id="25"/>
      <w:bookmarkEnd w:id="26"/>
      <w:bookmarkEnd w:id="27"/>
      <w:bookmarkEnd w:id="28"/>
      <w:bookmarkEnd w:id="29"/>
      <w:bookmarkStart w:id="30" w:name="_Toc30059"/>
    </w:p>
    <w:p>
      <w:pPr>
        <w:pageBreakBefore w:val="0"/>
        <w:widowControl/>
        <w:numPr>
          <w:ilvl w:val="0"/>
          <w:numId w:val="0"/>
        </w:numPr>
        <w:kinsoku/>
        <w:wordWrap/>
        <w:overflowPunct/>
        <w:topLinePunct w:val="0"/>
        <w:bidi w:val="0"/>
        <w:adjustRightInd w:val="0"/>
        <w:snapToGrid w:val="0"/>
        <w:spacing w:after="0" w:line="288" w:lineRule="auto"/>
        <w:ind w:leftChars="0"/>
        <w:jc w:val="left"/>
        <w:textAlignment w:val="auto"/>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四、技术、服务要求</w:t>
      </w:r>
    </w:p>
    <w:p>
      <w:pPr>
        <w:pageBreakBefore w:val="0"/>
        <w:widowControl w:val="0"/>
        <w:kinsoku/>
        <w:wordWrap/>
        <w:overflowPunct/>
        <w:topLinePunct w:val="0"/>
        <w:bidi w:val="0"/>
        <w:adjustRightInd/>
        <w:snapToGrid/>
        <w:spacing w:after="0" w:line="288" w:lineRule="auto"/>
        <w:ind w:firstLine="241" w:firstLineChars="100"/>
        <w:jc w:val="both"/>
        <w:textAlignment w:val="auto"/>
        <w:rPr>
          <w:rFonts w:hint="eastAsia" w:ascii="宋体" w:hAnsi="宋体" w:eastAsia="宋体" w:cs="宋体"/>
          <w:b/>
          <w:bCs/>
          <w:color w:val="000000"/>
          <w:kern w:val="2"/>
          <w:sz w:val="24"/>
          <w:szCs w:val="24"/>
          <w:lang w:val="en-US" w:eastAsia="zh-CN"/>
        </w:rPr>
      </w:pPr>
      <w:r>
        <w:rPr>
          <w:rFonts w:hint="eastAsia" w:ascii="宋体" w:hAnsi="宋体" w:eastAsia="宋体" w:cs="宋体"/>
          <w:b/>
          <w:bCs/>
          <w:color w:val="000000"/>
          <w:kern w:val="2"/>
          <w:sz w:val="24"/>
          <w:szCs w:val="24"/>
          <w:lang w:val="en-US" w:eastAsia="zh-CN"/>
        </w:rPr>
        <w:t>1.树种选择原则</w:t>
      </w:r>
    </w:p>
    <w:p>
      <w:pPr>
        <w:pageBreakBefore w:val="0"/>
        <w:widowControl w:val="0"/>
        <w:kinsoku/>
        <w:wordWrap/>
        <w:overflowPunct/>
        <w:topLinePunct w:val="0"/>
        <w:bidi w:val="0"/>
        <w:adjustRightInd/>
        <w:snapToGrid/>
        <w:spacing w:after="0" w:line="288" w:lineRule="auto"/>
        <w:ind w:firstLine="240" w:firstLineChars="1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（1）优先选择优良乡土树种，慎用外来树种的原则；</w:t>
      </w:r>
    </w:p>
    <w:p>
      <w:pPr>
        <w:pageBreakBefore w:val="0"/>
        <w:widowControl w:val="0"/>
        <w:kinsoku/>
        <w:wordWrap/>
        <w:overflowPunct/>
        <w:topLinePunct w:val="0"/>
        <w:bidi w:val="0"/>
        <w:adjustRightInd/>
        <w:snapToGrid/>
        <w:spacing w:after="0" w:line="288" w:lineRule="auto"/>
        <w:ind w:firstLine="240" w:firstLineChars="1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（2）以常绿树种和落叶树种混交原则；</w:t>
      </w:r>
    </w:p>
    <w:p>
      <w:pPr>
        <w:pageBreakBefore w:val="0"/>
        <w:widowControl w:val="0"/>
        <w:kinsoku/>
        <w:wordWrap/>
        <w:overflowPunct/>
        <w:topLinePunct w:val="0"/>
        <w:bidi w:val="0"/>
        <w:adjustRightInd/>
        <w:snapToGrid/>
        <w:spacing w:after="0" w:line="288" w:lineRule="auto"/>
        <w:ind w:firstLine="240" w:firstLineChars="1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（3）选择与造林立地条件相适应原则。</w:t>
      </w:r>
    </w:p>
    <w:p>
      <w:pPr>
        <w:pageBreakBefore w:val="0"/>
        <w:widowControl w:val="0"/>
        <w:kinsoku/>
        <w:wordWrap/>
        <w:overflowPunct/>
        <w:topLinePunct w:val="0"/>
        <w:bidi w:val="0"/>
        <w:adjustRightInd/>
        <w:snapToGrid/>
        <w:spacing w:after="0" w:line="288" w:lineRule="auto"/>
        <w:ind w:firstLine="241" w:firstLineChars="100"/>
        <w:jc w:val="both"/>
        <w:textAlignment w:val="auto"/>
        <w:rPr>
          <w:rFonts w:hint="default" w:ascii="宋体" w:hAnsi="宋体" w:eastAsia="宋体" w:cs="宋体"/>
          <w:b/>
          <w:bCs/>
          <w:color w:val="000000"/>
          <w:kern w:val="2"/>
          <w:sz w:val="24"/>
          <w:szCs w:val="24"/>
          <w:lang w:val="en-US" w:eastAsia="zh-CN"/>
        </w:rPr>
      </w:pPr>
      <w:r>
        <w:rPr>
          <w:rFonts w:hint="eastAsia" w:ascii="宋体" w:hAnsi="宋体" w:eastAsia="宋体" w:cs="宋体"/>
          <w:b/>
          <w:bCs/>
          <w:color w:val="000000"/>
          <w:kern w:val="2"/>
          <w:sz w:val="24"/>
          <w:szCs w:val="24"/>
          <w:lang w:val="en-US" w:eastAsia="zh-CN"/>
        </w:rPr>
        <w:t>2.苗木种类及规格要求</w:t>
      </w:r>
    </w:p>
    <w:p>
      <w:pPr>
        <w:pageBreakBefore w:val="0"/>
        <w:widowControl w:val="0"/>
        <w:kinsoku/>
        <w:wordWrap/>
        <w:overflowPunct/>
        <w:topLinePunct w:val="0"/>
        <w:bidi w:val="0"/>
        <w:adjustRightInd/>
        <w:snapToGrid/>
        <w:spacing w:after="0" w:line="288" w:lineRule="auto"/>
        <w:ind w:firstLine="480" w:firstLineChars="200"/>
        <w:jc w:val="both"/>
        <w:textAlignment w:val="auto"/>
        <w:rPr>
          <w:rFonts w:hint="eastAsia" w:ascii="宋体" w:hAnsi="宋体" w:eastAsia="宋体" w:cs="宋体"/>
          <w:b/>
          <w:bCs/>
          <w:color w:val="000000"/>
          <w:kern w:val="2"/>
          <w:sz w:val="24"/>
          <w:szCs w:val="24"/>
          <w:lang w:val="en-US" w:eastAsia="zh-CN"/>
        </w:rPr>
      </w:pPr>
      <w:r>
        <w:rPr>
          <w:rFonts w:hint="eastAsia" w:ascii="宋体" w:hAnsi="宋体" w:eastAsia="宋体" w:cs="宋体"/>
          <w:color w:val="000000"/>
          <w:kern w:val="2"/>
          <w:sz w:val="24"/>
          <w:szCs w:val="24"/>
          <w:lang w:val="en-US" w:eastAsia="zh-CN"/>
        </w:rPr>
        <w:t>外购的种苗必须具备“两证一签”（种苗质量检验证、检疫证、种苗标签）</w:t>
      </w:r>
      <w:r>
        <w:rPr>
          <w:rFonts w:hint="eastAsia" w:ascii="宋体" w:hAnsi="宋体" w:eastAsia="宋体" w:cs="宋体"/>
          <w:b/>
          <w:bCs/>
          <w:color w:val="000000"/>
          <w:kern w:val="2"/>
          <w:sz w:val="24"/>
          <w:szCs w:val="24"/>
          <w:lang w:val="en-US" w:eastAsia="zh-CN"/>
        </w:rPr>
        <w:t>（实质性要求，提供承诺函承诺在交货时提供证件材料）；</w:t>
      </w:r>
    </w:p>
    <w:tbl>
      <w:tblPr>
        <w:tblStyle w:val="18"/>
        <w:tblW w:w="4838" w:type="pct"/>
        <w:tblInd w:w="-354" w:type="dxa"/>
        <w:tblLayout w:type="fixed"/>
        <w:tblCellMar>
          <w:top w:w="0" w:type="dxa"/>
          <w:left w:w="0" w:type="dxa"/>
          <w:bottom w:w="0" w:type="dxa"/>
          <w:right w:w="0" w:type="dxa"/>
        </w:tblCellMar>
      </w:tblPr>
      <w:tblGrid>
        <w:gridCol w:w="613"/>
        <w:gridCol w:w="650"/>
        <w:gridCol w:w="4408"/>
        <w:gridCol w:w="726"/>
        <w:gridCol w:w="3062"/>
      </w:tblGrid>
      <w:tr>
        <w:tblPrEx>
          <w:tblCellMar>
            <w:top w:w="0" w:type="dxa"/>
            <w:left w:w="0" w:type="dxa"/>
            <w:bottom w:w="0" w:type="dxa"/>
            <w:right w:w="0" w:type="dxa"/>
          </w:tblCellMar>
        </w:tblPrEx>
        <w:trPr>
          <w:trHeight w:val="416" w:hRule="atLeast"/>
        </w:trPr>
        <w:tc>
          <w:tcPr>
            <w:tcW w:w="5000" w:type="pct"/>
            <w:gridSpan w:val="5"/>
            <w:tcBorders>
              <w:top w:val="nil"/>
              <w:left w:val="nil"/>
              <w:bottom w:val="nil"/>
              <w:right w:val="nil"/>
            </w:tcBorders>
            <w:noWrap/>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ascii="宋体" w:hAnsi="宋体" w:cs="宋体"/>
                <w:b/>
                <w:color w:val="000000"/>
              </w:rPr>
            </w:pPr>
            <w:r>
              <w:rPr>
                <w:rFonts w:hint="eastAsia" w:ascii="宋体" w:hAnsi="宋体" w:eastAsia="宋体" w:cs="宋体"/>
                <w:b/>
                <w:color w:val="000000"/>
                <w:kern w:val="0"/>
                <w:sz w:val="21"/>
                <w:szCs w:val="21"/>
              </w:rPr>
              <w:t>项目建设苗木品种、规格及需苗量设计表</w:t>
            </w:r>
          </w:p>
        </w:tc>
      </w:tr>
      <w:tr>
        <w:tblPrEx>
          <w:tblCellMar>
            <w:top w:w="0" w:type="dxa"/>
            <w:left w:w="0" w:type="dxa"/>
            <w:bottom w:w="0" w:type="dxa"/>
            <w:right w:w="0" w:type="dxa"/>
          </w:tblCellMar>
        </w:tblPrEx>
        <w:trPr>
          <w:trHeight w:val="393" w:hRule="atLeast"/>
        </w:trPr>
        <w:tc>
          <w:tcPr>
            <w:tcW w:w="3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rPr>
              <w:t>序号</w:t>
            </w: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rPr>
              <w:t>树种</w:t>
            </w:r>
          </w:p>
        </w:tc>
        <w:tc>
          <w:tcPr>
            <w:tcW w:w="23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rPr>
              <w:t>规格</w:t>
            </w:r>
          </w:p>
        </w:tc>
        <w:tc>
          <w:tcPr>
            <w:tcW w:w="3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rPr>
              <w:t>数量</w:t>
            </w:r>
          </w:p>
        </w:tc>
        <w:tc>
          <w:tcPr>
            <w:tcW w:w="16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rPr>
              <w:t>备注</w:t>
            </w:r>
          </w:p>
        </w:tc>
      </w:tr>
      <w:tr>
        <w:tblPrEx>
          <w:tblCellMar>
            <w:top w:w="0" w:type="dxa"/>
            <w:left w:w="0" w:type="dxa"/>
            <w:bottom w:w="0" w:type="dxa"/>
            <w:right w:w="0" w:type="dxa"/>
          </w:tblCellMar>
        </w:tblPrEx>
        <w:trPr>
          <w:trHeight w:val="393" w:hRule="atLeast"/>
        </w:trPr>
        <w:tc>
          <w:tcPr>
            <w:tcW w:w="3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w:t>
            </w: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金桂A</w:t>
            </w:r>
          </w:p>
        </w:tc>
        <w:tc>
          <w:tcPr>
            <w:tcW w:w="23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分支高120-150cm，冠幅150cm-200cm，米径≥5cm</w:t>
            </w:r>
          </w:p>
        </w:tc>
        <w:tc>
          <w:tcPr>
            <w:tcW w:w="3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2657</w:t>
            </w:r>
            <w:r>
              <w:rPr>
                <w:rFonts w:hint="eastAsia" w:ascii="宋体" w:hAnsi="宋体" w:eastAsia="宋体" w:cs="宋体"/>
                <w:color w:val="000000"/>
                <w:sz w:val="18"/>
                <w:szCs w:val="18"/>
                <w:lang w:val="en-US" w:eastAsia="zh-CN"/>
              </w:rPr>
              <w:t>株</w:t>
            </w:r>
          </w:p>
        </w:tc>
        <w:tc>
          <w:tcPr>
            <w:tcW w:w="16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带土球、熟货、无病虫害、树形优美</w:t>
            </w:r>
          </w:p>
        </w:tc>
      </w:tr>
      <w:tr>
        <w:tblPrEx>
          <w:tblCellMar>
            <w:top w:w="0" w:type="dxa"/>
            <w:left w:w="0" w:type="dxa"/>
            <w:bottom w:w="0" w:type="dxa"/>
            <w:right w:w="0" w:type="dxa"/>
          </w:tblCellMar>
        </w:tblPrEx>
        <w:trPr>
          <w:trHeight w:val="400" w:hRule="atLeast"/>
        </w:trPr>
        <w:tc>
          <w:tcPr>
            <w:tcW w:w="3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2</w:t>
            </w:r>
          </w:p>
        </w:tc>
        <w:tc>
          <w:tcPr>
            <w:tcW w:w="3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金桂B</w:t>
            </w:r>
          </w:p>
        </w:tc>
        <w:tc>
          <w:tcPr>
            <w:tcW w:w="23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分支高120-150cm，冠幅200cm-250cm，米径≥8cm</w:t>
            </w:r>
          </w:p>
        </w:tc>
        <w:tc>
          <w:tcPr>
            <w:tcW w:w="3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989</w:t>
            </w:r>
            <w:r>
              <w:rPr>
                <w:rFonts w:hint="eastAsia" w:ascii="宋体" w:hAnsi="宋体" w:eastAsia="宋体" w:cs="宋体"/>
                <w:color w:val="000000"/>
                <w:sz w:val="18"/>
                <w:szCs w:val="18"/>
                <w:lang w:val="en-US" w:eastAsia="zh-CN"/>
              </w:rPr>
              <w:t>株</w:t>
            </w:r>
          </w:p>
        </w:tc>
        <w:tc>
          <w:tcPr>
            <w:tcW w:w="16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240" w:lineRule="auto"/>
              <w:ind w:firstLine="0" w:firstLineChar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带土球、熟货、无病虫害、树形优美</w:t>
            </w:r>
          </w:p>
        </w:tc>
      </w:tr>
    </w:tbl>
    <w:p>
      <w:pPr>
        <w:pageBreakBefore w:val="0"/>
        <w:widowControl/>
        <w:kinsoku/>
        <w:wordWrap/>
        <w:overflowPunct/>
        <w:topLinePunct w:val="0"/>
        <w:bidi w:val="0"/>
        <w:adjustRightInd w:val="0"/>
        <w:snapToGrid w:val="0"/>
        <w:spacing w:after="0" w:line="288" w:lineRule="auto"/>
        <w:ind w:firstLine="480" w:firstLineChars="200"/>
        <w:jc w:val="left"/>
        <w:textAlignment w:val="auto"/>
        <w:rPr>
          <w:rFonts w:hint="eastAsia" w:ascii="宋体" w:hAnsi="宋体" w:eastAsia="宋体" w:cs="宋体"/>
          <w:color w:val="000000"/>
          <w:kern w:val="2"/>
          <w:sz w:val="24"/>
          <w:szCs w:val="24"/>
          <w:highlight w:val="none"/>
          <w:lang w:val="en-US" w:eastAsia="zh-CN"/>
        </w:rPr>
      </w:pPr>
    </w:p>
    <w:p>
      <w:pPr>
        <w:pageBreakBefore w:val="0"/>
        <w:widowControl w:val="0"/>
        <w:kinsoku/>
        <w:wordWrap/>
        <w:overflowPunct/>
        <w:topLinePunct w:val="0"/>
        <w:bidi w:val="0"/>
        <w:adjustRightInd/>
        <w:snapToGrid/>
        <w:spacing w:after="0" w:line="288" w:lineRule="auto"/>
        <w:ind w:firstLine="241" w:firstLineChars="100"/>
        <w:jc w:val="both"/>
        <w:textAlignment w:val="auto"/>
        <w:rPr>
          <w:rFonts w:hint="eastAsia" w:ascii="宋体" w:hAnsi="宋体" w:eastAsia="宋体" w:cs="宋体"/>
          <w:b/>
          <w:bCs/>
          <w:color w:val="000000"/>
          <w:kern w:val="2"/>
          <w:sz w:val="24"/>
          <w:szCs w:val="24"/>
          <w:lang w:val="en-US" w:eastAsia="zh-CN"/>
        </w:rPr>
      </w:pPr>
      <w:r>
        <w:rPr>
          <w:rFonts w:hint="eastAsia" w:ascii="宋体" w:hAnsi="宋体" w:eastAsia="宋体" w:cs="宋体"/>
          <w:b/>
          <w:bCs/>
          <w:color w:val="000000"/>
          <w:kern w:val="2"/>
          <w:sz w:val="24"/>
          <w:szCs w:val="24"/>
          <w:lang w:val="en-US" w:eastAsia="zh-CN"/>
        </w:rPr>
        <w:t>3.造林模式</w:t>
      </w:r>
    </w:p>
    <w:p>
      <w:pPr>
        <w:pageBreakBefore w:val="0"/>
        <w:widowControl w:val="0"/>
        <w:kinsoku/>
        <w:wordWrap/>
        <w:overflowPunct/>
        <w:topLinePunct w:val="0"/>
        <w:bidi w:val="0"/>
        <w:adjustRightInd/>
        <w:snapToGrid/>
        <w:spacing w:after="0" w:line="288"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按照造林技术规程要求，根据造林区立地条件，结合基地建设区域的具体情况以及造林更新景观提升效果确定造林模式。根据本项目一种立地类型和造林目的设计2种造林模式，以台地地坎线型栽植模式进行施工。</w:t>
      </w:r>
    </w:p>
    <w:p>
      <w:pPr>
        <w:pageBreakBefore w:val="0"/>
        <w:widowControl w:val="0"/>
        <w:kinsoku/>
        <w:wordWrap/>
        <w:overflowPunct/>
        <w:topLinePunct w:val="0"/>
        <w:bidi w:val="0"/>
        <w:adjustRightInd/>
        <w:snapToGrid/>
        <w:spacing w:after="0" w:line="288" w:lineRule="auto"/>
        <w:ind w:firstLine="240" w:firstLineChars="1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模式1：以株距为3m的方式栽植米径≥5cm的金桂，挖穴规格60cm×60cm×40cm。</w:t>
      </w:r>
    </w:p>
    <w:p>
      <w:pPr>
        <w:pageBreakBefore w:val="0"/>
        <w:widowControl w:val="0"/>
        <w:kinsoku/>
        <w:wordWrap/>
        <w:overflowPunct/>
        <w:topLinePunct w:val="0"/>
        <w:bidi w:val="0"/>
        <w:adjustRightInd/>
        <w:snapToGrid/>
        <w:spacing w:after="0" w:line="288" w:lineRule="auto"/>
        <w:ind w:firstLine="240" w:firstLineChars="1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模式2：以株距为4m的方式栽植米径≥8cm的金桂，挖穴规格80cm×80cm×50cm。</w:t>
      </w:r>
    </w:p>
    <w:p>
      <w:pPr>
        <w:pageBreakBefore w:val="0"/>
        <w:widowControl w:val="0"/>
        <w:kinsoku/>
        <w:wordWrap/>
        <w:overflowPunct/>
        <w:topLinePunct w:val="0"/>
        <w:bidi w:val="0"/>
        <w:adjustRightInd/>
        <w:snapToGrid/>
        <w:spacing w:after="0" w:line="288" w:lineRule="auto"/>
        <w:ind w:firstLine="241" w:firstLineChars="100"/>
        <w:jc w:val="both"/>
        <w:textAlignment w:val="auto"/>
        <w:rPr>
          <w:rFonts w:hint="eastAsia" w:ascii="宋体" w:hAnsi="宋体" w:eastAsia="宋体" w:cs="宋体"/>
          <w:b/>
          <w:bCs/>
          <w:color w:val="000000"/>
          <w:kern w:val="2"/>
          <w:sz w:val="24"/>
          <w:szCs w:val="24"/>
          <w:lang w:val="en-US" w:eastAsia="zh-CN"/>
        </w:rPr>
      </w:pPr>
      <w:r>
        <w:rPr>
          <w:rFonts w:hint="eastAsia" w:ascii="宋体" w:hAnsi="宋体" w:eastAsia="宋体" w:cs="宋体"/>
          <w:b/>
          <w:bCs/>
          <w:color w:val="000000"/>
          <w:kern w:val="2"/>
          <w:sz w:val="24"/>
          <w:szCs w:val="24"/>
          <w:lang w:val="en-US" w:eastAsia="zh-CN"/>
        </w:rPr>
        <w:t>4.树种配置</w:t>
      </w:r>
    </w:p>
    <w:p>
      <w:pPr>
        <w:pageBreakBefore w:val="0"/>
        <w:widowControl w:val="0"/>
        <w:kinsoku/>
        <w:wordWrap/>
        <w:overflowPunct/>
        <w:topLinePunct w:val="0"/>
        <w:bidi w:val="0"/>
        <w:adjustRightInd/>
        <w:snapToGrid/>
        <w:spacing w:after="0" w:line="288" w:lineRule="auto"/>
        <w:ind w:firstLine="240" w:firstLineChars="1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本项目以植树基地建设景观提升为主要目的，树种配置为常绿开花小乔木桂花。</w:t>
      </w:r>
    </w:p>
    <w:p>
      <w:pPr>
        <w:pageBreakBefore w:val="0"/>
        <w:widowControl w:val="0"/>
        <w:kinsoku/>
        <w:wordWrap/>
        <w:overflowPunct/>
        <w:topLinePunct w:val="0"/>
        <w:bidi w:val="0"/>
        <w:adjustRightInd/>
        <w:snapToGrid/>
        <w:spacing w:after="0" w:line="288" w:lineRule="auto"/>
        <w:ind w:firstLine="241" w:firstLineChars="100"/>
        <w:jc w:val="both"/>
        <w:textAlignment w:val="auto"/>
        <w:rPr>
          <w:rFonts w:hint="eastAsia" w:ascii="宋体" w:hAnsi="宋体" w:eastAsia="宋体" w:cs="宋体"/>
          <w:b/>
          <w:bCs/>
          <w:color w:val="000000"/>
          <w:kern w:val="2"/>
          <w:sz w:val="24"/>
          <w:szCs w:val="24"/>
          <w:lang w:val="en-US" w:eastAsia="zh-CN"/>
        </w:rPr>
      </w:pPr>
      <w:r>
        <w:rPr>
          <w:rFonts w:hint="eastAsia" w:ascii="宋体" w:hAnsi="宋体" w:eastAsia="宋体" w:cs="宋体"/>
          <w:b/>
          <w:bCs/>
          <w:color w:val="000000"/>
          <w:kern w:val="2"/>
          <w:sz w:val="24"/>
          <w:szCs w:val="24"/>
          <w:lang w:val="en-US" w:eastAsia="zh-CN"/>
        </w:rPr>
        <w:t>5.造林密度及种植点配置</w:t>
      </w:r>
    </w:p>
    <w:p>
      <w:pPr>
        <w:pageBreakBefore w:val="0"/>
        <w:widowControl w:val="0"/>
        <w:kinsoku/>
        <w:wordWrap/>
        <w:overflowPunct/>
        <w:topLinePunct w:val="0"/>
        <w:bidi w:val="0"/>
        <w:adjustRightInd/>
        <w:snapToGrid/>
        <w:spacing w:after="0" w:line="288" w:lineRule="auto"/>
        <w:ind w:firstLine="240" w:firstLineChars="1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根据造林技术规程，造林小班立地条件以及本项目造林模式，本次设计造林栽植方式为线型单排栽植，初植株距为3m和4m。</w:t>
      </w:r>
    </w:p>
    <w:p>
      <w:pPr>
        <w:pageBreakBefore w:val="0"/>
        <w:widowControl w:val="0"/>
        <w:kinsoku/>
        <w:wordWrap/>
        <w:overflowPunct/>
        <w:topLinePunct w:val="0"/>
        <w:bidi w:val="0"/>
        <w:adjustRightInd/>
        <w:snapToGrid/>
        <w:spacing w:after="0" w:line="288" w:lineRule="auto"/>
        <w:ind w:firstLine="241" w:firstLineChars="100"/>
        <w:jc w:val="both"/>
        <w:textAlignment w:val="auto"/>
        <w:rPr>
          <w:rFonts w:hint="eastAsia" w:ascii="宋体" w:hAnsi="宋体" w:eastAsia="宋体" w:cs="宋体"/>
          <w:b/>
          <w:bCs/>
          <w:color w:val="000000"/>
          <w:kern w:val="2"/>
          <w:sz w:val="24"/>
          <w:szCs w:val="24"/>
          <w:lang w:val="en-US" w:eastAsia="zh-CN"/>
        </w:rPr>
      </w:pPr>
      <w:r>
        <w:rPr>
          <w:rFonts w:hint="eastAsia" w:ascii="宋体" w:hAnsi="宋体" w:eastAsia="宋体" w:cs="宋体"/>
          <w:b/>
          <w:bCs/>
          <w:color w:val="000000"/>
          <w:kern w:val="2"/>
          <w:sz w:val="24"/>
          <w:szCs w:val="24"/>
          <w:lang w:val="en-US" w:eastAsia="zh-CN"/>
        </w:rPr>
        <w:t>6.清林整地</w:t>
      </w:r>
    </w:p>
    <w:p>
      <w:pPr>
        <w:pageBreakBefore w:val="0"/>
        <w:widowControl w:val="0"/>
        <w:kinsoku/>
        <w:wordWrap/>
        <w:overflowPunct/>
        <w:topLinePunct w:val="0"/>
        <w:bidi w:val="0"/>
        <w:adjustRightInd/>
        <w:snapToGrid/>
        <w:spacing w:after="0" w:line="288" w:lineRule="auto"/>
        <w:ind w:firstLine="240" w:firstLineChars="1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清林：全面清除线型小班内影响树木生长的杂灌、杂草、石块及树根，保留线型小班上现有乔木。</w:t>
      </w:r>
    </w:p>
    <w:p>
      <w:pPr>
        <w:pageBreakBefore w:val="0"/>
        <w:widowControl w:val="0"/>
        <w:kinsoku/>
        <w:wordWrap/>
        <w:overflowPunct/>
        <w:topLinePunct w:val="0"/>
        <w:bidi w:val="0"/>
        <w:adjustRightInd/>
        <w:snapToGrid/>
        <w:spacing w:after="0" w:line="288" w:lineRule="auto"/>
        <w:ind w:firstLine="240" w:firstLineChars="1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整地：采用穴状整地，应将表土与底土分别堆放，遇有3cm以上的石块其他草根杂物时应予以清除，挖穴规格为60cm×60cm×40cm和80cm×80cm×50cm。</w:t>
      </w:r>
    </w:p>
    <w:p>
      <w:pPr>
        <w:pageBreakBefore w:val="0"/>
        <w:widowControl w:val="0"/>
        <w:kinsoku/>
        <w:wordWrap/>
        <w:overflowPunct/>
        <w:topLinePunct w:val="0"/>
        <w:bidi w:val="0"/>
        <w:adjustRightInd/>
        <w:snapToGrid/>
        <w:spacing w:after="0" w:line="288" w:lineRule="auto"/>
        <w:ind w:firstLine="241" w:firstLineChars="100"/>
        <w:jc w:val="both"/>
        <w:textAlignment w:val="auto"/>
        <w:rPr>
          <w:rFonts w:hint="eastAsia" w:ascii="宋体" w:hAnsi="宋体" w:eastAsia="宋体" w:cs="宋体"/>
          <w:b/>
          <w:bCs/>
          <w:color w:val="000000"/>
          <w:kern w:val="2"/>
          <w:sz w:val="24"/>
          <w:szCs w:val="24"/>
          <w:lang w:val="en-US" w:eastAsia="zh-CN"/>
        </w:rPr>
      </w:pPr>
      <w:r>
        <w:rPr>
          <w:rFonts w:hint="eastAsia" w:ascii="宋体" w:hAnsi="宋体" w:eastAsia="宋体" w:cs="宋体"/>
          <w:b/>
          <w:bCs/>
          <w:color w:val="000000"/>
          <w:kern w:val="2"/>
          <w:sz w:val="24"/>
          <w:szCs w:val="24"/>
          <w:lang w:val="en-US" w:eastAsia="zh-CN"/>
        </w:rPr>
        <w:t xml:space="preserve">7.苗木栽植 </w:t>
      </w:r>
    </w:p>
    <w:p>
      <w:pPr>
        <w:pageBreakBefore w:val="0"/>
        <w:widowControl w:val="0"/>
        <w:kinsoku/>
        <w:wordWrap/>
        <w:overflowPunct/>
        <w:topLinePunct w:val="0"/>
        <w:bidi w:val="0"/>
        <w:adjustRightInd/>
        <w:snapToGrid/>
        <w:spacing w:after="0" w:line="288" w:lineRule="auto"/>
        <w:ind w:firstLine="240" w:firstLineChars="1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（1）栽植时间：根据项目区的气候特点选择在春季开始造林。造林应选在阴天、小雨天、雨后晴天进行，宜早不宜迟。连续晴天、土壤过干、大雨天、大风天均不宜造林。</w:t>
      </w:r>
    </w:p>
    <w:p>
      <w:pPr>
        <w:pageBreakBefore w:val="0"/>
        <w:widowControl w:val="0"/>
        <w:kinsoku/>
        <w:wordWrap/>
        <w:overflowPunct/>
        <w:topLinePunct w:val="0"/>
        <w:bidi w:val="0"/>
        <w:adjustRightInd/>
        <w:snapToGrid/>
        <w:spacing w:after="0" w:line="288" w:lineRule="auto"/>
        <w:ind w:firstLine="240" w:firstLineChars="1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2）栽植方法：清理回填土中的石块和垃圾，将带土团的树苗解除包装后放入已挖好的树坑中，扶正，填土，踩实。一般在新植树木后，土壤不会被踩得特别结实，为此应在树干的周围适当再多加一部分土，避免浇水时树穴形成一个大水坑。栽植完毕后扶正苗木并在树周围用土培成一圈圆形土坝，以便于浇水、蓄水。</w:t>
      </w:r>
    </w:p>
    <w:p>
      <w:pPr>
        <w:pageBreakBefore w:val="0"/>
        <w:widowControl w:val="0"/>
        <w:kinsoku/>
        <w:wordWrap/>
        <w:overflowPunct/>
        <w:topLinePunct w:val="0"/>
        <w:bidi w:val="0"/>
        <w:adjustRightInd/>
        <w:snapToGrid/>
        <w:spacing w:after="0" w:line="288" w:lineRule="auto"/>
        <w:ind w:firstLine="240" w:firstLineChars="1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（3）浇定根水：栽植后立即给树木浇透水，在树根部位缓缓将水倒入，直到水从土面满溢。充分的浇水才能保证树苗成活。</w:t>
      </w:r>
    </w:p>
    <w:p>
      <w:pPr>
        <w:pageBreakBefore w:val="0"/>
        <w:widowControl w:val="0"/>
        <w:kinsoku/>
        <w:wordWrap/>
        <w:overflowPunct/>
        <w:topLinePunct w:val="0"/>
        <w:bidi w:val="0"/>
        <w:adjustRightInd/>
        <w:snapToGrid/>
        <w:spacing w:after="0" w:line="288" w:lineRule="auto"/>
        <w:ind w:firstLine="241" w:firstLineChars="100"/>
        <w:jc w:val="both"/>
        <w:textAlignment w:val="auto"/>
        <w:rPr>
          <w:rFonts w:hint="eastAsia" w:ascii="宋体" w:hAnsi="宋体" w:eastAsia="宋体" w:cs="宋体"/>
          <w:b/>
          <w:bCs/>
          <w:color w:val="000000"/>
          <w:kern w:val="2"/>
          <w:sz w:val="24"/>
          <w:szCs w:val="24"/>
          <w:lang w:val="en-US" w:eastAsia="zh-CN"/>
        </w:rPr>
      </w:pPr>
      <w:r>
        <w:rPr>
          <w:rFonts w:hint="eastAsia" w:ascii="宋体" w:hAnsi="宋体" w:eastAsia="宋体" w:cs="宋体"/>
          <w:b/>
          <w:bCs/>
          <w:color w:val="000000"/>
          <w:kern w:val="2"/>
          <w:sz w:val="24"/>
          <w:szCs w:val="24"/>
          <w:lang w:val="en-US" w:eastAsia="zh-CN"/>
        </w:rPr>
        <w:t>8.成活养护</w:t>
      </w:r>
    </w:p>
    <w:p>
      <w:pPr>
        <w:pageBreakBefore w:val="0"/>
        <w:widowControl w:val="0"/>
        <w:kinsoku/>
        <w:wordWrap/>
        <w:overflowPunct/>
        <w:topLinePunct w:val="0"/>
        <w:bidi w:val="0"/>
        <w:adjustRightInd/>
        <w:snapToGrid/>
        <w:spacing w:after="0" w:line="288" w:lineRule="auto"/>
        <w:ind w:firstLine="480" w:firstLineChars="2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栽植苗木完成后，树苗刚进入恢复阶段，生态状况还很脆弱须及时浇水灌溉，每次浇水做到浇足浇透，新栽树木每月浇水3次以上。为保证植物成活，应适度修剪，降低蒸腾作用减少水分散失。对树干涂抹石硫合剂防治病虫害，对树木进行支撑，对于倾斜度超过10度的树木，应及时进行扶正、支撑，扶正前应先疏剪部分树枝或短截，然后进行扶正并加固支撑，米径≥5cm的金桂采用楠竹支撑杆支撑，米径≥8cm的金桂采用杉木支撑杆，保证苗木成活。</w:t>
      </w:r>
    </w:p>
    <w:p>
      <w:pPr>
        <w:pageBreakBefore w:val="0"/>
        <w:widowControl w:val="0"/>
        <w:kinsoku/>
        <w:wordWrap/>
        <w:overflowPunct/>
        <w:topLinePunct w:val="0"/>
        <w:bidi w:val="0"/>
        <w:adjustRightInd/>
        <w:snapToGrid/>
        <w:spacing w:after="0" w:line="288" w:lineRule="auto"/>
        <w:ind w:firstLine="241" w:firstLineChars="100"/>
        <w:jc w:val="both"/>
        <w:textAlignment w:val="auto"/>
        <w:rPr>
          <w:rFonts w:hint="eastAsia" w:ascii="宋体" w:hAnsi="宋体" w:eastAsia="宋体" w:cs="宋体"/>
          <w:b/>
          <w:bCs/>
          <w:color w:val="000000"/>
          <w:kern w:val="2"/>
          <w:sz w:val="24"/>
          <w:szCs w:val="24"/>
          <w:lang w:val="en-US" w:eastAsia="zh-CN"/>
        </w:rPr>
      </w:pPr>
      <w:r>
        <w:rPr>
          <w:rFonts w:hint="eastAsia" w:ascii="宋体" w:hAnsi="宋体" w:eastAsia="宋体" w:cs="宋体"/>
          <w:b/>
          <w:bCs/>
          <w:color w:val="000000"/>
          <w:kern w:val="2"/>
          <w:sz w:val="24"/>
          <w:szCs w:val="24"/>
          <w:lang w:val="en-US" w:eastAsia="zh-CN"/>
        </w:rPr>
        <w:t>9.抚育管护</w:t>
      </w:r>
    </w:p>
    <w:p>
      <w:pPr>
        <w:pageBreakBefore w:val="0"/>
        <w:widowControl w:val="0"/>
        <w:kinsoku/>
        <w:wordWrap/>
        <w:overflowPunct/>
        <w:topLinePunct w:val="0"/>
        <w:bidi w:val="0"/>
        <w:adjustRightInd/>
        <w:snapToGrid/>
        <w:spacing w:after="0" w:line="288" w:lineRule="auto"/>
        <w:ind w:firstLine="240" w:firstLineChars="1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（1）浇水：为补充土壤水分栽植后在间歇性干旱期和雨季前的旱季，应根据土壤水分情况，每月补充浇水一次，每次浇水需浇足，保证苗木正常生长。</w:t>
      </w:r>
    </w:p>
    <w:p>
      <w:pPr>
        <w:pageBreakBefore w:val="0"/>
        <w:widowControl w:val="0"/>
        <w:kinsoku/>
        <w:wordWrap/>
        <w:overflowPunct/>
        <w:topLinePunct w:val="0"/>
        <w:bidi w:val="0"/>
        <w:adjustRightInd/>
        <w:snapToGrid/>
        <w:spacing w:after="0" w:line="288" w:lineRule="auto"/>
        <w:ind w:firstLine="240" w:firstLineChars="1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（2）病虫害防治：病虫害防治按照“科学防控，依法治理，强化管理”的方针，和“治早、治小”的原则，采用石硫合剂涂抹树干防治病虫害。</w:t>
      </w:r>
    </w:p>
    <w:p>
      <w:pPr>
        <w:pageBreakBefore w:val="0"/>
        <w:widowControl w:val="0"/>
        <w:kinsoku/>
        <w:wordWrap/>
        <w:overflowPunct/>
        <w:topLinePunct w:val="0"/>
        <w:bidi w:val="0"/>
        <w:adjustRightInd/>
        <w:snapToGrid/>
        <w:spacing w:after="0" w:line="288" w:lineRule="auto"/>
        <w:ind w:firstLine="240" w:firstLineChars="1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（3）管护：为防止人、畜对绿化造成不利影响，供应商应安排专人进行管护，并加强宣传。</w:t>
      </w:r>
      <w:bookmarkEnd w:id="30"/>
    </w:p>
    <w:p>
      <w:pPr>
        <w:rPr>
          <w:rFonts w:hint="eastAsia" w:ascii="宋体" w:hAnsi="宋体" w:eastAsia="宋体" w:cs="宋体"/>
          <w:b/>
          <w:bCs w:val="0"/>
          <w:sz w:val="24"/>
          <w:lang w:val="en-US" w:eastAsia="zh-CN"/>
        </w:rPr>
      </w:pPr>
      <w:r>
        <w:rPr>
          <w:rFonts w:hint="eastAsia" w:ascii="宋体" w:hAnsi="宋体" w:eastAsia="宋体" w:cs="宋体"/>
          <w:b/>
          <w:bCs w:val="0"/>
          <w:sz w:val="24"/>
          <w:lang w:val="en-US" w:eastAsia="zh-CN"/>
        </w:rPr>
        <w:t>五、商务要求</w:t>
      </w:r>
    </w:p>
    <w:p>
      <w:pPr>
        <w:pageBreakBefore w:val="0"/>
        <w:widowControl w:val="0"/>
        <w:kinsoku/>
        <w:wordWrap/>
        <w:overflowPunct/>
        <w:topLinePunct w:val="0"/>
        <w:bidi w:val="0"/>
        <w:adjustRightInd/>
        <w:snapToGrid/>
        <w:spacing w:after="0" w:line="288" w:lineRule="auto"/>
        <w:ind w:firstLine="240" w:firstLineChars="100"/>
        <w:jc w:val="both"/>
        <w:textAlignment w:val="auto"/>
        <w:rPr>
          <w:color w:val="000000"/>
          <w:sz w:val="24"/>
          <w:szCs w:val="24"/>
          <w:highlight w:val="none"/>
        </w:rPr>
      </w:pPr>
      <w:r>
        <w:rPr>
          <w:rFonts w:hint="eastAsia" w:ascii="宋体" w:hAnsi="宋体" w:eastAsia="宋体" w:cs="宋体"/>
          <w:color w:val="000000"/>
          <w:kern w:val="2"/>
          <w:sz w:val="24"/>
          <w:szCs w:val="24"/>
        </w:rPr>
        <w:t>1</w:t>
      </w:r>
      <w:r>
        <w:rPr>
          <w:rFonts w:hint="eastAsia" w:ascii="宋体" w:hAnsi="宋体" w:eastAsia="宋体" w:cs="宋体"/>
          <w:color w:val="000000"/>
          <w:kern w:val="2"/>
          <w:sz w:val="24"/>
          <w:szCs w:val="24"/>
          <w:lang w:val="en-US" w:eastAsia="zh-CN"/>
        </w:rPr>
        <w:t>.</w:t>
      </w:r>
      <w:r>
        <w:rPr>
          <w:rFonts w:hint="eastAsia" w:ascii="宋体" w:hAnsi="宋体" w:eastAsia="宋体" w:cs="宋体"/>
          <w:color w:val="000000"/>
          <w:kern w:val="2"/>
          <w:sz w:val="24"/>
          <w:szCs w:val="24"/>
        </w:rPr>
        <w:t>采购项目服务时间:</w:t>
      </w:r>
      <w:r>
        <w:rPr>
          <w:rFonts w:hint="eastAsia" w:ascii="宋体" w:hAnsi="宋体" w:eastAsia="宋体" w:cs="宋体"/>
          <w:color w:val="000000"/>
          <w:kern w:val="2"/>
          <w:sz w:val="24"/>
          <w:szCs w:val="24"/>
          <w:highlight w:val="none"/>
          <w:lang w:val="en-US" w:eastAsia="zh-CN"/>
        </w:rPr>
        <w:t>自合同签订之日起2年，合同一年一签。具体起止时间在采购合同中约定。</w:t>
      </w:r>
      <w:bookmarkStart w:id="31" w:name="_GoBack"/>
      <w:bookmarkEnd w:id="31"/>
    </w:p>
    <w:p>
      <w:pPr>
        <w:pageBreakBefore w:val="0"/>
        <w:widowControl w:val="0"/>
        <w:kinsoku/>
        <w:wordWrap/>
        <w:overflowPunct/>
        <w:topLinePunct w:val="0"/>
        <w:bidi w:val="0"/>
        <w:adjustRightInd/>
        <w:snapToGrid/>
        <w:spacing w:after="0" w:line="288" w:lineRule="auto"/>
        <w:ind w:firstLine="240" w:firstLineChars="1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2.采购项目实施地点：龙泉驿区山泉镇斑竹村。</w:t>
      </w:r>
    </w:p>
    <w:p>
      <w:pPr>
        <w:pageBreakBefore w:val="0"/>
        <w:widowControl w:val="0"/>
        <w:kinsoku/>
        <w:wordWrap/>
        <w:overflowPunct/>
        <w:topLinePunct w:val="0"/>
        <w:bidi w:val="0"/>
        <w:adjustRightInd/>
        <w:snapToGrid/>
        <w:spacing w:after="0" w:line="288" w:lineRule="auto"/>
        <w:ind w:firstLine="240" w:firstLineChars="10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3.付款方式：合同金额分四次支付，栽植完成后支付合同金额的70％，养护6个月到期验收合格后支付合同金额的10％，第二年每6个月验收一次，合格后每次支付合同金额的10％。</w:t>
      </w:r>
    </w:p>
    <w:p>
      <w:pPr>
        <w:keepNext w:val="0"/>
        <w:keepLines w:val="0"/>
        <w:pageBreakBefore w:val="0"/>
        <w:widowControl/>
        <w:kinsoku/>
        <w:wordWrap w:val="0"/>
        <w:overflowPunct/>
        <w:topLinePunct w:val="0"/>
        <w:autoSpaceDE/>
        <w:autoSpaceDN/>
        <w:bidi w:val="0"/>
        <w:adjustRightInd w:val="0"/>
        <w:snapToGrid w:val="0"/>
        <w:spacing w:after="0" w:line="360" w:lineRule="auto"/>
        <w:ind w:firstLine="240" w:firstLineChars="100"/>
        <w:jc w:val="left"/>
        <w:textAlignment w:val="auto"/>
        <w:rPr>
          <w:rFonts w:hint="default"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lang w:val="en-US" w:eastAsia="zh-CN"/>
        </w:rPr>
        <w:t>4.</w:t>
      </w:r>
      <w:r>
        <w:rPr>
          <w:rFonts w:hint="eastAsia" w:ascii="宋体" w:hAnsi="宋体" w:eastAsia="宋体" w:cs="宋体"/>
          <w:color w:val="000000"/>
          <w:kern w:val="2"/>
          <w:sz w:val="24"/>
          <w:szCs w:val="24"/>
        </w:rPr>
        <w:t>验收</w:t>
      </w:r>
      <w:r>
        <w:rPr>
          <w:rFonts w:hint="eastAsia" w:ascii="宋体" w:hAnsi="宋体" w:eastAsia="宋体" w:cs="宋体"/>
          <w:color w:val="000000"/>
          <w:kern w:val="2"/>
          <w:sz w:val="24"/>
          <w:szCs w:val="24"/>
          <w:lang w:val="en-US" w:eastAsia="zh-CN"/>
        </w:rPr>
        <w:t>要求</w:t>
      </w:r>
      <w:r>
        <w:rPr>
          <w:rFonts w:hint="eastAsia" w:ascii="宋体" w:hAnsi="宋体" w:eastAsia="宋体" w:cs="宋体"/>
          <w:color w:val="000000"/>
          <w:kern w:val="2"/>
          <w:sz w:val="24"/>
          <w:szCs w:val="24"/>
        </w:rPr>
        <w:t xml:space="preserve">: </w:t>
      </w:r>
      <w:r>
        <w:rPr>
          <w:rFonts w:hint="eastAsia" w:ascii="宋体" w:hAnsi="宋体" w:eastAsia="宋体" w:cs="宋体"/>
          <w:color w:val="000000"/>
          <w:kern w:val="2"/>
          <w:sz w:val="24"/>
          <w:szCs w:val="24"/>
          <w:highlight w:val="none"/>
          <w:lang w:val="en-US" w:eastAsia="zh-CN"/>
        </w:rPr>
        <w:t xml:space="preserve"> 按照《财政部关于进一步加强政府采购需求和履约验收管理的指导意见》（财库〔2016〕205号）并参照四川省财政厅《四川省政府采购项目需求论证和履约验收管理办法》(川财采〔2015〕32号)、各级主管部门的要求进行验收</w:t>
      </w:r>
      <w:r>
        <w:rPr>
          <w:rFonts w:hint="default" w:ascii="宋体" w:hAnsi="宋体" w:eastAsia="宋体" w:cs="宋体"/>
          <w:color w:val="000000"/>
          <w:kern w:val="2"/>
          <w:sz w:val="24"/>
          <w:szCs w:val="24"/>
          <w:highlight w:val="none"/>
          <w:lang w:val="en-US" w:eastAsia="zh-CN"/>
        </w:rPr>
        <w:t>。</w:t>
      </w:r>
    </w:p>
    <w:p>
      <w:pPr>
        <w:pageBreakBefore w:val="0"/>
        <w:widowControl w:val="0"/>
        <w:kinsoku/>
        <w:wordWrap/>
        <w:overflowPunct/>
        <w:topLinePunct w:val="0"/>
        <w:bidi w:val="0"/>
        <w:adjustRightInd/>
        <w:snapToGrid/>
        <w:spacing w:after="0" w:line="288" w:lineRule="auto"/>
        <w:ind w:firstLine="240" w:firstLineChars="100"/>
        <w:jc w:val="both"/>
        <w:textAlignment w:val="auto"/>
        <w:rPr>
          <w:rFonts w:hint="eastAsia" w:ascii="宋体" w:hAnsi="宋体" w:eastAsia="宋体" w:cs="宋体"/>
          <w:b/>
          <w:bCs/>
          <w:color w:val="000000"/>
          <w:kern w:val="2"/>
          <w:sz w:val="24"/>
          <w:szCs w:val="24"/>
        </w:rPr>
      </w:pPr>
      <w:r>
        <w:rPr>
          <w:rFonts w:hint="eastAsia" w:ascii="宋体" w:hAnsi="宋体" w:eastAsia="宋体" w:cs="宋体"/>
          <w:color w:val="000000"/>
          <w:kern w:val="2"/>
          <w:sz w:val="24"/>
          <w:szCs w:val="24"/>
          <w:lang w:val="en-US" w:eastAsia="zh-CN"/>
        </w:rPr>
        <w:t>5.</w:t>
      </w:r>
      <w:r>
        <w:rPr>
          <w:rFonts w:hint="eastAsia" w:ascii="宋体" w:hAnsi="宋体" w:eastAsia="宋体" w:cs="宋体"/>
          <w:color w:val="000000"/>
          <w:kern w:val="2"/>
          <w:sz w:val="24"/>
          <w:szCs w:val="24"/>
        </w:rPr>
        <w:t>项目实施过程中人员的人身安全、财产安全等由成交供应商自行负责。</w:t>
      </w:r>
      <w:r>
        <w:rPr>
          <w:rFonts w:hint="eastAsia" w:ascii="宋体" w:hAnsi="宋体" w:eastAsia="宋体" w:cs="宋体"/>
          <w:b/>
          <w:bCs/>
          <w:color w:val="000000"/>
          <w:kern w:val="2"/>
          <w:sz w:val="24"/>
          <w:szCs w:val="24"/>
        </w:rPr>
        <w:t>（实质性要求，提供承诺函，格式自拟，未提供的作为无效响应处理）</w:t>
      </w:r>
    </w:p>
    <w:p>
      <w:pPr>
        <w:pageBreakBefore w:val="0"/>
        <w:widowControl w:val="0"/>
        <w:kinsoku/>
        <w:wordWrap/>
        <w:overflowPunct/>
        <w:topLinePunct w:val="0"/>
        <w:bidi w:val="0"/>
        <w:adjustRightInd/>
        <w:snapToGrid/>
        <w:spacing w:after="0" w:line="288" w:lineRule="auto"/>
        <w:ind w:firstLine="240" w:firstLineChars="100"/>
        <w:jc w:val="both"/>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6.</w:t>
      </w:r>
      <w:r>
        <w:rPr>
          <w:rFonts w:hint="eastAsia" w:ascii="宋体" w:hAnsi="宋体" w:eastAsia="宋体" w:cs="宋体"/>
          <w:color w:val="000000"/>
          <w:kern w:val="2"/>
          <w:sz w:val="24"/>
          <w:szCs w:val="24"/>
        </w:rPr>
        <w:t>其他商务要求：</w:t>
      </w:r>
    </w:p>
    <w:p>
      <w:pPr>
        <w:pageBreakBefore w:val="0"/>
        <w:widowControl w:val="0"/>
        <w:kinsoku/>
        <w:wordWrap/>
        <w:overflowPunct/>
        <w:topLinePunct w:val="0"/>
        <w:bidi w:val="0"/>
        <w:adjustRightInd/>
        <w:snapToGrid/>
        <w:spacing w:after="0" w:line="288" w:lineRule="auto"/>
        <w:ind w:firstLine="240" w:firstLineChars="100"/>
        <w:jc w:val="both"/>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供应商的报价是满足采购需求全部内容的价格体现，即为完成本项目所涉及的一切费用。</w:t>
      </w:r>
    </w:p>
    <w:p>
      <w:pPr>
        <w:pageBreakBefore w:val="0"/>
        <w:widowControl w:val="0"/>
        <w:kinsoku/>
        <w:wordWrap/>
        <w:overflowPunct/>
        <w:topLinePunct w:val="0"/>
        <w:bidi w:val="0"/>
        <w:adjustRightInd/>
        <w:snapToGrid/>
        <w:spacing w:after="0" w:line="288" w:lineRule="auto"/>
        <w:ind w:firstLine="240" w:firstLineChars="100"/>
        <w:jc w:val="both"/>
        <w:textAlignment w:val="auto"/>
        <w:rPr>
          <w:rFonts w:hint="eastAsia"/>
        </w:rPr>
      </w:pPr>
      <w:r>
        <w:rPr>
          <w:rFonts w:hint="eastAsia" w:ascii="宋体" w:hAnsi="宋体" w:eastAsia="宋体" w:cs="宋体"/>
          <w:color w:val="000000"/>
          <w:kern w:val="2"/>
          <w:sz w:val="24"/>
          <w:szCs w:val="24"/>
          <w:lang w:val="en-US" w:eastAsia="zh-CN"/>
        </w:rPr>
        <w:t>7.其他未尽事宜，由采购人与成交供应商双方在采购合同中约定。</w:t>
      </w:r>
    </w:p>
    <w:p>
      <w:pPr>
        <w:widowControl/>
        <w:jc w:val="left"/>
        <w:rPr>
          <w:rFonts w:ascii="宋体" w:hAnsi="宋体" w:cs="宋体"/>
          <w:b/>
          <w:color w:val="000000" w:themeColor="text1"/>
          <w:sz w:val="24"/>
          <w:szCs w:val="24"/>
        </w:rPr>
      </w:pPr>
      <w:r>
        <w:rPr>
          <w:rFonts w:hint="eastAsia" w:ascii="宋体" w:hAnsi="宋体" w:cs="宋体"/>
          <w:b/>
          <w:color w:val="000000" w:themeColor="text1"/>
          <w:sz w:val="24"/>
          <w:szCs w:val="24"/>
          <w:lang w:val="en-US" w:eastAsia="zh-CN"/>
        </w:rPr>
        <w:t>六</w:t>
      </w:r>
      <w:r>
        <w:rPr>
          <w:rFonts w:hint="eastAsia" w:ascii="宋体" w:hAnsi="宋体" w:cs="宋体"/>
          <w:b/>
          <w:color w:val="000000" w:themeColor="text1"/>
          <w:sz w:val="24"/>
          <w:szCs w:val="24"/>
        </w:rPr>
        <w:t>、落实以下政府采购政策：</w:t>
      </w:r>
    </w:p>
    <w:p>
      <w:pPr>
        <w:pageBreakBefore w:val="0"/>
        <w:kinsoku/>
        <w:wordWrap/>
        <w:overflowPunct/>
        <w:topLinePunct w:val="0"/>
        <w:bidi w:val="0"/>
        <w:spacing w:line="288" w:lineRule="auto"/>
        <w:ind w:firstLine="240" w:firstLineChars="100"/>
        <w:textAlignment w:val="auto"/>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①《政府采购促进中小企业发展</w:t>
      </w:r>
      <w:r>
        <w:rPr>
          <w:rFonts w:hint="eastAsia" w:ascii="宋体" w:hAnsi="宋体" w:cs="宋体"/>
          <w:color w:val="000000" w:themeColor="text1"/>
          <w:sz w:val="24"/>
          <w:szCs w:val="24"/>
          <w:highlight w:val="none"/>
          <w:lang w:eastAsia="zh-CN"/>
        </w:rPr>
        <w:t>管理</w:t>
      </w:r>
      <w:r>
        <w:rPr>
          <w:rFonts w:hint="eastAsia" w:ascii="宋体" w:hAnsi="宋体" w:cs="宋体"/>
          <w:color w:val="000000" w:themeColor="text1"/>
          <w:sz w:val="24"/>
          <w:szCs w:val="24"/>
          <w:highlight w:val="none"/>
        </w:rPr>
        <w:t>办法》（财库[20</w:t>
      </w:r>
      <w:r>
        <w:rPr>
          <w:rFonts w:hint="eastAsia" w:ascii="宋体" w:hAnsi="宋体" w:cs="宋体"/>
          <w:color w:val="000000" w:themeColor="text1"/>
          <w:sz w:val="24"/>
          <w:szCs w:val="24"/>
          <w:highlight w:val="none"/>
          <w:lang w:val="en-US" w:eastAsia="zh-CN"/>
        </w:rPr>
        <w:t>20</w:t>
      </w:r>
      <w:r>
        <w:rPr>
          <w:rFonts w:hint="eastAsia" w:ascii="宋体" w:hAnsi="宋体" w:cs="宋体"/>
          <w:color w:val="000000" w:themeColor="text1"/>
          <w:sz w:val="24"/>
          <w:szCs w:val="24"/>
          <w:highlight w:val="none"/>
        </w:rPr>
        <w:t>]</w:t>
      </w:r>
      <w:r>
        <w:rPr>
          <w:rFonts w:hint="eastAsia" w:ascii="宋体" w:hAnsi="宋体" w:cs="宋体"/>
          <w:color w:val="000000" w:themeColor="text1"/>
          <w:sz w:val="24"/>
          <w:szCs w:val="24"/>
          <w:highlight w:val="none"/>
          <w:lang w:val="en-US" w:eastAsia="zh-CN"/>
        </w:rPr>
        <w:t>46</w:t>
      </w:r>
      <w:r>
        <w:rPr>
          <w:rFonts w:hint="eastAsia" w:ascii="宋体" w:hAnsi="宋体" w:cs="宋体"/>
          <w:color w:val="000000" w:themeColor="text1"/>
          <w:sz w:val="24"/>
          <w:szCs w:val="24"/>
          <w:highlight w:val="none"/>
        </w:rPr>
        <w:t>号）</w:t>
      </w:r>
      <w:r>
        <w:rPr>
          <w:rFonts w:hint="eastAsia" w:ascii="宋体" w:hAnsi="宋体" w:cs="宋体"/>
          <w:color w:val="000000" w:themeColor="text1"/>
          <w:sz w:val="24"/>
          <w:szCs w:val="24"/>
          <w:highlight w:val="none"/>
          <w:lang w:eastAsia="zh-CN"/>
        </w:rPr>
        <w:t>。</w:t>
      </w:r>
    </w:p>
    <w:p>
      <w:pPr>
        <w:pageBreakBefore w:val="0"/>
        <w:widowControl/>
        <w:kinsoku/>
        <w:wordWrap/>
        <w:overflowPunct/>
        <w:topLinePunct w:val="0"/>
        <w:bidi w:val="0"/>
        <w:adjustRightInd w:val="0"/>
        <w:snapToGrid w:val="0"/>
        <w:spacing w:line="288" w:lineRule="auto"/>
        <w:ind w:firstLine="240" w:firstLineChars="100"/>
        <w:jc w:val="left"/>
        <w:textAlignment w:val="auto"/>
        <w:rPr>
          <w:rFonts w:ascii="宋体" w:hAnsi="宋体" w:cs="宋体"/>
          <w:color w:val="000000" w:themeColor="text1"/>
          <w:sz w:val="24"/>
          <w:szCs w:val="24"/>
        </w:rPr>
      </w:pPr>
      <w:r>
        <w:rPr>
          <w:rFonts w:hint="eastAsia" w:ascii="宋体" w:hAnsi="宋体" w:cs="宋体"/>
          <w:color w:val="000000" w:themeColor="text1"/>
          <w:sz w:val="24"/>
          <w:szCs w:val="24"/>
        </w:rPr>
        <w:t>②《政府采购支持监狱企业发展有关问题的通知》（财库〔2014〕68号），</w:t>
      </w:r>
      <w:r>
        <w:rPr>
          <w:rFonts w:ascii="宋体" w:hAnsi="宋体" w:cs="宋体"/>
          <w:color w:val="000000" w:themeColor="text1"/>
          <w:sz w:val="24"/>
          <w:szCs w:val="24"/>
        </w:rPr>
        <w:t>监狱企业视同小微企业</w:t>
      </w:r>
      <w:r>
        <w:rPr>
          <w:rFonts w:hint="eastAsia" w:ascii="宋体" w:hAnsi="宋体" w:cs="宋体"/>
          <w:color w:val="000000" w:themeColor="text1"/>
          <w:sz w:val="24"/>
          <w:szCs w:val="24"/>
        </w:rPr>
        <w:t>。</w:t>
      </w:r>
    </w:p>
    <w:p>
      <w:pPr>
        <w:pageBreakBefore w:val="0"/>
        <w:widowControl/>
        <w:kinsoku/>
        <w:wordWrap/>
        <w:overflowPunct/>
        <w:topLinePunct w:val="0"/>
        <w:bidi w:val="0"/>
        <w:adjustRightInd w:val="0"/>
        <w:snapToGrid w:val="0"/>
        <w:spacing w:line="288" w:lineRule="auto"/>
        <w:ind w:firstLine="240" w:firstLineChars="100"/>
        <w:jc w:val="left"/>
        <w:textAlignment w:val="auto"/>
        <w:rPr>
          <w:rFonts w:ascii="宋体" w:hAnsi="宋体" w:cs="宋体"/>
          <w:color w:val="000000" w:themeColor="text1"/>
          <w:sz w:val="24"/>
          <w:szCs w:val="24"/>
        </w:rPr>
      </w:pPr>
      <w:r>
        <w:rPr>
          <w:rFonts w:hint="eastAsia" w:ascii="宋体" w:hAnsi="宋体" w:cs="宋体"/>
          <w:color w:val="000000" w:themeColor="text1"/>
          <w:sz w:val="24"/>
          <w:szCs w:val="24"/>
        </w:rPr>
        <w:t>③《财政部、民政部、中国残疾人联合会关于促进残疾人就业政府采购政策的通知》（〔2017〕141 号），</w:t>
      </w:r>
      <w:r>
        <w:rPr>
          <w:rFonts w:ascii="宋体" w:hAnsi="宋体" w:cs="宋体"/>
          <w:color w:val="000000" w:themeColor="text1"/>
          <w:sz w:val="24"/>
          <w:szCs w:val="24"/>
        </w:rPr>
        <w:t>残疾人福利性单位视同小微型企业</w:t>
      </w:r>
      <w:r>
        <w:rPr>
          <w:rFonts w:hint="eastAsia" w:ascii="宋体" w:hAnsi="宋体" w:cs="宋体"/>
          <w:color w:val="000000" w:themeColor="text1"/>
          <w:sz w:val="24"/>
          <w:szCs w:val="24"/>
        </w:rPr>
        <w:t>。</w:t>
      </w:r>
    </w:p>
    <w:p>
      <w:pPr>
        <w:pageBreakBefore w:val="0"/>
        <w:widowControl/>
        <w:kinsoku/>
        <w:wordWrap/>
        <w:overflowPunct/>
        <w:topLinePunct w:val="0"/>
        <w:bidi w:val="0"/>
        <w:adjustRightInd w:val="0"/>
        <w:snapToGrid w:val="0"/>
        <w:spacing w:afterLines="50" w:line="288" w:lineRule="auto"/>
        <w:jc w:val="left"/>
        <w:textAlignment w:val="auto"/>
        <w:rPr>
          <w:rFonts w:ascii="宋体" w:hAnsi="宋体" w:cs="宋体"/>
          <w:b/>
          <w:color w:val="000000" w:themeColor="text1"/>
          <w:sz w:val="24"/>
          <w:szCs w:val="24"/>
        </w:rPr>
      </w:pPr>
      <w:r>
        <w:rPr>
          <w:rFonts w:hint="eastAsia" w:ascii="宋体" w:hAnsi="宋体" w:cs="宋体"/>
          <w:b/>
          <w:color w:val="000000" w:themeColor="text1"/>
          <w:sz w:val="24"/>
          <w:szCs w:val="24"/>
          <w:lang w:val="en-US" w:eastAsia="zh-CN"/>
        </w:rPr>
        <w:t>七</w:t>
      </w:r>
      <w:r>
        <w:rPr>
          <w:rFonts w:hint="eastAsia" w:ascii="宋体" w:hAnsi="宋体" w:cs="宋体"/>
          <w:b/>
          <w:color w:val="000000" w:themeColor="text1"/>
          <w:sz w:val="24"/>
          <w:szCs w:val="24"/>
        </w:rPr>
        <w:t>、本采购项目实质性内容</w:t>
      </w:r>
    </w:p>
    <w:p>
      <w:pPr>
        <w:pageBreakBefore w:val="0"/>
        <w:widowControl/>
        <w:kinsoku/>
        <w:wordWrap/>
        <w:overflowPunct/>
        <w:topLinePunct w:val="0"/>
        <w:bidi w:val="0"/>
        <w:adjustRightInd w:val="0"/>
        <w:snapToGrid w:val="0"/>
        <w:spacing w:line="288" w:lineRule="auto"/>
        <w:ind w:firstLine="240" w:firstLineChars="100"/>
        <w:jc w:val="left"/>
        <w:textAlignment w:val="auto"/>
        <w:rPr>
          <w:rFonts w:ascii="宋体" w:hAnsi="宋体" w:cs="宋体"/>
          <w:color w:val="000000" w:themeColor="text1"/>
          <w:sz w:val="24"/>
          <w:szCs w:val="24"/>
        </w:rPr>
      </w:pPr>
      <w:r>
        <w:rPr>
          <w:rFonts w:hint="eastAsia" w:ascii="宋体" w:hAnsi="宋体" w:cs="宋体"/>
          <w:color w:val="000000" w:themeColor="text1"/>
          <w:sz w:val="24"/>
          <w:szCs w:val="24"/>
        </w:rPr>
        <w:t>1.明确的技术、服务要求，商务要求等。</w:t>
      </w:r>
    </w:p>
    <w:p>
      <w:pPr>
        <w:pageBreakBefore w:val="0"/>
        <w:widowControl/>
        <w:kinsoku/>
        <w:wordWrap/>
        <w:overflowPunct/>
        <w:topLinePunct w:val="0"/>
        <w:bidi w:val="0"/>
        <w:adjustRightInd w:val="0"/>
        <w:snapToGrid w:val="0"/>
        <w:spacing w:line="288" w:lineRule="auto"/>
        <w:ind w:firstLine="240" w:firstLineChars="100"/>
        <w:jc w:val="left"/>
        <w:textAlignment w:val="auto"/>
        <w:rPr>
          <w:rFonts w:ascii="宋体" w:hAnsi="宋体" w:cs="宋体"/>
          <w:b/>
          <w:color w:val="000000" w:themeColor="text1"/>
          <w:sz w:val="24"/>
          <w:szCs w:val="24"/>
        </w:rPr>
      </w:pPr>
      <w:r>
        <w:rPr>
          <w:rFonts w:hint="eastAsia" w:ascii="宋体" w:hAnsi="宋体" w:cs="宋体"/>
          <w:color w:val="000000" w:themeColor="text1"/>
          <w:sz w:val="24"/>
          <w:szCs w:val="24"/>
        </w:rPr>
        <w:t>2.政府采购政策要求。</w:t>
      </w:r>
    </w:p>
    <w:p>
      <w:pPr>
        <w:pageBreakBefore w:val="0"/>
        <w:widowControl/>
        <w:kinsoku/>
        <w:wordWrap/>
        <w:overflowPunct/>
        <w:topLinePunct w:val="0"/>
        <w:bidi w:val="0"/>
        <w:adjustRightInd w:val="0"/>
        <w:snapToGrid w:val="0"/>
        <w:spacing w:afterLines="50" w:line="288" w:lineRule="auto"/>
        <w:jc w:val="left"/>
        <w:textAlignment w:val="auto"/>
        <w:rPr>
          <w:rFonts w:ascii="宋体" w:hAnsi="宋体" w:cs="宋体"/>
          <w:b/>
          <w:color w:val="000000" w:themeColor="text1"/>
          <w:sz w:val="24"/>
          <w:szCs w:val="24"/>
        </w:rPr>
      </w:pPr>
      <w:r>
        <w:rPr>
          <w:rFonts w:hint="eastAsia" w:ascii="宋体" w:hAnsi="宋体" w:cs="宋体"/>
          <w:b/>
          <w:color w:val="000000" w:themeColor="text1"/>
          <w:sz w:val="24"/>
          <w:szCs w:val="24"/>
          <w:lang w:val="en-US" w:eastAsia="zh-CN"/>
        </w:rPr>
        <w:t>八</w:t>
      </w:r>
      <w:r>
        <w:rPr>
          <w:rFonts w:hint="eastAsia" w:ascii="宋体" w:hAnsi="宋体" w:cs="宋体"/>
          <w:b/>
          <w:color w:val="000000" w:themeColor="text1"/>
          <w:sz w:val="24"/>
          <w:szCs w:val="24"/>
        </w:rPr>
        <w:t>、采购项目磋商内容、磋商过程中可实质性变动的内容</w:t>
      </w:r>
    </w:p>
    <w:p>
      <w:pPr>
        <w:pageBreakBefore w:val="0"/>
        <w:tabs>
          <w:tab w:val="left" w:pos="7665"/>
        </w:tabs>
        <w:kinsoku/>
        <w:wordWrap/>
        <w:overflowPunct/>
        <w:topLinePunct w:val="0"/>
        <w:bidi w:val="0"/>
        <w:spacing w:line="288" w:lineRule="auto"/>
        <w:textAlignment w:val="auto"/>
        <w:rPr>
          <w:rFonts w:hAnsi="宋体"/>
          <w:bCs/>
          <w:color w:val="000000"/>
          <w:sz w:val="24"/>
          <w:szCs w:val="24"/>
        </w:rPr>
      </w:pPr>
      <w:r>
        <w:rPr>
          <w:rFonts w:hint="eastAsia" w:hAnsi="宋体"/>
          <w:bCs/>
          <w:color w:val="000000"/>
          <w:sz w:val="24"/>
          <w:szCs w:val="24"/>
        </w:rPr>
        <w:t>（一）磋商内容：</w:t>
      </w:r>
    </w:p>
    <w:p>
      <w:pPr>
        <w:pageBreakBefore w:val="0"/>
        <w:widowControl/>
        <w:kinsoku/>
        <w:wordWrap/>
        <w:overflowPunct/>
        <w:topLinePunct w:val="0"/>
        <w:bidi w:val="0"/>
        <w:adjustRightInd w:val="0"/>
        <w:snapToGrid w:val="0"/>
        <w:spacing w:line="288" w:lineRule="auto"/>
        <w:ind w:firstLine="480" w:firstLineChars="200"/>
        <w:jc w:val="left"/>
        <w:textAlignment w:val="auto"/>
        <w:rPr>
          <w:rFonts w:ascii="宋体" w:hAnsi="宋体" w:cs="宋体"/>
          <w:color w:val="000000" w:themeColor="text1"/>
          <w:sz w:val="24"/>
          <w:szCs w:val="24"/>
        </w:rPr>
      </w:pPr>
      <w:r>
        <w:rPr>
          <w:rFonts w:hint="eastAsia" w:ascii="宋体" w:hAnsi="宋体" w:cs="宋体"/>
          <w:color w:val="000000" w:themeColor="text1"/>
          <w:sz w:val="24"/>
          <w:szCs w:val="24"/>
        </w:rPr>
        <w:t>1.本次采购需求范围中的服务、技术要求(</w:t>
      </w:r>
      <w:r>
        <w:rPr>
          <w:rFonts w:hint="eastAsia" w:ascii="宋体" w:hAnsi="宋体" w:cs="宋体"/>
          <w:bCs/>
          <w:iCs/>
          <w:color w:val="000000" w:themeColor="text1"/>
          <w:sz w:val="24"/>
          <w:szCs w:val="24"/>
        </w:rPr>
        <w:t>相关法律法规及技术规范/不可变动的实质性要求条款除外</w:t>
      </w:r>
      <w:r>
        <w:rPr>
          <w:rFonts w:hint="eastAsia" w:ascii="宋体" w:hAnsi="宋体" w:cs="宋体"/>
          <w:color w:val="000000" w:themeColor="text1"/>
          <w:sz w:val="24"/>
          <w:szCs w:val="24"/>
        </w:rPr>
        <w:t>)。</w:t>
      </w:r>
    </w:p>
    <w:p>
      <w:pPr>
        <w:pageBreakBefore w:val="0"/>
        <w:widowControl/>
        <w:kinsoku/>
        <w:wordWrap/>
        <w:overflowPunct/>
        <w:topLinePunct w:val="0"/>
        <w:bidi w:val="0"/>
        <w:adjustRightInd w:val="0"/>
        <w:snapToGrid w:val="0"/>
        <w:spacing w:line="288" w:lineRule="auto"/>
        <w:ind w:firstLine="480" w:firstLineChars="200"/>
        <w:jc w:val="left"/>
        <w:textAlignment w:val="auto"/>
        <w:rPr>
          <w:rFonts w:ascii="宋体" w:hAnsi="宋体" w:cs="宋体"/>
          <w:color w:val="000000" w:themeColor="text1"/>
          <w:sz w:val="24"/>
          <w:szCs w:val="24"/>
        </w:rPr>
      </w:pPr>
      <w:r>
        <w:rPr>
          <w:rFonts w:hint="eastAsia" w:ascii="宋体" w:hAnsi="宋体" w:cs="宋体"/>
          <w:color w:val="000000" w:themeColor="text1"/>
          <w:sz w:val="24"/>
          <w:szCs w:val="24"/>
        </w:rPr>
        <w:t>2.技术要求、商务等情况说明。</w:t>
      </w:r>
    </w:p>
    <w:p>
      <w:pPr>
        <w:pageBreakBefore w:val="0"/>
        <w:widowControl/>
        <w:kinsoku/>
        <w:wordWrap/>
        <w:overflowPunct/>
        <w:topLinePunct w:val="0"/>
        <w:bidi w:val="0"/>
        <w:adjustRightInd w:val="0"/>
        <w:snapToGrid w:val="0"/>
        <w:spacing w:line="288" w:lineRule="auto"/>
        <w:ind w:firstLine="480" w:firstLineChars="200"/>
        <w:jc w:val="left"/>
        <w:textAlignment w:val="auto"/>
        <w:rPr>
          <w:rFonts w:ascii="宋体" w:hAnsi="宋体" w:cs="宋体"/>
          <w:color w:val="000000" w:themeColor="text1"/>
          <w:sz w:val="24"/>
          <w:szCs w:val="24"/>
        </w:rPr>
      </w:pPr>
      <w:r>
        <w:rPr>
          <w:rFonts w:hint="eastAsia" w:ascii="宋体" w:hAnsi="宋体" w:cs="宋体"/>
          <w:color w:val="000000" w:themeColor="text1"/>
          <w:sz w:val="24"/>
          <w:szCs w:val="24"/>
        </w:rPr>
        <w:t>3.合同主要条款及价格商定情况。</w:t>
      </w:r>
    </w:p>
    <w:p>
      <w:pPr>
        <w:pageBreakBefore w:val="0"/>
        <w:tabs>
          <w:tab w:val="left" w:pos="7665"/>
        </w:tabs>
        <w:kinsoku/>
        <w:wordWrap/>
        <w:overflowPunct/>
        <w:topLinePunct w:val="0"/>
        <w:bidi w:val="0"/>
        <w:spacing w:line="288" w:lineRule="auto"/>
        <w:textAlignment w:val="auto"/>
        <w:rPr>
          <w:rFonts w:hAnsi="宋体"/>
          <w:bCs/>
          <w:color w:val="000000"/>
          <w:sz w:val="24"/>
          <w:szCs w:val="24"/>
        </w:rPr>
      </w:pPr>
      <w:r>
        <w:rPr>
          <w:rFonts w:hint="eastAsia" w:hAnsi="宋体"/>
          <w:bCs/>
          <w:color w:val="000000"/>
          <w:sz w:val="24"/>
          <w:szCs w:val="24"/>
        </w:rPr>
        <w:t>（二）磋商过程中可能实质性变动的内容：</w:t>
      </w:r>
    </w:p>
    <w:p>
      <w:pPr>
        <w:pageBreakBefore w:val="0"/>
        <w:widowControl/>
        <w:kinsoku/>
        <w:wordWrap/>
        <w:overflowPunct/>
        <w:topLinePunct w:val="0"/>
        <w:bidi w:val="0"/>
        <w:adjustRightInd w:val="0"/>
        <w:snapToGrid w:val="0"/>
        <w:spacing w:line="288" w:lineRule="auto"/>
        <w:ind w:firstLine="480" w:firstLineChars="200"/>
        <w:jc w:val="left"/>
        <w:textAlignment w:val="auto"/>
        <w:rPr>
          <w:rFonts w:ascii="宋体" w:hAnsi="宋体" w:cs="宋体"/>
          <w:color w:val="000000" w:themeColor="text1"/>
          <w:sz w:val="24"/>
          <w:szCs w:val="24"/>
        </w:rPr>
      </w:pPr>
      <w:r>
        <w:rPr>
          <w:rFonts w:hint="eastAsia" w:ascii="宋体" w:hAnsi="宋体" w:cs="宋体"/>
          <w:color w:val="000000" w:themeColor="text1"/>
          <w:sz w:val="24"/>
          <w:szCs w:val="24"/>
        </w:rPr>
        <w:t>1.需求中的商务、服务、技术要求以及合同草案条款等(</w:t>
      </w:r>
      <w:r>
        <w:rPr>
          <w:rFonts w:hint="eastAsia" w:ascii="宋体" w:hAnsi="宋体" w:cs="宋体"/>
          <w:bCs/>
          <w:iCs/>
          <w:color w:val="000000" w:themeColor="text1"/>
          <w:sz w:val="24"/>
          <w:szCs w:val="24"/>
        </w:rPr>
        <w:t>相关法律法规及技术规范/不可变动的实质性要求条款除外</w:t>
      </w:r>
      <w:r>
        <w:rPr>
          <w:rFonts w:hint="eastAsia" w:ascii="宋体" w:hAnsi="宋体" w:cs="宋体"/>
          <w:color w:val="000000" w:themeColor="text1"/>
          <w:sz w:val="24"/>
          <w:szCs w:val="24"/>
        </w:rPr>
        <w:t>)。</w:t>
      </w:r>
    </w:p>
    <w:p>
      <w:pPr>
        <w:pageBreakBefore w:val="0"/>
        <w:widowControl/>
        <w:kinsoku/>
        <w:wordWrap/>
        <w:overflowPunct/>
        <w:topLinePunct w:val="0"/>
        <w:bidi w:val="0"/>
        <w:adjustRightInd w:val="0"/>
        <w:snapToGrid w:val="0"/>
        <w:spacing w:line="288" w:lineRule="auto"/>
        <w:ind w:firstLine="480" w:firstLineChars="200"/>
        <w:jc w:val="left"/>
        <w:textAlignment w:val="auto"/>
        <w:rPr>
          <w:rFonts w:ascii="宋体" w:hAnsi="宋体" w:cs="宋体"/>
          <w:color w:val="000000" w:themeColor="text1"/>
          <w:sz w:val="24"/>
          <w:szCs w:val="24"/>
        </w:rPr>
      </w:pPr>
      <w:r>
        <w:rPr>
          <w:rFonts w:hint="eastAsia" w:ascii="宋体" w:hAnsi="宋体" w:cs="宋体"/>
          <w:color w:val="000000" w:themeColor="text1"/>
          <w:sz w:val="24"/>
          <w:szCs w:val="24"/>
        </w:rPr>
        <w:t>2.实质性变动的内容须经磋商小组中的采购人代表书面确认。</w:t>
      </w:r>
    </w:p>
    <w:p>
      <w:pPr>
        <w:pageBreakBefore w:val="0"/>
        <w:widowControl/>
        <w:kinsoku/>
        <w:wordWrap/>
        <w:overflowPunct/>
        <w:topLinePunct w:val="0"/>
        <w:bidi w:val="0"/>
        <w:adjustRightInd w:val="0"/>
        <w:snapToGrid w:val="0"/>
        <w:spacing w:afterLines="50" w:line="288" w:lineRule="auto"/>
        <w:jc w:val="left"/>
        <w:textAlignment w:val="auto"/>
        <w:rPr>
          <w:rFonts w:ascii="宋体" w:hAnsi="宋体" w:cs="宋体"/>
          <w:b/>
          <w:color w:val="000000" w:themeColor="text1"/>
          <w:sz w:val="24"/>
          <w:szCs w:val="24"/>
        </w:rPr>
      </w:pPr>
      <w:r>
        <w:rPr>
          <w:rFonts w:hint="eastAsia" w:ascii="宋体" w:hAnsi="宋体" w:cs="宋体"/>
          <w:b/>
          <w:color w:val="000000" w:themeColor="text1"/>
          <w:sz w:val="24"/>
          <w:szCs w:val="24"/>
          <w:lang w:val="en-US" w:eastAsia="zh-CN"/>
        </w:rPr>
        <w:t>九</w:t>
      </w:r>
      <w:r>
        <w:rPr>
          <w:rFonts w:hint="eastAsia" w:ascii="宋体" w:hAnsi="宋体" w:cs="宋体"/>
          <w:b/>
          <w:color w:val="000000" w:themeColor="text1"/>
          <w:sz w:val="24"/>
          <w:szCs w:val="24"/>
        </w:rPr>
        <w:t>、供应商参加本次政府采购活动应具备下列条件：</w:t>
      </w:r>
    </w:p>
    <w:p>
      <w:pPr>
        <w:pageBreakBefore w:val="0"/>
        <w:widowControl/>
        <w:kinsoku/>
        <w:wordWrap/>
        <w:overflowPunct/>
        <w:topLinePunct w:val="0"/>
        <w:bidi w:val="0"/>
        <w:adjustRightInd w:val="0"/>
        <w:snapToGrid w:val="0"/>
        <w:spacing w:line="288" w:lineRule="auto"/>
        <w:ind w:firstLine="480" w:firstLineChars="200"/>
        <w:jc w:val="left"/>
        <w:textAlignment w:val="auto"/>
        <w:rPr>
          <w:rFonts w:ascii="宋体" w:hAnsi="宋体" w:cs="宋体"/>
          <w:color w:val="000000" w:themeColor="text1"/>
          <w:sz w:val="24"/>
          <w:szCs w:val="24"/>
        </w:rPr>
      </w:pPr>
      <w:r>
        <w:rPr>
          <w:rFonts w:hint="eastAsia" w:ascii="宋体" w:hAnsi="宋体" w:cs="宋体"/>
          <w:color w:val="000000" w:themeColor="text1"/>
          <w:sz w:val="24"/>
          <w:szCs w:val="24"/>
        </w:rPr>
        <w:t>1</w:t>
      </w:r>
      <w:r>
        <w:rPr>
          <w:rFonts w:hint="eastAsia" w:ascii="宋体" w:hAnsi="宋体" w:cs="宋体"/>
          <w:color w:val="000000" w:themeColor="text1"/>
          <w:sz w:val="24"/>
          <w:szCs w:val="24"/>
          <w:lang w:val="en-US" w:eastAsia="zh-CN"/>
        </w:rPr>
        <w:t>.</w:t>
      </w:r>
      <w:r>
        <w:rPr>
          <w:rFonts w:hint="eastAsia" w:ascii="宋体" w:hAnsi="宋体" w:cs="宋体"/>
          <w:color w:val="000000" w:themeColor="text1"/>
          <w:sz w:val="24"/>
          <w:szCs w:val="24"/>
        </w:rPr>
        <w:t>具有独立承担民事责任的能力；</w:t>
      </w:r>
    </w:p>
    <w:p>
      <w:pPr>
        <w:pageBreakBefore w:val="0"/>
        <w:widowControl/>
        <w:kinsoku/>
        <w:wordWrap/>
        <w:overflowPunct/>
        <w:topLinePunct w:val="0"/>
        <w:bidi w:val="0"/>
        <w:adjustRightInd w:val="0"/>
        <w:snapToGrid w:val="0"/>
        <w:spacing w:line="288" w:lineRule="auto"/>
        <w:ind w:firstLine="480" w:firstLineChars="200"/>
        <w:jc w:val="left"/>
        <w:textAlignment w:val="auto"/>
        <w:rPr>
          <w:rFonts w:ascii="宋体" w:hAnsi="宋体" w:cs="宋体"/>
          <w:color w:val="000000" w:themeColor="text1"/>
          <w:sz w:val="24"/>
          <w:szCs w:val="24"/>
        </w:rPr>
      </w:pPr>
      <w:r>
        <w:rPr>
          <w:rFonts w:hint="eastAsia" w:ascii="宋体" w:hAnsi="宋体" w:cs="宋体"/>
          <w:color w:val="000000" w:themeColor="text1"/>
          <w:sz w:val="24"/>
          <w:szCs w:val="24"/>
        </w:rPr>
        <w:t>2</w:t>
      </w:r>
      <w:r>
        <w:rPr>
          <w:rFonts w:hint="eastAsia" w:ascii="宋体" w:hAnsi="宋体" w:cs="宋体"/>
          <w:color w:val="000000" w:themeColor="text1"/>
          <w:sz w:val="24"/>
          <w:szCs w:val="24"/>
          <w:lang w:val="en-US" w:eastAsia="zh-CN"/>
        </w:rPr>
        <w:t>.</w:t>
      </w:r>
      <w:r>
        <w:rPr>
          <w:rFonts w:hint="eastAsia" w:ascii="宋体" w:hAnsi="宋体" w:cs="宋体"/>
          <w:color w:val="000000" w:themeColor="text1"/>
          <w:sz w:val="24"/>
          <w:szCs w:val="24"/>
        </w:rPr>
        <w:t>具有良好的商业信誉和健全的财务会计制度；</w:t>
      </w:r>
    </w:p>
    <w:p>
      <w:pPr>
        <w:pageBreakBefore w:val="0"/>
        <w:widowControl/>
        <w:kinsoku/>
        <w:wordWrap/>
        <w:overflowPunct/>
        <w:topLinePunct w:val="0"/>
        <w:bidi w:val="0"/>
        <w:adjustRightInd w:val="0"/>
        <w:snapToGrid w:val="0"/>
        <w:spacing w:line="288" w:lineRule="auto"/>
        <w:ind w:firstLine="480" w:firstLineChars="200"/>
        <w:jc w:val="left"/>
        <w:textAlignment w:val="auto"/>
        <w:rPr>
          <w:rFonts w:ascii="宋体" w:hAnsi="宋体" w:cs="宋体"/>
          <w:color w:val="000000" w:themeColor="text1"/>
          <w:sz w:val="24"/>
          <w:szCs w:val="24"/>
        </w:rPr>
      </w:pPr>
      <w:r>
        <w:rPr>
          <w:rFonts w:hint="eastAsia" w:ascii="宋体" w:hAnsi="宋体" w:cs="宋体"/>
          <w:color w:val="000000" w:themeColor="text1"/>
          <w:sz w:val="24"/>
          <w:szCs w:val="24"/>
        </w:rPr>
        <w:t>3</w:t>
      </w:r>
      <w:r>
        <w:rPr>
          <w:rFonts w:hint="eastAsia" w:ascii="宋体" w:hAnsi="宋体" w:cs="宋体"/>
          <w:color w:val="000000" w:themeColor="text1"/>
          <w:sz w:val="24"/>
          <w:szCs w:val="24"/>
          <w:lang w:val="en-US" w:eastAsia="zh-CN"/>
        </w:rPr>
        <w:t>.</w:t>
      </w:r>
      <w:r>
        <w:rPr>
          <w:rFonts w:hint="eastAsia" w:ascii="宋体" w:hAnsi="宋体" w:cs="宋体"/>
          <w:color w:val="000000" w:themeColor="text1"/>
          <w:sz w:val="24"/>
          <w:szCs w:val="24"/>
        </w:rPr>
        <w:t>具有履行合同所必须的设备和专业技术能力；</w:t>
      </w:r>
    </w:p>
    <w:p>
      <w:pPr>
        <w:pageBreakBefore w:val="0"/>
        <w:widowControl/>
        <w:kinsoku/>
        <w:wordWrap/>
        <w:overflowPunct/>
        <w:topLinePunct w:val="0"/>
        <w:bidi w:val="0"/>
        <w:adjustRightInd w:val="0"/>
        <w:snapToGrid w:val="0"/>
        <w:spacing w:line="288" w:lineRule="auto"/>
        <w:ind w:firstLine="480" w:firstLineChars="200"/>
        <w:jc w:val="left"/>
        <w:textAlignment w:val="auto"/>
        <w:rPr>
          <w:rFonts w:ascii="宋体" w:hAnsi="宋体" w:cs="宋体"/>
          <w:color w:val="000000" w:themeColor="text1"/>
          <w:sz w:val="24"/>
          <w:szCs w:val="24"/>
        </w:rPr>
      </w:pPr>
      <w:r>
        <w:rPr>
          <w:rFonts w:hint="eastAsia" w:ascii="宋体" w:hAnsi="宋体" w:cs="宋体"/>
          <w:color w:val="000000" w:themeColor="text1"/>
          <w:sz w:val="24"/>
          <w:szCs w:val="24"/>
        </w:rPr>
        <w:t>4</w:t>
      </w:r>
      <w:r>
        <w:rPr>
          <w:rFonts w:hint="eastAsia" w:ascii="宋体" w:hAnsi="宋体" w:cs="宋体"/>
          <w:color w:val="000000" w:themeColor="text1"/>
          <w:sz w:val="24"/>
          <w:szCs w:val="24"/>
          <w:lang w:val="en-US" w:eastAsia="zh-CN"/>
        </w:rPr>
        <w:t>.</w:t>
      </w:r>
      <w:r>
        <w:rPr>
          <w:rFonts w:hint="eastAsia" w:ascii="宋体" w:hAnsi="宋体" w:cs="宋体"/>
          <w:color w:val="000000" w:themeColor="text1"/>
          <w:sz w:val="24"/>
          <w:szCs w:val="24"/>
        </w:rPr>
        <w:t>具有依法缴纳税收和社会保障资金的良好记录；</w:t>
      </w:r>
    </w:p>
    <w:p>
      <w:pPr>
        <w:pageBreakBefore w:val="0"/>
        <w:widowControl/>
        <w:kinsoku/>
        <w:wordWrap/>
        <w:overflowPunct/>
        <w:topLinePunct w:val="0"/>
        <w:bidi w:val="0"/>
        <w:adjustRightInd w:val="0"/>
        <w:snapToGrid w:val="0"/>
        <w:spacing w:line="288" w:lineRule="auto"/>
        <w:ind w:firstLine="480" w:firstLineChars="200"/>
        <w:jc w:val="left"/>
        <w:textAlignment w:val="auto"/>
        <w:rPr>
          <w:rFonts w:ascii="宋体" w:hAnsi="宋体" w:cs="宋体"/>
          <w:color w:val="000000" w:themeColor="text1"/>
          <w:sz w:val="24"/>
          <w:szCs w:val="24"/>
        </w:rPr>
      </w:pPr>
      <w:r>
        <w:rPr>
          <w:rFonts w:hint="eastAsia" w:ascii="宋体" w:hAnsi="宋体" w:cs="宋体"/>
          <w:color w:val="000000" w:themeColor="text1"/>
          <w:sz w:val="24"/>
          <w:szCs w:val="24"/>
        </w:rPr>
        <w:t>5</w:t>
      </w:r>
      <w:r>
        <w:rPr>
          <w:rFonts w:hint="eastAsia" w:ascii="宋体" w:hAnsi="宋体" w:cs="宋体"/>
          <w:color w:val="000000" w:themeColor="text1"/>
          <w:sz w:val="24"/>
          <w:szCs w:val="24"/>
          <w:lang w:val="en-US" w:eastAsia="zh-CN"/>
        </w:rPr>
        <w:t>.</w:t>
      </w:r>
      <w:r>
        <w:rPr>
          <w:rFonts w:hint="eastAsia" w:ascii="宋体" w:hAnsi="宋体" w:cs="宋体"/>
          <w:color w:val="000000" w:themeColor="text1"/>
          <w:sz w:val="24"/>
          <w:szCs w:val="24"/>
        </w:rPr>
        <w:t>参加本次采购活动前三年内，在经营活动中没有重大违法记录；</w:t>
      </w:r>
    </w:p>
    <w:p>
      <w:pPr>
        <w:pageBreakBefore w:val="0"/>
        <w:widowControl/>
        <w:kinsoku/>
        <w:wordWrap/>
        <w:overflowPunct/>
        <w:topLinePunct w:val="0"/>
        <w:bidi w:val="0"/>
        <w:adjustRightInd w:val="0"/>
        <w:snapToGrid w:val="0"/>
        <w:spacing w:line="288" w:lineRule="auto"/>
        <w:ind w:firstLine="480" w:firstLineChars="200"/>
        <w:jc w:val="left"/>
        <w:textAlignment w:val="auto"/>
        <w:rPr>
          <w:rFonts w:ascii="宋体" w:hAnsi="宋体" w:cs="宋体"/>
          <w:color w:val="000000" w:themeColor="text1"/>
          <w:sz w:val="24"/>
          <w:szCs w:val="24"/>
        </w:rPr>
      </w:pPr>
      <w:r>
        <w:rPr>
          <w:rFonts w:hint="eastAsia" w:ascii="宋体" w:hAnsi="宋体" w:cs="宋体"/>
          <w:color w:val="000000" w:themeColor="text1"/>
          <w:sz w:val="24"/>
          <w:szCs w:val="24"/>
        </w:rPr>
        <w:t>6</w:t>
      </w:r>
      <w:r>
        <w:rPr>
          <w:rFonts w:hint="eastAsia" w:ascii="宋体" w:hAnsi="宋体" w:cs="宋体"/>
          <w:color w:val="000000" w:themeColor="text1"/>
          <w:sz w:val="24"/>
          <w:szCs w:val="24"/>
          <w:lang w:val="en-US" w:eastAsia="zh-CN"/>
        </w:rPr>
        <w:t>.</w:t>
      </w:r>
      <w:r>
        <w:rPr>
          <w:rFonts w:hint="eastAsia" w:ascii="宋体" w:hAnsi="宋体" w:cs="宋体"/>
          <w:color w:val="000000" w:themeColor="text1"/>
          <w:sz w:val="24"/>
          <w:szCs w:val="24"/>
        </w:rPr>
        <w:t>法律、行政法规规定的其他条件；</w:t>
      </w:r>
    </w:p>
    <w:p>
      <w:pPr>
        <w:pageBreakBefore w:val="0"/>
        <w:widowControl/>
        <w:kinsoku/>
        <w:wordWrap/>
        <w:overflowPunct/>
        <w:topLinePunct w:val="0"/>
        <w:bidi w:val="0"/>
        <w:adjustRightInd w:val="0"/>
        <w:snapToGrid w:val="0"/>
        <w:spacing w:line="288" w:lineRule="auto"/>
        <w:ind w:firstLine="480" w:firstLineChars="200"/>
        <w:jc w:val="left"/>
        <w:textAlignment w:val="auto"/>
        <w:rPr>
          <w:rFonts w:ascii="宋体" w:hAnsi="宋体" w:cs="宋体"/>
          <w:color w:val="000000" w:themeColor="text1"/>
          <w:sz w:val="24"/>
          <w:szCs w:val="24"/>
        </w:rPr>
      </w:pPr>
      <w:r>
        <w:rPr>
          <w:rFonts w:hint="eastAsia" w:ascii="宋体" w:hAnsi="宋体" w:cs="宋体"/>
          <w:color w:val="000000" w:themeColor="text1"/>
          <w:sz w:val="24"/>
          <w:szCs w:val="24"/>
        </w:rPr>
        <w:t>7</w:t>
      </w:r>
      <w:r>
        <w:rPr>
          <w:rFonts w:hint="eastAsia" w:ascii="宋体" w:hAnsi="宋体" w:cs="宋体"/>
          <w:color w:val="000000" w:themeColor="text1"/>
          <w:sz w:val="24"/>
          <w:szCs w:val="24"/>
          <w:lang w:val="en-US" w:eastAsia="zh-CN"/>
        </w:rPr>
        <w:t>.</w:t>
      </w:r>
      <w:r>
        <w:rPr>
          <w:rFonts w:hint="eastAsia" w:ascii="宋体" w:hAnsi="宋体" w:cs="宋体"/>
          <w:color w:val="000000" w:themeColor="text1"/>
          <w:sz w:val="24"/>
          <w:szCs w:val="24"/>
        </w:rPr>
        <w:t>本项目不接受联合体磋商。</w:t>
      </w:r>
    </w:p>
    <w:p>
      <w:pPr>
        <w:pageBreakBefore w:val="0"/>
        <w:widowControl/>
        <w:kinsoku/>
        <w:wordWrap/>
        <w:overflowPunct/>
        <w:topLinePunct w:val="0"/>
        <w:bidi w:val="0"/>
        <w:adjustRightInd w:val="0"/>
        <w:snapToGrid w:val="0"/>
        <w:spacing w:line="288" w:lineRule="auto"/>
        <w:ind w:firstLine="480" w:firstLineChars="200"/>
        <w:jc w:val="left"/>
        <w:textAlignment w:val="auto"/>
        <w:rPr>
          <w:rFonts w:hint="eastAsia" w:ascii="宋体" w:hAnsi="宋体" w:cs="宋体"/>
          <w:color w:val="000000" w:themeColor="text1"/>
          <w:sz w:val="24"/>
          <w:szCs w:val="24"/>
        </w:rPr>
      </w:pPr>
      <w:r>
        <w:rPr>
          <w:rFonts w:hint="eastAsia" w:ascii="宋体" w:hAnsi="宋体" w:cs="宋体"/>
          <w:color w:val="000000" w:themeColor="text1"/>
          <w:sz w:val="24"/>
          <w:szCs w:val="24"/>
        </w:rPr>
        <w:t>8</w:t>
      </w:r>
      <w:r>
        <w:rPr>
          <w:rFonts w:hint="eastAsia" w:ascii="宋体" w:hAnsi="宋体" w:cs="宋体"/>
          <w:color w:val="000000" w:themeColor="text1"/>
          <w:sz w:val="24"/>
          <w:szCs w:val="24"/>
          <w:lang w:val="en-US" w:eastAsia="zh-CN"/>
        </w:rPr>
        <w:t>.</w:t>
      </w:r>
      <w:r>
        <w:rPr>
          <w:rFonts w:hint="eastAsia" w:ascii="宋体" w:hAnsi="宋体" w:cs="宋体"/>
          <w:color w:val="000000" w:themeColor="text1"/>
          <w:sz w:val="24"/>
          <w:szCs w:val="24"/>
        </w:rPr>
        <w:t>根据采购项目提出的特殊条件：</w:t>
      </w:r>
    </w:p>
    <w:p>
      <w:pPr>
        <w:pageBreakBefore w:val="0"/>
        <w:widowControl/>
        <w:kinsoku/>
        <w:wordWrap/>
        <w:overflowPunct/>
        <w:topLinePunct w:val="0"/>
        <w:bidi w:val="0"/>
        <w:adjustRightInd w:val="0"/>
        <w:snapToGrid w:val="0"/>
        <w:spacing w:line="288" w:lineRule="auto"/>
        <w:ind w:firstLine="480" w:firstLineChars="200"/>
        <w:jc w:val="left"/>
        <w:textAlignment w:val="auto"/>
        <w:rPr>
          <w:rFonts w:ascii="宋体" w:hAnsi="宋体" w:cs="宋体"/>
          <w:color w:val="000000" w:themeColor="text1"/>
          <w:sz w:val="24"/>
          <w:szCs w:val="24"/>
        </w:rPr>
      </w:pPr>
      <w:r>
        <w:rPr>
          <w:rFonts w:hint="eastAsia" w:ascii="宋体" w:hAnsi="宋体" w:cs="宋体"/>
          <w:color w:val="000000" w:themeColor="text1"/>
          <w:sz w:val="24"/>
          <w:szCs w:val="24"/>
        </w:rPr>
        <w:t>8.1</w:t>
      </w:r>
      <w:r>
        <w:rPr>
          <w:rFonts w:hAnsi="宋体"/>
          <w:sz w:val="24"/>
          <w:szCs w:val="24"/>
        </w:rPr>
        <w:t>供应商截至响应文件递交截止日未被列入失信被执行人、重大税收违法案件当事人名单、政府采购严重违法失信行为记录名单的</w:t>
      </w:r>
      <w:r>
        <w:rPr>
          <w:rFonts w:hint="eastAsia" w:ascii="宋体" w:hAnsi="宋体" w:cs="宋体"/>
          <w:color w:val="000000" w:themeColor="text1"/>
          <w:sz w:val="24"/>
          <w:szCs w:val="24"/>
        </w:rPr>
        <w:t>（可提供承诺函）；</w:t>
      </w:r>
    </w:p>
    <w:p>
      <w:pPr>
        <w:pageBreakBefore w:val="0"/>
        <w:widowControl/>
        <w:kinsoku/>
        <w:wordWrap/>
        <w:overflowPunct/>
        <w:topLinePunct w:val="0"/>
        <w:bidi w:val="0"/>
        <w:adjustRightInd w:val="0"/>
        <w:snapToGrid w:val="0"/>
        <w:spacing w:line="288" w:lineRule="auto"/>
        <w:ind w:firstLine="480" w:firstLineChars="200"/>
        <w:jc w:val="left"/>
        <w:textAlignment w:val="auto"/>
        <w:rPr>
          <w:rFonts w:hint="eastAsia" w:hAnsi="宋体"/>
          <w:sz w:val="24"/>
          <w:szCs w:val="24"/>
        </w:rPr>
      </w:pPr>
      <w:r>
        <w:rPr>
          <w:rFonts w:hint="eastAsia" w:ascii="宋体" w:hAnsi="宋体" w:cs="宋体"/>
          <w:color w:val="000000" w:themeColor="text1"/>
          <w:sz w:val="24"/>
          <w:szCs w:val="24"/>
        </w:rPr>
        <w:t>8.2参与本项目的供应商及其现任法定代表人、主要负责人在本次响应文件</w:t>
      </w:r>
      <w:r>
        <w:rPr>
          <w:rFonts w:hint="eastAsia" w:hAnsi="宋体"/>
          <w:sz w:val="24"/>
          <w:szCs w:val="24"/>
        </w:rPr>
        <w:t>递交截止日前3年内不得具有行贿犯罪记录（可提供承诺函）；</w:t>
      </w:r>
    </w:p>
    <w:p>
      <w:pPr>
        <w:pStyle w:val="2"/>
        <w:ind w:firstLine="480" w:firstLineChars="200"/>
        <w:rPr>
          <w:rFonts w:hint="default" w:ascii="宋体" w:hAnsi="宋体" w:eastAsia="宋体" w:cs="宋体"/>
          <w:color w:val="000000" w:themeColor="text1"/>
          <w:kern w:val="2"/>
          <w:sz w:val="24"/>
          <w:szCs w:val="24"/>
          <w:lang w:val="en-US" w:eastAsia="zh-CN" w:bidi="ar-SA"/>
        </w:rPr>
      </w:pPr>
      <w:r>
        <w:rPr>
          <w:rFonts w:hint="eastAsia" w:ascii="宋体" w:hAnsi="宋体" w:eastAsia="宋体" w:cs="宋体"/>
          <w:color w:val="000000" w:themeColor="text1"/>
          <w:kern w:val="2"/>
          <w:sz w:val="24"/>
          <w:szCs w:val="24"/>
          <w:lang w:val="en-US" w:eastAsia="zh-CN" w:bidi="ar-SA"/>
        </w:rPr>
        <w:t>8.3具备有效的《林木种子经营许可证》或《林木种子生产经营许可证》。</w:t>
      </w:r>
    </w:p>
    <w:p>
      <w:pPr>
        <w:pStyle w:val="2"/>
        <w:rPr>
          <w:rFonts w:hint="eastAsia"/>
          <w:highlight w:val="none"/>
        </w:rPr>
      </w:pPr>
      <w:r>
        <w:rPr>
          <w:rFonts w:ascii="宋体" w:hAnsi="宋体" w:eastAsia="宋体" w:cs="宋体"/>
          <w:sz w:val="24"/>
          <w:szCs w:val="24"/>
          <w:highlight w:val="none"/>
        </w:rPr>
        <w:t>（二）落实政府采购政策需满足的资格要求：本项目专门面向中小企业的采购</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监狱企业</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残疾人福利性单位均</w:t>
      </w:r>
      <w:r>
        <w:rPr>
          <w:rFonts w:ascii="宋体" w:hAnsi="宋体" w:eastAsia="宋体" w:cs="宋体"/>
          <w:sz w:val="24"/>
          <w:szCs w:val="24"/>
          <w:highlight w:val="none"/>
        </w:rPr>
        <w:t>视同小型、微型企业</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 xml:space="preserve">，非中小企业不得参加本项目采购活动。 </w:t>
      </w:r>
    </w:p>
    <w:p>
      <w:pPr>
        <w:pageBreakBefore w:val="0"/>
        <w:widowControl/>
        <w:kinsoku/>
        <w:wordWrap/>
        <w:overflowPunct/>
        <w:topLinePunct w:val="0"/>
        <w:bidi w:val="0"/>
        <w:spacing w:line="288" w:lineRule="auto"/>
        <w:jc w:val="left"/>
        <w:textAlignment w:val="auto"/>
        <w:rPr>
          <w:rFonts w:ascii="宋体" w:hAnsi="宋体" w:cs="宋体"/>
          <w:b/>
          <w:color w:val="000000" w:themeColor="text1"/>
          <w:sz w:val="24"/>
          <w:szCs w:val="24"/>
        </w:rPr>
      </w:pPr>
      <w:r>
        <w:rPr>
          <w:rFonts w:hint="eastAsia" w:ascii="宋体" w:hAnsi="宋体" w:cs="宋体"/>
          <w:b/>
          <w:color w:val="000000" w:themeColor="text1"/>
          <w:sz w:val="24"/>
          <w:szCs w:val="24"/>
          <w:lang w:val="en-US" w:eastAsia="zh-CN"/>
        </w:rPr>
        <w:t>十</w:t>
      </w:r>
      <w:r>
        <w:rPr>
          <w:rFonts w:hint="eastAsia" w:ascii="宋体" w:hAnsi="宋体" w:cs="宋体"/>
          <w:b/>
          <w:color w:val="000000" w:themeColor="text1"/>
          <w:sz w:val="24"/>
          <w:szCs w:val="24"/>
        </w:rPr>
        <w:t>、评分办法：综合评分法</w:t>
      </w:r>
    </w:p>
    <w:p>
      <w:pPr>
        <w:pageBreakBefore w:val="0"/>
        <w:widowControl/>
        <w:kinsoku/>
        <w:wordWrap/>
        <w:overflowPunct/>
        <w:topLinePunct w:val="0"/>
        <w:bidi w:val="0"/>
        <w:spacing w:line="288" w:lineRule="auto"/>
        <w:ind w:firstLine="241" w:firstLineChars="100"/>
        <w:jc w:val="left"/>
        <w:textAlignment w:val="auto"/>
        <w:rPr>
          <w:rFonts w:hint="eastAsia" w:ascii="宋体" w:hAnsi="宋体" w:cs="宋体"/>
          <w:b/>
          <w:color w:val="000000" w:themeColor="text1"/>
          <w:sz w:val="24"/>
          <w:szCs w:val="24"/>
        </w:rPr>
      </w:pPr>
      <w:r>
        <w:rPr>
          <w:rFonts w:hint="eastAsia" w:ascii="宋体" w:hAnsi="宋体" w:cs="宋体"/>
          <w:b/>
          <w:color w:val="000000" w:themeColor="text1"/>
          <w:sz w:val="24"/>
          <w:szCs w:val="24"/>
        </w:rPr>
        <w:t>综合评分明细表：</w:t>
      </w:r>
    </w:p>
    <w:tbl>
      <w:tblPr>
        <w:tblStyle w:val="18"/>
        <w:tblW w:w="10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142"/>
        <w:gridCol w:w="825"/>
        <w:gridCol w:w="6525"/>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42" w:type="dxa"/>
            <w:noWrap w:val="0"/>
            <w:vAlign w:val="center"/>
          </w:tcPr>
          <w:p>
            <w:pPr>
              <w:pageBreakBefore w:val="0"/>
              <w:widowControl/>
              <w:kinsoku/>
              <w:wordWrap/>
              <w:overflowPunct/>
              <w:topLinePunct w:val="0"/>
              <w:bidi w:val="0"/>
              <w:adjustRightInd w:val="0"/>
              <w:snapToGrid w:val="0"/>
              <w:spacing w:after="200" w:line="240" w:lineRule="auto"/>
              <w:ind w:firstLine="28"/>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142" w:type="dxa"/>
            <w:noWrap w:val="0"/>
            <w:vAlign w:val="center"/>
          </w:tcPr>
          <w:p>
            <w:pPr>
              <w:pageBreakBefore w:val="0"/>
              <w:widowControl/>
              <w:kinsoku/>
              <w:wordWrap/>
              <w:overflowPunct/>
              <w:topLinePunct w:val="0"/>
              <w:bidi w:val="0"/>
              <w:adjustRightInd w:val="0"/>
              <w:snapToGrid w:val="0"/>
              <w:spacing w:after="200" w:line="240" w:lineRule="auto"/>
              <w:ind w:firstLine="28"/>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评分因素及权重</w:t>
            </w:r>
          </w:p>
        </w:tc>
        <w:tc>
          <w:tcPr>
            <w:tcW w:w="825" w:type="dxa"/>
            <w:noWrap w:val="0"/>
            <w:vAlign w:val="center"/>
          </w:tcPr>
          <w:p>
            <w:pPr>
              <w:pageBreakBefore w:val="0"/>
              <w:widowControl/>
              <w:kinsoku/>
              <w:wordWrap/>
              <w:overflowPunct/>
              <w:topLinePunct w:val="0"/>
              <w:bidi w:val="0"/>
              <w:adjustRightInd w:val="0"/>
              <w:snapToGrid w:val="0"/>
              <w:spacing w:after="200" w:line="240" w:lineRule="auto"/>
              <w:ind w:firstLine="28"/>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分值</w:t>
            </w:r>
          </w:p>
        </w:tc>
        <w:tc>
          <w:tcPr>
            <w:tcW w:w="6525" w:type="dxa"/>
            <w:noWrap w:val="0"/>
            <w:vAlign w:val="center"/>
          </w:tcPr>
          <w:p>
            <w:pPr>
              <w:pageBreakBefore w:val="0"/>
              <w:widowControl/>
              <w:kinsoku/>
              <w:wordWrap/>
              <w:overflowPunct/>
              <w:topLinePunct w:val="0"/>
              <w:bidi w:val="0"/>
              <w:adjustRightInd w:val="0"/>
              <w:snapToGrid w:val="0"/>
              <w:spacing w:after="200" w:line="240" w:lineRule="auto"/>
              <w:ind w:firstLine="28"/>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评分标准</w:t>
            </w:r>
          </w:p>
        </w:tc>
        <w:tc>
          <w:tcPr>
            <w:tcW w:w="884" w:type="dxa"/>
            <w:noWrap w:val="0"/>
            <w:vAlign w:val="center"/>
          </w:tcPr>
          <w:p>
            <w:pPr>
              <w:pageBreakBefore w:val="0"/>
              <w:widowControl/>
              <w:kinsoku/>
              <w:wordWrap/>
              <w:overflowPunct/>
              <w:topLinePunct w:val="0"/>
              <w:bidi w:val="0"/>
              <w:adjustRightInd w:val="0"/>
              <w:snapToGrid w:val="0"/>
              <w:spacing w:after="200" w:line="240" w:lineRule="auto"/>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42" w:type="dxa"/>
            <w:noWrap w:val="0"/>
            <w:vAlign w:val="center"/>
          </w:tcPr>
          <w:p>
            <w:pPr>
              <w:pageBreakBefore w:val="0"/>
              <w:widowControl/>
              <w:kinsoku/>
              <w:wordWrap/>
              <w:overflowPunct/>
              <w:topLinePunct w:val="0"/>
              <w:bidi w:val="0"/>
              <w:adjustRightInd w:val="0"/>
              <w:snapToGrid w:val="0"/>
              <w:spacing w:after="200" w:line="240" w:lineRule="auto"/>
              <w:ind w:firstLine="28"/>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142" w:type="dxa"/>
            <w:noWrap w:val="0"/>
            <w:vAlign w:val="center"/>
          </w:tcPr>
          <w:p>
            <w:pPr>
              <w:pageBreakBefore w:val="0"/>
              <w:widowControl/>
              <w:kinsoku/>
              <w:wordWrap/>
              <w:overflowPunct/>
              <w:topLinePunct w:val="0"/>
              <w:bidi w:val="0"/>
              <w:adjustRightInd w:val="0"/>
              <w:snapToGrid w:val="0"/>
              <w:spacing w:after="200"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报价</w:t>
            </w:r>
            <w:r>
              <w:rPr>
                <w:rFonts w:hint="eastAsia" w:ascii="宋体" w:hAnsi="宋体" w:eastAsia="宋体" w:cs="宋体"/>
                <w:color w:val="000000"/>
                <w:kern w:val="0"/>
                <w:sz w:val="24"/>
                <w:szCs w:val="24"/>
                <w:lang w:val="en-US" w:eastAsia="zh-CN"/>
              </w:rPr>
              <w:t>30</w:t>
            </w:r>
            <w:r>
              <w:rPr>
                <w:rFonts w:hint="eastAsia" w:ascii="宋体" w:hAnsi="宋体" w:eastAsia="宋体" w:cs="宋体"/>
                <w:color w:val="000000"/>
                <w:kern w:val="0"/>
                <w:sz w:val="24"/>
                <w:szCs w:val="24"/>
              </w:rPr>
              <w:t>%</w:t>
            </w:r>
          </w:p>
        </w:tc>
        <w:tc>
          <w:tcPr>
            <w:tcW w:w="825" w:type="dxa"/>
            <w:noWrap w:val="0"/>
            <w:vAlign w:val="center"/>
          </w:tcPr>
          <w:p>
            <w:pPr>
              <w:pageBreakBefore w:val="0"/>
              <w:widowControl/>
              <w:kinsoku/>
              <w:wordWrap/>
              <w:overflowPunct/>
              <w:topLinePunct w:val="0"/>
              <w:bidi w:val="0"/>
              <w:adjustRightInd w:val="0"/>
              <w:snapToGrid w:val="0"/>
              <w:spacing w:after="200"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30</w:t>
            </w:r>
            <w:r>
              <w:rPr>
                <w:rFonts w:hint="eastAsia" w:ascii="宋体" w:hAnsi="宋体" w:eastAsia="宋体" w:cs="宋体"/>
                <w:color w:val="000000"/>
                <w:kern w:val="0"/>
                <w:sz w:val="24"/>
                <w:szCs w:val="24"/>
              </w:rPr>
              <w:t>分</w:t>
            </w:r>
          </w:p>
        </w:tc>
        <w:tc>
          <w:tcPr>
            <w:tcW w:w="6525" w:type="dxa"/>
            <w:noWrap w:val="0"/>
            <w:vAlign w:val="center"/>
          </w:tcPr>
          <w:p>
            <w:pPr>
              <w:pageBreakBefore w:val="0"/>
              <w:widowControl w:val="0"/>
              <w:kinsoku/>
              <w:wordWrap/>
              <w:overflowPunct/>
              <w:topLinePunct w:val="0"/>
              <w:autoSpaceDE w:val="0"/>
              <w:autoSpaceDN w:val="0"/>
              <w:bidi w:val="0"/>
              <w:adjustRightInd w:val="0"/>
              <w:snapToGrid w:val="0"/>
              <w:spacing w:after="200" w:line="240" w:lineRule="auto"/>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以本次有效的最低磋商报价为磋商基准价，磋商报价得分=(磋商基准价／最后磋商报价)*30*100%。</w:t>
            </w:r>
          </w:p>
          <w:p>
            <w:pPr>
              <w:pageBreakBefore w:val="0"/>
              <w:widowControl w:val="0"/>
              <w:kinsoku/>
              <w:wordWrap/>
              <w:overflowPunct/>
              <w:topLinePunct w:val="0"/>
              <w:autoSpaceDE w:val="0"/>
              <w:autoSpaceDN w:val="0"/>
              <w:bidi w:val="0"/>
              <w:adjustRightInd w:val="0"/>
              <w:snapToGrid w:val="0"/>
              <w:spacing w:after="200" w:line="240" w:lineRule="auto"/>
              <w:jc w:val="left"/>
              <w:textAlignment w:val="auto"/>
              <w:rPr>
                <w:rFonts w:hint="eastAsia" w:ascii="Tahoma" w:hAnsi="Tahoma" w:eastAsia="微软雅黑" w:cs="Times New Roman"/>
                <w:kern w:val="0"/>
                <w:sz w:val="22"/>
                <w:szCs w:val="22"/>
                <w:lang w:val="en-US" w:eastAsia="zh-CN"/>
              </w:rPr>
            </w:pPr>
            <w:r>
              <w:rPr>
                <w:rFonts w:hint="eastAsia" w:ascii="宋体" w:hAnsi="宋体" w:eastAsia="宋体" w:cs="宋体"/>
                <w:color w:val="000000"/>
                <w:kern w:val="0"/>
                <w:sz w:val="24"/>
                <w:szCs w:val="24"/>
                <w:lang w:val="en-US" w:eastAsia="zh-CN" w:bidi="ar-SA"/>
              </w:rPr>
              <w:t>根据川财采[2015]33号文，对失信行为供应商给予10%的报价累加加成，用加成后的价格参与评审，若加成后的报价超过预算的，视为无效响应；</w:t>
            </w:r>
          </w:p>
        </w:tc>
        <w:tc>
          <w:tcPr>
            <w:tcW w:w="884" w:type="dxa"/>
            <w:noWrap w:val="0"/>
            <w:vAlign w:val="center"/>
          </w:tcPr>
          <w:p>
            <w:pPr>
              <w:pageBreakBefore w:val="0"/>
              <w:widowControl/>
              <w:kinsoku/>
              <w:wordWrap/>
              <w:overflowPunct/>
              <w:topLinePunct w:val="0"/>
              <w:bidi w:val="0"/>
              <w:adjustRightInd w:val="0"/>
              <w:snapToGrid w:val="0"/>
              <w:spacing w:after="200" w:line="240" w:lineRule="auto"/>
              <w:jc w:val="center"/>
              <w:textAlignment w:val="auto"/>
              <w:rPr>
                <w:rFonts w:hint="eastAsia" w:ascii="宋体" w:hAnsi="宋体" w:eastAsia="宋体" w:cs="宋体"/>
                <w:color w:val="000000"/>
                <w:kern w:val="0"/>
                <w:sz w:val="24"/>
                <w:szCs w:val="24"/>
              </w:rPr>
            </w:pPr>
          </w:p>
          <w:p>
            <w:pPr>
              <w:pageBreakBefore w:val="0"/>
              <w:widowControl/>
              <w:kinsoku/>
              <w:wordWrap/>
              <w:overflowPunct/>
              <w:topLinePunct w:val="0"/>
              <w:bidi w:val="0"/>
              <w:adjustRightInd w:val="0"/>
              <w:snapToGrid w:val="0"/>
              <w:spacing w:after="200"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42" w:type="dxa"/>
            <w:noWrap w:val="0"/>
            <w:vAlign w:val="center"/>
          </w:tcPr>
          <w:p>
            <w:pPr>
              <w:pageBreakBefore w:val="0"/>
              <w:widowControl/>
              <w:kinsoku/>
              <w:wordWrap/>
              <w:overflowPunct/>
              <w:topLinePunct w:val="0"/>
              <w:bidi w:val="0"/>
              <w:adjustRightInd w:val="0"/>
              <w:snapToGrid w:val="0"/>
              <w:spacing w:after="200" w:line="240" w:lineRule="auto"/>
              <w:ind w:firstLine="28"/>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p>
        </w:tc>
        <w:tc>
          <w:tcPr>
            <w:tcW w:w="1142" w:type="dxa"/>
            <w:noWrap w:val="0"/>
            <w:vAlign w:val="center"/>
          </w:tcPr>
          <w:p>
            <w:pPr>
              <w:pageBreakBefore w:val="0"/>
              <w:widowControl/>
              <w:kinsoku/>
              <w:wordWrap/>
              <w:overflowPunct/>
              <w:topLinePunct w:val="0"/>
              <w:bidi w:val="0"/>
              <w:adjustRightInd w:val="0"/>
              <w:snapToGrid w:val="0"/>
              <w:spacing w:after="200"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kern w:val="0"/>
                <w:sz w:val="24"/>
                <w:szCs w:val="24"/>
              </w:rPr>
              <w:t>技术、服务、商务要求</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w:t>
            </w:r>
          </w:p>
        </w:tc>
        <w:tc>
          <w:tcPr>
            <w:tcW w:w="825" w:type="dxa"/>
            <w:noWrap w:val="0"/>
            <w:vAlign w:val="center"/>
          </w:tcPr>
          <w:p>
            <w:pPr>
              <w:pageBreakBefore w:val="0"/>
              <w:widowControl/>
              <w:kinsoku/>
              <w:wordWrap/>
              <w:overflowPunct/>
              <w:topLinePunct w:val="0"/>
              <w:bidi w:val="0"/>
              <w:adjustRightInd w:val="0"/>
              <w:snapToGrid w:val="0"/>
              <w:spacing w:after="200"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7分</w:t>
            </w:r>
          </w:p>
        </w:tc>
        <w:tc>
          <w:tcPr>
            <w:tcW w:w="6525" w:type="dxa"/>
            <w:noWrap w:val="0"/>
            <w:vAlign w:val="center"/>
          </w:tcPr>
          <w:p>
            <w:pPr>
              <w:pageBreakBefore w:val="0"/>
              <w:widowControl w:val="0"/>
              <w:kinsoku/>
              <w:wordWrap/>
              <w:overflowPunct/>
              <w:topLinePunct w:val="0"/>
              <w:autoSpaceDE w:val="0"/>
              <w:autoSpaceDN w:val="0"/>
              <w:bidi w:val="0"/>
              <w:adjustRightInd w:val="0"/>
              <w:snapToGrid w:val="0"/>
              <w:spacing w:after="200" w:line="240" w:lineRule="auto"/>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完全符合采购文件技术、服务、商务要求，没有负偏离的得7分；每有一项负偏离的扣0.5分，直至本项分值扣完为止；</w:t>
            </w:r>
          </w:p>
          <w:p>
            <w:pPr>
              <w:pageBreakBefore w:val="0"/>
              <w:widowControl w:val="0"/>
              <w:kinsoku/>
              <w:wordWrap/>
              <w:overflowPunct/>
              <w:topLinePunct w:val="0"/>
              <w:autoSpaceDE w:val="0"/>
              <w:autoSpaceDN w:val="0"/>
              <w:bidi w:val="0"/>
              <w:adjustRightInd w:val="0"/>
              <w:snapToGrid w:val="0"/>
              <w:spacing w:after="200" w:line="240" w:lineRule="auto"/>
              <w:jc w:val="left"/>
              <w:textAlignment w:val="auto"/>
              <w:rPr>
                <w:rFonts w:hint="default" w:ascii="Tahoma" w:hAnsi="Tahoma" w:eastAsia="微软雅黑" w:cs="Times New Roman"/>
                <w:kern w:val="0"/>
                <w:sz w:val="22"/>
                <w:szCs w:val="22"/>
                <w:lang w:val="en-US" w:eastAsia="zh-CN"/>
              </w:rPr>
            </w:pPr>
            <w:r>
              <w:rPr>
                <w:rFonts w:hint="eastAsia" w:ascii="宋体" w:hAnsi="宋体" w:eastAsia="宋体" w:cs="宋体"/>
                <w:color w:val="000000"/>
                <w:kern w:val="0"/>
                <w:sz w:val="24"/>
                <w:szCs w:val="24"/>
                <w:lang w:val="en-US" w:eastAsia="zh-CN" w:bidi="ar-SA"/>
              </w:rPr>
              <w:t>注：以阿拉伯数字“1”为一项 。</w:t>
            </w:r>
          </w:p>
        </w:tc>
        <w:tc>
          <w:tcPr>
            <w:tcW w:w="884" w:type="dxa"/>
            <w:noWrap w:val="0"/>
            <w:vAlign w:val="center"/>
          </w:tcPr>
          <w:p>
            <w:pPr>
              <w:pageBreakBefore w:val="0"/>
              <w:widowControl/>
              <w:kinsoku/>
              <w:wordWrap/>
              <w:overflowPunct/>
              <w:topLinePunct w:val="0"/>
              <w:bidi w:val="0"/>
              <w:adjustRightInd w:val="0"/>
              <w:snapToGrid w:val="0"/>
              <w:spacing w:after="200"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42" w:type="dxa"/>
            <w:noWrap w:val="0"/>
            <w:vAlign w:val="center"/>
          </w:tcPr>
          <w:p>
            <w:pPr>
              <w:pageBreakBefore w:val="0"/>
              <w:widowControl/>
              <w:kinsoku/>
              <w:wordWrap/>
              <w:overflowPunct/>
              <w:topLinePunct w:val="0"/>
              <w:bidi w:val="0"/>
              <w:adjustRightInd w:val="0"/>
              <w:snapToGrid w:val="0"/>
              <w:spacing w:after="200" w:line="240" w:lineRule="auto"/>
              <w:ind w:firstLine="28"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val="en-US" w:eastAsia="zh-CN"/>
              </w:rPr>
              <w:t>3</w:t>
            </w:r>
          </w:p>
        </w:tc>
        <w:tc>
          <w:tcPr>
            <w:tcW w:w="1142" w:type="dxa"/>
            <w:noWrap w:val="0"/>
            <w:vAlign w:val="center"/>
          </w:tcPr>
          <w:p>
            <w:pPr>
              <w:pageBreakBefore w:val="0"/>
              <w:widowControl/>
              <w:kinsoku/>
              <w:wordWrap/>
              <w:overflowPunct/>
              <w:topLinePunct w:val="0"/>
              <w:bidi w:val="0"/>
              <w:adjustRightInd w:val="0"/>
              <w:snapToGrid w:val="0"/>
              <w:spacing w:after="20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rPr>
              <w:t>实施方案</w:t>
            </w:r>
            <w:r>
              <w:rPr>
                <w:rFonts w:hint="eastAsia" w:ascii="宋体" w:hAnsi="宋体" w:eastAsia="宋体" w:cs="宋体"/>
                <w:kern w:val="0"/>
                <w:sz w:val="24"/>
                <w:szCs w:val="24"/>
                <w:lang w:val="en-US" w:eastAsia="zh-CN"/>
              </w:rPr>
              <w:t>40</w:t>
            </w:r>
            <w:r>
              <w:rPr>
                <w:rFonts w:hint="eastAsia" w:ascii="宋体" w:hAnsi="宋体" w:eastAsia="宋体" w:cs="宋体"/>
                <w:kern w:val="0"/>
                <w:sz w:val="24"/>
                <w:szCs w:val="24"/>
              </w:rPr>
              <w:t>%</w:t>
            </w:r>
          </w:p>
        </w:tc>
        <w:tc>
          <w:tcPr>
            <w:tcW w:w="825" w:type="dxa"/>
            <w:noWrap w:val="0"/>
            <w:vAlign w:val="center"/>
          </w:tcPr>
          <w:p>
            <w:pPr>
              <w:pageBreakBefore w:val="0"/>
              <w:widowControl/>
              <w:kinsoku/>
              <w:wordWrap/>
              <w:overflowPunct/>
              <w:topLinePunct w:val="0"/>
              <w:bidi w:val="0"/>
              <w:adjustRightInd w:val="0"/>
              <w:snapToGrid w:val="0"/>
              <w:spacing w:after="200" w:line="240" w:lineRule="auto"/>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40分</w:t>
            </w:r>
          </w:p>
        </w:tc>
        <w:tc>
          <w:tcPr>
            <w:tcW w:w="6525" w:type="dxa"/>
            <w:noWrap w:val="0"/>
            <w:vAlign w:val="center"/>
          </w:tcPr>
          <w:p>
            <w:pPr>
              <w:pageBreakBefore w:val="0"/>
              <w:widowControl w:val="0"/>
              <w:kinsoku/>
              <w:wordWrap/>
              <w:overflowPunct/>
              <w:topLinePunct w:val="0"/>
              <w:autoSpaceDE w:val="0"/>
              <w:autoSpaceDN w:val="0"/>
              <w:bidi w:val="0"/>
              <w:adjustRightInd w:val="0"/>
              <w:snapToGrid w:val="0"/>
              <w:spacing w:after="200" w:line="240" w:lineRule="auto"/>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根据供应商提供的实施方案应包含但不限于以下方面：1、本项目需求分析；2、有针对性的编制各阶段人力、物力、财力等相关配套计划；3、提出清林、除草、排水、打窝、松土、栽植、施肥、保水保墒、病虫害防治、修枝平茬等技术方案；4、提出巡山护林、林区基础设施维护等措施；5、针对干旱、洪涝等恶劣天气提出应急预案；6、制定项目实施进度计划；7、环境保护管理措施；8、农民工工资保障措施。以上内容详尽完整，措施具体，完全满足本项目采购需求的得40分；</w:t>
            </w:r>
            <w:r>
              <w:rPr>
                <w:rFonts w:hint="eastAsia" w:ascii="宋体" w:hAnsi="宋体" w:eastAsia="宋体" w:cs="宋体"/>
                <w:color w:val="auto"/>
                <w:kern w:val="2"/>
                <w:sz w:val="24"/>
                <w:szCs w:val="24"/>
                <w:highlight w:val="none"/>
                <w:lang w:val="en-US" w:eastAsia="zh-CN" w:bidi="ar-SA"/>
              </w:rPr>
              <w:t>存在漏项的，每有一项</w:t>
            </w:r>
            <w:r>
              <w:rPr>
                <w:rFonts w:hint="eastAsia" w:ascii="宋体" w:hAnsi="宋体" w:eastAsia="宋体" w:cs="宋体"/>
                <w:color w:val="000000"/>
                <w:kern w:val="2"/>
                <w:sz w:val="24"/>
                <w:szCs w:val="24"/>
                <w:highlight w:val="none"/>
                <w:lang w:val="en-US" w:eastAsia="zh-CN" w:bidi="ar-SA"/>
              </w:rPr>
              <w:t>扣5分，</w:t>
            </w:r>
            <w:r>
              <w:rPr>
                <w:rFonts w:hint="eastAsia" w:ascii="宋体" w:hAnsi="宋体" w:eastAsia="宋体" w:cs="宋体"/>
                <w:color w:val="auto"/>
                <w:kern w:val="2"/>
                <w:sz w:val="24"/>
                <w:szCs w:val="24"/>
                <w:highlight w:val="none"/>
                <w:lang w:val="en-US" w:eastAsia="zh-CN" w:bidi="ar-SA"/>
              </w:rPr>
              <w:t>存在偏差或不足或缺陷的，每有一项</w:t>
            </w:r>
            <w:r>
              <w:rPr>
                <w:rFonts w:hint="eastAsia" w:ascii="宋体" w:hAnsi="宋体" w:eastAsia="宋体" w:cs="宋体"/>
                <w:color w:val="000000"/>
                <w:kern w:val="2"/>
                <w:sz w:val="24"/>
                <w:szCs w:val="24"/>
                <w:highlight w:val="none"/>
                <w:lang w:val="en-US" w:eastAsia="zh-CN" w:bidi="ar-SA"/>
              </w:rPr>
              <w:t>扣2.5分，直至该项分数扣完为止，未提供方案不得分。</w:t>
            </w:r>
          </w:p>
        </w:tc>
        <w:tc>
          <w:tcPr>
            <w:tcW w:w="884" w:type="dxa"/>
            <w:noWrap w:val="0"/>
            <w:vAlign w:val="center"/>
          </w:tcPr>
          <w:p>
            <w:pPr>
              <w:pageBreakBefore w:val="0"/>
              <w:widowControl/>
              <w:kinsoku/>
              <w:wordWrap/>
              <w:overflowPunct/>
              <w:topLinePunct w:val="0"/>
              <w:bidi w:val="0"/>
              <w:adjustRightInd w:val="0"/>
              <w:snapToGrid w:val="0"/>
              <w:spacing w:after="200"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技术类因素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42" w:type="dxa"/>
            <w:noWrap w:val="0"/>
            <w:vAlign w:val="center"/>
          </w:tcPr>
          <w:p>
            <w:pPr>
              <w:pageBreakBefore w:val="0"/>
              <w:widowControl/>
              <w:kinsoku/>
              <w:wordWrap/>
              <w:overflowPunct/>
              <w:topLinePunct w:val="0"/>
              <w:bidi w:val="0"/>
              <w:adjustRightInd w:val="0"/>
              <w:snapToGrid w:val="0"/>
              <w:spacing w:after="200" w:line="240" w:lineRule="auto"/>
              <w:ind w:firstLine="28"/>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w:t>
            </w:r>
          </w:p>
        </w:tc>
        <w:tc>
          <w:tcPr>
            <w:tcW w:w="1142" w:type="dxa"/>
            <w:noWrap w:val="0"/>
            <w:vAlign w:val="center"/>
          </w:tcPr>
          <w:p>
            <w:pPr>
              <w:pageBreakBefore w:val="0"/>
              <w:widowControl/>
              <w:kinsoku/>
              <w:wordWrap/>
              <w:overflowPunct/>
              <w:topLinePunct w:val="0"/>
              <w:bidi w:val="0"/>
              <w:adjustRightInd w:val="0"/>
              <w:snapToGrid w:val="0"/>
              <w:spacing w:after="200" w:line="24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机具配置4%</w:t>
            </w:r>
          </w:p>
        </w:tc>
        <w:tc>
          <w:tcPr>
            <w:tcW w:w="825" w:type="dxa"/>
            <w:noWrap w:val="0"/>
            <w:vAlign w:val="center"/>
          </w:tcPr>
          <w:p>
            <w:pPr>
              <w:pageBreakBefore w:val="0"/>
              <w:widowControl/>
              <w:kinsoku/>
              <w:wordWrap/>
              <w:overflowPunct/>
              <w:topLinePunct w:val="0"/>
              <w:bidi w:val="0"/>
              <w:adjustRightInd w:val="0"/>
              <w:snapToGrid w:val="0"/>
              <w:spacing w:after="200"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4分</w:t>
            </w:r>
          </w:p>
        </w:tc>
        <w:tc>
          <w:tcPr>
            <w:tcW w:w="6525" w:type="dxa"/>
            <w:noWrap w:val="0"/>
            <w:vAlign w:val="center"/>
          </w:tcPr>
          <w:p>
            <w:pPr>
              <w:keepNext w:val="0"/>
              <w:keepLines w:val="0"/>
              <w:widowControl/>
              <w:suppressLineNumbers w:val="0"/>
              <w:adjustRightInd w:val="0"/>
              <w:snapToGrid w:val="0"/>
              <w:spacing w:after="200" w:line="240" w:lineRule="auto"/>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供应商拟为本项目配备燃油抽水机、机动喷雾器、割灌机、 小型工程挖掘机，配备齐全，每类设备配置10台及以上的得4分，任缺一类设备或配置数量不符合要求的扣1分，没有配备的不得分。 </w:t>
            </w:r>
          </w:p>
          <w:p>
            <w:pPr>
              <w:keepNext w:val="0"/>
              <w:keepLines w:val="0"/>
              <w:widowControl/>
              <w:suppressLineNumbers w:val="0"/>
              <w:adjustRightInd w:val="0"/>
              <w:snapToGrid w:val="0"/>
              <w:spacing w:after="200" w:line="240" w:lineRule="auto"/>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lang w:val="en-US" w:eastAsia="zh-CN" w:bidi="ar-SA"/>
              </w:rPr>
              <w:t>注：自有设备须提供购置凭证，租赁设备须提供租赁合同复印件等相关证明材料，并加盖供应商公章，否则不得分。</w:t>
            </w:r>
          </w:p>
        </w:tc>
        <w:tc>
          <w:tcPr>
            <w:tcW w:w="884" w:type="dxa"/>
            <w:noWrap w:val="0"/>
            <w:vAlign w:val="center"/>
          </w:tcPr>
          <w:p>
            <w:pPr>
              <w:pageBreakBefore w:val="0"/>
              <w:widowControl/>
              <w:kinsoku/>
              <w:wordWrap/>
              <w:overflowPunct/>
              <w:topLinePunct w:val="0"/>
              <w:bidi w:val="0"/>
              <w:adjustRightInd w:val="0"/>
              <w:snapToGrid w:val="0"/>
              <w:spacing w:after="200"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42" w:type="dxa"/>
            <w:noWrap w:val="0"/>
            <w:vAlign w:val="center"/>
          </w:tcPr>
          <w:p>
            <w:pPr>
              <w:pageBreakBefore w:val="0"/>
              <w:widowControl/>
              <w:kinsoku/>
              <w:wordWrap/>
              <w:overflowPunct/>
              <w:topLinePunct w:val="0"/>
              <w:bidi w:val="0"/>
              <w:adjustRightInd w:val="0"/>
              <w:snapToGrid w:val="0"/>
              <w:spacing w:after="200" w:line="240" w:lineRule="auto"/>
              <w:ind w:firstLine="28"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val="en-US" w:eastAsia="zh-CN"/>
              </w:rPr>
              <w:t>5</w:t>
            </w:r>
          </w:p>
        </w:tc>
        <w:tc>
          <w:tcPr>
            <w:tcW w:w="1142" w:type="dxa"/>
            <w:noWrap w:val="0"/>
            <w:vAlign w:val="center"/>
          </w:tcPr>
          <w:p>
            <w:pPr>
              <w:pageBreakBefore w:val="0"/>
              <w:widowControl/>
              <w:kinsoku/>
              <w:wordWrap/>
              <w:overflowPunct/>
              <w:topLinePunct w:val="0"/>
              <w:bidi w:val="0"/>
              <w:adjustRightInd w:val="0"/>
              <w:snapToGrid w:val="0"/>
              <w:spacing w:after="200" w:line="240" w:lineRule="auto"/>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rPr>
              <w:t>实施经验</w:t>
            </w:r>
            <w:r>
              <w:rPr>
                <w:rFonts w:hint="eastAsia"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w:t>
            </w:r>
          </w:p>
        </w:tc>
        <w:tc>
          <w:tcPr>
            <w:tcW w:w="825" w:type="dxa"/>
            <w:noWrap w:val="0"/>
            <w:vAlign w:val="center"/>
          </w:tcPr>
          <w:p>
            <w:pPr>
              <w:pageBreakBefore w:val="0"/>
              <w:widowControl/>
              <w:kinsoku/>
              <w:wordWrap/>
              <w:overflowPunct/>
              <w:topLinePunct w:val="0"/>
              <w:bidi w:val="0"/>
              <w:adjustRightInd w:val="0"/>
              <w:snapToGrid w:val="0"/>
              <w:spacing w:after="200" w:line="240" w:lineRule="auto"/>
              <w:jc w:val="center"/>
              <w:textAlignment w:val="auto"/>
              <w:rPr>
                <w:rFonts w:hint="eastAsia" w:ascii="宋体" w:hAnsi="宋体" w:eastAsia="宋体" w:cs="宋体"/>
                <w:color w:val="000000"/>
                <w:kern w:val="2"/>
                <w:sz w:val="24"/>
                <w:szCs w:val="24"/>
                <w:lang w:val="en-US" w:eastAsia="zh-CN" w:bidi="ar-SA"/>
              </w:rPr>
            </w:pPr>
            <w:r>
              <w:rPr>
                <w:rFonts w:hint="eastAsia"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分</w:t>
            </w:r>
          </w:p>
        </w:tc>
        <w:tc>
          <w:tcPr>
            <w:tcW w:w="6525" w:type="dxa"/>
            <w:noWrap w:val="0"/>
            <w:vAlign w:val="center"/>
          </w:tcPr>
          <w:p>
            <w:pPr>
              <w:pageBreakBefore w:val="0"/>
              <w:widowControl/>
              <w:kinsoku/>
              <w:wordWrap/>
              <w:overflowPunct/>
              <w:topLinePunct w:val="0"/>
              <w:bidi w:val="0"/>
              <w:adjustRightInd w:val="0"/>
              <w:snapToGrid w:val="0"/>
              <w:spacing w:after="200" w:line="24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供应商</w:t>
            </w:r>
            <w:r>
              <w:rPr>
                <w:rFonts w:hint="eastAsia" w:ascii="宋体" w:hAnsi="宋体" w:eastAsia="宋体" w:cs="宋体"/>
                <w:color w:val="000000"/>
                <w:kern w:val="0"/>
                <w:sz w:val="24"/>
                <w:szCs w:val="24"/>
                <w:lang w:val="en-US" w:eastAsia="zh-CN"/>
              </w:rPr>
              <w:t>自</w:t>
            </w:r>
            <w:r>
              <w:rPr>
                <w:rFonts w:hint="eastAsia" w:ascii="宋体" w:hAnsi="宋体" w:eastAsia="宋体" w:cs="宋体"/>
                <w:color w:val="000000"/>
                <w:kern w:val="0"/>
                <w:sz w:val="24"/>
                <w:szCs w:val="24"/>
              </w:rPr>
              <w:t>20</w:t>
            </w:r>
            <w:r>
              <w:rPr>
                <w:rFonts w:hint="eastAsia" w:ascii="宋体" w:hAnsi="宋体" w:eastAsia="宋体" w:cs="宋体"/>
                <w:color w:val="000000"/>
                <w:kern w:val="0"/>
                <w:sz w:val="24"/>
                <w:szCs w:val="24"/>
                <w:lang w:val="en-US" w:eastAsia="zh-CN"/>
              </w:rPr>
              <w:t>18</w:t>
            </w:r>
            <w:r>
              <w:rPr>
                <w:rFonts w:hint="eastAsia" w:ascii="宋体" w:hAnsi="宋体" w:eastAsia="宋体" w:cs="宋体"/>
                <w:color w:val="000000"/>
                <w:kern w:val="0"/>
                <w:sz w:val="24"/>
                <w:szCs w:val="24"/>
              </w:rPr>
              <w:t>年1月1日</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含1日</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以来，</w:t>
            </w:r>
            <w:r>
              <w:rPr>
                <w:rFonts w:hint="eastAsia" w:ascii="宋体" w:hAnsi="宋体" w:eastAsia="宋体" w:cs="宋体"/>
                <w:color w:val="000000"/>
                <w:kern w:val="0"/>
                <w:sz w:val="24"/>
                <w:szCs w:val="24"/>
                <w:lang w:val="en-US" w:eastAsia="zh-CN"/>
              </w:rPr>
              <w:t>有</w:t>
            </w:r>
            <w:r>
              <w:rPr>
                <w:rFonts w:hint="eastAsia" w:ascii="宋体" w:hAnsi="宋体" w:eastAsia="宋体" w:cs="宋体"/>
                <w:color w:val="000000"/>
                <w:kern w:val="0"/>
                <w:sz w:val="24"/>
                <w:szCs w:val="24"/>
              </w:rPr>
              <w:t>类似项目实施经验的得</w:t>
            </w:r>
            <w:r>
              <w:rPr>
                <w:rFonts w:hint="eastAsia"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分，本项最多得</w:t>
            </w:r>
            <w:r>
              <w:rPr>
                <w:rFonts w:hint="eastAsia"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分。</w:t>
            </w:r>
          </w:p>
          <w:p>
            <w:pPr>
              <w:pageBreakBefore w:val="0"/>
              <w:widowControl/>
              <w:kinsoku/>
              <w:wordWrap/>
              <w:overflowPunct/>
              <w:topLinePunct w:val="0"/>
              <w:bidi w:val="0"/>
              <w:adjustRightInd w:val="0"/>
              <w:snapToGrid w:val="0"/>
              <w:spacing w:after="200" w:line="240" w:lineRule="auto"/>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b/>
                <w:bCs/>
                <w:kern w:val="2"/>
                <w:sz w:val="24"/>
                <w:szCs w:val="24"/>
                <w:highlight w:val="none"/>
                <w:lang w:eastAsia="zh-CN" w:bidi="zh-CN"/>
              </w:rPr>
              <w:t>注：</w:t>
            </w:r>
            <w:r>
              <w:rPr>
                <w:rFonts w:hint="eastAsia" w:ascii="宋体" w:hAnsi="宋体" w:eastAsia="宋体" w:cs="宋体"/>
                <w:b/>
                <w:bCs/>
                <w:kern w:val="2"/>
                <w:sz w:val="24"/>
                <w:szCs w:val="24"/>
                <w:highlight w:val="none"/>
                <w:lang w:val="en-US" w:eastAsia="zh-CN"/>
              </w:rPr>
              <w:t>提供合同复印件</w:t>
            </w:r>
            <w:r>
              <w:rPr>
                <w:rFonts w:hint="eastAsia" w:hAnsi="宋体" w:eastAsia="宋体" w:cs="宋体"/>
                <w:b/>
                <w:bCs/>
                <w:kern w:val="2"/>
                <w:sz w:val="24"/>
                <w:szCs w:val="24"/>
                <w:highlight w:val="none"/>
                <w:lang w:val="en-US" w:eastAsia="zh-CN"/>
              </w:rPr>
              <w:t>或</w:t>
            </w:r>
            <w:r>
              <w:rPr>
                <w:rFonts w:hint="eastAsia" w:ascii="宋体" w:hAnsi="宋体" w:eastAsia="宋体" w:cs="宋体"/>
                <w:b/>
                <w:bCs/>
                <w:kern w:val="2"/>
                <w:sz w:val="24"/>
                <w:szCs w:val="24"/>
                <w:highlight w:val="none"/>
                <w:lang w:val="en-US" w:eastAsia="zh-CN"/>
              </w:rPr>
              <w:t>中标/成交通知书并加盖供应商公章，否则</w:t>
            </w:r>
            <w:r>
              <w:rPr>
                <w:rFonts w:hint="eastAsia" w:ascii="宋体" w:hAnsi="宋体" w:eastAsia="宋体" w:cs="宋体"/>
                <w:b/>
                <w:bCs/>
                <w:kern w:val="0"/>
                <w:sz w:val="24"/>
                <w:szCs w:val="24"/>
                <w:highlight w:val="none"/>
                <w:lang w:val="zh-CN" w:eastAsia="zh-CN"/>
              </w:rPr>
              <w:t>不得分</w:t>
            </w:r>
            <w:r>
              <w:rPr>
                <w:rFonts w:hint="eastAsia" w:ascii="宋体" w:hAnsi="宋体" w:eastAsia="宋体" w:cs="宋体"/>
                <w:b/>
                <w:bCs/>
                <w:kern w:val="0"/>
                <w:sz w:val="24"/>
                <w:szCs w:val="24"/>
                <w:highlight w:val="none"/>
              </w:rPr>
              <w:t>。</w:t>
            </w:r>
          </w:p>
        </w:tc>
        <w:tc>
          <w:tcPr>
            <w:tcW w:w="884" w:type="dxa"/>
            <w:noWrap w:val="0"/>
            <w:vAlign w:val="center"/>
          </w:tcPr>
          <w:p>
            <w:pPr>
              <w:pageBreakBefore w:val="0"/>
              <w:widowControl/>
              <w:kinsoku/>
              <w:wordWrap/>
              <w:overflowPunct/>
              <w:topLinePunct w:val="0"/>
              <w:bidi w:val="0"/>
              <w:adjustRightInd w:val="0"/>
              <w:snapToGrid w:val="0"/>
              <w:spacing w:after="200" w:line="240" w:lineRule="auto"/>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42" w:type="dxa"/>
            <w:noWrap w:val="0"/>
            <w:vAlign w:val="center"/>
          </w:tcPr>
          <w:p>
            <w:pPr>
              <w:pageBreakBefore w:val="0"/>
              <w:widowControl/>
              <w:kinsoku/>
              <w:wordWrap/>
              <w:overflowPunct/>
              <w:topLinePunct w:val="0"/>
              <w:bidi w:val="0"/>
              <w:adjustRightInd w:val="0"/>
              <w:snapToGrid w:val="0"/>
              <w:spacing w:after="200" w:line="240" w:lineRule="auto"/>
              <w:ind w:firstLine="28"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val="en-US" w:eastAsia="zh-CN"/>
              </w:rPr>
              <w:t>6</w:t>
            </w:r>
          </w:p>
        </w:tc>
        <w:tc>
          <w:tcPr>
            <w:tcW w:w="1142" w:type="dxa"/>
            <w:noWrap w:val="0"/>
            <w:vAlign w:val="center"/>
          </w:tcPr>
          <w:p>
            <w:pPr>
              <w:pageBreakBefore w:val="0"/>
              <w:widowControl/>
              <w:kinsoku/>
              <w:wordWrap/>
              <w:overflowPunct/>
              <w:topLinePunct w:val="0"/>
              <w:bidi w:val="0"/>
              <w:adjustRightInd w:val="0"/>
              <w:snapToGrid w:val="0"/>
              <w:spacing w:after="20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rPr>
              <w:t>人员配置</w:t>
            </w:r>
            <w:r>
              <w:rPr>
                <w:rFonts w:hint="eastAsia" w:ascii="宋体" w:hAnsi="宋体" w:eastAsia="宋体" w:cs="宋体"/>
                <w:kern w:val="0"/>
                <w:sz w:val="24"/>
                <w:szCs w:val="24"/>
                <w:lang w:val="en-US" w:eastAsia="zh-CN"/>
              </w:rPr>
              <w:t>13%</w:t>
            </w:r>
          </w:p>
        </w:tc>
        <w:tc>
          <w:tcPr>
            <w:tcW w:w="825" w:type="dxa"/>
            <w:noWrap w:val="0"/>
            <w:vAlign w:val="center"/>
          </w:tcPr>
          <w:p>
            <w:pPr>
              <w:pageBreakBefore w:val="0"/>
              <w:widowControl/>
              <w:kinsoku/>
              <w:wordWrap/>
              <w:overflowPunct/>
              <w:topLinePunct w:val="0"/>
              <w:bidi w:val="0"/>
              <w:adjustRightInd w:val="0"/>
              <w:snapToGrid w:val="0"/>
              <w:spacing w:after="200" w:line="240" w:lineRule="auto"/>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val="en-US" w:eastAsia="zh-CN"/>
              </w:rPr>
              <w:t>13分</w:t>
            </w:r>
          </w:p>
        </w:tc>
        <w:tc>
          <w:tcPr>
            <w:tcW w:w="6525" w:type="dxa"/>
            <w:noWrap w:val="0"/>
            <w:vAlign w:val="center"/>
          </w:tcPr>
          <w:p>
            <w:pPr>
              <w:pageBreakBefore w:val="0"/>
              <w:widowControl/>
              <w:numPr>
                <w:ilvl w:val="0"/>
                <w:numId w:val="0"/>
              </w:numPr>
              <w:kinsoku/>
              <w:wordWrap/>
              <w:overflowPunct/>
              <w:topLinePunct w:val="0"/>
              <w:bidi w:val="0"/>
              <w:adjustRightInd w:val="0"/>
              <w:snapToGrid w:val="0"/>
              <w:spacing w:after="20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项目负责人</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具有林业</w:t>
            </w:r>
            <w:r>
              <w:rPr>
                <w:rFonts w:hint="eastAsia" w:ascii="宋体" w:hAnsi="宋体" w:eastAsia="宋体" w:cs="宋体"/>
                <w:kern w:val="0"/>
                <w:sz w:val="24"/>
                <w:szCs w:val="24"/>
                <w:lang w:val="en-US" w:eastAsia="zh-CN"/>
              </w:rPr>
              <w:t>或园林</w:t>
            </w:r>
            <w:r>
              <w:rPr>
                <w:rFonts w:hint="eastAsia" w:ascii="宋体" w:hAnsi="宋体" w:eastAsia="宋体" w:cs="宋体"/>
                <w:kern w:val="0"/>
                <w:sz w:val="24"/>
                <w:szCs w:val="24"/>
              </w:rPr>
              <w:t xml:space="preserve">类相关专业中级及以上职称得 </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分；</w:t>
            </w:r>
          </w:p>
          <w:p>
            <w:pPr>
              <w:pageBreakBefore w:val="0"/>
              <w:widowControl/>
              <w:numPr>
                <w:ilvl w:val="0"/>
                <w:numId w:val="0"/>
              </w:numPr>
              <w:kinsoku/>
              <w:wordWrap/>
              <w:overflowPunct/>
              <w:topLinePunct w:val="0"/>
              <w:bidi w:val="0"/>
              <w:adjustRightInd w:val="0"/>
              <w:snapToGrid w:val="0"/>
              <w:spacing w:after="20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技术负责人：具有林业</w:t>
            </w:r>
            <w:r>
              <w:rPr>
                <w:rFonts w:hint="eastAsia" w:ascii="宋体" w:hAnsi="宋体" w:eastAsia="宋体" w:cs="宋体"/>
                <w:kern w:val="0"/>
                <w:sz w:val="24"/>
                <w:szCs w:val="24"/>
                <w:lang w:val="en-US" w:eastAsia="zh-CN"/>
              </w:rPr>
              <w:t>或园林</w:t>
            </w:r>
            <w:r>
              <w:rPr>
                <w:rFonts w:hint="eastAsia" w:ascii="宋体" w:hAnsi="宋体" w:eastAsia="宋体" w:cs="宋体"/>
                <w:kern w:val="0"/>
                <w:sz w:val="24"/>
                <w:szCs w:val="24"/>
              </w:rPr>
              <w:t>类相关专业中级及以上职称得</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分；</w:t>
            </w:r>
          </w:p>
          <w:p>
            <w:pPr>
              <w:widowControl w:val="0"/>
              <w:numPr>
                <w:ilvl w:val="0"/>
                <w:numId w:val="0"/>
              </w:numPr>
              <w:adjustRightInd/>
              <w:snapToGrid/>
              <w:spacing w:after="0" w:line="240" w:lineRule="auto"/>
              <w:jc w:val="both"/>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3、鼓励雇佣造林地当地生态移民后失地农民务工。根据供应商对使用造林地当地劳动力（不含项目负责人和技术负责人）进行评分，每提供1个人员的得0.5分，本项最多得9分。</w:t>
            </w:r>
          </w:p>
          <w:p>
            <w:pPr>
              <w:widowControl w:val="0"/>
              <w:numPr>
                <w:ilvl w:val="0"/>
                <w:numId w:val="0"/>
              </w:numPr>
              <w:adjustRightInd/>
              <w:snapToGrid/>
              <w:spacing w:after="0" w:line="240" w:lineRule="auto"/>
              <w:ind w:left="0" w:leftChars="0" w:firstLine="0" w:firstLineChars="0"/>
              <w:jc w:val="both"/>
              <w:outlineLvl w:val="0"/>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注：第1、2项须提供相关职称证书及在职证明复印件，第3项须提供人员身份证复印件，并加盖供应商公章，否则不得分。</w:t>
            </w:r>
          </w:p>
        </w:tc>
        <w:tc>
          <w:tcPr>
            <w:tcW w:w="884" w:type="dxa"/>
            <w:noWrap w:val="0"/>
            <w:vAlign w:val="center"/>
          </w:tcPr>
          <w:p>
            <w:pPr>
              <w:pageBreakBefore w:val="0"/>
              <w:widowControl/>
              <w:kinsoku/>
              <w:wordWrap/>
              <w:overflowPunct/>
              <w:topLinePunct w:val="0"/>
              <w:bidi w:val="0"/>
              <w:adjustRightInd w:val="0"/>
              <w:snapToGrid w:val="0"/>
              <w:spacing w:after="200"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42" w:type="dxa"/>
            <w:noWrap w:val="0"/>
            <w:vAlign w:val="center"/>
          </w:tcPr>
          <w:p>
            <w:pPr>
              <w:pageBreakBefore w:val="0"/>
              <w:widowControl/>
              <w:kinsoku/>
              <w:wordWrap/>
              <w:overflowPunct/>
              <w:topLinePunct w:val="0"/>
              <w:bidi w:val="0"/>
              <w:adjustRightInd w:val="0"/>
              <w:snapToGrid w:val="0"/>
              <w:spacing w:after="200" w:line="240" w:lineRule="auto"/>
              <w:ind w:firstLine="28"/>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7</w:t>
            </w:r>
          </w:p>
        </w:tc>
        <w:tc>
          <w:tcPr>
            <w:tcW w:w="1142" w:type="dxa"/>
            <w:noWrap w:val="0"/>
            <w:vAlign w:val="center"/>
          </w:tcPr>
          <w:p>
            <w:pPr>
              <w:pageBreakBefore w:val="0"/>
              <w:widowControl/>
              <w:kinsoku/>
              <w:wordWrap/>
              <w:overflowPunct/>
              <w:topLinePunct w:val="0"/>
              <w:bidi w:val="0"/>
              <w:adjustRightInd w:val="0"/>
              <w:snapToGrid w:val="0"/>
              <w:spacing w:after="200"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响应文件的规范性</w:t>
            </w:r>
            <w:r>
              <w:rPr>
                <w:rFonts w:hint="eastAsia"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w:t>
            </w:r>
          </w:p>
        </w:tc>
        <w:tc>
          <w:tcPr>
            <w:tcW w:w="825" w:type="dxa"/>
            <w:noWrap w:val="0"/>
            <w:vAlign w:val="center"/>
          </w:tcPr>
          <w:p>
            <w:pPr>
              <w:pageBreakBefore w:val="0"/>
              <w:widowControl/>
              <w:kinsoku/>
              <w:wordWrap/>
              <w:overflowPunct/>
              <w:topLinePunct w:val="0"/>
              <w:bidi w:val="0"/>
              <w:adjustRightInd w:val="0"/>
              <w:snapToGrid w:val="0"/>
              <w:spacing w:after="200" w:line="240" w:lineRule="auto"/>
              <w:jc w:val="center"/>
              <w:textAlignment w:val="auto"/>
              <w:rPr>
                <w:rFonts w:hint="eastAsia" w:ascii="宋体" w:hAnsi="宋体" w:eastAsia="宋体" w:cs="宋体"/>
                <w:color w:val="000000"/>
                <w:kern w:val="0"/>
                <w:sz w:val="24"/>
                <w:szCs w:val="24"/>
              </w:rPr>
            </w:pPr>
            <w:r>
              <w:rPr>
                <w:rFonts w:hint="eastAsia"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分</w:t>
            </w:r>
          </w:p>
        </w:tc>
        <w:tc>
          <w:tcPr>
            <w:tcW w:w="6525" w:type="dxa"/>
            <w:noWrap w:val="0"/>
            <w:vAlign w:val="center"/>
          </w:tcPr>
          <w:p>
            <w:pPr>
              <w:pageBreakBefore w:val="0"/>
              <w:widowControl/>
              <w:kinsoku/>
              <w:wordWrap/>
              <w:overflowPunct/>
              <w:topLinePunct w:val="0"/>
              <w:bidi w:val="0"/>
              <w:adjustRightInd w:val="0"/>
              <w:snapToGrid w:val="0"/>
              <w:spacing w:after="200" w:line="24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响应</w:t>
            </w:r>
            <w:r>
              <w:rPr>
                <w:rFonts w:hint="eastAsia" w:ascii="宋体" w:hAnsi="宋体" w:eastAsia="宋体" w:cs="宋体"/>
                <w:color w:val="000000"/>
                <w:kern w:val="0"/>
                <w:sz w:val="24"/>
                <w:szCs w:val="24"/>
              </w:rPr>
              <w:t>文件制作规范，没有细微偏差情形的得</w:t>
            </w:r>
            <w:r>
              <w:rPr>
                <w:rFonts w:hint="eastAsia"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分；有一项细微偏差扣</w:t>
            </w:r>
            <w:r>
              <w:rPr>
                <w:rFonts w:hint="eastAsia" w:hAnsi="宋体" w:eastAsia="宋体" w:cs="宋体"/>
                <w:color w:val="000000"/>
                <w:kern w:val="0"/>
                <w:sz w:val="24"/>
                <w:szCs w:val="24"/>
                <w:lang w:val="en-US" w:eastAsia="zh-CN"/>
              </w:rPr>
              <w:t>0.5</w:t>
            </w:r>
            <w:r>
              <w:rPr>
                <w:rFonts w:hint="eastAsia" w:ascii="宋体" w:hAnsi="宋体" w:eastAsia="宋体" w:cs="宋体"/>
                <w:color w:val="000000"/>
                <w:kern w:val="0"/>
                <w:sz w:val="24"/>
                <w:szCs w:val="24"/>
              </w:rPr>
              <w:t>分，直至该项分值扣完为止。</w:t>
            </w:r>
          </w:p>
        </w:tc>
        <w:tc>
          <w:tcPr>
            <w:tcW w:w="884" w:type="dxa"/>
            <w:noWrap w:val="0"/>
            <w:vAlign w:val="center"/>
          </w:tcPr>
          <w:p>
            <w:pPr>
              <w:pageBreakBefore w:val="0"/>
              <w:widowControl/>
              <w:kinsoku/>
              <w:wordWrap/>
              <w:overflowPunct/>
              <w:topLinePunct w:val="0"/>
              <w:bidi w:val="0"/>
              <w:adjustRightInd w:val="0"/>
              <w:snapToGrid w:val="0"/>
              <w:spacing w:after="200"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42" w:type="dxa"/>
            <w:noWrap w:val="0"/>
            <w:vAlign w:val="center"/>
          </w:tcPr>
          <w:p>
            <w:pPr>
              <w:pageBreakBefore w:val="0"/>
              <w:widowControl/>
              <w:kinsoku/>
              <w:wordWrap/>
              <w:overflowPunct/>
              <w:topLinePunct w:val="0"/>
              <w:bidi w:val="0"/>
              <w:adjustRightInd w:val="0"/>
              <w:snapToGrid w:val="0"/>
              <w:spacing w:after="200" w:line="240" w:lineRule="auto"/>
              <w:ind w:firstLine="28"/>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w:t>
            </w:r>
          </w:p>
        </w:tc>
        <w:tc>
          <w:tcPr>
            <w:tcW w:w="1142" w:type="dxa"/>
            <w:noWrap w:val="0"/>
            <w:vAlign w:val="center"/>
          </w:tcPr>
          <w:p>
            <w:pPr>
              <w:widowControl w:val="0"/>
              <w:wordWrap w:val="0"/>
              <w:autoSpaceDE w:val="0"/>
              <w:autoSpaceDN w:val="0"/>
              <w:adjustRightInd/>
              <w:snapToGrid/>
              <w:spacing w:after="0" w:line="24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扶持不发达地区和少数民 </w:t>
            </w:r>
          </w:p>
          <w:p>
            <w:pPr>
              <w:widowControl/>
              <w:wordWrap w:val="0"/>
              <w:adjustRightInd/>
              <w:snapToGrid/>
              <w:spacing w:after="0"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rPr>
              <w:t>地区1%</w:t>
            </w:r>
          </w:p>
        </w:tc>
        <w:tc>
          <w:tcPr>
            <w:tcW w:w="825" w:type="dxa"/>
            <w:noWrap w:val="0"/>
            <w:vAlign w:val="center"/>
          </w:tcPr>
          <w:p>
            <w:pPr>
              <w:widowControl/>
              <w:wordWrap w:val="0"/>
              <w:adjustRightInd/>
              <w:snapToGrid/>
              <w:spacing w:after="0"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rPr>
              <w:t>1分</w:t>
            </w:r>
          </w:p>
        </w:tc>
        <w:tc>
          <w:tcPr>
            <w:tcW w:w="6525" w:type="dxa"/>
            <w:noWrap w:val="0"/>
            <w:vAlign w:val="center"/>
          </w:tcPr>
          <w:p>
            <w:pPr>
              <w:widowControl w:val="0"/>
              <w:adjustRightInd/>
              <w:snapToGrid/>
              <w:spacing w:after="0"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供应商</w:t>
            </w:r>
            <w:r>
              <w:rPr>
                <w:rFonts w:hint="eastAsia" w:ascii="宋体" w:hAnsi="宋体" w:eastAsia="宋体" w:cs="宋体"/>
                <w:kern w:val="0"/>
                <w:sz w:val="24"/>
                <w:szCs w:val="24"/>
              </w:rPr>
              <w:t>注册地为不发达地区或少数民族地区企业，得</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分,此项最高得</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分。</w:t>
            </w:r>
          </w:p>
          <w:p>
            <w:pPr>
              <w:widowControl w:val="0"/>
              <w:adjustRightInd/>
              <w:snapToGrid/>
              <w:spacing w:after="0" w:line="24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注：①少数民族地区以营业执照的注册地为准；②不发达地区以行政主管部门提供的相关证明材料为准</w:t>
            </w:r>
            <w:r>
              <w:rPr>
                <w:rFonts w:hint="eastAsia" w:ascii="宋体" w:hAnsi="宋体" w:eastAsia="宋体" w:cs="宋体"/>
                <w:kern w:val="0"/>
                <w:sz w:val="24"/>
                <w:szCs w:val="24"/>
                <w:lang w:eastAsia="zh-CN"/>
              </w:rPr>
              <w:t>。</w:t>
            </w:r>
          </w:p>
          <w:p>
            <w:pPr>
              <w:widowControl w:val="0"/>
              <w:wordWrap w:val="0"/>
              <w:autoSpaceDE w:val="0"/>
              <w:autoSpaceDN w:val="0"/>
              <w:adjustRightInd/>
              <w:snapToGrid/>
              <w:spacing w:after="0" w:line="240" w:lineRule="auto"/>
              <w:jc w:val="left"/>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【注：提供营业执照或相关证明材料复印件并加盖供应商公章，</w:t>
            </w:r>
            <w:r>
              <w:rPr>
                <w:rFonts w:hint="eastAsia" w:ascii="宋体" w:hAnsi="宋体" w:eastAsia="宋体" w:cs="宋体"/>
                <w:b/>
                <w:bCs/>
                <w:kern w:val="0"/>
                <w:sz w:val="24"/>
                <w:szCs w:val="24"/>
                <w:lang w:val="zh-CN" w:eastAsia="zh-CN" w:bidi="ar-SA"/>
              </w:rPr>
              <w:t>不提供不得分</w:t>
            </w:r>
            <w:r>
              <w:rPr>
                <w:rFonts w:hint="eastAsia" w:ascii="宋体" w:hAnsi="宋体" w:eastAsia="宋体" w:cs="宋体"/>
                <w:b/>
                <w:bCs/>
                <w:kern w:val="2"/>
                <w:sz w:val="24"/>
                <w:szCs w:val="24"/>
                <w:lang w:val="en-US" w:eastAsia="zh-CN" w:bidi="ar-SA"/>
              </w:rPr>
              <w:t>。】</w:t>
            </w:r>
          </w:p>
        </w:tc>
        <w:tc>
          <w:tcPr>
            <w:tcW w:w="884" w:type="dxa"/>
            <w:noWrap w:val="0"/>
            <w:vAlign w:val="center"/>
          </w:tcPr>
          <w:p>
            <w:pPr>
              <w:widowControl/>
              <w:wordWrap w:val="0"/>
              <w:adjustRightInd/>
              <w:snapToGrid/>
              <w:spacing w:after="0"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rPr>
              <w:t>共同评分因素</w:t>
            </w:r>
          </w:p>
        </w:tc>
      </w:tr>
    </w:tbl>
    <w:p>
      <w:pPr>
        <w:keepNext/>
        <w:keepLines/>
        <w:pageBreakBefore w:val="0"/>
        <w:kinsoku/>
        <w:wordWrap/>
        <w:overflowPunct/>
        <w:topLinePunct w:val="0"/>
        <w:bidi w:val="0"/>
        <w:spacing w:line="288" w:lineRule="auto"/>
        <w:textAlignment w:val="auto"/>
        <w:rPr>
          <w:rFonts w:hAnsi="宋体" w:cs="宋体"/>
          <w:b/>
          <w:sz w:val="24"/>
          <w:szCs w:val="24"/>
        </w:rPr>
      </w:pPr>
      <w:r>
        <w:rPr>
          <w:rFonts w:hint="eastAsia" w:hAnsi="宋体" w:cs="宋体"/>
          <w:b/>
          <w:bCs/>
          <w:sz w:val="24"/>
          <w:szCs w:val="24"/>
        </w:rPr>
        <w:t>注：</w:t>
      </w:r>
      <w:r>
        <w:rPr>
          <w:rFonts w:hint="eastAsia" w:hAnsi="宋体" w:cs="宋体"/>
          <w:sz w:val="24"/>
          <w:szCs w:val="24"/>
        </w:rPr>
        <w:t>评分的取值按四舍五入法，保留小数点后两位。</w:t>
      </w:r>
    </w:p>
    <w:p>
      <w:pPr>
        <w:pageBreakBefore w:val="0"/>
        <w:widowControl/>
        <w:kinsoku/>
        <w:wordWrap/>
        <w:overflowPunct/>
        <w:topLinePunct w:val="0"/>
        <w:bidi w:val="0"/>
        <w:adjustRightInd w:val="0"/>
        <w:snapToGrid w:val="0"/>
        <w:spacing w:afterLines="50" w:line="288" w:lineRule="auto"/>
        <w:jc w:val="left"/>
        <w:textAlignment w:val="auto"/>
        <w:rPr>
          <w:rFonts w:ascii="宋体" w:hAnsi="宋体" w:cs="宋体"/>
          <w:b/>
          <w:sz w:val="24"/>
          <w:szCs w:val="24"/>
        </w:rPr>
      </w:pPr>
      <w:r>
        <w:rPr>
          <w:rFonts w:hint="eastAsia" w:ascii="宋体" w:hAnsi="宋体" w:cs="宋体"/>
          <w:b/>
          <w:color w:val="000000" w:themeColor="text1"/>
          <w:sz w:val="24"/>
          <w:szCs w:val="24"/>
          <w:lang w:val="en-US" w:eastAsia="zh-CN"/>
        </w:rPr>
        <w:t>九</w:t>
      </w:r>
      <w:r>
        <w:rPr>
          <w:rFonts w:hint="eastAsia" w:ascii="宋体" w:hAnsi="宋体" w:cs="宋体"/>
          <w:b/>
          <w:color w:val="000000" w:themeColor="text1"/>
          <w:sz w:val="24"/>
          <w:szCs w:val="24"/>
        </w:rPr>
        <w:t>、</w:t>
      </w:r>
      <w:r>
        <w:rPr>
          <w:rFonts w:hint="eastAsia" w:ascii="宋体" w:hAnsi="宋体" w:cs="宋体"/>
          <w:b/>
          <w:sz w:val="24"/>
          <w:szCs w:val="24"/>
        </w:rPr>
        <w:t xml:space="preserve">采购合同主要条款  </w:t>
      </w:r>
    </w:p>
    <w:p>
      <w:pPr>
        <w:pageBreakBefore w:val="0"/>
        <w:kinsoku/>
        <w:wordWrap/>
        <w:overflowPunct/>
        <w:topLinePunct w:val="0"/>
        <w:bidi w:val="0"/>
        <w:spacing w:line="288" w:lineRule="auto"/>
        <w:ind w:firstLine="480" w:firstLineChars="200"/>
        <w:textAlignment w:val="auto"/>
        <w:rPr>
          <w:rFonts w:ascii="宋体" w:hAnsi="宋体" w:cs="宋体"/>
          <w:color w:val="000000" w:themeColor="text1"/>
          <w:sz w:val="24"/>
          <w:szCs w:val="24"/>
        </w:rPr>
      </w:pPr>
      <w:r>
        <w:rPr>
          <w:rFonts w:hint="eastAsia" w:ascii="宋体" w:hAnsi="宋体" w:cs="宋体"/>
          <w:color w:val="000000" w:themeColor="text1"/>
          <w:sz w:val="24"/>
          <w:szCs w:val="24"/>
        </w:rPr>
        <w:t>第一条 项目基本情况</w:t>
      </w:r>
    </w:p>
    <w:p>
      <w:pPr>
        <w:pageBreakBefore w:val="0"/>
        <w:kinsoku/>
        <w:wordWrap/>
        <w:overflowPunct/>
        <w:topLinePunct w:val="0"/>
        <w:bidi w:val="0"/>
        <w:spacing w:line="288" w:lineRule="auto"/>
        <w:ind w:firstLine="480" w:firstLineChars="200"/>
        <w:textAlignment w:val="auto"/>
        <w:rPr>
          <w:rFonts w:ascii="宋体" w:hAnsi="宋体" w:cs="宋体"/>
          <w:color w:val="000000" w:themeColor="text1"/>
          <w:sz w:val="24"/>
          <w:szCs w:val="24"/>
        </w:rPr>
      </w:pPr>
      <w:r>
        <w:rPr>
          <w:rFonts w:hint="eastAsia" w:ascii="宋体" w:hAnsi="宋体" w:cs="宋体"/>
          <w:color w:val="000000" w:themeColor="text1"/>
          <w:sz w:val="24"/>
          <w:szCs w:val="24"/>
        </w:rPr>
        <w:t>第二条 合同期限</w:t>
      </w:r>
    </w:p>
    <w:p>
      <w:pPr>
        <w:pageBreakBefore w:val="0"/>
        <w:kinsoku/>
        <w:wordWrap/>
        <w:overflowPunct/>
        <w:topLinePunct w:val="0"/>
        <w:bidi w:val="0"/>
        <w:spacing w:line="288" w:lineRule="auto"/>
        <w:ind w:firstLine="480" w:firstLineChars="200"/>
        <w:textAlignment w:val="auto"/>
        <w:rPr>
          <w:rFonts w:ascii="宋体" w:hAnsi="宋体" w:cs="宋体"/>
          <w:color w:val="000000" w:themeColor="text1"/>
          <w:sz w:val="24"/>
          <w:szCs w:val="24"/>
        </w:rPr>
      </w:pPr>
      <w:r>
        <w:rPr>
          <w:rFonts w:hint="eastAsia" w:ascii="宋体" w:hAnsi="宋体" w:cs="宋体"/>
          <w:color w:val="000000" w:themeColor="text1"/>
          <w:sz w:val="24"/>
          <w:szCs w:val="24"/>
        </w:rPr>
        <w:t>第三条 服务内容与质量标准</w:t>
      </w:r>
    </w:p>
    <w:p>
      <w:pPr>
        <w:pageBreakBefore w:val="0"/>
        <w:kinsoku/>
        <w:wordWrap/>
        <w:overflowPunct/>
        <w:topLinePunct w:val="0"/>
        <w:bidi w:val="0"/>
        <w:spacing w:line="288" w:lineRule="auto"/>
        <w:ind w:firstLine="480" w:firstLineChars="200"/>
        <w:textAlignment w:val="auto"/>
        <w:rPr>
          <w:rFonts w:ascii="宋体" w:hAnsi="宋体" w:cs="宋体"/>
          <w:color w:val="000000" w:themeColor="text1"/>
          <w:sz w:val="24"/>
          <w:szCs w:val="24"/>
        </w:rPr>
      </w:pPr>
      <w:r>
        <w:rPr>
          <w:rFonts w:hint="eastAsia" w:ascii="宋体" w:hAnsi="宋体" w:cs="宋体"/>
          <w:color w:val="000000" w:themeColor="text1"/>
          <w:sz w:val="24"/>
          <w:szCs w:val="24"/>
        </w:rPr>
        <w:t>第四条 服务费用及支付方式</w:t>
      </w:r>
    </w:p>
    <w:p>
      <w:pPr>
        <w:pageBreakBefore w:val="0"/>
        <w:kinsoku/>
        <w:wordWrap/>
        <w:overflowPunct/>
        <w:topLinePunct w:val="0"/>
        <w:bidi w:val="0"/>
        <w:spacing w:line="288" w:lineRule="auto"/>
        <w:ind w:firstLine="480" w:firstLineChars="200"/>
        <w:textAlignment w:val="auto"/>
        <w:rPr>
          <w:rFonts w:ascii="宋体" w:hAnsi="宋体" w:cs="宋体"/>
          <w:color w:val="000000" w:themeColor="text1"/>
          <w:sz w:val="24"/>
          <w:szCs w:val="24"/>
        </w:rPr>
      </w:pPr>
      <w:r>
        <w:rPr>
          <w:rFonts w:hint="eastAsia" w:ascii="宋体" w:hAnsi="宋体" w:cs="宋体"/>
          <w:color w:val="000000" w:themeColor="text1"/>
          <w:sz w:val="24"/>
          <w:szCs w:val="24"/>
        </w:rPr>
        <w:t>第五条 履约保证金</w:t>
      </w:r>
    </w:p>
    <w:p>
      <w:pPr>
        <w:pageBreakBefore w:val="0"/>
        <w:kinsoku/>
        <w:wordWrap/>
        <w:overflowPunct/>
        <w:topLinePunct w:val="0"/>
        <w:bidi w:val="0"/>
        <w:spacing w:line="288" w:lineRule="auto"/>
        <w:ind w:firstLine="480" w:firstLineChars="200"/>
        <w:textAlignment w:val="auto"/>
        <w:rPr>
          <w:rFonts w:ascii="宋体" w:hAnsi="宋体" w:cs="宋体"/>
          <w:color w:val="000000" w:themeColor="text1"/>
          <w:sz w:val="24"/>
          <w:szCs w:val="24"/>
        </w:rPr>
      </w:pPr>
      <w:r>
        <w:rPr>
          <w:rFonts w:hint="eastAsia" w:ascii="宋体" w:hAnsi="宋体" w:cs="宋体"/>
          <w:color w:val="000000" w:themeColor="text1"/>
          <w:sz w:val="24"/>
          <w:szCs w:val="24"/>
        </w:rPr>
        <w:t>其他合同条款由采购人和招标代理机构在采购文件中拟定。</w:t>
      </w:r>
    </w:p>
    <w:sectPr>
      <w:headerReference r:id="rId3" w:type="default"/>
      <w:footerReference r:id="rId4"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_x0004_falt">
    <w:altName w:val="Courier New"/>
    <w:panose1 w:val="00000000000000000000"/>
    <w:charset w:val="78"/>
    <w:family w:val="modern"/>
    <w:pitch w:val="default"/>
    <w:sig w:usb0="00000000" w:usb1="00000000" w:usb2="00000000" w:usb3="00000000" w:csb0="00000000" w:csb1="00000000"/>
  </w:font>
  <w:font w:name="MS Mincho_x0004_falt">
    <w:altName w:val="Yu Gothic"/>
    <w:panose1 w:val="00000000000000000000"/>
    <w:charset w:val="80"/>
    <w:family w:val="modern"/>
    <w:pitch w:val="default"/>
    <w:sig w:usb0="00000000" w:usb1="00000000" w:usb2="00000010" w:usb3="00000000" w:csb0="00020000" w:csb1="00000000"/>
  </w:font>
  <w:font w:name="Impact">
    <w:panose1 w:val="020B0806030902050204"/>
    <w:charset w:val="00"/>
    <w:family w:val="swiss"/>
    <w:pitch w:val="default"/>
    <w:sig w:usb0="00000287" w:usb1="00000000" w:usb2="00000000" w:usb3="00000000" w:csb0="2000009F" w:csb1="DFD7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FFFFFF" w:sz="6"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16AFC"/>
    <w:rsid w:val="00001885"/>
    <w:rsid w:val="0000226F"/>
    <w:rsid w:val="00005261"/>
    <w:rsid w:val="000105E6"/>
    <w:rsid w:val="00011227"/>
    <w:rsid w:val="0001323F"/>
    <w:rsid w:val="00015AE0"/>
    <w:rsid w:val="00025749"/>
    <w:rsid w:val="000258CC"/>
    <w:rsid w:val="00025BA6"/>
    <w:rsid w:val="00025E9C"/>
    <w:rsid w:val="00030B7D"/>
    <w:rsid w:val="000332B7"/>
    <w:rsid w:val="0003343D"/>
    <w:rsid w:val="00034246"/>
    <w:rsid w:val="00034606"/>
    <w:rsid w:val="00034727"/>
    <w:rsid w:val="000349B5"/>
    <w:rsid w:val="000365EF"/>
    <w:rsid w:val="00037886"/>
    <w:rsid w:val="00040E56"/>
    <w:rsid w:val="0004284A"/>
    <w:rsid w:val="000440F9"/>
    <w:rsid w:val="00047B48"/>
    <w:rsid w:val="00050696"/>
    <w:rsid w:val="000537EC"/>
    <w:rsid w:val="00055B49"/>
    <w:rsid w:val="00057AFF"/>
    <w:rsid w:val="00061771"/>
    <w:rsid w:val="000677CE"/>
    <w:rsid w:val="00067EB9"/>
    <w:rsid w:val="000723F1"/>
    <w:rsid w:val="00076C89"/>
    <w:rsid w:val="000838CE"/>
    <w:rsid w:val="00092E80"/>
    <w:rsid w:val="00093C96"/>
    <w:rsid w:val="00095FDE"/>
    <w:rsid w:val="000A0E64"/>
    <w:rsid w:val="000A5DDF"/>
    <w:rsid w:val="000A6A91"/>
    <w:rsid w:val="000B5B39"/>
    <w:rsid w:val="000B6062"/>
    <w:rsid w:val="000B79DE"/>
    <w:rsid w:val="000C7B0E"/>
    <w:rsid w:val="000D0253"/>
    <w:rsid w:val="000D20A2"/>
    <w:rsid w:val="000D387C"/>
    <w:rsid w:val="000D60F4"/>
    <w:rsid w:val="000D6DBD"/>
    <w:rsid w:val="000F0114"/>
    <w:rsid w:val="000F1A58"/>
    <w:rsid w:val="000F554A"/>
    <w:rsid w:val="000F5F86"/>
    <w:rsid w:val="000F6431"/>
    <w:rsid w:val="000F7963"/>
    <w:rsid w:val="001008CF"/>
    <w:rsid w:val="00101165"/>
    <w:rsid w:val="0010553B"/>
    <w:rsid w:val="001073D2"/>
    <w:rsid w:val="001122A8"/>
    <w:rsid w:val="0011267C"/>
    <w:rsid w:val="0011322D"/>
    <w:rsid w:val="00113C0B"/>
    <w:rsid w:val="0011601B"/>
    <w:rsid w:val="001162B2"/>
    <w:rsid w:val="00116AFC"/>
    <w:rsid w:val="0012044F"/>
    <w:rsid w:val="001213EA"/>
    <w:rsid w:val="00125464"/>
    <w:rsid w:val="001254A1"/>
    <w:rsid w:val="00127F73"/>
    <w:rsid w:val="00140667"/>
    <w:rsid w:val="0014158E"/>
    <w:rsid w:val="00141C14"/>
    <w:rsid w:val="00143AB0"/>
    <w:rsid w:val="00144AC1"/>
    <w:rsid w:val="00146771"/>
    <w:rsid w:val="00147681"/>
    <w:rsid w:val="00153F79"/>
    <w:rsid w:val="001556EB"/>
    <w:rsid w:val="001565F7"/>
    <w:rsid w:val="00157500"/>
    <w:rsid w:val="00161282"/>
    <w:rsid w:val="001659BA"/>
    <w:rsid w:val="00165ED8"/>
    <w:rsid w:val="00170E66"/>
    <w:rsid w:val="00172520"/>
    <w:rsid w:val="001734C9"/>
    <w:rsid w:val="001763E3"/>
    <w:rsid w:val="0017644D"/>
    <w:rsid w:val="0017776B"/>
    <w:rsid w:val="00183CE8"/>
    <w:rsid w:val="0018618E"/>
    <w:rsid w:val="00186B5D"/>
    <w:rsid w:val="00187A0E"/>
    <w:rsid w:val="001916A8"/>
    <w:rsid w:val="001921E6"/>
    <w:rsid w:val="00192EE8"/>
    <w:rsid w:val="00194657"/>
    <w:rsid w:val="001972D0"/>
    <w:rsid w:val="001A6C3B"/>
    <w:rsid w:val="001A71F0"/>
    <w:rsid w:val="001A72C9"/>
    <w:rsid w:val="001B1EAC"/>
    <w:rsid w:val="001B36BF"/>
    <w:rsid w:val="001B3C2A"/>
    <w:rsid w:val="001B4F39"/>
    <w:rsid w:val="001B6B36"/>
    <w:rsid w:val="001B7E10"/>
    <w:rsid w:val="001C3A91"/>
    <w:rsid w:val="001C5382"/>
    <w:rsid w:val="001D21EE"/>
    <w:rsid w:val="001D3FB8"/>
    <w:rsid w:val="001D5F65"/>
    <w:rsid w:val="001D6239"/>
    <w:rsid w:val="001E02DF"/>
    <w:rsid w:val="001E11AF"/>
    <w:rsid w:val="001E23FF"/>
    <w:rsid w:val="001E3FAD"/>
    <w:rsid w:val="001E5912"/>
    <w:rsid w:val="001F5F68"/>
    <w:rsid w:val="0020110A"/>
    <w:rsid w:val="002074F4"/>
    <w:rsid w:val="00210BBB"/>
    <w:rsid w:val="00210CED"/>
    <w:rsid w:val="00211127"/>
    <w:rsid w:val="002112EC"/>
    <w:rsid w:val="0021473E"/>
    <w:rsid w:val="00215D24"/>
    <w:rsid w:val="002162CA"/>
    <w:rsid w:val="00216648"/>
    <w:rsid w:val="00216E7A"/>
    <w:rsid w:val="00220654"/>
    <w:rsid w:val="002206CE"/>
    <w:rsid w:val="002220E0"/>
    <w:rsid w:val="0022308F"/>
    <w:rsid w:val="00223DF6"/>
    <w:rsid w:val="0022693F"/>
    <w:rsid w:val="002310CE"/>
    <w:rsid w:val="00233651"/>
    <w:rsid w:val="00233C8D"/>
    <w:rsid w:val="00235271"/>
    <w:rsid w:val="00250A18"/>
    <w:rsid w:val="00251EAA"/>
    <w:rsid w:val="002536F8"/>
    <w:rsid w:val="002578EE"/>
    <w:rsid w:val="00257BEA"/>
    <w:rsid w:val="00260087"/>
    <w:rsid w:val="00260286"/>
    <w:rsid w:val="0026328D"/>
    <w:rsid w:val="002653D5"/>
    <w:rsid w:val="00265B96"/>
    <w:rsid w:val="00267F90"/>
    <w:rsid w:val="0027367A"/>
    <w:rsid w:val="00273C38"/>
    <w:rsid w:val="00275A74"/>
    <w:rsid w:val="00282979"/>
    <w:rsid w:val="0028514F"/>
    <w:rsid w:val="00286188"/>
    <w:rsid w:val="0029166E"/>
    <w:rsid w:val="00292EEE"/>
    <w:rsid w:val="00293796"/>
    <w:rsid w:val="002A2163"/>
    <w:rsid w:val="002A4663"/>
    <w:rsid w:val="002A4B55"/>
    <w:rsid w:val="002A6A31"/>
    <w:rsid w:val="002B0248"/>
    <w:rsid w:val="002B1DC7"/>
    <w:rsid w:val="002B4504"/>
    <w:rsid w:val="002B5ACD"/>
    <w:rsid w:val="002C61EA"/>
    <w:rsid w:val="002C7264"/>
    <w:rsid w:val="002C7536"/>
    <w:rsid w:val="002D0274"/>
    <w:rsid w:val="002D5D17"/>
    <w:rsid w:val="002D775B"/>
    <w:rsid w:val="002E1B5D"/>
    <w:rsid w:val="002E37CD"/>
    <w:rsid w:val="002F363A"/>
    <w:rsid w:val="003016A1"/>
    <w:rsid w:val="00310327"/>
    <w:rsid w:val="003135DC"/>
    <w:rsid w:val="00313E5C"/>
    <w:rsid w:val="00314B68"/>
    <w:rsid w:val="00315E6A"/>
    <w:rsid w:val="00317E3F"/>
    <w:rsid w:val="00327BE5"/>
    <w:rsid w:val="00330937"/>
    <w:rsid w:val="0033124E"/>
    <w:rsid w:val="00332EF6"/>
    <w:rsid w:val="00336719"/>
    <w:rsid w:val="003368AE"/>
    <w:rsid w:val="0034020F"/>
    <w:rsid w:val="0034057A"/>
    <w:rsid w:val="003414D4"/>
    <w:rsid w:val="003424E9"/>
    <w:rsid w:val="00346AD8"/>
    <w:rsid w:val="00347B46"/>
    <w:rsid w:val="0035246E"/>
    <w:rsid w:val="00352788"/>
    <w:rsid w:val="00360FB3"/>
    <w:rsid w:val="003642A5"/>
    <w:rsid w:val="00370985"/>
    <w:rsid w:val="00384047"/>
    <w:rsid w:val="0038577E"/>
    <w:rsid w:val="00385AB1"/>
    <w:rsid w:val="003921AE"/>
    <w:rsid w:val="003942E6"/>
    <w:rsid w:val="003A3C73"/>
    <w:rsid w:val="003A5BEB"/>
    <w:rsid w:val="003B3C36"/>
    <w:rsid w:val="003B4403"/>
    <w:rsid w:val="003B7EE0"/>
    <w:rsid w:val="003C2331"/>
    <w:rsid w:val="003C433B"/>
    <w:rsid w:val="003C5306"/>
    <w:rsid w:val="003C7986"/>
    <w:rsid w:val="003C7C6A"/>
    <w:rsid w:val="003D1AB5"/>
    <w:rsid w:val="003E061C"/>
    <w:rsid w:val="003E2C2E"/>
    <w:rsid w:val="003E3C15"/>
    <w:rsid w:val="003E5C94"/>
    <w:rsid w:val="003E6D94"/>
    <w:rsid w:val="003F0A87"/>
    <w:rsid w:val="003F18EB"/>
    <w:rsid w:val="003F1AA3"/>
    <w:rsid w:val="003F2A9A"/>
    <w:rsid w:val="003F5BEE"/>
    <w:rsid w:val="00407B1C"/>
    <w:rsid w:val="00410C37"/>
    <w:rsid w:val="00411515"/>
    <w:rsid w:val="00412F08"/>
    <w:rsid w:val="00414FD4"/>
    <w:rsid w:val="0041569B"/>
    <w:rsid w:val="004169D3"/>
    <w:rsid w:val="00420AEA"/>
    <w:rsid w:val="00423262"/>
    <w:rsid w:val="00426DC3"/>
    <w:rsid w:val="004278B7"/>
    <w:rsid w:val="00433002"/>
    <w:rsid w:val="004372EA"/>
    <w:rsid w:val="0044006C"/>
    <w:rsid w:val="004409A4"/>
    <w:rsid w:val="00442980"/>
    <w:rsid w:val="004458E6"/>
    <w:rsid w:val="004507AD"/>
    <w:rsid w:val="00451184"/>
    <w:rsid w:val="00455FC7"/>
    <w:rsid w:val="00463564"/>
    <w:rsid w:val="00464D2E"/>
    <w:rsid w:val="00464D60"/>
    <w:rsid w:val="004679D7"/>
    <w:rsid w:val="004713F1"/>
    <w:rsid w:val="00472CA8"/>
    <w:rsid w:val="0047384C"/>
    <w:rsid w:val="0047635E"/>
    <w:rsid w:val="00476769"/>
    <w:rsid w:val="00477687"/>
    <w:rsid w:val="0048123F"/>
    <w:rsid w:val="00483A77"/>
    <w:rsid w:val="004876F4"/>
    <w:rsid w:val="00492029"/>
    <w:rsid w:val="004938E1"/>
    <w:rsid w:val="00494A6E"/>
    <w:rsid w:val="00496031"/>
    <w:rsid w:val="004A04E2"/>
    <w:rsid w:val="004A05BB"/>
    <w:rsid w:val="004A7572"/>
    <w:rsid w:val="004B076B"/>
    <w:rsid w:val="004B11F2"/>
    <w:rsid w:val="004B20A2"/>
    <w:rsid w:val="004B3756"/>
    <w:rsid w:val="004B5563"/>
    <w:rsid w:val="004B65B1"/>
    <w:rsid w:val="004C0650"/>
    <w:rsid w:val="004C1709"/>
    <w:rsid w:val="004D0D25"/>
    <w:rsid w:val="004D7157"/>
    <w:rsid w:val="004F46D3"/>
    <w:rsid w:val="00500644"/>
    <w:rsid w:val="005025FE"/>
    <w:rsid w:val="005065E2"/>
    <w:rsid w:val="00507921"/>
    <w:rsid w:val="00523A61"/>
    <w:rsid w:val="0052425D"/>
    <w:rsid w:val="005266B9"/>
    <w:rsid w:val="0053222B"/>
    <w:rsid w:val="00541081"/>
    <w:rsid w:val="005415B9"/>
    <w:rsid w:val="005418FF"/>
    <w:rsid w:val="00542115"/>
    <w:rsid w:val="0054394A"/>
    <w:rsid w:val="005539CE"/>
    <w:rsid w:val="00564676"/>
    <w:rsid w:val="005663BB"/>
    <w:rsid w:val="00570FAC"/>
    <w:rsid w:val="00572110"/>
    <w:rsid w:val="00573D2E"/>
    <w:rsid w:val="00576BC2"/>
    <w:rsid w:val="00576F77"/>
    <w:rsid w:val="00580A81"/>
    <w:rsid w:val="00580F39"/>
    <w:rsid w:val="00581302"/>
    <w:rsid w:val="005852B9"/>
    <w:rsid w:val="005859AB"/>
    <w:rsid w:val="00585DEF"/>
    <w:rsid w:val="0059111B"/>
    <w:rsid w:val="005914F1"/>
    <w:rsid w:val="005922BA"/>
    <w:rsid w:val="00594F4B"/>
    <w:rsid w:val="005A2E2C"/>
    <w:rsid w:val="005A60C4"/>
    <w:rsid w:val="005B124B"/>
    <w:rsid w:val="005B1A08"/>
    <w:rsid w:val="005B1CBC"/>
    <w:rsid w:val="005C36A3"/>
    <w:rsid w:val="005D5496"/>
    <w:rsid w:val="005E0D42"/>
    <w:rsid w:val="005F7C91"/>
    <w:rsid w:val="005F7F85"/>
    <w:rsid w:val="00604FBC"/>
    <w:rsid w:val="006050C9"/>
    <w:rsid w:val="0060626C"/>
    <w:rsid w:val="00610DA3"/>
    <w:rsid w:val="00613E27"/>
    <w:rsid w:val="006140E7"/>
    <w:rsid w:val="00614F42"/>
    <w:rsid w:val="00621B33"/>
    <w:rsid w:val="00621ED3"/>
    <w:rsid w:val="00634595"/>
    <w:rsid w:val="00635CAE"/>
    <w:rsid w:val="00636AF5"/>
    <w:rsid w:val="00637D59"/>
    <w:rsid w:val="00647172"/>
    <w:rsid w:val="0065027D"/>
    <w:rsid w:val="0066254B"/>
    <w:rsid w:val="00662F16"/>
    <w:rsid w:val="00666070"/>
    <w:rsid w:val="006671DC"/>
    <w:rsid w:val="00671705"/>
    <w:rsid w:val="00672CDA"/>
    <w:rsid w:val="006745DA"/>
    <w:rsid w:val="00676736"/>
    <w:rsid w:val="006800A5"/>
    <w:rsid w:val="006860A9"/>
    <w:rsid w:val="00690FE6"/>
    <w:rsid w:val="00691858"/>
    <w:rsid w:val="00691EAD"/>
    <w:rsid w:val="00696E6A"/>
    <w:rsid w:val="00697546"/>
    <w:rsid w:val="006A2226"/>
    <w:rsid w:val="006A356E"/>
    <w:rsid w:val="006A588E"/>
    <w:rsid w:val="006A673A"/>
    <w:rsid w:val="006B0094"/>
    <w:rsid w:val="006B79CA"/>
    <w:rsid w:val="006C0980"/>
    <w:rsid w:val="006C39F7"/>
    <w:rsid w:val="006C64EB"/>
    <w:rsid w:val="006D0A7A"/>
    <w:rsid w:val="006D1A13"/>
    <w:rsid w:val="006D4216"/>
    <w:rsid w:val="006D57D4"/>
    <w:rsid w:val="006D6332"/>
    <w:rsid w:val="006D6684"/>
    <w:rsid w:val="006E00B5"/>
    <w:rsid w:val="006E2DA0"/>
    <w:rsid w:val="006E34C9"/>
    <w:rsid w:val="006E426B"/>
    <w:rsid w:val="006E64D0"/>
    <w:rsid w:val="006F18D3"/>
    <w:rsid w:val="006F35CA"/>
    <w:rsid w:val="006F448E"/>
    <w:rsid w:val="0070163F"/>
    <w:rsid w:val="00705785"/>
    <w:rsid w:val="007138AC"/>
    <w:rsid w:val="00716488"/>
    <w:rsid w:val="00720B42"/>
    <w:rsid w:val="00721BFB"/>
    <w:rsid w:val="00725E40"/>
    <w:rsid w:val="00727194"/>
    <w:rsid w:val="00730428"/>
    <w:rsid w:val="00732E7A"/>
    <w:rsid w:val="007350EB"/>
    <w:rsid w:val="00744495"/>
    <w:rsid w:val="00746A94"/>
    <w:rsid w:val="00751D43"/>
    <w:rsid w:val="00755521"/>
    <w:rsid w:val="00755EFB"/>
    <w:rsid w:val="007563CD"/>
    <w:rsid w:val="007661BF"/>
    <w:rsid w:val="0077023C"/>
    <w:rsid w:val="00772289"/>
    <w:rsid w:val="00777376"/>
    <w:rsid w:val="007830A9"/>
    <w:rsid w:val="007839A8"/>
    <w:rsid w:val="00784752"/>
    <w:rsid w:val="00784B87"/>
    <w:rsid w:val="00786371"/>
    <w:rsid w:val="00787AF1"/>
    <w:rsid w:val="007928E5"/>
    <w:rsid w:val="007A061D"/>
    <w:rsid w:val="007A1ED9"/>
    <w:rsid w:val="007A223E"/>
    <w:rsid w:val="007A30EB"/>
    <w:rsid w:val="007A5229"/>
    <w:rsid w:val="007A765C"/>
    <w:rsid w:val="007A7B54"/>
    <w:rsid w:val="007A7E23"/>
    <w:rsid w:val="007C186D"/>
    <w:rsid w:val="007D158D"/>
    <w:rsid w:val="007D604C"/>
    <w:rsid w:val="007E271F"/>
    <w:rsid w:val="007F3DCD"/>
    <w:rsid w:val="007F4168"/>
    <w:rsid w:val="007F469D"/>
    <w:rsid w:val="007F6220"/>
    <w:rsid w:val="007F7293"/>
    <w:rsid w:val="00800B22"/>
    <w:rsid w:val="00803158"/>
    <w:rsid w:val="00806E51"/>
    <w:rsid w:val="008108B7"/>
    <w:rsid w:val="00820E06"/>
    <w:rsid w:val="008252AD"/>
    <w:rsid w:val="00827B3C"/>
    <w:rsid w:val="0083230F"/>
    <w:rsid w:val="00833947"/>
    <w:rsid w:val="00834CF1"/>
    <w:rsid w:val="00840FF4"/>
    <w:rsid w:val="00841577"/>
    <w:rsid w:val="00843FED"/>
    <w:rsid w:val="00844224"/>
    <w:rsid w:val="00850D9C"/>
    <w:rsid w:val="00850DBC"/>
    <w:rsid w:val="008520F6"/>
    <w:rsid w:val="008579AA"/>
    <w:rsid w:val="00861C9E"/>
    <w:rsid w:val="00862341"/>
    <w:rsid w:val="00864690"/>
    <w:rsid w:val="0086519C"/>
    <w:rsid w:val="008666B0"/>
    <w:rsid w:val="00874912"/>
    <w:rsid w:val="00884387"/>
    <w:rsid w:val="008924FC"/>
    <w:rsid w:val="00892ACB"/>
    <w:rsid w:val="00897040"/>
    <w:rsid w:val="008A4145"/>
    <w:rsid w:val="008B2B12"/>
    <w:rsid w:val="008B5948"/>
    <w:rsid w:val="008B61F3"/>
    <w:rsid w:val="008C69D4"/>
    <w:rsid w:val="008C73E7"/>
    <w:rsid w:val="008C7B57"/>
    <w:rsid w:val="008D0E0F"/>
    <w:rsid w:val="008D1042"/>
    <w:rsid w:val="008D34E5"/>
    <w:rsid w:val="008D4935"/>
    <w:rsid w:val="008E1577"/>
    <w:rsid w:val="008E4400"/>
    <w:rsid w:val="008E4618"/>
    <w:rsid w:val="008E7DB1"/>
    <w:rsid w:val="008F26AB"/>
    <w:rsid w:val="008F486C"/>
    <w:rsid w:val="008F4924"/>
    <w:rsid w:val="008F56CE"/>
    <w:rsid w:val="00901BF3"/>
    <w:rsid w:val="00902385"/>
    <w:rsid w:val="00903FC5"/>
    <w:rsid w:val="00904003"/>
    <w:rsid w:val="00904753"/>
    <w:rsid w:val="00905CE5"/>
    <w:rsid w:val="00906BB1"/>
    <w:rsid w:val="00907372"/>
    <w:rsid w:val="0091548F"/>
    <w:rsid w:val="00917DF7"/>
    <w:rsid w:val="00921BE2"/>
    <w:rsid w:val="00931B3D"/>
    <w:rsid w:val="00940538"/>
    <w:rsid w:val="00942571"/>
    <w:rsid w:val="009467E0"/>
    <w:rsid w:val="00947FF6"/>
    <w:rsid w:val="009649B9"/>
    <w:rsid w:val="00965DF0"/>
    <w:rsid w:val="00967234"/>
    <w:rsid w:val="00967A8D"/>
    <w:rsid w:val="009716CA"/>
    <w:rsid w:val="00971C98"/>
    <w:rsid w:val="00972DC2"/>
    <w:rsid w:val="00973E6E"/>
    <w:rsid w:val="00976A66"/>
    <w:rsid w:val="009773E1"/>
    <w:rsid w:val="009802A0"/>
    <w:rsid w:val="00993776"/>
    <w:rsid w:val="00994902"/>
    <w:rsid w:val="009A07C5"/>
    <w:rsid w:val="009A0B11"/>
    <w:rsid w:val="009A5E1D"/>
    <w:rsid w:val="009A6E0A"/>
    <w:rsid w:val="009B090C"/>
    <w:rsid w:val="009B0A08"/>
    <w:rsid w:val="009B1237"/>
    <w:rsid w:val="009B2F39"/>
    <w:rsid w:val="009B33C0"/>
    <w:rsid w:val="009B35CC"/>
    <w:rsid w:val="009B52F1"/>
    <w:rsid w:val="009B68BB"/>
    <w:rsid w:val="009C4265"/>
    <w:rsid w:val="009C530C"/>
    <w:rsid w:val="009C5672"/>
    <w:rsid w:val="009D7BF6"/>
    <w:rsid w:val="009E2547"/>
    <w:rsid w:val="009E2DA6"/>
    <w:rsid w:val="009E571D"/>
    <w:rsid w:val="009E6044"/>
    <w:rsid w:val="009F4AD9"/>
    <w:rsid w:val="009F4DDB"/>
    <w:rsid w:val="009F5B3C"/>
    <w:rsid w:val="009F5D7C"/>
    <w:rsid w:val="009F7DBE"/>
    <w:rsid w:val="00A00026"/>
    <w:rsid w:val="00A016BA"/>
    <w:rsid w:val="00A02108"/>
    <w:rsid w:val="00A02664"/>
    <w:rsid w:val="00A04A6D"/>
    <w:rsid w:val="00A05479"/>
    <w:rsid w:val="00A11777"/>
    <w:rsid w:val="00A127E0"/>
    <w:rsid w:val="00A130E4"/>
    <w:rsid w:val="00A131B7"/>
    <w:rsid w:val="00A3302D"/>
    <w:rsid w:val="00A33197"/>
    <w:rsid w:val="00A3325B"/>
    <w:rsid w:val="00A341CA"/>
    <w:rsid w:val="00A34581"/>
    <w:rsid w:val="00A402A7"/>
    <w:rsid w:val="00A421E8"/>
    <w:rsid w:val="00A428E8"/>
    <w:rsid w:val="00A45F7C"/>
    <w:rsid w:val="00A557F2"/>
    <w:rsid w:val="00A61CA0"/>
    <w:rsid w:val="00A67A59"/>
    <w:rsid w:val="00A67E6B"/>
    <w:rsid w:val="00A70509"/>
    <w:rsid w:val="00A71CBC"/>
    <w:rsid w:val="00A73E40"/>
    <w:rsid w:val="00A750E3"/>
    <w:rsid w:val="00A75268"/>
    <w:rsid w:val="00A80543"/>
    <w:rsid w:val="00A837A3"/>
    <w:rsid w:val="00A859A2"/>
    <w:rsid w:val="00A86CAA"/>
    <w:rsid w:val="00A9042C"/>
    <w:rsid w:val="00A91C13"/>
    <w:rsid w:val="00A939A5"/>
    <w:rsid w:val="00A954E6"/>
    <w:rsid w:val="00AA06A6"/>
    <w:rsid w:val="00AA65D2"/>
    <w:rsid w:val="00AB483E"/>
    <w:rsid w:val="00AB7B2B"/>
    <w:rsid w:val="00AC165C"/>
    <w:rsid w:val="00AC1995"/>
    <w:rsid w:val="00AC4432"/>
    <w:rsid w:val="00AC4A9D"/>
    <w:rsid w:val="00AD1DE3"/>
    <w:rsid w:val="00AD2AE9"/>
    <w:rsid w:val="00AD5695"/>
    <w:rsid w:val="00AE0C61"/>
    <w:rsid w:val="00AE15BC"/>
    <w:rsid w:val="00AE3CF7"/>
    <w:rsid w:val="00AE59B1"/>
    <w:rsid w:val="00AE77A4"/>
    <w:rsid w:val="00AE79AC"/>
    <w:rsid w:val="00AF11F1"/>
    <w:rsid w:val="00AF1289"/>
    <w:rsid w:val="00AF19AB"/>
    <w:rsid w:val="00AF2E9E"/>
    <w:rsid w:val="00AF3199"/>
    <w:rsid w:val="00AF739A"/>
    <w:rsid w:val="00AF7FC0"/>
    <w:rsid w:val="00B12E5F"/>
    <w:rsid w:val="00B16C4B"/>
    <w:rsid w:val="00B2091F"/>
    <w:rsid w:val="00B2183C"/>
    <w:rsid w:val="00B24E2C"/>
    <w:rsid w:val="00B25615"/>
    <w:rsid w:val="00B33A36"/>
    <w:rsid w:val="00B34344"/>
    <w:rsid w:val="00B4376E"/>
    <w:rsid w:val="00B462CA"/>
    <w:rsid w:val="00B47A65"/>
    <w:rsid w:val="00B5248D"/>
    <w:rsid w:val="00B52BF5"/>
    <w:rsid w:val="00B52DCA"/>
    <w:rsid w:val="00B54306"/>
    <w:rsid w:val="00B55006"/>
    <w:rsid w:val="00B60A4F"/>
    <w:rsid w:val="00B7046A"/>
    <w:rsid w:val="00B72263"/>
    <w:rsid w:val="00B75141"/>
    <w:rsid w:val="00B801DA"/>
    <w:rsid w:val="00B82310"/>
    <w:rsid w:val="00B82724"/>
    <w:rsid w:val="00B8294B"/>
    <w:rsid w:val="00B856B4"/>
    <w:rsid w:val="00B87D75"/>
    <w:rsid w:val="00B90FC1"/>
    <w:rsid w:val="00B961DB"/>
    <w:rsid w:val="00B965EE"/>
    <w:rsid w:val="00B971BE"/>
    <w:rsid w:val="00BA17B9"/>
    <w:rsid w:val="00BA2113"/>
    <w:rsid w:val="00BA2F0F"/>
    <w:rsid w:val="00BA77E3"/>
    <w:rsid w:val="00BA7F2B"/>
    <w:rsid w:val="00BA7F6B"/>
    <w:rsid w:val="00BB2E0C"/>
    <w:rsid w:val="00BB3001"/>
    <w:rsid w:val="00BB437B"/>
    <w:rsid w:val="00BC20D8"/>
    <w:rsid w:val="00BC2469"/>
    <w:rsid w:val="00BC3531"/>
    <w:rsid w:val="00BD432F"/>
    <w:rsid w:val="00BD6305"/>
    <w:rsid w:val="00BD6F7D"/>
    <w:rsid w:val="00BE157E"/>
    <w:rsid w:val="00BE3DC5"/>
    <w:rsid w:val="00BE4F56"/>
    <w:rsid w:val="00BE5E25"/>
    <w:rsid w:val="00BE6815"/>
    <w:rsid w:val="00BE7984"/>
    <w:rsid w:val="00BE7B40"/>
    <w:rsid w:val="00BF17EE"/>
    <w:rsid w:val="00BF242B"/>
    <w:rsid w:val="00BF29C6"/>
    <w:rsid w:val="00BF38C9"/>
    <w:rsid w:val="00BF5F77"/>
    <w:rsid w:val="00BF6521"/>
    <w:rsid w:val="00C04067"/>
    <w:rsid w:val="00C0757E"/>
    <w:rsid w:val="00C11430"/>
    <w:rsid w:val="00C13F30"/>
    <w:rsid w:val="00C146F4"/>
    <w:rsid w:val="00C14A37"/>
    <w:rsid w:val="00C1583F"/>
    <w:rsid w:val="00C15FFB"/>
    <w:rsid w:val="00C20EF2"/>
    <w:rsid w:val="00C21CAB"/>
    <w:rsid w:val="00C2563C"/>
    <w:rsid w:val="00C26515"/>
    <w:rsid w:val="00C52B4B"/>
    <w:rsid w:val="00C53A81"/>
    <w:rsid w:val="00C543AE"/>
    <w:rsid w:val="00C54F60"/>
    <w:rsid w:val="00C55F91"/>
    <w:rsid w:val="00C56DDC"/>
    <w:rsid w:val="00C61986"/>
    <w:rsid w:val="00C62E4D"/>
    <w:rsid w:val="00C67F5F"/>
    <w:rsid w:val="00C741EF"/>
    <w:rsid w:val="00C74543"/>
    <w:rsid w:val="00C82732"/>
    <w:rsid w:val="00C87200"/>
    <w:rsid w:val="00C926C8"/>
    <w:rsid w:val="00C94E43"/>
    <w:rsid w:val="00C975CA"/>
    <w:rsid w:val="00C976AA"/>
    <w:rsid w:val="00CA01AA"/>
    <w:rsid w:val="00CA4000"/>
    <w:rsid w:val="00CA4A5B"/>
    <w:rsid w:val="00CA4D15"/>
    <w:rsid w:val="00CA51EC"/>
    <w:rsid w:val="00CA5D37"/>
    <w:rsid w:val="00CB6527"/>
    <w:rsid w:val="00CB681E"/>
    <w:rsid w:val="00CC04C5"/>
    <w:rsid w:val="00CC13EC"/>
    <w:rsid w:val="00CC40F8"/>
    <w:rsid w:val="00CC4257"/>
    <w:rsid w:val="00CC4E26"/>
    <w:rsid w:val="00CD0394"/>
    <w:rsid w:val="00CD4D13"/>
    <w:rsid w:val="00CD5DF2"/>
    <w:rsid w:val="00CE09B7"/>
    <w:rsid w:val="00CF146C"/>
    <w:rsid w:val="00CF45EB"/>
    <w:rsid w:val="00CF64BE"/>
    <w:rsid w:val="00CF7991"/>
    <w:rsid w:val="00D0389B"/>
    <w:rsid w:val="00D039F0"/>
    <w:rsid w:val="00D06DA6"/>
    <w:rsid w:val="00D06DB8"/>
    <w:rsid w:val="00D07A74"/>
    <w:rsid w:val="00D1013B"/>
    <w:rsid w:val="00D108E6"/>
    <w:rsid w:val="00D10CE3"/>
    <w:rsid w:val="00D203CC"/>
    <w:rsid w:val="00D20D5E"/>
    <w:rsid w:val="00D214B8"/>
    <w:rsid w:val="00D27B1C"/>
    <w:rsid w:val="00D436F8"/>
    <w:rsid w:val="00D5053C"/>
    <w:rsid w:val="00D55BFC"/>
    <w:rsid w:val="00D56866"/>
    <w:rsid w:val="00D56C52"/>
    <w:rsid w:val="00D6221C"/>
    <w:rsid w:val="00D675F4"/>
    <w:rsid w:val="00D67D01"/>
    <w:rsid w:val="00D72D16"/>
    <w:rsid w:val="00D7335F"/>
    <w:rsid w:val="00D73716"/>
    <w:rsid w:val="00D74813"/>
    <w:rsid w:val="00D847FD"/>
    <w:rsid w:val="00D86D1A"/>
    <w:rsid w:val="00D938A1"/>
    <w:rsid w:val="00D9629A"/>
    <w:rsid w:val="00D97DCA"/>
    <w:rsid w:val="00DA666B"/>
    <w:rsid w:val="00DB26ED"/>
    <w:rsid w:val="00DB4AB6"/>
    <w:rsid w:val="00DB5B0A"/>
    <w:rsid w:val="00DC3255"/>
    <w:rsid w:val="00DD0116"/>
    <w:rsid w:val="00DD1257"/>
    <w:rsid w:val="00DD13D7"/>
    <w:rsid w:val="00DD1C1E"/>
    <w:rsid w:val="00DD4F35"/>
    <w:rsid w:val="00DD5192"/>
    <w:rsid w:val="00DD7ADB"/>
    <w:rsid w:val="00DE22E2"/>
    <w:rsid w:val="00DE62C6"/>
    <w:rsid w:val="00DE63CA"/>
    <w:rsid w:val="00DE66B3"/>
    <w:rsid w:val="00DE66B7"/>
    <w:rsid w:val="00DF2533"/>
    <w:rsid w:val="00DF3F82"/>
    <w:rsid w:val="00DF7482"/>
    <w:rsid w:val="00DF7FC1"/>
    <w:rsid w:val="00E01DB4"/>
    <w:rsid w:val="00E049C2"/>
    <w:rsid w:val="00E05F6A"/>
    <w:rsid w:val="00E10BB9"/>
    <w:rsid w:val="00E11D87"/>
    <w:rsid w:val="00E13547"/>
    <w:rsid w:val="00E14788"/>
    <w:rsid w:val="00E21AA8"/>
    <w:rsid w:val="00E24DAC"/>
    <w:rsid w:val="00E26AB6"/>
    <w:rsid w:val="00E26B2A"/>
    <w:rsid w:val="00E369E8"/>
    <w:rsid w:val="00E37DA9"/>
    <w:rsid w:val="00E40950"/>
    <w:rsid w:val="00E419F3"/>
    <w:rsid w:val="00E421A0"/>
    <w:rsid w:val="00E50CDC"/>
    <w:rsid w:val="00E55444"/>
    <w:rsid w:val="00E5630E"/>
    <w:rsid w:val="00E56AE6"/>
    <w:rsid w:val="00E56C42"/>
    <w:rsid w:val="00E5709E"/>
    <w:rsid w:val="00E6455D"/>
    <w:rsid w:val="00E6524E"/>
    <w:rsid w:val="00E6604F"/>
    <w:rsid w:val="00E6663E"/>
    <w:rsid w:val="00E7051F"/>
    <w:rsid w:val="00E713BE"/>
    <w:rsid w:val="00E72BC4"/>
    <w:rsid w:val="00E767E0"/>
    <w:rsid w:val="00E806BF"/>
    <w:rsid w:val="00E84E2B"/>
    <w:rsid w:val="00E852B5"/>
    <w:rsid w:val="00E90388"/>
    <w:rsid w:val="00E92F72"/>
    <w:rsid w:val="00E92FEA"/>
    <w:rsid w:val="00E96D94"/>
    <w:rsid w:val="00E97124"/>
    <w:rsid w:val="00EA04E4"/>
    <w:rsid w:val="00EA12FA"/>
    <w:rsid w:val="00EA6C9A"/>
    <w:rsid w:val="00EB3EC3"/>
    <w:rsid w:val="00EB650F"/>
    <w:rsid w:val="00EB6D6B"/>
    <w:rsid w:val="00EC1651"/>
    <w:rsid w:val="00EC234E"/>
    <w:rsid w:val="00EC241E"/>
    <w:rsid w:val="00EC2480"/>
    <w:rsid w:val="00EC3134"/>
    <w:rsid w:val="00EC5FB7"/>
    <w:rsid w:val="00EC67FD"/>
    <w:rsid w:val="00EC7AFE"/>
    <w:rsid w:val="00ED4FBC"/>
    <w:rsid w:val="00ED536B"/>
    <w:rsid w:val="00EE25DD"/>
    <w:rsid w:val="00EE4306"/>
    <w:rsid w:val="00EE5E73"/>
    <w:rsid w:val="00EF0A85"/>
    <w:rsid w:val="00EF4A80"/>
    <w:rsid w:val="00EF67B9"/>
    <w:rsid w:val="00EF7DEC"/>
    <w:rsid w:val="00F01146"/>
    <w:rsid w:val="00F11F09"/>
    <w:rsid w:val="00F12B9A"/>
    <w:rsid w:val="00F13CDB"/>
    <w:rsid w:val="00F150AB"/>
    <w:rsid w:val="00F15967"/>
    <w:rsid w:val="00F16B19"/>
    <w:rsid w:val="00F20CC8"/>
    <w:rsid w:val="00F27D58"/>
    <w:rsid w:val="00F3286E"/>
    <w:rsid w:val="00F35286"/>
    <w:rsid w:val="00F405F0"/>
    <w:rsid w:val="00F40A70"/>
    <w:rsid w:val="00F43779"/>
    <w:rsid w:val="00F43A3B"/>
    <w:rsid w:val="00F43DA5"/>
    <w:rsid w:val="00F4429C"/>
    <w:rsid w:val="00F50841"/>
    <w:rsid w:val="00F541C7"/>
    <w:rsid w:val="00F54774"/>
    <w:rsid w:val="00F61547"/>
    <w:rsid w:val="00F7288D"/>
    <w:rsid w:val="00F73653"/>
    <w:rsid w:val="00F74D04"/>
    <w:rsid w:val="00F75272"/>
    <w:rsid w:val="00F8144E"/>
    <w:rsid w:val="00F855E3"/>
    <w:rsid w:val="00F86E5F"/>
    <w:rsid w:val="00F92A83"/>
    <w:rsid w:val="00F9346A"/>
    <w:rsid w:val="00F96F90"/>
    <w:rsid w:val="00FA1449"/>
    <w:rsid w:val="00FA390F"/>
    <w:rsid w:val="00FA4DDD"/>
    <w:rsid w:val="00FA5089"/>
    <w:rsid w:val="00FA62B6"/>
    <w:rsid w:val="00FA690F"/>
    <w:rsid w:val="00FA7009"/>
    <w:rsid w:val="00FB0210"/>
    <w:rsid w:val="00FB24B3"/>
    <w:rsid w:val="00FB2801"/>
    <w:rsid w:val="00FB32BF"/>
    <w:rsid w:val="00FB3EFE"/>
    <w:rsid w:val="00FB4385"/>
    <w:rsid w:val="00FB54CC"/>
    <w:rsid w:val="00FC3137"/>
    <w:rsid w:val="00FC4DC4"/>
    <w:rsid w:val="00FC630F"/>
    <w:rsid w:val="00FC6A76"/>
    <w:rsid w:val="00FD11A5"/>
    <w:rsid w:val="00FD2094"/>
    <w:rsid w:val="00FD2147"/>
    <w:rsid w:val="00FD2596"/>
    <w:rsid w:val="00FD3631"/>
    <w:rsid w:val="00FD4408"/>
    <w:rsid w:val="00FE2655"/>
    <w:rsid w:val="00FE4A25"/>
    <w:rsid w:val="00FF04A9"/>
    <w:rsid w:val="00FF5D0F"/>
    <w:rsid w:val="00FF683D"/>
    <w:rsid w:val="01361170"/>
    <w:rsid w:val="01DE1C5C"/>
    <w:rsid w:val="01E924B1"/>
    <w:rsid w:val="01FA7A99"/>
    <w:rsid w:val="022D7723"/>
    <w:rsid w:val="036C2B32"/>
    <w:rsid w:val="03900055"/>
    <w:rsid w:val="0451631C"/>
    <w:rsid w:val="055F62E0"/>
    <w:rsid w:val="06600081"/>
    <w:rsid w:val="06AB2A38"/>
    <w:rsid w:val="076D251D"/>
    <w:rsid w:val="079061F5"/>
    <w:rsid w:val="07B332B2"/>
    <w:rsid w:val="07F55F19"/>
    <w:rsid w:val="087D05D3"/>
    <w:rsid w:val="0A2734FD"/>
    <w:rsid w:val="0B3E7F80"/>
    <w:rsid w:val="0BB743C6"/>
    <w:rsid w:val="0D5A4DF7"/>
    <w:rsid w:val="0E041A0C"/>
    <w:rsid w:val="0E8E1F32"/>
    <w:rsid w:val="0EFA6AA1"/>
    <w:rsid w:val="109664C2"/>
    <w:rsid w:val="11086FAD"/>
    <w:rsid w:val="12147FB8"/>
    <w:rsid w:val="12D2386F"/>
    <w:rsid w:val="12FE7BB6"/>
    <w:rsid w:val="13A8156D"/>
    <w:rsid w:val="154B51FC"/>
    <w:rsid w:val="15AF770E"/>
    <w:rsid w:val="15FE0523"/>
    <w:rsid w:val="16201D5D"/>
    <w:rsid w:val="17814797"/>
    <w:rsid w:val="189D1E38"/>
    <w:rsid w:val="19C41B53"/>
    <w:rsid w:val="19C83CA3"/>
    <w:rsid w:val="1B1D0E8B"/>
    <w:rsid w:val="1C08210D"/>
    <w:rsid w:val="1C251DA3"/>
    <w:rsid w:val="203F2719"/>
    <w:rsid w:val="20B758B9"/>
    <w:rsid w:val="213514A1"/>
    <w:rsid w:val="21D2510C"/>
    <w:rsid w:val="222E21DF"/>
    <w:rsid w:val="22B10167"/>
    <w:rsid w:val="22FB1FAB"/>
    <w:rsid w:val="239C59FC"/>
    <w:rsid w:val="26E94DE4"/>
    <w:rsid w:val="28066D2D"/>
    <w:rsid w:val="29A04058"/>
    <w:rsid w:val="2B46348F"/>
    <w:rsid w:val="2C4058A5"/>
    <w:rsid w:val="2EE95803"/>
    <w:rsid w:val="303B329E"/>
    <w:rsid w:val="318B5275"/>
    <w:rsid w:val="321C05EA"/>
    <w:rsid w:val="328C11FD"/>
    <w:rsid w:val="3429794B"/>
    <w:rsid w:val="34C65624"/>
    <w:rsid w:val="353766FB"/>
    <w:rsid w:val="36D1697E"/>
    <w:rsid w:val="38CB7A3E"/>
    <w:rsid w:val="396D2EAA"/>
    <w:rsid w:val="3BFA71F9"/>
    <w:rsid w:val="3C577F8F"/>
    <w:rsid w:val="3C643A21"/>
    <w:rsid w:val="3C6D2133"/>
    <w:rsid w:val="3C906703"/>
    <w:rsid w:val="3CE974FE"/>
    <w:rsid w:val="3EB05F3D"/>
    <w:rsid w:val="3F8D7751"/>
    <w:rsid w:val="3FB50F8E"/>
    <w:rsid w:val="40915CFA"/>
    <w:rsid w:val="40985685"/>
    <w:rsid w:val="43641965"/>
    <w:rsid w:val="43C26E36"/>
    <w:rsid w:val="44297ADF"/>
    <w:rsid w:val="446866CB"/>
    <w:rsid w:val="44DB46EF"/>
    <w:rsid w:val="44FC4013"/>
    <w:rsid w:val="451E0975"/>
    <w:rsid w:val="464B16C0"/>
    <w:rsid w:val="479358FE"/>
    <w:rsid w:val="47C91F08"/>
    <w:rsid w:val="485D4D02"/>
    <w:rsid w:val="48C90680"/>
    <w:rsid w:val="48F63EC0"/>
    <w:rsid w:val="49970E74"/>
    <w:rsid w:val="49BF6C70"/>
    <w:rsid w:val="4B473790"/>
    <w:rsid w:val="4CB744C7"/>
    <w:rsid w:val="4E147CE3"/>
    <w:rsid w:val="4FBD38DE"/>
    <w:rsid w:val="4FCA7002"/>
    <w:rsid w:val="50221084"/>
    <w:rsid w:val="50D90BB3"/>
    <w:rsid w:val="50F3175D"/>
    <w:rsid w:val="523246A9"/>
    <w:rsid w:val="537E50F1"/>
    <w:rsid w:val="53895E45"/>
    <w:rsid w:val="55E31575"/>
    <w:rsid w:val="562E633A"/>
    <w:rsid w:val="5677BF75"/>
    <w:rsid w:val="5A425452"/>
    <w:rsid w:val="5AD64EE3"/>
    <w:rsid w:val="5AD65B96"/>
    <w:rsid w:val="5AEE7A0C"/>
    <w:rsid w:val="5DEA51A3"/>
    <w:rsid w:val="5E941DB9"/>
    <w:rsid w:val="610E783A"/>
    <w:rsid w:val="6359330B"/>
    <w:rsid w:val="63736EAE"/>
    <w:rsid w:val="638E3B43"/>
    <w:rsid w:val="6457472A"/>
    <w:rsid w:val="64A04927"/>
    <w:rsid w:val="66CB012C"/>
    <w:rsid w:val="67EE3D0F"/>
    <w:rsid w:val="68251C6A"/>
    <w:rsid w:val="688A7410"/>
    <w:rsid w:val="689A54AC"/>
    <w:rsid w:val="68A66D41"/>
    <w:rsid w:val="69D04938"/>
    <w:rsid w:val="6A964488"/>
    <w:rsid w:val="6BDF5289"/>
    <w:rsid w:val="6C324852"/>
    <w:rsid w:val="6C4A4939"/>
    <w:rsid w:val="6E7B285B"/>
    <w:rsid w:val="6E7D37B1"/>
    <w:rsid w:val="71463987"/>
    <w:rsid w:val="716E3926"/>
    <w:rsid w:val="72115E4B"/>
    <w:rsid w:val="728E5893"/>
    <w:rsid w:val="72AC0DAF"/>
    <w:rsid w:val="72CA6C05"/>
    <w:rsid w:val="72E5220E"/>
    <w:rsid w:val="747113D0"/>
    <w:rsid w:val="76A27BBC"/>
    <w:rsid w:val="76A828B9"/>
    <w:rsid w:val="78D36932"/>
    <w:rsid w:val="7963302D"/>
    <w:rsid w:val="7B050F64"/>
    <w:rsid w:val="7BCB1C27"/>
    <w:rsid w:val="7C570530"/>
    <w:rsid w:val="7C774688"/>
    <w:rsid w:val="7D9F5EB4"/>
    <w:rsid w:val="7DB62556"/>
    <w:rsid w:val="7EEF72D1"/>
    <w:rsid w:val="7FDA6E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1"/>
    <w:qFormat/>
    <w:uiPriority w:val="0"/>
    <w:pPr>
      <w:keepNext/>
      <w:keepLines/>
      <w:widowControl w:val="0"/>
      <w:spacing w:beforeLines="0" w:afterLines="0" w:line="360" w:lineRule="auto"/>
      <w:ind w:firstLine="0" w:firstLineChars="0"/>
      <w:jc w:val="center"/>
      <w:outlineLvl w:val="0"/>
    </w:pPr>
    <w:rPr>
      <w:rFonts w:eastAsia="黑体" w:cs="Times New Roman" w:asciiTheme="majorAscii" w:hAnsiTheme="majorAscii"/>
      <w:b w:val="0"/>
      <w:kern w:val="44"/>
      <w:szCs w:val="44"/>
    </w:rPr>
  </w:style>
  <w:style w:type="paragraph" w:styleId="5">
    <w:name w:val="heading 2"/>
    <w:basedOn w:val="1"/>
    <w:next w:val="1"/>
    <w:unhideWhenUsed/>
    <w:qFormat/>
    <w:uiPriority w:val="0"/>
    <w:pPr>
      <w:keepNext/>
      <w:keepLines/>
      <w:spacing w:beforeLines="0" w:beforeAutospacing="0" w:afterLines="0" w:afterAutospacing="0" w:line="360" w:lineRule="auto"/>
      <w:ind w:firstLine="0" w:firstLineChars="0"/>
      <w:jc w:val="left"/>
      <w:outlineLvl w:val="1"/>
    </w:pPr>
    <w:rPr>
      <w:rFonts w:ascii="Times New Roman" w:hAnsi="Times New Roman" w:eastAsia="黑体"/>
      <w:sz w:val="30"/>
    </w:rPr>
  </w:style>
  <w:style w:type="paragraph" w:styleId="6">
    <w:name w:val="heading 3"/>
    <w:basedOn w:val="1"/>
    <w:next w:val="1"/>
    <w:unhideWhenUsed/>
    <w:qFormat/>
    <w:uiPriority w:val="0"/>
    <w:pPr>
      <w:keepNext/>
      <w:keepLines/>
      <w:spacing w:beforeLines="0" w:beforeAutospacing="0" w:afterLines="0" w:afterAutospacing="0" w:line="360" w:lineRule="auto"/>
      <w:outlineLvl w:val="2"/>
    </w:pPr>
    <w:rPr>
      <w:rFonts w:eastAsia="黑体"/>
      <w:sz w:val="28"/>
    </w:rPr>
  </w:style>
  <w:style w:type="paragraph" w:styleId="7">
    <w:name w:val="heading 4"/>
    <w:basedOn w:val="1"/>
    <w:next w:val="1"/>
    <w:link w:val="60"/>
    <w:qFormat/>
    <w:uiPriority w:val="0"/>
    <w:pPr>
      <w:keepNext/>
      <w:keepLines/>
      <w:spacing w:before="280" w:after="290" w:line="376" w:lineRule="auto"/>
      <w:ind w:left="1701" w:hanging="708"/>
      <w:outlineLvl w:val="3"/>
    </w:pPr>
    <w:rPr>
      <w:rFonts w:ascii="宋体" w:hAnsi="宋体"/>
      <w:bCs/>
      <w:sz w:val="28"/>
      <w:szCs w:val="28"/>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53"/>
    <w:qFormat/>
    <w:uiPriority w:val="0"/>
    <w:pPr>
      <w:spacing w:after="120"/>
    </w:pPr>
    <w:rPr>
      <w:rFonts w:ascii="Times New Roman" w:hAnsi="Times New Roman"/>
      <w:szCs w:val="24"/>
    </w:rPr>
  </w:style>
  <w:style w:type="paragraph" w:styleId="4">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8">
    <w:name w:val="Normal Indent"/>
    <w:basedOn w:val="1"/>
    <w:qFormat/>
    <w:uiPriority w:val="0"/>
    <w:pPr>
      <w:ind w:firstLine="420" w:firstLineChars="200"/>
    </w:pPr>
  </w:style>
  <w:style w:type="paragraph" w:styleId="9">
    <w:name w:val="Document Map"/>
    <w:basedOn w:val="1"/>
    <w:link w:val="56"/>
    <w:unhideWhenUsed/>
    <w:qFormat/>
    <w:uiPriority w:val="0"/>
    <w:rPr>
      <w:rFonts w:ascii="宋体"/>
      <w:sz w:val="18"/>
      <w:szCs w:val="18"/>
    </w:rPr>
  </w:style>
  <w:style w:type="paragraph" w:styleId="10">
    <w:name w:val="annotation text"/>
    <w:basedOn w:val="1"/>
    <w:link w:val="44"/>
    <w:qFormat/>
    <w:uiPriority w:val="0"/>
    <w:pPr>
      <w:jc w:val="left"/>
    </w:pPr>
    <w:rPr>
      <w:szCs w:val="24"/>
    </w:rPr>
  </w:style>
  <w:style w:type="paragraph" w:styleId="11">
    <w:name w:val="Body Text Indent"/>
    <w:basedOn w:val="1"/>
    <w:link w:val="57"/>
    <w:unhideWhenUsed/>
    <w:qFormat/>
    <w:uiPriority w:val="0"/>
    <w:pPr>
      <w:spacing w:after="120"/>
      <w:ind w:left="420" w:leftChars="200"/>
    </w:pPr>
  </w:style>
  <w:style w:type="paragraph" w:styleId="12">
    <w:name w:val="Balloon Text"/>
    <w:basedOn w:val="1"/>
    <w:link w:val="45"/>
    <w:qFormat/>
    <w:uiPriority w:val="0"/>
    <w:rPr>
      <w:sz w:val="18"/>
      <w:szCs w:val="18"/>
    </w:rPr>
  </w:style>
  <w:style w:type="paragraph" w:styleId="13">
    <w:name w:val="footer"/>
    <w:basedOn w:val="1"/>
    <w:link w:val="28"/>
    <w:qFormat/>
    <w:uiPriority w:val="99"/>
    <w:pPr>
      <w:tabs>
        <w:tab w:val="center" w:pos="4153"/>
        <w:tab w:val="right" w:pos="8306"/>
      </w:tabs>
      <w:snapToGrid w:val="0"/>
      <w:jc w:val="left"/>
    </w:pPr>
    <w:rPr>
      <w:sz w:val="18"/>
      <w:szCs w:val="18"/>
    </w:rPr>
  </w:style>
  <w:style w:type="paragraph" w:styleId="14">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qFormat/>
    <w:uiPriority w:val="99"/>
    <w:pPr>
      <w:spacing w:before="240" w:after="60" w:line="312" w:lineRule="auto"/>
      <w:jc w:val="center"/>
      <w:outlineLvl w:val="1"/>
    </w:pPr>
    <w:rPr>
      <w:rFonts w:ascii="Arial" w:hAnsi="Arial" w:eastAsia="宋体" w:cs="Arial"/>
      <w:b/>
      <w:bCs/>
      <w:kern w:val="28"/>
      <w:sz w:val="32"/>
      <w:szCs w:val="32"/>
    </w:r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7">
    <w:name w:val="annotation subject"/>
    <w:basedOn w:val="10"/>
    <w:next w:val="10"/>
    <w:link w:val="50"/>
    <w:unhideWhenUsed/>
    <w:qFormat/>
    <w:uiPriority w:val="0"/>
    <w:rPr>
      <w:b/>
      <w:bCs/>
      <w:szCs w:val="2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llowedHyperlink"/>
    <w:basedOn w:val="20"/>
    <w:unhideWhenUsed/>
    <w:qFormat/>
    <w:uiPriority w:val="99"/>
    <w:rPr>
      <w:color w:val="800080"/>
      <w:u w:val="single"/>
    </w:rPr>
  </w:style>
  <w:style w:type="character" w:styleId="22">
    <w:name w:val="Hyperlink"/>
    <w:basedOn w:val="20"/>
    <w:unhideWhenUsed/>
    <w:qFormat/>
    <w:uiPriority w:val="99"/>
    <w:rPr>
      <w:color w:val="0000FF"/>
      <w:u w:val="single"/>
    </w:rPr>
  </w:style>
  <w:style w:type="character" w:styleId="23">
    <w:name w:val="annotation reference"/>
    <w:basedOn w:val="20"/>
    <w:qFormat/>
    <w:uiPriority w:val="0"/>
    <w:rPr>
      <w:sz w:val="21"/>
      <w:szCs w:val="21"/>
    </w:rPr>
  </w:style>
  <w:style w:type="paragraph" w:customStyle="1" w:styleId="24">
    <w:name w:val="p0"/>
    <w:basedOn w:val="1"/>
    <w:qFormat/>
    <w:uiPriority w:val="0"/>
    <w:pPr>
      <w:widowControl/>
    </w:pPr>
    <w:rPr>
      <w:kern w:val="0"/>
      <w:szCs w:val="21"/>
    </w:rPr>
  </w:style>
  <w:style w:type="paragraph" w:customStyle="1" w:styleId="25">
    <w:name w:val="列出段落1"/>
    <w:basedOn w:val="1"/>
    <w:qFormat/>
    <w:uiPriority w:val="99"/>
    <w:pPr>
      <w:ind w:firstLine="420" w:firstLineChars="200"/>
    </w:pPr>
  </w:style>
  <w:style w:type="paragraph" w:customStyle="1" w:styleId="26">
    <w:name w:val="_Style 4"/>
    <w:basedOn w:val="1"/>
    <w:qFormat/>
    <w:uiPriority w:val="99"/>
    <w:pPr>
      <w:ind w:firstLine="420" w:firstLineChars="200"/>
    </w:pPr>
  </w:style>
  <w:style w:type="character" w:customStyle="1" w:styleId="27">
    <w:name w:val="页眉 Char"/>
    <w:basedOn w:val="20"/>
    <w:link w:val="14"/>
    <w:qFormat/>
    <w:uiPriority w:val="99"/>
    <w:rPr>
      <w:kern w:val="2"/>
      <w:sz w:val="18"/>
      <w:szCs w:val="18"/>
    </w:rPr>
  </w:style>
  <w:style w:type="character" w:customStyle="1" w:styleId="28">
    <w:name w:val="页脚 Char"/>
    <w:basedOn w:val="20"/>
    <w:link w:val="13"/>
    <w:qFormat/>
    <w:uiPriority w:val="99"/>
    <w:rPr>
      <w:kern w:val="2"/>
      <w:sz w:val="18"/>
      <w:szCs w:val="18"/>
    </w:rPr>
  </w:style>
  <w:style w:type="paragraph" w:customStyle="1" w:styleId="2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
    <w:name w:val="font6"/>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1">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
    <w:name w:val="font8"/>
    <w:basedOn w:val="1"/>
    <w:qFormat/>
    <w:uiPriority w:val="0"/>
    <w:pPr>
      <w:widowControl/>
      <w:spacing w:before="100" w:beforeAutospacing="1" w:after="100" w:afterAutospacing="1"/>
      <w:jc w:val="left"/>
    </w:pPr>
    <w:rPr>
      <w:rFonts w:ascii="宋体" w:hAnsi="宋体" w:cs="宋体"/>
      <w:color w:val="00B050"/>
      <w:kern w:val="0"/>
      <w:sz w:val="20"/>
      <w:szCs w:val="20"/>
    </w:rPr>
  </w:style>
  <w:style w:type="paragraph" w:customStyle="1" w:styleId="33">
    <w:name w:val="font9"/>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4">
    <w:name w:val="font10"/>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35">
    <w:name w:val="font11"/>
    <w:basedOn w:val="1"/>
    <w:qFormat/>
    <w:uiPriority w:val="0"/>
    <w:pPr>
      <w:widowControl/>
      <w:spacing w:before="100" w:beforeAutospacing="1" w:after="100" w:afterAutospacing="1"/>
      <w:jc w:val="left"/>
    </w:pPr>
    <w:rPr>
      <w:rFonts w:ascii="宋体" w:hAnsi="宋体" w:cs="宋体"/>
      <w:color w:val="92D050"/>
      <w:kern w:val="0"/>
      <w:sz w:val="20"/>
      <w:szCs w:val="20"/>
    </w:rPr>
  </w:style>
  <w:style w:type="paragraph" w:customStyle="1" w:styleId="3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7">
    <w:name w:val="xl6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1">
    <w:name w:val="xl7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42">
    <w:name w:val="xl7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43">
    <w:name w:val="xl7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44">
    <w:name w:val="批注文字 Char"/>
    <w:basedOn w:val="20"/>
    <w:link w:val="10"/>
    <w:qFormat/>
    <w:uiPriority w:val="0"/>
    <w:rPr>
      <w:kern w:val="2"/>
      <w:sz w:val="21"/>
      <w:szCs w:val="24"/>
    </w:rPr>
  </w:style>
  <w:style w:type="character" w:customStyle="1" w:styleId="45">
    <w:name w:val="批注框文本 Char"/>
    <w:basedOn w:val="20"/>
    <w:link w:val="12"/>
    <w:qFormat/>
    <w:uiPriority w:val="0"/>
    <w:rPr>
      <w:kern w:val="2"/>
      <w:sz w:val="18"/>
      <w:szCs w:val="18"/>
    </w:rPr>
  </w:style>
  <w:style w:type="paragraph" w:customStyle="1" w:styleId="46">
    <w:name w:val="正文首行缩进两字符"/>
    <w:basedOn w:val="1"/>
    <w:qFormat/>
    <w:uiPriority w:val="0"/>
    <w:pPr>
      <w:spacing w:line="360" w:lineRule="auto"/>
      <w:ind w:firstLine="200" w:firstLineChars="200"/>
    </w:pPr>
    <w:rPr>
      <w:szCs w:val="24"/>
    </w:rPr>
  </w:style>
  <w:style w:type="paragraph" w:customStyle="1" w:styleId="47">
    <w:name w:val="List Paragraph"/>
    <w:basedOn w:val="1"/>
    <w:link w:val="49"/>
    <w:qFormat/>
    <w:uiPriority w:val="0"/>
    <w:pPr>
      <w:ind w:firstLine="420" w:firstLineChars="200"/>
    </w:pPr>
  </w:style>
  <w:style w:type="paragraph" w:customStyle="1" w:styleId="48">
    <w:name w:val="Default"/>
    <w:unhideWhenUsed/>
    <w:qFormat/>
    <w:uiPriority w:val="0"/>
    <w:pPr>
      <w:widowControl w:val="0"/>
      <w:autoSpaceDE w:val="0"/>
      <w:autoSpaceDN w:val="0"/>
      <w:adjustRightInd w:val="0"/>
    </w:pPr>
    <w:rPr>
      <w:rFonts w:hint="eastAsia" w:ascii="宋体" w:hAnsi="Calibri" w:eastAsia="宋体" w:cs="Times New Roman"/>
      <w:color w:val="000000"/>
      <w:sz w:val="24"/>
      <w:szCs w:val="22"/>
      <w:lang w:val="en-US" w:eastAsia="zh-CN" w:bidi="ar-SA"/>
    </w:rPr>
  </w:style>
  <w:style w:type="character" w:customStyle="1" w:styleId="49">
    <w:name w:val="列出段落 Char"/>
    <w:link w:val="47"/>
    <w:qFormat/>
    <w:uiPriority w:val="0"/>
    <w:rPr>
      <w:kern w:val="2"/>
      <w:sz w:val="21"/>
      <w:szCs w:val="22"/>
    </w:rPr>
  </w:style>
  <w:style w:type="character" w:customStyle="1" w:styleId="50">
    <w:name w:val="批注主题 Char"/>
    <w:basedOn w:val="44"/>
    <w:link w:val="17"/>
    <w:semiHidden/>
    <w:qFormat/>
    <w:uiPriority w:val="0"/>
    <w:rPr>
      <w:b/>
      <w:bCs/>
      <w:szCs w:val="22"/>
    </w:rPr>
  </w:style>
  <w:style w:type="paragraph" w:customStyle="1" w:styleId="51">
    <w:name w:val="段"/>
    <w:link w:val="52"/>
    <w:qFormat/>
    <w:uiPriority w:val="0"/>
    <w:pPr>
      <w:autoSpaceDE w:val="0"/>
      <w:autoSpaceDN w:val="0"/>
      <w:ind w:firstLine="200" w:firstLineChars="200"/>
      <w:jc w:val="both"/>
    </w:pPr>
    <w:rPr>
      <w:rFonts w:ascii="宋体" w:hAnsi="Times New Roman" w:eastAsia="宋体" w:cs="Times New Roman"/>
      <w:lang w:val="en-US" w:eastAsia="zh-CN" w:bidi="ar-SA"/>
    </w:rPr>
  </w:style>
  <w:style w:type="character" w:customStyle="1" w:styleId="52">
    <w:name w:val="段 Char"/>
    <w:link w:val="51"/>
    <w:qFormat/>
    <w:uiPriority w:val="0"/>
    <w:rPr>
      <w:rFonts w:ascii="宋体" w:hAnsi="Times New Roman"/>
    </w:rPr>
  </w:style>
  <w:style w:type="character" w:customStyle="1" w:styleId="53">
    <w:name w:val="正文文本 Char"/>
    <w:basedOn w:val="20"/>
    <w:link w:val="2"/>
    <w:qFormat/>
    <w:uiPriority w:val="0"/>
    <w:rPr>
      <w:rFonts w:ascii="Times New Roman" w:hAnsi="Times New Roman"/>
      <w:kern w:val="2"/>
      <w:sz w:val="21"/>
      <w:szCs w:val="24"/>
    </w:rPr>
  </w:style>
  <w:style w:type="paragraph" w:customStyle="1" w:styleId="54">
    <w:name w:val="表格内容"/>
    <w:basedOn w:val="1"/>
    <w:qFormat/>
    <w:uiPriority w:val="2"/>
    <w:pPr>
      <w:jc w:val="center"/>
    </w:pPr>
    <w:rPr>
      <w:rFonts w:ascii="Times New Roman" w:hAnsi="Times New Roman"/>
      <w:szCs w:val="24"/>
    </w:rPr>
  </w:style>
  <w:style w:type="table" w:customStyle="1" w:styleId="55">
    <w:name w:val="浅色列表1"/>
    <w:basedOn w:val="18"/>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000000" w:themeFill="text1"/>
      </w:tcPr>
    </w:tblStylePr>
    <w:tblStylePr w:type="lastRow">
      <w:pPr>
        <w:spacing w:before="0" w:after="0" w:line="24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character" w:customStyle="1" w:styleId="56">
    <w:name w:val="文档结构图 Char"/>
    <w:basedOn w:val="20"/>
    <w:link w:val="9"/>
    <w:semiHidden/>
    <w:qFormat/>
    <w:uiPriority w:val="0"/>
    <w:rPr>
      <w:rFonts w:ascii="宋体"/>
      <w:kern w:val="2"/>
      <w:sz w:val="18"/>
      <w:szCs w:val="18"/>
    </w:rPr>
  </w:style>
  <w:style w:type="character" w:customStyle="1" w:styleId="57">
    <w:name w:val="正文文本缩进 Char"/>
    <w:basedOn w:val="20"/>
    <w:link w:val="11"/>
    <w:semiHidden/>
    <w:qFormat/>
    <w:uiPriority w:val="0"/>
    <w:rPr>
      <w:kern w:val="2"/>
      <w:sz w:val="21"/>
      <w:szCs w:val="22"/>
    </w:rPr>
  </w:style>
  <w:style w:type="table" w:customStyle="1" w:styleId="58">
    <w:name w:val="浅色列表2"/>
    <w:basedOn w:val="18"/>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000000" w:themeFill="text1"/>
      </w:tcPr>
    </w:tblStylePr>
    <w:tblStylePr w:type="lastRow">
      <w:pPr>
        <w:spacing w:before="0" w:after="0" w:line="24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character" w:customStyle="1" w:styleId="59">
    <w:name w:val="标题 4 Char"/>
    <w:basedOn w:val="20"/>
    <w:link w:val="7"/>
    <w:semiHidden/>
    <w:qFormat/>
    <w:uiPriority w:val="0"/>
    <w:rPr>
      <w:rFonts w:asciiTheme="majorHAnsi" w:hAnsiTheme="majorHAnsi" w:eastAsiaTheme="majorEastAsia" w:cstheme="majorBidi"/>
      <w:b/>
      <w:bCs/>
      <w:kern w:val="2"/>
      <w:sz w:val="28"/>
      <w:szCs w:val="28"/>
    </w:rPr>
  </w:style>
  <w:style w:type="character" w:customStyle="1" w:styleId="60">
    <w:name w:val="标题 4 Char1"/>
    <w:link w:val="7"/>
    <w:qFormat/>
    <w:uiPriority w:val="0"/>
    <w:rPr>
      <w:rFonts w:ascii="宋体" w:hAnsi="宋体"/>
      <w:bCs/>
      <w:kern w:val="2"/>
      <w:sz w:val="28"/>
      <w:szCs w:val="28"/>
    </w:rPr>
  </w:style>
  <w:style w:type="paragraph" w:customStyle="1" w:styleId="61">
    <w:name w:val="Normal_46"/>
    <w:qFormat/>
    <w:uiPriority w:val="0"/>
    <w:pPr>
      <w:spacing w:before="120" w:after="240"/>
      <w:jc w:val="both"/>
    </w:pPr>
    <w:rPr>
      <w:rFonts w:ascii="Calibri" w:hAnsi="Calibri" w:eastAsia="Calibri" w:cs="Times New Roman"/>
      <w:sz w:val="22"/>
      <w:szCs w:val="22"/>
      <w:lang w:val="en-US" w:eastAsia="en-US" w:bidi="ar-SA"/>
    </w:rPr>
  </w:style>
  <w:style w:type="paragraph" w:customStyle="1" w:styleId="62">
    <w:name w:val="标题 #9"/>
    <w:basedOn w:val="1"/>
    <w:qFormat/>
    <w:uiPriority w:val="0"/>
    <w:pPr>
      <w:shd w:val="clear" w:color="auto" w:fill="FFFFFF"/>
      <w:spacing w:before="420" w:line="643" w:lineRule="exact"/>
      <w:outlineLvl w:val="8"/>
    </w:pPr>
    <w:rPr>
      <w:rFonts w:ascii="MingLiU_x0004_falt" w:hAnsi="MingLiU_x0004_falt" w:eastAsia="Times New Roman" w:cs="MingLiU_x0004_falt"/>
      <w:b/>
      <w:bCs/>
      <w:sz w:val="22"/>
    </w:rPr>
  </w:style>
  <w:style w:type="character" w:customStyle="1" w:styleId="63">
    <w:name w:val="正文文本 + MS Mincho"/>
    <w:basedOn w:val="64"/>
    <w:qFormat/>
    <w:uiPriority w:val="0"/>
    <w:rPr>
      <w:rFonts w:ascii="MS Mincho_x0004_falt" w:hAnsi="MS Mincho_x0004_falt" w:eastAsia="MS Mincho_x0004_falt" w:cs="MS Mincho_x0004_falt"/>
      <w:color w:val="000000"/>
      <w:spacing w:val="0"/>
      <w:w w:val="100"/>
      <w:position w:val="0"/>
      <w:sz w:val="23"/>
      <w:szCs w:val="23"/>
    </w:rPr>
  </w:style>
  <w:style w:type="character" w:customStyle="1" w:styleId="64">
    <w:name w:val="正文文本_"/>
    <w:basedOn w:val="20"/>
    <w:link w:val="65"/>
    <w:qFormat/>
    <w:locked/>
    <w:uiPriority w:val="0"/>
    <w:rPr>
      <w:rFonts w:ascii="MingLiU_x0004_falt" w:hAnsi="MingLiU_x0004_falt" w:eastAsia="Times New Roman" w:cs="MingLiU_x0004_falt"/>
      <w:sz w:val="22"/>
      <w:szCs w:val="22"/>
      <w:shd w:val="clear" w:color="auto" w:fill="FFFFFF"/>
    </w:rPr>
  </w:style>
  <w:style w:type="paragraph" w:customStyle="1" w:styleId="65">
    <w:name w:val="正文文本5"/>
    <w:basedOn w:val="1"/>
    <w:link w:val="64"/>
    <w:qFormat/>
    <w:uiPriority w:val="0"/>
    <w:pPr>
      <w:shd w:val="clear" w:color="auto" w:fill="FFFFFF"/>
      <w:spacing w:before="660" w:line="391" w:lineRule="exact"/>
      <w:jc w:val="distribute"/>
    </w:pPr>
    <w:rPr>
      <w:rFonts w:ascii="MingLiU_x0004_falt" w:hAnsi="MingLiU_x0004_falt" w:eastAsia="Times New Roman" w:cs="MingLiU_x0004_falt"/>
      <w:kern w:val="0"/>
      <w:sz w:val="22"/>
    </w:rPr>
  </w:style>
  <w:style w:type="character" w:customStyle="1" w:styleId="66">
    <w:name w:val="正文文本 + 9.5 pt"/>
    <w:basedOn w:val="64"/>
    <w:qFormat/>
    <w:uiPriority w:val="0"/>
    <w:rPr>
      <w:color w:val="000000"/>
      <w:spacing w:val="0"/>
      <w:w w:val="100"/>
      <w:position w:val="0"/>
      <w:sz w:val="19"/>
      <w:szCs w:val="19"/>
      <w:lang w:val="zh-TW"/>
    </w:rPr>
  </w:style>
  <w:style w:type="character" w:customStyle="1" w:styleId="67">
    <w:name w:val="正文文本 + Impact"/>
    <w:basedOn w:val="64"/>
    <w:qFormat/>
    <w:uiPriority w:val="0"/>
    <w:rPr>
      <w:rFonts w:ascii="Impact" w:hAnsi="Impact" w:cs="Impact"/>
      <w:color w:val="000000"/>
      <w:spacing w:val="0"/>
      <w:w w:val="100"/>
      <w:position w:val="0"/>
      <w:sz w:val="17"/>
      <w:szCs w:val="17"/>
    </w:rPr>
  </w:style>
  <w:style w:type="paragraph" w:customStyle="1" w:styleId="68">
    <w:name w:val="Table Paragraph"/>
    <w:basedOn w:val="1"/>
    <w:qFormat/>
    <w:uiPriority w:val="99"/>
    <w:pPr>
      <w:widowControl w:val="0"/>
      <w:autoSpaceDE w:val="0"/>
      <w:autoSpaceDN w:val="0"/>
    </w:pPr>
    <w:rPr>
      <w:rFonts w:hAnsi="宋体" w:cs="宋体"/>
      <w:lang w:eastAsia="en-US"/>
    </w:rPr>
  </w:style>
  <w:style w:type="character" w:customStyle="1" w:styleId="69">
    <w:name w:val="font51"/>
    <w:basedOn w:val="2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439</Words>
  <Characters>2506</Characters>
  <Lines>20</Lines>
  <Paragraphs>5</Paragraphs>
  <TotalTime>0</TotalTime>
  <ScaleCrop>false</ScaleCrop>
  <LinksUpToDate>false</LinksUpToDate>
  <CharactersWithSpaces>2940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2019-04-22T13:48:00Z</dcterms:created>
  <dc:creator>Administrator</dc:creator>
  <cp:lastModifiedBy>庸懒的猫</cp:lastModifiedBy>
  <cp:lastPrinted>2021-03-17T04:55:00Z</cp:lastPrinted>
  <dcterms:modified xsi:type="dcterms:W3CDTF">2021-04-16T09:10:02Z</dcterms:modified>
  <dc:title>崇州市民政局</dc:title>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30AFDECA59514F5EBE647B60B197FE00</vt:lpwstr>
  </property>
</Properties>
</file>