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5D4" w:rsidRDefault="00A265D4" w:rsidP="00A265D4">
      <w:pPr>
        <w:keepNext/>
        <w:keepLines/>
        <w:spacing w:before="260" w:after="260" w:line="400" w:lineRule="exact"/>
        <w:ind w:firstLineChars="98" w:firstLine="236"/>
        <w:outlineLvl w:val="1"/>
        <w:rPr>
          <w:rFonts w:ascii="宋体" w:hAnsi="宋体"/>
          <w:b/>
          <w:bCs/>
          <w:sz w:val="24"/>
        </w:rPr>
      </w:pPr>
      <w:r>
        <w:rPr>
          <w:rFonts w:ascii="宋体" w:hAnsi="宋体" w:hint="eastAsia"/>
          <w:b/>
          <w:bCs/>
          <w:sz w:val="24"/>
        </w:rPr>
        <w:t>一、项目概述</w:t>
      </w:r>
    </w:p>
    <w:p w:rsidR="00A265D4" w:rsidRDefault="00A265D4" w:rsidP="00A265D4">
      <w:pPr>
        <w:spacing w:line="360" w:lineRule="auto"/>
        <w:ind w:firstLineChars="200" w:firstLine="480"/>
        <w:rPr>
          <w:rFonts w:ascii="宋体" w:hAnsi="宋体" w:hint="eastAsia"/>
          <w:sz w:val="24"/>
        </w:rPr>
      </w:pPr>
      <w:r>
        <w:rPr>
          <w:rFonts w:ascii="宋体" w:hAnsi="宋体" w:hint="eastAsia"/>
          <w:sz w:val="24"/>
        </w:rPr>
        <w:t>由政府购买城市供水水质检测服务，是政府履职尽责、服务民生的创新举措。简阳市卫生和计划生育监督执法大队拟购买城市供水水质第三方检测服务，对简阳市市政和自建设施供水、二次供水、现制现售水进行检测并出具对应的检测报告。</w:t>
      </w:r>
    </w:p>
    <w:p w:rsidR="00A265D4" w:rsidRDefault="00A265D4" w:rsidP="00A265D4">
      <w:pPr>
        <w:keepNext/>
        <w:keepLines/>
        <w:numPr>
          <w:ilvl w:val="0"/>
          <w:numId w:val="1"/>
        </w:numPr>
        <w:spacing w:before="260" w:after="260" w:line="400" w:lineRule="exact"/>
        <w:ind w:firstLineChars="98" w:firstLine="236"/>
        <w:outlineLvl w:val="1"/>
        <w:rPr>
          <w:rFonts w:ascii="宋体" w:hAnsi="宋体" w:hint="eastAsia"/>
          <w:b/>
          <w:bCs/>
          <w:sz w:val="24"/>
        </w:rPr>
      </w:pPr>
      <w:r>
        <w:rPr>
          <w:rFonts w:ascii="宋体" w:hAnsi="宋体" w:hint="eastAsia"/>
          <w:b/>
          <w:bCs/>
          <w:sz w:val="24"/>
        </w:rPr>
        <w:t>服务内容</w:t>
      </w:r>
    </w:p>
    <w:p w:rsidR="00A265D4" w:rsidRDefault="00A265D4" w:rsidP="00A265D4">
      <w:pPr>
        <w:pStyle w:val="a0"/>
        <w:ind w:firstLineChars="200" w:firstLine="480"/>
        <w:rPr>
          <w:rFonts w:ascii="宋体" w:hAnsi="宋体" w:hint="eastAsia"/>
          <w:sz w:val="24"/>
        </w:rPr>
      </w:pPr>
      <w:r>
        <w:rPr>
          <w:rFonts w:ascii="宋体" w:hAnsi="宋体" w:hint="eastAsia"/>
          <w:sz w:val="24"/>
        </w:rPr>
        <w:t>1、市政城市和自建设施供水水质检测并出具对应的检测报告；</w:t>
      </w:r>
    </w:p>
    <w:p w:rsidR="00A265D4" w:rsidRDefault="00A265D4" w:rsidP="00A265D4">
      <w:pPr>
        <w:pStyle w:val="a0"/>
        <w:ind w:firstLineChars="200" w:firstLine="480"/>
        <w:rPr>
          <w:rFonts w:ascii="宋体" w:hAnsi="宋体" w:hint="eastAsia"/>
          <w:sz w:val="24"/>
        </w:rPr>
      </w:pPr>
      <w:r>
        <w:rPr>
          <w:rFonts w:ascii="宋体" w:hAnsi="宋体" w:hint="eastAsia"/>
          <w:sz w:val="24"/>
        </w:rPr>
        <w:t>2、二次供水检测并出具对应的检测报告；</w:t>
      </w:r>
    </w:p>
    <w:p w:rsidR="00A265D4" w:rsidRDefault="00A265D4" w:rsidP="00A265D4">
      <w:pPr>
        <w:pStyle w:val="a0"/>
        <w:ind w:firstLineChars="200" w:firstLine="480"/>
        <w:rPr>
          <w:rFonts w:ascii="宋体" w:hAnsi="宋体" w:hint="eastAsia"/>
          <w:sz w:val="24"/>
        </w:rPr>
      </w:pPr>
      <w:r>
        <w:rPr>
          <w:rFonts w:ascii="宋体" w:hAnsi="宋体" w:hint="eastAsia"/>
          <w:sz w:val="24"/>
        </w:rPr>
        <w:t>3、现制现售水检测并出具对应的检测报告；</w:t>
      </w:r>
    </w:p>
    <w:p w:rsidR="00A265D4" w:rsidRDefault="00A265D4" w:rsidP="00A265D4">
      <w:pPr>
        <w:pStyle w:val="a0"/>
        <w:ind w:left="240" w:firstLineChars="100" w:firstLine="240"/>
        <w:rPr>
          <w:rFonts w:ascii="宋体" w:hAnsi="宋体" w:hint="eastAsia"/>
          <w:sz w:val="24"/>
        </w:rPr>
      </w:pPr>
      <w:r>
        <w:rPr>
          <w:rFonts w:ascii="宋体" w:hAnsi="宋体" w:hint="eastAsia"/>
          <w:sz w:val="24"/>
        </w:rPr>
        <w:t>4、检测点位：简阳市范围内，具体点位以采购人要求为准。</w:t>
      </w:r>
    </w:p>
    <w:p w:rsidR="00A265D4" w:rsidRDefault="00A265D4" w:rsidP="00A265D4">
      <w:pPr>
        <w:pStyle w:val="a4"/>
        <w:ind w:firstLine="0"/>
        <w:rPr>
          <w:rFonts w:hint="eastAsia"/>
        </w:rPr>
      </w:pPr>
    </w:p>
    <w:p w:rsidR="00A265D4" w:rsidRDefault="00A265D4" w:rsidP="00A265D4">
      <w:pPr>
        <w:keepNext/>
        <w:keepLines/>
        <w:spacing w:before="260" w:after="260" w:line="400" w:lineRule="exact"/>
        <w:ind w:left="236"/>
        <w:outlineLvl w:val="1"/>
        <w:rPr>
          <w:rFonts w:ascii="宋体" w:hAnsi="宋体"/>
          <w:b/>
          <w:bCs/>
          <w:sz w:val="24"/>
        </w:rPr>
      </w:pPr>
      <w:r>
        <w:rPr>
          <w:rFonts w:ascii="宋体" w:hAnsi="宋体" w:hint="eastAsia"/>
          <w:sz w:val="24"/>
        </w:rPr>
        <w:t>★三、</w:t>
      </w:r>
      <w:r>
        <w:rPr>
          <w:rFonts w:ascii="宋体" w:hAnsi="宋体" w:hint="eastAsia"/>
          <w:b/>
          <w:bCs/>
          <w:sz w:val="24"/>
        </w:rPr>
        <w:t>服务标准</w:t>
      </w:r>
    </w:p>
    <w:p w:rsidR="00A265D4" w:rsidRDefault="00A265D4" w:rsidP="00A265D4">
      <w:pPr>
        <w:pStyle w:val="a0"/>
        <w:spacing w:after="0" w:line="360" w:lineRule="auto"/>
        <w:ind w:firstLineChars="200" w:firstLine="480"/>
        <w:rPr>
          <w:rFonts w:hint="eastAsia"/>
          <w:sz w:val="24"/>
        </w:rPr>
      </w:pPr>
      <w:r>
        <w:rPr>
          <w:sz w:val="24"/>
        </w:rPr>
        <w:t>1</w:t>
      </w:r>
      <w:r>
        <w:rPr>
          <w:rFonts w:hint="eastAsia"/>
          <w:sz w:val="24"/>
        </w:rPr>
        <w:t>、开展检测的实验室环境必须符合《生活饮用水标准检验方法》（</w:t>
      </w:r>
      <w:r>
        <w:rPr>
          <w:sz w:val="24"/>
        </w:rPr>
        <w:t>GB/T 5750</w:t>
      </w:r>
      <w:r>
        <w:rPr>
          <w:rFonts w:hint="eastAsia"/>
          <w:sz w:val="24"/>
        </w:rPr>
        <w:t>）系列标准要求；</w:t>
      </w:r>
    </w:p>
    <w:p w:rsidR="00A265D4" w:rsidRDefault="00A265D4" w:rsidP="00A265D4">
      <w:pPr>
        <w:pStyle w:val="a0"/>
        <w:spacing w:after="0" w:line="360" w:lineRule="auto"/>
        <w:ind w:firstLineChars="200" w:firstLine="480"/>
        <w:rPr>
          <w:sz w:val="24"/>
        </w:rPr>
      </w:pPr>
      <w:r>
        <w:rPr>
          <w:sz w:val="24"/>
        </w:rPr>
        <w:t>2</w:t>
      </w:r>
      <w:r>
        <w:rPr>
          <w:rFonts w:hint="eastAsia"/>
          <w:sz w:val="24"/>
        </w:rPr>
        <w:t>、二次供水必须依照《二次供水设施卫生规范》（</w:t>
      </w:r>
      <w:r>
        <w:rPr>
          <w:sz w:val="24"/>
        </w:rPr>
        <w:t>GB 17051</w:t>
      </w:r>
      <w:r>
        <w:rPr>
          <w:rFonts w:hint="eastAsia"/>
          <w:sz w:val="24"/>
        </w:rPr>
        <w:t>）系列标准对采集水样进行检测；</w:t>
      </w:r>
    </w:p>
    <w:p w:rsidR="00A265D4" w:rsidRDefault="00A265D4" w:rsidP="00A265D4">
      <w:pPr>
        <w:pStyle w:val="a0"/>
        <w:spacing w:after="0" w:line="360" w:lineRule="auto"/>
        <w:ind w:firstLineChars="200" w:firstLine="480"/>
        <w:rPr>
          <w:sz w:val="24"/>
        </w:rPr>
      </w:pPr>
      <w:r>
        <w:rPr>
          <w:sz w:val="24"/>
        </w:rPr>
        <w:t>3</w:t>
      </w:r>
      <w:r>
        <w:rPr>
          <w:rFonts w:hint="eastAsia"/>
          <w:sz w:val="24"/>
        </w:rPr>
        <w:t>、水质全分析必须依照《生活饮用水标准检验方法》（</w:t>
      </w:r>
      <w:r>
        <w:rPr>
          <w:sz w:val="24"/>
        </w:rPr>
        <w:t>GB/T 5750</w:t>
      </w:r>
      <w:r>
        <w:rPr>
          <w:rFonts w:hint="eastAsia"/>
          <w:sz w:val="24"/>
        </w:rPr>
        <w:t>）系列标准对采集水样进行检测。</w:t>
      </w:r>
    </w:p>
    <w:p w:rsidR="00A265D4" w:rsidRDefault="00A265D4" w:rsidP="00A265D4">
      <w:pPr>
        <w:pStyle w:val="a4"/>
        <w:rPr>
          <w:sz w:val="24"/>
          <w:szCs w:val="24"/>
        </w:rPr>
      </w:pPr>
      <w:r>
        <w:rPr>
          <w:rFonts w:hint="eastAsia"/>
          <w:sz w:val="24"/>
          <w:szCs w:val="24"/>
        </w:rPr>
        <w:t>注：提供承诺函原件。</w:t>
      </w:r>
    </w:p>
    <w:p w:rsidR="00A265D4" w:rsidRDefault="00A265D4" w:rsidP="00A265D4">
      <w:pPr>
        <w:keepNext/>
        <w:keepLines/>
        <w:spacing w:before="260" w:after="260" w:line="400" w:lineRule="exact"/>
        <w:ind w:firstLineChars="98" w:firstLine="235"/>
        <w:outlineLvl w:val="1"/>
        <w:rPr>
          <w:rFonts w:ascii="宋体" w:hAnsi="宋体"/>
          <w:b/>
          <w:bCs/>
          <w:sz w:val="24"/>
        </w:rPr>
      </w:pPr>
      <w:r>
        <w:rPr>
          <w:rFonts w:ascii="宋体" w:hAnsi="宋体" w:hint="eastAsia"/>
          <w:sz w:val="24"/>
        </w:rPr>
        <w:t>★</w:t>
      </w:r>
      <w:r>
        <w:rPr>
          <w:rFonts w:ascii="宋体" w:hAnsi="宋体" w:hint="eastAsia"/>
          <w:b/>
          <w:bCs/>
          <w:sz w:val="24"/>
        </w:rPr>
        <w:t>四、服务要求</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1、市政城市和自建设施供水水质检测</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（1）检测项目：1个点位水质全分析（106项）；</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10个点位常规分析（42项）：其中微生物指标4项：总大肠菌群、耐热大肠菌群、大肠埃希氏菌、菌落总数；毒理指标15项：砷、镉、铬、铅、汞、硒、氰化物、氟化物、硝酸盐、三氯甲烷、四氯化碳、溴酸盐（使用臭氧消毒时）、甲醛（使用臭氧消毒时）、亚氯酸盐（使用二氧化氯消毒时）、氯酸盐（使用二氧化氯消毒时）；感官性状和一般化学指标17项：色度、浑浊度、臭和味、肉眼可见物、ｐＨ、铝、铁、锰、铜、锌、氯化物、硫酸盐、溶解性总固体、总硬度、耗氧量、</w:t>
      </w:r>
      <w:r>
        <w:rPr>
          <w:rFonts w:ascii="宋体" w:hAnsi="宋体" w:cs="Arial" w:hint="eastAsia"/>
          <w:kern w:val="0"/>
          <w:sz w:val="24"/>
        </w:rPr>
        <w:lastRenderedPageBreak/>
        <w:t>挥发酚类、阴离子合成洗涤剂；饮用水中消毒剂常规指标4项：氯气及游离氯制剂（游离氯）、一氯胺（总氯）、臭氧、二氧化氯；放射性指标2项：总α放射性、总β放射性。</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（2）检测频次：全分析每年丰水期、枯水期各1次；常规分析每月1次。</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2、二次供水检测</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1）检测项目：53个点位二次供水水质分析（22项），指标包括：色度、浊度、嗅味、肉眼可见物、ｐＨ、大肠菌群、细菌总数、余氯、总硬度、氯化物、硝酸盐氮、挥发酚、氰化物、砷、六价铬、铁、锰、铅、紫外线强度、氨氮、亚硝酸盐氮、耗氧量。</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（2）检测频次：每季度1次。</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3、现制现售水检测</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1）检测项目：15个点位现制现售水水质分析（14项），指标包括：色度、浑浊度、臭和味、肉眼可见物、PH值、铅、砷、挥发挥发酚类（以苯酚计）、耗氧量、三氯甲烷、四氯化碳、细菌总数、总大肠菌群、粪大肠菌群。</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（2）检测频次：每季度1次。</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4、每月25日前，将当月检测报告和月度总报告送交采购人。</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5、确因工作需要采购人对检测具体点位和检测频次进行调整，检测机构必须按照采购人要求做好调整后的水质检测。</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6、依据《城市供水水质标准》（CJ/T206）水质检验项目合格率计算方法和判断标准对抽检水样进行合格率判定并进行统计分析，对检测不合格的水样进行分析，协助被采样单位查找导致水质不合格原因，提出相应的工作建议或意见。</w:t>
      </w:r>
    </w:p>
    <w:p w:rsidR="00A265D4" w:rsidRDefault="00A265D4" w:rsidP="00A265D4">
      <w:pPr>
        <w:widowControl/>
        <w:shd w:val="clear" w:color="auto" w:fill="FFFFFF"/>
        <w:spacing w:line="360" w:lineRule="auto"/>
        <w:ind w:firstLineChars="200" w:firstLine="480"/>
        <w:jc w:val="left"/>
        <w:rPr>
          <w:rFonts w:ascii="宋体" w:hAnsi="宋体" w:cs="Arial" w:hint="eastAsia"/>
          <w:kern w:val="0"/>
          <w:sz w:val="24"/>
        </w:rPr>
      </w:pPr>
      <w:r>
        <w:rPr>
          <w:rFonts w:ascii="宋体" w:hAnsi="宋体" w:cs="Arial" w:hint="eastAsia"/>
          <w:kern w:val="0"/>
          <w:sz w:val="24"/>
        </w:rPr>
        <w:t>7、供应商应建立完善的采（取）样、实验室检测、报告出具等全流程可追溯查询管理系统，并确保全程正常使用。</w:t>
      </w:r>
    </w:p>
    <w:p w:rsidR="00A265D4" w:rsidRDefault="00A265D4" w:rsidP="00A265D4">
      <w:pPr>
        <w:pStyle w:val="a5"/>
        <w:ind w:firstLineChars="200" w:firstLine="480"/>
        <w:rPr>
          <w:rFonts w:hAnsi="宋体" w:hint="eastAsia"/>
          <w:sz w:val="24"/>
        </w:rPr>
      </w:pPr>
      <w:r>
        <w:rPr>
          <w:rFonts w:hAnsi="宋体" w:hint="eastAsia"/>
          <w:sz w:val="24"/>
        </w:rPr>
        <w:t>8、在履行服务过程中的安全责任由供应商自行承担。</w:t>
      </w:r>
    </w:p>
    <w:p w:rsidR="00A265D4" w:rsidRDefault="00A265D4" w:rsidP="00A265D4">
      <w:pPr>
        <w:pStyle w:val="a5"/>
        <w:ind w:firstLineChars="200" w:firstLine="420"/>
        <w:rPr>
          <w:rFonts w:hint="eastAsia"/>
        </w:rPr>
      </w:pPr>
    </w:p>
    <w:p w:rsidR="00A265D4" w:rsidRDefault="00A265D4" w:rsidP="00A265D4">
      <w:pPr>
        <w:keepNext/>
        <w:keepLines/>
        <w:spacing w:before="260" w:after="260" w:line="400" w:lineRule="exact"/>
        <w:ind w:firstLineChars="98" w:firstLine="235"/>
        <w:outlineLvl w:val="1"/>
        <w:rPr>
          <w:rFonts w:ascii="宋体" w:hAnsi="宋体" w:hint="eastAsia"/>
          <w:b/>
          <w:bCs/>
          <w:sz w:val="24"/>
        </w:rPr>
      </w:pPr>
      <w:r>
        <w:rPr>
          <w:rFonts w:ascii="宋体" w:hAnsi="宋体" w:hint="eastAsia"/>
          <w:sz w:val="24"/>
        </w:rPr>
        <w:t>★</w:t>
      </w:r>
      <w:r>
        <w:rPr>
          <w:rFonts w:ascii="宋体" w:hAnsi="宋体" w:hint="eastAsia"/>
          <w:b/>
          <w:bCs/>
          <w:sz w:val="24"/>
        </w:rPr>
        <w:t>五、商务要求</w:t>
      </w:r>
    </w:p>
    <w:p w:rsidR="00A265D4" w:rsidRDefault="00A265D4" w:rsidP="00A265D4">
      <w:pPr>
        <w:spacing w:line="360" w:lineRule="auto"/>
        <w:ind w:firstLineChars="200" w:firstLine="480"/>
        <w:rPr>
          <w:rFonts w:ascii="宋体" w:hAnsi="宋体" w:hint="eastAsia"/>
          <w:sz w:val="24"/>
        </w:rPr>
      </w:pPr>
      <w:r>
        <w:rPr>
          <w:rFonts w:ascii="宋体" w:hAnsi="宋体" w:hint="eastAsia"/>
          <w:sz w:val="24"/>
        </w:rPr>
        <w:t>（一）服务期限：一年</w:t>
      </w:r>
    </w:p>
    <w:p w:rsidR="00A265D4" w:rsidRDefault="00A265D4" w:rsidP="00A265D4">
      <w:pPr>
        <w:spacing w:line="360" w:lineRule="auto"/>
        <w:ind w:firstLineChars="200" w:firstLine="480"/>
        <w:rPr>
          <w:rFonts w:ascii="宋体" w:hAnsi="宋体" w:hint="eastAsia"/>
          <w:sz w:val="24"/>
        </w:rPr>
      </w:pPr>
      <w:r>
        <w:rPr>
          <w:rFonts w:ascii="宋体" w:hAnsi="宋体" w:hint="eastAsia"/>
          <w:sz w:val="24"/>
        </w:rPr>
        <w:t>（二）服务地点：成都市简阳市。</w:t>
      </w:r>
    </w:p>
    <w:p w:rsidR="00A265D4" w:rsidRDefault="00A265D4" w:rsidP="00A265D4">
      <w:pPr>
        <w:spacing w:line="360" w:lineRule="auto"/>
        <w:ind w:firstLineChars="200" w:firstLine="480"/>
        <w:rPr>
          <w:rFonts w:ascii="宋体" w:hAnsi="宋体" w:hint="eastAsia"/>
          <w:sz w:val="24"/>
        </w:rPr>
      </w:pPr>
      <w:r>
        <w:rPr>
          <w:rFonts w:ascii="宋体" w:hAnsi="宋体" w:hint="eastAsia"/>
          <w:sz w:val="24"/>
        </w:rPr>
        <w:t>（三）付款方式：项目履约时间过半后采购人在收到发票后30日内支付合同总金额的50%，完成项目履约并通过采购人验收后采购人收到发票后30日内支付合同总金</w:t>
      </w:r>
      <w:r>
        <w:rPr>
          <w:rFonts w:ascii="宋体" w:hAnsi="宋体" w:hint="eastAsia"/>
          <w:sz w:val="24"/>
        </w:rPr>
        <w:lastRenderedPageBreak/>
        <w:t>额的50%。</w:t>
      </w:r>
    </w:p>
    <w:p w:rsidR="00A265D4" w:rsidRDefault="00A265D4" w:rsidP="00A265D4">
      <w:pPr>
        <w:spacing w:line="360" w:lineRule="auto"/>
        <w:ind w:firstLineChars="200" w:firstLine="480"/>
        <w:rPr>
          <w:rFonts w:ascii="宋体" w:hAnsi="宋体" w:hint="eastAsia"/>
          <w:sz w:val="24"/>
        </w:rPr>
      </w:pPr>
      <w:r>
        <w:rPr>
          <w:rFonts w:ascii="宋体" w:hAnsi="宋体" w:hint="eastAsia"/>
          <w:sz w:val="24"/>
        </w:rPr>
        <w:t>（四）验收方式、标准、时间</w:t>
      </w:r>
    </w:p>
    <w:p w:rsidR="00A265D4" w:rsidRDefault="00A265D4" w:rsidP="00A265D4">
      <w:pPr>
        <w:spacing w:line="360" w:lineRule="auto"/>
        <w:ind w:firstLineChars="200" w:firstLine="480"/>
        <w:rPr>
          <w:rFonts w:ascii="宋体" w:hAnsi="宋体" w:hint="eastAsia"/>
          <w:sz w:val="24"/>
        </w:rPr>
      </w:pPr>
      <w:r>
        <w:rPr>
          <w:rFonts w:ascii="宋体" w:hAnsi="宋体" w:hint="eastAsia"/>
          <w:sz w:val="24"/>
        </w:rPr>
        <w:t>1、验收方式：本项目采购人将严格按照政府采购相关法律法规以及《财政部关于进一步加强政府采购需求和履约验收管理的指导意见》（财库〔2016〕205号）的要求组织验收。</w:t>
      </w:r>
    </w:p>
    <w:p w:rsidR="00A265D4" w:rsidRDefault="00A265D4" w:rsidP="00A265D4">
      <w:pPr>
        <w:spacing w:line="360" w:lineRule="auto"/>
        <w:ind w:firstLineChars="200" w:firstLine="480"/>
        <w:rPr>
          <w:rFonts w:ascii="宋体" w:hAnsi="宋体" w:hint="eastAsia"/>
          <w:sz w:val="24"/>
        </w:rPr>
      </w:pPr>
      <w:r>
        <w:rPr>
          <w:rFonts w:ascii="宋体" w:hAnsi="宋体" w:hint="eastAsia"/>
          <w:sz w:val="24"/>
        </w:rPr>
        <w:t>2、验收标准：依据本项目磋商文件、成交供应商响应文件及双方签订的政府采购合同及国家及行业相关标准。</w:t>
      </w:r>
    </w:p>
    <w:p w:rsidR="00A265D4" w:rsidRDefault="00A265D4" w:rsidP="00A265D4">
      <w:pPr>
        <w:spacing w:line="360" w:lineRule="auto"/>
        <w:ind w:firstLineChars="200" w:firstLine="480"/>
        <w:rPr>
          <w:rFonts w:ascii="宋体" w:hAnsi="宋体" w:hint="eastAsia"/>
          <w:sz w:val="24"/>
        </w:rPr>
      </w:pPr>
      <w:r>
        <w:rPr>
          <w:rFonts w:ascii="宋体" w:hAnsi="宋体" w:hint="eastAsia"/>
          <w:sz w:val="24"/>
        </w:rPr>
        <w:t>3、验收时间：成交供应商完成履约后15日内。</w:t>
      </w:r>
    </w:p>
    <w:p w:rsidR="00A265D4" w:rsidRDefault="00A265D4" w:rsidP="00A265D4">
      <w:pPr>
        <w:spacing w:line="360" w:lineRule="auto"/>
        <w:rPr>
          <w:rFonts w:ascii="宋体" w:hAnsi="宋体" w:hint="eastAsia"/>
          <w:sz w:val="24"/>
        </w:rPr>
      </w:pPr>
    </w:p>
    <w:p w:rsidR="00A265D4" w:rsidRDefault="00A265D4" w:rsidP="00A265D4">
      <w:pPr>
        <w:spacing w:line="360" w:lineRule="auto"/>
        <w:rPr>
          <w:rFonts w:ascii="宋体" w:hAnsi="宋体" w:hint="eastAsia"/>
          <w:sz w:val="24"/>
        </w:rPr>
      </w:pPr>
      <w:r>
        <w:rPr>
          <w:rFonts w:ascii="宋体" w:hAnsi="宋体" w:hint="eastAsia"/>
          <w:sz w:val="24"/>
        </w:rPr>
        <w:t>注：本章中，“★”号项为实质性要求，属必须满足项，在磋商后仍不满足按照无效响应处理。</w:t>
      </w:r>
    </w:p>
    <w:p w:rsidR="00A265D4" w:rsidRDefault="00A265D4" w:rsidP="00A265D4">
      <w:pPr>
        <w:spacing w:line="360" w:lineRule="auto"/>
        <w:ind w:firstLineChars="200" w:firstLine="480"/>
        <w:rPr>
          <w:rFonts w:eastAsia="仿宋_GB2312" w:hint="eastAsia"/>
          <w:sz w:val="24"/>
        </w:rPr>
      </w:pPr>
    </w:p>
    <w:p w:rsidR="00A265D4" w:rsidRDefault="00A265D4" w:rsidP="00A265D4">
      <w:pPr>
        <w:rPr>
          <w:rFonts w:ascii="宋体" w:hAnsi="宋体"/>
          <w:b/>
          <w:sz w:val="32"/>
          <w:szCs w:val="32"/>
        </w:rPr>
      </w:pPr>
    </w:p>
    <w:p w:rsidR="00A265D4" w:rsidRDefault="00A265D4" w:rsidP="00A265D4">
      <w:pPr>
        <w:widowControl/>
        <w:jc w:val="left"/>
        <w:rPr>
          <w:rFonts w:ascii="宋体" w:hAnsi="宋体"/>
          <w:b/>
          <w:bCs/>
          <w:kern w:val="44"/>
          <w:sz w:val="36"/>
          <w:szCs w:val="36"/>
        </w:rPr>
        <w:sectPr w:rsidR="00A265D4">
          <w:pgSz w:w="11907" w:h="16839"/>
          <w:pgMar w:top="1440" w:right="1514" w:bottom="1440" w:left="1514" w:header="851" w:footer="992" w:gutter="0"/>
          <w:cols w:space="720"/>
        </w:sectPr>
      </w:pPr>
    </w:p>
    <w:p w:rsidR="00850EB1" w:rsidRDefault="00850EB1">
      <w:pPr>
        <w:rPr>
          <w:rFonts w:hint="eastAsia"/>
        </w:rPr>
      </w:pPr>
      <w:bookmarkStart w:id="0" w:name="_GoBack"/>
      <w:bookmarkEnd w:id="0"/>
    </w:p>
    <w:sectPr w:rsidR="00850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7E1FF"/>
    <w:multiLevelType w:val="singleLevel"/>
    <w:tmpl w:val="1827E1FF"/>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07"/>
    <w:rsid w:val="00262207"/>
    <w:rsid w:val="00850EB1"/>
    <w:rsid w:val="00A26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4FEE6-ED3E-4D3F-BD7C-C785FB96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265D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A265D4"/>
    <w:pPr>
      <w:spacing w:after="120"/>
    </w:pPr>
  </w:style>
  <w:style w:type="character" w:customStyle="1" w:styleId="Char">
    <w:name w:val="正文文本 Char"/>
    <w:basedOn w:val="a1"/>
    <w:link w:val="a0"/>
    <w:uiPriority w:val="99"/>
    <w:semiHidden/>
    <w:rsid w:val="00A265D4"/>
    <w:rPr>
      <w:rFonts w:ascii="Times New Roman" w:eastAsia="宋体" w:hAnsi="Times New Roman" w:cs="Times New Roman"/>
      <w:szCs w:val="24"/>
    </w:rPr>
  </w:style>
  <w:style w:type="paragraph" w:styleId="a4">
    <w:name w:val="Body Text Indent"/>
    <w:basedOn w:val="a"/>
    <w:link w:val="Char0"/>
    <w:semiHidden/>
    <w:unhideWhenUsed/>
    <w:qFormat/>
    <w:rsid w:val="00A265D4"/>
    <w:pPr>
      <w:ind w:firstLine="630"/>
    </w:pPr>
    <w:rPr>
      <w:sz w:val="32"/>
      <w:szCs w:val="20"/>
    </w:rPr>
  </w:style>
  <w:style w:type="character" w:customStyle="1" w:styleId="Char0">
    <w:name w:val="正文文本缩进 Char"/>
    <w:basedOn w:val="a1"/>
    <w:link w:val="a4"/>
    <w:semiHidden/>
    <w:qFormat/>
    <w:rsid w:val="00A265D4"/>
    <w:rPr>
      <w:rFonts w:ascii="Times New Roman" w:eastAsia="宋体" w:hAnsi="Times New Roman" w:cs="Times New Roman"/>
      <w:sz w:val="32"/>
      <w:szCs w:val="20"/>
    </w:rPr>
  </w:style>
  <w:style w:type="paragraph" w:styleId="a5">
    <w:name w:val="Plain Text"/>
    <w:basedOn w:val="a"/>
    <w:link w:val="Char1"/>
    <w:semiHidden/>
    <w:unhideWhenUsed/>
    <w:qFormat/>
    <w:rsid w:val="00A265D4"/>
    <w:pPr>
      <w:autoSpaceDE w:val="0"/>
      <w:autoSpaceDN w:val="0"/>
      <w:adjustRightInd w:val="0"/>
    </w:pPr>
    <w:rPr>
      <w:rFonts w:ascii="宋体" w:hAnsi="Tms Rmn"/>
      <w:kern w:val="0"/>
      <w:szCs w:val="20"/>
    </w:rPr>
  </w:style>
  <w:style w:type="character" w:customStyle="1" w:styleId="Char1">
    <w:name w:val="纯文本 Char"/>
    <w:basedOn w:val="a1"/>
    <w:link w:val="a5"/>
    <w:semiHidden/>
    <w:qFormat/>
    <w:rsid w:val="00A265D4"/>
    <w:rPr>
      <w:rFonts w:ascii="宋体" w:eastAsia="宋体" w:hAnsi="Tms Rm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Company>Microsoft</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2021-11-08T07:03:00Z</dcterms:created>
  <dcterms:modified xsi:type="dcterms:W3CDTF">2021-11-08T07:03:00Z</dcterms:modified>
</cp:coreProperties>
</file>