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right"/>
        <w:rPr>
          <w:rFonts w:ascii="宋体" w:hAnsi="宋体"/>
          <w:b/>
          <w:sz w:val="30"/>
          <w:szCs w:val="30"/>
          <w:highlight w:val="none"/>
        </w:rPr>
      </w:pPr>
      <w:r>
        <w:rPr>
          <w:rFonts w:hint="eastAsia" w:ascii="宋体" w:hAnsi="宋体"/>
          <w:b/>
          <w:sz w:val="30"/>
          <w:szCs w:val="30"/>
          <w:highlight w:val="none"/>
        </w:rPr>
        <w:t>项目编号：[</w:t>
      </w:r>
      <w:r>
        <w:rPr>
          <w:rFonts w:hint="eastAsia" w:ascii="宋体" w:hAnsi="宋体"/>
          <w:b/>
          <w:sz w:val="30"/>
          <w:szCs w:val="30"/>
          <w:highlight w:val="none"/>
          <w:lang w:eastAsia="zh-CN"/>
        </w:rPr>
        <w:t>510181202100232</w:t>
      </w:r>
      <w:r>
        <w:rPr>
          <w:rFonts w:hint="eastAsia" w:ascii="宋体" w:hAnsi="宋体"/>
          <w:b/>
          <w:sz w:val="30"/>
          <w:szCs w:val="30"/>
          <w:highlight w:val="none"/>
        </w:rPr>
        <w:t>]</w:t>
      </w:r>
    </w:p>
    <w:p>
      <w:pPr>
        <w:rPr>
          <w:rFonts w:ascii="宋体" w:hAnsi="宋体"/>
          <w:b/>
          <w:sz w:val="52"/>
          <w:szCs w:val="52"/>
          <w:highlight w:val="none"/>
        </w:rPr>
      </w:pPr>
    </w:p>
    <w:p>
      <w:pPr>
        <w:jc w:val="center"/>
        <w:rPr>
          <w:rFonts w:ascii="宋体" w:hAnsi="宋体"/>
          <w:b/>
          <w:sz w:val="56"/>
          <w:szCs w:val="56"/>
          <w:highlight w:val="none"/>
          <w:u w:val="single"/>
        </w:rPr>
      </w:pPr>
    </w:p>
    <w:p>
      <w:pPr>
        <w:jc w:val="center"/>
        <w:rPr>
          <w:rFonts w:hint="eastAsia" w:ascii="宋体" w:hAnsi="宋体" w:eastAsia="宋体"/>
          <w:b/>
          <w:sz w:val="52"/>
          <w:szCs w:val="52"/>
          <w:highlight w:val="none"/>
          <w:lang w:eastAsia="zh-CN"/>
        </w:rPr>
      </w:pPr>
      <w:r>
        <w:rPr>
          <w:rFonts w:hint="eastAsia" w:ascii="宋体" w:hAnsi="宋体"/>
          <w:b/>
          <w:sz w:val="56"/>
          <w:szCs w:val="56"/>
          <w:highlight w:val="none"/>
          <w:u w:val="single"/>
          <w:lang w:eastAsia="zh-CN"/>
        </w:rPr>
        <w:t>都江堰市人民医院检验科外送检测服务项目</w:t>
      </w:r>
    </w:p>
    <w:p>
      <w:pPr>
        <w:tabs>
          <w:tab w:val="left" w:pos="2505"/>
          <w:tab w:val="center" w:pos="4204"/>
        </w:tabs>
        <w:jc w:val="center"/>
        <w:rPr>
          <w:rFonts w:ascii="宋体" w:hAnsi="宋体"/>
          <w:b/>
          <w:sz w:val="52"/>
          <w:szCs w:val="52"/>
          <w:highlight w:val="none"/>
        </w:rPr>
      </w:pPr>
    </w:p>
    <w:p>
      <w:pPr>
        <w:jc w:val="center"/>
        <w:rPr>
          <w:rFonts w:ascii="宋体" w:hAnsi="宋体"/>
          <w:b/>
          <w:sz w:val="52"/>
          <w:szCs w:val="52"/>
          <w:highlight w:val="none"/>
        </w:rPr>
      </w:pPr>
      <w:r>
        <w:rPr>
          <w:rFonts w:hint="eastAsia" w:ascii="宋体" w:hAnsi="宋体"/>
          <w:b/>
          <w:sz w:val="52"/>
          <w:szCs w:val="52"/>
          <w:highlight w:val="none"/>
        </w:rPr>
        <w:t>竞</w:t>
      </w:r>
    </w:p>
    <w:p>
      <w:pPr>
        <w:jc w:val="center"/>
        <w:rPr>
          <w:rFonts w:ascii="宋体" w:hAnsi="宋体"/>
          <w:b/>
          <w:color w:val="FF0000"/>
          <w:sz w:val="52"/>
          <w:szCs w:val="52"/>
          <w:highlight w:val="none"/>
        </w:rPr>
      </w:pPr>
      <w:r>
        <w:rPr>
          <w:rFonts w:hint="eastAsia" w:ascii="宋体" w:hAnsi="宋体"/>
          <w:b/>
          <w:sz w:val="52"/>
          <w:szCs w:val="52"/>
          <w:highlight w:val="none"/>
        </w:rPr>
        <w:t>争</w:t>
      </w:r>
    </w:p>
    <w:p>
      <w:pPr>
        <w:jc w:val="center"/>
        <w:rPr>
          <w:rFonts w:ascii="宋体" w:hAnsi="宋体"/>
          <w:b/>
          <w:sz w:val="52"/>
          <w:szCs w:val="52"/>
          <w:highlight w:val="none"/>
        </w:rPr>
      </w:pPr>
      <w:r>
        <w:rPr>
          <w:rFonts w:hint="eastAsia" w:ascii="宋体" w:hAnsi="宋体"/>
          <w:b/>
          <w:sz w:val="52"/>
          <w:szCs w:val="52"/>
          <w:highlight w:val="none"/>
        </w:rPr>
        <w:t>性</w:t>
      </w:r>
    </w:p>
    <w:p>
      <w:pPr>
        <w:jc w:val="center"/>
        <w:rPr>
          <w:rFonts w:ascii="宋体" w:hAnsi="宋体"/>
          <w:b/>
          <w:sz w:val="52"/>
          <w:szCs w:val="52"/>
          <w:highlight w:val="none"/>
        </w:rPr>
      </w:pPr>
      <w:r>
        <w:rPr>
          <w:rFonts w:hint="eastAsia" w:ascii="宋体" w:hAnsi="宋体"/>
          <w:b/>
          <w:sz w:val="52"/>
          <w:szCs w:val="52"/>
          <w:highlight w:val="none"/>
        </w:rPr>
        <w:t>磋</w:t>
      </w:r>
    </w:p>
    <w:p>
      <w:pPr>
        <w:jc w:val="center"/>
        <w:rPr>
          <w:rFonts w:ascii="宋体" w:hAnsi="宋体"/>
          <w:b/>
          <w:sz w:val="52"/>
          <w:szCs w:val="52"/>
          <w:highlight w:val="none"/>
        </w:rPr>
      </w:pPr>
      <w:r>
        <w:rPr>
          <w:rFonts w:hint="eastAsia" w:ascii="宋体" w:hAnsi="宋体"/>
          <w:b/>
          <w:sz w:val="52"/>
          <w:szCs w:val="52"/>
          <w:highlight w:val="none"/>
        </w:rPr>
        <w:t>商</w:t>
      </w:r>
    </w:p>
    <w:p>
      <w:pPr>
        <w:jc w:val="center"/>
        <w:rPr>
          <w:rFonts w:ascii="宋体" w:hAnsi="宋体"/>
          <w:b/>
          <w:sz w:val="52"/>
          <w:szCs w:val="52"/>
          <w:highlight w:val="none"/>
        </w:rPr>
      </w:pPr>
      <w:r>
        <w:rPr>
          <w:rFonts w:hint="eastAsia" w:ascii="宋体" w:hAnsi="宋体"/>
          <w:b/>
          <w:sz w:val="52"/>
          <w:szCs w:val="52"/>
          <w:highlight w:val="none"/>
        </w:rPr>
        <w:t>文</w:t>
      </w:r>
    </w:p>
    <w:p>
      <w:pPr>
        <w:jc w:val="center"/>
        <w:rPr>
          <w:rFonts w:ascii="宋体" w:hAnsi="宋体"/>
          <w:b/>
          <w:sz w:val="32"/>
          <w:szCs w:val="32"/>
          <w:highlight w:val="none"/>
        </w:rPr>
      </w:pPr>
      <w:r>
        <w:rPr>
          <w:rFonts w:hint="eastAsia" w:ascii="宋体" w:hAnsi="宋体"/>
          <w:b/>
          <w:sz w:val="52"/>
          <w:szCs w:val="52"/>
          <w:highlight w:val="none"/>
        </w:rPr>
        <w:t>件</w:t>
      </w:r>
    </w:p>
    <w:p>
      <w:pPr>
        <w:spacing w:line="360" w:lineRule="auto"/>
        <w:rPr>
          <w:rFonts w:ascii="宋体" w:hAnsi="宋体"/>
          <w:b/>
          <w:sz w:val="32"/>
          <w:szCs w:val="32"/>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中国·四川</w:t>
      </w:r>
    </w:p>
    <w:p>
      <w:pPr>
        <w:spacing w:line="360" w:lineRule="auto"/>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 xml:space="preserve">都江堰市人民医院 </w:t>
      </w:r>
    </w:p>
    <w:p>
      <w:pPr>
        <w:spacing w:line="360" w:lineRule="auto"/>
        <w:jc w:val="center"/>
        <w:rPr>
          <w:rFonts w:ascii="宋体" w:hAnsi="宋体"/>
          <w:b/>
          <w:sz w:val="32"/>
          <w:szCs w:val="32"/>
          <w:highlight w:val="none"/>
        </w:rPr>
      </w:pPr>
      <w:r>
        <w:rPr>
          <w:rFonts w:hint="eastAsia" w:ascii="宋体" w:hAnsi="宋体"/>
          <w:b/>
          <w:sz w:val="32"/>
          <w:szCs w:val="32"/>
          <w:highlight w:val="none"/>
        </w:rPr>
        <w:t>成都一问工程技术咨询有限公司</w:t>
      </w:r>
    </w:p>
    <w:p>
      <w:pPr>
        <w:spacing w:line="360" w:lineRule="auto"/>
        <w:jc w:val="center"/>
        <w:rPr>
          <w:rFonts w:ascii="宋体" w:hAnsi="宋体"/>
          <w:b/>
          <w:sz w:val="32"/>
          <w:szCs w:val="32"/>
          <w:highlight w:val="none"/>
        </w:rPr>
      </w:pPr>
      <w:r>
        <w:rPr>
          <w:rFonts w:hint="eastAsia" w:ascii="宋体" w:hAnsi="宋体"/>
          <w:b/>
          <w:sz w:val="32"/>
          <w:szCs w:val="32"/>
          <w:highlight w:val="none"/>
        </w:rPr>
        <w:t>共同编制</w:t>
      </w:r>
    </w:p>
    <w:p>
      <w:pPr>
        <w:spacing w:line="360" w:lineRule="auto"/>
        <w:jc w:val="center"/>
        <w:rPr>
          <w:rFonts w:ascii="宋体" w:hAnsi="宋体"/>
          <w:sz w:val="24"/>
          <w:highlight w:val="none"/>
        </w:rPr>
      </w:pPr>
      <w:r>
        <w:rPr>
          <w:rFonts w:hint="eastAsia" w:ascii="宋体" w:hAnsi="宋体"/>
          <w:b/>
          <w:sz w:val="30"/>
          <w:szCs w:val="30"/>
          <w:highlight w:val="none"/>
        </w:rPr>
        <w:t>2021年</w:t>
      </w:r>
      <w:r>
        <w:rPr>
          <w:rFonts w:hint="eastAsia" w:ascii="宋体" w:hAnsi="宋体"/>
          <w:b/>
          <w:sz w:val="30"/>
          <w:szCs w:val="30"/>
          <w:highlight w:val="none"/>
          <w:lang w:val="en-US" w:eastAsia="zh-CN"/>
        </w:rPr>
        <w:t>11</w:t>
      </w:r>
      <w:r>
        <w:rPr>
          <w:rFonts w:hint="eastAsia" w:ascii="宋体" w:hAnsi="宋体"/>
          <w:b/>
          <w:sz w:val="30"/>
          <w:szCs w:val="30"/>
          <w:highlight w:val="none"/>
        </w:rPr>
        <w:t>月</w:t>
      </w:r>
    </w:p>
    <w:p>
      <w:pPr>
        <w:spacing w:line="400" w:lineRule="exact"/>
        <w:rPr>
          <w:rFonts w:ascii="宋体" w:hAnsi="宋体"/>
          <w:sz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8" w:right="1514" w:bottom="1418" w:left="1985" w:header="851" w:footer="992" w:gutter="0"/>
          <w:pgNumType w:start="0"/>
          <w:cols w:space="720" w:num="1"/>
          <w:docGrid w:linePitch="312" w:charSpace="0"/>
        </w:sectPr>
      </w:pPr>
    </w:p>
    <w:p>
      <w:pPr>
        <w:jc w:val="center"/>
        <w:rPr>
          <w:rFonts w:ascii="宋体" w:hAnsi="宋体"/>
          <w:b/>
          <w:bCs/>
          <w:sz w:val="36"/>
          <w:szCs w:val="36"/>
          <w:highlight w:val="none"/>
        </w:rPr>
      </w:pPr>
      <w:bookmarkStart w:id="0" w:name="_Hlt101843627"/>
      <w:bookmarkEnd w:id="0"/>
      <w:bookmarkStart w:id="1" w:name="_Hlt101233737"/>
      <w:bookmarkEnd w:id="1"/>
      <w:r>
        <w:rPr>
          <w:rFonts w:hint="eastAsia" w:ascii="宋体" w:hAnsi="宋体"/>
          <w:b/>
          <w:bCs/>
          <w:sz w:val="36"/>
          <w:szCs w:val="36"/>
          <w:highlight w:val="none"/>
        </w:rPr>
        <w:t>目    录</w:t>
      </w:r>
    </w:p>
    <w:p>
      <w:pPr>
        <w:spacing w:line="640" w:lineRule="exact"/>
        <w:jc w:val="center"/>
        <w:rPr>
          <w:rFonts w:ascii="宋体" w:hAnsi="宋体"/>
          <w:b/>
          <w:bCs/>
          <w:sz w:val="24"/>
          <w:highlight w:val="none"/>
        </w:rPr>
      </w:pPr>
    </w:p>
    <w:p>
      <w:pPr>
        <w:pStyle w:val="28"/>
        <w:tabs>
          <w:tab w:val="right" w:leader="dot" w:pos="8949"/>
        </w:tabs>
        <w:spacing w:line="480" w:lineRule="auto"/>
        <w:rPr>
          <w:rFonts w:ascii="宋体" w:hAnsi="宋体" w:cstheme="minorBidi"/>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TOC \o "1-1" \h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"_Toc53267581" </w:instrText>
      </w:r>
      <w:r>
        <w:rPr>
          <w:highlight w:val="none"/>
        </w:rPr>
        <w:fldChar w:fldCharType="separate"/>
      </w:r>
      <w:r>
        <w:rPr>
          <w:rStyle w:val="47"/>
          <w:rFonts w:hint="eastAsia" w:ascii="宋体" w:hAnsi="宋体"/>
          <w:color w:val="auto"/>
          <w:sz w:val="24"/>
          <w:highlight w:val="none"/>
        </w:rPr>
        <w:t>第一章</w:t>
      </w:r>
      <w:r>
        <w:rPr>
          <w:rStyle w:val="47"/>
          <w:rFonts w:ascii="宋体" w:hAnsi="宋体"/>
          <w:color w:val="auto"/>
          <w:sz w:val="24"/>
          <w:highlight w:val="none"/>
        </w:rPr>
        <w:t xml:space="preserve">  </w:t>
      </w:r>
      <w:r>
        <w:rPr>
          <w:rStyle w:val="47"/>
          <w:rFonts w:hint="eastAsia" w:ascii="宋体" w:hAnsi="宋体"/>
          <w:color w:val="auto"/>
          <w:sz w:val="24"/>
          <w:highlight w:val="none"/>
        </w:rPr>
        <w:t>竞争性磋商公告</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_Toc53267581 \h </w:instrText>
      </w:r>
      <w:r>
        <w:rPr>
          <w:rFonts w:ascii="宋体" w:hAnsi="宋体"/>
          <w:sz w:val="24"/>
          <w:highlight w:val="none"/>
        </w:rPr>
        <w:fldChar w:fldCharType="separate"/>
      </w:r>
      <w:r>
        <w:rPr>
          <w:rFonts w:ascii="宋体" w:hAnsi="宋体"/>
          <w:sz w:val="24"/>
          <w:highlight w:val="none"/>
        </w:rPr>
        <w:t>1</w:t>
      </w:r>
      <w:r>
        <w:rPr>
          <w:rFonts w:ascii="宋体" w:hAnsi="宋体"/>
          <w:sz w:val="24"/>
          <w:highlight w:val="none"/>
        </w:rPr>
        <w:fldChar w:fldCharType="end"/>
      </w:r>
      <w:r>
        <w:rPr>
          <w:rFonts w:ascii="宋体" w:hAnsi="宋体"/>
          <w:sz w:val="24"/>
          <w:highlight w:val="none"/>
        </w:rPr>
        <w:fldChar w:fldCharType="end"/>
      </w:r>
    </w:p>
    <w:p>
      <w:pPr>
        <w:pStyle w:val="28"/>
        <w:tabs>
          <w:tab w:val="right" w:leader="dot" w:pos="8949"/>
        </w:tabs>
        <w:spacing w:line="480" w:lineRule="auto"/>
        <w:rPr>
          <w:rFonts w:ascii="宋体" w:hAnsi="宋体" w:cstheme="minorBidi"/>
          <w:sz w:val="24"/>
          <w:highlight w:val="none"/>
        </w:rPr>
      </w:pPr>
      <w:r>
        <w:rPr>
          <w:highlight w:val="none"/>
        </w:rPr>
        <w:fldChar w:fldCharType="begin"/>
      </w:r>
      <w:r>
        <w:rPr>
          <w:highlight w:val="none"/>
        </w:rPr>
        <w:instrText xml:space="preserve"> HYPERLINK \l "_Toc53267582" </w:instrText>
      </w:r>
      <w:r>
        <w:rPr>
          <w:highlight w:val="none"/>
        </w:rPr>
        <w:fldChar w:fldCharType="separate"/>
      </w:r>
      <w:r>
        <w:rPr>
          <w:rStyle w:val="47"/>
          <w:rFonts w:hint="eastAsia" w:ascii="宋体" w:hAnsi="宋体"/>
          <w:color w:val="auto"/>
          <w:sz w:val="24"/>
          <w:highlight w:val="none"/>
        </w:rPr>
        <w:t>第二章</w:t>
      </w:r>
      <w:r>
        <w:rPr>
          <w:rStyle w:val="47"/>
          <w:rFonts w:ascii="宋体" w:hAnsi="宋体"/>
          <w:color w:val="auto"/>
          <w:sz w:val="24"/>
          <w:highlight w:val="none"/>
        </w:rPr>
        <w:t xml:space="preserve">  </w:t>
      </w:r>
      <w:r>
        <w:rPr>
          <w:rStyle w:val="47"/>
          <w:rFonts w:hint="eastAsia" w:ascii="宋体" w:hAnsi="宋体"/>
          <w:color w:val="auto"/>
          <w:sz w:val="24"/>
          <w:highlight w:val="none"/>
        </w:rPr>
        <w:t>磋商须知</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_Toc53267582 \h </w:instrText>
      </w:r>
      <w:r>
        <w:rPr>
          <w:rFonts w:ascii="宋体" w:hAnsi="宋体"/>
          <w:sz w:val="24"/>
          <w:highlight w:val="none"/>
        </w:rPr>
        <w:fldChar w:fldCharType="separate"/>
      </w:r>
      <w:r>
        <w:rPr>
          <w:rFonts w:ascii="宋体" w:hAnsi="宋体"/>
          <w:sz w:val="24"/>
          <w:highlight w:val="none"/>
        </w:rPr>
        <w:t>3</w:t>
      </w:r>
      <w:r>
        <w:rPr>
          <w:rFonts w:ascii="宋体" w:hAnsi="宋体"/>
          <w:sz w:val="24"/>
          <w:highlight w:val="none"/>
        </w:rPr>
        <w:fldChar w:fldCharType="end"/>
      </w:r>
      <w:r>
        <w:rPr>
          <w:rFonts w:ascii="宋体" w:hAnsi="宋体"/>
          <w:sz w:val="24"/>
          <w:highlight w:val="none"/>
        </w:rPr>
        <w:fldChar w:fldCharType="end"/>
      </w:r>
    </w:p>
    <w:p>
      <w:pPr>
        <w:pStyle w:val="28"/>
        <w:tabs>
          <w:tab w:val="right" w:leader="dot" w:pos="8949"/>
        </w:tabs>
        <w:spacing w:line="480" w:lineRule="auto"/>
        <w:rPr>
          <w:rFonts w:ascii="宋体" w:hAnsi="宋体" w:cstheme="minorBidi"/>
          <w:sz w:val="24"/>
          <w:highlight w:val="none"/>
        </w:rPr>
      </w:pPr>
      <w:r>
        <w:rPr>
          <w:highlight w:val="none"/>
        </w:rPr>
        <w:fldChar w:fldCharType="begin"/>
      </w:r>
      <w:r>
        <w:rPr>
          <w:highlight w:val="none"/>
        </w:rPr>
        <w:instrText xml:space="preserve"> HYPERLINK \l "_Toc53267583" </w:instrText>
      </w:r>
      <w:r>
        <w:rPr>
          <w:highlight w:val="none"/>
        </w:rPr>
        <w:fldChar w:fldCharType="separate"/>
      </w:r>
      <w:r>
        <w:rPr>
          <w:rStyle w:val="47"/>
          <w:rFonts w:hint="eastAsia" w:ascii="宋体" w:hAnsi="宋体"/>
          <w:color w:val="auto"/>
          <w:sz w:val="24"/>
          <w:highlight w:val="none"/>
        </w:rPr>
        <w:t>第三章</w:t>
      </w:r>
      <w:r>
        <w:rPr>
          <w:rStyle w:val="47"/>
          <w:rFonts w:ascii="宋体" w:hAnsi="宋体"/>
          <w:color w:val="auto"/>
          <w:sz w:val="24"/>
          <w:highlight w:val="none"/>
        </w:rPr>
        <w:t xml:space="preserve">  </w:t>
      </w:r>
      <w:r>
        <w:rPr>
          <w:rStyle w:val="47"/>
          <w:rFonts w:hint="eastAsia" w:ascii="宋体" w:hAnsi="宋体"/>
          <w:color w:val="auto"/>
          <w:sz w:val="24"/>
          <w:highlight w:val="none"/>
        </w:rPr>
        <w:t>供应商资格条件要求</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_Toc53267583 \h </w:instrText>
      </w:r>
      <w:r>
        <w:rPr>
          <w:rFonts w:ascii="宋体" w:hAnsi="宋体"/>
          <w:sz w:val="24"/>
          <w:highlight w:val="none"/>
        </w:rPr>
        <w:fldChar w:fldCharType="separate"/>
      </w:r>
      <w:r>
        <w:rPr>
          <w:rFonts w:ascii="宋体" w:hAnsi="宋体"/>
          <w:sz w:val="24"/>
          <w:highlight w:val="none"/>
        </w:rPr>
        <w:t>18</w:t>
      </w:r>
      <w:r>
        <w:rPr>
          <w:rFonts w:ascii="宋体" w:hAnsi="宋体"/>
          <w:sz w:val="24"/>
          <w:highlight w:val="none"/>
        </w:rPr>
        <w:fldChar w:fldCharType="end"/>
      </w:r>
      <w:r>
        <w:rPr>
          <w:rFonts w:ascii="宋体" w:hAnsi="宋体"/>
          <w:sz w:val="24"/>
          <w:highlight w:val="none"/>
        </w:rPr>
        <w:fldChar w:fldCharType="end"/>
      </w:r>
    </w:p>
    <w:p>
      <w:pPr>
        <w:pStyle w:val="28"/>
        <w:tabs>
          <w:tab w:val="right" w:leader="dot" w:pos="8949"/>
        </w:tabs>
        <w:spacing w:line="480" w:lineRule="auto"/>
        <w:rPr>
          <w:rFonts w:ascii="宋体" w:hAnsi="宋体" w:cstheme="minorBidi"/>
          <w:sz w:val="24"/>
          <w:highlight w:val="none"/>
        </w:rPr>
      </w:pPr>
      <w:r>
        <w:rPr>
          <w:highlight w:val="none"/>
        </w:rPr>
        <w:fldChar w:fldCharType="begin"/>
      </w:r>
      <w:r>
        <w:rPr>
          <w:highlight w:val="none"/>
        </w:rPr>
        <w:instrText xml:space="preserve"> HYPERLINK \l "_Toc53267584" </w:instrText>
      </w:r>
      <w:r>
        <w:rPr>
          <w:highlight w:val="none"/>
        </w:rPr>
        <w:fldChar w:fldCharType="separate"/>
      </w:r>
      <w:r>
        <w:rPr>
          <w:rStyle w:val="47"/>
          <w:rFonts w:hint="eastAsia" w:ascii="宋体" w:hAnsi="宋体"/>
          <w:color w:val="auto"/>
          <w:sz w:val="24"/>
          <w:highlight w:val="none"/>
        </w:rPr>
        <w:t>第四章</w:t>
      </w:r>
      <w:r>
        <w:rPr>
          <w:rStyle w:val="47"/>
          <w:rFonts w:ascii="宋体" w:hAnsi="宋体"/>
          <w:color w:val="auto"/>
          <w:sz w:val="24"/>
          <w:highlight w:val="none"/>
        </w:rPr>
        <w:t xml:space="preserve">  </w:t>
      </w:r>
      <w:r>
        <w:rPr>
          <w:rStyle w:val="47"/>
          <w:rFonts w:hint="eastAsia" w:ascii="宋体" w:hAnsi="宋体"/>
          <w:color w:val="auto"/>
          <w:sz w:val="24"/>
          <w:highlight w:val="none"/>
        </w:rPr>
        <w:t>供应商资格证明材料</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_Toc53267584 \h </w:instrText>
      </w:r>
      <w:r>
        <w:rPr>
          <w:rFonts w:ascii="宋体" w:hAnsi="宋体"/>
          <w:sz w:val="24"/>
          <w:highlight w:val="none"/>
        </w:rPr>
        <w:fldChar w:fldCharType="separate"/>
      </w:r>
      <w:r>
        <w:rPr>
          <w:rFonts w:ascii="宋体" w:hAnsi="宋体"/>
          <w:sz w:val="24"/>
          <w:highlight w:val="none"/>
        </w:rPr>
        <w:t>19</w:t>
      </w:r>
      <w:r>
        <w:rPr>
          <w:rFonts w:ascii="宋体" w:hAnsi="宋体"/>
          <w:sz w:val="24"/>
          <w:highlight w:val="none"/>
        </w:rPr>
        <w:fldChar w:fldCharType="end"/>
      </w:r>
      <w:r>
        <w:rPr>
          <w:rFonts w:ascii="宋体" w:hAnsi="宋体"/>
          <w:sz w:val="24"/>
          <w:highlight w:val="none"/>
        </w:rPr>
        <w:fldChar w:fldCharType="end"/>
      </w:r>
    </w:p>
    <w:p>
      <w:pPr>
        <w:pStyle w:val="28"/>
        <w:tabs>
          <w:tab w:val="right" w:leader="dot" w:pos="8949"/>
        </w:tabs>
        <w:spacing w:line="480" w:lineRule="auto"/>
        <w:rPr>
          <w:rFonts w:ascii="宋体" w:hAnsi="宋体" w:cstheme="minorBidi"/>
          <w:sz w:val="24"/>
          <w:highlight w:val="none"/>
        </w:rPr>
      </w:pPr>
      <w:r>
        <w:rPr>
          <w:highlight w:val="none"/>
        </w:rPr>
        <w:fldChar w:fldCharType="begin"/>
      </w:r>
      <w:r>
        <w:rPr>
          <w:highlight w:val="none"/>
        </w:rPr>
        <w:instrText xml:space="preserve"> HYPERLINK \l "_Toc53267585" </w:instrText>
      </w:r>
      <w:r>
        <w:rPr>
          <w:highlight w:val="none"/>
        </w:rPr>
        <w:fldChar w:fldCharType="separate"/>
      </w:r>
      <w:r>
        <w:rPr>
          <w:rStyle w:val="47"/>
          <w:rFonts w:hint="eastAsia" w:ascii="宋体" w:hAnsi="宋体"/>
          <w:color w:val="auto"/>
          <w:sz w:val="24"/>
          <w:highlight w:val="none"/>
        </w:rPr>
        <w:t>第五章</w:t>
      </w:r>
      <w:r>
        <w:rPr>
          <w:rStyle w:val="47"/>
          <w:rFonts w:ascii="宋体" w:hAnsi="宋体"/>
          <w:color w:val="auto"/>
          <w:sz w:val="24"/>
          <w:highlight w:val="none"/>
        </w:rPr>
        <w:t xml:space="preserve">  </w:t>
      </w:r>
      <w:r>
        <w:rPr>
          <w:rStyle w:val="47"/>
          <w:rFonts w:hint="eastAsia" w:ascii="宋体" w:hAnsi="宋体"/>
          <w:color w:val="auto"/>
          <w:sz w:val="24"/>
          <w:highlight w:val="none"/>
        </w:rPr>
        <w:t>采购项目技术、服务、政府采购合同内容条款及其他商务要求</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_Toc53267585 \h </w:instrText>
      </w:r>
      <w:r>
        <w:rPr>
          <w:rFonts w:ascii="宋体" w:hAnsi="宋体"/>
          <w:sz w:val="24"/>
          <w:highlight w:val="none"/>
        </w:rPr>
        <w:fldChar w:fldCharType="separate"/>
      </w:r>
      <w:r>
        <w:rPr>
          <w:rFonts w:ascii="宋体" w:hAnsi="宋体"/>
          <w:sz w:val="24"/>
          <w:highlight w:val="none"/>
        </w:rPr>
        <w:t>21</w:t>
      </w:r>
      <w:r>
        <w:rPr>
          <w:rFonts w:ascii="宋体" w:hAnsi="宋体"/>
          <w:sz w:val="24"/>
          <w:highlight w:val="none"/>
        </w:rPr>
        <w:fldChar w:fldCharType="end"/>
      </w:r>
      <w:r>
        <w:rPr>
          <w:rFonts w:ascii="宋体" w:hAnsi="宋体"/>
          <w:sz w:val="24"/>
          <w:highlight w:val="none"/>
        </w:rPr>
        <w:fldChar w:fldCharType="end"/>
      </w:r>
    </w:p>
    <w:p>
      <w:pPr>
        <w:pStyle w:val="28"/>
        <w:tabs>
          <w:tab w:val="right" w:leader="dot" w:pos="8949"/>
        </w:tabs>
        <w:spacing w:line="480" w:lineRule="auto"/>
        <w:rPr>
          <w:rFonts w:ascii="宋体" w:hAnsi="宋体" w:cstheme="minorBidi"/>
          <w:sz w:val="24"/>
          <w:highlight w:val="none"/>
        </w:rPr>
      </w:pPr>
      <w:r>
        <w:rPr>
          <w:highlight w:val="none"/>
        </w:rPr>
        <w:fldChar w:fldCharType="begin"/>
      </w:r>
      <w:r>
        <w:rPr>
          <w:highlight w:val="none"/>
        </w:rPr>
        <w:instrText xml:space="preserve"> HYPERLINK \l "_Toc53267586" </w:instrText>
      </w:r>
      <w:r>
        <w:rPr>
          <w:highlight w:val="none"/>
        </w:rPr>
        <w:fldChar w:fldCharType="separate"/>
      </w:r>
      <w:r>
        <w:rPr>
          <w:rStyle w:val="47"/>
          <w:rFonts w:hint="eastAsia" w:ascii="宋体" w:hAnsi="宋体"/>
          <w:color w:val="auto"/>
          <w:sz w:val="24"/>
          <w:highlight w:val="none"/>
        </w:rPr>
        <w:t>第六章</w:t>
      </w:r>
      <w:r>
        <w:rPr>
          <w:rStyle w:val="47"/>
          <w:rFonts w:ascii="宋体" w:hAnsi="宋体"/>
          <w:color w:val="auto"/>
          <w:sz w:val="24"/>
          <w:highlight w:val="none"/>
        </w:rPr>
        <w:t xml:space="preserve">  </w:t>
      </w:r>
      <w:r>
        <w:rPr>
          <w:rStyle w:val="47"/>
          <w:rFonts w:hint="eastAsia" w:ascii="宋体" w:hAnsi="宋体"/>
          <w:color w:val="auto"/>
          <w:sz w:val="24"/>
          <w:highlight w:val="none"/>
        </w:rPr>
        <w:t>采购项目实质性要求</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_Toc53267586 \h </w:instrText>
      </w:r>
      <w:r>
        <w:rPr>
          <w:rFonts w:ascii="宋体" w:hAnsi="宋体"/>
          <w:sz w:val="24"/>
          <w:highlight w:val="none"/>
        </w:rPr>
        <w:fldChar w:fldCharType="separate"/>
      </w:r>
      <w:r>
        <w:rPr>
          <w:rFonts w:ascii="宋体" w:hAnsi="宋体"/>
          <w:sz w:val="24"/>
          <w:highlight w:val="none"/>
        </w:rPr>
        <w:t>27</w:t>
      </w:r>
      <w:r>
        <w:rPr>
          <w:rFonts w:ascii="宋体" w:hAnsi="宋体"/>
          <w:sz w:val="24"/>
          <w:highlight w:val="none"/>
        </w:rPr>
        <w:fldChar w:fldCharType="end"/>
      </w:r>
      <w:r>
        <w:rPr>
          <w:rFonts w:ascii="宋体" w:hAnsi="宋体"/>
          <w:sz w:val="24"/>
          <w:highlight w:val="none"/>
        </w:rPr>
        <w:fldChar w:fldCharType="end"/>
      </w:r>
    </w:p>
    <w:p>
      <w:pPr>
        <w:pStyle w:val="28"/>
        <w:tabs>
          <w:tab w:val="right" w:leader="dot" w:pos="8949"/>
        </w:tabs>
        <w:spacing w:line="480" w:lineRule="auto"/>
        <w:rPr>
          <w:rFonts w:ascii="宋体" w:hAnsi="宋体" w:cstheme="minorBidi"/>
          <w:sz w:val="24"/>
          <w:highlight w:val="none"/>
        </w:rPr>
      </w:pPr>
      <w:r>
        <w:rPr>
          <w:highlight w:val="none"/>
        </w:rPr>
        <w:fldChar w:fldCharType="begin"/>
      </w:r>
      <w:r>
        <w:rPr>
          <w:highlight w:val="none"/>
        </w:rPr>
        <w:instrText xml:space="preserve"> HYPERLINK \l "_Toc53267587" </w:instrText>
      </w:r>
      <w:r>
        <w:rPr>
          <w:highlight w:val="none"/>
        </w:rPr>
        <w:fldChar w:fldCharType="separate"/>
      </w:r>
      <w:r>
        <w:rPr>
          <w:rStyle w:val="47"/>
          <w:rFonts w:hint="eastAsia" w:ascii="宋体" w:hAnsi="宋体"/>
          <w:color w:val="auto"/>
          <w:sz w:val="24"/>
          <w:highlight w:val="none"/>
        </w:rPr>
        <w:t>第七章</w:t>
      </w:r>
      <w:r>
        <w:rPr>
          <w:rStyle w:val="47"/>
          <w:rFonts w:ascii="宋体" w:hAnsi="宋体"/>
          <w:color w:val="auto"/>
          <w:sz w:val="24"/>
          <w:highlight w:val="none"/>
        </w:rPr>
        <w:t xml:space="preserve">  </w:t>
      </w:r>
      <w:r>
        <w:rPr>
          <w:rStyle w:val="47"/>
          <w:rFonts w:hint="eastAsia" w:ascii="宋体" w:hAnsi="宋体"/>
          <w:color w:val="auto"/>
          <w:sz w:val="24"/>
          <w:highlight w:val="none"/>
        </w:rPr>
        <w:t>磋商内容、磋商过程中可实质性变动的内容</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_Toc53267587 \h </w:instrText>
      </w:r>
      <w:r>
        <w:rPr>
          <w:rFonts w:ascii="宋体" w:hAnsi="宋体"/>
          <w:sz w:val="24"/>
          <w:highlight w:val="none"/>
        </w:rPr>
        <w:fldChar w:fldCharType="separate"/>
      </w:r>
      <w:r>
        <w:rPr>
          <w:rFonts w:ascii="宋体" w:hAnsi="宋体"/>
          <w:sz w:val="24"/>
          <w:highlight w:val="none"/>
        </w:rPr>
        <w:t>28</w:t>
      </w:r>
      <w:r>
        <w:rPr>
          <w:rFonts w:ascii="宋体" w:hAnsi="宋体"/>
          <w:sz w:val="24"/>
          <w:highlight w:val="none"/>
        </w:rPr>
        <w:fldChar w:fldCharType="end"/>
      </w:r>
      <w:r>
        <w:rPr>
          <w:rFonts w:ascii="宋体" w:hAnsi="宋体"/>
          <w:sz w:val="24"/>
          <w:highlight w:val="none"/>
        </w:rPr>
        <w:fldChar w:fldCharType="end"/>
      </w:r>
    </w:p>
    <w:p>
      <w:pPr>
        <w:pStyle w:val="28"/>
        <w:tabs>
          <w:tab w:val="right" w:leader="dot" w:pos="8949"/>
        </w:tabs>
        <w:spacing w:line="480" w:lineRule="auto"/>
        <w:rPr>
          <w:rFonts w:ascii="宋体" w:hAnsi="宋体" w:cstheme="minorBidi"/>
          <w:sz w:val="24"/>
          <w:highlight w:val="none"/>
        </w:rPr>
      </w:pPr>
      <w:r>
        <w:rPr>
          <w:highlight w:val="none"/>
        </w:rPr>
        <w:fldChar w:fldCharType="begin"/>
      </w:r>
      <w:r>
        <w:rPr>
          <w:highlight w:val="none"/>
        </w:rPr>
        <w:instrText xml:space="preserve"> HYPERLINK \l "_Toc53267588" </w:instrText>
      </w:r>
      <w:r>
        <w:rPr>
          <w:highlight w:val="none"/>
        </w:rPr>
        <w:fldChar w:fldCharType="separate"/>
      </w:r>
      <w:r>
        <w:rPr>
          <w:rStyle w:val="47"/>
          <w:rFonts w:hint="eastAsia" w:ascii="宋体" w:hAnsi="宋体"/>
          <w:color w:val="auto"/>
          <w:sz w:val="24"/>
          <w:highlight w:val="none"/>
        </w:rPr>
        <w:t>第八章</w:t>
      </w:r>
      <w:r>
        <w:rPr>
          <w:rStyle w:val="47"/>
          <w:rFonts w:ascii="宋体" w:hAnsi="宋体"/>
          <w:color w:val="auto"/>
          <w:sz w:val="24"/>
          <w:highlight w:val="none"/>
        </w:rPr>
        <w:t xml:space="preserve">  </w:t>
      </w:r>
      <w:r>
        <w:rPr>
          <w:rStyle w:val="47"/>
          <w:rFonts w:hint="eastAsia" w:ascii="宋体" w:hAnsi="宋体"/>
          <w:color w:val="auto"/>
          <w:sz w:val="24"/>
          <w:highlight w:val="none"/>
        </w:rPr>
        <w:t>响应文件格式</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_Toc53267588 \h </w:instrText>
      </w:r>
      <w:r>
        <w:rPr>
          <w:rFonts w:ascii="宋体" w:hAnsi="宋体"/>
          <w:sz w:val="24"/>
          <w:highlight w:val="none"/>
        </w:rPr>
        <w:fldChar w:fldCharType="separate"/>
      </w:r>
      <w:r>
        <w:rPr>
          <w:rFonts w:ascii="宋体" w:hAnsi="宋体"/>
          <w:sz w:val="24"/>
          <w:highlight w:val="none"/>
        </w:rPr>
        <w:t>29</w:t>
      </w:r>
      <w:r>
        <w:rPr>
          <w:rFonts w:ascii="宋体" w:hAnsi="宋体"/>
          <w:sz w:val="24"/>
          <w:highlight w:val="none"/>
        </w:rPr>
        <w:fldChar w:fldCharType="end"/>
      </w:r>
      <w:r>
        <w:rPr>
          <w:rFonts w:ascii="宋体" w:hAnsi="宋体"/>
          <w:sz w:val="24"/>
          <w:highlight w:val="none"/>
        </w:rPr>
        <w:fldChar w:fldCharType="end"/>
      </w:r>
    </w:p>
    <w:p>
      <w:pPr>
        <w:pStyle w:val="28"/>
        <w:tabs>
          <w:tab w:val="right" w:leader="dot" w:pos="8949"/>
        </w:tabs>
        <w:spacing w:line="480" w:lineRule="auto"/>
        <w:rPr>
          <w:rFonts w:ascii="宋体" w:hAnsi="宋体" w:cstheme="minorBidi"/>
          <w:sz w:val="24"/>
          <w:highlight w:val="none"/>
        </w:rPr>
      </w:pPr>
      <w:r>
        <w:rPr>
          <w:highlight w:val="none"/>
        </w:rPr>
        <w:fldChar w:fldCharType="begin"/>
      </w:r>
      <w:r>
        <w:rPr>
          <w:highlight w:val="none"/>
        </w:rPr>
        <w:instrText xml:space="preserve"> HYPERLINK \l "_Toc53267589" </w:instrText>
      </w:r>
      <w:r>
        <w:rPr>
          <w:highlight w:val="none"/>
        </w:rPr>
        <w:fldChar w:fldCharType="separate"/>
      </w:r>
      <w:r>
        <w:rPr>
          <w:rStyle w:val="47"/>
          <w:rFonts w:hint="eastAsia" w:ascii="宋体" w:hAnsi="宋体"/>
          <w:color w:val="auto"/>
          <w:sz w:val="24"/>
          <w:highlight w:val="none"/>
        </w:rPr>
        <w:t>第九章</w:t>
      </w:r>
      <w:r>
        <w:rPr>
          <w:rStyle w:val="47"/>
          <w:rFonts w:ascii="宋体" w:hAnsi="宋体"/>
          <w:color w:val="auto"/>
          <w:sz w:val="24"/>
          <w:highlight w:val="none"/>
        </w:rPr>
        <w:t xml:space="preserve">  </w:t>
      </w:r>
      <w:r>
        <w:rPr>
          <w:rStyle w:val="47"/>
          <w:rFonts w:hint="eastAsia" w:ascii="宋体" w:hAnsi="宋体"/>
          <w:color w:val="auto"/>
          <w:sz w:val="24"/>
          <w:highlight w:val="none"/>
        </w:rPr>
        <w:t>评审方法</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_Toc53267589 \h </w:instrText>
      </w:r>
      <w:r>
        <w:rPr>
          <w:rFonts w:ascii="宋体" w:hAnsi="宋体"/>
          <w:sz w:val="24"/>
          <w:highlight w:val="none"/>
        </w:rPr>
        <w:fldChar w:fldCharType="separate"/>
      </w:r>
      <w:r>
        <w:rPr>
          <w:rFonts w:ascii="宋体" w:hAnsi="宋体"/>
          <w:sz w:val="24"/>
          <w:highlight w:val="none"/>
        </w:rPr>
        <w:t>53</w:t>
      </w:r>
      <w:r>
        <w:rPr>
          <w:rFonts w:ascii="宋体" w:hAnsi="宋体"/>
          <w:sz w:val="24"/>
          <w:highlight w:val="none"/>
        </w:rPr>
        <w:fldChar w:fldCharType="end"/>
      </w:r>
      <w:r>
        <w:rPr>
          <w:rFonts w:ascii="宋体" w:hAnsi="宋体"/>
          <w:sz w:val="24"/>
          <w:highlight w:val="none"/>
        </w:rPr>
        <w:fldChar w:fldCharType="end"/>
      </w:r>
    </w:p>
    <w:p>
      <w:pPr>
        <w:pStyle w:val="28"/>
        <w:tabs>
          <w:tab w:val="right" w:leader="dot" w:pos="8949"/>
        </w:tabs>
        <w:spacing w:line="480" w:lineRule="auto"/>
        <w:rPr>
          <w:rFonts w:ascii="宋体" w:hAnsi="宋体" w:cstheme="minorBidi"/>
          <w:sz w:val="24"/>
          <w:highlight w:val="none"/>
        </w:rPr>
      </w:pPr>
      <w:r>
        <w:rPr>
          <w:highlight w:val="none"/>
        </w:rPr>
        <w:fldChar w:fldCharType="begin"/>
      </w:r>
      <w:r>
        <w:rPr>
          <w:highlight w:val="none"/>
        </w:rPr>
        <w:instrText xml:space="preserve"> HYPERLINK \l "_Toc53267590" </w:instrText>
      </w:r>
      <w:r>
        <w:rPr>
          <w:highlight w:val="none"/>
        </w:rPr>
        <w:fldChar w:fldCharType="separate"/>
      </w:r>
      <w:r>
        <w:rPr>
          <w:rStyle w:val="47"/>
          <w:rFonts w:hint="eastAsia" w:ascii="宋体" w:hAnsi="宋体" w:cs="宋体"/>
          <w:color w:val="auto"/>
          <w:sz w:val="24"/>
          <w:highlight w:val="none"/>
        </w:rPr>
        <w:t>第十章</w:t>
      </w:r>
      <w:r>
        <w:rPr>
          <w:rStyle w:val="47"/>
          <w:rFonts w:ascii="宋体" w:hAnsi="宋体" w:cs="宋体"/>
          <w:color w:val="auto"/>
          <w:sz w:val="24"/>
          <w:highlight w:val="none"/>
        </w:rPr>
        <w:t xml:space="preserve">  </w:t>
      </w:r>
      <w:r>
        <w:rPr>
          <w:rStyle w:val="47"/>
          <w:rFonts w:hint="eastAsia" w:ascii="宋体" w:hAnsi="宋体" w:cs="宋体"/>
          <w:color w:val="auto"/>
          <w:sz w:val="24"/>
          <w:highlight w:val="none"/>
        </w:rPr>
        <w:t>政府采购合同（草案）</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_Toc53267590 \h </w:instrText>
      </w:r>
      <w:r>
        <w:rPr>
          <w:rFonts w:ascii="宋体" w:hAnsi="宋体"/>
          <w:sz w:val="24"/>
          <w:highlight w:val="none"/>
        </w:rPr>
        <w:fldChar w:fldCharType="separate"/>
      </w:r>
      <w:r>
        <w:rPr>
          <w:rFonts w:ascii="宋体" w:hAnsi="宋体"/>
          <w:sz w:val="24"/>
          <w:highlight w:val="none"/>
        </w:rPr>
        <w:t>61</w:t>
      </w:r>
      <w:r>
        <w:rPr>
          <w:rFonts w:ascii="宋体" w:hAnsi="宋体"/>
          <w:sz w:val="24"/>
          <w:highlight w:val="none"/>
        </w:rPr>
        <w:fldChar w:fldCharType="end"/>
      </w:r>
      <w:r>
        <w:rPr>
          <w:rFonts w:ascii="宋体" w:hAnsi="宋体"/>
          <w:sz w:val="24"/>
          <w:highlight w:val="none"/>
        </w:rPr>
        <w:fldChar w:fldCharType="end"/>
      </w:r>
    </w:p>
    <w:p>
      <w:pPr>
        <w:spacing w:line="640" w:lineRule="exact"/>
        <w:rPr>
          <w:rFonts w:ascii="宋体" w:hAnsi="宋体"/>
          <w:sz w:val="24"/>
          <w:highlight w:val="none"/>
        </w:rPr>
        <w:sectPr>
          <w:footerReference r:id="rId10" w:type="first"/>
          <w:footerReference r:id="rId9" w:type="default"/>
          <w:pgSz w:w="11907" w:h="16840"/>
          <w:pgMar w:top="1440" w:right="1474" w:bottom="1440" w:left="1474" w:header="851" w:footer="992" w:gutter="0"/>
          <w:pgNumType w:start="1"/>
          <w:cols w:space="720" w:num="1"/>
          <w:titlePg/>
          <w:docGrid w:linePitch="312" w:charSpace="0"/>
        </w:sectPr>
      </w:pPr>
      <w:r>
        <w:rPr>
          <w:rFonts w:hint="eastAsia" w:ascii="宋体" w:hAnsi="宋体" w:cs="宋体"/>
          <w:sz w:val="24"/>
          <w:highlight w:val="none"/>
        </w:rPr>
        <w:fldChar w:fldCharType="end"/>
      </w:r>
      <w:bookmarkStart w:id="2" w:name="_Toc24584"/>
    </w:p>
    <w:p>
      <w:pPr>
        <w:pStyle w:val="3"/>
        <w:spacing w:line="240" w:lineRule="atLeast"/>
        <w:jc w:val="center"/>
        <w:rPr>
          <w:rFonts w:ascii="宋体" w:hAnsi="宋体"/>
          <w:sz w:val="36"/>
          <w:szCs w:val="36"/>
          <w:highlight w:val="none"/>
        </w:rPr>
      </w:pPr>
      <w:bookmarkStart w:id="3" w:name="_Toc53267581"/>
      <w:r>
        <w:rPr>
          <w:rFonts w:hint="eastAsia" w:ascii="宋体" w:hAnsi="宋体"/>
          <w:sz w:val="36"/>
          <w:szCs w:val="36"/>
          <w:highlight w:val="none"/>
        </w:rPr>
        <w:t xml:space="preserve">第一章  </w:t>
      </w:r>
      <w:bookmarkEnd w:id="2"/>
      <w:r>
        <w:rPr>
          <w:rFonts w:hint="eastAsia" w:ascii="宋体" w:hAnsi="宋体"/>
          <w:sz w:val="36"/>
          <w:szCs w:val="36"/>
          <w:highlight w:val="none"/>
        </w:rPr>
        <w:t>竞争性磋商公告</w:t>
      </w:r>
      <w:bookmarkEnd w:id="3"/>
    </w:p>
    <w:p>
      <w:pPr>
        <w:rPr>
          <w:b/>
          <w:sz w:val="24"/>
          <w:highlight w:val="none"/>
        </w:rPr>
      </w:pPr>
      <w:bookmarkStart w:id="4" w:name="_Toc28359079"/>
      <w:bookmarkStart w:id="5" w:name="_Toc35393790"/>
      <w:bookmarkStart w:id="6" w:name="_Toc35393621"/>
      <w:bookmarkStart w:id="7" w:name="_Toc28359002"/>
      <w:bookmarkStart w:id="8" w:name="_Hlk24379207"/>
      <w:r>
        <w:rPr>
          <w:rFonts w:hint="eastAsia"/>
          <w:b/>
          <w:sz w:val="24"/>
          <w:highlight w:val="none"/>
        </w:rPr>
        <w:t>项目概况</w:t>
      </w:r>
    </w:p>
    <w:p>
      <w:pPr>
        <w:spacing w:line="400" w:lineRule="exact"/>
        <w:ind w:firstLine="480" w:firstLineChars="200"/>
        <w:rPr>
          <w:rFonts w:ascii="宋体" w:hAnsi="宋体"/>
          <w:b/>
          <w:sz w:val="24"/>
          <w:highlight w:val="none"/>
        </w:rPr>
      </w:pPr>
      <w:r>
        <w:rPr>
          <w:rFonts w:hint="eastAsia" w:ascii="宋体" w:hAnsi="宋体"/>
          <w:sz w:val="24"/>
          <w:highlight w:val="none"/>
          <w:u w:val="single"/>
          <w:lang w:eastAsia="zh-CN"/>
        </w:rPr>
        <w:t>都江堰市人民医院检验科外送检测服务项目</w:t>
      </w:r>
      <w:r>
        <w:rPr>
          <w:rFonts w:hint="eastAsia" w:ascii="宋体" w:hAnsi="宋体"/>
          <w:sz w:val="24"/>
          <w:highlight w:val="none"/>
        </w:rPr>
        <w:t>的潜在供应商应在</w:t>
      </w:r>
      <w:r>
        <w:rPr>
          <w:rFonts w:hint="eastAsia" w:ascii="宋体" w:hAnsi="宋体"/>
          <w:sz w:val="24"/>
          <w:highlight w:val="none"/>
          <w:u w:val="single"/>
          <w:lang w:eastAsia="zh-CN"/>
        </w:rPr>
        <w:t>成都市公共资源交易服务中心“政府采购云平台” （网址：https://www.zcygov.cn）</w:t>
      </w:r>
      <w:r>
        <w:rPr>
          <w:rFonts w:hint="eastAsia" w:ascii="宋体" w:hAnsi="宋体"/>
          <w:sz w:val="24"/>
          <w:highlight w:val="none"/>
          <w:u w:val="single"/>
        </w:rPr>
        <w:t xml:space="preserve"> </w:t>
      </w:r>
      <w:r>
        <w:rPr>
          <w:rFonts w:hint="eastAsia" w:ascii="宋体" w:hAnsi="宋体"/>
          <w:sz w:val="24"/>
          <w:highlight w:val="none"/>
        </w:rPr>
        <w:t>获取采购文件，并于</w:t>
      </w:r>
      <w:r>
        <w:rPr>
          <w:rFonts w:hint="eastAsia" w:ascii="宋体" w:hAnsi="宋体"/>
          <w:sz w:val="24"/>
          <w:highlight w:val="none"/>
          <w:u w:val="single"/>
        </w:rPr>
        <w:t>202</w:t>
      </w:r>
      <w:r>
        <w:rPr>
          <w:rFonts w:hint="eastAsia" w:ascii="宋体" w:hAnsi="宋体"/>
          <w:sz w:val="24"/>
          <w:highlight w:val="none"/>
          <w:u w:val="single"/>
          <w:lang w:val="en-US" w:eastAsia="zh-CN"/>
        </w:rPr>
        <w:t>2</w:t>
      </w:r>
      <w:r>
        <w:rPr>
          <w:rFonts w:hint="eastAsia" w:ascii="宋体" w:hAnsi="宋体"/>
          <w:bCs/>
          <w:sz w:val="24"/>
          <w:highlight w:val="none"/>
          <w:u w:val="single"/>
        </w:rPr>
        <w:t>年</w:t>
      </w:r>
      <w:r>
        <w:rPr>
          <w:rFonts w:hint="eastAsia" w:ascii="宋体" w:hAnsi="宋体"/>
          <w:bCs/>
          <w:sz w:val="24"/>
          <w:highlight w:val="none"/>
          <w:u w:val="single"/>
          <w:lang w:val="en-US" w:eastAsia="zh-CN"/>
        </w:rPr>
        <w:t>1</w:t>
      </w:r>
      <w:r>
        <w:rPr>
          <w:rFonts w:hint="eastAsia" w:ascii="宋体" w:hAnsi="宋体"/>
          <w:bCs/>
          <w:sz w:val="24"/>
          <w:highlight w:val="none"/>
          <w:u w:val="single"/>
        </w:rPr>
        <w:t>月</w:t>
      </w:r>
      <w:r>
        <w:rPr>
          <w:rFonts w:hint="eastAsia" w:ascii="宋体" w:hAnsi="宋体"/>
          <w:bCs/>
          <w:sz w:val="24"/>
          <w:highlight w:val="none"/>
          <w:u w:val="single"/>
          <w:lang w:val="en-US" w:eastAsia="zh-CN"/>
        </w:rPr>
        <w:t>6</w:t>
      </w:r>
      <w:r>
        <w:rPr>
          <w:rFonts w:hint="eastAsia" w:ascii="宋体" w:hAnsi="宋体"/>
          <w:bCs/>
          <w:sz w:val="24"/>
          <w:highlight w:val="none"/>
          <w:u w:val="single"/>
        </w:rPr>
        <w:t>日10点</w:t>
      </w:r>
      <w:r>
        <w:rPr>
          <w:rFonts w:hint="eastAsia" w:ascii="宋体" w:hAnsi="宋体"/>
          <w:bCs/>
          <w:sz w:val="24"/>
          <w:highlight w:val="none"/>
          <w:u w:val="single"/>
          <w:lang w:val="en-US" w:eastAsia="zh-CN"/>
        </w:rPr>
        <w:t>3</w:t>
      </w:r>
      <w:r>
        <w:rPr>
          <w:rFonts w:hint="eastAsia" w:ascii="宋体" w:hAnsi="宋体"/>
          <w:bCs/>
          <w:sz w:val="24"/>
          <w:highlight w:val="none"/>
          <w:u w:val="single"/>
        </w:rPr>
        <w:t>0分</w:t>
      </w:r>
      <w:r>
        <w:rPr>
          <w:rFonts w:hint="eastAsia" w:ascii="宋体" w:hAnsi="宋体"/>
          <w:bCs/>
          <w:sz w:val="24"/>
          <w:highlight w:val="none"/>
        </w:rPr>
        <w:t>（北京时间）前提交响应文件</w:t>
      </w:r>
      <w:r>
        <w:rPr>
          <w:rFonts w:hint="eastAsia" w:ascii="宋体" w:hAnsi="宋体"/>
          <w:sz w:val="24"/>
          <w:highlight w:val="none"/>
        </w:rPr>
        <w:t>。</w:t>
      </w:r>
    </w:p>
    <w:p>
      <w:pPr>
        <w:spacing w:line="400" w:lineRule="exact"/>
        <w:rPr>
          <w:rFonts w:ascii="宋体" w:hAnsi="宋体"/>
          <w:b/>
          <w:sz w:val="24"/>
          <w:highlight w:val="none"/>
        </w:rPr>
      </w:pPr>
      <w:r>
        <w:rPr>
          <w:rFonts w:hint="eastAsia" w:ascii="宋体" w:hAnsi="宋体"/>
          <w:b/>
          <w:sz w:val="24"/>
          <w:highlight w:val="none"/>
        </w:rPr>
        <w:t>一、项目基本情况</w:t>
      </w:r>
      <w:bookmarkEnd w:id="4"/>
      <w:bookmarkEnd w:id="5"/>
      <w:bookmarkEnd w:id="6"/>
      <w:bookmarkEnd w:id="7"/>
    </w:p>
    <w:p>
      <w:pPr>
        <w:spacing w:line="400" w:lineRule="exact"/>
        <w:ind w:firstLine="480" w:firstLineChars="200"/>
        <w:rPr>
          <w:rFonts w:hint="eastAsia" w:ascii="宋体" w:hAnsi="宋体" w:eastAsia="宋体"/>
          <w:sz w:val="24"/>
          <w:highlight w:val="none"/>
          <w:lang w:eastAsia="zh-CN"/>
        </w:rPr>
      </w:pPr>
      <w:r>
        <w:rPr>
          <w:rFonts w:hint="eastAsia" w:ascii="宋体" w:hAnsi="宋体"/>
          <w:sz w:val="24"/>
          <w:highlight w:val="none"/>
        </w:rPr>
        <w:t>项目编号：</w:t>
      </w:r>
      <w:r>
        <w:rPr>
          <w:rFonts w:hint="eastAsia" w:ascii="宋体" w:hAnsi="宋体"/>
          <w:sz w:val="24"/>
          <w:highlight w:val="none"/>
          <w:u w:val="single"/>
          <w:lang w:eastAsia="zh-CN"/>
        </w:rPr>
        <w:t>510181202100232</w:t>
      </w:r>
    </w:p>
    <w:p>
      <w:pPr>
        <w:spacing w:line="400" w:lineRule="exact"/>
        <w:ind w:firstLine="480" w:firstLineChars="200"/>
        <w:rPr>
          <w:rFonts w:hint="eastAsia" w:ascii="宋体" w:hAnsi="宋体" w:eastAsia="宋体"/>
          <w:bCs/>
          <w:sz w:val="24"/>
          <w:highlight w:val="none"/>
          <w:u w:val="single"/>
          <w:lang w:eastAsia="zh-CN"/>
        </w:rPr>
      </w:pPr>
      <w:r>
        <w:rPr>
          <w:rFonts w:hint="eastAsia" w:ascii="宋体" w:hAnsi="宋体"/>
          <w:sz w:val="24"/>
          <w:highlight w:val="none"/>
        </w:rPr>
        <w:t>项目名称：</w:t>
      </w:r>
      <w:r>
        <w:rPr>
          <w:rFonts w:hint="eastAsia" w:ascii="宋体" w:hAnsi="宋体"/>
          <w:sz w:val="24"/>
          <w:highlight w:val="none"/>
          <w:u w:val="single"/>
          <w:lang w:eastAsia="zh-CN"/>
        </w:rPr>
        <w:t>都江堰市人民医院检验科外送检测服务项目</w:t>
      </w:r>
    </w:p>
    <w:p>
      <w:pPr>
        <w:spacing w:line="400" w:lineRule="exact"/>
        <w:ind w:firstLine="480" w:firstLineChars="200"/>
        <w:rPr>
          <w:rFonts w:ascii="宋体" w:hAnsi="宋体"/>
          <w:sz w:val="24"/>
          <w:highlight w:val="none"/>
        </w:rPr>
      </w:pPr>
      <w:r>
        <w:rPr>
          <w:rFonts w:hint="eastAsia" w:ascii="宋体" w:hAnsi="宋体"/>
          <w:sz w:val="24"/>
          <w:highlight w:val="none"/>
        </w:rPr>
        <w:t>采购方式：</w:t>
      </w:r>
      <w:r>
        <w:rPr>
          <w:rFonts w:hint="eastAsia" w:ascii="宋体" w:hAnsi="宋体"/>
          <w:sz w:val="24"/>
          <w:highlight w:val="none"/>
          <w:u w:val="single"/>
        </w:rPr>
        <w:t>竞争性磋商</w:t>
      </w:r>
    </w:p>
    <w:bookmarkEnd w:id="8"/>
    <w:p>
      <w:pPr>
        <w:spacing w:line="400" w:lineRule="exact"/>
        <w:ind w:firstLine="480" w:firstLineChars="200"/>
        <w:rPr>
          <w:rFonts w:ascii="宋体" w:hAnsi="宋体"/>
          <w:sz w:val="24"/>
          <w:highlight w:val="none"/>
          <w:u w:val="single"/>
        </w:rPr>
      </w:pPr>
      <w:r>
        <w:rPr>
          <w:rFonts w:hint="eastAsia" w:ascii="宋体" w:hAnsi="宋体"/>
          <w:sz w:val="24"/>
          <w:highlight w:val="none"/>
        </w:rPr>
        <w:t>预算金额：</w:t>
      </w:r>
      <w:r>
        <w:rPr>
          <w:rFonts w:hint="eastAsia" w:ascii="宋体" w:hAnsi="宋体"/>
          <w:sz w:val="24"/>
          <w:highlight w:val="none"/>
          <w:u w:val="single"/>
          <w:lang w:val="en-US" w:eastAsia="zh-CN"/>
        </w:rPr>
        <w:t>1500000</w:t>
      </w:r>
      <w:r>
        <w:rPr>
          <w:rFonts w:hint="eastAsia" w:ascii="宋体" w:hAnsi="宋体"/>
          <w:sz w:val="24"/>
          <w:highlight w:val="none"/>
          <w:u w:val="single"/>
        </w:rPr>
        <w:t>元</w:t>
      </w:r>
    </w:p>
    <w:p>
      <w:pPr>
        <w:spacing w:line="400" w:lineRule="exact"/>
        <w:ind w:firstLine="480" w:firstLineChars="200"/>
        <w:rPr>
          <w:rFonts w:hint="default" w:ascii="宋体" w:hAnsi="宋体" w:eastAsia="宋体"/>
          <w:sz w:val="24"/>
          <w:highlight w:val="none"/>
          <w:u w:val="single"/>
          <w:lang w:val="en-US" w:eastAsia="zh-CN"/>
        </w:rPr>
      </w:pPr>
      <w:r>
        <w:rPr>
          <w:rFonts w:hint="eastAsia" w:ascii="宋体" w:hAnsi="宋体"/>
          <w:sz w:val="24"/>
          <w:highlight w:val="none"/>
        </w:rPr>
        <w:t>最高限价：</w:t>
      </w:r>
      <w:r>
        <w:rPr>
          <w:rFonts w:hint="eastAsia" w:ascii="宋体" w:hAnsi="宋体"/>
          <w:sz w:val="24"/>
          <w:highlight w:val="none"/>
          <w:u w:val="single"/>
          <w:lang w:val="en-US" w:eastAsia="zh-CN"/>
        </w:rPr>
        <w:t>单价限价：</w:t>
      </w:r>
      <w:r>
        <w:rPr>
          <w:rFonts w:hint="eastAsia" w:ascii="宋体" w:hAnsi="宋体"/>
          <w:sz w:val="24"/>
          <w:highlight w:val="none"/>
          <w:u w:val="single"/>
        </w:rPr>
        <w:t>三甲医院收费标准的</w:t>
      </w:r>
      <w:r>
        <w:rPr>
          <w:rFonts w:hint="eastAsia" w:ascii="宋体" w:hAnsi="宋体"/>
          <w:sz w:val="24"/>
          <w:highlight w:val="none"/>
          <w:u w:val="single"/>
          <w:lang w:val="en-US" w:eastAsia="zh-CN"/>
        </w:rPr>
        <w:t>48</w:t>
      </w:r>
      <w:r>
        <w:rPr>
          <w:rFonts w:hint="eastAsia" w:ascii="宋体" w:hAnsi="宋体"/>
          <w:sz w:val="24"/>
          <w:highlight w:val="none"/>
          <w:u w:val="single"/>
        </w:rPr>
        <w:t>%</w:t>
      </w:r>
      <w:r>
        <w:rPr>
          <w:rFonts w:hint="eastAsia" w:ascii="宋体" w:hAnsi="宋体"/>
          <w:sz w:val="24"/>
          <w:highlight w:val="none"/>
          <w:u w:val="single"/>
          <w:lang w:eastAsia="zh-CN"/>
        </w:rPr>
        <w:t>，</w:t>
      </w:r>
      <w:r>
        <w:rPr>
          <w:rFonts w:hint="eastAsia" w:ascii="宋体" w:hAnsi="宋体"/>
          <w:sz w:val="24"/>
          <w:highlight w:val="none"/>
          <w:u w:val="single"/>
          <w:lang w:val="en-US" w:eastAsia="zh-CN"/>
        </w:rPr>
        <w:t>最终结算价不超过1500000元。</w:t>
      </w:r>
    </w:p>
    <w:p>
      <w:pPr>
        <w:spacing w:line="400" w:lineRule="exact"/>
        <w:ind w:firstLine="480" w:firstLineChars="200"/>
        <w:rPr>
          <w:rFonts w:ascii="宋体" w:hAnsi="宋体"/>
          <w:sz w:val="24"/>
          <w:highlight w:val="none"/>
          <w:u w:val="single"/>
        </w:rPr>
      </w:pPr>
      <w:r>
        <w:rPr>
          <w:rFonts w:hint="eastAsia" w:ascii="宋体" w:hAnsi="宋体"/>
          <w:sz w:val="24"/>
          <w:highlight w:val="none"/>
        </w:rPr>
        <w:t>采购需求：</w:t>
      </w:r>
      <w:r>
        <w:rPr>
          <w:rFonts w:hint="eastAsia" w:ascii="宋体" w:hAnsi="宋体"/>
          <w:bCs/>
          <w:sz w:val="24"/>
          <w:highlight w:val="none"/>
          <w:u w:val="single"/>
          <w:lang w:eastAsia="zh-CN"/>
        </w:rPr>
        <w:t>都江堰市人民医院检验科外送检测服务项目</w:t>
      </w:r>
      <w:r>
        <w:rPr>
          <w:rFonts w:hint="eastAsia" w:ascii="宋体" w:hAnsi="宋体"/>
          <w:bCs/>
          <w:sz w:val="24"/>
          <w:highlight w:val="none"/>
          <w:u w:val="single"/>
        </w:rPr>
        <w:t>采购</w:t>
      </w:r>
      <w:r>
        <w:rPr>
          <w:rFonts w:hint="eastAsia" w:ascii="宋体" w:hAnsi="宋体"/>
          <w:bCs/>
          <w:sz w:val="24"/>
          <w:highlight w:val="none"/>
          <w:u w:val="single"/>
          <w:lang w:eastAsia="zh-CN"/>
        </w:rPr>
        <w:t>。</w:t>
      </w:r>
      <w:r>
        <w:rPr>
          <w:rFonts w:hint="eastAsia" w:ascii="宋体" w:hAnsi="宋体"/>
          <w:sz w:val="24"/>
          <w:highlight w:val="none"/>
          <w:u w:val="single"/>
        </w:rPr>
        <w:t>（具体详见第五章）。</w:t>
      </w:r>
    </w:p>
    <w:p>
      <w:pPr>
        <w:spacing w:line="400" w:lineRule="exact"/>
        <w:ind w:firstLine="480" w:firstLineChars="200"/>
        <w:rPr>
          <w:rFonts w:ascii="宋体" w:hAnsi="宋体"/>
          <w:sz w:val="24"/>
          <w:highlight w:val="none"/>
          <w:u w:val="single"/>
        </w:rPr>
      </w:pPr>
      <w:r>
        <w:rPr>
          <w:rFonts w:hint="eastAsia" w:ascii="宋体" w:hAnsi="宋体"/>
          <w:sz w:val="24"/>
          <w:highlight w:val="none"/>
        </w:rPr>
        <w:t>服务期限：签订合同之日起</w:t>
      </w:r>
      <w:r>
        <w:rPr>
          <w:rFonts w:hint="eastAsia" w:ascii="宋体" w:hAnsi="宋体"/>
          <w:sz w:val="24"/>
          <w:highlight w:val="none"/>
          <w:lang w:val="en-US" w:eastAsia="zh-CN"/>
        </w:rPr>
        <w:t>1年</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本项目不接受联合体投标。</w:t>
      </w:r>
    </w:p>
    <w:p>
      <w:pPr>
        <w:spacing w:line="400" w:lineRule="exact"/>
        <w:rPr>
          <w:rFonts w:ascii="宋体" w:hAnsi="宋体"/>
          <w:b/>
          <w:sz w:val="24"/>
          <w:highlight w:val="none"/>
        </w:rPr>
      </w:pPr>
      <w:bookmarkStart w:id="9" w:name="_Toc28359003"/>
      <w:bookmarkStart w:id="10" w:name="_Toc35393622"/>
      <w:bookmarkStart w:id="11" w:name="_Toc35393791"/>
      <w:bookmarkStart w:id="12" w:name="_Toc28359080"/>
      <w:r>
        <w:rPr>
          <w:rFonts w:hint="eastAsia" w:ascii="宋体" w:hAnsi="宋体"/>
          <w:b/>
          <w:sz w:val="24"/>
          <w:highlight w:val="none"/>
        </w:rPr>
        <w:t>二、申请人的资格要求：</w:t>
      </w:r>
      <w:bookmarkEnd w:id="9"/>
      <w:bookmarkEnd w:id="10"/>
      <w:bookmarkEnd w:id="11"/>
      <w:bookmarkEnd w:id="12"/>
    </w:p>
    <w:p>
      <w:pPr>
        <w:spacing w:line="400" w:lineRule="exact"/>
        <w:ind w:firstLine="480" w:firstLineChars="200"/>
        <w:rPr>
          <w:rFonts w:ascii="宋体" w:hAnsi="宋体"/>
          <w:sz w:val="24"/>
          <w:highlight w:val="none"/>
        </w:rPr>
      </w:pPr>
      <w:r>
        <w:rPr>
          <w:rFonts w:hint="eastAsia" w:ascii="宋体" w:hAnsi="宋体"/>
          <w:sz w:val="24"/>
          <w:highlight w:val="none"/>
        </w:rPr>
        <w:t>1.满足《中华人民共和国政府采购法》第二十二条规定；</w:t>
      </w:r>
    </w:p>
    <w:p>
      <w:pPr>
        <w:spacing w:line="400" w:lineRule="exact"/>
        <w:ind w:firstLine="480" w:firstLineChars="200"/>
        <w:rPr>
          <w:rFonts w:ascii="宋体" w:hAnsi="宋体"/>
          <w:sz w:val="24"/>
          <w:highlight w:val="none"/>
        </w:rPr>
      </w:pPr>
      <w:r>
        <w:rPr>
          <w:rFonts w:hint="eastAsia" w:ascii="宋体" w:hAnsi="宋体"/>
          <w:sz w:val="24"/>
          <w:highlight w:val="none"/>
        </w:rPr>
        <w:t>(1)具有独立承担民事责任的能力；</w:t>
      </w:r>
    </w:p>
    <w:p>
      <w:pPr>
        <w:spacing w:line="400" w:lineRule="exact"/>
        <w:ind w:firstLine="480" w:firstLineChars="200"/>
        <w:rPr>
          <w:rFonts w:ascii="宋体" w:hAnsi="宋体"/>
          <w:sz w:val="24"/>
          <w:highlight w:val="none"/>
        </w:rPr>
      </w:pPr>
      <w:r>
        <w:rPr>
          <w:rFonts w:hint="eastAsia" w:ascii="宋体" w:hAnsi="宋体"/>
          <w:sz w:val="24"/>
          <w:highlight w:val="none"/>
        </w:rPr>
        <w:t>(2)具有良好的商业信誉和健全的财务会计制度；</w:t>
      </w:r>
    </w:p>
    <w:p>
      <w:pPr>
        <w:spacing w:line="400" w:lineRule="exact"/>
        <w:ind w:firstLine="480" w:firstLineChars="200"/>
        <w:rPr>
          <w:rFonts w:ascii="宋体" w:hAnsi="宋体"/>
          <w:sz w:val="24"/>
          <w:highlight w:val="none"/>
        </w:rPr>
      </w:pPr>
      <w:r>
        <w:rPr>
          <w:rFonts w:hint="eastAsia" w:ascii="宋体" w:hAnsi="宋体"/>
          <w:sz w:val="24"/>
          <w:highlight w:val="none"/>
        </w:rPr>
        <w:t>(3)具有履行合同所必须的设备和专业技术能力；</w:t>
      </w:r>
    </w:p>
    <w:p>
      <w:pPr>
        <w:spacing w:line="400" w:lineRule="exact"/>
        <w:ind w:firstLine="480" w:firstLineChars="200"/>
        <w:rPr>
          <w:rFonts w:ascii="宋体" w:hAnsi="宋体"/>
          <w:sz w:val="24"/>
          <w:highlight w:val="none"/>
        </w:rPr>
      </w:pPr>
      <w:r>
        <w:rPr>
          <w:rFonts w:hint="eastAsia" w:ascii="宋体" w:hAnsi="宋体"/>
          <w:sz w:val="24"/>
          <w:highlight w:val="none"/>
        </w:rPr>
        <w:t>(4)具有依法缴纳税收和社会保障资金的良好记录；</w:t>
      </w:r>
    </w:p>
    <w:p>
      <w:pPr>
        <w:spacing w:line="400" w:lineRule="exact"/>
        <w:ind w:firstLine="480" w:firstLineChars="200"/>
        <w:rPr>
          <w:rFonts w:ascii="宋体" w:hAnsi="宋体"/>
          <w:sz w:val="24"/>
          <w:highlight w:val="none"/>
        </w:rPr>
      </w:pPr>
      <w:r>
        <w:rPr>
          <w:rFonts w:hint="eastAsia" w:ascii="宋体" w:hAnsi="宋体"/>
          <w:sz w:val="24"/>
          <w:highlight w:val="none"/>
        </w:rPr>
        <w:t>(5)参加政府采购活动前三年内，在经营活动中没有重大违法记录；</w:t>
      </w:r>
    </w:p>
    <w:p>
      <w:pPr>
        <w:spacing w:line="400" w:lineRule="exact"/>
        <w:ind w:firstLine="480" w:firstLineChars="200"/>
        <w:rPr>
          <w:rFonts w:ascii="宋体" w:hAnsi="宋体"/>
          <w:sz w:val="24"/>
          <w:highlight w:val="none"/>
        </w:rPr>
      </w:pPr>
      <w:r>
        <w:rPr>
          <w:rFonts w:hint="eastAsia" w:ascii="宋体" w:hAnsi="宋体"/>
          <w:sz w:val="24"/>
          <w:highlight w:val="none"/>
        </w:rPr>
        <w:t>(6)符合法律、行政法规规定的其他条件；</w:t>
      </w:r>
    </w:p>
    <w:p>
      <w:pPr>
        <w:shd w:val="clear"/>
        <w:spacing w:line="400" w:lineRule="exact"/>
        <w:ind w:firstLine="480" w:firstLineChars="200"/>
        <w:rPr>
          <w:rFonts w:ascii="宋体" w:hAnsi="宋体"/>
          <w:color w:val="auto"/>
          <w:sz w:val="24"/>
          <w:highlight w:val="none"/>
        </w:rPr>
      </w:pPr>
      <w:bookmarkStart w:id="13" w:name="_Toc28359081"/>
      <w:bookmarkStart w:id="14" w:name="_Toc28359004"/>
      <w:r>
        <w:rPr>
          <w:rFonts w:ascii="宋体" w:hAnsi="宋体"/>
          <w:color w:val="auto"/>
          <w:sz w:val="24"/>
          <w:highlight w:val="none"/>
        </w:rPr>
        <w:t>2</w:t>
      </w:r>
      <w:r>
        <w:rPr>
          <w:rFonts w:hint="eastAsia" w:ascii="宋体" w:hAnsi="宋体"/>
          <w:color w:val="auto"/>
          <w:sz w:val="24"/>
          <w:highlight w:val="none"/>
        </w:rPr>
        <w:t>.落实政府采购政策需满足的资格要求：</w:t>
      </w:r>
      <w:r>
        <w:rPr>
          <w:rFonts w:hint="eastAsia" w:ascii="宋体" w:hAnsi="宋体"/>
          <w:iCs/>
          <w:color w:val="auto"/>
          <w:sz w:val="24"/>
          <w:highlight w:val="none"/>
          <w:u w:val="single"/>
        </w:rPr>
        <w:t>本项目属于专门面向中小企业采购的项目,供应商应为中小微企业、监狱企业、残疾人福利性单位</w:t>
      </w:r>
      <w:r>
        <w:rPr>
          <w:rFonts w:hint="eastAsia" w:ascii="宋体" w:hAnsi="宋体"/>
          <w:color w:val="auto"/>
          <w:sz w:val="24"/>
          <w:highlight w:val="none"/>
          <w:u w:val="single"/>
        </w:rPr>
        <w:t>。</w:t>
      </w:r>
    </w:p>
    <w:p>
      <w:pPr>
        <w:spacing w:line="400" w:lineRule="exact"/>
        <w:ind w:firstLine="480" w:firstLineChars="200"/>
        <w:rPr>
          <w:rFonts w:hint="eastAsia" w:ascii="宋体" w:hAnsi="宋体" w:eastAsia="宋体"/>
          <w:sz w:val="24"/>
          <w:highlight w:val="none"/>
          <w:u w:val="single"/>
          <w:lang w:eastAsia="zh-CN"/>
        </w:rPr>
      </w:pPr>
      <w:r>
        <w:rPr>
          <w:rFonts w:hint="eastAsia" w:ascii="宋体" w:hAnsi="宋体"/>
          <w:sz w:val="24"/>
          <w:highlight w:val="none"/>
        </w:rPr>
        <w:t>3.本项目的特定资格要求：</w:t>
      </w:r>
      <w:r>
        <w:rPr>
          <w:rFonts w:hint="eastAsia" w:ascii="宋体" w:hAnsi="宋体"/>
          <w:sz w:val="24"/>
          <w:highlight w:val="none"/>
          <w:u w:val="single"/>
        </w:rPr>
        <w:t>供应商应具有国家卫生部门颁发的《医疗机构执业许可证》</w:t>
      </w:r>
      <w:r>
        <w:rPr>
          <w:rFonts w:hint="eastAsia" w:ascii="宋体" w:hAnsi="宋体"/>
          <w:sz w:val="24"/>
          <w:highlight w:val="none"/>
          <w:u w:val="single"/>
          <w:lang w:eastAsia="zh-CN"/>
        </w:rPr>
        <w:t>。</w:t>
      </w:r>
    </w:p>
    <w:p>
      <w:pPr>
        <w:pStyle w:val="2"/>
        <w:ind w:firstLine="480" w:firstLineChars="200"/>
        <w:rPr>
          <w:highlight w:val="none"/>
        </w:rPr>
      </w:pPr>
      <w:r>
        <w:rPr>
          <w:rFonts w:hint="eastAsia" w:hAnsi="宋体"/>
          <w:color w:val="auto"/>
          <w:highlight w:val="none"/>
        </w:rPr>
        <w:t>4.本项目的其他资格要求：</w:t>
      </w:r>
    </w:p>
    <w:p>
      <w:pPr>
        <w:spacing w:line="400" w:lineRule="exact"/>
        <w:ind w:firstLine="480" w:firstLineChars="200"/>
        <w:rPr>
          <w:rFonts w:ascii="宋体" w:hAnsi="宋体"/>
          <w:sz w:val="24"/>
          <w:highlight w:val="none"/>
          <w:u w:val="single"/>
        </w:rPr>
      </w:pPr>
      <w:r>
        <w:rPr>
          <w:rFonts w:hint="eastAsia" w:ascii="宋体" w:hAnsi="宋体"/>
          <w:sz w:val="24"/>
          <w:highlight w:val="none"/>
          <w:u w:val="single"/>
        </w:rPr>
        <w:t xml:space="preserve">供应商及其法定代表人/主要负责人在参加本项目政府采购活动前三年无行贿犯罪记录 </w:t>
      </w:r>
    </w:p>
    <w:p>
      <w:pPr>
        <w:spacing w:line="400" w:lineRule="exact"/>
        <w:rPr>
          <w:rFonts w:ascii="宋体" w:hAnsi="宋体"/>
          <w:b/>
          <w:sz w:val="24"/>
          <w:highlight w:val="none"/>
        </w:rPr>
      </w:pPr>
      <w:bookmarkStart w:id="15" w:name="_Toc35393792"/>
      <w:bookmarkStart w:id="16" w:name="_Toc35393623"/>
      <w:r>
        <w:rPr>
          <w:rFonts w:hint="eastAsia" w:ascii="宋体" w:hAnsi="宋体"/>
          <w:b/>
          <w:sz w:val="24"/>
          <w:highlight w:val="none"/>
        </w:rPr>
        <w:t>三、获取采购文件</w:t>
      </w:r>
      <w:bookmarkEnd w:id="13"/>
      <w:bookmarkEnd w:id="14"/>
      <w:bookmarkEnd w:id="15"/>
      <w:bookmarkEnd w:id="16"/>
    </w:p>
    <w:p>
      <w:pPr>
        <w:spacing w:line="400" w:lineRule="exact"/>
        <w:ind w:firstLine="540"/>
        <w:rPr>
          <w:rFonts w:ascii="宋体" w:hAnsi="宋体" w:cs="宋体"/>
          <w:sz w:val="24"/>
          <w:highlight w:val="none"/>
        </w:rPr>
      </w:pPr>
      <w:r>
        <w:rPr>
          <w:rFonts w:hint="eastAsia" w:ascii="宋体" w:hAnsi="宋体" w:cs="宋体"/>
          <w:sz w:val="24"/>
          <w:highlight w:val="none"/>
        </w:rPr>
        <w:t>时间：</w:t>
      </w:r>
      <w:r>
        <w:rPr>
          <w:rFonts w:hint="eastAsia" w:ascii="宋体" w:hAnsi="宋体" w:cs="宋体"/>
          <w:sz w:val="24"/>
          <w:highlight w:val="none"/>
          <w:u w:val="single"/>
        </w:rPr>
        <w:t>2021年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rPr>
        <w:t>至</w:t>
      </w:r>
      <w:r>
        <w:rPr>
          <w:rFonts w:hint="eastAsia" w:ascii="宋体" w:hAnsi="宋体" w:cs="宋体"/>
          <w:sz w:val="24"/>
          <w:highlight w:val="none"/>
          <w:u w:val="single"/>
        </w:rPr>
        <w:t xml:space="preserve"> 2021</w:t>
      </w:r>
      <w:r>
        <w:rPr>
          <w:rFonts w:hint="eastAsia" w:ascii="宋体" w:hAnsi="宋体" w:cs="宋体"/>
          <w:sz w:val="24"/>
          <w:highlight w:val="none"/>
          <w:u w:val="single"/>
          <w:lang w:val="en-US" w:eastAsia="zh-CN"/>
        </w:rPr>
        <w:t>年12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31</w:t>
      </w:r>
      <w:r>
        <w:rPr>
          <w:rFonts w:hint="eastAsia" w:ascii="宋体" w:hAnsi="宋体" w:cs="宋体"/>
          <w:sz w:val="24"/>
          <w:highlight w:val="none"/>
          <w:u w:val="single"/>
        </w:rPr>
        <w:t>日</w:t>
      </w:r>
      <w:r>
        <w:rPr>
          <w:rFonts w:hint="eastAsia" w:ascii="宋体" w:hAnsi="宋体" w:cs="宋体"/>
          <w:sz w:val="24"/>
          <w:highlight w:val="none"/>
        </w:rPr>
        <w:t>，每天上午</w:t>
      </w:r>
      <w:r>
        <w:rPr>
          <w:rFonts w:hint="eastAsia" w:ascii="宋体" w:hAnsi="宋体" w:cs="宋体"/>
          <w:sz w:val="24"/>
          <w:highlight w:val="none"/>
          <w:u w:val="single"/>
        </w:rPr>
        <w:t>9:00</w:t>
      </w:r>
      <w:r>
        <w:rPr>
          <w:rFonts w:hint="eastAsia" w:ascii="宋体" w:hAnsi="宋体" w:cs="宋体"/>
          <w:sz w:val="24"/>
          <w:highlight w:val="none"/>
        </w:rPr>
        <w:t>至</w:t>
      </w:r>
      <w:r>
        <w:rPr>
          <w:rFonts w:hint="eastAsia" w:ascii="宋体" w:hAnsi="宋体" w:cs="宋体"/>
          <w:sz w:val="24"/>
          <w:highlight w:val="none"/>
          <w:u w:val="single"/>
        </w:rPr>
        <w:t>12:00</w:t>
      </w:r>
      <w:r>
        <w:rPr>
          <w:rFonts w:hint="eastAsia" w:ascii="宋体" w:hAnsi="宋体" w:cs="宋体"/>
          <w:sz w:val="24"/>
          <w:highlight w:val="none"/>
        </w:rPr>
        <w:t>，下午</w:t>
      </w:r>
      <w:r>
        <w:rPr>
          <w:rFonts w:hint="eastAsia" w:ascii="宋体" w:hAnsi="宋体" w:cs="宋体"/>
          <w:sz w:val="24"/>
          <w:highlight w:val="none"/>
          <w:u w:val="single"/>
        </w:rPr>
        <w:t>14:00</w:t>
      </w:r>
      <w:r>
        <w:rPr>
          <w:rFonts w:hint="eastAsia" w:ascii="宋体" w:hAnsi="宋体" w:cs="宋体"/>
          <w:sz w:val="24"/>
          <w:highlight w:val="none"/>
        </w:rPr>
        <w:t>至</w:t>
      </w:r>
      <w:r>
        <w:rPr>
          <w:rFonts w:hint="eastAsia" w:ascii="宋体" w:hAnsi="宋体" w:cs="宋体"/>
          <w:sz w:val="24"/>
          <w:highlight w:val="none"/>
          <w:u w:val="single"/>
        </w:rPr>
        <w:t>17:00</w:t>
      </w:r>
      <w:r>
        <w:rPr>
          <w:rFonts w:hint="eastAsia" w:ascii="宋体" w:hAnsi="宋体" w:cs="宋体"/>
          <w:sz w:val="24"/>
          <w:highlight w:val="none"/>
        </w:rPr>
        <w:t>（北京时间，</w:t>
      </w:r>
      <w:r>
        <w:rPr>
          <w:rFonts w:ascii="宋体" w:hAnsi="宋体" w:cs="宋体"/>
          <w:sz w:val="24"/>
          <w:highlight w:val="none"/>
        </w:rPr>
        <w:t>法定节假日</w:t>
      </w:r>
      <w:r>
        <w:rPr>
          <w:rFonts w:hint="eastAsia" w:ascii="宋体" w:hAnsi="宋体" w:cs="宋体"/>
          <w:sz w:val="24"/>
          <w:highlight w:val="none"/>
        </w:rPr>
        <w:t>除外）</w:t>
      </w:r>
    </w:p>
    <w:p>
      <w:pPr>
        <w:spacing w:after="50" w:line="420" w:lineRule="exact"/>
        <w:ind w:firstLine="480" w:firstLineChars="200"/>
        <w:rPr>
          <w:rFonts w:hint="eastAsia" w:ascii="宋体" w:hAnsi="宋体" w:eastAsia="宋体" w:cs="宋体"/>
          <w:sz w:val="24"/>
          <w:highlight w:val="none"/>
          <w:lang w:eastAsia="zh-CN"/>
        </w:rPr>
      </w:pPr>
      <w:bookmarkStart w:id="17" w:name="_Toc35393624"/>
      <w:bookmarkStart w:id="18" w:name="_Toc35393793"/>
      <w:bookmarkStart w:id="19" w:name="_Toc28359005"/>
      <w:bookmarkStart w:id="20" w:name="_Toc28359082"/>
      <w:r>
        <w:rPr>
          <w:rFonts w:hint="eastAsia" w:ascii="宋体" w:hAnsi="宋体" w:cs="宋体"/>
          <w:sz w:val="24"/>
          <w:highlight w:val="none"/>
        </w:rPr>
        <w:t>地点：</w:t>
      </w:r>
      <w:r>
        <w:rPr>
          <w:rFonts w:hint="eastAsia" w:ascii="宋体" w:hAnsi="宋体" w:cs="宋体"/>
          <w:sz w:val="24"/>
          <w:highlight w:val="none"/>
          <w:u w:val="single"/>
          <w:lang w:eastAsia="zh-CN"/>
        </w:rPr>
        <w:t>成都市公共资源交易服务中心“政府采购云平台” （网址：https://www.zcygov.cn）</w:t>
      </w:r>
    </w:p>
    <w:p>
      <w:pPr>
        <w:spacing w:line="400" w:lineRule="exact"/>
        <w:ind w:firstLine="540"/>
        <w:rPr>
          <w:rFonts w:hint="eastAsia" w:ascii="宋体" w:hAnsi="宋体" w:cs="宋体"/>
          <w:sz w:val="24"/>
          <w:highlight w:val="none"/>
        </w:rPr>
      </w:pPr>
      <w:r>
        <w:rPr>
          <w:rFonts w:hint="eastAsia" w:ascii="宋体" w:hAnsi="宋体" w:cs="宋体"/>
          <w:sz w:val="24"/>
          <w:highlight w:val="none"/>
        </w:rPr>
        <w:t>方式：供应商从“政府采购云平台”获取采购文件（网址：</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"https://www.zcygov.cn）。登录政府采购云平台—项目采购—获取采购文件—申请获取采购文件。" </w:instrText>
      </w:r>
      <w:r>
        <w:rPr>
          <w:rFonts w:hint="eastAsia" w:ascii="宋体" w:hAnsi="宋体" w:cs="宋体"/>
          <w:sz w:val="24"/>
          <w:highlight w:val="none"/>
        </w:rPr>
        <w:fldChar w:fldCharType="separate"/>
      </w:r>
      <w:r>
        <w:rPr>
          <w:rStyle w:val="47"/>
          <w:rFonts w:hint="eastAsia" w:ascii="宋体" w:hAnsi="宋体" w:cs="宋体"/>
          <w:sz w:val="24"/>
          <w:highlight w:val="none"/>
        </w:rPr>
        <w:t>https://www.zcygov.cn）。登录政府采购云平台—项目采购—获取采购文件—申请获取采购文件。</w:t>
      </w:r>
      <w:r>
        <w:rPr>
          <w:rFonts w:hint="eastAsia" w:ascii="宋体" w:hAnsi="宋体" w:cs="宋体"/>
          <w:sz w:val="24"/>
          <w:highlight w:val="none"/>
        </w:rPr>
        <w:fldChar w:fldCharType="end"/>
      </w:r>
    </w:p>
    <w:p>
      <w:pPr>
        <w:spacing w:line="400" w:lineRule="exact"/>
        <w:ind w:firstLine="540"/>
        <w:rPr>
          <w:rFonts w:ascii="宋体" w:hAnsi="宋体" w:cs="宋体"/>
          <w:sz w:val="24"/>
          <w:highlight w:val="none"/>
        </w:rPr>
      </w:pPr>
      <w:r>
        <w:rPr>
          <w:rFonts w:hint="eastAsia" w:ascii="宋体" w:hAnsi="宋体" w:cs="宋体"/>
          <w:sz w:val="24"/>
          <w:highlight w:val="none"/>
        </w:rPr>
        <w:t>售价：人民币</w:t>
      </w:r>
      <w:r>
        <w:rPr>
          <w:rFonts w:hint="eastAsia" w:ascii="宋体" w:hAnsi="宋体" w:cs="宋体"/>
          <w:sz w:val="24"/>
          <w:highlight w:val="none"/>
          <w:lang w:val="en-US" w:eastAsia="zh-CN"/>
        </w:rPr>
        <w:t>0</w:t>
      </w:r>
      <w:r>
        <w:rPr>
          <w:rFonts w:hint="eastAsia" w:ascii="宋体" w:hAnsi="宋体" w:cs="宋体"/>
          <w:sz w:val="24"/>
          <w:highlight w:val="none"/>
        </w:rPr>
        <w:t>元/份（采购文件售后不退,磋商资格不能转让）。</w:t>
      </w:r>
    </w:p>
    <w:p>
      <w:pPr>
        <w:spacing w:line="400" w:lineRule="exact"/>
        <w:rPr>
          <w:rFonts w:ascii="宋体" w:hAnsi="宋体"/>
          <w:b/>
          <w:sz w:val="24"/>
          <w:highlight w:val="none"/>
        </w:rPr>
      </w:pPr>
      <w:r>
        <w:rPr>
          <w:rFonts w:hint="eastAsia" w:ascii="宋体" w:hAnsi="宋体"/>
          <w:b/>
          <w:sz w:val="24"/>
          <w:highlight w:val="none"/>
        </w:rPr>
        <w:t>四、</w:t>
      </w:r>
      <w:bookmarkEnd w:id="17"/>
      <w:bookmarkEnd w:id="18"/>
      <w:bookmarkEnd w:id="19"/>
      <w:bookmarkEnd w:id="20"/>
      <w:r>
        <w:rPr>
          <w:rFonts w:hint="eastAsia" w:ascii="宋体" w:hAnsi="宋体"/>
          <w:b/>
          <w:sz w:val="24"/>
          <w:highlight w:val="none"/>
        </w:rPr>
        <w:t>响应文件提交</w:t>
      </w:r>
    </w:p>
    <w:p>
      <w:pPr>
        <w:spacing w:line="400" w:lineRule="exact"/>
        <w:ind w:firstLine="600" w:firstLineChars="250"/>
        <w:rPr>
          <w:rFonts w:ascii="宋体" w:hAnsi="宋体"/>
          <w:bCs/>
          <w:sz w:val="24"/>
          <w:highlight w:val="none"/>
          <w:u w:val="single"/>
        </w:rPr>
      </w:pPr>
      <w:r>
        <w:rPr>
          <w:rFonts w:hint="eastAsia" w:ascii="宋体" w:hAnsi="宋体"/>
          <w:bCs/>
          <w:sz w:val="24"/>
          <w:highlight w:val="none"/>
          <w:u w:val="single"/>
        </w:rPr>
        <w:t xml:space="preserve"> </w:t>
      </w:r>
      <w:r>
        <w:rPr>
          <w:rFonts w:hint="eastAsia" w:ascii="宋体" w:hAnsi="宋体"/>
          <w:sz w:val="24"/>
          <w:highlight w:val="none"/>
          <w:u w:val="single"/>
        </w:rPr>
        <w:t>202</w:t>
      </w:r>
      <w:r>
        <w:rPr>
          <w:rFonts w:hint="eastAsia" w:ascii="宋体" w:hAnsi="宋体"/>
          <w:sz w:val="24"/>
          <w:highlight w:val="none"/>
          <w:u w:val="single"/>
          <w:lang w:val="en-US" w:eastAsia="zh-CN"/>
        </w:rPr>
        <w:t>2</w:t>
      </w:r>
      <w:r>
        <w:rPr>
          <w:rFonts w:hint="eastAsia" w:ascii="宋体" w:hAnsi="宋体"/>
          <w:bCs/>
          <w:sz w:val="24"/>
          <w:highlight w:val="none"/>
          <w:u w:val="single"/>
        </w:rPr>
        <w:t>年</w:t>
      </w:r>
      <w:r>
        <w:rPr>
          <w:rFonts w:hint="eastAsia" w:ascii="宋体" w:hAnsi="宋体"/>
          <w:bCs/>
          <w:sz w:val="24"/>
          <w:highlight w:val="none"/>
          <w:u w:val="single"/>
          <w:lang w:val="en-US" w:eastAsia="zh-CN"/>
        </w:rPr>
        <w:t>1</w:t>
      </w:r>
      <w:r>
        <w:rPr>
          <w:rFonts w:hint="eastAsia" w:ascii="宋体" w:hAnsi="宋体"/>
          <w:bCs/>
          <w:sz w:val="24"/>
          <w:highlight w:val="none"/>
          <w:u w:val="single"/>
        </w:rPr>
        <w:t>月</w:t>
      </w:r>
      <w:r>
        <w:rPr>
          <w:rFonts w:hint="eastAsia" w:ascii="宋体" w:hAnsi="宋体"/>
          <w:bCs/>
          <w:sz w:val="24"/>
          <w:highlight w:val="none"/>
          <w:u w:val="single"/>
          <w:lang w:val="en-US" w:eastAsia="zh-CN"/>
        </w:rPr>
        <w:t>6</w:t>
      </w:r>
      <w:r>
        <w:rPr>
          <w:rFonts w:hint="eastAsia" w:ascii="宋体" w:hAnsi="宋体"/>
          <w:bCs/>
          <w:sz w:val="24"/>
          <w:highlight w:val="none"/>
          <w:u w:val="single"/>
        </w:rPr>
        <w:t>日10点</w:t>
      </w:r>
      <w:r>
        <w:rPr>
          <w:rFonts w:hint="eastAsia" w:ascii="宋体" w:hAnsi="宋体"/>
          <w:bCs/>
          <w:sz w:val="24"/>
          <w:highlight w:val="none"/>
          <w:u w:val="single"/>
          <w:lang w:val="en-US" w:eastAsia="zh-CN"/>
        </w:rPr>
        <w:t>3</w:t>
      </w:r>
      <w:r>
        <w:rPr>
          <w:rFonts w:hint="eastAsia" w:ascii="宋体" w:hAnsi="宋体"/>
          <w:bCs/>
          <w:sz w:val="24"/>
          <w:highlight w:val="none"/>
          <w:u w:val="single"/>
        </w:rPr>
        <w:t>0分</w:t>
      </w:r>
      <w:r>
        <w:rPr>
          <w:rFonts w:hint="eastAsia" w:ascii="宋体" w:hAnsi="宋体"/>
          <w:bCs/>
          <w:sz w:val="24"/>
          <w:highlight w:val="none"/>
        </w:rPr>
        <w:t>（北京时间）</w:t>
      </w:r>
    </w:p>
    <w:p>
      <w:pPr>
        <w:spacing w:line="400" w:lineRule="exact"/>
        <w:ind w:firstLine="480" w:firstLineChars="200"/>
        <w:rPr>
          <w:rFonts w:ascii="宋体" w:hAnsi="宋体"/>
          <w:bCs/>
          <w:sz w:val="24"/>
          <w:highlight w:val="none"/>
          <w:u w:val="single"/>
        </w:rPr>
      </w:pPr>
      <w:r>
        <w:rPr>
          <w:rFonts w:hint="eastAsia" w:ascii="宋体" w:hAnsi="宋体"/>
          <w:sz w:val="24"/>
          <w:highlight w:val="none"/>
        </w:rPr>
        <w:t>地点：</w:t>
      </w:r>
      <w:r>
        <w:rPr>
          <w:rFonts w:hint="eastAsia" w:ascii="宋体" w:hAnsi="宋体" w:cs="宋体"/>
          <w:sz w:val="24"/>
          <w:highlight w:val="none"/>
          <w:u w:val="single"/>
        </w:rPr>
        <w:t>成都市金牛区一品天下大街999号金牛市民中心B座2102号</w:t>
      </w:r>
    </w:p>
    <w:p>
      <w:pPr>
        <w:spacing w:line="400" w:lineRule="exact"/>
        <w:rPr>
          <w:rFonts w:ascii="宋体" w:hAnsi="宋体"/>
          <w:b/>
          <w:sz w:val="24"/>
          <w:highlight w:val="none"/>
        </w:rPr>
      </w:pPr>
      <w:bookmarkStart w:id="21" w:name="_Toc35393625"/>
      <w:bookmarkStart w:id="22" w:name="_Toc35393794"/>
      <w:bookmarkStart w:id="23" w:name="_Toc28359084"/>
      <w:bookmarkStart w:id="24" w:name="_Toc28359007"/>
      <w:r>
        <w:rPr>
          <w:rFonts w:hint="eastAsia" w:ascii="宋体" w:hAnsi="宋体"/>
          <w:b/>
          <w:sz w:val="24"/>
          <w:highlight w:val="none"/>
        </w:rPr>
        <w:t>五、开启</w:t>
      </w:r>
    </w:p>
    <w:p>
      <w:pPr>
        <w:spacing w:after="50" w:line="420" w:lineRule="exact"/>
        <w:ind w:firstLine="480" w:firstLineChars="200"/>
        <w:rPr>
          <w:rFonts w:ascii="宋体" w:hAnsi="宋体" w:cs="宋体"/>
          <w:sz w:val="24"/>
          <w:highlight w:val="none"/>
        </w:rPr>
      </w:pPr>
      <w:r>
        <w:rPr>
          <w:rFonts w:hint="eastAsia" w:ascii="宋体" w:hAnsi="宋体" w:cs="宋体"/>
          <w:sz w:val="24"/>
          <w:highlight w:val="none"/>
        </w:rPr>
        <w:t>时间：</w:t>
      </w:r>
      <w:r>
        <w:rPr>
          <w:rFonts w:hint="eastAsia" w:ascii="宋体" w:hAnsi="宋体" w:cs="宋体"/>
          <w:sz w:val="24"/>
          <w:highlight w:val="none"/>
          <w:u w:val="single"/>
          <w:lang w:val="en-US" w:eastAsia="zh-CN"/>
        </w:rPr>
        <w:t>2</w:t>
      </w:r>
      <w:r>
        <w:rPr>
          <w:rFonts w:hint="eastAsia" w:ascii="宋体" w:hAnsi="宋体"/>
          <w:sz w:val="24"/>
          <w:highlight w:val="none"/>
          <w:u w:val="single"/>
        </w:rPr>
        <w:t>02</w:t>
      </w:r>
      <w:r>
        <w:rPr>
          <w:rFonts w:hint="eastAsia" w:ascii="宋体" w:hAnsi="宋体"/>
          <w:sz w:val="24"/>
          <w:highlight w:val="none"/>
          <w:u w:val="single"/>
          <w:lang w:val="en-US" w:eastAsia="zh-CN"/>
        </w:rPr>
        <w:t>2</w:t>
      </w:r>
      <w:r>
        <w:rPr>
          <w:rFonts w:hint="eastAsia" w:ascii="宋体" w:hAnsi="宋体"/>
          <w:bCs/>
          <w:sz w:val="24"/>
          <w:highlight w:val="none"/>
          <w:u w:val="single"/>
        </w:rPr>
        <w:t>年</w:t>
      </w:r>
      <w:r>
        <w:rPr>
          <w:rFonts w:hint="eastAsia" w:ascii="宋体" w:hAnsi="宋体"/>
          <w:bCs/>
          <w:sz w:val="24"/>
          <w:highlight w:val="none"/>
          <w:u w:val="single"/>
          <w:lang w:val="en-US" w:eastAsia="zh-CN"/>
        </w:rPr>
        <w:t>1</w:t>
      </w:r>
      <w:r>
        <w:rPr>
          <w:rFonts w:hint="eastAsia" w:ascii="宋体" w:hAnsi="宋体"/>
          <w:bCs/>
          <w:sz w:val="24"/>
          <w:highlight w:val="none"/>
          <w:u w:val="single"/>
        </w:rPr>
        <w:t>月</w:t>
      </w:r>
      <w:r>
        <w:rPr>
          <w:rFonts w:hint="eastAsia" w:ascii="宋体" w:hAnsi="宋体"/>
          <w:bCs/>
          <w:sz w:val="24"/>
          <w:highlight w:val="none"/>
          <w:u w:val="single"/>
          <w:lang w:val="en-US" w:eastAsia="zh-CN"/>
        </w:rPr>
        <w:t>6</w:t>
      </w:r>
      <w:r>
        <w:rPr>
          <w:rFonts w:hint="eastAsia" w:ascii="宋体" w:hAnsi="宋体"/>
          <w:bCs/>
          <w:sz w:val="24"/>
          <w:highlight w:val="none"/>
          <w:u w:val="single"/>
        </w:rPr>
        <w:t>日10点</w:t>
      </w:r>
      <w:r>
        <w:rPr>
          <w:rFonts w:hint="eastAsia" w:ascii="宋体" w:hAnsi="宋体"/>
          <w:bCs/>
          <w:sz w:val="24"/>
          <w:highlight w:val="none"/>
          <w:u w:val="single"/>
          <w:lang w:val="en-US" w:eastAsia="zh-CN"/>
        </w:rPr>
        <w:t>3</w:t>
      </w:r>
      <w:r>
        <w:rPr>
          <w:rFonts w:hint="eastAsia" w:ascii="宋体" w:hAnsi="宋体"/>
          <w:bCs/>
          <w:sz w:val="24"/>
          <w:highlight w:val="none"/>
          <w:u w:val="single"/>
        </w:rPr>
        <w:t>0分</w:t>
      </w:r>
      <w:r>
        <w:rPr>
          <w:rFonts w:hint="eastAsia" w:ascii="宋体" w:hAnsi="宋体" w:cs="宋体"/>
          <w:sz w:val="24"/>
          <w:highlight w:val="none"/>
        </w:rPr>
        <w:t>（北京时间）</w:t>
      </w:r>
    </w:p>
    <w:p>
      <w:pPr>
        <w:spacing w:after="50" w:line="420" w:lineRule="exact"/>
        <w:ind w:firstLine="480" w:firstLineChars="200"/>
        <w:rPr>
          <w:highlight w:val="none"/>
        </w:rPr>
      </w:pPr>
      <w:r>
        <w:rPr>
          <w:rFonts w:hint="eastAsia" w:ascii="宋体" w:hAnsi="宋体" w:cs="宋体"/>
          <w:sz w:val="24"/>
          <w:highlight w:val="none"/>
        </w:rPr>
        <w:t>地点：</w:t>
      </w:r>
      <w:r>
        <w:rPr>
          <w:rFonts w:hint="eastAsia" w:ascii="宋体" w:hAnsi="宋体" w:cs="宋体"/>
          <w:sz w:val="24"/>
          <w:highlight w:val="none"/>
          <w:u w:val="single"/>
        </w:rPr>
        <w:t>成都市金牛区一品天下大街999号金牛市民中心B座2102号</w:t>
      </w:r>
    </w:p>
    <w:p>
      <w:pPr>
        <w:spacing w:line="400" w:lineRule="exact"/>
        <w:rPr>
          <w:rFonts w:ascii="宋体" w:hAnsi="宋体"/>
          <w:b/>
          <w:sz w:val="24"/>
          <w:highlight w:val="none"/>
        </w:rPr>
      </w:pPr>
      <w:r>
        <w:rPr>
          <w:rFonts w:hint="eastAsia" w:ascii="宋体" w:hAnsi="宋体"/>
          <w:b/>
          <w:sz w:val="24"/>
          <w:highlight w:val="none"/>
        </w:rPr>
        <w:t>六、公告期限</w:t>
      </w:r>
      <w:bookmarkEnd w:id="21"/>
      <w:bookmarkEnd w:id="22"/>
      <w:bookmarkEnd w:id="23"/>
      <w:bookmarkEnd w:id="24"/>
    </w:p>
    <w:p>
      <w:pPr>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自本公告发布之日起3个工作日。</w:t>
      </w:r>
    </w:p>
    <w:p>
      <w:pPr>
        <w:spacing w:line="400" w:lineRule="exact"/>
        <w:rPr>
          <w:rFonts w:ascii="宋体" w:hAnsi="宋体"/>
          <w:b/>
          <w:sz w:val="24"/>
          <w:highlight w:val="none"/>
        </w:rPr>
      </w:pPr>
      <w:bookmarkStart w:id="25" w:name="_Toc35393795"/>
      <w:bookmarkStart w:id="26" w:name="_Toc35393626"/>
      <w:r>
        <w:rPr>
          <w:rFonts w:hint="eastAsia" w:ascii="宋体" w:hAnsi="宋体"/>
          <w:b/>
          <w:sz w:val="24"/>
          <w:highlight w:val="none"/>
        </w:rPr>
        <w:t>七、其他补充事宜</w:t>
      </w:r>
      <w:bookmarkEnd w:id="25"/>
      <w:bookmarkEnd w:id="26"/>
    </w:p>
    <w:p>
      <w:pPr>
        <w:pStyle w:val="67"/>
        <w:spacing w:line="400" w:lineRule="exact"/>
        <w:ind w:left="840"/>
        <w:rPr>
          <w:highlight w:val="none"/>
        </w:rPr>
      </w:pPr>
      <w:r>
        <w:rPr>
          <w:rFonts w:hint="eastAsia"/>
          <w:highlight w:val="none"/>
          <w:u w:val="single"/>
        </w:rPr>
        <w:t>本公告在四川政府采购网上发布</w:t>
      </w:r>
    </w:p>
    <w:p>
      <w:pPr>
        <w:spacing w:line="400" w:lineRule="exact"/>
        <w:rPr>
          <w:rFonts w:ascii="宋体" w:hAnsi="宋体"/>
          <w:b/>
          <w:sz w:val="24"/>
          <w:highlight w:val="none"/>
        </w:rPr>
      </w:pPr>
      <w:bookmarkStart w:id="27" w:name="_Toc35393796"/>
      <w:bookmarkStart w:id="28" w:name="_Toc28359085"/>
      <w:bookmarkStart w:id="29" w:name="_Toc35393627"/>
      <w:bookmarkStart w:id="30" w:name="_Toc28359008"/>
      <w:r>
        <w:rPr>
          <w:rFonts w:hint="eastAsia" w:ascii="宋体" w:hAnsi="宋体"/>
          <w:b/>
          <w:sz w:val="24"/>
          <w:highlight w:val="none"/>
        </w:rPr>
        <w:t>八、凡对本次采购提出询问，请按以下方式联系。</w:t>
      </w:r>
      <w:bookmarkEnd w:id="27"/>
      <w:bookmarkEnd w:id="28"/>
      <w:bookmarkEnd w:id="29"/>
      <w:bookmarkEnd w:id="30"/>
    </w:p>
    <w:p>
      <w:pPr>
        <w:widowControl/>
        <w:spacing w:line="400" w:lineRule="exact"/>
        <w:ind w:firstLine="840" w:firstLineChars="350"/>
        <w:jc w:val="left"/>
        <w:rPr>
          <w:rFonts w:ascii="宋体" w:hAnsi="宋体"/>
          <w:sz w:val="24"/>
          <w:highlight w:val="none"/>
        </w:rPr>
      </w:pPr>
      <w:bookmarkStart w:id="31" w:name="_Toc12497"/>
      <w:bookmarkStart w:id="32" w:name="_Toc213496267"/>
      <w:bookmarkStart w:id="33" w:name="_Toc213397009"/>
      <w:bookmarkStart w:id="34" w:name="_Toc213396945"/>
      <w:bookmarkStart w:id="35" w:name="_Toc217446031"/>
      <w:bookmarkStart w:id="36" w:name="_Toc213396759"/>
      <w:r>
        <w:rPr>
          <w:rFonts w:hint="eastAsia" w:ascii="宋体" w:hAnsi="宋体" w:cs="宋体"/>
          <w:sz w:val="24"/>
          <w:highlight w:val="none"/>
        </w:rPr>
        <w:t>1.采购人信息</w:t>
      </w:r>
    </w:p>
    <w:p>
      <w:pPr>
        <w:spacing w:line="400" w:lineRule="exact"/>
        <w:ind w:left="1079" w:leftChars="371" w:hanging="300" w:hangingChars="125"/>
        <w:jc w:val="left"/>
        <w:rPr>
          <w:rFonts w:hint="eastAsia" w:ascii="宋体" w:hAnsi="宋体" w:eastAsia="宋体"/>
          <w:sz w:val="24"/>
          <w:highlight w:val="none"/>
          <w:lang w:eastAsia="zh-CN"/>
        </w:rPr>
      </w:pPr>
      <w:r>
        <w:rPr>
          <w:rFonts w:hint="eastAsia" w:ascii="宋体" w:hAnsi="宋体"/>
          <w:sz w:val="24"/>
          <w:highlight w:val="none"/>
        </w:rPr>
        <w:t>名称：</w:t>
      </w:r>
      <w:r>
        <w:rPr>
          <w:rFonts w:hint="eastAsia" w:ascii="宋体" w:hAnsi="宋体"/>
          <w:sz w:val="24"/>
          <w:highlight w:val="none"/>
          <w:u w:val="single"/>
          <w:lang w:eastAsia="zh-CN"/>
        </w:rPr>
        <w:t xml:space="preserve">都江堰市人民医院 </w:t>
      </w:r>
    </w:p>
    <w:p>
      <w:pPr>
        <w:spacing w:line="400" w:lineRule="exact"/>
        <w:ind w:left="1079" w:leftChars="371" w:hanging="300" w:hangingChars="125"/>
        <w:jc w:val="left"/>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都江堰市宝莲路622号</w:t>
      </w:r>
    </w:p>
    <w:p>
      <w:pPr>
        <w:spacing w:line="400" w:lineRule="exact"/>
        <w:ind w:left="1079" w:leftChars="371" w:hanging="300" w:hangingChars="125"/>
        <w:jc w:val="left"/>
        <w:rPr>
          <w:rFonts w:hint="eastAsia" w:ascii="宋体" w:hAnsi="宋体" w:eastAsia="宋体"/>
          <w:sz w:val="24"/>
          <w:highlight w:val="none"/>
          <w:u w:val="single"/>
          <w:lang w:eastAsia="zh-CN"/>
        </w:rPr>
      </w:pPr>
      <w:r>
        <w:rPr>
          <w:rFonts w:hint="eastAsia" w:ascii="宋体" w:hAnsi="宋体"/>
          <w:sz w:val="24"/>
          <w:highlight w:val="none"/>
        </w:rPr>
        <w:t>联系方式：</w:t>
      </w:r>
      <w:bookmarkStart w:id="37" w:name="_Toc28359009"/>
      <w:bookmarkStart w:id="38" w:name="_Toc28359086"/>
      <w:r>
        <w:rPr>
          <w:rFonts w:hint="eastAsia" w:ascii="宋体" w:hAnsi="宋体"/>
          <w:sz w:val="24"/>
          <w:highlight w:val="none"/>
          <w:u w:val="single"/>
        </w:rPr>
        <w:t>13618083589 刘老师</w:t>
      </w:r>
    </w:p>
    <w:p>
      <w:pPr>
        <w:pStyle w:val="2"/>
        <w:rPr>
          <w:color w:val="auto"/>
          <w:highlight w:val="none"/>
        </w:rPr>
      </w:pPr>
    </w:p>
    <w:p>
      <w:pPr>
        <w:spacing w:line="400" w:lineRule="exact"/>
        <w:ind w:left="1079" w:leftChars="371" w:hanging="300" w:hangingChars="125"/>
        <w:jc w:val="left"/>
        <w:rPr>
          <w:rFonts w:ascii="宋体" w:hAnsi="宋体"/>
          <w:sz w:val="24"/>
          <w:highlight w:val="none"/>
        </w:rPr>
      </w:pPr>
      <w:r>
        <w:rPr>
          <w:rFonts w:hint="eastAsia" w:ascii="宋体" w:hAnsi="宋体" w:cs="宋体"/>
          <w:sz w:val="24"/>
          <w:highlight w:val="none"/>
        </w:rPr>
        <w:t>2.采购代理机构信息</w:t>
      </w:r>
      <w:bookmarkEnd w:id="37"/>
      <w:bookmarkEnd w:id="38"/>
    </w:p>
    <w:p>
      <w:pPr>
        <w:spacing w:line="400" w:lineRule="exact"/>
        <w:ind w:firstLine="720" w:firstLineChars="300"/>
        <w:rPr>
          <w:rFonts w:ascii="宋体" w:hAnsi="宋体"/>
          <w:sz w:val="24"/>
          <w:highlight w:val="none"/>
        </w:rPr>
      </w:pPr>
      <w:r>
        <w:rPr>
          <w:rFonts w:hint="eastAsia" w:ascii="宋体" w:hAnsi="宋体"/>
          <w:sz w:val="24"/>
          <w:highlight w:val="none"/>
        </w:rPr>
        <w:t>名    称：</w:t>
      </w:r>
      <w:r>
        <w:rPr>
          <w:rFonts w:hint="eastAsia" w:ascii="宋体" w:hAnsi="宋体"/>
          <w:sz w:val="24"/>
          <w:highlight w:val="none"/>
          <w:u w:val="single"/>
        </w:rPr>
        <w:t>成都一问工程技术咨询有限公司</w:t>
      </w:r>
    </w:p>
    <w:p>
      <w:pPr>
        <w:spacing w:line="400" w:lineRule="exact"/>
        <w:ind w:firstLine="720" w:firstLineChars="3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成都市金牛区一品天下大街999号金牛市民中心B座2102号</w:t>
      </w:r>
    </w:p>
    <w:p>
      <w:pPr>
        <w:spacing w:line="400" w:lineRule="exact"/>
        <w:ind w:firstLine="720" w:firstLineChars="300"/>
        <w:rPr>
          <w:rFonts w:ascii="宋体" w:hAnsi="宋体"/>
          <w:sz w:val="24"/>
          <w:highlight w:val="none"/>
          <w:u w:val="single"/>
        </w:rPr>
      </w:pPr>
      <w:r>
        <w:rPr>
          <w:rFonts w:hint="eastAsia" w:ascii="宋体" w:hAnsi="宋体"/>
          <w:sz w:val="24"/>
          <w:highlight w:val="none"/>
        </w:rPr>
        <w:t>联系方式：</w:t>
      </w:r>
      <w:bookmarkStart w:id="39" w:name="_Toc28359087"/>
      <w:bookmarkStart w:id="40" w:name="_Toc28359010"/>
      <w:r>
        <w:rPr>
          <w:rFonts w:ascii="宋体" w:hAnsi="宋体"/>
          <w:sz w:val="24"/>
          <w:highlight w:val="none"/>
          <w:u w:val="single"/>
        </w:rPr>
        <w:t>028-83375882</w:t>
      </w:r>
      <w:r>
        <w:rPr>
          <w:rFonts w:hint="eastAsia" w:ascii="宋体" w:hAnsi="宋体"/>
          <w:sz w:val="24"/>
          <w:highlight w:val="none"/>
          <w:u w:val="single"/>
        </w:rPr>
        <w:t xml:space="preserve">  刘女士</w:t>
      </w:r>
    </w:p>
    <w:p>
      <w:pPr>
        <w:spacing w:line="400" w:lineRule="exact"/>
        <w:ind w:firstLine="720" w:firstLineChars="300"/>
        <w:rPr>
          <w:rFonts w:ascii="宋体" w:hAnsi="宋体"/>
          <w:sz w:val="24"/>
          <w:highlight w:val="none"/>
        </w:rPr>
      </w:pPr>
    </w:p>
    <w:p>
      <w:pPr>
        <w:spacing w:line="400" w:lineRule="exact"/>
        <w:ind w:firstLine="720" w:firstLineChars="300"/>
        <w:rPr>
          <w:rFonts w:ascii="宋体" w:hAnsi="宋体"/>
          <w:sz w:val="24"/>
          <w:highlight w:val="none"/>
          <w:u w:val="single"/>
        </w:rPr>
      </w:pPr>
      <w:r>
        <w:rPr>
          <w:rFonts w:hint="eastAsia" w:ascii="宋体" w:hAnsi="宋体" w:cs="宋体"/>
          <w:sz w:val="24"/>
          <w:highlight w:val="none"/>
        </w:rPr>
        <w:t>3.项目</w:t>
      </w:r>
      <w:r>
        <w:rPr>
          <w:rFonts w:ascii="宋体" w:hAnsi="宋体" w:cs="宋体"/>
          <w:sz w:val="24"/>
          <w:highlight w:val="none"/>
        </w:rPr>
        <w:t>联系方式</w:t>
      </w:r>
      <w:bookmarkEnd w:id="39"/>
      <w:bookmarkEnd w:id="40"/>
    </w:p>
    <w:p>
      <w:pPr>
        <w:pStyle w:val="22"/>
        <w:spacing w:line="400" w:lineRule="exact"/>
        <w:ind w:firstLine="720" w:firstLineChars="300"/>
        <w:rPr>
          <w:rFonts w:hAnsi="宋体"/>
          <w:sz w:val="24"/>
          <w:highlight w:val="none"/>
        </w:rPr>
      </w:pPr>
      <w:r>
        <w:rPr>
          <w:rFonts w:hint="eastAsia" w:hAnsi="宋体"/>
          <w:sz w:val="24"/>
          <w:highlight w:val="none"/>
        </w:rPr>
        <w:t>项目联系人：</w:t>
      </w:r>
      <w:r>
        <w:rPr>
          <w:rFonts w:hint="eastAsia" w:hAnsi="宋体"/>
          <w:sz w:val="24"/>
          <w:highlight w:val="none"/>
          <w:u w:val="single"/>
        </w:rPr>
        <w:t>刘先生</w:t>
      </w:r>
    </w:p>
    <w:p>
      <w:pPr>
        <w:spacing w:line="400" w:lineRule="exact"/>
        <w:ind w:firstLine="720" w:firstLineChars="300"/>
        <w:rPr>
          <w:highlight w:val="none"/>
        </w:rPr>
      </w:pPr>
      <w:r>
        <w:rPr>
          <w:rFonts w:hint="eastAsia" w:ascii="宋体" w:hAnsi="宋体"/>
          <w:sz w:val="24"/>
          <w:highlight w:val="none"/>
        </w:rPr>
        <w:t>电      话：</w:t>
      </w:r>
      <w:r>
        <w:rPr>
          <w:rFonts w:ascii="宋体" w:hAnsi="宋体"/>
          <w:sz w:val="24"/>
          <w:highlight w:val="none"/>
          <w:u w:val="single"/>
        </w:rPr>
        <w:t>028-83375882</w:t>
      </w:r>
      <w:r>
        <w:rPr>
          <w:rFonts w:hint="eastAsia" w:ascii="宋体" w:hAnsi="宋体"/>
          <w:sz w:val="24"/>
          <w:highlight w:val="none"/>
          <w:u w:val="single"/>
        </w:rPr>
        <w:t>-815</w:t>
      </w:r>
    </w:p>
    <w:p>
      <w:pPr>
        <w:pStyle w:val="34"/>
        <w:spacing w:after="50" w:afterAutospacing="0" w:line="420" w:lineRule="exact"/>
        <w:ind w:right="120"/>
        <w:jc w:val="both"/>
        <w:rPr>
          <w:rFonts w:hAnsi="宋体"/>
          <w:sz w:val="24"/>
          <w:szCs w:val="24"/>
          <w:highlight w:val="none"/>
        </w:rPr>
        <w:sectPr>
          <w:footerReference r:id="rId11" w:type="default"/>
          <w:pgSz w:w="11907" w:h="16840"/>
          <w:pgMar w:top="1440" w:right="1474" w:bottom="1440" w:left="1474" w:header="851" w:footer="992" w:gutter="0"/>
          <w:pgNumType w:start="1"/>
          <w:cols w:space="720" w:num="1"/>
          <w:docGrid w:linePitch="312" w:charSpace="0"/>
        </w:sectPr>
      </w:pPr>
    </w:p>
    <w:p>
      <w:pPr>
        <w:pStyle w:val="3"/>
        <w:spacing w:before="0" w:after="0" w:line="360" w:lineRule="auto"/>
        <w:jc w:val="center"/>
        <w:rPr>
          <w:rFonts w:ascii="宋体" w:hAnsi="宋体"/>
          <w:sz w:val="36"/>
          <w:szCs w:val="36"/>
          <w:highlight w:val="none"/>
        </w:rPr>
      </w:pPr>
      <w:bookmarkStart w:id="41" w:name="_Toc53267582"/>
      <w:r>
        <w:rPr>
          <w:rFonts w:hint="eastAsia" w:ascii="宋体" w:hAnsi="宋体"/>
          <w:sz w:val="36"/>
          <w:szCs w:val="36"/>
          <w:highlight w:val="none"/>
        </w:rPr>
        <w:t xml:space="preserve">第二章  </w:t>
      </w:r>
      <w:bookmarkEnd w:id="31"/>
      <w:r>
        <w:rPr>
          <w:rFonts w:hint="eastAsia" w:ascii="宋体" w:hAnsi="宋体"/>
          <w:sz w:val="36"/>
          <w:szCs w:val="36"/>
          <w:highlight w:val="none"/>
        </w:rPr>
        <w:t>磋商须知</w:t>
      </w:r>
      <w:bookmarkEnd w:id="41"/>
    </w:p>
    <w:p>
      <w:pPr>
        <w:pStyle w:val="4"/>
        <w:spacing w:line="360" w:lineRule="auto"/>
        <w:jc w:val="center"/>
        <w:rPr>
          <w:rFonts w:ascii="宋体" w:hAnsi="宋体" w:eastAsia="宋体"/>
          <w:highlight w:val="none"/>
        </w:rPr>
      </w:pPr>
      <w:r>
        <w:rPr>
          <w:rFonts w:hint="eastAsia" w:ascii="宋体" w:hAnsi="宋体" w:eastAsia="宋体"/>
          <w:highlight w:val="none"/>
        </w:rPr>
        <w:t>一、供应商须知附表</w:t>
      </w:r>
    </w:p>
    <w:bookmarkEnd w:id="32"/>
    <w:bookmarkEnd w:id="33"/>
    <w:bookmarkEnd w:id="34"/>
    <w:bookmarkEnd w:id="35"/>
    <w:bookmarkEnd w:id="36"/>
    <w:tbl>
      <w:tblPr>
        <w:tblStyle w:val="38"/>
        <w:tblW w:w="9501"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85"/>
        <w:gridCol w:w="66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pStyle w:val="68"/>
              <w:spacing w:line="360" w:lineRule="auto"/>
              <w:ind w:left="9"/>
              <w:jc w:val="center"/>
              <w:rPr>
                <w:rFonts w:cs="Times New Roman"/>
                <w:b/>
                <w:kern w:val="2"/>
                <w:sz w:val="21"/>
                <w:szCs w:val="21"/>
                <w:highlight w:val="none"/>
              </w:rPr>
            </w:pPr>
            <w:r>
              <w:rPr>
                <w:rFonts w:hint="eastAsia" w:cs="Times New Roman"/>
                <w:b/>
                <w:kern w:val="2"/>
                <w:sz w:val="21"/>
                <w:szCs w:val="21"/>
                <w:highlight w:val="none"/>
              </w:rPr>
              <w:t>序号</w:t>
            </w:r>
          </w:p>
        </w:tc>
        <w:tc>
          <w:tcPr>
            <w:tcW w:w="1985" w:type="dxa"/>
            <w:vAlign w:val="center"/>
          </w:tcPr>
          <w:p>
            <w:pPr>
              <w:pStyle w:val="68"/>
              <w:spacing w:line="360" w:lineRule="auto"/>
              <w:ind w:left="38"/>
              <w:jc w:val="center"/>
              <w:rPr>
                <w:rFonts w:cs="Times New Roman"/>
                <w:b/>
                <w:kern w:val="2"/>
                <w:sz w:val="21"/>
                <w:szCs w:val="21"/>
                <w:highlight w:val="none"/>
              </w:rPr>
            </w:pPr>
            <w:r>
              <w:rPr>
                <w:rFonts w:hint="eastAsia" w:cs="Times New Roman"/>
                <w:b/>
                <w:kern w:val="2"/>
                <w:sz w:val="21"/>
                <w:szCs w:val="21"/>
                <w:highlight w:val="none"/>
              </w:rPr>
              <w:t>条款名称</w:t>
            </w:r>
          </w:p>
        </w:tc>
        <w:tc>
          <w:tcPr>
            <w:tcW w:w="6678" w:type="dxa"/>
            <w:vAlign w:val="center"/>
          </w:tcPr>
          <w:p>
            <w:pPr>
              <w:pStyle w:val="68"/>
              <w:spacing w:after="120" w:afterLines="50" w:line="288" w:lineRule="auto"/>
              <w:ind w:left="105" w:leftChars="50" w:right="105" w:rightChars="50"/>
              <w:jc w:val="center"/>
              <w:rPr>
                <w:rFonts w:cs="Times New Roman"/>
                <w:b/>
                <w:kern w:val="2"/>
                <w:sz w:val="21"/>
                <w:szCs w:val="21"/>
                <w:highlight w:val="none"/>
              </w:rPr>
            </w:pPr>
            <w:r>
              <w:rPr>
                <w:rFonts w:hint="eastAsia" w:cs="Times New Roman"/>
                <w:b/>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32" w:hRule="atLeast"/>
          <w:tblHeader/>
          <w:jc w:val="center"/>
        </w:trPr>
        <w:tc>
          <w:tcPr>
            <w:tcW w:w="838" w:type="dxa"/>
            <w:vAlign w:val="center"/>
          </w:tcPr>
          <w:p>
            <w:pPr>
              <w:pStyle w:val="68"/>
              <w:spacing w:line="360" w:lineRule="auto"/>
              <w:ind w:left="9"/>
              <w:jc w:val="center"/>
              <w:rPr>
                <w:rFonts w:cs="Times New Roman"/>
                <w:kern w:val="2"/>
                <w:sz w:val="21"/>
                <w:szCs w:val="21"/>
                <w:highlight w:val="none"/>
              </w:rPr>
            </w:pPr>
            <w:r>
              <w:rPr>
                <w:rFonts w:hint="eastAsia" w:cs="Times New Roman"/>
                <w:kern w:val="2"/>
                <w:sz w:val="21"/>
                <w:szCs w:val="21"/>
                <w:highlight w:val="none"/>
              </w:rPr>
              <w:t>1</w:t>
            </w:r>
          </w:p>
        </w:tc>
        <w:tc>
          <w:tcPr>
            <w:tcW w:w="1985" w:type="dxa"/>
            <w:vAlign w:val="center"/>
          </w:tcPr>
          <w:p>
            <w:pPr>
              <w:pStyle w:val="68"/>
              <w:spacing w:line="360" w:lineRule="auto"/>
              <w:ind w:left="38"/>
              <w:jc w:val="center"/>
              <w:rPr>
                <w:rFonts w:cs="Times New Roman"/>
                <w:kern w:val="2"/>
                <w:sz w:val="21"/>
                <w:szCs w:val="21"/>
                <w:highlight w:val="none"/>
              </w:rPr>
            </w:pPr>
            <w:r>
              <w:rPr>
                <w:rFonts w:hint="eastAsia" w:cs="Times New Roman"/>
                <w:kern w:val="2"/>
                <w:sz w:val="21"/>
                <w:szCs w:val="21"/>
                <w:highlight w:val="none"/>
              </w:rPr>
              <w:t>采购人</w:t>
            </w:r>
          </w:p>
        </w:tc>
        <w:tc>
          <w:tcPr>
            <w:tcW w:w="6678" w:type="dxa"/>
            <w:vAlign w:val="center"/>
          </w:tcPr>
          <w:p>
            <w:pPr>
              <w:pStyle w:val="68"/>
              <w:spacing w:after="120" w:afterLines="50" w:line="288" w:lineRule="auto"/>
              <w:ind w:left="105" w:leftChars="50" w:right="105" w:rightChars="50"/>
              <w:rPr>
                <w:rFonts w:hint="eastAsia" w:eastAsia="宋体" w:cs="Times New Roman"/>
                <w:kern w:val="2"/>
                <w:sz w:val="21"/>
                <w:szCs w:val="21"/>
                <w:highlight w:val="none"/>
                <w:lang w:eastAsia="zh-CN"/>
              </w:rPr>
            </w:pPr>
            <w:r>
              <w:rPr>
                <w:rFonts w:hint="eastAsia" w:cs="Times New Roman"/>
                <w:kern w:val="2"/>
                <w:sz w:val="21"/>
                <w:szCs w:val="21"/>
                <w:highlight w:val="none"/>
                <w:lang w:eastAsia="zh-CN"/>
              </w:rPr>
              <w:t xml:space="preserve">都江堰市人民医院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0" w:hRule="atLeast"/>
          <w:tblHeader/>
          <w:jc w:val="center"/>
        </w:trPr>
        <w:tc>
          <w:tcPr>
            <w:tcW w:w="838" w:type="dxa"/>
            <w:vAlign w:val="center"/>
          </w:tcPr>
          <w:p>
            <w:pPr>
              <w:pStyle w:val="68"/>
              <w:spacing w:line="360" w:lineRule="auto"/>
              <w:ind w:left="9"/>
              <w:jc w:val="center"/>
              <w:rPr>
                <w:rFonts w:cs="Times New Roman"/>
                <w:kern w:val="2"/>
                <w:sz w:val="21"/>
                <w:szCs w:val="21"/>
                <w:highlight w:val="none"/>
              </w:rPr>
            </w:pPr>
            <w:r>
              <w:rPr>
                <w:rFonts w:hint="eastAsia" w:cs="Times New Roman"/>
                <w:kern w:val="2"/>
                <w:sz w:val="21"/>
                <w:szCs w:val="21"/>
                <w:highlight w:val="none"/>
              </w:rPr>
              <w:t>2</w:t>
            </w:r>
          </w:p>
        </w:tc>
        <w:tc>
          <w:tcPr>
            <w:tcW w:w="1985" w:type="dxa"/>
            <w:vAlign w:val="center"/>
          </w:tcPr>
          <w:p>
            <w:pPr>
              <w:pStyle w:val="68"/>
              <w:spacing w:after="120" w:afterLines="50" w:line="288" w:lineRule="auto"/>
              <w:ind w:left="105" w:leftChars="50" w:right="105" w:rightChars="50"/>
              <w:jc w:val="center"/>
              <w:rPr>
                <w:rFonts w:cs="Times New Roman"/>
                <w:kern w:val="2"/>
                <w:sz w:val="21"/>
                <w:szCs w:val="21"/>
                <w:highlight w:val="none"/>
              </w:rPr>
            </w:pPr>
            <w:r>
              <w:rPr>
                <w:rFonts w:hint="eastAsia" w:cs="Times New Roman"/>
                <w:kern w:val="2"/>
                <w:sz w:val="21"/>
                <w:szCs w:val="21"/>
                <w:highlight w:val="none"/>
              </w:rPr>
              <w:t>采购代理机构</w:t>
            </w:r>
          </w:p>
          <w:p>
            <w:pPr>
              <w:pStyle w:val="68"/>
              <w:spacing w:after="120" w:afterLines="50" w:line="288" w:lineRule="auto"/>
              <w:ind w:left="105" w:leftChars="50" w:right="105" w:rightChars="50"/>
              <w:jc w:val="center"/>
              <w:rPr>
                <w:rFonts w:cs="Times New Roman"/>
                <w:kern w:val="2"/>
                <w:sz w:val="21"/>
                <w:szCs w:val="21"/>
                <w:highlight w:val="none"/>
              </w:rPr>
            </w:pPr>
            <w:r>
              <w:rPr>
                <w:rFonts w:hint="eastAsia" w:cs="Times New Roman"/>
                <w:kern w:val="2"/>
                <w:sz w:val="21"/>
                <w:szCs w:val="21"/>
                <w:highlight w:val="none"/>
              </w:rPr>
              <w:t>及联系方式</w:t>
            </w:r>
          </w:p>
        </w:tc>
        <w:tc>
          <w:tcPr>
            <w:tcW w:w="6678" w:type="dxa"/>
            <w:vAlign w:val="center"/>
          </w:tcPr>
          <w:p>
            <w:pPr>
              <w:pStyle w:val="68"/>
              <w:spacing w:after="120" w:afterLines="50" w:line="288" w:lineRule="auto"/>
              <w:ind w:left="105" w:leftChars="50" w:right="105" w:rightChars="50"/>
              <w:rPr>
                <w:rFonts w:cs="Times New Roman"/>
                <w:kern w:val="2"/>
                <w:sz w:val="21"/>
                <w:szCs w:val="21"/>
                <w:highlight w:val="none"/>
              </w:rPr>
            </w:pPr>
            <w:r>
              <w:rPr>
                <w:rFonts w:hint="eastAsia" w:cs="Times New Roman"/>
                <w:kern w:val="2"/>
                <w:sz w:val="21"/>
                <w:szCs w:val="21"/>
                <w:highlight w:val="none"/>
              </w:rPr>
              <w:t>名称：成都一问工程技术咨询有限公司</w:t>
            </w:r>
          </w:p>
          <w:p>
            <w:pPr>
              <w:pStyle w:val="68"/>
              <w:spacing w:after="120" w:afterLines="50" w:line="288" w:lineRule="auto"/>
              <w:ind w:left="105" w:leftChars="50" w:right="105" w:rightChars="50"/>
              <w:rPr>
                <w:rFonts w:cs="Times New Roman"/>
                <w:kern w:val="2"/>
                <w:sz w:val="21"/>
                <w:szCs w:val="21"/>
                <w:highlight w:val="none"/>
              </w:rPr>
            </w:pPr>
            <w:r>
              <w:rPr>
                <w:rFonts w:hint="eastAsia" w:cs="Times New Roman"/>
                <w:kern w:val="2"/>
                <w:sz w:val="21"/>
                <w:szCs w:val="21"/>
                <w:highlight w:val="none"/>
              </w:rPr>
              <w:t>地址：成都市金牛区一品天下大街999号金牛市民中心B座2102号</w:t>
            </w:r>
          </w:p>
          <w:p>
            <w:pPr>
              <w:pStyle w:val="68"/>
              <w:spacing w:after="120" w:afterLines="50" w:line="288" w:lineRule="auto"/>
              <w:ind w:left="105" w:leftChars="50" w:right="105" w:rightChars="50"/>
              <w:rPr>
                <w:rFonts w:cs="Times New Roman"/>
                <w:kern w:val="2"/>
                <w:sz w:val="21"/>
                <w:szCs w:val="21"/>
                <w:highlight w:val="none"/>
              </w:rPr>
            </w:pPr>
            <w:r>
              <w:rPr>
                <w:rFonts w:hint="eastAsia" w:cs="Times New Roman"/>
                <w:kern w:val="2"/>
                <w:sz w:val="21"/>
                <w:szCs w:val="21"/>
                <w:highlight w:val="none"/>
              </w:rPr>
              <w:t>标书售卖电话及联系人：028-83375882-801，刘女士</w:t>
            </w:r>
          </w:p>
          <w:p>
            <w:pPr>
              <w:pStyle w:val="68"/>
              <w:spacing w:after="120" w:afterLines="50" w:line="288" w:lineRule="auto"/>
              <w:ind w:left="105" w:leftChars="50" w:right="105" w:rightChars="50"/>
              <w:rPr>
                <w:rFonts w:cs="Times New Roman"/>
                <w:kern w:val="2"/>
                <w:sz w:val="21"/>
                <w:szCs w:val="21"/>
                <w:highlight w:val="none"/>
              </w:rPr>
            </w:pPr>
            <w:r>
              <w:rPr>
                <w:rFonts w:hint="eastAsia" w:cs="Times New Roman"/>
                <w:kern w:val="2"/>
                <w:sz w:val="21"/>
                <w:szCs w:val="21"/>
                <w:highlight w:val="none"/>
              </w:rPr>
              <w:t>采购文件、开标、评标工作咨询及中标通知书领取电话及联系人：028-83375882-815，</w:t>
            </w:r>
            <w:r>
              <w:rPr>
                <w:rFonts w:hint="eastAsia"/>
                <w:sz w:val="21"/>
                <w:szCs w:val="21"/>
                <w:highlight w:val="none"/>
              </w:rPr>
              <w:t>刘</w:t>
            </w:r>
            <w:r>
              <w:rPr>
                <w:rFonts w:hint="eastAsia" w:cs="Times New Roman"/>
                <w:kern w:val="2"/>
                <w:sz w:val="21"/>
                <w:szCs w:val="21"/>
                <w:highlight w:val="none"/>
              </w:rPr>
              <w:t>先生</w:t>
            </w:r>
          </w:p>
          <w:p>
            <w:pPr>
              <w:pStyle w:val="68"/>
              <w:spacing w:after="120" w:afterLines="50" w:line="288" w:lineRule="auto"/>
              <w:ind w:left="105" w:leftChars="50" w:right="105" w:rightChars="50"/>
              <w:rPr>
                <w:rFonts w:cs="Times New Roman"/>
                <w:kern w:val="2"/>
                <w:sz w:val="21"/>
                <w:szCs w:val="21"/>
                <w:highlight w:val="none"/>
              </w:rPr>
            </w:pPr>
            <w:r>
              <w:rPr>
                <w:rFonts w:hint="eastAsia" w:cs="Times New Roman"/>
                <w:kern w:val="2"/>
                <w:sz w:val="21"/>
                <w:szCs w:val="21"/>
                <w:highlight w:val="none"/>
              </w:rPr>
              <w:t>保证金缴纳及退还联系人：028-83407246，刘女士</w:t>
            </w:r>
          </w:p>
          <w:p>
            <w:pPr>
              <w:pStyle w:val="68"/>
              <w:spacing w:after="120" w:afterLines="50" w:line="288" w:lineRule="auto"/>
              <w:ind w:left="105" w:leftChars="50" w:right="105" w:rightChars="50"/>
              <w:rPr>
                <w:sz w:val="21"/>
                <w:szCs w:val="21"/>
                <w:highlight w:val="none"/>
              </w:rPr>
            </w:pPr>
            <w:r>
              <w:rPr>
                <w:rFonts w:hint="eastAsia" w:cs="Times New Roman"/>
                <w:kern w:val="2"/>
                <w:sz w:val="21"/>
                <w:szCs w:val="21"/>
                <w:highlight w:val="none"/>
              </w:rPr>
              <w:t>询问、质疑处理联系人：028-83375882-819，李先生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0" w:hRule="atLeast"/>
          <w:tblHeader/>
          <w:jc w:val="center"/>
        </w:trPr>
        <w:tc>
          <w:tcPr>
            <w:tcW w:w="838" w:type="dxa"/>
            <w:vAlign w:val="center"/>
          </w:tcPr>
          <w:p>
            <w:pPr>
              <w:pStyle w:val="68"/>
              <w:spacing w:line="360" w:lineRule="auto"/>
              <w:ind w:left="9"/>
              <w:jc w:val="center"/>
              <w:rPr>
                <w:rFonts w:cs="Times New Roman"/>
                <w:kern w:val="2"/>
                <w:sz w:val="21"/>
                <w:szCs w:val="21"/>
                <w:highlight w:val="none"/>
              </w:rPr>
            </w:pPr>
            <w:r>
              <w:rPr>
                <w:rFonts w:hint="eastAsia" w:cs="Times New Roman"/>
                <w:kern w:val="2"/>
                <w:sz w:val="21"/>
                <w:szCs w:val="21"/>
                <w:highlight w:val="none"/>
              </w:rPr>
              <w:t>3</w:t>
            </w:r>
          </w:p>
        </w:tc>
        <w:tc>
          <w:tcPr>
            <w:tcW w:w="1985" w:type="dxa"/>
            <w:vAlign w:val="center"/>
          </w:tcPr>
          <w:p>
            <w:pPr>
              <w:pStyle w:val="68"/>
              <w:spacing w:after="120" w:afterLines="50" w:line="288" w:lineRule="auto"/>
              <w:ind w:left="105" w:leftChars="50" w:right="105" w:rightChars="50"/>
              <w:jc w:val="center"/>
              <w:rPr>
                <w:rFonts w:cs="Times New Roman"/>
                <w:kern w:val="2"/>
                <w:sz w:val="21"/>
                <w:szCs w:val="21"/>
                <w:highlight w:val="none"/>
              </w:rPr>
            </w:pPr>
            <w:r>
              <w:rPr>
                <w:rFonts w:hint="eastAsia" w:cs="Times New Roman"/>
                <w:kern w:val="2"/>
                <w:sz w:val="21"/>
                <w:szCs w:val="21"/>
                <w:highlight w:val="none"/>
              </w:rPr>
              <w:t>供应商邀请方式</w:t>
            </w:r>
          </w:p>
        </w:tc>
        <w:tc>
          <w:tcPr>
            <w:tcW w:w="6678" w:type="dxa"/>
            <w:vAlign w:val="center"/>
          </w:tcPr>
          <w:p>
            <w:pPr>
              <w:pStyle w:val="2"/>
              <w:spacing w:line="420" w:lineRule="exact"/>
              <w:rPr>
                <w:rFonts w:cs="Times New Roman"/>
                <w:color w:val="auto"/>
                <w:kern w:val="2"/>
                <w:sz w:val="21"/>
                <w:szCs w:val="21"/>
                <w:highlight w:val="none"/>
              </w:rPr>
            </w:pPr>
            <w:r>
              <w:rPr>
                <w:rFonts w:hint="eastAsia" w:hAnsi="宋体"/>
                <w:bCs/>
                <w:color w:val="auto"/>
                <w:sz w:val="21"/>
                <w:szCs w:val="21"/>
                <w:highlight w:val="none"/>
              </w:rPr>
              <w:t>公告方式：本次竞争性磋商邀请在四川政府采购网上以公告形式发布。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95" w:hRule="atLeast"/>
          <w:tblHeader/>
          <w:jc w:val="center"/>
        </w:trPr>
        <w:tc>
          <w:tcPr>
            <w:tcW w:w="838" w:type="dxa"/>
            <w:vAlign w:val="center"/>
          </w:tcPr>
          <w:p>
            <w:pPr>
              <w:pStyle w:val="68"/>
              <w:spacing w:line="360" w:lineRule="auto"/>
              <w:ind w:left="9"/>
              <w:jc w:val="center"/>
              <w:rPr>
                <w:rFonts w:cs="Times New Roman"/>
                <w:kern w:val="2"/>
                <w:sz w:val="21"/>
                <w:szCs w:val="21"/>
                <w:highlight w:val="none"/>
              </w:rPr>
            </w:pPr>
            <w:r>
              <w:rPr>
                <w:rFonts w:hint="eastAsia" w:cs="Times New Roman"/>
                <w:kern w:val="2"/>
                <w:sz w:val="21"/>
                <w:szCs w:val="21"/>
                <w:highlight w:val="none"/>
              </w:rPr>
              <w:t>4</w:t>
            </w:r>
          </w:p>
        </w:tc>
        <w:tc>
          <w:tcPr>
            <w:tcW w:w="1985" w:type="dxa"/>
            <w:vAlign w:val="center"/>
          </w:tcPr>
          <w:p>
            <w:pPr>
              <w:pStyle w:val="68"/>
              <w:spacing w:line="360" w:lineRule="auto"/>
              <w:ind w:left="38"/>
              <w:jc w:val="center"/>
              <w:rPr>
                <w:rFonts w:cs="Times New Roman"/>
                <w:kern w:val="2"/>
                <w:sz w:val="21"/>
                <w:szCs w:val="21"/>
                <w:highlight w:val="none"/>
              </w:rPr>
            </w:pPr>
            <w:r>
              <w:rPr>
                <w:rFonts w:hint="eastAsia" w:cs="Times New Roman"/>
                <w:kern w:val="2"/>
                <w:sz w:val="21"/>
                <w:szCs w:val="21"/>
                <w:highlight w:val="none"/>
              </w:rPr>
              <w:t>拒绝参加本次采购活动的供应商</w:t>
            </w:r>
          </w:p>
        </w:tc>
        <w:tc>
          <w:tcPr>
            <w:tcW w:w="6678" w:type="dxa"/>
            <w:vAlign w:val="center"/>
          </w:tcPr>
          <w:p>
            <w:pPr>
              <w:pStyle w:val="68"/>
              <w:spacing w:after="120" w:afterLines="50" w:line="288" w:lineRule="auto"/>
              <w:ind w:left="105" w:leftChars="50" w:right="105" w:rightChars="50"/>
              <w:rPr>
                <w:rFonts w:cs="Times New Roman"/>
                <w:kern w:val="2"/>
                <w:sz w:val="21"/>
                <w:szCs w:val="21"/>
                <w:highlight w:val="none"/>
              </w:rPr>
            </w:pPr>
            <w:r>
              <w:rPr>
                <w:rFonts w:hint="eastAsia" w:cs="Times New Roman"/>
                <w:kern w:val="2"/>
                <w:sz w:val="21"/>
                <w:szCs w:val="21"/>
                <w:highlight w:val="none"/>
              </w:rPr>
              <w:t>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4" w:hRule="atLeast"/>
          <w:tblHeader/>
          <w:jc w:val="center"/>
        </w:trPr>
        <w:tc>
          <w:tcPr>
            <w:tcW w:w="838" w:type="dxa"/>
            <w:vAlign w:val="center"/>
          </w:tcPr>
          <w:p>
            <w:pPr>
              <w:pStyle w:val="68"/>
              <w:spacing w:line="360" w:lineRule="auto"/>
              <w:ind w:left="9"/>
              <w:jc w:val="center"/>
              <w:rPr>
                <w:rFonts w:cs="Times New Roman"/>
                <w:kern w:val="2"/>
                <w:sz w:val="21"/>
                <w:szCs w:val="21"/>
                <w:highlight w:val="none"/>
              </w:rPr>
            </w:pPr>
            <w:r>
              <w:rPr>
                <w:rFonts w:hint="eastAsia" w:cs="Times New Roman"/>
                <w:kern w:val="2"/>
                <w:sz w:val="21"/>
                <w:szCs w:val="21"/>
                <w:highlight w:val="none"/>
              </w:rPr>
              <w:t>5</w:t>
            </w:r>
          </w:p>
        </w:tc>
        <w:tc>
          <w:tcPr>
            <w:tcW w:w="1985" w:type="dxa"/>
            <w:vAlign w:val="center"/>
          </w:tcPr>
          <w:p>
            <w:pPr>
              <w:pStyle w:val="68"/>
              <w:spacing w:line="360" w:lineRule="auto"/>
              <w:ind w:left="38"/>
              <w:jc w:val="center"/>
              <w:rPr>
                <w:rFonts w:cs="Times New Roman"/>
                <w:kern w:val="2"/>
                <w:sz w:val="21"/>
                <w:szCs w:val="21"/>
                <w:highlight w:val="none"/>
              </w:rPr>
            </w:pPr>
            <w:r>
              <w:rPr>
                <w:rFonts w:hint="eastAsia" w:cs="Times New Roman"/>
                <w:kern w:val="2"/>
                <w:sz w:val="21"/>
                <w:szCs w:val="21"/>
                <w:highlight w:val="none"/>
              </w:rPr>
              <w:t>采购方式</w:t>
            </w:r>
          </w:p>
        </w:tc>
        <w:tc>
          <w:tcPr>
            <w:tcW w:w="6678" w:type="dxa"/>
            <w:vAlign w:val="center"/>
          </w:tcPr>
          <w:p>
            <w:pPr>
              <w:pStyle w:val="68"/>
              <w:spacing w:after="120" w:afterLines="50" w:line="288" w:lineRule="auto"/>
              <w:ind w:left="105" w:leftChars="50" w:right="105" w:rightChars="50"/>
              <w:rPr>
                <w:rFonts w:cs="Times New Roman"/>
                <w:kern w:val="2"/>
                <w:sz w:val="21"/>
                <w:szCs w:val="21"/>
                <w:highlight w:val="none"/>
              </w:rPr>
            </w:pPr>
            <w:r>
              <w:rPr>
                <w:rFonts w:hint="eastAsia" w:cs="Times New Roman"/>
                <w:kern w:val="2"/>
                <w:sz w:val="21"/>
                <w:szCs w:val="21"/>
                <w:highlight w:val="none"/>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restart"/>
            <w:vAlign w:val="center"/>
          </w:tcPr>
          <w:p>
            <w:pPr>
              <w:pStyle w:val="68"/>
              <w:spacing w:line="360" w:lineRule="auto"/>
              <w:ind w:left="9"/>
              <w:jc w:val="center"/>
              <w:rPr>
                <w:rFonts w:cs="Times New Roman"/>
                <w:kern w:val="2"/>
                <w:sz w:val="21"/>
                <w:szCs w:val="21"/>
                <w:highlight w:val="none"/>
              </w:rPr>
            </w:pPr>
            <w:r>
              <w:rPr>
                <w:rFonts w:hint="eastAsia" w:cs="Times New Roman"/>
                <w:kern w:val="2"/>
                <w:sz w:val="21"/>
                <w:szCs w:val="21"/>
                <w:highlight w:val="none"/>
              </w:rPr>
              <w:t>6</w:t>
            </w:r>
          </w:p>
        </w:tc>
        <w:tc>
          <w:tcPr>
            <w:tcW w:w="1985" w:type="dxa"/>
            <w:tcBorders>
              <w:bottom w:val="single" w:color="auto" w:sz="4" w:space="0"/>
            </w:tcBorders>
            <w:vAlign w:val="center"/>
          </w:tcPr>
          <w:p>
            <w:pPr>
              <w:pStyle w:val="68"/>
              <w:spacing w:line="360" w:lineRule="auto"/>
              <w:ind w:left="38"/>
              <w:jc w:val="center"/>
              <w:rPr>
                <w:rFonts w:cs="Times New Roman"/>
                <w:b/>
                <w:kern w:val="2"/>
                <w:sz w:val="21"/>
                <w:szCs w:val="21"/>
                <w:highlight w:val="none"/>
              </w:rPr>
            </w:pPr>
            <w:r>
              <w:rPr>
                <w:rFonts w:hint="eastAsia" w:cs="Times New Roman"/>
                <w:b/>
                <w:kern w:val="2"/>
                <w:sz w:val="21"/>
                <w:szCs w:val="21"/>
                <w:highlight w:val="none"/>
              </w:rPr>
              <w:t>采购预算</w:t>
            </w:r>
          </w:p>
          <w:p>
            <w:pPr>
              <w:pStyle w:val="68"/>
              <w:spacing w:line="360" w:lineRule="auto"/>
              <w:ind w:left="38"/>
              <w:jc w:val="center"/>
              <w:rPr>
                <w:rFonts w:cs="Times New Roman"/>
                <w:b/>
                <w:kern w:val="2"/>
                <w:sz w:val="21"/>
                <w:szCs w:val="21"/>
                <w:highlight w:val="none"/>
              </w:rPr>
            </w:pPr>
            <w:r>
              <w:rPr>
                <w:rFonts w:hint="eastAsia"/>
                <w:b/>
                <w:sz w:val="21"/>
                <w:szCs w:val="21"/>
                <w:highlight w:val="none"/>
              </w:rPr>
              <w:t>（实质性要求）</w:t>
            </w:r>
          </w:p>
        </w:tc>
        <w:tc>
          <w:tcPr>
            <w:tcW w:w="6678" w:type="dxa"/>
            <w:tcBorders>
              <w:bottom w:val="single" w:color="auto" w:sz="4" w:space="0"/>
            </w:tcBorders>
            <w:vAlign w:val="center"/>
          </w:tcPr>
          <w:p>
            <w:pPr>
              <w:spacing w:line="40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采购品目：C190107健康检查服务；采购预算：1500000元。</w:t>
            </w:r>
          </w:p>
          <w:p>
            <w:pPr>
              <w:pStyle w:val="68"/>
              <w:spacing w:after="120" w:afterLines="50" w:line="288" w:lineRule="auto"/>
              <w:ind w:right="105" w:rightChars="50"/>
              <w:rPr>
                <w:sz w:val="21"/>
                <w:szCs w:val="21"/>
                <w:highlight w:val="none"/>
              </w:rPr>
            </w:pPr>
            <w:r>
              <w:rPr>
                <w:rFonts w:hint="eastAsia"/>
                <w:sz w:val="21"/>
                <w:szCs w:val="21"/>
                <w:highlight w:val="none"/>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szCs w:val="21"/>
                <w:highlight w:val="none"/>
              </w:rPr>
            </w:pPr>
          </w:p>
        </w:tc>
        <w:tc>
          <w:tcPr>
            <w:tcW w:w="1985" w:type="dxa"/>
            <w:tcBorders>
              <w:top w:val="single" w:color="auto" w:sz="4" w:space="0"/>
            </w:tcBorders>
            <w:vAlign w:val="center"/>
          </w:tcPr>
          <w:p>
            <w:pPr>
              <w:pStyle w:val="68"/>
              <w:spacing w:line="360" w:lineRule="auto"/>
              <w:jc w:val="center"/>
              <w:rPr>
                <w:rFonts w:cs="Times New Roman"/>
                <w:b/>
                <w:kern w:val="2"/>
                <w:sz w:val="21"/>
                <w:szCs w:val="21"/>
                <w:highlight w:val="none"/>
              </w:rPr>
            </w:pPr>
            <w:r>
              <w:rPr>
                <w:rFonts w:hint="eastAsia" w:cs="Times New Roman"/>
                <w:b/>
                <w:kern w:val="2"/>
                <w:sz w:val="21"/>
                <w:szCs w:val="21"/>
                <w:highlight w:val="none"/>
              </w:rPr>
              <w:t>最高限价</w:t>
            </w:r>
          </w:p>
          <w:p>
            <w:pPr>
              <w:pStyle w:val="68"/>
              <w:spacing w:line="360" w:lineRule="auto"/>
              <w:jc w:val="center"/>
              <w:rPr>
                <w:rFonts w:cs="Times New Roman"/>
                <w:kern w:val="2"/>
                <w:sz w:val="21"/>
                <w:szCs w:val="21"/>
                <w:highlight w:val="none"/>
              </w:rPr>
            </w:pPr>
            <w:r>
              <w:rPr>
                <w:rFonts w:hint="eastAsia"/>
                <w:b/>
                <w:sz w:val="21"/>
                <w:szCs w:val="21"/>
                <w:highlight w:val="none"/>
              </w:rPr>
              <w:t>（实质性要求）</w:t>
            </w:r>
          </w:p>
        </w:tc>
        <w:tc>
          <w:tcPr>
            <w:tcW w:w="6678" w:type="dxa"/>
            <w:tcBorders>
              <w:top w:val="single" w:color="auto" w:sz="4" w:space="0"/>
            </w:tcBorders>
            <w:vAlign w:val="center"/>
          </w:tcPr>
          <w:p>
            <w:pPr>
              <w:pStyle w:val="17"/>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最高限价：单价限价：三甲医院收费标准的</w:t>
            </w:r>
            <w:r>
              <w:rPr>
                <w:rFonts w:hint="eastAsia" w:ascii="宋体" w:hAnsi="宋体" w:cs="宋体"/>
                <w:sz w:val="21"/>
                <w:szCs w:val="21"/>
                <w:highlight w:val="none"/>
                <w:lang w:val="en-US" w:eastAsia="zh-CN" w:bidi="ar-SA"/>
              </w:rPr>
              <w:t>48</w:t>
            </w:r>
            <w:r>
              <w:rPr>
                <w:rFonts w:hint="eastAsia" w:ascii="宋体" w:hAnsi="宋体" w:eastAsia="宋体" w:cs="宋体"/>
                <w:sz w:val="21"/>
                <w:szCs w:val="21"/>
                <w:highlight w:val="none"/>
                <w:lang w:val="zh-CN" w:eastAsia="zh-CN" w:bidi="ar-SA"/>
              </w:rPr>
              <w:t>%，最终结算价不超过1500000元。</w:t>
            </w:r>
            <w:r>
              <w:rPr>
                <w:rFonts w:hint="eastAsia" w:ascii="宋体" w:hAnsi="宋体" w:eastAsia="宋体" w:cs="宋体"/>
                <w:sz w:val="21"/>
                <w:szCs w:val="21"/>
                <w:highlight w:val="none"/>
                <w:lang w:val="en-US" w:eastAsia="zh-CN" w:bidi="ar-SA"/>
              </w:rPr>
              <w:t>（三甲医院收费标准的48%详见第五章）</w:t>
            </w:r>
          </w:p>
          <w:p>
            <w:pPr>
              <w:pStyle w:val="68"/>
              <w:spacing w:after="120" w:afterLines="50" w:line="288" w:lineRule="auto"/>
              <w:ind w:right="105" w:rightChars="50"/>
              <w:rPr>
                <w:sz w:val="21"/>
                <w:szCs w:val="21"/>
                <w:highlight w:val="none"/>
                <w:lang w:val="zh-CN"/>
              </w:rPr>
            </w:pPr>
            <w:r>
              <w:rPr>
                <w:rFonts w:hint="eastAsia"/>
                <w:sz w:val="21"/>
                <w:szCs w:val="21"/>
                <w:highlight w:val="none"/>
                <w:lang w:val="zh-CN"/>
              </w:rPr>
              <w:t>最后报价超过最高限价</w:t>
            </w:r>
            <w:r>
              <w:rPr>
                <w:rFonts w:hint="eastAsia"/>
                <w:sz w:val="21"/>
                <w:szCs w:val="21"/>
                <w:highlight w:val="none"/>
                <w:lang w:val="en-US" w:eastAsia="zh-CN"/>
              </w:rPr>
              <w:t>或</w:t>
            </w:r>
            <w:r>
              <w:rPr>
                <w:rFonts w:hint="eastAsia"/>
                <w:sz w:val="21"/>
                <w:szCs w:val="21"/>
                <w:highlight w:val="none"/>
              </w:rPr>
              <w:t>单价限价</w:t>
            </w:r>
            <w:r>
              <w:rPr>
                <w:rFonts w:hint="eastAsia"/>
                <w:sz w:val="21"/>
                <w:szCs w:val="21"/>
                <w:highlight w:val="none"/>
                <w:lang w:val="zh-CN"/>
              </w:rPr>
              <w:t>,其响应文件按无效处理。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7</w:t>
            </w:r>
          </w:p>
        </w:tc>
        <w:tc>
          <w:tcPr>
            <w:tcW w:w="1985" w:type="dxa"/>
            <w:vAlign w:val="center"/>
          </w:tcPr>
          <w:p>
            <w:pPr>
              <w:pStyle w:val="68"/>
              <w:spacing w:line="360" w:lineRule="auto"/>
              <w:ind w:left="38"/>
              <w:jc w:val="center"/>
              <w:rPr>
                <w:rFonts w:cs="Times New Roman"/>
                <w:b/>
                <w:kern w:val="2"/>
                <w:sz w:val="21"/>
                <w:szCs w:val="21"/>
                <w:highlight w:val="none"/>
              </w:rPr>
            </w:pPr>
            <w:r>
              <w:rPr>
                <w:rFonts w:hint="eastAsia" w:cs="Times New Roman"/>
                <w:b/>
                <w:kern w:val="2"/>
                <w:sz w:val="21"/>
                <w:szCs w:val="21"/>
                <w:highlight w:val="none"/>
              </w:rPr>
              <w:t>低于成本价不正当</w:t>
            </w:r>
          </w:p>
          <w:p>
            <w:pPr>
              <w:pStyle w:val="68"/>
              <w:spacing w:line="360" w:lineRule="auto"/>
              <w:ind w:left="38"/>
              <w:jc w:val="center"/>
              <w:rPr>
                <w:rFonts w:cs="Times New Roman"/>
                <w:b/>
                <w:kern w:val="2"/>
                <w:sz w:val="21"/>
                <w:szCs w:val="21"/>
                <w:highlight w:val="none"/>
              </w:rPr>
            </w:pPr>
            <w:r>
              <w:rPr>
                <w:rFonts w:hint="eastAsia" w:cs="Times New Roman"/>
                <w:b/>
                <w:kern w:val="2"/>
                <w:sz w:val="21"/>
                <w:szCs w:val="21"/>
                <w:highlight w:val="none"/>
              </w:rPr>
              <w:t>竞争预防措施</w:t>
            </w:r>
          </w:p>
          <w:p>
            <w:pPr>
              <w:pStyle w:val="68"/>
              <w:spacing w:line="360" w:lineRule="auto"/>
              <w:ind w:left="38"/>
              <w:jc w:val="center"/>
              <w:rPr>
                <w:rFonts w:cs="Times New Roman"/>
                <w:kern w:val="2"/>
                <w:sz w:val="21"/>
                <w:szCs w:val="21"/>
                <w:highlight w:val="none"/>
              </w:rPr>
            </w:pPr>
            <w:r>
              <w:rPr>
                <w:rFonts w:hint="eastAsia"/>
                <w:b/>
                <w:sz w:val="21"/>
                <w:szCs w:val="21"/>
                <w:highlight w:val="none"/>
              </w:rPr>
              <w:t>（实质性要求）</w:t>
            </w:r>
          </w:p>
        </w:tc>
        <w:tc>
          <w:tcPr>
            <w:tcW w:w="6678" w:type="dxa"/>
            <w:vAlign w:val="center"/>
          </w:tcPr>
          <w:p>
            <w:pPr>
              <w:pStyle w:val="68"/>
              <w:jc w:val="both"/>
              <w:rPr>
                <w:rFonts w:cs="Times New Roman"/>
                <w:kern w:val="2"/>
                <w:sz w:val="21"/>
                <w:szCs w:val="21"/>
                <w:highlight w:val="none"/>
              </w:rPr>
            </w:pPr>
            <w:r>
              <w:rPr>
                <w:rFonts w:hint="eastAsia" w:cs="Times New Roman"/>
                <w:kern w:val="2"/>
                <w:sz w:val="21"/>
                <w:szCs w:val="21"/>
                <w:highlight w:val="none"/>
              </w:rPr>
              <w:t>1. 在评审过程中，磋商小组认为响应人的报价明显低于其他通过资格性审查响应人的报价，有可能影响产品质量或者不能诚信履约的，磋商小组应当要求其在现场合理的时间内提供书面说明，并提交相关证明材料，响应人不能证明其报价合理性的，磋商小组应当将其作为无效响应处理。</w:t>
            </w:r>
          </w:p>
          <w:p>
            <w:pPr>
              <w:pStyle w:val="68"/>
              <w:jc w:val="both"/>
              <w:rPr>
                <w:rFonts w:cs="Times New Roman"/>
                <w:kern w:val="2"/>
                <w:sz w:val="21"/>
                <w:szCs w:val="21"/>
                <w:highlight w:val="none"/>
              </w:rPr>
            </w:pPr>
            <w:r>
              <w:rPr>
                <w:rFonts w:hint="eastAsia" w:cs="Times New Roman"/>
                <w:kern w:val="2"/>
                <w:sz w:val="21"/>
                <w:szCs w:val="21"/>
                <w:highlight w:val="none"/>
              </w:rPr>
              <w:t>2.响应人的书面说明材料应当按照国家财务会计制度的规定要求，逐项就响应人提供的产品、工程和服务的主营业务成本、税金及附加、销售费用、管理费用、财务费用等成本构成事项详细陈述。</w:t>
            </w:r>
          </w:p>
          <w:p>
            <w:pPr>
              <w:pStyle w:val="68"/>
              <w:jc w:val="both"/>
              <w:rPr>
                <w:rFonts w:cs="Times New Roman"/>
                <w:kern w:val="2"/>
                <w:sz w:val="21"/>
                <w:szCs w:val="21"/>
                <w:highlight w:val="none"/>
              </w:rPr>
            </w:pPr>
            <w:r>
              <w:rPr>
                <w:rFonts w:hint="eastAsia" w:cs="Times New Roman"/>
                <w:kern w:val="2"/>
                <w:sz w:val="21"/>
                <w:szCs w:val="21"/>
                <w:highlight w:val="none"/>
              </w:rPr>
              <w:t>3.响应人书面说明应当签字确认或者加盖公章，否则无效。书面说明的签字确认，由其法定代表人/主要负责人/本人或者其授权代表签字确认。</w:t>
            </w:r>
          </w:p>
          <w:p>
            <w:pPr>
              <w:pStyle w:val="68"/>
              <w:spacing w:after="120" w:afterLines="50" w:line="288" w:lineRule="auto"/>
              <w:ind w:right="105" w:rightChars="50"/>
              <w:rPr>
                <w:rFonts w:cs="Times New Roman"/>
                <w:kern w:val="2"/>
                <w:sz w:val="21"/>
                <w:szCs w:val="21"/>
                <w:highlight w:val="none"/>
              </w:rPr>
            </w:pPr>
            <w:r>
              <w:rPr>
                <w:rFonts w:hint="eastAsia" w:cs="Times New Roman"/>
                <w:kern w:val="2"/>
                <w:sz w:val="21"/>
                <w:szCs w:val="21"/>
                <w:highlight w:val="none"/>
              </w:rPr>
              <w:t>4.响应人提供书面说明后，磋商小组应当结合采购项目采购需求、专业实际情况、响应人财务状况报告、与其他响应人比较情况等就响应人书面说明进行审查评价。响应人拒绝或者变相拒绝提供有效书面说明或者书面说明不能证明其报价合理性的或未在规定时间内递交有效书面说明书的，磋商小组应当将其响应文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98"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8</w:t>
            </w:r>
          </w:p>
        </w:tc>
        <w:tc>
          <w:tcPr>
            <w:tcW w:w="1985" w:type="dxa"/>
            <w:vAlign w:val="center"/>
          </w:tcPr>
          <w:p>
            <w:pPr>
              <w:pStyle w:val="68"/>
              <w:ind w:left="38"/>
              <w:jc w:val="center"/>
              <w:rPr>
                <w:rFonts w:cs="Times New Roman"/>
                <w:b/>
                <w:kern w:val="2"/>
                <w:sz w:val="21"/>
                <w:szCs w:val="21"/>
                <w:highlight w:val="none"/>
              </w:rPr>
            </w:pPr>
            <w:r>
              <w:rPr>
                <w:rFonts w:hint="eastAsia"/>
                <w:b/>
                <w:sz w:val="21"/>
                <w:szCs w:val="21"/>
                <w:highlight w:val="none"/>
              </w:rPr>
              <w:t>本项目采购标的对应的中小企业划分标准所属行业</w:t>
            </w:r>
          </w:p>
        </w:tc>
        <w:tc>
          <w:tcPr>
            <w:tcW w:w="6678" w:type="dxa"/>
            <w:vAlign w:val="center"/>
          </w:tcPr>
          <w:p>
            <w:pPr>
              <w:pStyle w:val="68"/>
              <w:ind w:firstLine="210" w:firstLineChars="100"/>
              <w:jc w:val="both"/>
              <w:rPr>
                <w:sz w:val="21"/>
                <w:szCs w:val="21"/>
                <w:highlight w:val="none"/>
              </w:rPr>
            </w:pPr>
            <w:r>
              <w:rPr>
                <w:rFonts w:hint="eastAsia"/>
                <w:sz w:val="21"/>
                <w:szCs w:val="21"/>
                <w:highlight w:val="none"/>
              </w:rPr>
              <w:t>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9</w:t>
            </w:r>
          </w:p>
        </w:tc>
        <w:tc>
          <w:tcPr>
            <w:tcW w:w="1985" w:type="dxa"/>
            <w:vAlign w:val="center"/>
          </w:tcPr>
          <w:p>
            <w:pPr>
              <w:pStyle w:val="68"/>
              <w:ind w:left="38"/>
              <w:jc w:val="center"/>
              <w:rPr>
                <w:rFonts w:cs="Times New Roman"/>
                <w:b/>
                <w:kern w:val="2"/>
                <w:sz w:val="21"/>
                <w:szCs w:val="21"/>
                <w:highlight w:val="none"/>
              </w:rPr>
            </w:pPr>
            <w:r>
              <w:rPr>
                <w:rFonts w:hint="eastAsia"/>
                <w:b/>
                <w:bCs/>
                <w:sz w:val="21"/>
                <w:szCs w:val="21"/>
                <w:highlight w:val="none"/>
                <w:lang w:val="zh-CN"/>
              </w:rPr>
              <w:t>失信企业报价加成</w:t>
            </w:r>
            <w:r>
              <w:rPr>
                <w:rFonts w:hint="eastAsia"/>
                <w:b/>
                <w:sz w:val="21"/>
                <w:szCs w:val="21"/>
                <w:highlight w:val="none"/>
              </w:rPr>
              <w:t>（实质性要求）</w:t>
            </w:r>
          </w:p>
        </w:tc>
        <w:tc>
          <w:tcPr>
            <w:tcW w:w="6678" w:type="dxa"/>
            <w:vAlign w:val="center"/>
          </w:tcPr>
          <w:p>
            <w:pPr>
              <w:spacing w:after="120" w:afterLines="50" w:line="288" w:lineRule="auto"/>
              <w:ind w:left="105" w:leftChars="50" w:right="105" w:rightChars="50"/>
              <w:jc w:val="left"/>
              <w:rPr>
                <w:rFonts w:ascii="宋体" w:hAnsi="宋体"/>
                <w:szCs w:val="21"/>
                <w:highlight w:val="none"/>
              </w:rPr>
            </w:pPr>
            <w:r>
              <w:rPr>
                <w:rFonts w:hint="eastAsia" w:ascii="宋体" w:hAnsi="宋体"/>
                <w:szCs w:val="21"/>
                <w:highlight w:val="none"/>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w:t>
            </w:r>
            <w:r>
              <w:rPr>
                <w:rFonts w:hint="eastAsia" w:ascii="宋体" w:hAnsi="宋体"/>
                <w:szCs w:val="21"/>
                <w:highlight w:val="none"/>
                <w:lang w:eastAsia="zh-CN"/>
              </w:rPr>
              <w:t>响应文件</w:t>
            </w:r>
            <w:r>
              <w:rPr>
                <w:rFonts w:hint="eastAsia" w:ascii="宋体" w:hAnsi="宋体"/>
                <w:szCs w:val="21"/>
                <w:highlight w:val="none"/>
              </w:rPr>
              <w:t>按照无效处理。</w:t>
            </w:r>
          </w:p>
          <w:p>
            <w:pPr>
              <w:pStyle w:val="68"/>
              <w:spacing w:after="120" w:afterLines="50" w:line="288" w:lineRule="auto"/>
              <w:ind w:left="105" w:leftChars="50" w:right="105" w:rightChars="50"/>
              <w:rPr>
                <w:sz w:val="21"/>
                <w:szCs w:val="21"/>
                <w:highlight w:val="none"/>
              </w:rPr>
            </w:pPr>
            <w:r>
              <w:rPr>
                <w:rFonts w:hint="eastAsia"/>
                <w:sz w:val="21"/>
                <w:szCs w:val="21"/>
                <w:highlight w:val="none"/>
              </w:rPr>
              <w:t>2、供应商参加政府采购活动时，应当就自己的诚信情况在</w:t>
            </w:r>
            <w:r>
              <w:rPr>
                <w:rFonts w:hint="eastAsia"/>
                <w:sz w:val="21"/>
                <w:szCs w:val="21"/>
                <w:highlight w:val="none"/>
                <w:lang w:eastAsia="zh-CN"/>
              </w:rPr>
              <w:t>响应文件</w:t>
            </w:r>
            <w:r>
              <w:rPr>
                <w:rFonts w:hint="eastAsia"/>
                <w:sz w:val="21"/>
                <w:szCs w:val="21"/>
                <w:highlight w:val="none"/>
              </w:rPr>
              <w:t>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10</w:t>
            </w:r>
          </w:p>
        </w:tc>
        <w:tc>
          <w:tcPr>
            <w:tcW w:w="1985" w:type="dxa"/>
            <w:vAlign w:val="center"/>
          </w:tcPr>
          <w:p>
            <w:pPr>
              <w:spacing w:line="360" w:lineRule="auto"/>
              <w:ind w:left="105" w:leftChars="50" w:right="105" w:rightChars="50"/>
              <w:jc w:val="center"/>
              <w:rPr>
                <w:rFonts w:ascii="宋体"/>
                <w:b/>
                <w:kern w:val="0"/>
                <w:szCs w:val="21"/>
                <w:highlight w:val="none"/>
              </w:rPr>
            </w:pPr>
            <w:r>
              <w:rPr>
                <w:rFonts w:hint="eastAsia" w:ascii="宋体"/>
                <w:b/>
                <w:kern w:val="0"/>
                <w:szCs w:val="21"/>
                <w:highlight w:val="none"/>
                <w:lang w:val="zh-CN"/>
              </w:rPr>
              <w:t>节能、环保及无线局域网产品政府采购政策</w:t>
            </w:r>
          </w:p>
        </w:tc>
        <w:tc>
          <w:tcPr>
            <w:tcW w:w="6678" w:type="dxa"/>
            <w:vAlign w:val="center"/>
          </w:tcPr>
          <w:p>
            <w:pPr>
              <w:spacing w:after="120" w:afterLines="50" w:line="288" w:lineRule="auto"/>
              <w:ind w:left="105" w:leftChars="50" w:right="105" w:rightChars="50"/>
              <w:jc w:val="left"/>
              <w:rPr>
                <w:rFonts w:ascii="宋体"/>
                <w:kern w:val="0"/>
                <w:szCs w:val="21"/>
                <w:highlight w:val="none"/>
              </w:rPr>
            </w:pPr>
            <w:r>
              <w:rPr>
                <w:rFonts w:hint="eastAsia" w:ascii="宋体" w:hAnsi="宋体"/>
                <w:szCs w:val="21"/>
                <w:highlight w:val="none"/>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11</w:t>
            </w:r>
          </w:p>
        </w:tc>
        <w:tc>
          <w:tcPr>
            <w:tcW w:w="1985" w:type="dxa"/>
            <w:vAlign w:val="center"/>
          </w:tcPr>
          <w:p>
            <w:pPr>
              <w:pStyle w:val="68"/>
              <w:spacing w:line="300" w:lineRule="exact"/>
              <w:ind w:left="96"/>
              <w:jc w:val="center"/>
              <w:rPr>
                <w:b/>
                <w:sz w:val="21"/>
                <w:szCs w:val="21"/>
                <w:highlight w:val="none"/>
                <w:lang w:val="zh-CN"/>
              </w:rPr>
            </w:pPr>
            <w:r>
              <w:rPr>
                <w:rFonts w:hint="eastAsia"/>
                <w:b/>
                <w:sz w:val="21"/>
                <w:szCs w:val="21"/>
                <w:highlight w:val="none"/>
                <w:lang w:val="zh-CN"/>
              </w:rPr>
              <w:t>磋商保证金</w:t>
            </w:r>
          </w:p>
          <w:p>
            <w:pPr>
              <w:pStyle w:val="68"/>
              <w:spacing w:line="300" w:lineRule="exact"/>
              <w:ind w:left="96"/>
              <w:jc w:val="center"/>
              <w:rPr>
                <w:b/>
                <w:sz w:val="21"/>
                <w:szCs w:val="21"/>
                <w:highlight w:val="none"/>
                <w:lang w:val="zh-CN"/>
              </w:rPr>
            </w:pPr>
            <w:r>
              <w:rPr>
                <w:rFonts w:hint="eastAsia"/>
                <w:b/>
                <w:sz w:val="21"/>
                <w:szCs w:val="21"/>
                <w:highlight w:val="none"/>
                <w:lang w:val="zh-CN"/>
              </w:rPr>
              <w:t>（实质性要求）</w:t>
            </w:r>
          </w:p>
        </w:tc>
        <w:tc>
          <w:tcPr>
            <w:tcW w:w="6678" w:type="dxa"/>
            <w:vAlign w:val="center"/>
          </w:tcPr>
          <w:p>
            <w:pPr>
              <w:pStyle w:val="68"/>
              <w:spacing w:after="120" w:afterLines="50" w:line="288" w:lineRule="auto"/>
              <w:ind w:left="105" w:leftChars="50" w:right="105" w:rightChars="50"/>
              <w:rPr>
                <w:sz w:val="21"/>
                <w:szCs w:val="21"/>
                <w:highlight w:val="none"/>
              </w:rPr>
            </w:pPr>
            <w:r>
              <w:rPr>
                <w:rFonts w:hint="eastAsia"/>
                <w:sz w:val="21"/>
                <w:szCs w:val="21"/>
                <w:highlight w:val="none"/>
              </w:rPr>
              <w:t>不缴纳☑</w:t>
            </w:r>
          </w:p>
          <w:p>
            <w:pPr>
              <w:pStyle w:val="68"/>
              <w:spacing w:after="120" w:afterLines="50" w:line="288" w:lineRule="auto"/>
              <w:ind w:left="105" w:leftChars="50" w:right="105" w:rightChars="50"/>
              <w:rPr>
                <w:sz w:val="21"/>
                <w:szCs w:val="21"/>
                <w:highlight w:val="none"/>
              </w:rPr>
            </w:pPr>
            <w:r>
              <w:rPr>
                <w:rFonts w:hint="eastAsia"/>
                <w:sz w:val="21"/>
                <w:szCs w:val="21"/>
                <w:highlight w:val="none"/>
              </w:rPr>
              <w:t>缴  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12</w:t>
            </w:r>
          </w:p>
        </w:tc>
        <w:tc>
          <w:tcPr>
            <w:tcW w:w="1985" w:type="dxa"/>
            <w:vAlign w:val="center"/>
          </w:tcPr>
          <w:p>
            <w:pPr>
              <w:spacing w:line="360" w:lineRule="auto"/>
              <w:jc w:val="center"/>
              <w:rPr>
                <w:rFonts w:ascii="宋体" w:hAnsi="宋体"/>
                <w:szCs w:val="21"/>
                <w:highlight w:val="none"/>
              </w:rPr>
            </w:pPr>
            <w:r>
              <w:rPr>
                <w:rFonts w:hint="eastAsia" w:ascii="宋体" w:hAnsi="宋体"/>
                <w:szCs w:val="21"/>
                <w:highlight w:val="none"/>
              </w:rPr>
              <w:t>保证金退还所需资料</w:t>
            </w:r>
          </w:p>
        </w:tc>
        <w:tc>
          <w:tcPr>
            <w:tcW w:w="6678" w:type="dxa"/>
            <w:vAlign w:val="center"/>
          </w:tcPr>
          <w:p>
            <w:pPr>
              <w:spacing w:after="120" w:afterLines="50" w:line="288" w:lineRule="auto"/>
              <w:ind w:left="105" w:right="105" w:rightChars="50"/>
              <w:jc w:val="left"/>
              <w:rPr>
                <w:highlight w:val="none"/>
              </w:rPr>
            </w:pPr>
            <w:r>
              <w:rPr>
                <w:rFonts w:hint="eastAsia"/>
                <w:highlight w:val="none"/>
              </w:rPr>
              <w:t>（1）单位介绍信（2）经办人身份证复印件（3）保证金收据原件（如已开）（4）单位开户许可证复印件（5）需在介绍信上写明参加的项目编号、包号及缴纳的金额，同时加盖单位鲜章（6）采购合同（中标单位提供）（财务电话：(028) 83407246）。第（1-5）在开标时提供。</w:t>
            </w:r>
          </w:p>
          <w:p>
            <w:pPr>
              <w:spacing w:after="120" w:afterLines="50" w:line="288" w:lineRule="auto"/>
              <w:ind w:left="105" w:right="105" w:rightChars="50"/>
              <w:jc w:val="left"/>
              <w:rPr>
                <w:rFonts w:hint="eastAsia"/>
                <w:highlight w:val="none"/>
              </w:rPr>
            </w:pPr>
            <w:r>
              <w:rPr>
                <w:rFonts w:hint="eastAsia"/>
                <w:highlight w:val="none"/>
              </w:rPr>
              <w:t>注：本项与本次采购项目不存在任何关联，仅用于方便办理保证金退还事宜。</w:t>
            </w:r>
          </w:p>
          <w:p>
            <w:pPr>
              <w:pStyle w:val="2"/>
              <w:ind w:firstLine="210" w:firstLineChars="100"/>
              <w:rPr>
                <w:rFonts w:hint="default" w:eastAsia="宋体"/>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13</w:t>
            </w:r>
          </w:p>
        </w:tc>
        <w:tc>
          <w:tcPr>
            <w:tcW w:w="1985" w:type="dxa"/>
            <w:vAlign w:val="center"/>
          </w:tcPr>
          <w:p>
            <w:pPr>
              <w:pStyle w:val="68"/>
              <w:spacing w:line="360" w:lineRule="auto"/>
              <w:ind w:left="96"/>
              <w:jc w:val="center"/>
              <w:rPr>
                <w:sz w:val="21"/>
                <w:szCs w:val="21"/>
                <w:highlight w:val="none"/>
                <w:lang w:val="zh-CN"/>
              </w:rPr>
            </w:pPr>
            <w:r>
              <w:rPr>
                <w:rFonts w:hint="eastAsia"/>
                <w:sz w:val="21"/>
                <w:szCs w:val="21"/>
                <w:highlight w:val="none"/>
                <w:lang w:val="zh-CN"/>
              </w:rPr>
              <w:t>履约保证金</w:t>
            </w:r>
          </w:p>
        </w:tc>
        <w:tc>
          <w:tcPr>
            <w:tcW w:w="6678" w:type="dxa"/>
            <w:vAlign w:val="center"/>
          </w:tcPr>
          <w:p>
            <w:pPr>
              <w:pStyle w:val="68"/>
              <w:spacing w:after="120" w:afterLines="50" w:line="288" w:lineRule="auto"/>
              <w:ind w:left="105" w:leftChars="50" w:right="105" w:rightChars="50"/>
              <w:rPr>
                <w:sz w:val="21"/>
                <w:szCs w:val="21"/>
                <w:highlight w:val="none"/>
              </w:rPr>
            </w:pPr>
            <w:r>
              <w:rPr>
                <w:rFonts w:hint="eastAsia"/>
                <w:sz w:val="21"/>
                <w:szCs w:val="21"/>
                <w:highlight w:val="none"/>
              </w:rPr>
              <w:t>不缴纳□</w:t>
            </w:r>
          </w:p>
          <w:p>
            <w:pPr>
              <w:pStyle w:val="68"/>
              <w:spacing w:after="120" w:afterLines="50" w:line="288" w:lineRule="auto"/>
              <w:ind w:left="105" w:leftChars="50" w:right="105" w:rightChars="50"/>
              <w:rPr>
                <w:sz w:val="21"/>
                <w:szCs w:val="21"/>
                <w:highlight w:val="none"/>
              </w:rPr>
            </w:pPr>
            <w:r>
              <w:rPr>
                <w:rFonts w:hint="eastAsia"/>
                <w:sz w:val="21"/>
                <w:szCs w:val="21"/>
                <w:highlight w:val="none"/>
              </w:rPr>
              <w:t>缴  纳☑</w:t>
            </w:r>
          </w:p>
          <w:p>
            <w:pPr>
              <w:pStyle w:val="68"/>
              <w:spacing w:after="120" w:afterLines="50" w:line="288" w:lineRule="auto"/>
              <w:ind w:left="105" w:leftChars="50" w:right="105" w:rightChars="50"/>
              <w:rPr>
                <w:sz w:val="21"/>
                <w:szCs w:val="21"/>
                <w:highlight w:val="none"/>
              </w:rPr>
            </w:pPr>
            <w:r>
              <w:rPr>
                <w:rFonts w:hint="eastAsia"/>
                <w:sz w:val="21"/>
                <w:szCs w:val="21"/>
                <w:highlight w:val="none"/>
              </w:rPr>
              <w:t>缴纳金额：</w:t>
            </w:r>
            <w:r>
              <w:rPr>
                <w:rFonts w:hint="eastAsia"/>
                <w:sz w:val="21"/>
                <w:szCs w:val="21"/>
                <w:highlight w:val="none"/>
                <w:lang w:val="en-US" w:eastAsia="zh-CN"/>
              </w:rPr>
              <w:t>预算</w:t>
            </w:r>
            <w:r>
              <w:rPr>
                <w:rFonts w:hint="eastAsia"/>
                <w:sz w:val="21"/>
                <w:szCs w:val="21"/>
                <w:highlight w:val="none"/>
              </w:rPr>
              <w:t>金额</w:t>
            </w:r>
            <w:r>
              <w:rPr>
                <w:rFonts w:hint="eastAsia"/>
                <w:sz w:val="21"/>
                <w:szCs w:val="21"/>
                <w:highlight w:val="none"/>
                <w:lang w:val="en-US" w:eastAsia="zh-CN"/>
              </w:rPr>
              <w:t>3</w:t>
            </w:r>
            <w:r>
              <w:rPr>
                <w:rFonts w:hint="eastAsia"/>
                <w:sz w:val="21"/>
                <w:szCs w:val="21"/>
                <w:highlight w:val="none"/>
              </w:rPr>
              <w:t>%</w:t>
            </w:r>
          </w:p>
          <w:p>
            <w:pPr>
              <w:pStyle w:val="68"/>
              <w:spacing w:after="120" w:afterLines="50" w:line="288" w:lineRule="auto"/>
              <w:ind w:left="105" w:leftChars="50" w:right="105" w:rightChars="50"/>
              <w:rPr>
                <w:sz w:val="21"/>
                <w:szCs w:val="21"/>
                <w:highlight w:val="none"/>
              </w:rPr>
            </w:pPr>
            <w:r>
              <w:rPr>
                <w:rFonts w:hint="eastAsia"/>
                <w:sz w:val="21"/>
                <w:szCs w:val="21"/>
                <w:highlight w:val="none"/>
              </w:rPr>
              <w:t>缴纳方式：通过基本账户以银行转账方式缴纳。</w:t>
            </w:r>
          </w:p>
          <w:p>
            <w:pPr>
              <w:pStyle w:val="68"/>
              <w:spacing w:after="120" w:afterLines="50" w:line="288" w:lineRule="auto"/>
              <w:ind w:left="105" w:leftChars="50" w:right="105" w:rightChars="50"/>
              <w:rPr>
                <w:sz w:val="21"/>
                <w:szCs w:val="21"/>
                <w:highlight w:val="none"/>
              </w:rPr>
            </w:pPr>
            <w:r>
              <w:rPr>
                <w:rFonts w:hint="eastAsia"/>
                <w:sz w:val="21"/>
                <w:szCs w:val="21"/>
                <w:highlight w:val="none"/>
              </w:rPr>
              <w:t>缴纳时间：</w:t>
            </w:r>
            <w:r>
              <w:rPr>
                <w:rFonts w:hint="eastAsia"/>
                <w:sz w:val="21"/>
                <w:szCs w:val="21"/>
                <w:highlight w:val="none"/>
                <w:lang w:val="en-US" w:eastAsia="zh-CN"/>
              </w:rPr>
              <w:t>成交</w:t>
            </w:r>
            <w:r>
              <w:rPr>
                <w:rFonts w:hint="eastAsia"/>
                <w:sz w:val="21"/>
                <w:szCs w:val="21"/>
                <w:highlight w:val="none"/>
              </w:rPr>
              <w:t>通知书领取后，合同签订前。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14</w:t>
            </w:r>
          </w:p>
        </w:tc>
        <w:tc>
          <w:tcPr>
            <w:tcW w:w="1985" w:type="dxa"/>
            <w:tcBorders>
              <w:top w:val="single" w:color="auto" w:sz="4" w:space="0"/>
              <w:bottom w:val="single" w:color="auto" w:sz="4" w:space="0"/>
            </w:tcBorders>
            <w:vAlign w:val="center"/>
          </w:tcPr>
          <w:p>
            <w:pPr>
              <w:pStyle w:val="68"/>
              <w:spacing w:line="360" w:lineRule="auto"/>
              <w:jc w:val="center"/>
              <w:rPr>
                <w:rFonts w:cs="Times New Roman"/>
                <w:kern w:val="2"/>
                <w:sz w:val="21"/>
                <w:szCs w:val="21"/>
                <w:highlight w:val="none"/>
              </w:rPr>
            </w:pPr>
            <w:r>
              <w:rPr>
                <w:rFonts w:hint="eastAsia" w:cs="Times New Roman"/>
                <w:bCs/>
                <w:kern w:val="2"/>
                <w:sz w:val="21"/>
                <w:szCs w:val="21"/>
                <w:highlight w:val="none"/>
              </w:rPr>
              <w:t>采购文件内容咨询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highlight w:val="none"/>
              </w:rPr>
            </w:pPr>
            <w:r>
              <w:rPr>
                <w:rFonts w:hint="eastAsia" w:ascii="宋体" w:hAnsi="宋体"/>
                <w:szCs w:val="21"/>
                <w:highlight w:val="none"/>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15</w:t>
            </w:r>
          </w:p>
        </w:tc>
        <w:tc>
          <w:tcPr>
            <w:tcW w:w="1985" w:type="dxa"/>
            <w:tcBorders>
              <w:top w:val="single" w:color="auto" w:sz="4" w:space="0"/>
              <w:bottom w:val="single" w:color="auto" w:sz="4" w:space="0"/>
            </w:tcBorders>
            <w:vAlign w:val="center"/>
          </w:tcPr>
          <w:p>
            <w:pPr>
              <w:pStyle w:val="68"/>
              <w:spacing w:line="360" w:lineRule="auto"/>
              <w:jc w:val="center"/>
              <w:rPr>
                <w:rFonts w:cs="Times New Roman"/>
                <w:kern w:val="2"/>
                <w:sz w:val="21"/>
                <w:szCs w:val="21"/>
                <w:highlight w:val="none"/>
              </w:rPr>
            </w:pPr>
            <w:r>
              <w:rPr>
                <w:rFonts w:hint="eastAsia" w:cs="Times New Roman"/>
                <w:kern w:val="2"/>
                <w:sz w:val="21"/>
                <w:szCs w:val="21"/>
                <w:highlight w:val="none"/>
              </w:rPr>
              <w:t>开标、评标工作咨询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highlight w:val="none"/>
              </w:rPr>
            </w:pPr>
            <w:r>
              <w:rPr>
                <w:rFonts w:hint="eastAsia" w:ascii="宋体" w:hAnsi="宋体"/>
                <w:szCs w:val="21"/>
                <w:highlight w:val="none"/>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16</w:t>
            </w:r>
          </w:p>
        </w:tc>
        <w:tc>
          <w:tcPr>
            <w:tcW w:w="1985" w:type="dxa"/>
            <w:tcBorders>
              <w:top w:val="single" w:color="auto" w:sz="4" w:space="0"/>
              <w:bottom w:val="single" w:color="auto" w:sz="4" w:space="0"/>
            </w:tcBorders>
            <w:vAlign w:val="center"/>
          </w:tcPr>
          <w:p>
            <w:pPr>
              <w:pStyle w:val="68"/>
              <w:spacing w:line="360" w:lineRule="auto"/>
              <w:jc w:val="center"/>
              <w:rPr>
                <w:sz w:val="21"/>
                <w:szCs w:val="21"/>
                <w:highlight w:val="none"/>
              </w:rPr>
            </w:pPr>
            <w:r>
              <w:rPr>
                <w:rFonts w:hint="eastAsia"/>
                <w:sz w:val="21"/>
                <w:szCs w:val="21"/>
                <w:highlight w:val="none"/>
              </w:rPr>
              <w:t>磋商情况公告</w:t>
            </w:r>
          </w:p>
        </w:tc>
        <w:tc>
          <w:tcPr>
            <w:tcW w:w="6678" w:type="dxa"/>
            <w:tcBorders>
              <w:top w:val="single" w:color="auto" w:sz="4" w:space="0"/>
              <w:bottom w:val="single" w:color="auto" w:sz="4" w:space="0"/>
            </w:tcBorders>
            <w:vAlign w:val="center"/>
          </w:tcPr>
          <w:p>
            <w:pPr>
              <w:pStyle w:val="68"/>
              <w:spacing w:after="120" w:afterLines="50" w:line="288" w:lineRule="auto"/>
              <w:ind w:left="105" w:leftChars="50" w:right="105" w:rightChars="50"/>
              <w:rPr>
                <w:sz w:val="21"/>
                <w:szCs w:val="21"/>
                <w:highlight w:val="none"/>
              </w:rPr>
            </w:pPr>
            <w:r>
              <w:rPr>
                <w:rFonts w:hint="eastAsia"/>
                <w:sz w:val="21"/>
                <w:szCs w:val="21"/>
                <w:highlight w:val="none"/>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17</w:t>
            </w:r>
          </w:p>
        </w:tc>
        <w:tc>
          <w:tcPr>
            <w:tcW w:w="1985" w:type="dxa"/>
            <w:tcBorders>
              <w:top w:val="single" w:color="auto" w:sz="4" w:space="0"/>
            </w:tcBorders>
            <w:vAlign w:val="center"/>
          </w:tcPr>
          <w:p>
            <w:pPr>
              <w:spacing w:line="360" w:lineRule="auto"/>
              <w:ind w:left="105" w:leftChars="50" w:right="105" w:rightChars="50"/>
              <w:jc w:val="center"/>
              <w:rPr>
                <w:rFonts w:ascii="宋体" w:hAnsi="宋体"/>
                <w:szCs w:val="21"/>
                <w:highlight w:val="none"/>
              </w:rPr>
            </w:pPr>
            <w:r>
              <w:rPr>
                <w:rFonts w:hint="eastAsia" w:ascii="宋体" w:hAnsi="宋体"/>
                <w:szCs w:val="21"/>
                <w:highlight w:val="none"/>
              </w:rPr>
              <w:t>成交通知书领取</w:t>
            </w:r>
          </w:p>
        </w:tc>
        <w:tc>
          <w:tcPr>
            <w:tcW w:w="6678" w:type="dxa"/>
            <w:tcBorders>
              <w:top w:val="single" w:color="auto" w:sz="4" w:space="0"/>
            </w:tcBorders>
            <w:vAlign w:val="center"/>
          </w:tcPr>
          <w:p>
            <w:pPr>
              <w:tabs>
                <w:tab w:val="left" w:pos="7665"/>
              </w:tabs>
              <w:spacing w:after="120" w:afterLines="50" w:line="288" w:lineRule="auto"/>
              <w:ind w:left="105" w:leftChars="50" w:right="105" w:rightChars="50"/>
              <w:jc w:val="left"/>
              <w:rPr>
                <w:rFonts w:ascii="宋体" w:hAnsi="宋体"/>
                <w:szCs w:val="21"/>
                <w:highlight w:val="none"/>
              </w:rPr>
            </w:pPr>
            <w:r>
              <w:rPr>
                <w:rFonts w:hint="eastAsia" w:ascii="宋体" w:hAnsi="宋体"/>
                <w:szCs w:val="21"/>
                <w:highlight w:val="none"/>
              </w:rPr>
              <w:t>结果公告在四川政府采购网上公告后，请成交人凭有效身份证明证件到</w:t>
            </w:r>
            <w:r>
              <w:rPr>
                <w:rFonts w:hint="eastAsia" w:ascii="宋体" w:hAnsi="宋体"/>
                <w:szCs w:val="21"/>
                <w:highlight w:val="none"/>
                <w:lang w:val="zh-CN"/>
              </w:rPr>
              <w:t>采购代理机构</w:t>
            </w:r>
            <w:r>
              <w:rPr>
                <w:rFonts w:hint="eastAsia" w:ascii="宋体" w:hAnsi="宋体"/>
                <w:szCs w:val="21"/>
                <w:highlight w:val="none"/>
              </w:rPr>
              <w:t>领取成交通知书。</w:t>
            </w:r>
          </w:p>
          <w:p>
            <w:pPr>
              <w:spacing w:after="120" w:afterLines="50" w:line="288" w:lineRule="auto"/>
              <w:ind w:left="105" w:leftChars="50" w:right="105" w:rightChars="50"/>
              <w:jc w:val="left"/>
              <w:rPr>
                <w:rFonts w:ascii="宋体" w:hAnsi="宋体"/>
                <w:szCs w:val="21"/>
                <w:highlight w:val="none"/>
                <w:lang w:val="zh-CN"/>
              </w:rPr>
            </w:pPr>
            <w:r>
              <w:rPr>
                <w:rFonts w:hint="eastAsia" w:ascii="宋体" w:hAnsi="宋体"/>
                <w:szCs w:val="21"/>
                <w:highlight w:val="none"/>
                <w:lang w:val="zh-CN"/>
              </w:rPr>
              <w:t>联系人及联系电话详见本表第2项。</w:t>
            </w:r>
          </w:p>
          <w:p>
            <w:pPr>
              <w:spacing w:after="120" w:afterLines="50" w:line="288" w:lineRule="auto"/>
              <w:ind w:left="105" w:leftChars="50" w:right="105" w:rightChars="50"/>
              <w:jc w:val="left"/>
              <w:rPr>
                <w:rFonts w:ascii="宋体" w:hAnsi="宋体"/>
                <w:szCs w:val="21"/>
                <w:highlight w:val="none"/>
                <w:lang w:val="zh-CN"/>
              </w:rPr>
            </w:pPr>
            <w:r>
              <w:rPr>
                <w:rFonts w:hint="eastAsia" w:ascii="宋体" w:hAnsi="宋体"/>
                <w:szCs w:val="21"/>
                <w:highlight w:val="none"/>
                <w:lang w:val="zh-CN"/>
              </w:rPr>
              <w:t>地址：成都市金牛区一品天下大街999号金牛市民中心B座2102号。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18</w:t>
            </w:r>
          </w:p>
        </w:tc>
        <w:tc>
          <w:tcPr>
            <w:tcW w:w="1985" w:type="dxa"/>
            <w:tcBorders>
              <w:top w:val="single" w:color="auto" w:sz="4" w:space="0"/>
            </w:tcBorders>
            <w:vAlign w:val="center"/>
          </w:tcPr>
          <w:p>
            <w:pPr>
              <w:pStyle w:val="68"/>
              <w:spacing w:line="360" w:lineRule="auto"/>
              <w:jc w:val="center"/>
              <w:rPr>
                <w:rFonts w:cs="Times New Roman"/>
                <w:kern w:val="2"/>
                <w:sz w:val="21"/>
                <w:szCs w:val="21"/>
                <w:highlight w:val="none"/>
              </w:rPr>
            </w:pPr>
            <w:r>
              <w:rPr>
                <w:rFonts w:hint="eastAsia" w:cs="Times New Roman"/>
                <w:kern w:val="2"/>
                <w:sz w:val="21"/>
                <w:szCs w:val="21"/>
                <w:highlight w:val="none"/>
              </w:rPr>
              <w:t>供应商询问</w:t>
            </w:r>
          </w:p>
        </w:tc>
        <w:tc>
          <w:tcPr>
            <w:tcW w:w="6678" w:type="dxa"/>
            <w:tcBorders>
              <w:top w:val="single" w:color="auto" w:sz="4" w:space="0"/>
            </w:tcBorders>
            <w:vAlign w:val="center"/>
          </w:tcPr>
          <w:p>
            <w:pPr>
              <w:spacing w:after="120" w:afterLines="50" w:line="288" w:lineRule="auto"/>
              <w:ind w:left="105" w:leftChars="50" w:right="105" w:rightChars="50"/>
              <w:jc w:val="left"/>
              <w:rPr>
                <w:rFonts w:ascii="宋体" w:hAnsi="宋体"/>
                <w:szCs w:val="21"/>
                <w:highlight w:val="none"/>
                <w:lang w:val="zh-CN"/>
              </w:rPr>
            </w:pPr>
            <w:r>
              <w:rPr>
                <w:rFonts w:hint="eastAsia" w:ascii="宋体" w:hAnsi="宋体"/>
                <w:szCs w:val="21"/>
                <w:highlight w:val="none"/>
              </w:rPr>
              <w:t>根据《中华人民共和国财政部令第94号--政府采购质疑和投诉办法》、委托代理协议约定，供应商询问由</w:t>
            </w:r>
            <w:r>
              <w:rPr>
                <w:rFonts w:hint="eastAsia" w:ascii="宋体" w:hAnsi="宋体"/>
                <w:szCs w:val="21"/>
                <w:highlight w:val="none"/>
                <w:lang w:val="zh-CN"/>
              </w:rPr>
              <w:t>采购代理机构负责答复。</w:t>
            </w:r>
            <w:r>
              <w:rPr>
                <w:rFonts w:hint="eastAsia"/>
                <w:b/>
                <w:highlight w:val="none"/>
              </w:rPr>
              <w:t>询问必须以书面形式（原件）提出，以其他形式提出的询问均不接受和回复。</w:t>
            </w:r>
          </w:p>
          <w:p>
            <w:pPr>
              <w:spacing w:after="120" w:afterLines="50" w:line="288" w:lineRule="auto"/>
              <w:ind w:left="105" w:leftChars="50" w:right="105" w:rightChars="50"/>
              <w:jc w:val="left"/>
              <w:rPr>
                <w:rFonts w:ascii="宋体" w:hAnsi="宋体"/>
                <w:szCs w:val="21"/>
                <w:highlight w:val="none"/>
              </w:rPr>
            </w:pPr>
            <w:r>
              <w:rPr>
                <w:rFonts w:hint="eastAsia" w:ascii="宋体" w:hAnsi="宋体"/>
                <w:szCs w:val="21"/>
                <w:highlight w:val="none"/>
                <w:lang w:val="zh-CN"/>
              </w:rPr>
              <w:t>联系人、联系电话及地址详见本表第2项。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15"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19</w:t>
            </w:r>
          </w:p>
        </w:tc>
        <w:tc>
          <w:tcPr>
            <w:tcW w:w="1985" w:type="dxa"/>
            <w:vAlign w:val="center"/>
          </w:tcPr>
          <w:p>
            <w:pPr>
              <w:pStyle w:val="68"/>
              <w:spacing w:line="360" w:lineRule="auto"/>
              <w:jc w:val="center"/>
              <w:rPr>
                <w:rFonts w:cs="Times New Roman"/>
                <w:kern w:val="2"/>
                <w:sz w:val="21"/>
                <w:szCs w:val="21"/>
                <w:highlight w:val="none"/>
              </w:rPr>
            </w:pPr>
            <w:r>
              <w:rPr>
                <w:rFonts w:hint="eastAsia" w:cs="Times New Roman"/>
                <w:kern w:val="2"/>
                <w:sz w:val="21"/>
                <w:szCs w:val="21"/>
                <w:highlight w:val="none"/>
              </w:rPr>
              <w:t>供应商质疑</w:t>
            </w:r>
          </w:p>
        </w:tc>
        <w:tc>
          <w:tcPr>
            <w:tcW w:w="6678" w:type="dxa"/>
            <w:vAlign w:val="center"/>
          </w:tcPr>
          <w:p>
            <w:pPr>
              <w:spacing w:after="120" w:afterLines="50" w:line="288" w:lineRule="auto"/>
              <w:ind w:left="105" w:leftChars="50" w:right="105" w:rightChars="50"/>
              <w:jc w:val="left"/>
              <w:rPr>
                <w:rFonts w:ascii="宋体" w:hAnsi="宋体"/>
                <w:szCs w:val="21"/>
                <w:highlight w:val="none"/>
              </w:rPr>
            </w:pPr>
            <w:r>
              <w:rPr>
                <w:rFonts w:hint="eastAsia" w:ascii="宋体" w:hAnsi="宋体"/>
                <w:szCs w:val="21"/>
                <w:highlight w:val="none"/>
              </w:rPr>
              <w:t>根据《中华人民共和国财政部令第94号--政府采购质疑和投诉办法》、委托代理协议约定，供应商质疑由</w:t>
            </w:r>
            <w:r>
              <w:rPr>
                <w:rFonts w:hint="eastAsia" w:ascii="宋体" w:hAnsi="宋体"/>
                <w:szCs w:val="21"/>
                <w:highlight w:val="none"/>
                <w:lang w:val="zh-CN"/>
              </w:rPr>
              <w:t>采购代理机构负责答复。</w:t>
            </w:r>
            <w:r>
              <w:rPr>
                <w:rFonts w:hint="eastAsia"/>
                <w:b/>
                <w:highlight w:val="none"/>
              </w:rPr>
              <w:t>质疑必须以书面形式（原件）提出，以其他形式提出的质疑均不接受和回复。</w:t>
            </w:r>
          </w:p>
          <w:p>
            <w:pPr>
              <w:spacing w:after="120" w:afterLines="50" w:line="288" w:lineRule="auto"/>
              <w:ind w:left="105" w:leftChars="50" w:right="105" w:rightChars="50"/>
              <w:jc w:val="left"/>
              <w:rPr>
                <w:rFonts w:ascii="宋体" w:hAnsi="宋体"/>
                <w:szCs w:val="21"/>
                <w:highlight w:val="none"/>
                <w:lang w:val="zh-CN"/>
              </w:rPr>
            </w:pPr>
            <w:r>
              <w:rPr>
                <w:rFonts w:hint="eastAsia" w:ascii="宋体" w:hAnsi="宋体"/>
                <w:szCs w:val="21"/>
                <w:highlight w:val="none"/>
                <w:lang w:val="zh-CN"/>
              </w:rPr>
              <w:t>联系人、联系电话及地址详见本表第2项。</w:t>
            </w:r>
          </w:p>
          <w:p>
            <w:pPr>
              <w:spacing w:after="120" w:afterLines="50" w:line="288" w:lineRule="auto"/>
              <w:ind w:left="105" w:leftChars="50" w:right="105" w:rightChars="50"/>
              <w:jc w:val="left"/>
              <w:rPr>
                <w:rFonts w:ascii="宋体" w:hAnsi="宋体"/>
                <w:szCs w:val="21"/>
                <w:highlight w:val="none"/>
              </w:rPr>
            </w:pPr>
            <w:r>
              <w:rPr>
                <w:rFonts w:hint="eastAsia" w:ascii="宋体" w:hAnsi="宋体"/>
                <w:szCs w:val="21"/>
                <w:highlight w:val="none"/>
                <w:lang w:val="zh-CN"/>
              </w:rPr>
              <w:t>注：根据《中华人民共和国政府采购法》等规定，供应商质疑不得超出磋商文件、磋商过程、磋商结果的范围，供应商针对同一采购程序环节的质疑应在法定质疑期内一次性提出。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76"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20</w:t>
            </w:r>
          </w:p>
        </w:tc>
        <w:tc>
          <w:tcPr>
            <w:tcW w:w="1985" w:type="dxa"/>
            <w:vAlign w:val="center"/>
          </w:tcPr>
          <w:p>
            <w:pPr>
              <w:pStyle w:val="68"/>
              <w:spacing w:line="360" w:lineRule="auto"/>
              <w:jc w:val="center"/>
              <w:rPr>
                <w:rFonts w:cs="Times New Roman"/>
                <w:kern w:val="2"/>
                <w:sz w:val="21"/>
                <w:szCs w:val="21"/>
                <w:highlight w:val="none"/>
              </w:rPr>
            </w:pPr>
            <w:r>
              <w:rPr>
                <w:rFonts w:hint="eastAsia" w:cs="Times New Roman"/>
                <w:kern w:val="2"/>
                <w:sz w:val="21"/>
                <w:szCs w:val="21"/>
                <w:highlight w:val="none"/>
              </w:rPr>
              <w:t>供应商投诉</w:t>
            </w:r>
          </w:p>
        </w:tc>
        <w:tc>
          <w:tcPr>
            <w:tcW w:w="6678" w:type="dxa"/>
            <w:vAlign w:val="center"/>
          </w:tcPr>
          <w:p>
            <w:pPr>
              <w:spacing w:after="120" w:afterLines="50" w:line="288" w:lineRule="auto"/>
              <w:ind w:left="105" w:leftChars="50" w:right="105" w:rightChars="50"/>
              <w:jc w:val="left"/>
              <w:rPr>
                <w:szCs w:val="21"/>
                <w:highlight w:val="none"/>
                <w:u w:val="single"/>
              </w:rPr>
            </w:pPr>
            <w:r>
              <w:rPr>
                <w:rFonts w:hint="eastAsia"/>
                <w:szCs w:val="21"/>
                <w:highlight w:val="none"/>
              </w:rPr>
              <w:t>投诉受理单位：本采购项目同级财政部门，即</w:t>
            </w:r>
            <w:r>
              <w:rPr>
                <w:rFonts w:hint="eastAsia"/>
                <w:szCs w:val="21"/>
                <w:highlight w:val="none"/>
                <w:u w:val="single"/>
              </w:rPr>
              <w:t>都江堰市财政局。</w:t>
            </w:r>
          </w:p>
          <w:p>
            <w:pPr>
              <w:spacing w:after="120" w:afterLines="50" w:line="288" w:lineRule="auto"/>
              <w:ind w:left="105" w:leftChars="50" w:right="105" w:rightChars="50"/>
              <w:jc w:val="left"/>
              <w:rPr>
                <w:szCs w:val="21"/>
                <w:highlight w:val="none"/>
              </w:rPr>
            </w:pPr>
            <w:r>
              <w:rPr>
                <w:rFonts w:hint="eastAsia"/>
                <w:szCs w:val="21"/>
                <w:highlight w:val="none"/>
              </w:rPr>
              <w:t>联系电话：</w:t>
            </w:r>
            <w:r>
              <w:rPr>
                <w:rFonts w:hint="eastAsia"/>
                <w:szCs w:val="21"/>
                <w:highlight w:val="none"/>
                <w:u w:val="single"/>
              </w:rPr>
              <w:t>028-89747932。</w:t>
            </w:r>
          </w:p>
          <w:p>
            <w:pPr>
              <w:spacing w:after="120" w:afterLines="50" w:line="288" w:lineRule="auto"/>
              <w:ind w:left="105" w:leftChars="50" w:right="105" w:rightChars="50"/>
              <w:jc w:val="left"/>
              <w:rPr>
                <w:szCs w:val="21"/>
                <w:highlight w:val="none"/>
              </w:rPr>
            </w:pPr>
            <w:r>
              <w:rPr>
                <w:rFonts w:hint="eastAsia"/>
                <w:szCs w:val="21"/>
                <w:highlight w:val="none"/>
              </w:rPr>
              <w:t>联系地址：</w:t>
            </w:r>
            <w:r>
              <w:rPr>
                <w:rFonts w:hint="eastAsia"/>
                <w:szCs w:val="21"/>
                <w:highlight w:val="none"/>
                <w:u w:val="single"/>
              </w:rPr>
              <w:t>都江堰市凤邻路99号</w:t>
            </w:r>
            <w:r>
              <w:rPr>
                <w:rFonts w:hint="eastAsia"/>
                <w:szCs w:val="21"/>
                <w:highlight w:val="none"/>
              </w:rPr>
              <w:t>。</w:t>
            </w:r>
          </w:p>
          <w:p>
            <w:pPr>
              <w:spacing w:after="120" w:afterLines="50" w:line="288" w:lineRule="auto"/>
              <w:ind w:left="105" w:leftChars="50" w:right="105" w:rightChars="50"/>
              <w:jc w:val="left"/>
              <w:rPr>
                <w:szCs w:val="21"/>
                <w:highlight w:val="none"/>
              </w:rPr>
            </w:pPr>
            <w:r>
              <w:rPr>
                <w:rFonts w:hint="eastAsia" w:ascii="宋体" w:hAnsi="宋体"/>
                <w:szCs w:val="21"/>
                <w:highlight w:val="none"/>
              </w:rPr>
              <w:t>注：根据《中华人民共和国政府采购法实施条例》的规定，</w:t>
            </w:r>
            <w:r>
              <w:rPr>
                <w:rFonts w:hint="eastAsia" w:hAnsi="宋体"/>
                <w:szCs w:val="21"/>
                <w:highlight w:val="none"/>
              </w:rPr>
              <w:t>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21</w:t>
            </w:r>
          </w:p>
        </w:tc>
        <w:tc>
          <w:tcPr>
            <w:tcW w:w="1985" w:type="dxa"/>
            <w:tcBorders>
              <w:right w:val="single" w:color="auto" w:sz="4" w:space="0"/>
            </w:tcBorders>
            <w:vAlign w:val="center"/>
          </w:tcPr>
          <w:p>
            <w:pPr>
              <w:spacing w:line="360" w:lineRule="auto"/>
              <w:ind w:firstLine="105" w:firstLineChars="50"/>
              <w:jc w:val="center"/>
              <w:rPr>
                <w:rFonts w:ascii="宋体" w:hAnsi="宋体"/>
                <w:szCs w:val="21"/>
                <w:highlight w:val="none"/>
              </w:rPr>
            </w:pPr>
            <w:r>
              <w:rPr>
                <w:rFonts w:hint="eastAsia" w:ascii="宋体" w:hAnsi="宋体"/>
                <w:szCs w:val="21"/>
                <w:highlight w:val="none"/>
              </w:rPr>
              <w:t>政府采购合同</w:t>
            </w:r>
          </w:p>
          <w:p>
            <w:pPr>
              <w:spacing w:line="360" w:lineRule="auto"/>
              <w:ind w:firstLine="105" w:firstLineChars="50"/>
              <w:jc w:val="center"/>
              <w:rPr>
                <w:rFonts w:ascii="宋体" w:hAnsi="宋体"/>
                <w:szCs w:val="21"/>
                <w:highlight w:val="none"/>
              </w:rPr>
            </w:pPr>
            <w:r>
              <w:rPr>
                <w:rFonts w:hint="eastAsia" w:ascii="宋体" w:hAnsi="宋体"/>
                <w:szCs w:val="21"/>
                <w:highlight w:val="none"/>
              </w:rPr>
              <w:t>公告备案</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szCs w:val="21"/>
                <w:highlight w:val="none"/>
              </w:rPr>
            </w:pPr>
            <w:r>
              <w:rPr>
                <w:rFonts w:hint="eastAsia" w:ascii="宋体" w:hAnsi="宋体"/>
                <w:szCs w:val="21"/>
                <w:highlight w:val="none"/>
              </w:rPr>
              <w:t>政府采购合同签订之日起2个工作日内，采购人应将政府采购合同在四川政府采购网公告；政府采购合同签订之日起7个工作日内，政府采购合同将向本采购项目同级财政部门备案</w:t>
            </w:r>
            <w:r>
              <w:rPr>
                <w:rFonts w:hint="eastAsia" w:ascii="宋体" w:hAnsi="宋体"/>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22</w:t>
            </w:r>
          </w:p>
        </w:tc>
        <w:tc>
          <w:tcPr>
            <w:tcW w:w="1985" w:type="dxa"/>
            <w:tcBorders>
              <w:right w:val="single" w:color="auto" w:sz="4" w:space="0"/>
            </w:tcBorders>
            <w:vAlign w:val="center"/>
          </w:tcPr>
          <w:p>
            <w:pPr>
              <w:pStyle w:val="68"/>
              <w:spacing w:line="360" w:lineRule="auto"/>
              <w:ind w:left="96"/>
              <w:jc w:val="center"/>
              <w:rPr>
                <w:sz w:val="21"/>
                <w:szCs w:val="21"/>
                <w:highlight w:val="none"/>
              </w:rPr>
            </w:pPr>
            <w:r>
              <w:rPr>
                <w:rFonts w:hint="eastAsia"/>
                <w:sz w:val="21"/>
                <w:szCs w:val="21"/>
                <w:highlight w:val="none"/>
                <w:lang w:val="zh-CN"/>
              </w:rPr>
              <w:t>采购代理服务费</w:t>
            </w:r>
          </w:p>
        </w:tc>
        <w:tc>
          <w:tcPr>
            <w:tcW w:w="6678" w:type="dxa"/>
            <w:tcBorders>
              <w:left w:val="single" w:color="auto" w:sz="4" w:space="0"/>
            </w:tcBorders>
            <w:vAlign w:val="center"/>
          </w:tcPr>
          <w:p>
            <w:pPr>
              <w:pStyle w:val="68"/>
              <w:spacing w:after="120" w:afterLines="50" w:line="288" w:lineRule="auto"/>
              <w:ind w:left="105" w:leftChars="50" w:right="105" w:rightChars="50"/>
              <w:rPr>
                <w:sz w:val="21"/>
                <w:szCs w:val="21"/>
                <w:highlight w:val="none"/>
                <w:lang w:val="zh-CN"/>
              </w:rPr>
            </w:pPr>
            <w:r>
              <w:rPr>
                <w:rFonts w:hint="eastAsia"/>
                <w:sz w:val="21"/>
                <w:szCs w:val="21"/>
                <w:highlight w:val="none"/>
                <w:lang w:val="en-US" w:eastAsia="zh-CN"/>
              </w:rPr>
              <w:t>按</w:t>
            </w:r>
            <w:r>
              <w:rPr>
                <w:rFonts w:hint="eastAsia"/>
                <w:sz w:val="21"/>
                <w:szCs w:val="21"/>
                <w:highlight w:val="none"/>
                <w:lang w:val="zh-CN"/>
              </w:rPr>
              <w:t>《招标代理服务收费管理暂行办法》(计价格[2002]1980号)规定收费标准下浮20%收取，以</w:t>
            </w:r>
            <w:r>
              <w:rPr>
                <w:rFonts w:hint="eastAsia"/>
                <w:sz w:val="21"/>
                <w:szCs w:val="21"/>
                <w:highlight w:val="none"/>
                <w:lang w:val="en-US" w:eastAsia="zh-CN"/>
              </w:rPr>
              <w:t>成交</w:t>
            </w:r>
            <w:r>
              <w:rPr>
                <w:rFonts w:hint="eastAsia"/>
                <w:sz w:val="21"/>
                <w:szCs w:val="21"/>
                <w:highlight w:val="none"/>
                <w:lang w:val="zh-CN"/>
              </w:rPr>
              <w:t>价为基准价计算，代理费不足5000元，按5000元收取。由</w:t>
            </w:r>
            <w:r>
              <w:rPr>
                <w:rFonts w:hint="eastAsia"/>
                <w:sz w:val="21"/>
                <w:szCs w:val="21"/>
                <w:highlight w:val="none"/>
                <w:lang w:val="en-US" w:eastAsia="zh-CN"/>
              </w:rPr>
              <w:t>成交供应商</w:t>
            </w:r>
            <w:r>
              <w:rPr>
                <w:rFonts w:hint="eastAsia"/>
                <w:sz w:val="21"/>
                <w:szCs w:val="21"/>
                <w:highlight w:val="none"/>
                <w:lang w:val="zh-CN"/>
              </w:rPr>
              <w:t>支付，在发出</w:t>
            </w:r>
            <w:r>
              <w:rPr>
                <w:rFonts w:hint="eastAsia"/>
                <w:sz w:val="21"/>
                <w:szCs w:val="21"/>
                <w:highlight w:val="none"/>
                <w:lang w:val="en-US" w:eastAsia="zh-CN"/>
              </w:rPr>
              <w:t>成交</w:t>
            </w:r>
            <w:r>
              <w:rPr>
                <w:rFonts w:hint="eastAsia"/>
                <w:sz w:val="21"/>
                <w:szCs w:val="21"/>
                <w:highlight w:val="none"/>
                <w:lang w:val="zh-CN"/>
              </w:rPr>
              <w:t>通知书时，一次性支付。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23</w:t>
            </w:r>
          </w:p>
        </w:tc>
        <w:tc>
          <w:tcPr>
            <w:tcW w:w="1985" w:type="dxa"/>
            <w:tcBorders>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其他要求</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szCs w:val="21"/>
                <w:highlight w:val="none"/>
              </w:rPr>
            </w:pPr>
            <w:r>
              <w:rPr>
                <w:rFonts w:hint="eastAsia" w:ascii="宋体" w:hAnsi="宋体"/>
                <w:szCs w:val="21"/>
                <w:highlight w:val="none"/>
                <w:lang w:eastAsia="zh-CN"/>
              </w:rPr>
              <w:t>成交供应商</w:t>
            </w:r>
            <w:r>
              <w:rPr>
                <w:rFonts w:hint="eastAsia" w:ascii="宋体" w:hAnsi="宋体"/>
                <w:szCs w:val="21"/>
                <w:highlight w:val="none"/>
              </w:rPr>
              <w:t>在合同签订之后三个工作日内，将签订的合同（一份原件）送采购代理机构。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highlight w:val="none"/>
              </w:rPr>
            </w:pPr>
            <w:r>
              <w:rPr>
                <w:rFonts w:hint="eastAsia" w:ascii="宋体" w:hAnsi="宋体"/>
                <w:szCs w:val="21"/>
                <w:highlight w:val="none"/>
              </w:rPr>
              <w:t>24</w:t>
            </w:r>
          </w:p>
        </w:tc>
        <w:tc>
          <w:tcPr>
            <w:tcW w:w="1985" w:type="dxa"/>
            <w:tcBorders>
              <w:right w:val="single" w:color="auto" w:sz="4" w:space="0"/>
            </w:tcBorders>
            <w:vAlign w:val="center"/>
          </w:tcPr>
          <w:p>
            <w:pPr>
              <w:spacing w:line="300" w:lineRule="exact"/>
              <w:jc w:val="center"/>
              <w:rPr>
                <w:rFonts w:ascii="宋体" w:hAnsi="宋体"/>
                <w:b/>
                <w:szCs w:val="21"/>
                <w:highlight w:val="none"/>
              </w:rPr>
            </w:pPr>
            <w:r>
              <w:rPr>
                <w:rFonts w:hint="eastAsia" w:ascii="宋体" w:hAnsi="宋体" w:cs="宋体"/>
                <w:szCs w:val="21"/>
                <w:highlight w:val="none"/>
              </w:rPr>
              <w:t>信用融资政策</w:t>
            </w:r>
          </w:p>
        </w:tc>
        <w:tc>
          <w:tcPr>
            <w:tcW w:w="6678" w:type="dxa"/>
            <w:tcBorders>
              <w:left w:val="single" w:color="auto" w:sz="4" w:space="0"/>
            </w:tcBorders>
            <w:vAlign w:val="center"/>
          </w:tcPr>
          <w:p>
            <w:pPr>
              <w:spacing w:after="120" w:afterLines="50" w:line="288" w:lineRule="auto"/>
              <w:ind w:left="105" w:leftChars="50" w:right="105" w:rightChars="50"/>
              <w:jc w:val="left"/>
              <w:rPr>
                <w:rFonts w:hint="eastAsia" w:ascii="宋体" w:hAnsi="宋体"/>
                <w:szCs w:val="21"/>
                <w:highlight w:val="none"/>
              </w:rPr>
            </w:pPr>
            <w:r>
              <w:rPr>
                <w:rFonts w:hint="eastAsia" w:ascii="宋体" w:hAnsi="宋体"/>
                <w:szCs w:val="21"/>
                <w:highlight w:val="none"/>
              </w:rPr>
              <w:t>根据《四川省财政厅关于推进四川省政府采购供应商信用融资工作的通知》(川财采(2018)123号)等有关规定。本项目可开展中小企业政府采购信用融资政策。</w:t>
            </w:r>
          </w:p>
          <w:p>
            <w:pPr>
              <w:spacing w:after="120" w:afterLines="50" w:line="288" w:lineRule="auto"/>
              <w:ind w:left="105" w:leftChars="50" w:right="105" w:rightChars="50"/>
              <w:jc w:val="left"/>
              <w:rPr>
                <w:highlight w:val="none"/>
              </w:rPr>
            </w:pPr>
            <w:r>
              <w:rPr>
                <w:rFonts w:hint="eastAsia" w:ascii="宋体" w:hAnsi="宋体"/>
                <w:szCs w:val="21"/>
                <w:highlight w:val="none"/>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eastAsia" w:ascii="宋体" w:hAnsi="宋体"/>
                <w:szCs w:val="21"/>
                <w:highlight w:val="none"/>
              </w:rPr>
            </w:pPr>
            <w:r>
              <w:rPr>
                <w:rFonts w:hint="eastAsia" w:ascii="宋体" w:hAnsi="宋体"/>
                <w:szCs w:val="21"/>
                <w:highlight w:val="none"/>
                <w:lang w:val="en-US" w:eastAsia="zh-CN"/>
              </w:rPr>
              <w:t>25</w:t>
            </w:r>
          </w:p>
        </w:tc>
        <w:tc>
          <w:tcPr>
            <w:tcW w:w="1985" w:type="dxa"/>
            <w:tcBorders>
              <w:right w:val="single" w:color="auto" w:sz="4" w:space="0"/>
            </w:tcBorders>
            <w:vAlign w:val="center"/>
          </w:tcPr>
          <w:p>
            <w:pPr>
              <w:spacing w:line="300" w:lineRule="exact"/>
              <w:jc w:val="center"/>
              <w:rPr>
                <w:rFonts w:hint="eastAsia" w:ascii="宋体" w:hAnsi="宋体" w:cs="宋体"/>
                <w:szCs w:val="21"/>
                <w:highlight w:val="none"/>
              </w:rPr>
            </w:pPr>
            <w:r>
              <w:rPr>
                <w:rFonts w:hint="eastAsia" w:ascii="宋体" w:hAnsi="宋体" w:cs="宋体"/>
                <w:szCs w:val="21"/>
                <w:highlight w:val="none"/>
              </w:rPr>
              <w:t>扶持不发达地区和少数民族地区</w:t>
            </w:r>
          </w:p>
        </w:tc>
        <w:tc>
          <w:tcPr>
            <w:tcW w:w="6678" w:type="dxa"/>
            <w:tcBorders>
              <w:left w:val="single" w:color="auto" w:sz="4" w:space="0"/>
            </w:tcBorders>
            <w:vAlign w:val="center"/>
          </w:tcPr>
          <w:p>
            <w:pPr>
              <w:spacing w:after="120" w:afterLines="50" w:line="288" w:lineRule="auto"/>
              <w:ind w:left="105" w:leftChars="50" w:right="105" w:rightChars="50"/>
              <w:jc w:val="left"/>
              <w:rPr>
                <w:rFonts w:hint="eastAsia" w:ascii="宋体" w:hAnsi="宋体"/>
                <w:szCs w:val="21"/>
                <w:highlight w:val="none"/>
              </w:rPr>
            </w:pPr>
            <w:r>
              <w:rPr>
                <w:rFonts w:hint="eastAsia" w:ascii="宋体" w:hAnsi="宋体"/>
                <w:szCs w:val="21"/>
                <w:highlight w:val="none"/>
                <w:lang w:val="en-US" w:eastAsia="zh-CN"/>
              </w:rPr>
              <w:t>若</w:t>
            </w:r>
            <w:r>
              <w:rPr>
                <w:rFonts w:hint="eastAsia" w:ascii="宋体" w:hAnsi="宋体"/>
                <w:szCs w:val="21"/>
                <w:highlight w:val="none"/>
              </w:rPr>
              <w:t>供应商</w:t>
            </w:r>
            <w:r>
              <w:rPr>
                <w:rFonts w:hint="eastAsia" w:ascii="宋体" w:hAnsi="宋体"/>
                <w:szCs w:val="21"/>
                <w:highlight w:val="none"/>
                <w:lang w:val="en-US" w:eastAsia="zh-CN"/>
              </w:rPr>
              <w:t>得分</w:t>
            </w:r>
            <w:r>
              <w:rPr>
                <w:rFonts w:hint="eastAsia" w:ascii="宋体" w:hAnsi="宋体"/>
                <w:szCs w:val="21"/>
                <w:highlight w:val="none"/>
              </w:rPr>
              <w:t>相同的，供应商为不发达地区或少数民族地区的企业</w:t>
            </w:r>
            <w:r>
              <w:rPr>
                <w:rFonts w:hint="eastAsia" w:ascii="宋体" w:hAnsi="宋体"/>
                <w:szCs w:val="21"/>
                <w:highlight w:val="none"/>
                <w:lang w:val="en-US" w:eastAsia="zh-CN"/>
              </w:rPr>
              <w:t>排名</w:t>
            </w:r>
            <w:r>
              <w:rPr>
                <w:rFonts w:hint="eastAsia" w:ascii="宋体" w:hAnsi="宋体"/>
                <w:szCs w:val="21"/>
                <w:highlight w:val="none"/>
              </w:rPr>
              <w:t>优先，</w:t>
            </w:r>
            <w:r>
              <w:rPr>
                <w:rFonts w:hint="eastAsia" w:ascii="宋体" w:hAnsi="宋体"/>
                <w:szCs w:val="21"/>
                <w:highlight w:val="none"/>
                <w:lang w:val="en-US" w:eastAsia="zh-CN"/>
              </w:rPr>
              <w:t>若</w:t>
            </w:r>
            <w:r>
              <w:rPr>
                <w:rFonts w:hint="eastAsia" w:ascii="宋体" w:hAnsi="宋体"/>
                <w:szCs w:val="21"/>
                <w:highlight w:val="none"/>
              </w:rPr>
              <w:t>供应商</w:t>
            </w:r>
            <w:r>
              <w:rPr>
                <w:rFonts w:hint="eastAsia" w:ascii="宋体" w:hAnsi="宋体"/>
                <w:szCs w:val="21"/>
                <w:highlight w:val="none"/>
                <w:lang w:val="en-US" w:eastAsia="zh-CN"/>
              </w:rPr>
              <w:t>得分</w:t>
            </w:r>
            <w:r>
              <w:rPr>
                <w:rFonts w:hint="eastAsia" w:ascii="宋体" w:hAnsi="宋体"/>
                <w:szCs w:val="21"/>
                <w:highlight w:val="none"/>
              </w:rPr>
              <w:t>相同</w:t>
            </w:r>
            <w:r>
              <w:rPr>
                <w:rFonts w:hint="eastAsia" w:ascii="宋体" w:hAnsi="宋体"/>
                <w:szCs w:val="21"/>
                <w:highlight w:val="none"/>
                <w:lang w:val="en-US" w:eastAsia="zh-CN"/>
              </w:rPr>
              <w:t>且</w:t>
            </w:r>
            <w:r>
              <w:rPr>
                <w:rFonts w:hint="eastAsia" w:ascii="宋体" w:hAnsi="宋体"/>
                <w:szCs w:val="21"/>
                <w:highlight w:val="none"/>
              </w:rPr>
              <w:t>同为不发达地区或少数民族地区的企业，成交候选供应商</w:t>
            </w:r>
            <w:r>
              <w:rPr>
                <w:rFonts w:hint="eastAsia" w:ascii="宋体" w:hAnsi="宋体"/>
                <w:szCs w:val="21"/>
                <w:highlight w:val="none"/>
                <w:lang w:val="en-US" w:eastAsia="zh-CN"/>
              </w:rPr>
              <w:t>名次</w:t>
            </w:r>
            <w:r>
              <w:rPr>
                <w:rFonts w:hint="eastAsia" w:ascii="宋体" w:hAnsi="宋体"/>
                <w:szCs w:val="21"/>
                <w:highlight w:val="none"/>
              </w:rPr>
              <w:t>并列，由采购人自主采取公平择优的方式选择成交供应商。</w:t>
            </w:r>
          </w:p>
        </w:tc>
      </w:tr>
    </w:tbl>
    <w:p>
      <w:pPr>
        <w:rPr>
          <w:rFonts w:ascii="宋体" w:hAnsi="宋体"/>
          <w:highlight w:val="none"/>
        </w:rPr>
      </w:pPr>
    </w:p>
    <w:p>
      <w:pPr>
        <w:pStyle w:val="4"/>
        <w:spacing w:line="400" w:lineRule="exact"/>
        <w:jc w:val="center"/>
        <w:rPr>
          <w:rFonts w:ascii="宋体" w:hAnsi="宋体" w:eastAsia="宋体"/>
          <w:bCs w:val="0"/>
          <w:highlight w:val="none"/>
        </w:rPr>
      </w:pPr>
      <w:r>
        <w:rPr>
          <w:rFonts w:hint="eastAsia" w:ascii="宋体" w:hAnsi="宋体" w:eastAsia="宋体"/>
          <w:bCs w:val="0"/>
          <w:highlight w:val="none"/>
        </w:rPr>
        <w:t>二、总  则</w:t>
      </w:r>
    </w:p>
    <w:p>
      <w:pPr>
        <w:pStyle w:val="5"/>
        <w:keepNext w:val="0"/>
        <w:keepLines w:val="0"/>
        <w:spacing w:before="0" w:after="0" w:line="360" w:lineRule="auto"/>
        <w:ind w:firstLine="482" w:firstLineChars="200"/>
        <w:rPr>
          <w:rFonts w:ascii="宋体" w:hAnsi="宋体"/>
          <w:sz w:val="24"/>
          <w:szCs w:val="24"/>
          <w:highlight w:val="none"/>
        </w:rPr>
      </w:pPr>
      <w:bookmarkStart w:id="42" w:name="PO_默认文件内容_23"/>
      <w:r>
        <w:rPr>
          <w:rFonts w:ascii="宋体" w:hAnsi="宋体" w:cs="仿宋"/>
          <w:sz w:val="24"/>
          <w:szCs w:val="24"/>
          <w:highlight w:val="none"/>
        </w:rPr>
        <w:t>1.</w:t>
      </w:r>
      <w:r>
        <w:rPr>
          <w:rFonts w:hint="eastAsia" w:ascii="宋体" w:hAnsi="宋体" w:cs="仿宋"/>
          <w:sz w:val="24"/>
          <w:szCs w:val="24"/>
          <w:highlight w:val="none"/>
        </w:rPr>
        <w:t>适用范围</w:t>
      </w:r>
    </w:p>
    <w:p>
      <w:pPr>
        <w:tabs>
          <w:tab w:val="left" w:pos="7665"/>
        </w:tabs>
        <w:spacing w:line="360" w:lineRule="auto"/>
        <w:ind w:firstLine="480" w:firstLineChars="200"/>
        <w:rPr>
          <w:rFonts w:ascii="宋体" w:hAnsi="宋体"/>
          <w:sz w:val="24"/>
          <w:highlight w:val="none"/>
        </w:rPr>
      </w:pPr>
      <w:r>
        <w:rPr>
          <w:rFonts w:ascii="宋体" w:hAnsi="宋体" w:cs="仿宋"/>
          <w:sz w:val="24"/>
          <w:highlight w:val="none"/>
        </w:rPr>
        <w:t xml:space="preserve">1.1 </w:t>
      </w:r>
      <w:r>
        <w:rPr>
          <w:rFonts w:hint="eastAsia" w:ascii="宋体" w:hAnsi="宋体" w:cs="仿宋"/>
          <w:sz w:val="24"/>
          <w:highlight w:val="none"/>
        </w:rPr>
        <w:t>本磋商文件仅适用于本次磋商采购项目。</w:t>
      </w:r>
    </w:p>
    <w:p>
      <w:pPr>
        <w:tabs>
          <w:tab w:val="left" w:pos="7665"/>
        </w:tabs>
        <w:spacing w:line="360" w:lineRule="auto"/>
        <w:ind w:firstLine="480" w:firstLineChars="200"/>
        <w:rPr>
          <w:rFonts w:ascii="宋体" w:hAnsi="宋体"/>
          <w:sz w:val="24"/>
          <w:highlight w:val="none"/>
        </w:rPr>
      </w:pPr>
      <w:r>
        <w:rPr>
          <w:rFonts w:ascii="宋体" w:hAnsi="宋体" w:cs="仿宋"/>
          <w:sz w:val="24"/>
          <w:highlight w:val="none"/>
        </w:rPr>
        <w:t xml:space="preserve">1.2 </w:t>
      </w:r>
      <w:r>
        <w:rPr>
          <w:rFonts w:hint="eastAsia" w:ascii="宋体" w:hAnsi="宋体" w:cs="仿宋"/>
          <w:sz w:val="24"/>
          <w:highlight w:val="none"/>
        </w:rPr>
        <w:t>本磋商文件的解释权归采购人和采购代理机构所有。</w:t>
      </w:r>
      <w:bookmarkEnd w:id="42"/>
    </w:p>
    <w:p>
      <w:pPr>
        <w:pStyle w:val="5"/>
        <w:keepNext w:val="0"/>
        <w:keepLines w:val="0"/>
        <w:spacing w:before="0" w:after="0" w:line="360" w:lineRule="auto"/>
        <w:ind w:firstLine="482" w:firstLineChars="200"/>
        <w:rPr>
          <w:rFonts w:ascii="宋体" w:hAnsi="宋体"/>
          <w:sz w:val="24"/>
          <w:szCs w:val="24"/>
          <w:highlight w:val="none"/>
        </w:rPr>
      </w:pPr>
      <w:r>
        <w:rPr>
          <w:rFonts w:ascii="宋体" w:hAnsi="宋体" w:cs="仿宋"/>
          <w:sz w:val="24"/>
          <w:szCs w:val="24"/>
          <w:highlight w:val="none"/>
        </w:rPr>
        <w:t>2.</w:t>
      </w:r>
      <w:r>
        <w:rPr>
          <w:rFonts w:hint="eastAsia" w:ascii="宋体" w:hAnsi="宋体" w:cs="仿宋"/>
          <w:sz w:val="24"/>
          <w:szCs w:val="24"/>
          <w:highlight w:val="none"/>
        </w:rPr>
        <w:t>采购主体</w:t>
      </w:r>
    </w:p>
    <w:p>
      <w:pPr>
        <w:tabs>
          <w:tab w:val="left" w:pos="7665"/>
        </w:tabs>
        <w:spacing w:line="360" w:lineRule="auto"/>
        <w:ind w:firstLine="480" w:firstLineChars="200"/>
        <w:rPr>
          <w:rFonts w:ascii="宋体" w:hAnsi="宋体"/>
          <w:sz w:val="24"/>
          <w:highlight w:val="none"/>
        </w:rPr>
      </w:pPr>
      <w:r>
        <w:rPr>
          <w:rFonts w:ascii="宋体" w:hAnsi="宋体" w:cs="仿宋"/>
          <w:sz w:val="24"/>
          <w:highlight w:val="none"/>
        </w:rPr>
        <w:t>2.1</w:t>
      </w:r>
      <w:r>
        <w:rPr>
          <w:rFonts w:hint="eastAsia" w:ascii="宋体" w:hAnsi="宋体" w:cs="仿宋"/>
          <w:sz w:val="24"/>
          <w:highlight w:val="none"/>
        </w:rPr>
        <w:t>本次磋商的采购人是</w:t>
      </w:r>
      <w:r>
        <w:rPr>
          <w:rFonts w:hint="eastAsia" w:ascii="宋体" w:hAnsi="宋体"/>
          <w:sz w:val="24"/>
          <w:highlight w:val="none"/>
          <w:u w:val="single"/>
          <w:lang w:eastAsia="zh-CN"/>
        </w:rPr>
        <w:t xml:space="preserve">都江堰市人民医院 </w:t>
      </w:r>
      <w:r>
        <w:rPr>
          <w:rFonts w:hint="eastAsia" w:ascii="宋体" w:hAnsi="宋体"/>
          <w:sz w:val="24"/>
          <w:highlight w:val="none"/>
        </w:rPr>
        <w:t>。</w:t>
      </w:r>
    </w:p>
    <w:p>
      <w:pPr>
        <w:tabs>
          <w:tab w:val="left" w:pos="7665"/>
        </w:tabs>
        <w:spacing w:line="360" w:lineRule="auto"/>
        <w:ind w:firstLine="480" w:firstLineChars="200"/>
        <w:rPr>
          <w:rFonts w:ascii="宋体" w:hAnsi="宋体"/>
          <w:sz w:val="24"/>
          <w:highlight w:val="none"/>
        </w:rPr>
      </w:pPr>
      <w:bookmarkStart w:id="43" w:name="PO_默认文件内容_24"/>
      <w:r>
        <w:rPr>
          <w:rFonts w:ascii="宋体" w:hAnsi="宋体" w:cs="仿宋"/>
          <w:sz w:val="24"/>
          <w:highlight w:val="none"/>
        </w:rPr>
        <w:t>2.2</w:t>
      </w:r>
      <w:r>
        <w:rPr>
          <w:rFonts w:hint="eastAsia" w:ascii="宋体" w:hAnsi="宋体" w:cs="仿宋"/>
          <w:sz w:val="24"/>
          <w:highlight w:val="none"/>
        </w:rPr>
        <w:t>本次磋商的采购代理机构是</w:t>
      </w:r>
      <w:r>
        <w:rPr>
          <w:rFonts w:hint="eastAsia" w:ascii="宋体" w:hAnsi="宋体" w:cs="黑体"/>
          <w:sz w:val="24"/>
          <w:highlight w:val="none"/>
          <w:u w:val="single"/>
        </w:rPr>
        <w:t>成都一问工程技术咨询有限公司</w:t>
      </w:r>
      <w:r>
        <w:rPr>
          <w:rFonts w:hint="eastAsia" w:ascii="宋体" w:hAnsi="宋体" w:cs="仿宋"/>
          <w:sz w:val="24"/>
          <w:highlight w:val="none"/>
        </w:rPr>
        <w:t>。</w:t>
      </w:r>
    </w:p>
    <w:p>
      <w:pPr>
        <w:pStyle w:val="5"/>
        <w:keepNext w:val="0"/>
        <w:keepLines w:val="0"/>
        <w:spacing w:before="0" w:after="0" w:line="360" w:lineRule="auto"/>
        <w:ind w:firstLine="482" w:firstLineChars="200"/>
        <w:rPr>
          <w:rFonts w:ascii="宋体" w:hAnsi="宋体"/>
          <w:sz w:val="24"/>
          <w:szCs w:val="24"/>
          <w:highlight w:val="none"/>
        </w:rPr>
      </w:pPr>
      <w:r>
        <w:rPr>
          <w:rFonts w:ascii="宋体" w:hAnsi="宋体" w:cs="仿宋"/>
          <w:sz w:val="24"/>
          <w:szCs w:val="24"/>
          <w:highlight w:val="none"/>
        </w:rPr>
        <w:t xml:space="preserve">3. </w:t>
      </w:r>
      <w:r>
        <w:rPr>
          <w:rFonts w:hint="eastAsia" w:ascii="宋体" w:hAnsi="宋体" w:cs="仿宋"/>
          <w:sz w:val="24"/>
          <w:szCs w:val="24"/>
          <w:highlight w:val="none"/>
        </w:rPr>
        <w:t>合格供应商</w:t>
      </w:r>
    </w:p>
    <w:p>
      <w:pPr>
        <w:tabs>
          <w:tab w:val="left" w:pos="7665"/>
        </w:tabs>
        <w:spacing w:line="360" w:lineRule="auto"/>
        <w:ind w:firstLine="480" w:firstLineChars="200"/>
        <w:rPr>
          <w:rFonts w:ascii="宋体" w:hAnsi="宋体"/>
          <w:sz w:val="24"/>
          <w:highlight w:val="none"/>
        </w:rPr>
      </w:pPr>
      <w:r>
        <w:rPr>
          <w:rFonts w:hint="eastAsia" w:ascii="宋体" w:hAnsi="宋体" w:cs="仿宋"/>
          <w:sz w:val="24"/>
          <w:highlight w:val="none"/>
        </w:rPr>
        <w:t>合格供应商应具备以下条件：</w:t>
      </w:r>
    </w:p>
    <w:p>
      <w:pPr>
        <w:tabs>
          <w:tab w:val="left" w:pos="7665"/>
        </w:tabs>
        <w:spacing w:line="360" w:lineRule="auto"/>
        <w:ind w:firstLine="480" w:firstLineChars="200"/>
        <w:rPr>
          <w:rFonts w:ascii="宋体" w:hAnsi="宋体"/>
          <w:spacing w:val="-4"/>
          <w:sz w:val="24"/>
          <w:highlight w:val="none"/>
        </w:rPr>
      </w:pPr>
      <w:r>
        <w:rPr>
          <w:rFonts w:ascii="宋体" w:hAnsi="宋体" w:cs="仿宋"/>
          <w:sz w:val="24"/>
          <w:highlight w:val="none"/>
        </w:rPr>
        <w:t xml:space="preserve">3.1 </w:t>
      </w:r>
      <w:r>
        <w:rPr>
          <w:rFonts w:hint="eastAsia" w:ascii="宋体" w:hAnsi="宋体" w:cs="仿宋"/>
          <w:sz w:val="24"/>
          <w:highlight w:val="none"/>
        </w:rPr>
        <w:t>具备法律法规和本采购文件规定的资格条件</w:t>
      </w:r>
      <w:r>
        <w:rPr>
          <w:rFonts w:hint="eastAsia" w:ascii="宋体" w:hAnsi="宋体" w:cs="仿宋"/>
          <w:spacing w:val="-4"/>
          <w:sz w:val="24"/>
          <w:highlight w:val="none"/>
        </w:rPr>
        <w:t>；</w:t>
      </w:r>
    </w:p>
    <w:p>
      <w:pPr>
        <w:tabs>
          <w:tab w:val="left" w:pos="7665"/>
        </w:tabs>
        <w:spacing w:line="360" w:lineRule="auto"/>
        <w:ind w:firstLine="464" w:firstLineChars="200"/>
        <w:rPr>
          <w:rFonts w:ascii="宋体" w:hAnsi="宋体" w:cs="仿宋"/>
          <w:spacing w:val="-4"/>
          <w:sz w:val="24"/>
          <w:highlight w:val="none"/>
        </w:rPr>
      </w:pPr>
      <w:r>
        <w:rPr>
          <w:rFonts w:ascii="宋体" w:hAnsi="宋体" w:cs="仿宋"/>
          <w:spacing w:val="-4"/>
          <w:sz w:val="24"/>
          <w:highlight w:val="none"/>
        </w:rPr>
        <w:t xml:space="preserve">3.2 </w:t>
      </w:r>
      <w:r>
        <w:rPr>
          <w:rFonts w:hint="eastAsia" w:ascii="宋体" w:hAnsi="宋体" w:cs="仿宋"/>
          <w:spacing w:val="-4"/>
          <w:sz w:val="24"/>
          <w:highlight w:val="none"/>
        </w:rPr>
        <w:t>不属于禁止参加本项目采购活动的供应商。</w:t>
      </w:r>
    </w:p>
    <w:p>
      <w:pPr>
        <w:pStyle w:val="5"/>
        <w:keepNext w:val="0"/>
        <w:keepLines w:val="0"/>
        <w:spacing w:before="0" w:after="0" w:line="360" w:lineRule="auto"/>
        <w:ind w:firstLine="480" w:firstLineChars="200"/>
        <w:rPr>
          <w:rFonts w:ascii="宋体" w:hAnsi="宋体" w:cs="仿宋"/>
          <w:b w:val="0"/>
          <w:bCs w:val="0"/>
          <w:sz w:val="24"/>
          <w:szCs w:val="24"/>
          <w:highlight w:val="none"/>
        </w:rPr>
      </w:pPr>
      <w:r>
        <w:rPr>
          <w:rFonts w:hint="eastAsia" w:ascii="宋体" w:hAnsi="宋体" w:cs="仿宋"/>
          <w:b w:val="0"/>
          <w:bCs w:val="0"/>
          <w:sz w:val="24"/>
          <w:szCs w:val="24"/>
          <w:highlight w:val="none"/>
        </w:rPr>
        <w:t>3.3 按照规定获取了磋商文件，属于实质性参加政府采购活动的供应商。</w:t>
      </w:r>
    </w:p>
    <w:p>
      <w:pPr>
        <w:pStyle w:val="5"/>
        <w:keepNext w:val="0"/>
        <w:keepLines w:val="0"/>
        <w:spacing w:before="0" w:after="0" w:line="360" w:lineRule="auto"/>
        <w:ind w:firstLine="482" w:firstLineChars="200"/>
        <w:rPr>
          <w:rFonts w:ascii="宋体" w:hAnsi="宋体"/>
          <w:sz w:val="24"/>
          <w:szCs w:val="24"/>
          <w:highlight w:val="none"/>
        </w:rPr>
      </w:pPr>
      <w:r>
        <w:rPr>
          <w:rFonts w:ascii="宋体" w:hAnsi="宋体" w:cs="仿宋"/>
          <w:sz w:val="24"/>
          <w:szCs w:val="24"/>
          <w:highlight w:val="none"/>
        </w:rPr>
        <w:t xml:space="preserve">4. </w:t>
      </w:r>
      <w:r>
        <w:rPr>
          <w:rFonts w:hint="eastAsia" w:ascii="宋体" w:hAnsi="宋体" w:cs="仿宋"/>
          <w:sz w:val="24"/>
          <w:szCs w:val="24"/>
          <w:highlight w:val="none"/>
        </w:rPr>
        <w:t>磋商费用</w:t>
      </w:r>
    </w:p>
    <w:p>
      <w:pPr>
        <w:tabs>
          <w:tab w:val="left" w:pos="7665"/>
        </w:tabs>
        <w:spacing w:line="360" w:lineRule="auto"/>
        <w:ind w:firstLine="480"/>
        <w:rPr>
          <w:rFonts w:ascii="宋体" w:hAnsi="宋体"/>
          <w:sz w:val="24"/>
          <w:highlight w:val="none"/>
        </w:rPr>
      </w:pPr>
      <w:r>
        <w:rPr>
          <w:rFonts w:hint="eastAsia" w:ascii="宋体" w:hAnsi="宋体" w:cs="仿宋"/>
          <w:sz w:val="24"/>
          <w:highlight w:val="none"/>
        </w:rPr>
        <w:t>供应商应自行承担参加磋商活动的全部费用。</w:t>
      </w:r>
    </w:p>
    <w:p>
      <w:pPr>
        <w:pStyle w:val="69"/>
        <w:spacing w:line="360" w:lineRule="auto"/>
        <w:ind w:left="1" w:firstLine="482" w:firstLineChars="200"/>
        <w:rPr>
          <w:rFonts w:hAnsi="宋体"/>
          <w:b/>
          <w:bCs/>
          <w:sz w:val="24"/>
          <w:szCs w:val="24"/>
          <w:highlight w:val="none"/>
        </w:rPr>
      </w:pPr>
      <w:r>
        <w:rPr>
          <w:rFonts w:hAnsi="宋体" w:cs="仿宋"/>
          <w:b/>
          <w:bCs/>
          <w:sz w:val="24"/>
          <w:szCs w:val="24"/>
          <w:highlight w:val="none"/>
        </w:rPr>
        <w:t>5.</w:t>
      </w:r>
      <w:r>
        <w:rPr>
          <w:rFonts w:hint="eastAsia" w:hAnsi="宋体" w:cs="仿宋"/>
          <w:b/>
          <w:bCs/>
          <w:sz w:val="24"/>
          <w:szCs w:val="24"/>
          <w:highlight w:val="none"/>
        </w:rPr>
        <w:t>充分、公平竞争保障措施（实质性要求）</w:t>
      </w:r>
    </w:p>
    <w:p>
      <w:pPr>
        <w:pStyle w:val="69"/>
        <w:spacing w:line="360" w:lineRule="auto"/>
        <w:ind w:left="1" w:firstLine="480" w:firstLineChars="200"/>
        <w:rPr>
          <w:rFonts w:hAnsi="宋体"/>
          <w:sz w:val="24"/>
          <w:szCs w:val="24"/>
          <w:highlight w:val="none"/>
        </w:rPr>
      </w:pPr>
      <w:r>
        <w:rPr>
          <w:rFonts w:hAnsi="宋体" w:cs="仿宋"/>
          <w:sz w:val="24"/>
          <w:szCs w:val="24"/>
          <w:highlight w:val="none"/>
        </w:rPr>
        <w:t>5.1</w:t>
      </w:r>
      <w:r>
        <w:rPr>
          <w:rFonts w:hint="eastAsia" w:hAnsi="宋体" w:cs="仿宋"/>
          <w:sz w:val="24"/>
          <w:szCs w:val="24"/>
          <w:highlight w:val="none"/>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9"/>
        <w:spacing w:line="360" w:lineRule="auto"/>
        <w:ind w:left="1" w:firstLine="480" w:firstLineChars="200"/>
        <w:rPr>
          <w:rFonts w:hAnsi="宋体"/>
          <w:sz w:val="24"/>
          <w:szCs w:val="24"/>
          <w:highlight w:val="none"/>
        </w:rPr>
      </w:pPr>
      <w:r>
        <w:rPr>
          <w:rFonts w:hAnsi="宋体" w:cs="仿宋"/>
          <w:sz w:val="24"/>
          <w:szCs w:val="24"/>
          <w:highlight w:val="none"/>
        </w:rPr>
        <w:t>5.2</w:t>
      </w:r>
      <w:r>
        <w:rPr>
          <w:rFonts w:hint="eastAsia" w:hAnsi="宋体" w:cs="仿宋"/>
          <w:sz w:val="24"/>
          <w:szCs w:val="24"/>
          <w:highlight w:val="none"/>
        </w:rPr>
        <w:t>利害关系授权代表处理。两家以上的供应商不得在同一合同项下的采购项目中，委托同一个自然人、同一家庭的人员、同一单位的人员作为其授权代表，否则，其响应文件作为无效处理。</w:t>
      </w:r>
    </w:p>
    <w:p>
      <w:pPr>
        <w:pStyle w:val="69"/>
        <w:spacing w:line="360" w:lineRule="auto"/>
        <w:ind w:left="1" w:firstLine="480" w:firstLineChars="200"/>
        <w:rPr>
          <w:rFonts w:hAnsi="宋体"/>
          <w:sz w:val="24"/>
          <w:szCs w:val="24"/>
          <w:highlight w:val="none"/>
        </w:rPr>
      </w:pPr>
      <w:r>
        <w:rPr>
          <w:rFonts w:hAnsi="宋体" w:cs="仿宋"/>
          <w:sz w:val="24"/>
          <w:szCs w:val="24"/>
          <w:highlight w:val="none"/>
        </w:rPr>
        <w:t>5.3</w:t>
      </w:r>
      <w:r>
        <w:rPr>
          <w:rFonts w:hint="eastAsia" w:hAnsi="宋体" w:cs="仿宋"/>
          <w:sz w:val="24"/>
          <w:szCs w:val="24"/>
          <w:highlight w:val="none"/>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9"/>
        <w:spacing w:line="360" w:lineRule="auto"/>
        <w:ind w:left="1" w:firstLine="480" w:firstLineChars="200"/>
        <w:rPr>
          <w:rFonts w:hAnsi="宋体"/>
          <w:sz w:val="24"/>
          <w:szCs w:val="24"/>
          <w:highlight w:val="none"/>
        </w:rPr>
      </w:pPr>
      <w:r>
        <w:rPr>
          <w:rFonts w:hAnsi="宋体" w:cs="仿宋"/>
          <w:sz w:val="24"/>
          <w:szCs w:val="24"/>
          <w:highlight w:val="none"/>
        </w:rPr>
        <w:t>5.4</w:t>
      </w:r>
      <w:r>
        <w:rPr>
          <w:rFonts w:hint="eastAsia" w:hAnsi="宋体" w:cs="仿宋"/>
          <w:sz w:val="24"/>
          <w:szCs w:val="24"/>
          <w:highlight w:val="none"/>
        </w:rPr>
        <w:t>供应商实际控制人或者中高级管理人员，同时是采购代理机构工作人员，不得参与本项目政府采购活动。</w:t>
      </w:r>
    </w:p>
    <w:p>
      <w:pPr>
        <w:spacing w:line="360" w:lineRule="auto"/>
        <w:ind w:firstLine="480" w:firstLineChars="200"/>
        <w:rPr>
          <w:rFonts w:ascii="宋体" w:hAnsi="宋体"/>
          <w:sz w:val="24"/>
          <w:highlight w:val="none"/>
        </w:rPr>
      </w:pPr>
      <w:r>
        <w:rPr>
          <w:rFonts w:ascii="宋体" w:hAnsi="宋体" w:cs="仿宋"/>
          <w:sz w:val="24"/>
          <w:highlight w:val="none"/>
        </w:rPr>
        <w:t>5.5</w:t>
      </w:r>
      <w:r>
        <w:rPr>
          <w:rFonts w:hint="eastAsia" w:ascii="宋体" w:hAnsi="宋体" w:cs="仿宋"/>
          <w:sz w:val="24"/>
          <w:highlight w:val="none"/>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sz w:val="24"/>
          <w:highlight w:val="none"/>
        </w:rPr>
      </w:pPr>
      <w:r>
        <w:rPr>
          <w:rFonts w:ascii="宋体" w:hAnsi="宋体" w:cs="仿宋"/>
          <w:sz w:val="24"/>
          <w:highlight w:val="none"/>
        </w:rPr>
        <w:t>5.6</w:t>
      </w:r>
      <w:r>
        <w:rPr>
          <w:rFonts w:hint="eastAsia" w:ascii="宋体" w:hAnsi="宋体" w:cs="仿宋"/>
          <w:sz w:val="24"/>
          <w:highlight w:val="none"/>
        </w:rPr>
        <w:t>供应商与采购代理机构存在关联关系，或者是采购代理机构的母公司或子公司，不得参加本项目政府采购活动。</w:t>
      </w:r>
    </w:p>
    <w:p>
      <w:pPr>
        <w:pStyle w:val="69"/>
        <w:spacing w:line="360" w:lineRule="auto"/>
        <w:ind w:left="1" w:firstLine="480" w:firstLineChars="200"/>
        <w:rPr>
          <w:rFonts w:hAnsi="宋体"/>
          <w:sz w:val="24"/>
          <w:szCs w:val="24"/>
          <w:highlight w:val="none"/>
        </w:rPr>
      </w:pPr>
      <w:r>
        <w:rPr>
          <w:rFonts w:hAnsi="宋体" w:cs="仿宋"/>
          <w:sz w:val="24"/>
          <w:szCs w:val="24"/>
          <w:highlight w:val="none"/>
        </w:rPr>
        <w:t>5.7</w:t>
      </w:r>
      <w:r>
        <w:rPr>
          <w:rFonts w:hint="eastAsia" w:hAnsi="宋体" w:cs="仿宋"/>
          <w:sz w:val="24"/>
          <w:szCs w:val="24"/>
          <w:highlight w:val="none"/>
        </w:rPr>
        <w:t>回避。政府采购活动中，采购人员及相关人员与供应商有下列利害关系之一的，应当回避：</w:t>
      </w:r>
    </w:p>
    <w:p>
      <w:pPr>
        <w:pStyle w:val="69"/>
        <w:spacing w:line="360" w:lineRule="auto"/>
        <w:ind w:left="1" w:firstLine="480" w:firstLineChars="200"/>
        <w:rPr>
          <w:rFonts w:hAnsi="宋体"/>
          <w:sz w:val="24"/>
          <w:szCs w:val="24"/>
          <w:highlight w:val="none"/>
        </w:rPr>
      </w:pPr>
      <w:r>
        <w:rPr>
          <w:rFonts w:hint="eastAsia" w:hAnsi="宋体" w:cs="仿宋"/>
          <w:sz w:val="24"/>
          <w:szCs w:val="24"/>
          <w:highlight w:val="none"/>
        </w:rPr>
        <w:t>（</w:t>
      </w:r>
      <w:r>
        <w:rPr>
          <w:rFonts w:hAnsi="宋体" w:cs="仿宋"/>
          <w:sz w:val="24"/>
          <w:szCs w:val="24"/>
          <w:highlight w:val="none"/>
        </w:rPr>
        <w:t>1</w:t>
      </w:r>
      <w:r>
        <w:rPr>
          <w:rFonts w:hint="eastAsia" w:hAnsi="宋体" w:cs="仿宋"/>
          <w:sz w:val="24"/>
          <w:szCs w:val="24"/>
          <w:highlight w:val="none"/>
        </w:rPr>
        <w:t>）参加采购活动前</w:t>
      </w:r>
      <w:r>
        <w:rPr>
          <w:rFonts w:hAnsi="宋体" w:cs="仿宋"/>
          <w:sz w:val="24"/>
          <w:szCs w:val="24"/>
          <w:highlight w:val="none"/>
        </w:rPr>
        <w:t>3</w:t>
      </w:r>
      <w:r>
        <w:rPr>
          <w:rFonts w:hint="eastAsia" w:hAnsi="宋体" w:cs="仿宋"/>
          <w:sz w:val="24"/>
          <w:szCs w:val="24"/>
          <w:highlight w:val="none"/>
        </w:rPr>
        <w:t>年内与供应商存在劳动关系；</w:t>
      </w:r>
    </w:p>
    <w:p>
      <w:pPr>
        <w:pStyle w:val="69"/>
        <w:spacing w:line="360" w:lineRule="auto"/>
        <w:ind w:left="1" w:firstLine="480" w:firstLineChars="200"/>
        <w:rPr>
          <w:rFonts w:hAnsi="宋体"/>
          <w:sz w:val="24"/>
          <w:szCs w:val="24"/>
          <w:highlight w:val="none"/>
        </w:rPr>
      </w:pPr>
      <w:r>
        <w:rPr>
          <w:rFonts w:hint="eastAsia" w:hAnsi="宋体" w:cs="仿宋"/>
          <w:sz w:val="24"/>
          <w:szCs w:val="24"/>
          <w:highlight w:val="none"/>
        </w:rPr>
        <w:t>（</w:t>
      </w:r>
      <w:r>
        <w:rPr>
          <w:rFonts w:hAnsi="宋体" w:cs="仿宋"/>
          <w:sz w:val="24"/>
          <w:szCs w:val="24"/>
          <w:highlight w:val="none"/>
        </w:rPr>
        <w:t>2</w:t>
      </w:r>
      <w:r>
        <w:rPr>
          <w:rFonts w:hint="eastAsia" w:hAnsi="宋体" w:cs="仿宋"/>
          <w:sz w:val="24"/>
          <w:szCs w:val="24"/>
          <w:highlight w:val="none"/>
        </w:rPr>
        <w:t>）参加采购活动前</w:t>
      </w:r>
      <w:r>
        <w:rPr>
          <w:rFonts w:hAnsi="宋体" w:cs="仿宋"/>
          <w:sz w:val="24"/>
          <w:szCs w:val="24"/>
          <w:highlight w:val="none"/>
        </w:rPr>
        <w:t>3</w:t>
      </w:r>
      <w:r>
        <w:rPr>
          <w:rFonts w:hint="eastAsia" w:hAnsi="宋体" w:cs="仿宋"/>
          <w:sz w:val="24"/>
          <w:szCs w:val="24"/>
          <w:highlight w:val="none"/>
        </w:rPr>
        <w:t>年内担任供应商的董事、监事；</w:t>
      </w:r>
    </w:p>
    <w:p>
      <w:pPr>
        <w:pStyle w:val="69"/>
        <w:spacing w:line="360" w:lineRule="auto"/>
        <w:ind w:left="1" w:firstLine="480" w:firstLineChars="200"/>
        <w:rPr>
          <w:rFonts w:hAnsi="宋体"/>
          <w:sz w:val="24"/>
          <w:szCs w:val="24"/>
          <w:highlight w:val="none"/>
        </w:rPr>
      </w:pPr>
      <w:r>
        <w:rPr>
          <w:rFonts w:hint="eastAsia" w:hAnsi="宋体" w:cs="仿宋"/>
          <w:sz w:val="24"/>
          <w:szCs w:val="24"/>
          <w:highlight w:val="none"/>
        </w:rPr>
        <w:t>（</w:t>
      </w:r>
      <w:r>
        <w:rPr>
          <w:rFonts w:hAnsi="宋体" w:cs="仿宋"/>
          <w:sz w:val="24"/>
          <w:szCs w:val="24"/>
          <w:highlight w:val="none"/>
        </w:rPr>
        <w:t>3</w:t>
      </w:r>
      <w:r>
        <w:rPr>
          <w:rFonts w:hint="eastAsia" w:hAnsi="宋体" w:cs="仿宋"/>
          <w:sz w:val="24"/>
          <w:szCs w:val="24"/>
          <w:highlight w:val="none"/>
        </w:rPr>
        <w:t>）参加采购活动前</w:t>
      </w:r>
      <w:r>
        <w:rPr>
          <w:rFonts w:hAnsi="宋体" w:cs="仿宋"/>
          <w:sz w:val="24"/>
          <w:szCs w:val="24"/>
          <w:highlight w:val="none"/>
        </w:rPr>
        <w:t>3</w:t>
      </w:r>
      <w:r>
        <w:rPr>
          <w:rFonts w:hint="eastAsia" w:hAnsi="宋体" w:cs="仿宋"/>
          <w:sz w:val="24"/>
          <w:szCs w:val="24"/>
          <w:highlight w:val="none"/>
        </w:rPr>
        <w:t>年内是供应商的控股股东或者实际控制人；</w:t>
      </w:r>
    </w:p>
    <w:p>
      <w:pPr>
        <w:pStyle w:val="69"/>
        <w:spacing w:line="360" w:lineRule="auto"/>
        <w:ind w:left="1" w:firstLine="480" w:firstLineChars="200"/>
        <w:rPr>
          <w:rFonts w:hAnsi="宋体"/>
          <w:sz w:val="24"/>
          <w:szCs w:val="24"/>
          <w:highlight w:val="none"/>
        </w:rPr>
      </w:pPr>
      <w:r>
        <w:rPr>
          <w:rFonts w:hint="eastAsia" w:hAnsi="宋体" w:cs="仿宋"/>
          <w:sz w:val="24"/>
          <w:szCs w:val="24"/>
          <w:highlight w:val="none"/>
        </w:rPr>
        <w:t>（</w:t>
      </w:r>
      <w:r>
        <w:rPr>
          <w:rFonts w:hAnsi="宋体" w:cs="仿宋"/>
          <w:sz w:val="24"/>
          <w:szCs w:val="24"/>
          <w:highlight w:val="none"/>
        </w:rPr>
        <w:t>4</w:t>
      </w:r>
      <w:r>
        <w:rPr>
          <w:rFonts w:hint="eastAsia" w:hAnsi="宋体" w:cs="仿宋"/>
          <w:sz w:val="24"/>
          <w:szCs w:val="24"/>
          <w:highlight w:val="none"/>
        </w:rPr>
        <w:t>）与供应商的法定代表人或者负责人有夫妻、直系血亲、三代以内旁系血亲或者近姻亲关系；</w:t>
      </w:r>
    </w:p>
    <w:p>
      <w:pPr>
        <w:pStyle w:val="69"/>
        <w:spacing w:line="360" w:lineRule="auto"/>
        <w:ind w:left="1" w:firstLine="480" w:firstLineChars="200"/>
        <w:rPr>
          <w:rFonts w:hAnsi="宋体"/>
          <w:sz w:val="24"/>
          <w:szCs w:val="24"/>
          <w:highlight w:val="none"/>
        </w:rPr>
      </w:pPr>
      <w:r>
        <w:rPr>
          <w:rFonts w:hint="eastAsia" w:hAnsi="宋体" w:cs="仿宋"/>
          <w:sz w:val="24"/>
          <w:szCs w:val="24"/>
          <w:highlight w:val="none"/>
        </w:rPr>
        <w:t>（</w:t>
      </w:r>
      <w:r>
        <w:rPr>
          <w:rFonts w:hAnsi="宋体" w:cs="仿宋"/>
          <w:sz w:val="24"/>
          <w:szCs w:val="24"/>
          <w:highlight w:val="none"/>
        </w:rPr>
        <w:t>5</w:t>
      </w:r>
      <w:r>
        <w:rPr>
          <w:rFonts w:hint="eastAsia" w:hAnsi="宋体" w:cs="仿宋"/>
          <w:sz w:val="24"/>
          <w:szCs w:val="24"/>
          <w:highlight w:val="none"/>
        </w:rPr>
        <w:t>）与供应商有其他可能影响政府采购活动公平、公正进行的关系。</w:t>
      </w:r>
    </w:p>
    <w:p>
      <w:pPr>
        <w:pStyle w:val="69"/>
        <w:spacing w:line="360" w:lineRule="auto"/>
        <w:ind w:left="1" w:firstLine="480" w:firstLineChars="200"/>
        <w:rPr>
          <w:rFonts w:hAnsi="宋体"/>
          <w:sz w:val="24"/>
          <w:szCs w:val="24"/>
          <w:highlight w:val="none"/>
        </w:rPr>
      </w:pPr>
      <w:r>
        <w:rPr>
          <w:rFonts w:hint="eastAsia" w:hAnsi="宋体" w:cs="仿宋"/>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9"/>
        <w:spacing w:line="360" w:lineRule="auto"/>
        <w:ind w:left="1" w:firstLine="480" w:firstLineChars="200"/>
        <w:rPr>
          <w:rFonts w:hAnsi="宋体"/>
          <w:b/>
          <w:bCs/>
          <w:sz w:val="24"/>
          <w:szCs w:val="24"/>
          <w:highlight w:val="none"/>
        </w:rPr>
      </w:pPr>
      <w:r>
        <w:rPr>
          <w:rFonts w:hint="eastAsia" w:hAnsi="宋体" w:cs="仿宋"/>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9"/>
        <w:spacing w:line="360" w:lineRule="auto"/>
        <w:ind w:left="1" w:firstLine="482" w:firstLineChars="200"/>
        <w:rPr>
          <w:rFonts w:hAnsi="宋体"/>
          <w:b/>
          <w:bCs/>
          <w:sz w:val="24"/>
          <w:szCs w:val="24"/>
          <w:highlight w:val="none"/>
        </w:rPr>
      </w:pPr>
      <w:r>
        <w:rPr>
          <w:rFonts w:hAnsi="宋体" w:cs="仿宋"/>
          <w:b/>
          <w:bCs/>
          <w:sz w:val="24"/>
          <w:szCs w:val="24"/>
          <w:highlight w:val="none"/>
        </w:rPr>
        <w:t>6.</w:t>
      </w:r>
      <w:r>
        <w:rPr>
          <w:rFonts w:hint="eastAsia" w:hAnsi="宋体" w:cs="仿宋"/>
          <w:b/>
          <w:bCs/>
          <w:sz w:val="24"/>
          <w:szCs w:val="24"/>
          <w:highlight w:val="none"/>
        </w:rPr>
        <w:t>联合体竞争性磋商（本项目是否接受联合体以第一章为准。）</w:t>
      </w:r>
    </w:p>
    <w:p>
      <w:pPr>
        <w:pStyle w:val="69"/>
        <w:spacing w:line="360" w:lineRule="auto"/>
        <w:ind w:left="1" w:firstLine="480" w:firstLineChars="200"/>
        <w:rPr>
          <w:rFonts w:hAnsi="宋体"/>
          <w:sz w:val="24"/>
          <w:highlight w:val="none"/>
        </w:rPr>
      </w:pPr>
      <w:r>
        <w:rPr>
          <w:rFonts w:hint="eastAsia" w:hAnsi="宋体" w:cs="仿宋"/>
          <w:sz w:val="24"/>
          <w:szCs w:val="24"/>
          <w:highlight w:val="none"/>
        </w:rPr>
        <w:t>联合体各方应当共同与采购人签订采购合同，就采购合同约定的事项对采购人承担连带责任。</w:t>
      </w:r>
    </w:p>
    <w:p>
      <w:pPr>
        <w:pStyle w:val="69"/>
        <w:spacing w:line="360" w:lineRule="auto"/>
        <w:ind w:left="1" w:firstLine="482" w:firstLineChars="200"/>
        <w:rPr>
          <w:rFonts w:hAnsi="宋体" w:cs="仿宋"/>
          <w:b/>
          <w:bCs/>
          <w:sz w:val="24"/>
          <w:szCs w:val="24"/>
          <w:highlight w:val="none"/>
        </w:rPr>
      </w:pPr>
      <w:r>
        <w:rPr>
          <w:rFonts w:hAnsi="宋体" w:cs="仿宋"/>
          <w:b/>
          <w:bCs/>
          <w:sz w:val="24"/>
          <w:szCs w:val="24"/>
          <w:highlight w:val="none"/>
        </w:rPr>
        <w:t>7.</w:t>
      </w:r>
      <w:r>
        <w:rPr>
          <w:rFonts w:hint="eastAsia" w:hAnsi="宋体" w:cs="仿宋"/>
          <w:b/>
          <w:bCs/>
          <w:sz w:val="24"/>
          <w:szCs w:val="24"/>
          <w:highlight w:val="none"/>
        </w:rPr>
        <w:t xml:space="preserve"> 磋商保证金（实质性要求）</w:t>
      </w:r>
    </w:p>
    <w:p>
      <w:pPr>
        <w:spacing w:line="360" w:lineRule="auto"/>
        <w:ind w:firstLine="470" w:firstLineChars="196"/>
        <w:rPr>
          <w:rFonts w:hint="eastAsia" w:ascii="宋体" w:hAnsi="宋体" w:eastAsia="宋体" w:cs="仿宋"/>
          <w:kern w:val="0"/>
          <w:sz w:val="24"/>
          <w:szCs w:val="24"/>
          <w:highlight w:val="none"/>
          <w:lang w:val="en-US" w:eastAsia="zh-CN" w:bidi="ar-SA"/>
        </w:rPr>
      </w:pPr>
      <w:r>
        <w:rPr>
          <w:rFonts w:hint="eastAsia" w:ascii="宋体" w:hAnsi="宋体" w:eastAsia="宋体" w:cs="仿宋"/>
          <w:kern w:val="0"/>
          <w:sz w:val="24"/>
          <w:szCs w:val="24"/>
          <w:highlight w:val="none"/>
          <w:lang w:val="en-US" w:eastAsia="zh-CN" w:bidi="ar-SA"/>
        </w:rPr>
        <w:t>本项目不缴纳磋商保证金。</w:t>
      </w:r>
    </w:p>
    <w:p>
      <w:pPr>
        <w:spacing w:line="360" w:lineRule="auto"/>
        <w:ind w:firstLine="472" w:firstLineChars="196"/>
        <w:rPr>
          <w:rFonts w:ascii="宋体" w:hAnsi="宋体"/>
          <w:b/>
          <w:bCs/>
          <w:sz w:val="24"/>
          <w:highlight w:val="none"/>
        </w:rPr>
      </w:pPr>
      <w:r>
        <w:rPr>
          <w:rFonts w:hint="eastAsia" w:ascii="宋体" w:hAnsi="宋体" w:cs="仿宋"/>
          <w:b/>
          <w:bCs/>
          <w:sz w:val="24"/>
          <w:highlight w:val="none"/>
        </w:rPr>
        <w:t>8.响应文件有效期（实质性要求）</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本项目响应文件有效期为递交磋商响应文件截止之日起</w:t>
      </w:r>
      <w:r>
        <w:rPr>
          <w:rFonts w:ascii="宋体" w:hAnsi="宋体" w:cs="仿宋"/>
          <w:sz w:val="24"/>
          <w:highlight w:val="none"/>
          <w:u w:val="single"/>
        </w:rPr>
        <w:t>90</w:t>
      </w:r>
      <w:r>
        <w:rPr>
          <w:rFonts w:hint="eastAsia" w:ascii="宋体" w:hAnsi="宋体" w:cs="仿宋"/>
          <w:sz w:val="24"/>
          <w:highlight w:val="none"/>
        </w:rPr>
        <w:t>天。供应商响应文件中必须载明响应文件有效期，响应文件中载明的响应文件有效期可以长于磋商文件规定的期限，但不得短于磋商文件规定的期限。否则，其响应文件将作为无效处理。</w:t>
      </w:r>
    </w:p>
    <w:p>
      <w:pPr>
        <w:pStyle w:val="18"/>
        <w:spacing w:line="400" w:lineRule="exact"/>
        <w:ind w:firstLine="482" w:firstLineChars="200"/>
        <w:rPr>
          <w:rFonts w:ascii="宋体" w:hAnsi="宋体"/>
          <w:b/>
          <w:bCs/>
          <w:sz w:val="24"/>
          <w:szCs w:val="24"/>
          <w:highlight w:val="none"/>
        </w:rPr>
      </w:pPr>
      <w:r>
        <w:rPr>
          <w:rFonts w:hint="eastAsia" w:ascii="宋体" w:hAnsi="宋体"/>
          <w:b/>
          <w:sz w:val="24"/>
          <w:highlight w:val="none"/>
        </w:rPr>
        <w:t>9.</w:t>
      </w:r>
      <w:r>
        <w:rPr>
          <w:rFonts w:hint="eastAsia" w:ascii="宋体" w:hAnsi="宋体"/>
          <w:b/>
          <w:bCs/>
          <w:sz w:val="24"/>
          <w:szCs w:val="24"/>
          <w:highlight w:val="none"/>
        </w:rPr>
        <w:t>知识产权（实质性要求）</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9</w:t>
      </w:r>
      <w:r>
        <w:rPr>
          <w:rFonts w:ascii="宋体" w:hAnsi="宋体" w:cs="仿宋"/>
          <w:sz w:val="24"/>
          <w:highlight w:val="none"/>
        </w:rPr>
        <w:t>.1</w:t>
      </w:r>
      <w:r>
        <w:rPr>
          <w:rFonts w:hint="eastAsia" w:ascii="宋体" w:hAnsi="宋体" w:cs="仿宋"/>
          <w:sz w:val="24"/>
          <w:highlight w:val="none"/>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9</w:t>
      </w:r>
      <w:r>
        <w:rPr>
          <w:rFonts w:ascii="宋体" w:hAnsi="宋体" w:cs="仿宋"/>
          <w:sz w:val="24"/>
          <w:highlight w:val="none"/>
        </w:rPr>
        <w:t>.2</w:t>
      </w:r>
      <w:r>
        <w:rPr>
          <w:rFonts w:hint="eastAsia" w:ascii="宋体" w:hAnsi="宋体" w:cs="仿宋"/>
          <w:sz w:val="24"/>
          <w:highlight w:val="none"/>
        </w:rPr>
        <w:t xml:space="preserve"> 除非磋商文件特别规定，采购人享有本项目实施过程中产生的知识成果及知识产权。</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9</w:t>
      </w:r>
      <w:r>
        <w:rPr>
          <w:rFonts w:ascii="宋体" w:hAnsi="宋体" w:cs="仿宋"/>
          <w:sz w:val="24"/>
          <w:highlight w:val="none"/>
        </w:rPr>
        <w:t>.3</w:t>
      </w:r>
      <w:r>
        <w:rPr>
          <w:rFonts w:hint="eastAsia" w:ascii="宋体" w:hAnsi="宋体" w:cs="仿宋"/>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70" w:firstLineChars="196"/>
        <w:rPr>
          <w:rFonts w:ascii="宋体" w:hAnsi="宋体"/>
          <w:sz w:val="24"/>
          <w:highlight w:val="none"/>
        </w:rPr>
      </w:pPr>
      <w:r>
        <w:rPr>
          <w:rFonts w:hint="eastAsia" w:ascii="宋体" w:hAnsi="宋体" w:cs="仿宋"/>
          <w:sz w:val="24"/>
          <w:highlight w:val="none"/>
        </w:rPr>
        <w:t>9</w:t>
      </w:r>
      <w:r>
        <w:rPr>
          <w:rFonts w:ascii="宋体" w:hAnsi="宋体" w:cs="仿宋"/>
          <w:sz w:val="24"/>
          <w:highlight w:val="none"/>
        </w:rPr>
        <w:t>.4</w:t>
      </w:r>
      <w:r>
        <w:rPr>
          <w:rFonts w:hint="eastAsia" w:ascii="宋体" w:hAnsi="宋体" w:cs="仿宋"/>
          <w:sz w:val="24"/>
          <w:highlight w:val="none"/>
        </w:rPr>
        <w:t xml:space="preserve"> 如采用供应商所不拥有的知识产权，则在报价中必须包括合法获取该知识产权的相关费用。</w:t>
      </w:r>
      <w:bookmarkEnd w:id="43"/>
    </w:p>
    <w:p>
      <w:pPr>
        <w:pStyle w:val="4"/>
        <w:spacing w:line="400" w:lineRule="exact"/>
        <w:jc w:val="center"/>
        <w:rPr>
          <w:rFonts w:ascii="宋体" w:hAnsi="宋体" w:eastAsia="宋体"/>
          <w:bCs w:val="0"/>
          <w:highlight w:val="none"/>
        </w:rPr>
      </w:pPr>
      <w:r>
        <w:rPr>
          <w:rFonts w:hint="eastAsia" w:ascii="宋体" w:hAnsi="宋体" w:eastAsia="宋体"/>
          <w:bCs w:val="0"/>
          <w:highlight w:val="none"/>
        </w:rPr>
        <w:t>三、磋商文件</w:t>
      </w:r>
    </w:p>
    <w:p>
      <w:pPr>
        <w:pStyle w:val="5"/>
        <w:keepNext w:val="0"/>
        <w:keepLines w:val="0"/>
        <w:spacing w:before="0" w:after="0" w:line="360" w:lineRule="auto"/>
        <w:ind w:firstLine="482" w:firstLineChars="200"/>
        <w:rPr>
          <w:rFonts w:ascii="宋体" w:hAnsi="宋体"/>
          <w:sz w:val="24"/>
          <w:szCs w:val="24"/>
          <w:highlight w:val="none"/>
        </w:rPr>
      </w:pPr>
      <w:bookmarkStart w:id="44" w:name="PO_默认文件内容_25"/>
      <w:r>
        <w:rPr>
          <w:rFonts w:ascii="宋体" w:hAnsi="宋体" w:cs="仿宋"/>
          <w:sz w:val="24"/>
          <w:szCs w:val="24"/>
          <w:highlight w:val="none"/>
        </w:rPr>
        <w:t>10</w:t>
      </w:r>
      <w:r>
        <w:rPr>
          <w:rFonts w:hint="eastAsia" w:ascii="宋体" w:hAnsi="宋体" w:cs="仿宋"/>
          <w:sz w:val="24"/>
          <w:szCs w:val="24"/>
          <w:highlight w:val="none"/>
        </w:rPr>
        <w:t>．磋商文件的构成（实质性要求）</w:t>
      </w:r>
    </w:p>
    <w:p>
      <w:pPr>
        <w:tabs>
          <w:tab w:val="left" w:pos="720"/>
        </w:tabs>
        <w:spacing w:line="360" w:lineRule="auto"/>
        <w:ind w:firstLine="480" w:firstLineChars="200"/>
        <w:rPr>
          <w:rFonts w:ascii="宋体" w:hAnsi="宋体"/>
          <w:sz w:val="24"/>
          <w:highlight w:val="none"/>
        </w:rPr>
      </w:pPr>
      <w:r>
        <w:rPr>
          <w:rFonts w:ascii="宋体" w:hAnsi="宋体" w:cs="仿宋"/>
          <w:sz w:val="24"/>
          <w:highlight w:val="none"/>
        </w:rPr>
        <w:t>10</w:t>
      </w:r>
      <w:r>
        <w:rPr>
          <w:rFonts w:ascii="宋体" w:hAnsi="宋体" w:cs="仿宋"/>
          <w:b/>
          <w:bCs/>
          <w:sz w:val="24"/>
          <w:highlight w:val="none"/>
        </w:rPr>
        <w:t>.</w:t>
      </w:r>
      <w:r>
        <w:rPr>
          <w:rFonts w:ascii="宋体" w:hAnsi="宋体" w:cs="仿宋"/>
          <w:sz w:val="24"/>
          <w:highlight w:val="none"/>
        </w:rPr>
        <w:t xml:space="preserve">1 </w:t>
      </w:r>
      <w:r>
        <w:rPr>
          <w:rFonts w:hint="eastAsia" w:ascii="宋体" w:hAnsi="宋体" w:cs="仿宋"/>
          <w:sz w:val="24"/>
          <w:highlight w:val="none"/>
        </w:rPr>
        <w:t>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sz w:val="24"/>
          <w:highlight w:val="none"/>
        </w:rPr>
      </w:pPr>
      <w:r>
        <w:rPr>
          <w:rFonts w:ascii="宋体" w:hAnsi="宋体" w:cs="仿宋"/>
          <w:sz w:val="24"/>
          <w:highlight w:val="none"/>
        </w:rPr>
        <w:t>10</w:t>
      </w:r>
      <w:r>
        <w:rPr>
          <w:rFonts w:ascii="宋体" w:hAnsi="宋体" w:cs="仿宋"/>
          <w:b/>
          <w:bCs/>
          <w:sz w:val="24"/>
          <w:highlight w:val="none"/>
        </w:rPr>
        <w:t>.</w:t>
      </w:r>
      <w:r>
        <w:rPr>
          <w:rFonts w:ascii="宋体" w:hAnsi="宋体" w:cs="仿宋"/>
          <w:sz w:val="24"/>
          <w:highlight w:val="none"/>
        </w:rPr>
        <w:t xml:space="preserve">2 </w:t>
      </w:r>
      <w:r>
        <w:rPr>
          <w:rFonts w:hint="eastAsia" w:ascii="宋体" w:hAnsi="宋体" w:cs="仿宋"/>
          <w:sz w:val="24"/>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宋体" w:hAnsi="宋体"/>
          <w:sz w:val="24"/>
          <w:szCs w:val="24"/>
          <w:highlight w:val="none"/>
        </w:rPr>
      </w:pPr>
      <w:r>
        <w:rPr>
          <w:rFonts w:ascii="宋体" w:hAnsi="宋体" w:cs="仿宋"/>
          <w:sz w:val="24"/>
          <w:szCs w:val="24"/>
          <w:highlight w:val="none"/>
        </w:rPr>
        <w:t xml:space="preserve">11. </w:t>
      </w:r>
      <w:r>
        <w:rPr>
          <w:rFonts w:hint="eastAsia" w:ascii="宋体" w:hAnsi="宋体" w:cs="仿宋"/>
          <w:sz w:val="24"/>
          <w:szCs w:val="24"/>
          <w:highlight w:val="none"/>
        </w:rPr>
        <w:t>磋商文件的澄清和修改</w:t>
      </w:r>
    </w:p>
    <w:p>
      <w:pPr>
        <w:tabs>
          <w:tab w:val="left" w:pos="720"/>
        </w:tabs>
        <w:spacing w:line="360" w:lineRule="auto"/>
        <w:ind w:firstLine="480" w:firstLineChars="200"/>
        <w:rPr>
          <w:rFonts w:ascii="宋体" w:hAnsi="宋体"/>
          <w:sz w:val="24"/>
          <w:highlight w:val="none"/>
        </w:rPr>
      </w:pPr>
      <w:r>
        <w:rPr>
          <w:rFonts w:ascii="宋体" w:hAnsi="宋体" w:cs="仿宋"/>
          <w:sz w:val="24"/>
          <w:highlight w:val="none"/>
        </w:rPr>
        <w:t xml:space="preserve">11.1 </w:t>
      </w:r>
      <w:r>
        <w:rPr>
          <w:rFonts w:hint="eastAsia" w:ascii="宋体" w:hAnsi="宋体" w:cs="仿宋"/>
          <w:sz w:val="24"/>
          <w:highlight w:val="none"/>
        </w:rPr>
        <w:t>在递交响应文件截止时间前，采购人、采购代理机构可以对磋商文件进行澄清或者修改。</w:t>
      </w:r>
    </w:p>
    <w:p>
      <w:pPr>
        <w:tabs>
          <w:tab w:val="left" w:pos="720"/>
        </w:tabs>
        <w:spacing w:line="360" w:lineRule="auto"/>
        <w:ind w:firstLine="480" w:firstLineChars="200"/>
        <w:rPr>
          <w:rFonts w:ascii="宋体" w:hAnsi="宋体"/>
          <w:sz w:val="24"/>
          <w:highlight w:val="none"/>
        </w:rPr>
      </w:pPr>
      <w:r>
        <w:rPr>
          <w:rFonts w:ascii="宋体" w:hAnsi="宋体" w:cs="仿宋"/>
          <w:sz w:val="24"/>
          <w:highlight w:val="none"/>
        </w:rPr>
        <w:t xml:space="preserve">11.2 </w:t>
      </w:r>
      <w:r>
        <w:rPr>
          <w:rFonts w:hint="eastAsia" w:ascii="宋体" w:hAnsi="宋体" w:cs="仿宋"/>
          <w:sz w:val="24"/>
          <w:highlight w:val="none"/>
        </w:rPr>
        <w:t>采购代理机构对已发出的磋商文件进行澄清或者修改，应当以书面形式将澄清或者修改的内容通知所有按照规定获得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首次提交响应文件截止之日起</w:t>
      </w:r>
      <w:r>
        <w:rPr>
          <w:rFonts w:ascii="宋体" w:hAnsi="宋体" w:cs="仿宋"/>
          <w:sz w:val="24"/>
          <w:highlight w:val="none"/>
        </w:rPr>
        <w:t>5</w:t>
      </w:r>
      <w:r>
        <w:rPr>
          <w:rFonts w:hint="eastAsia" w:ascii="宋体" w:hAnsi="宋体" w:cs="仿宋"/>
          <w:sz w:val="24"/>
          <w:highlight w:val="none"/>
        </w:rPr>
        <w:t>日前；不足上述时间的，应当顺延递交响应文件的截止时间。</w:t>
      </w:r>
    </w:p>
    <w:p>
      <w:pPr>
        <w:tabs>
          <w:tab w:val="left" w:pos="720"/>
        </w:tabs>
        <w:spacing w:line="360" w:lineRule="auto"/>
        <w:ind w:firstLine="480" w:firstLineChars="200"/>
        <w:rPr>
          <w:rFonts w:ascii="宋体" w:hAnsi="宋体"/>
          <w:sz w:val="24"/>
          <w:highlight w:val="none"/>
        </w:rPr>
      </w:pPr>
      <w:r>
        <w:rPr>
          <w:rFonts w:ascii="宋体" w:hAnsi="宋体" w:cs="仿宋"/>
          <w:sz w:val="24"/>
          <w:highlight w:val="none"/>
        </w:rPr>
        <w:t xml:space="preserve">11.3 </w:t>
      </w:r>
      <w:r>
        <w:rPr>
          <w:rFonts w:hint="eastAsia" w:ascii="宋体" w:hAnsi="宋体" w:cs="仿宋"/>
          <w:sz w:val="24"/>
          <w:highlight w:val="none"/>
        </w:rPr>
        <w:t>供应商应于递交响应文件截止前，在四川政府采购网和《供应商服务系统》查询本项目的更正公告，以保证其对磋商文件做出正确的响应。更正公告通过《供应商服务系统》推送至所有购买采购文件的供应商，供应商自行下载使用。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仿宋"/>
          <w:sz w:val="24"/>
          <w:highlight w:val="none"/>
        </w:rPr>
      </w:pPr>
      <w:r>
        <w:rPr>
          <w:rFonts w:ascii="宋体" w:hAnsi="宋体" w:cs="仿宋"/>
          <w:sz w:val="24"/>
          <w:highlight w:val="none"/>
        </w:rPr>
        <w:t>11.4</w:t>
      </w:r>
      <w:r>
        <w:rPr>
          <w:rFonts w:hint="eastAsia" w:ascii="宋体" w:hAnsi="宋体" w:cs="仿宋"/>
          <w:sz w:val="24"/>
          <w:highlight w:val="none"/>
        </w:rPr>
        <w:t>供应商认为需要对磋商文件进行澄清或者修改的，可以以书面形式向采购人或采购代理机构提出申请，由采购人或采购代理机构决定是否采纳供应商的申请事项。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sz w:val="24"/>
          <w:szCs w:val="24"/>
          <w:highlight w:val="none"/>
        </w:rPr>
      </w:pPr>
      <w:r>
        <w:rPr>
          <w:rFonts w:ascii="宋体" w:hAnsi="宋体" w:cs="仿宋"/>
          <w:sz w:val="24"/>
          <w:szCs w:val="24"/>
          <w:highlight w:val="none"/>
        </w:rPr>
        <w:t xml:space="preserve">12. </w:t>
      </w:r>
      <w:r>
        <w:rPr>
          <w:rFonts w:hint="eastAsia" w:ascii="宋体" w:hAnsi="宋体" w:cs="仿宋"/>
          <w:sz w:val="24"/>
          <w:szCs w:val="24"/>
          <w:highlight w:val="none"/>
        </w:rPr>
        <w:t>答疑会和现场考察</w:t>
      </w:r>
    </w:p>
    <w:p>
      <w:pPr>
        <w:spacing w:line="360" w:lineRule="auto"/>
        <w:ind w:firstLine="480" w:firstLineChars="200"/>
        <w:rPr>
          <w:rFonts w:ascii="宋体" w:hAnsi="宋体"/>
          <w:sz w:val="24"/>
          <w:highlight w:val="none"/>
        </w:rPr>
      </w:pPr>
      <w:r>
        <w:rPr>
          <w:rFonts w:ascii="宋体" w:hAnsi="宋体" w:cs="仿宋"/>
          <w:sz w:val="24"/>
          <w:highlight w:val="none"/>
        </w:rPr>
        <w:t xml:space="preserve">12.1 </w:t>
      </w:r>
      <w:r>
        <w:rPr>
          <w:rFonts w:hint="eastAsia" w:ascii="宋体" w:hAnsi="宋体" w:cs="仿宋"/>
          <w:sz w:val="24"/>
          <w:highlight w:val="none"/>
        </w:rPr>
        <w:t>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sz w:val="24"/>
          <w:highlight w:val="none"/>
        </w:rPr>
      </w:pPr>
      <w:r>
        <w:rPr>
          <w:rFonts w:ascii="宋体" w:hAnsi="宋体" w:cs="仿宋"/>
          <w:sz w:val="24"/>
          <w:highlight w:val="none"/>
        </w:rPr>
        <w:t>12.2</w:t>
      </w:r>
      <w:r>
        <w:rPr>
          <w:rFonts w:hint="eastAsia" w:ascii="宋体" w:hAnsi="宋体" w:cs="仿宋"/>
          <w:sz w:val="24"/>
          <w:highlight w:val="none"/>
        </w:rPr>
        <w:t>采购人、采购代理机构组织现场考察或者召开答疑会的，将以书面形式通知所有按照规定获取了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sz w:val="24"/>
          <w:highlight w:val="none"/>
        </w:rPr>
      </w:pPr>
      <w:r>
        <w:rPr>
          <w:rFonts w:ascii="宋体" w:hAnsi="宋体" w:cs="仿宋"/>
          <w:sz w:val="24"/>
          <w:highlight w:val="none"/>
        </w:rPr>
        <w:t xml:space="preserve">12.3 </w:t>
      </w:r>
      <w:r>
        <w:rPr>
          <w:rFonts w:hint="eastAsia" w:ascii="宋体" w:hAnsi="宋体" w:cs="仿宋"/>
          <w:sz w:val="24"/>
          <w:highlight w:val="none"/>
        </w:rPr>
        <w:t>供应商考察现场或者参加答疑会所发生的一切费用由供应商自己承担。</w:t>
      </w:r>
      <w:bookmarkEnd w:id="44"/>
    </w:p>
    <w:p>
      <w:pPr>
        <w:pStyle w:val="4"/>
        <w:spacing w:line="400" w:lineRule="exact"/>
        <w:jc w:val="center"/>
        <w:rPr>
          <w:rFonts w:ascii="宋体" w:hAnsi="宋体" w:eastAsia="宋体"/>
          <w:bCs w:val="0"/>
          <w:highlight w:val="none"/>
        </w:rPr>
      </w:pPr>
      <w:r>
        <w:rPr>
          <w:rFonts w:hint="eastAsia" w:ascii="宋体" w:hAnsi="宋体" w:eastAsia="宋体"/>
          <w:bCs w:val="0"/>
          <w:highlight w:val="none"/>
        </w:rPr>
        <w:t>四、响应文件</w:t>
      </w:r>
    </w:p>
    <w:p>
      <w:pPr>
        <w:spacing w:line="400" w:lineRule="exact"/>
        <w:ind w:firstLine="482" w:firstLineChars="200"/>
        <w:outlineLvl w:val="2"/>
        <w:rPr>
          <w:rFonts w:ascii="宋体" w:hAnsi="宋体"/>
          <w:b/>
          <w:bCs/>
          <w:color w:val="auto"/>
          <w:sz w:val="24"/>
          <w:highlight w:val="none"/>
        </w:rPr>
      </w:pPr>
      <w:r>
        <w:rPr>
          <w:rFonts w:ascii="宋体" w:hAnsi="宋体" w:cs="仿宋"/>
          <w:b/>
          <w:bCs/>
          <w:color w:val="auto"/>
          <w:sz w:val="24"/>
          <w:highlight w:val="none"/>
        </w:rPr>
        <w:t>13.</w:t>
      </w:r>
      <w:r>
        <w:rPr>
          <w:rFonts w:hint="eastAsia" w:ascii="宋体" w:hAnsi="宋体" w:cs="仿宋"/>
          <w:b/>
          <w:bCs/>
          <w:color w:val="auto"/>
          <w:sz w:val="24"/>
          <w:highlight w:val="none"/>
        </w:rPr>
        <w:t>响应文件的组成（实质性要求）</w:t>
      </w:r>
    </w:p>
    <w:p>
      <w:pPr>
        <w:spacing w:line="400" w:lineRule="exact"/>
        <w:ind w:left="2" w:leftChars="1" w:firstLine="480" w:firstLineChars="200"/>
        <w:rPr>
          <w:rFonts w:ascii="宋体" w:hAnsi="宋体"/>
          <w:color w:val="auto"/>
          <w:sz w:val="24"/>
          <w:highlight w:val="none"/>
        </w:rPr>
      </w:pPr>
      <w:r>
        <w:rPr>
          <w:rFonts w:ascii="宋体" w:hAnsi="宋体" w:cs="仿宋"/>
          <w:color w:val="auto"/>
          <w:sz w:val="24"/>
          <w:highlight w:val="none"/>
        </w:rPr>
        <w:t>13.1</w:t>
      </w:r>
      <w:r>
        <w:rPr>
          <w:rFonts w:hint="eastAsia" w:ascii="宋体" w:hAnsi="宋体" w:cs="仿宋"/>
          <w:color w:val="auto"/>
          <w:sz w:val="24"/>
          <w:highlight w:val="none"/>
        </w:rPr>
        <w:t>供应商应按照磋商文件的规定和要求编制响应文件。供应商在成交后将成交项目的非主体、非关键性工作分包他人完成的，应当在响应文件中载明或磋商过程中澄清。</w:t>
      </w:r>
    </w:p>
    <w:p>
      <w:pPr>
        <w:spacing w:line="360" w:lineRule="auto"/>
        <w:ind w:firstLine="480" w:firstLineChars="200"/>
        <w:rPr>
          <w:rFonts w:ascii="宋体" w:hAnsi="宋体" w:cs="仿宋"/>
          <w:color w:val="auto"/>
          <w:sz w:val="24"/>
          <w:highlight w:val="none"/>
        </w:rPr>
      </w:pPr>
      <w:r>
        <w:rPr>
          <w:rFonts w:ascii="宋体" w:hAnsi="宋体" w:cs="仿宋"/>
          <w:color w:val="auto"/>
          <w:sz w:val="24"/>
          <w:highlight w:val="none"/>
        </w:rPr>
        <w:t>13.2供应商编写的响应文件应包括资格性响应文件和其他响应文件两部分。</w:t>
      </w:r>
    </w:p>
    <w:p>
      <w:pPr>
        <w:spacing w:line="360" w:lineRule="auto"/>
        <w:ind w:firstLine="482" w:firstLineChars="200"/>
        <w:rPr>
          <w:rFonts w:ascii="宋体" w:hAnsi="宋体" w:cs="仿宋"/>
          <w:b/>
          <w:bCs/>
          <w:color w:val="auto"/>
          <w:sz w:val="24"/>
          <w:highlight w:val="none"/>
        </w:rPr>
      </w:pPr>
      <w:r>
        <w:rPr>
          <w:rFonts w:ascii="宋体" w:hAnsi="宋体" w:cs="仿宋"/>
          <w:b/>
          <w:bCs/>
          <w:color w:val="auto"/>
          <w:sz w:val="24"/>
          <w:highlight w:val="none"/>
        </w:rPr>
        <w:t>14.响应文件的语言（实质性要求）</w:t>
      </w:r>
    </w:p>
    <w:p>
      <w:pPr>
        <w:spacing w:line="360" w:lineRule="auto"/>
        <w:ind w:firstLine="480" w:firstLineChars="200"/>
        <w:jc w:val="left"/>
        <w:rPr>
          <w:rFonts w:ascii="宋体" w:hAnsi="宋体"/>
          <w:color w:val="auto"/>
          <w:sz w:val="24"/>
          <w:highlight w:val="none"/>
        </w:rPr>
      </w:pPr>
      <w:r>
        <w:rPr>
          <w:rFonts w:ascii="宋体" w:hAnsi="宋体" w:cs="仿宋"/>
          <w:color w:val="auto"/>
          <w:sz w:val="24"/>
          <w:highlight w:val="none"/>
        </w:rPr>
        <w:t>14.1</w:t>
      </w:r>
      <w:r>
        <w:rPr>
          <w:rFonts w:hint="eastAsia" w:ascii="宋体" w:hAnsi="宋体" w:cs="仿宋"/>
          <w:color w:val="auto"/>
          <w:sz w:val="24"/>
          <w:highlight w:val="none"/>
        </w:rPr>
        <w:t>供应商提交的响应文件以及供应商与采购组织单位就有关磋商采购的所有来往书面文件均须使用中文。响应文件中如附有外文资料，主要部分要对应翻译成中文并加盖单位电子签章后附在相关外文资料后面。</w:t>
      </w:r>
    </w:p>
    <w:p>
      <w:pPr>
        <w:tabs>
          <w:tab w:val="left" w:pos="1134"/>
        </w:tabs>
        <w:spacing w:line="360" w:lineRule="auto"/>
        <w:ind w:firstLine="480" w:firstLineChars="200"/>
        <w:jc w:val="left"/>
        <w:rPr>
          <w:rFonts w:ascii="宋体" w:hAnsi="宋体"/>
          <w:color w:val="auto"/>
          <w:sz w:val="24"/>
          <w:highlight w:val="none"/>
        </w:rPr>
      </w:pPr>
      <w:r>
        <w:rPr>
          <w:rFonts w:ascii="宋体" w:hAnsi="宋体" w:cs="仿宋"/>
          <w:color w:val="auto"/>
          <w:sz w:val="24"/>
          <w:highlight w:val="none"/>
        </w:rPr>
        <w:t xml:space="preserve">14.2 </w:t>
      </w:r>
      <w:r>
        <w:rPr>
          <w:rFonts w:hint="eastAsia" w:ascii="宋体" w:hAnsi="宋体" w:cs="仿宋"/>
          <w:color w:val="auto"/>
          <w:sz w:val="24"/>
          <w:highlight w:val="none"/>
        </w:rPr>
        <w:t>翻译的中文资料与外文资料如果出现差异和矛盾时，以中文为准。涉嫌提供虚假材料的按照相关法律法规处理。</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14.3 </w:t>
      </w:r>
      <w:r>
        <w:rPr>
          <w:rFonts w:hint="eastAsia" w:ascii="宋体" w:hAnsi="宋体" w:cs="仿宋"/>
          <w:color w:val="auto"/>
          <w:sz w:val="24"/>
          <w:highlight w:val="none"/>
        </w:rPr>
        <w:t>如因未翻译而造成对供应商的不利后果，由供应商承担。</w:t>
      </w:r>
    </w:p>
    <w:p>
      <w:pPr>
        <w:pStyle w:val="5"/>
        <w:keepNext w:val="0"/>
        <w:keepLines w:val="0"/>
        <w:spacing w:before="0" w:after="0" w:line="360" w:lineRule="auto"/>
        <w:ind w:firstLine="482" w:firstLineChars="200"/>
        <w:rPr>
          <w:rFonts w:ascii="宋体" w:hAnsi="宋体"/>
          <w:color w:val="auto"/>
          <w:sz w:val="24"/>
          <w:szCs w:val="24"/>
          <w:highlight w:val="none"/>
        </w:rPr>
      </w:pPr>
      <w:r>
        <w:rPr>
          <w:rFonts w:ascii="宋体" w:hAnsi="宋体" w:cs="仿宋"/>
          <w:color w:val="auto"/>
          <w:sz w:val="24"/>
          <w:szCs w:val="24"/>
          <w:highlight w:val="none"/>
        </w:rPr>
        <w:t>15</w:t>
      </w:r>
      <w:r>
        <w:rPr>
          <w:rFonts w:hint="eastAsia" w:ascii="宋体" w:hAnsi="宋体" w:cs="仿宋"/>
          <w:color w:val="auto"/>
          <w:sz w:val="24"/>
          <w:szCs w:val="24"/>
          <w:highlight w:val="none"/>
        </w:rPr>
        <w:t>．计量单位（实质性要求）</w:t>
      </w:r>
    </w:p>
    <w:p>
      <w:pPr>
        <w:spacing w:line="360" w:lineRule="auto"/>
        <w:ind w:firstLine="470" w:firstLineChars="196"/>
        <w:rPr>
          <w:rFonts w:ascii="宋体" w:hAnsi="宋体"/>
          <w:b/>
          <w:bCs/>
          <w:color w:val="auto"/>
          <w:sz w:val="24"/>
          <w:highlight w:val="none"/>
        </w:rPr>
      </w:pPr>
      <w:r>
        <w:rPr>
          <w:rFonts w:hint="eastAsia" w:ascii="宋体" w:hAnsi="宋体" w:cs="仿宋"/>
          <w:color w:val="auto"/>
          <w:sz w:val="24"/>
          <w:highlight w:val="none"/>
        </w:rPr>
        <w:t>除磋商文件中另有规定外，本次采购项目所有合同项下的报价均采用国家法定的计量单位。</w:t>
      </w:r>
    </w:p>
    <w:p>
      <w:pPr>
        <w:spacing w:line="360" w:lineRule="auto"/>
        <w:ind w:firstLine="470" w:firstLineChars="195"/>
        <w:rPr>
          <w:rFonts w:ascii="宋体" w:hAnsi="宋体" w:cs="仿宋"/>
          <w:b/>
          <w:bCs/>
          <w:color w:val="auto"/>
          <w:sz w:val="24"/>
          <w:highlight w:val="none"/>
        </w:rPr>
      </w:pPr>
      <w:r>
        <w:rPr>
          <w:rFonts w:ascii="宋体" w:hAnsi="宋体" w:cs="仿宋"/>
          <w:b/>
          <w:bCs/>
          <w:color w:val="auto"/>
          <w:sz w:val="24"/>
          <w:highlight w:val="none"/>
        </w:rPr>
        <w:t xml:space="preserve">16. </w:t>
      </w:r>
      <w:r>
        <w:rPr>
          <w:rFonts w:hint="eastAsia" w:ascii="宋体" w:hAnsi="宋体" w:cs="仿宋"/>
          <w:b/>
          <w:bCs/>
          <w:color w:val="auto"/>
          <w:sz w:val="24"/>
          <w:highlight w:val="none"/>
        </w:rPr>
        <w:t>报价货币（实质性要求）</w:t>
      </w:r>
    </w:p>
    <w:p>
      <w:pPr>
        <w:spacing w:line="360" w:lineRule="auto"/>
        <w:ind w:left="2" w:leftChars="1" w:firstLine="480" w:firstLineChars="200"/>
        <w:rPr>
          <w:rFonts w:ascii="宋体" w:hAnsi="宋体" w:cs="仿宋"/>
          <w:color w:val="auto"/>
          <w:sz w:val="24"/>
          <w:highlight w:val="none"/>
        </w:rPr>
      </w:pPr>
      <w:r>
        <w:rPr>
          <w:rFonts w:hint="eastAsia" w:ascii="宋体" w:hAnsi="宋体" w:cs="仿宋"/>
          <w:color w:val="auto"/>
          <w:sz w:val="24"/>
          <w:highlight w:val="none"/>
        </w:rPr>
        <w:t>本次磋商项目的报价货币为人民币，报价以磋商文件规定为准。</w:t>
      </w:r>
    </w:p>
    <w:p>
      <w:pPr>
        <w:spacing w:line="360" w:lineRule="auto"/>
        <w:ind w:left="2" w:leftChars="1" w:firstLine="482" w:firstLineChars="200"/>
        <w:rPr>
          <w:rFonts w:ascii="宋体" w:hAnsi="宋体"/>
          <w:b/>
          <w:bCs/>
          <w:color w:val="auto"/>
          <w:sz w:val="24"/>
          <w:highlight w:val="none"/>
        </w:rPr>
      </w:pPr>
      <w:r>
        <w:rPr>
          <w:rFonts w:ascii="宋体" w:hAnsi="宋体" w:cs="仿宋"/>
          <w:b/>
          <w:bCs/>
          <w:color w:val="auto"/>
          <w:sz w:val="24"/>
          <w:highlight w:val="none"/>
        </w:rPr>
        <w:t>17.</w:t>
      </w:r>
      <w:r>
        <w:rPr>
          <w:rFonts w:hint="eastAsia" w:ascii="宋体" w:hAnsi="宋体" w:cs="仿宋"/>
          <w:b/>
          <w:bCs/>
          <w:color w:val="auto"/>
          <w:sz w:val="24"/>
          <w:highlight w:val="none"/>
        </w:rPr>
        <w:t>响应文件格式</w:t>
      </w:r>
    </w:p>
    <w:p>
      <w:pPr>
        <w:spacing w:line="360" w:lineRule="auto"/>
        <w:ind w:left="2" w:leftChars="1" w:firstLine="480" w:firstLineChars="200"/>
        <w:rPr>
          <w:rFonts w:ascii="宋体" w:hAnsi="宋体"/>
          <w:color w:val="auto"/>
          <w:sz w:val="24"/>
          <w:highlight w:val="none"/>
        </w:rPr>
      </w:pPr>
      <w:r>
        <w:rPr>
          <w:rFonts w:ascii="宋体" w:hAnsi="宋体" w:cs="仿宋"/>
          <w:color w:val="auto"/>
          <w:sz w:val="24"/>
          <w:highlight w:val="none"/>
        </w:rPr>
        <w:t xml:space="preserve">17.1 </w:t>
      </w:r>
      <w:r>
        <w:rPr>
          <w:rFonts w:hint="eastAsia" w:ascii="宋体" w:hAnsi="宋体" w:cs="仿宋"/>
          <w:color w:val="auto"/>
          <w:sz w:val="24"/>
          <w:highlight w:val="none"/>
        </w:rPr>
        <w:t>供应商应执行磋商文件第八章的规定要求。</w:t>
      </w:r>
    </w:p>
    <w:p>
      <w:pPr>
        <w:spacing w:line="360" w:lineRule="auto"/>
        <w:ind w:left="2" w:leftChars="1" w:firstLine="480" w:firstLineChars="200"/>
        <w:rPr>
          <w:rFonts w:ascii="宋体" w:hAnsi="宋体"/>
          <w:color w:val="auto"/>
          <w:sz w:val="24"/>
          <w:highlight w:val="none"/>
        </w:rPr>
      </w:pPr>
      <w:r>
        <w:rPr>
          <w:rFonts w:ascii="宋体" w:hAnsi="宋体" w:cs="仿宋"/>
          <w:color w:val="auto"/>
          <w:sz w:val="24"/>
          <w:highlight w:val="none"/>
        </w:rPr>
        <w:t xml:space="preserve">17.2 </w:t>
      </w:r>
      <w:r>
        <w:rPr>
          <w:rFonts w:hint="eastAsia" w:ascii="宋体" w:hAnsi="宋体" w:cs="仿宋"/>
          <w:color w:val="auto"/>
          <w:sz w:val="24"/>
          <w:highlight w:val="none"/>
        </w:rPr>
        <w:t>对于磋商文件没有格式要求的由供应商自行编写。</w:t>
      </w:r>
    </w:p>
    <w:p>
      <w:pPr>
        <w:spacing w:line="360" w:lineRule="auto"/>
        <w:ind w:firstLine="472" w:firstLineChars="196"/>
        <w:rPr>
          <w:rFonts w:ascii="宋体" w:hAnsi="宋体"/>
          <w:b/>
          <w:bCs/>
          <w:color w:val="auto"/>
          <w:sz w:val="24"/>
          <w:highlight w:val="none"/>
        </w:rPr>
      </w:pPr>
      <w:r>
        <w:rPr>
          <w:rFonts w:ascii="宋体" w:hAnsi="宋体" w:cs="仿宋"/>
          <w:b/>
          <w:bCs/>
          <w:color w:val="auto"/>
          <w:sz w:val="24"/>
          <w:highlight w:val="none"/>
        </w:rPr>
        <w:t>18.</w:t>
      </w:r>
      <w:r>
        <w:rPr>
          <w:rFonts w:hint="eastAsia" w:ascii="宋体" w:hAnsi="宋体" w:cs="仿宋"/>
          <w:b/>
          <w:bCs/>
          <w:color w:val="auto"/>
          <w:sz w:val="24"/>
          <w:highlight w:val="none"/>
        </w:rPr>
        <w:t>响应文件的制作和签章、加密</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响应文件制作详情：</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18.1 本项目实行电子投标。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应按磋商文件要求，通过“政采云投标客户端”制作、加密并提交响应文件。（实质性要求）</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18.2 响应文件每页均应加盖供应商（法定名称）单位电子签章，不得使用供应商专用章（如经济合同章、投标专用章等）或下属单位印章代替。（实质性要求）</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18.3 供应商应使用本企业CA数字证书对响应文件进行加密。（实质性要求）</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18.4磋商文件有修改的，供应商须重新下载修改后的磋商文件（修改后的磋商文件在更正公告中下载），根据修改后的磋商文件制作或修改并递交响应文件。</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18.5 使用“政府采购云平台”（含政采云电子交易客户端）需要提前申领CA数字证书及盖单位电子签章，请自行前往四川CA、CFCA、天威CA服务点办理，只需办理其中一家CA数字证书及签章（提示：办理时请说明参与成都市政府采购项目）。供应商应及时完成在“政府采购云平台”的CA账号绑定，确保顺利参与电子投标。（实质性要求）</w:t>
      </w:r>
    </w:p>
    <w:p>
      <w:pPr>
        <w:spacing w:line="360" w:lineRule="auto"/>
        <w:ind w:left="2" w:leftChars="1" w:firstLine="480" w:firstLineChars="200"/>
        <w:rPr>
          <w:rFonts w:ascii="宋体" w:hAnsi="宋体" w:cs="仿宋"/>
          <w:color w:val="auto"/>
          <w:sz w:val="24"/>
          <w:highlight w:val="none"/>
        </w:rPr>
      </w:pPr>
      <w:r>
        <w:rPr>
          <w:rFonts w:ascii="宋体" w:hAnsi="宋体" w:cs="仿宋"/>
          <w:color w:val="auto"/>
          <w:sz w:val="24"/>
          <w:highlight w:val="none"/>
        </w:rPr>
        <w:t>18.6响应文件应按磋商文件的要求制作和签章、加密。（实质性要求）</w:t>
      </w:r>
    </w:p>
    <w:p>
      <w:pPr>
        <w:spacing w:line="360" w:lineRule="auto"/>
        <w:ind w:left="2" w:leftChars="1" w:firstLine="482" w:firstLineChars="200"/>
        <w:rPr>
          <w:rFonts w:ascii="宋体" w:hAnsi="宋体" w:cs="仿宋"/>
          <w:b/>
          <w:bCs/>
          <w:color w:val="auto"/>
          <w:sz w:val="24"/>
          <w:highlight w:val="none"/>
        </w:rPr>
      </w:pPr>
      <w:r>
        <w:rPr>
          <w:rFonts w:ascii="宋体" w:hAnsi="宋体" w:cs="仿宋"/>
          <w:b/>
          <w:bCs/>
          <w:color w:val="auto"/>
          <w:sz w:val="24"/>
          <w:highlight w:val="none"/>
        </w:rPr>
        <w:t>19.</w:t>
      </w:r>
      <w:bookmarkStart w:id="45" w:name="_Toc183682364"/>
      <w:bookmarkStart w:id="46" w:name="_Toc183582227"/>
      <w:bookmarkStart w:id="47" w:name="_Toc217446054"/>
      <w:bookmarkStart w:id="48" w:name="_Toc308164804"/>
      <w:r>
        <w:rPr>
          <w:rFonts w:ascii="宋体" w:hAnsi="宋体" w:cs="仿宋"/>
          <w:b/>
          <w:bCs/>
          <w:color w:val="auto"/>
          <w:sz w:val="24"/>
          <w:highlight w:val="none"/>
        </w:rPr>
        <w:t>响应文件的</w:t>
      </w:r>
      <w:bookmarkEnd w:id="45"/>
      <w:bookmarkEnd w:id="46"/>
      <w:r>
        <w:rPr>
          <w:rFonts w:ascii="宋体" w:hAnsi="宋体" w:cs="仿宋"/>
          <w:b/>
          <w:bCs/>
          <w:color w:val="auto"/>
          <w:sz w:val="24"/>
          <w:highlight w:val="none"/>
        </w:rPr>
        <w:t>递交</w:t>
      </w:r>
      <w:bookmarkEnd w:id="47"/>
      <w:bookmarkEnd w:id="48"/>
    </w:p>
    <w:p>
      <w:pPr>
        <w:spacing w:line="360" w:lineRule="auto"/>
        <w:ind w:left="2" w:leftChars="1" w:firstLine="480" w:firstLineChars="200"/>
        <w:rPr>
          <w:rFonts w:ascii="宋体" w:hAnsi="宋体" w:cs="仿宋"/>
          <w:color w:val="auto"/>
          <w:sz w:val="24"/>
          <w:highlight w:val="none"/>
        </w:rPr>
      </w:pPr>
      <w:r>
        <w:rPr>
          <w:rFonts w:ascii="宋体" w:hAnsi="宋体" w:cs="仿宋"/>
          <w:color w:val="auto"/>
          <w:sz w:val="24"/>
          <w:highlight w:val="none"/>
        </w:rPr>
        <w:t>19.1 供应商应当在响应文件递交截止时间前，将生成的已加密的电子响应文件成功递交至“政府采购云平台”。</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19.2 因磋商文件的修改推迟投标截止日期的，供应商按</w:t>
      </w:r>
      <w:r>
        <w:rPr>
          <w:rFonts w:hint="eastAsia" w:ascii="宋体" w:hAnsi="宋体" w:cs="仿宋"/>
          <w:color w:val="auto"/>
          <w:sz w:val="24"/>
          <w:highlight w:val="none"/>
          <w:lang w:eastAsia="zh-Hans"/>
        </w:rPr>
        <w:t>采购人</w:t>
      </w:r>
      <w:r>
        <w:rPr>
          <w:rFonts w:hint="eastAsia" w:ascii="宋体" w:hAnsi="宋体" w:cs="仿宋"/>
          <w:color w:val="auto"/>
          <w:sz w:val="24"/>
          <w:highlight w:val="none"/>
        </w:rPr>
        <w:t>在“四川政府采购网”和“成都市公共资源交易服务中心”网站上发布的澄清公告中修改的时间递交响应文件，同时通过“政府采购云平台”将澄清或者修改的内容告知所有在系统中成功获取磋商文件的潜在供应商。</w:t>
      </w:r>
    </w:p>
    <w:p>
      <w:pPr>
        <w:tabs>
          <w:tab w:val="left" w:pos="1095"/>
        </w:tabs>
        <w:spacing w:line="400" w:lineRule="exact"/>
        <w:ind w:firstLine="460" w:firstLineChars="192"/>
        <w:rPr>
          <w:rFonts w:ascii="仿宋" w:hAnsi="仿宋" w:eastAsia="仿宋"/>
          <w:color w:val="auto"/>
          <w:sz w:val="24"/>
          <w:highlight w:val="none"/>
        </w:rPr>
      </w:pPr>
      <w:r>
        <w:rPr>
          <w:rFonts w:hint="eastAsia" w:ascii="宋体" w:hAnsi="宋体" w:cs="仿宋"/>
          <w:color w:val="auto"/>
          <w:sz w:val="24"/>
          <w:highlight w:val="none"/>
        </w:rPr>
        <w:t>19.3 供应商应充分考虑递交文件的不可预见因素，未在投标截止时间前完成递交的，在投标截止时间后将无法递交。</w:t>
      </w:r>
    </w:p>
    <w:p>
      <w:pPr>
        <w:spacing w:line="360" w:lineRule="auto"/>
        <w:ind w:firstLine="468" w:firstLineChars="195"/>
        <w:rPr>
          <w:rFonts w:ascii="宋体" w:hAnsi="宋体" w:cs="仿宋"/>
          <w:color w:val="auto"/>
          <w:sz w:val="24"/>
          <w:highlight w:val="none"/>
        </w:rPr>
      </w:pPr>
    </w:p>
    <w:p>
      <w:pPr>
        <w:pStyle w:val="5"/>
        <w:spacing w:line="400" w:lineRule="exact"/>
        <w:ind w:firstLine="482" w:firstLineChars="200"/>
        <w:rPr>
          <w:rFonts w:ascii="宋体" w:hAnsi="宋体" w:cs="仿宋"/>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0</w:t>
      </w:r>
      <w:r>
        <w:rPr>
          <w:rFonts w:ascii="宋体" w:hAnsi="宋体" w:cs="仿宋"/>
          <w:color w:val="auto"/>
          <w:sz w:val="24"/>
          <w:highlight w:val="none"/>
        </w:rPr>
        <w:t>.</w:t>
      </w:r>
      <w:r>
        <w:rPr>
          <w:rFonts w:hint="eastAsia" w:ascii="宋体" w:hAnsi="宋体" w:cs="仿宋"/>
          <w:color w:val="auto"/>
          <w:sz w:val="24"/>
          <w:highlight w:val="none"/>
        </w:rPr>
        <w:t>响应文件的补充、修改或撤回</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20.1 在投标截止时间之前，供应商可对已递交的响应文件进行补充、修改。补充或者修改响应文件的，应当先撤回已递交的响应文件，在“政采云投标客户端”补充、修改响应文件并签章、加密后重新递交。撤回响应文件进行补充、修改，在投标截止时间前未重新递交的，视为撤回响应文件。</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20.2 在投标截止时间之后，供应商不得对其递交的响应文件做任何补充、修改。</w:t>
      </w:r>
    </w:p>
    <w:p>
      <w:pPr>
        <w:tabs>
          <w:tab w:val="left" w:pos="1080"/>
        </w:tabs>
        <w:spacing w:line="360" w:lineRule="auto"/>
        <w:ind w:firstLine="460" w:firstLineChars="192"/>
        <w:rPr>
          <w:rFonts w:ascii="宋体" w:hAnsi="宋体"/>
          <w:color w:val="auto"/>
          <w:sz w:val="24"/>
          <w:highlight w:val="none"/>
        </w:rPr>
      </w:pPr>
      <w:r>
        <w:rPr>
          <w:rFonts w:hint="eastAsia" w:ascii="宋体" w:hAnsi="宋体" w:cs="仿宋"/>
          <w:color w:val="auto"/>
          <w:sz w:val="24"/>
          <w:highlight w:val="none"/>
        </w:rPr>
        <w:t>20.3 补充、修改的内容与响应文件不一致的，以补充、修改的内容为准。</w:t>
      </w:r>
    </w:p>
    <w:p>
      <w:pPr>
        <w:adjustRightInd w:val="0"/>
        <w:snapToGrid w:val="0"/>
        <w:spacing w:line="360" w:lineRule="auto"/>
        <w:ind w:firstLine="480" w:firstLineChars="200"/>
        <w:rPr>
          <w:rFonts w:ascii="宋体" w:hAnsi="宋体"/>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0</w:t>
      </w:r>
      <w:r>
        <w:rPr>
          <w:rFonts w:ascii="宋体" w:hAnsi="宋体" w:cs="仿宋"/>
          <w:color w:val="auto"/>
          <w:sz w:val="24"/>
          <w:highlight w:val="none"/>
        </w:rPr>
        <w:t>.</w:t>
      </w:r>
      <w:r>
        <w:rPr>
          <w:rFonts w:hint="eastAsia" w:ascii="宋体" w:hAnsi="宋体" w:cs="仿宋"/>
          <w:color w:val="auto"/>
          <w:sz w:val="24"/>
          <w:highlight w:val="none"/>
        </w:rPr>
        <w:t>4 供应商不得在递交截止时间起至响应文件有效期期满前撤销其响应文件，否则将认定其响应文件有效期的承诺为虚假承诺，并依法追究其法律责任。</w:t>
      </w:r>
    </w:p>
    <w:p>
      <w:pPr>
        <w:spacing w:line="360" w:lineRule="auto"/>
        <w:ind w:firstLine="480"/>
        <w:rPr>
          <w:rFonts w:ascii="宋体" w:hAnsi="宋体" w:cs="仿宋"/>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0</w:t>
      </w:r>
      <w:r>
        <w:rPr>
          <w:rFonts w:ascii="宋体" w:hAnsi="宋体" w:cs="仿宋"/>
          <w:color w:val="auto"/>
          <w:sz w:val="24"/>
          <w:highlight w:val="none"/>
        </w:rPr>
        <w:t>.</w:t>
      </w:r>
      <w:r>
        <w:rPr>
          <w:rFonts w:hint="eastAsia" w:ascii="宋体" w:hAnsi="宋体" w:cs="仿宋"/>
          <w:color w:val="auto"/>
          <w:sz w:val="24"/>
          <w:highlight w:val="none"/>
        </w:rPr>
        <w:t>5响应文件中报价如果出现下列不一致的，可按以下原则进行修改：</w:t>
      </w:r>
    </w:p>
    <w:p>
      <w:pPr>
        <w:spacing w:line="360" w:lineRule="auto"/>
        <w:ind w:firstLine="480"/>
        <w:rPr>
          <w:rFonts w:ascii="宋体" w:hAnsi="宋体" w:cs="仿宋"/>
          <w:color w:val="auto"/>
          <w:sz w:val="24"/>
          <w:highlight w:val="none"/>
        </w:rPr>
      </w:pPr>
      <w:r>
        <w:rPr>
          <w:rFonts w:hint="eastAsia" w:ascii="宋体" w:hAnsi="宋体" w:cs="仿宋"/>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ascii="宋体" w:hAnsi="宋体" w:cs="仿宋"/>
          <w:color w:val="auto"/>
          <w:sz w:val="24"/>
          <w:highlight w:val="none"/>
        </w:rPr>
      </w:pPr>
      <w:r>
        <w:rPr>
          <w:rFonts w:hint="eastAsia" w:ascii="宋体" w:hAnsi="宋体" w:cs="仿宋"/>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ascii="宋体" w:hAnsi="宋体" w:cs="仿宋"/>
          <w:color w:val="auto"/>
          <w:sz w:val="24"/>
          <w:highlight w:val="none"/>
        </w:rPr>
      </w:pPr>
      <w:r>
        <w:rPr>
          <w:rFonts w:hint="eastAsia" w:ascii="宋体" w:hAnsi="宋体" w:cs="仿宋"/>
          <w:color w:val="auto"/>
          <w:sz w:val="24"/>
          <w:highlight w:val="none"/>
        </w:rPr>
        <w:t>（三）单价金额小数点或者百分比有明显错位的，以总价为准，修正单价。</w:t>
      </w:r>
    </w:p>
    <w:p>
      <w:pPr>
        <w:spacing w:line="360" w:lineRule="auto"/>
        <w:ind w:firstLine="480"/>
        <w:rPr>
          <w:rFonts w:ascii="宋体" w:hAnsi="宋体" w:cs="仿宋"/>
          <w:color w:val="auto"/>
          <w:sz w:val="24"/>
          <w:highlight w:val="none"/>
        </w:rPr>
      </w:pPr>
      <w:r>
        <w:rPr>
          <w:rFonts w:hint="eastAsia" w:ascii="宋体" w:hAnsi="宋体" w:cs="仿宋"/>
          <w:color w:val="auto"/>
          <w:sz w:val="24"/>
          <w:highlight w:val="none"/>
        </w:rPr>
        <w:t>同时出现两种以上不一致的，按照上述规定的顺序修正。修正后的报价经供应商确认后产生约束力，供应商不确认的，其响应文件作为无效处理。</w:t>
      </w:r>
    </w:p>
    <w:p>
      <w:pPr>
        <w:spacing w:line="360" w:lineRule="auto"/>
        <w:ind w:firstLine="480"/>
        <w:rPr>
          <w:rFonts w:ascii="宋体" w:hAnsi="宋体" w:cs="仿宋"/>
          <w:color w:val="auto"/>
          <w:sz w:val="24"/>
          <w:highlight w:val="none"/>
        </w:rPr>
      </w:pPr>
      <w:r>
        <w:rPr>
          <w:rFonts w:hint="eastAsia" w:ascii="宋体" w:hAnsi="宋体" w:cs="仿宋"/>
          <w:color w:val="auto"/>
          <w:sz w:val="24"/>
          <w:highlight w:val="none"/>
        </w:rPr>
        <w:t>20.6供应商对其提交的响应文件的真实性、合法性承担法律责任。</w:t>
      </w:r>
    </w:p>
    <w:p>
      <w:pPr>
        <w:pStyle w:val="5"/>
        <w:spacing w:line="400" w:lineRule="exact"/>
        <w:ind w:firstLine="482" w:firstLineChars="200"/>
        <w:rPr>
          <w:rFonts w:ascii="宋体" w:hAnsi="宋体" w:cs="仿宋"/>
          <w:color w:val="auto"/>
          <w:sz w:val="24"/>
          <w:highlight w:val="none"/>
        </w:rPr>
      </w:pPr>
      <w:r>
        <w:rPr>
          <w:rFonts w:ascii="宋体" w:hAnsi="宋体" w:cs="仿宋"/>
          <w:color w:val="auto"/>
          <w:sz w:val="24"/>
          <w:highlight w:val="none"/>
        </w:rPr>
        <w:t>21</w:t>
      </w:r>
      <w:r>
        <w:rPr>
          <w:rFonts w:ascii="宋体" w:hAnsi="宋体" w:cs="仿宋"/>
          <w:color w:val="auto"/>
          <w:sz w:val="24"/>
          <w:highlight w:val="none"/>
          <w:lang w:eastAsia="zh-Hans"/>
        </w:rPr>
        <w:t>.</w:t>
      </w:r>
      <w:r>
        <w:rPr>
          <w:rFonts w:ascii="宋体" w:hAnsi="宋体" w:cs="仿宋"/>
          <w:color w:val="auto"/>
          <w:sz w:val="24"/>
          <w:highlight w:val="none"/>
        </w:rPr>
        <w:t>响应文件的解密</w:t>
      </w:r>
    </w:p>
    <w:p>
      <w:pPr>
        <w:spacing w:line="400" w:lineRule="exact"/>
        <w:ind w:firstLine="470" w:firstLineChars="196"/>
        <w:rPr>
          <w:rFonts w:ascii="宋体" w:hAnsi="宋体" w:cs="仿宋"/>
          <w:color w:val="auto"/>
          <w:sz w:val="24"/>
          <w:highlight w:val="none"/>
        </w:rPr>
      </w:pPr>
      <w:r>
        <w:rPr>
          <w:rFonts w:hint="eastAsia" w:ascii="宋体" w:hAnsi="宋体" w:cs="仿宋"/>
          <w:color w:val="auto"/>
          <w:sz w:val="24"/>
          <w:highlight w:val="none"/>
        </w:rPr>
        <w:t>供应商登录政府采购云平台，点击“项目采购—开标评标”模块，找到对应项目，进入“开标大厅”，等待代理机构工作人员开启解密后，进行线上解密。除因断电、断网、系统故障或其他不可抗力等因素，导致系统无法使用外，供应商在规定的解密时间内，未成功解密的响应文件将视为无效响应文件。</w:t>
      </w:r>
    </w:p>
    <w:p>
      <w:pPr>
        <w:pStyle w:val="4"/>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五、</w:t>
      </w:r>
      <w:bookmarkStart w:id="49" w:name="_Toc16979"/>
      <w:bookmarkStart w:id="50" w:name="_Toc4457"/>
      <w:bookmarkStart w:id="51" w:name="_Toc31524"/>
      <w:bookmarkStart w:id="52" w:name="_Toc65573690"/>
      <w:bookmarkStart w:id="53" w:name="_Toc28766"/>
      <w:r>
        <w:rPr>
          <w:rFonts w:hint="eastAsia" w:ascii="宋体" w:hAnsi="宋体" w:eastAsia="宋体"/>
          <w:bCs w:val="0"/>
          <w:color w:val="auto"/>
          <w:highlight w:val="none"/>
        </w:rPr>
        <w:t>开标、资格审查、评标</w:t>
      </w:r>
      <w:bookmarkEnd w:id="49"/>
      <w:bookmarkEnd w:id="50"/>
      <w:bookmarkEnd w:id="51"/>
      <w:bookmarkEnd w:id="52"/>
      <w:bookmarkEnd w:id="53"/>
    </w:p>
    <w:p>
      <w:pPr>
        <w:spacing w:line="360" w:lineRule="auto"/>
        <w:ind w:firstLine="470" w:firstLineChars="195"/>
        <w:rPr>
          <w:rFonts w:ascii="宋体" w:hAnsi="宋体" w:cs="仿宋"/>
          <w:b/>
          <w:bCs/>
          <w:color w:val="auto"/>
          <w:sz w:val="24"/>
          <w:highlight w:val="none"/>
        </w:rPr>
      </w:pPr>
      <w:bookmarkStart w:id="54" w:name="_Toc308164806"/>
      <w:bookmarkStart w:id="55" w:name="_Toc183582232"/>
      <w:bookmarkStart w:id="56" w:name="_Toc183682369"/>
      <w:bookmarkStart w:id="57" w:name="_Toc217446057"/>
      <w:r>
        <w:rPr>
          <w:rFonts w:hint="eastAsia" w:ascii="宋体" w:hAnsi="宋体" w:cs="仿宋"/>
          <w:b/>
          <w:bCs/>
          <w:color w:val="auto"/>
          <w:sz w:val="24"/>
          <w:highlight w:val="none"/>
        </w:rPr>
        <w:t>22．</w:t>
      </w:r>
      <w:bookmarkEnd w:id="54"/>
      <w:bookmarkEnd w:id="55"/>
      <w:bookmarkEnd w:id="56"/>
      <w:bookmarkEnd w:id="57"/>
      <w:bookmarkStart w:id="58" w:name="_Toc308164809"/>
      <w:bookmarkStart w:id="59" w:name="_Toc183582238"/>
      <w:bookmarkStart w:id="60" w:name="_Toc217446063"/>
      <w:bookmarkStart w:id="61" w:name="_Toc183682375"/>
      <w:r>
        <w:rPr>
          <w:rFonts w:hint="eastAsia" w:ascii="宋体" w:hAnsi="宋体" w:cs="仿宋"/>
          <w:b/>
          <w:bCs/>
          <w:color w:val="auto"/>
          <w:sz w:val="24"/>
          <w:highlight w:val="none"/>
        </w:rPr>
        <w:t>开标及开标程序</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22.1 本项目为不见面开标项目。（递交电子投标文件的投标人不足3家的，不予开标。）</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22.2 开标准备工作。供应商需在开标当日、投标截止时间前登录“政府采购云平台”，通过“开标大厅”参与不见面开标。登录成都市公共资源交易服务中心门户网站（https://www.cdggzy.com/）—政府采购云平台—项目采购—开标评标—开标大厅（找到对应项目）。</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提示：供应商未按时登录不见面开标系统，错过开标解密时间的，由供应商自行承担不利后果。</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22.3 解密响应文件。等待代理机构工作人员开启解密后，供应商进行线上解密。开启解密后，供应商应在60分钟内，使用加密该响应文件的CA数字证书在线完成响应文件的解密。除因断电、断网、系统故障或其他不可抗力等因素，导致系统无法使用外，供应商在规定的解密时间内，未成功解密的响应文件将视为无效响应文件。</w:t>
      </w:r>
    </w:p>
    <w:p>
      <w:pPr>
        <w:spacing w:line="360" w:lineRule="auto"/>
        <w:ind w:firstLine="468" w:firstLineChars="195"/>
        <w:rPr>
          <w:color w:val="auto"/>
          <w:highlight w:val="none"/>
        </w:rPr>
      </w:pPr>
      <w:r>
        <w:rPr>
          <w:rFonts w:hint="eastAsia" w:ascii="宋体" w:hAnsi="宋体" w:cs="仿宋"/>
          <w:color w:val="auto"/>
          <w:sz w:val="24"/>
          <w:highlight w:val="none"/>
        </w:rPr>
        <w:t>22.4 确认开标记录。解密时间截止或者所有供应商响应文件均完成解密后（以发生在先的时间为准），由“政府采购云平台”系统展示供应商名称、响应文件解密情况、投标报价等唱标内容。如成功解密响应文件的供应商不足三家的，则只展示供应商名称、响应文件解密情况。供应商对开标记录（包含解密情况、投标报价、其他情况等）在规定时间内确认，如未确认，视为认同开标记录。</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22.5 供应商对开标过程和开标记录有疑义，以及认为采购人、相关工作人员有需要回避的情形的，及时向工作人员提出询问或者回避申请。采购人、</w:t>
      </w:r>
      <w:r>
        <w:rPr>
          <w:rFonts w:hint="eastAsia" w:ascii="宋体" w:hAnsi="宋体" w:cs="仿宋"/>
          <w:color w:val="auto"/>
          <w:sz w:val="24"/>
          <w:highlight w:val="none"/>
          <w:lang w:eastAsia="zh-Hans"/>
        </w:rPr>
        <w:t>相关</w:t>
      </w:r>
      <w:r>
        <w:rPr>
          <w:rFonts w:hint="eastAsia" w:ascii="宋体" w:hAnsi="宋体" w:cs="仿宋"/>
          <w:color w:val="auto"/>
          <w:sz w:val="24"/>
          <w:highlight w:val="none"/>
        </w:rPr>
        <w:t>工作人员对供应商提出的询问或者回避申请应当及时处理。</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22.6 供应商电脑终端等硬件设备和软件系统配置：供应商电脑终端等硬件设备和软件系统配置应符合电子投标（含不见面开标大厅）供应商电脑终端配置要求并运行正常，供应商承担因未尽职责产生的不利后果。</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22.7 因断电、断网、系统故障或其他不可抗力等因素导致不见面开标系统无法正常运行的，开标活动中止或延迟，待系统恢复正常后继续进行开标活动。</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22.8 不见面开标过程中，各方主体均应遵守互联网有关规定，不得发表与交易活动无关的言论。</w:t>
      </w:r>
    </w:p>
    <w:p>
      <w:pPr>
        <w:spacing w:line="360" w:lineRule="auto"/>
        <w:ind w:firstLine="470" w:firstLineChars="195"/>
        <w:rPr>
          <w:rFonts w:ascii="宋体" w:hAnsi="宋体" w:cs="仿宋"/>
          <w:b/>
          <w:bCs/>
          <w:color w:val="auto"/>
          <w:sz w:val="24"/>
          <w:highlight w:val="none"/>
        </w:rPr>
      </w:pPr>
      <w:r>
        <w:rPr>
          <w:rFonts w:hint="eastAsia" w:ascii="宋体" w:hAnsi="宋体" w:cs="仿宋"/>
          <w:b/>
          <w:bCs/>
          <w:color w:val="auto"/>
          <w:sz w:val="24"/>
          <w:highlight w:val="none"/>
        </w:rPr>
        <w:t>23．开评标过程存档</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开标和评标过程进行全过程电子监控，并将电子监控资料存储介质留存归档。</w:t>
      </w:r>
    </w:p>
    <w:p>
      <w:pPr>
        <w:spacing w:line="360" w:lineRule="auto"/>
        <w:ind w:firstLine="470" w:firstLineChars="195"/>
        <w:rPr>
          <w:rFonts w:ascii="宋体" w:hAnsi="宋体" w:cs="仿宋"/>
          <w:b/>
          <w:bCs/>
          <w:color w:val="auto"/>
          <w:sz w:val="24"/>
          <w:highlight w:val="none"/>
        </w:rPr>
      </w:pPr>
      <w:r>
        <w:rPr>
          <w:rFonts w:hint="eastAsia" w:ascii="宋体" w:hAnsi="宋体" w:cs="仿宋"/>
          <w:b/>
          <w:bCs/>
          <w:color w:val="auto"/>
          <w:sz w:val="24"/>
          <w:highlight w:val="none"/>
        </w:rPr>
        <w:t>24</w:t>
      </w:r>
      <w:r>
        <w:rPr>
          <w:rFonts w:hint="eastAsia" w:ascii="宋体" w:hAnsi="宋体" w:cs="仿宋"/>
          <w:b/>
          <w:bCs/>
          <w:color w:val="auto"/>
          <w:sz w:val="24"/>
          <w:highlight w:val="none"/>
          <w:lang w:eastAsia="zh-Hans"/>
        </w:rPr>
        <w:t>.</w:t>
      </w:r>
      <w:r>
        <w:rPr>
          <w:rFonts w:hint="eastAsia" w:ascii="宋体" w:hAnsi="宋体" w:cs="仿宋"/>
          <w:b/>
          <w:bCs/>
          <w:color w:val="auto"/>
          <w:sz w:val="24"/>
          <w:highlight w:val="none"/>
        </w:rPr>
        <w:t>资格审查</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详见磋商文件。</w:t>
      </w:r>
    </w:p>
    <w:p>
      <w:pPr>
        <w:spacing w:line="360" w:lineRule="auto"/>
        <w:ind w:firstLine="470" w:firstLineChars="195"/>
        <w:rPr>
          <w:rFonts w:ascii="宋体" w:hAnsi="宋体" w:cs="仿宋"/>
          <w:b/>
          <w:bCs/>
          <w:color w:val="auto"/>
          <w:sz w:val="24"/>
          <w:highlight w:val="none"/>
        </w:rPr>
      </w:pPr>
      <w:r>
        <w:rPr>
          <w:rFonts w:hint="eastAsia" w:ascii="宋体" w:hAnsi="宋体" w:cs="仿宋"/>
          <w:b/>
          <w:bCs/>
          <w:color w:val="auto"/>
          <w:sz w:val="24"/>
          <w:highlight w:val="none"/>
        </w:rPr>
        <w:t>25.评标情况公告</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所有供应商响应文件资格性、符合性检查情况、采用综合评分法时的总得分和分项汇总得分情况、评标结果等将在四川政府采购网上采购结果公告栏中予以公告。</w:t>
      </w:r>
    </w:p>
    <w:bookmarkEnd w:id="58"/>
    <w:bookmarkEnd w:id="59"/>
    <w:bookmarkEnd w:id="60"/>
    <w:bookmarkEnd w:id="61"/>
    <w:p>
      <w:pPr>
        <w:pStyle w:val="4"/>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六、成交事项</w:t>
      </w:r>
    </w:p>
    <w:p>
      <w:pPr>
        <w:pStyle w:val="4"/>
        <w:keepNext w:val="0"/>
        <w:keepLines w:val="0"/>
        <w:spacing w:after="0" w:line="360" w:lineRule="auto"/>
        <w:ind w:firstLine="482" w:firstLineChars="200"/>
        <w:rPr>
          <w:rFonts w:ascii="宋体" w:hAnsi="宋体" w:eastAsia="宋体"/>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6</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确定成交供应商</w:t>
      </w:r>
    </w:p>
    <w:p>
      <w:pPr>
        <w:pStyle w:val="4"/>
        <w:keepNext w:val="0"/>
        <w:keepLines w:val="0"/>
        <w:spacing w:before="0" w:after="0" w:line="360" w:lineRule="auto"/>
        <w:ind w:firstLine="480" w:firstLineChars="200"/>
        <w:rPr>
          <w:rFonts w:ascii="宋体" w:hAnsi="宋体" w:eastAsia="宋体"/>
          <w:b w:val="0"/>
          <w:bCs w:val="0"/>
          <w:color w:val="auto"/>
          <w:sz w:val="24"/>
          <w:szCs w:val="24"/>
          <w:highlight w:val="none"/>
        </w:rPr>
      </w:pPr>
      <w:r>
        <w:rPr>
          <w:rFonts w:hint="eastAsia" w:ascii="宋体" w:hAnsi="宋体" w:eastAsia="宋体" w:cs="仿宋"/>
          <w:b w:val="0"/>
          <w:bCs w:val="0"/>
          <w:color w:val="auto"/>
          <w:sz w:val="24"/>
          <w:szCs w:val="24"/>
          <w:highlight w:val="none"/>
        </w:rPr>
        <w:t>26</w:t>
      </w:r>
      <w:r>
        <w:rPr>
          <w:rFonts w:ascii="宋体" w:hAnsi="宋体" w:eastAsia="宋体" w:cs="仿宋"/>
          <w:b w:val="0"/>
          <w:bCs w:val="0"/>
          <w:color w:val="auto"/>
          <w:sz w:val="24"/>
          <w:szCs w:val="24"/>
          <w:highlight w:val="none"/>
        </w:rPr>
        <w:t>.1</w:t>
      </w:r>
      <w:r>
        <w:rPr>
          <w:rFonts w:hint="eastAsia" w:ascii="宋体" w:hAnsi="宋体" w:eastAsia="宋体" w:cs="仿宋"/>
          <w:b w:val="0"/>
          <w:bCs w:val="0"/>
          <w:color w:val="auto"/>
          <w:sz w:val="24"/>
          <w:szCs w:val="24"/>
          <w:highlight w:val="none"/>
        </w:rPr>
        <w:t>本项目采购人将按磋商小组推荐的成交候选供应商顺序确定成交供应商。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w:t>
      </w:r>
      <w:r>
        <w:rPr>
          <w:rFonts w:hint="eastAsia" w:ascii="宋体" w:hAnsi="宋体" w:eastAsia="宋体" w:cs="仿宋"/>
          <w:b w:val="0"/>
          <w:bCs w:val="0"/>
          <w:color w:val="auto"/>
          <w:sz w:val="24"/>
          <w:szCs w:val="24"/>
          <w:highlight w:val="none"/>
        </w:rPr>
        <w:t>6</w:t>
      </w:r>
      <w:r>
        <w:rPr>
          <w:rFonts w:ascii="宋体" w:hAnsi="宋体" w:eastAsia="宋体" w:cs="仿宋"/>
          <w:b w:val="0"/>
          <w:bCs w:val="0"/>
          <w:color w:val="auto"/>
          <w:sz w:val="24"/>
          <w:szCs w:val="24"/>
          <w:highlight w:val="none"/>
        </w:rPr>
        <w:t>.2</w:t>
      </w:r>
      <w:r>
        <w:rPr>
          <w:rFonts w:hint="eastAsia" w:ascii="宋体" w:hAnsi="宋体" w:eastAsia="宋体" w:cs="仿宋"/>
          <w:b w:val="0"/>
          <w:bCs w:val="0"/>
          <w:color w:val="auto"/>
          <w:sz w:val="24"/>
          <w:szCs w:val="24"/>
          <w:highlight w:val="none"/>
        </w:rPr>
        <w:t>采购代理机构自评审结束后</w:t>
      </w:r>
      <w:r>
        <w:rPr>
          <w:rFonts w:ascii="宋体" w:hAnsi="宋体" w:eastAsia="宋体" w:cs="仿宋"/>
          <w:b w:val="0"/>
          <w:bCs w:val="0"/>
          <w:color w:val="auto"/>
          <w:sz w:val="24"/>
          <w:szCs w:val="24"/>
          <w:highlight w:val="none"/>
        </w:rPr>
        <w:t>2</w:t>
      </w:r>
      <w:r>
        <w:rPr>
          <w:rFonts w:hint="eastAsia" w:ascii="宋体" w:hAnsi="宋体" w:eastAsia="宋体" w:cs="仿宋"/>
          <w:b w:val="0"/>
          <w:bCs w:val="0"/>
          <w:color w:val="auto"/>
          <w:sz w:val="24"/>
          <w:szCs w:val="24"/>
          <w:highlight w:val="none"/>
        </w:rPr>
        <w:t>个工作日内将磋商报告及有关资料送交采购人确定成交供应商。</w:t>
      </w:r>
    </w:p>
    <w:p>
      <w:pPr>
        <w:pStyle w:val="4"/>
        <w:keepNext w:val="0"/>
        <w:keepLines w:val="0"/>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w:t>
      </w:r>
      <w:r>
        <w:rPr>
          <w:rFonts w:hint="eastAsia" w:ascii="宋体" w:hAnsi="宋体" w:eastAsia="宋体" w:cs="仿宋"/>
          <w:b w:val="0"/>
          <w:bCs w:val="0"/>
          <w:color w:val="auto"/>
          <w:sz w:val="24"/>
          <w:szCs w:val="24"/>
          <w:highlight w:val="none"/>
        </w:rPr>
        <w:t>6</w:t>
      </w:r>
      <w:r>
        <w:rPr>
          <w:rFonts w:ascii="宋体" w:hAnsi="宋体" w:eastAsia="宋体" w:cs="仿宋"/>
          <w:b w:val="0"/>
          <w:bCs w:val="0"/>
          <w:color w:val="auto"/>
          <w:sz w:val="24"/>
          <w:szCs w:val="24"/>
          <w:highlight w:val="none"/>
        </w:rPr>
        <w:t>.3</w:t>
      </w:r>
      <w:r>
        <w:rPr>
          <w:rFonts w:hint="eastAsia" w:ascii="宋体" w:hAnsi="宋体" w:eastAsia="宋体" w:cs="仿宋"/>
          <w:b w:val="0"/>
          <w:bCs w:val="0"/>
          <w:color w:val="auto"/>
          <w:sz w:val="24"/>
          <w:szCs w:val="24"/>
          <w:highlight w:val="none"/>
        </w:rPr>
        <w:t>采购人收到磋商报告及有关资料后，将在3个工作日内按照磋商报告中推荐的成交候选供应商顺序确定成交供应商。评审得分且最后报价且技术指标得分均相同的，成交候选供应商并列，由采购人随机抽签确定成交供应商。采购人逾期未确定成交供应商且不提出异议的，视为确定磋商报告提出的排序第一的供应商为成交供应商。</w:t>
      </w:r>
    </w:p>
    <w:p>
      <w:pPr>
        <w:pStyle w:val="4"/>
        <w:keepNext w:val="0"/>
        <w:keepLines w:val="0"/>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w:t>
      </w:r>
      <w:r>
        <w:rPr>
          <w:rFonts w:hint="eastAsia" w:ascii="宋体" w:hAnsi="宋体" w:eastAsia="宋体" w:cs="仿宋"/>
          <w:b w:val="0"/>
          <w:bCs w:val="0"/>
          <w:color w:val="auto"/>
          <w:sz w:val="24"/>
          <w:szCs w:val="24"/>
          <w:highlight w:val="none"/>
        </w:rPr>
        <w:t>6</w:t>
      </w:r>
      <w:r>
        <w:rPr>
          <w:rFonts w:ascii="宋体" w:hAnsi="宋体" w:eastAsia="宋体" w:cs="仿宋"/>
          <w:b w:val="0"/>
          <w:bCs w:val="0"/>
          <w:color w:val="auto"/>
          <w:sz w:val="24"/>
          <w:szCs w:val="24"/>
          <w:highlight w:val="none"/>
        </w:rPr>
        <w:t>.4</w:t>
      </w:r>
      <w:r>
        <w:rPr>
          <w:rFonts w:hint="eastAsia" w:ascii="宋体" w:hAnsi="宋体" w:eastAsia="宋体" w:cs="仿宋"/>
          <w:b w:val="0"/>
          <w:bCs w:val="0"/>
          <w:color w:val="auto"/>
          <w:sz w:val="24"/>
          <w:szCs w:val="24"/>
          <w:highlight w:val="none"/>
        </w:rPr>
        <w:t>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宋体" w:hAnsi="宋体" w:eastAsia="宋体"/>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1</w:t>
      </w:r>
      <w:r>
        <w:rPr>
          <w:rFonts w:hint="eastAsia" w:ascii="宋体" w:hAnsi="宋体" w:eastAsia="宋体" w:cs="仿宋"/>
          <w:b w:val="0"/>
          <w:bCs w:val="0"/>
          <w:color w:val="auto"/>
          <w:sz w:val="24"/>
          <w:szCs w:val="24"/>
          <w:highlight w:val="none"/>
        </w:rPr>
        <w:t>）成交候选供应商属于禁止参加本项目采购活动的；</w:t>
      </w:r>
    </w:p>
    <w:p>
      <w:pPr>
        <w:pStyle w:val="4"/>
        <w:keepNext w:val="0"/>
        <w:keepLines w:val="0"/>
        <w:spacing w:before="0" w:after="0" w:line="360" w:lineRule="auto"/>
        <w:ind w:firstLine="480" w:firstLineChars="200"/>
        <w:rPr>
          <w:rFonts w:ascii="宋体" w:hAnsi="宋体" w:eastAsia="宋体"/>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2</w:t>
      </w:r>
      <w:r>
        <w:rPr>
          <w:rFonts w:hint="eastAsia" w:ascii="宋体" w:hAnsi="宋体" w:eastAsia="宋体" w:cs="仿宋"/>
          <w:b w:val="0"/>
          <w:bCs w:val="0"/>
          <w:color w:val="auto"/>
          <w:sz w:val="24"/>
          <w:szCs w:val="24"/>
          <w:highlight w:val="none"/>
        </w:rPr>
        <w:t>）成交候选供应商因不可抗力，不能继续参加政府采购活动；</w:t>
      </w:r>
    </w:p>
    <w:p>
      <w:pPr>
        <w:pStyle w:val="4"/>
        <w:keepNext w:val="0"/>
        <w:keepLines w:val="0"/>
        <w:spacing w:before="0" w:after="0" w:line="360" w:lineRule="auto"/>
        <w:ind w:firstLine="480" w:firstLineChars="200"/>
        <w:rPr>
          <w:rFonts w:ascii="宋体" w:hAnsi="宋体" w:eastAsia="宋体"/>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3</w:t>
      </w:r>
      <w:r>
        <w:rPr>
          <w:rFonts w:hint="eastAsia" w:ascii="宋体" w:hAnsi="宋体" w:eastAsia="宋体" w:cs="仿宋"/>
          <w:b w:val="0"/>
          <w:bCs w:val="0"/>
          <w:color w:val="auto"/>
          <w:sz w:val="24"/>
          <w:szCs w:val="24"/>
          <w:highlight w:val="none"/>
        </w:rPr>
        <w:t>）成交候选供应商无偿赠与或者低于成本价竞争；</w:t>
      </w:r>
    </w:p>
    <w:p>
      <w:pPr>
        <w:pStyle w:val="4"/>
        <w:keepNext w:val="0"/>
        <w:keepLines w:val="0"/>
        <w:spacing w:before="0" w:after="0" w:line="360" w:lineRule="auto"/>
        <w:ind w:firstLine="480" w:firstLineChars="200"/>
        <w:rPr>
          <w:rFonts w:ascii="宋体" w:hAnsi="宋体" w:eastAsia="宋体"/>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4</w:t>
      </w:r>
      <w:r>
        <w:rPr>
          <w:rFonts w:hint="eastAsia" w:ascii="宋体" w:hAnsi="宋体" w:eastAsia="宋体" w:cs="仿宋"/>
          <w:b w:val="0"/>
          <w:bCs w:val="0"/>
          <w:color w:val="auto"/>
          <w:sz w:val="24"/>
          <w:szCs w:val="24"/>
          <w:highlight w:val="none"/>
        </w:rPr>
        <w:t>）成交候选供应商提供虚假材料；</w:t>
      </w:r>
    </w:p>
    <w:p>
      <w:pPr>
        <w:pStyle w:val="4"/>
        <w:keepNext w:val="0"/>
        <w:keepLines w:val="0"/>
        <w:spacing w:before="0" w:after="0" w:line="360" w:lineRule="auto"/>
        <w:ind w:firstLine="480" w:firstLineChars="200"/>
        <w:rPr>
          <w:rFonts w:ascii="宋体" w:hAnsi="宋体" w:eastAsia="宋体" w:cs="仿宋"/>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5</w:t>
      </w:r>
      <w:r>
        <w:rPr>
          <w:rFonts w:hint="eastAsia" w:ascii="宋体" w:hAnsi="宋体" w:eastAsia="宋体" w:cs="仿宋"/>
          <w:b w:val="0"/>
          <w:bCs w:val="0"/>
          <w:color w:val="auto"/>
          <w:sz w:val="24"/>
          <w:szCs w:val="24"/>
          <w:highlight w:val="none"/>
        </w:rPr>
        <w:t>）成交候选供应商恶意串通。</w:t>
      </w:r>
    </w:p>
    <w:p>
      <w:pPr>
        <w:pStyle w:val="4"/>
        <w:keepNext w:val="0"/>
        <w:keepLines w:val="0"/>
        <w:spacing w:before="0" w:after="0" w:line="360" w:lineRule="auto"/>
        <w:ind w:firstLine="480" w:firstLineChars="200"/>
        <w:rPr>
          <w:color w:val="auto"/>
          <w:highlight w:val="none"/>
        </w:rPr>
      </w:pPr>
      <w:r>
        <w:rPr>
          <w:rFonts w:hint="eastAsia" w:ascii="宋体" w:hAnsi="宋体" w:eastAsia="宋体" w:cs="仿宋"/>
          <w:b w:val="0"/>
          <w:bCs w:val="0"/>
          <w:color w:val="auto"/>
          <w:sz w:val="24"/>
          <w:szCs w:val="24"/>
          <w:highlight w:val="none"/>
        </w:rPr>
        <w:t>成交候选供应商有本条情形之一的，采购人可以确定后一位成交候选供应商为成交供应商，依次类推。无法确定成交供应商的，应当重新组织采购。</w:t>
      </w:r>
    </w:p>
    <w:p>
      <w:pPr>
        <w:pStyle w:val="4"/>
        <w:keepNext w:val="0"/>
        <w:keepLines w:val="0"/>
        <w:spacing w:before="0" w:after="0" w:line="360" w:lineRule="auto"/>
        <w:ind w:firstLine="482" w:firstLineChars="200"/>
        <w:rPr>
          <w:rFonts w:ascii="宋体" w:hAnsi="宋体" w:eastAsia="宋体"/>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7</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成交结果</w:t>
      </w:r>
    </w:p>
    <w:p>
      <w:pPr>
        <w:pStyle w:val="4"/>
        <w:keepNext w:val="0"/>
        <w:keepLines w:val="0"/>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w:t>
      </w:r>
      <w:r>
        <w:rPr>
          <w:rFonts w:hint="eastAsia" w:ascii="宋体" w:hAnsi="宋体" w:eastAsia="宋体" w:cs="仿宋"/>
          <w:b w:val="0"/>
          <w:bCs w:val="0"/>
          <w:color w:val="auto"/>
          <w:sz w:val="24"/>
          <w:szCs w:val="24"/>
          <w:highlight w:val="none"/>
        </w:rPr>
        <w:t>7</w:t>
      </w:r>
      <w:r>
        <w:rPr>
          <w:rFonts w:ascii="宋体" w:hAnsi="宋体" w:eastAsia="宋体" w:cs="仿宋"/>
          <w:b w:val="0"/>
          <w:bCs w:val="0"/>
          <w:color w:val="auto"/>
          <w:sz w:val="24"/>
          <w:szCs w:val="24"/>
          <w:highlight w:val="none"/>
        </w:rPr>
        <w:t>.1</w:t>
      </w:r>
      <w:r>
        <w:rPr>
          <w:rFonts w:hint="eastAsia" w:ascii="宋体" w:hAnsi="宋体" w:eastAsia="宋体" w:cs="仿宋"/>
          <w:b w:val="0"/>
          <w:bCs w:val="0"/>
          <w:color w:val="auto"/>
          <w:sz w:val="24"/>
          <w:szCs w:val="24"/>
          <w:highlight w:val="none"/>
        </w:rPr>
        <w:t>采购人确定成交供应商后，将及时书面通知采购代理机构，由采购代理机构发出成交通知书并发布成交结果公告。</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7</w:t>
      </w:r>
      <w:r>
        <w:rPr>
          <w:rFonts w:ascii="宋体" w:hAnsi="宋体" w:cs="仿宋"/>
          <w:color w:val="auto"/>
          <w:sz w:val="24"/>
          <w:highlight w:val="none"/>
        </w:rPr>
        <w:t>.2</w:t>
      </w:r>
      <w:r>
        <w:rPr>
          <w:rFonts w:hint="eastAsia" w:ascii="宋体" w:hAnsi="宋体" w:cs="仿宋"/>
          <w:color w:val="auto"/>
          <w:sz w:val="24"/>
          <w:highlight w:val="none"/>
        </w:rPr>
        <w:t>成交供应商应当及时领取成交通知书。本项目需要交纳履约保证金的，成交供应商应当及时向采购人交纳。</w:t>
      </w:r>
    </w:p>
    <w:p>
      <w:pPr>
        <w:spacing w:line="360" w:lineRule="auto"/>
        <w:ind w:firstLine="470" w:firstLineChars="195"/>
        <w:rPr>
          <w:rFonts w:ascii="宋体" w:hAnsi="宋体" w:cs="仿宋"/>
          <w:b/>
          <w:bCs/>
          <w:color w:val="auto"/>
          <w:sz w:val="24"/>
          <w:highlight w:val="none"/>
        </w:rPr>
      </w:pPr>
      <w:r>
        <w:rPr>
          <w:rFonts w:hint="eastAsia" w:ascii="宋体" w:hAnsi="宋体" w:cs="仿宋"/>
          <w:b/>
          <w:bCs/>
          <w:color w:val="auto"/>
          <w:sz w:val="24"/>
          <w:highlight w:val="none"/>
        </w:rPr>
        <w:t>28.成交通知书</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28.1 成交通知书为签订政府采购合同的依据之一，是合同的有效组成部分。</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28.2 成交通知书对采购人和成交人均具有法律效力。成交通知书发出后，采购人改变成交结果，或者成交人无正当理由放弃中标的，应当承担相应的法律责任。</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28.3成交人的响应文件本应作为无效投标处理或者有政府采购法律法规规章制度规定的中标无效情形的，招标采购单位在取得有权主体的认定以后，将宣布发出的成交通知书无效，并收回发出的成交通知书（成交人也应当退回），依法重新确定中标人或者重新开展采购活动。</w:t>
      </w:r>
    </w:p>
    <w:p>
      <w:pPr>
        <w:spacing w:line="360" w:lineRule="auto"/>
        <w:ind w:firstLine="468" w:firstLineChars="195"/>
        <w:rPr>
          <w:rFonts w:ascii="宋体" w:hAnsi="宋体" w:cs="仿宋"/>
          <w:color w:val="auto"/>
          <w:sz w:val="24"/>
          <w:highlight w:val="none"/>
        </w:rPr>
      </w:pPr>
      <w:r>
        <w:rPr>
          <w:rFonts w:hint="eastAsia" w:ascii="宋体" w:hAnsi="宋体" w:cs="仿宋"/>
          <w:color w:val="auto"/>
          <w:sz w:val="24"/>
          <w:highlight w:val="none"/>
        </w:rPr>
        <w:t>28.4结果公告在四川政府采购网上公告后，请成交人凭有效身份证明证件到采购代理机构领取成交通知书。</w:t>
      </w:r>
    </w:p>
    <w:p>
      <w:pPr>
        <w:pStyle w:val="4"/>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七、合同事项</w:t>
      </w:r>
    </w:p>
    <w:p>
      <w:pPr>
        <w:pStyle w:val="4"/>
        <w:keepNext w:val="0"/>
        <w:keepLines w:val="0"/>
        <w:spacing w:before="0" w:after="0" w:line="360" w:lineRule="auto"/>
        <w:ind w:firstLine="472" w:firstLineChars="196"/>
        <w:rPr>
          <w:rFonts w:ascii="宋体" w:hAnsi="宋体" w:eastAsia="宋体"/>
          <w:color w:val="auto"/>
          <w:sz w:val="24"/>
          <w:szCs w:val="24"/>
          <w:highlight w:val="none"/>
        </w:rPr>
      </w:pPr>
      <w:bookmarkStart w:id="62" w:name="_Toc101338364"/>
      <w:bookmarkStart w:id="63" w:name="_Toc101174151"/>
      <w:bookmarkStart w:id="64" w:name="_Toc209847069"/>
      <w:bookmarkStart w:id="65" w:name="_Toc101250646"/>
      <w:bookmarkStart w:id="66" w:name="_Toc430773927"/>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9</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签订合同</w:t>
      </w:r>
      <w:bookmarkEnd w:id="62"/>
      <w:bookmarkEnd w:id="63"/>
      <w:bookmarkEnd w:id="64"/>
      <w:bookmarkEnd w:id="65"/>
      <w:bookmarkEnd w:id="66"/>
    </w:p>
    <w:p>
      <w:pPr>
        <w:spacing w:line="360" w:lineRule="auto"/>
        <w:ind w:firstLine="480" w:firstLineChars="200"/>
        <w:rPr>
          <w:rFonts w:ascii="宋体" w:hAnsi="宋体" w:cs="仿宋"/>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9</w:t>
      </w:r>
      <w:r>
        <w:rPr>
          <w:rFonts w:ascii="宋体" w:hAnsi="宋体" w:cs="仿宋"/>
          <w:color w:val="auto"/>
          <w:sz w:val="24"/>
          <w:highlight w:val="none"/>
        </w:rPr>
        <w:t xml:space="preserve">.1 </w:t>
      </w:r>
      <w:r>
        <w:rPr>
          <w:rFonts w:hint="eastAsia" w:ascii="宋体" w:hAnsi="宋体" w:cs="仿宋"/>
          <w:color w:val="auto"/>
          <w:sz w:val="24"/>
          <w:highlight w:val="none"/>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9</w:t>
      </w:r>
      <w:r>
        <w:rPr>
          <w:rFonts w:ascii="宋体" w:hAnsi="宋体" w:cs="仿宋"/>
          <w:color w:val="auto"/>
          <w:sz w:val="24"/>
          <w:highlight w:val="none"/>
        </w:rPr>
        <w:t xml:space="preserve">.2 </w:t>
      </w:r>
      <w:r>
        <w:rPr>
          <w:rFonts w:hint="eastAsia" w:ascii="宋体" w:hAnsi="宋体" w:cs="仿宋"/>
          <w:color w:val="auto"/>
          <w:sz w:val="24"/>
          <w:highlight w:val="none"/>
        </w:rPr>
        <w:t>磋商文件、成交供应商的响应文件及双方确认的澄清文件等，均为有法律约束力的合同组成部分。</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9</w:t>
      </w:r>
      <w:r>
        <w:rPr>
          <w:rFonts w:ascii="宋体" w:hAnsi="宋体" w:cs="仿宋"/>
          <w:color w:val="auto"/>
          <w:sz w:val="24"/>
          <w:highlight w:val="none"/>
        </w:rPr>
        <w:t xml:space="preserve">.3 </w:t>
      </w:r>
      <w:r>
        <w:rPr>
          <w:rFonts w:hint="eastAsia" w:ascii="宋体" w:hAnsi="宋体" w:cs="仿宋"/>
          <w:color w:val="auto"/>
          <w:sz w:val="24"/>
          <w:highlight w:val="none"/>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9</w:t>
      </w:r>
      <w:r>
        <w:rPr>
          <w:rFonts w:ascii="宋体" w:hAnsi="宋体" w:cs="仿宋"/>
          <w:color w:val="auto"/>
          <w:sz w:val="24"/>
          <w:highlight w:val="none"/>
        </w:rPr>
        <w:t xml:space="preserve">.4 </w:t>
      </w:r>
      <w:r>
        <w:rPr>
          <w:rFonts w:hint="eastAsia" w:ascii="宋体" w:hAnsi="宋体" w:cs="仿宋"/>
          <w:color w:val="auto"/>
          <w:sz w:val="24"/>
          <w:highlight w:val="none"/>
        </w:rPr>
        <w:t>成交供应商因不可抗力原因不能履行采购合同或放弃成交的，采购人可以与后一位序的成交候选供应商签订采购合同，依此类推。</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2</w:t>
      </w:r>
      <w:r>
        <w:rPr>
          <w:rFonts w:hint="eastAsia" w:ascii="宋体" w:hAnsi="宋体" w:cs="仿宋"/>
          <w:color w:val="auto"/>
          <w:sz w:val="24"/>
          <w:highlight w:val="none"/>
        </w:rPr>
        <w:t>9</w:t>
      </w:r>
      <w:r>
        <w:rPr>
          <w:rFonts w:ascii="宋体" w:hAnsi="宋体" w:cs="仿宋"/>
          <w:color w:val="auto"/>
          <w:sz w:val="24"/>
          <w:highlight w:val="none"/>
        </w:rPr>
        <w:t>.5</w:t>
      </w:r>
      <w:r>
        <w:rPr>
          <w:rFonts w:hint="eastAsia" w:ascii="宋体" w:hAnsi="宋体" w:cs="仿宋"/>
          <w:color w:val="auto"/>
          <w:sz w:val="24"/>
          <w:highlight w:val="none"/>
        </w:rPr>
        <w:t>竞争性磋商文件、成交供应商提交的响应文件、磋商中的最后报价、成交供应商承诺书、成交通知书等均称为有法律约束力的合同组成内容。</w:t>
      </w:r>
    </w:p>
    <w:p>
      <w:pPr>
        <w:spacing w:line="360" w:lineRule="auto"/>
        <w:ind w:firstLine="482" w:firstLineChars="200"/>
        <w:rPr>
          <w:rFonts w:ascii="宋体" w:hAnsi="宋体"/>
          <w:b/>
          <w:bCs/>
          <w:color w:val="auto"/>
          <w:sz w:val="24"/>
          <w:highlight w:val="none"/>
        </w:rPr>
      </w:pPr>
      <w:r>
        <w:rPr>
          <w:rFonts w:hint="eastAsia" w:ascii="宋体" w:hAnsi="宋体" w:cs="仿宋"/>
          <w:b/>
          <w:bCs/>
          <w:color w:val="auto"/>
          <w:sz w:val="24"/>
          <w:highlight w:val="none"/>
        </w:rPr>
        <w:t>30</w:t>
      </w:r>
      <w:r>
        <w:rPr>
          <w:rFonts w:ascii="宋体" w:hAnsi="宋体" w:cs="仿宋"/>
          <w:b/>
          <w:bCs/>
          <w:color w:val="auto"/>
          <w:sz w:val="24"/>
          <w:highlight w:val="none"/>
        </w:rPr>
        <w:t>.</w:t>
      </w:r>
      <w:r>
        <w:rPr>
          <w:rFonts w:hint="eastAsia" w:ascii="宋体" w:hAnsi="宋体" w:cs="仿宋"/>
          <w:b/>
          <w:bCs/>
          <w:color w:val="auto"/>
          <w:sz w:val="24"/>
          <w:highlight w:val="none"/>
        </w:rPr>
        <w:t>合同分包（实质性要求）</w:t>
      </w:r>
    </w:p>
    <w:p>
      <w:pPr>
        <w:pStyle w:val="4"/>
        <w:keepNext w:val="0"/>
        <w:keepLines w:val="0"/>
        <w:spacing w:before="0" w:after="0" w:line="360" w:lineRule="auto"/>
        <w:ind w:firstLine="480" w:firstLineChars="200"/>
        <w:rPr>
          <w:rFonts w:ascii="宋体" w:hAnsi="宋体" w:eastAsia="宋体" w:cs="仿宋"/>
          <w:b w:val="0"/>
          <w:bCs w:val="0"/>
          <w:color w:val="auto"/>
          <w:sz w:val="24"/>
          <w:szCs w:val="24"/>
          <w:highlight w:val="none"/>
        </w:rPr>
      </w:pPr>
      <w:r>
        <w:rPr>
          <w:rFonts w:hint="eastAsia" w:ascii="宋体" w:hAnsi="宋体" w:eastAsia="宋体" w:cs="仿宋"/>
          <w:b w:val="0"/>
          <w:bCs w:val="0"/>
          <w:color w:val="auto"/>
          <w:sz w:val="24"/>
          <w:szCs w:val="24"/>
          <w:highlight w:val="none"/>
        </w:rPr>
        <w:t>31.1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4"/>
        <w:keepNext w:val="0"/>
        <w:keepLines w:val="0"/>
        <w:spacing w:before="0" w:after="0" w:line="360" w:lineRule="auto"/>
        <w:ind w:firstLine="480" w:firstLineChars="200"/>
        <w:rPr>
          <w:rFonts w:ascii="宋体" w:hAnsi="宋体" w:eastAsia="宋体" w:cs="仿宋"/>
          <w:b w:val="0"/>
          <w:bCs w:val="0"/>
          <w:color w:val="auto"/>
          <w:sz w:val="24"/>
          <w:szCs w:val="24"/>
          <w:highlight w:val="none"/>
        </w:rPr>
      </w:pPr>
      <w:r>
        <w:rPr>
          <w:rFonts w:hint="eastAsia" w:ascii="宋体" w:hAnsi="宋体" w:eastAsia="宋体" w:cs="仿宋"/>
          <w:b w:val="0"/>
          <w:bCs w:val="0"/>
          <w:color w:val="auto"/>
          <w:sz w:val="24"/>
          <w:szCs w:val="24"/>
          <w:highlight w:val="none"/>
        </w:rPr>
        <w:t>分包履行合同的部分应当为采购项目的非主体、非关键性工作，不属于成交供应商的主要合同义务。</w:t>
      </w:r>
    </w:p>
    <w:p>
      <w:pPr>
        <w:pStyle w:val="4"/>
        <w:keepNext w:val="0"/>
        <w:keepLines w:val="0"/>
        <w:spacing w:before="0" w:after="0" w:line="360" w:lineRule="auto"/>
        <w:ind w:firstLine="480" w:firstLineChars="200"/>
        <w:rPr>
          <w:rFonts w:ascii="宋体" w:hAnsi="宋体" w:eastAsia="宋体" w:cs="仿宋"/>
          <w:b w:val="0"/>
          <w:bCs w:val="0"/>
          <w:color w:val="auto"/>
          <w:sz w:val="24"/>
          <w:szCs w:val="24"/>
          <w:highlight w:val="none"/>
        </w:rPr>
      </w:pPr>
      <w:r>
        <w:rPr>
          <w:rFonts w:hint="eastAsia" w:ascii="宋体" w:hAnsi="宋体" w:eastAsia="宋体" w:cs="仿宋"/>
          <w:b w:val="0"/>
          <w:bCs w:val="0"/>
          <w:color w:val="auto"/>
          <w:sz w:val="24"/>
          <w:szCs w:val="24"/>
          <w:highlight w:val="none"/>
        </w:rPr>
        <w:t>31.2 采购合同实行分包履行的，成交供应商就采购项目和分包项目向采购人负责，分包供应商就分包项目承担责任。</w:t>
      </w:r>
    </w:p>
    <w:p>
      <w:pPr>
        <w:pStyle w:val="4"/>
        <w:keepNext w:val="0"/>
        <w:keepLines w:val="0"/>
        <w:spacing w:before="0" w:after="0" w:line="360" w:lineRule="auto"/>
        <w:ind w:firstLine="480" w:firstLineChars="200"/>
        <w:rPr>
          <w:rFonts w:ascii="宋体" w:hAnsi="宋体"/>
          <w:color w:val="auto"/>
          <w:sz w:val="24"/>
          <w:highlight w:val="none"/>
        </w:rPr>
      </w:pPr>
      <w:r>
        <w:rPr>
          <w:rFonts w:hint="eastAsia" w:ascii="宋体" w:hAnsi="宋体" w:eastAsia="宋体" w:cs="仿宋"/>
          <w:b w:val="0"/>
          <w:bCs w:val="0"/>
          <w:color w:val="auto"/>
          <w:sz w:val="24"/>
          <w:szCs w:val="24"/>
          <w:highlight w:val="none"/>
        </w:rPr>
        <w:t>31.3中小企业依据《政府采购促进中小企业发展管理办法》（财库〔2020〕46号）规定享受扶持政策获得政府采购合同的，小微企业不得将合同分包给大中型企业，中型企业不得将合同分包给大型企业。</w:t>
      </w:r>
    </w:p>
    <w:p>
      <w:pPr>
        <w:spacing w:line="360" w:lineRule="auto"/>
        <w:ind w:firstLine="482" w:firstLineChars="200"/>
        <w:rPr>
          <w:rFonts w:ascii="宋体" w:hAnsi="宋体"/>
          <w:b/>
          <w:bCs/>
          <w:color w:val="auto"/>
          <w:sz w:val="24"/>
          <w:highlight w:val="none"/>
        </w:rPr>
      </w:pPr>
      <w:r>
        <w:rPr>
          <w:rFonts w:hint="eastAsia" w:ascii="宋体" w:hAnsi="宋体" w:cs="仿宋"/>
          <w:b/>
          <w:bCs/>
          <w:color w:val="auto"/>
          <w:sz w:val="24"/>
          <w:highlight w:val="none"/>
        </w:rPr>
        <w:t>32</w:t>
      </w:r>
      <w:r>
        <w:rPr>
          <w:rFonts w:ascii="宋体" w:hAnsi="宋体" w:cs="仿宋"/>
          <w:b/>
          <w:bCs/>
          <w:color w:val="auto"/>
          <w:sz w:val="24"/>
          <w:highlight w:val="none"/>
        </w:rPr>
        <w:t>.</w:t>
      </w:r>
      <w:r>
        <w:rPr>
          <w:rFonts w:hint="eastAsia" w:ascii="宋体" w:hAnsi="宋体" w:cs="仿宋"/>
          <w:b/>
          <w:bCs/>
          <w:color w:val="auto"/>
          <w:sz w:val="24"/>
          <w:highlight w:val="none"/>
        </w:rPr>
        <w:t>合同转包（实质性要求）</w:t>
      </w:r>
    </w:p>
    <w:p>
      <w:pP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成交供应商转包的，视同拒绝履行政府采购合同义务，将依法追究法律责任。</w:t>
      </w:r>
    </w:p>
    <w:p>
      <w:pPr>
        <w:spacing w:line="360" w:lineRule="auto"/>
        <w:ind w:firstLine="482" w:firstLineChars="200"/>
        <w:rPr>
          <w:rFonts w:ascii="宋体" w:hAnsi="宋体"/>
          <w:b/>
          <w:bCs/>
          <w:color w:val="auto"/>
          <w:sz w:val="24"/>
          <w:highlight w:val="none"/>
        </w:rPr>
      </w:pPr>
      <w:r>
        <w:rPr>
          <w:rFonts w:hint="eastAsia" w:ascii="宋体" w:hAnsi="宋体" w:cs="仿宋"/>
          <w:b/>
          <w:bCs/>
          <w:color w:val="auto"/>
          <w:sz w:val="24"/>
          <w:highlight w:val="none"/>
        </w:rPr>
        <w:t>33</w:t>
      </w:r>
      <w:r>
        <w:rPr>
          <w:rFonts w:ascii="宋体" w:hAnsi="宋体" w:cs="仿宋"/>
          <w:b/>
          <w:bCs/>
          <w:color w:val="auto"/>
          <w:sz w:val="24"/>
          <w:highlight w:val="none"/>
        </w:rPr>
        <w:t>.</w:t>
      </w:r>
      <w:r>
        <w:rPr>
          <w:rFonts w:hint="eastAsia" w:ascii="宋体" w:hAnsi="宋体" w:cs="仿宋"/>
          <w:b/>
          <w:bCs/>
          <w:color w:val="auto"/>
          <w:sz w:val="24"/>
          <w:highlight w:val="none"/>
        </w:rPr>
        <w:t>补充合同</w:t>
      </w:r>
    </w:p>
    <w:p>
      <w:pP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w:t>
      </w:r>
      <w:r>
        <w:rPr>
          <w:rFonts w:hint="eastAsia" w:ascii="宋体" w:hAnsi="宋体" w:cs="仿宋"/>
          <w:b/>
          <w:bCs/>
          <w:color w:val="auto"/>
          <w:sz w:val="24"/>
          <w:highlight w:val="none"/>
        </w:rPr>
        <w:t>4</w:t>
      </w:r>
      <w:r>
        <w:rPr>
          <w:rFonts w:ascii="宋体" w:hAnsi="宋体" w:cs="仿宋"/>
          <w:b/>
          <w:bCs/>
          <w:color w:val="auto"/>
          <w:sz w:val="24"/>
          <w:highlight w:val="none"/>
        </w:rPr>
        <w:t>.</w:t>
      </w:r>
      <w:r>
        <w:rPr>
          <w:rFonts w:hint="eastAsia" w:ascii="宋体" w:hAnsi="宋体" w:cs="仿宋"/>
          <w:b/>
          <w:bCs/>
          <w:color w:val="auto"/>
          <w:sz w:val="24"/>
          <w:highlight w:val="none"/>
        </w:rPr>
        <w:t>履约保证金（实质性要求）</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3</w:t>
      </w:r>
      <w:r>
        <w:rPr>
          <w:rFonts w:hint="eastAsia" w:ascii="宋体" w:hAnsi="宋体" w:cs="仿宋"/>
          <w:color w:val="auto"/>
          <w:sz w:val="24"/>
          <w:highlight w:val="none"/>
        </w:rPr>
        <w:t>4</w:t>
      </w:r>
      <w:r>
        <w:rPr>
          <w:rFonts w:ascii="宋体" w:hAnsi="宋体" w:cs="仿宋"/>
          <w:color w:val="auto"/>
          <w:sz w:val="24"/>
          <w:highlight w:val="none"/>
        </w:rPr>
        <w:t xml:space="preserve">.1 </w:t>
      </w:r>
      <w:r>
        <w:rPr>
          <w:rFonts w:hint="eastAsia" w:ascii="宋体" w:hAnsi="宋体" w:cs="仿宋"/>
          <w:color w:val="auto"/>
          <w:sz w:val="24"/>
          <w:highlight w:val="none"/>
        </w:rPr>
        <w:t>成交供应商应在合同签订之前交纳竞争性磋商文件规定数额的履约保证金。</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3</w:t>
      </w:r>
      <w:r>
        <w:rPr>
          <w:rFonts w:hint="eastAsia" w:ascii="宋体" w:hAnsi="宋体" w:cs="仿宋"/>
          <w:color w:val="auto"/>
          <w:sz w:val="24"/>
          <w:highlight w:val="none"/>
        </w:rPr>
        <w:t>4</w:t>
      </w:r>
      <w:r>
        <w:rPr>
          <w:rFonts w:ascii="宋体" w:hAnsi="宋体" w:cs="仿宋"/>
          <w:color w:val="auto"/>
          <w:sz w:val="24"/>
          <w:highlight w:val="none"/>
        </w:rPr>
        <w:t xml:space="preserve">.2 </w:t>
      </w:r>
      <w:r>
        <w:rPr>
          <w:rFonts w:hint="eastAsia" w:ascii="宋体" w:hAnsi="宋体" w:cs="仿宋"/>
          <w:color w:val="auto"/>
          <w:sz w:val="24"/>
          <w:highlight w:val="none"/>
        </w:rPr>
        <w:t>如果成交供应商在规定的合同签订时间内，没有按照采购文件的规定交纳履约保证金，且又无正当理由的，将视为放弃成交。</w:t>
      </w:r>
    </w:p>
    <w:p>
      <w:pP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w:t>
      </w:r>
      <w:r>
        <w:rPr>
          <w:rFonts w:hint="eastAsia" w:ascii="宋体" w:hAnsi="宋体" w:cs="仿宋"/>
          <w:b/>
          <w:bCs/>
          <w:color w:val="auto"/>
          <w:sz w:val="24"/>
          <w:highlight w:val="none"/>
        </w:rPr>
        <w:t>5</w:t>
      </w:r>
      <w:r>
        <w:rPr>
          <w:rFonts w:ascii="宋体" w:hAnsi="宋体" w:cs="仿宋"/>
          <w:b/>
          <w:bCs/>
          <w:color w:val="auto"/>
          <w:sz w:val="24"/>
          <w:highlight w:val="none"/>
        </w:rPr>
        <w:t>.</w:t>
      </w:r>
      <w:r>
        <w:rPr>
          <w:rFonts w:hint="eastAsia" w:ascii="宋体" w:hAnsi="宋体" w:cs="仿宋"/>
          <w:b/>
          <w:bCs/>
          <w:color w:val="auto"/>
          <w:sz w:val="24"/>
          <w:highlight w:val="none"/>
        </w:rPr>
        <w:t>合同公告</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采购人应当自政府采购合同签订（双方当事人均已签字盖章）之日起</w:t>
      </w:r>
      <w:r>
        <w:rPr>
          <w:rFonts w:ascii="宋体" w:hAnsi="宋体" w:cs="仿宋"/>
          <w:color w:val="auto"/>
          <w:sz w:val="24"/>
          <w:highlight w:val="none"/>
        </w:rPr>
        <w:t>2</w:t>
      </w:r>
      <w:r>
        <w:rPr>
          <w:rFonts w:hint="eastAsia" w:ascii="宋体" w:hAnsi="宋体" w:cs="仿宋"/>
          <w:color w:val="auto"/>
          <w:sz w:val="24"/>
          <w:highlight w:val="none"/>
        </w:rPr>
        <w:t>个工作日内，将政府采购合同在省级以上人民政府财政部门指定的媒体上公告（四川政府采购网），但政府采购合同中涉及国家秘密、商业秘密的内容除外。</w:t>
      </w:r>
    </w:p>
    <w:p>
      <w:pP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w:t>
      </w:r>
      <w:r>
        <w:rPr>
          <w:rFonts w:hint="eastAsia" w:ascii="宋体" w:hAnsi="宋体" w:cs="仿宋"/>
          <w:b/>
          <w:bCs/>
          <w:color w:val="auto"/>
          <w:sz w:val="24"/>
          <w:highlight w:val="none"/>
        </w:rPr>
        <w:t>6</w:t>
      </w:r>
      <w:r>
        <w:rPr>
          <w:rFonts w:ascii="宋体" w:hAnsi="宋体" w:cs="仿宋"/>
          <w:b/>
          <w:bCs/>
          <w:color w:val="auto"/>
          <w:sz w:val="24"/>
          <w:highlight w:val="none"/>
        </w:rPr>
        <w:t>.</w:t>
      </w:r>
      <w:r>
        <w:rPr>
          <w:rFonts w:hint="eastAsia" w:ascii="宋体" w:hAnsi="宋体" w:cs="仿宋"/>
          <w:b/>
          <w:bCs/>
          <w:color w:val="auto"/>
          <w:sz w:val="24"/>
          <w:highlight w:val="none"/>
        </w:rPr>
        <w:t>合同备案</w:t>
      </w:r>
    </w:p>
    <w:p>
      <w:pP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采购人应当将政府采购合同副本自签订之日起七个工作日内通过政采云平台报同级财政部门备案。</w:t>
      </w:r>
    </w:p>
    <w:p>
      <w:pP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w:t>
      </w:r>
      <w:r>
        <w:rPr>
          <w:rFonts w:hint="eastAsia" w:ascii="宋体" w:hAnsi="宋体" w:cs="仿宋"/>
          <w:b/>
          <w:bCs/>
          <w:color w:val="auto"/>
          <w:sz w:val="24"/>
          <w:highlight w:val="none"/>
        </w:rPr>
        <w:t>7</w:t>
      </w:r>
      <w:r>
        <w:rPr>
          <w:rFonts w:ascii="宋体" w:hAnsi="宋体" w:cs="仿宋"/>
          <w:b/>
          <w:bCs/>
          <w:color w:val="auto"/>
          <w:sz w:val="24"/>
          <w:highlight w:val="none"/>
        </w:rPr>
        <w:t>.</w:t>
      </w:r>
      <w:r>
        <w:rPr>
          <w:rFonts w:hint="eastAsia" w:ascii="宋体" w:hAnsi="宋体" w:cs="仿宋"/>
          <w:b/>
          <w:bCs/>
          <w:color w:val="auto"/>
          <w:sz w:val="24"/>
          <w:highlight w:val="none"/>
        </w:rPr>
        <w:t>履行合同</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3</w:t>
      </w:r>
      <w:r>
        <w:rPr>
          <w:rFonts w:hint="eastAsia" w:ascii="宋体" w:hAnsi="宋体" w:cs="仿宋"/>
          <w:color w:val="auto"/>
          <w:sz w:val="24"/>
          <w:highlight w:val="none"/>
        </w:rPr>
        <w:t>7</w:t>
      </w:r>
      <w:r>
        <w:rPr>
          <w:rFonts w:ascii="宋体" w:hAnsi="宋体" w:cs="仿宋"/>
          <w:color w:val="auto"/>
          <w:sz w:val="24"/>
          <w:highlight w:val="none"/>
        </w:rPr>
        <w:t xml:space="preserve">.1 </w:t>
      </w:r>
      <w:r>
        <w:rPr>
          <w:rFonts w:hint="eastAsia" w:ascii="宋体" w:hAnsi="宋体" w:cs="仿宋"/>
          <w:color w:val="auto"/>
          <w:sz w:val="24"/>
          <w:highlight w:val="none"/>
        </w:rPr>
        <w:t>成交供应商与采购人签订合同后，合同双方应严格执行合同条款，履行合同规定的义务，保证合同的顺利完成。</w:t>
      </w:r>
    </w:p>
    <w:p>
      <w:pPr>
        <w:spacing w:line="360" w:lineRule="auto"/>
        <w:ind w:firstLine="480" w:firstLineChars="200"/>
        <w:rPr>
          <w:rFonts w:ascii="宋体" w:hAnsi="宋体"/>
          <w:color w:val="auto"/>
          <w:sz w:val="24"/>
          <w:highlight w:val="none"/>
        </w:rPr>
      </w:pPr>
      <w:r>
        <w:rPr>
          <w:rFonts w:ascii="宋体" w:hAnsi="宋体" w:cs="仿宋"/>
          <w:color w:val="auto"/>
          <w:sz w:val="24"/>
          <w:highlight w:val="none"/>
        </w:rPr>
        <w:t>3</w:t>
      </w:r>
      <w:r>
        <w:rPr>
          <w:rFonts w:hint="eastAsia" w:ascii="宋体" w:hAnsi="宋体" w:cs="仿宋"/>
          <w:color w:val="auto"/>
          <w:sz w:val="24"/>
          <w:highlight w:val="none"/>
        </w:rPr>
        <w:t>7</w:t>
      </w:r>
      <w:r>
        <w:rPr>
          <w:rFonts w:ascii="宋体" w:hAnsi="宋体" w:cs="仿宋"/>
          <w:color w:val="auto"/>
          <w:sz w:val="24"/>
          <w:highlight w:val="none"/>
        </w:rPr>
        <w:t xml:space="preserve">.2 </w:t>
      </w:r>
      <w:r>
        <w:rPr>
          <w:rFonts w:hint="eastAsia" w:ascii="宋体" w:hAnsi="宋体" w:cs="仿宋"/>
          <w:color w:val="auto"/>
          <w:sz w:val="24"/>
          <w:highlight w:val="none"/>
        </w:rPr>
        <w:t>在合同履行过程中，如发生合同纠纷，合同双方应按照合同约定及《中华人民共和国民法典》的有关规定进行处理。</w:t>
      </w:r>
    </w:p>
    <w:p>
      <w:pPr>
        <w:spacing w:line="360" w:lineRule="auto"/>
        <w:ind w:firstLine="482" w:firstLineChars="200"/>
        <w:rPr>
          <w:rFonts w:ascii="宋体" w:hAnsi="宋体"/>
          <w:b/>
          <w:bCs/>
          <w:sz w:val="24"/>
          <w:highlight w:val="none"/>
        </w:rPr>
      </w:pPr>
      <w:r>
        <w:rPr>
          <w:rFonts w:hint="eastAsia" w:ascii="宋体" w:hAnsi="宋体" w:cs="仿宋"/>
          <w:b/>
          <w:bCs/>
          <w:sz w:val="24"/>
          <w:highlight w:val="none"/>
          <w:lang w:val="en-US" w:eastAsia="zh-CN"/>
        </w:rPr>
        <w:t>38</w:t>
      </w:r>
      <w:r>
        <w:rPr>
          <w:rFonts w:ascii="宋体" w:hAnsi="宋体" w:cs="仿宋"/>
          <w:b/>
          <w:bCs/>
          <w:sz w:val="24"/>
          <w:highlight w:val="none"/>
        </w:rPr>
        <w:t>.</w:t>
      </w:r>
      <w:r>
        <w:rPr>
          <w:rFonts w:hint="eastAsia" w:ascii="宋体" w:hAnsi="宋体" w:cs="仿宋"/>
          <w:b/>
          <w:bCs/>
          <w:sz w:val="24"/>
          <w:highlight w:val="none"/>
        </w:rPr>
        <w:t>验收</w:t>
      </w:r>
    </w:p>
    <w:p>
      <w:pPr>
        <w:spacing w:line="360" w:lineRule="auto"/>
        <w:ind w:firstLine="480" w:firstLineChars="200"/>
        <w:rPr>
          <w:rFonts w:ascii="宋体" w:hAnsi="宋体"/>
          <w:sz w:val="24"/>
          <w:highlight w:val="none"/>
        </w:rPr>
      </w:pPr>
      <w:r>
        <w:rPr>
          <w:rFonts w:ascii="宋体" w:hAnsi="宋体" w:cs="仿宋"/>
          <w:sz w:val="24"/>
          <w:highlight w:val="none"/>
        </w:rPr>
        <w:t>3</w:t>
      </w:r>
      <w:r>
        <w:rPr>
          <w:rFonts w:hint="eastAsia" w:ascii="宋体" w:hAnsi="宋体" w:cs="仿宋"/>
          <w:sz w:val="24"/>
          <w:highlight w:val="none"/>
          <w:lang w:val="en-US" w:eastAsia="zh-CN"/>
        </w:rPr>
        <w:t>8</w:t>
      </w:r>
      <w:r>
        <w:rPr>
          <w:rFonts w:ascii="宋体" w:hAnsi="宋体" w:cs="仿宋"/>
          <w:sz w:val="24"/>
          <w:highlight w:val="none"/>
        </w:rPr>
        <w:t>.1</w:t>
      </w:r>
      <w:r>
        <w:rPr>
          <w:rFonts w:hint="eastAsia" w:ascii="宋体" w:hAnsi="宋体"/>
          <w:sz w:val="24"/>
          <w:highlight w:val="none"/>
        </w:rPr>
        <w:t>本项目采购人及其委托的采购代理机构将严格按照政府采购相关法律法规以及</w:t>
      </w:r>
      <w:r>
        <w:rPr>
          <w:rFonts w:hint="eastAsia" w:ascii="宋体" w:hAnsi="宋体" w:cs="仿宋"/>
          <w:sz w:val="24"/>
          <w:highlight w:val="none"/>
          <w:lang w:eastAsia="zh-CN"/>
        </w:rPr>
        <w:t>《财政部关于进一步加强政府采购需求和履约验收管理的指导意见》（财库[2016]205号</w:t>
      </w:r>
      <w:r>
        <w:rPr>
          <w:rFonts w:hint="default" w:ascii="宋体" w:hAnsi="宋体" w:cs="仿宋"/>
          <w:sz w:val="24"/>
          <w:highlight w:val="none"/>
          <w:lang w:eastAsia="zh-CN"/>
        </w:rPr>
        <w:t>）、</w:t>
      </w:r>
      <w:r>
        <w:rPr>
          <w:rFonts w:hint="default" w:ascii="宋体" w:hAnsi="宋体"/>
          <w:sz w:val="24"/>
          <w:highlight w:val="none"/>
        </w:rPr>
        <w:t>《</w:t>
      </w:r>
      <w:r>
        <w:rPr>
          <w:rFonts w:hint="eastAsia" w:ascii="宋体" w:hAnsi="宋体"/>
          <w:sz w:val="24"/>
          <w:highlight w:val="none"/>
          <w:lang w:val="en-US" w:eastAsia="zh-Hans"/>
        </w:rPr>
        <w:t>政府采购需求管理办法</w:t>
      </w:r>
      <w:r>
        <w:rPr>
          <w:rFonts w:hint="default" w:ascii="宋体" w:hAnsi="宋体"/>
          <w:sz w:val="24"/>
          <w:highlight w:val="none"/>
        </w:rPr>
        <w:t>》（</w:t>
      </w:r>
      <w:r>
        <w:rPr>
          <w:rFonts w:hint="eastAsia" w:ascii="宋体" w:hAnsi="宋体"/>
          <w:sz w:val="24"/>
          <w:highlight w:val="none"/>
          <w:lang w:val="en-US" w:eastAsia="zh-Hans"/>
        </w:rPr>
        <w:t>财库</w:t>
      </w:r>
      <w:r>
        <w:rPr>
          <w:rFonts w:hint="eastAsia" w:ascii="宋体" w:hAnsi="宋体"/>
          <w:sz w:val="24"/>
          <w:highlight w:val="none"/>
        </w:rPr>
        <w:t>〔20</w:t>
      </w:r>
      <w:r>
        <w:rPr>
          <w:rFonts w:hint="default" w:ascii="宋体" w:hAnsi="宋体"/>
          <w:sz w:val="24"/>
          <w:highlight w:val="none"/>
        </w:rPr>
        <w:t>21</w:t>
      </w:r>
      <w:r>
        <w:rPr>
          <w:rFonts w:hint="eastAsia" w:ascii="宋体" w:hAnsi="宋体"/>
          <w:sz w:val="24"/>
          <w:highlight w:val="none"/>
        </w:rPr>
        <w:t>〕</w:t>
      </w:r>
      <w:r>
        <w:rPr>
          <w:rFonts w:hint="default" w:ascii="宋体" w:hAnsi="宋体"/>
          <w:sz w:val="24"/>
          <w:highlight w:val="none"/>
        </w:rPr>
        <w:t>22</w:t>
      </w:r>
      <w:r>
        <w:rPr>
          <w:rFonts w:hint="eastAsia" w:ascii="宋体" w:hAnsi="宋体"/>
          <w:sz w:val="24"/>
          <w:highlight w:val="none"/>
          <w:lang w:val="en-US" w:eastAsia="zh-Hans"/>
        </w:rPr>
        <w:t>号</w:t>
      </w:r>
      <w:r>
        <w:rPr>
          <w:rFonts w:hint="default" w:ascii="宋体" w:hAnsi="宋体"/>
          <w:sz w:val="24"/>
          <w:highlight w:val="none"/>
        </w:rPr>
        <w:t>）</w:t>
      </w:r>
      <w:r>
        <w:rPr>
          <w:rFonts w:hint="eastAsia" w:ascii="宋体" w:hAnsi="宋体"/>
          <w:sz w:val="24"/>
          <w:highlight w:val="none"/>
        </w:rPr>
        <w:t>的要求进行验收。</w:t>
      </w:r>
    </w:p>
    <w:p>
      <w:pPr>
        <w:spacing w:line="400" w:lineRule="exact"/>
        <w:ind w:firstLine="480" w:firstLineChars="200"/>
        <w:rPr>
          <w:rFonts w:ascii="宋体" w:hAnsi="宋体"/>
          <w:sz w:val="24"/>
          <w:highlight w:val="none"/>
        </w:rPr>
      </w:pPr>
      <w:r>
        <w:rPr>
          <w:rFonts w:ascii="宋体" w:hAnsi="宋体" w:cs="仿宋"/>
          <w:sz w:val="24"/>
          <w:highlight w:val="none"/>
        </w:rPr>
        <w:t>3</w:t>
      </w:r>
      <w:r>
        <w:rPr>
          <w:rFonts w:hint="eastAsia" w:ascii="宋体" w:hAnsi="宋体" w:cs="仿宋"/>
          <w:sz w:val="24"/>
          <w:highlight w:val="none"/>
          <w:lang w:val="en-US" w:eastAsia="zh-CN"/>
        </w:rPr>
        <w:t>8</w:t>
      </w:r>
      <w:r>
        <w:rPr>
          <w:rFonts w:hint="eastAsia" w:ascii="宋体" w:hAnsi="宋体"/>
          <w:sz w:val="24"/>
          <w:highlight w:val="none"/>
        </w:rPr>
        <w:t>.2 验收结果合格的，</w:t>
      </w:r>
      <w:r>
        <w:rPr>
          <w:rFonts w:hint="default" w:ascii="宋体" w:hAnsi="宋体"/>
          <w:sz w:val="24"/>
          <w:highlight w:val="none"/>
          <w:lang w:eastAsia="zh-Hans"/>
        </w:rPr>
        <w:t>成交供应商</w:t>
      </w:r>
      <w:r>
        <w:rPr>
          <w:rFonts w:hint="eastAsia" w:ascii="宋体" w:hAnsi="宋体"/>
          <w:sz w:val="24"/>
          <w:highlight w:val="none"/>
        </w:rPr>
        <w:t>凭验收报告办理相关手续；验收结果不合格的，履约保证金将不予退还，也将不予支付采购资金，还可能会报告本项目同级财政部门按照政府采购法律法规及</w:t>
      </w:r>
      <w:r>
        <w:rPr>
          <w:rFonts w:hint="eastAsia" w:ascii="宋体" w:hAnsi="宋体"/>
          <w:sz w:val="24"/>
          <w:highlight w:val="none"/>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highlight w:val="none"/>
        </w:rPr>
        <w:t>等有关规定给予行政处罚或者以失信行为记入诚信档案。</w:t>
      </w:r>
    </w:p>
    <w:p>
      <w:pP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w:t>
      </w:r>
      <w:r>
        <w:rPr>
          <w:rFonts w:hint="eastAsia" w:ascii="宋体" w:hAnsi="宋体" w:cs="仿宋"/>
          <w:b/>
          <w:bCs/>
          <w:color w:val="auto"/>
          <w:sz w:val="24"/>
          <w:highlight w:val="none"/>
        </w:rPr>
        <w:t>9</w:t>
      </w:r>
      <w:r>
        <w:rPr>
          <w:rFonts w:ascii="宋体" w:hAnsi="宋体" w:cs="仿宋"/>
          <w:b/>
          <w:bCs/>
          <w:color w:val="auto"/>
          <w:sz w:val="24"/>
          <w:highlight w:val="none"/>
        </w:rPr>
        <w:t>.</w:t>
      </w:r>
      <w:r>
        <w:rPr>
          <w:rFonts w:hint="eastAsia" w:ascii="宋体" w:hAnsi="宋体" w:cs="仿宋"/>
          <w:b/>
          <w:bCs/>
          <w:color w:val="auto"/>
          <w:sz w:val="24"/>
          <w:highlight w:val="none"/>
        </w:rPr>
        <w:t>资金支付</w:t>
      </w:r>
    </w:p>
    <w:p>
      <w:pP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采购人将按照政府采购合同规定，及时向成交供应商支付采购资金。</w:t>
      </w:r>
    </w:p>
    <w:p>
      <w:pPr>
        <w:pStyle w:val="4"/>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八、磋商纪律要求</w:t>
      </w:r>
    </w:p>
    <w:p>
      <w:pPr>
        <w:tabs>
          <w:tab w:val="left" w:pos="851"/>
        </w:tabs>
        <w:spacing w:line="360" w:lineRule="auto"/>
        <w:ind w:firstLine="482" w:firstLineChars="200"/>
        <w:rPr>
          <w:rFonts w:ascii="宋体" w:hAnsi="宋体"/>
          <w:b/>
          <w:bCs/>
          <w:color w:val="auto"/>
          <w:sz w:val="24"/>
          <w:highlight w:val="none"/>
        </w:rPr>
      </w:pPr>
      <w:r>
        <w:rPr>
          <w:rFonts w:hint="eastAsia" w:ascii="宋体" w:hAnsi="宋体" w:cs="仿宋"/>
          <w:b/>
          <w:bCs/>
          <w:color w:val="auto"/>
          <w:sz w:val="24"/>
          <w:highlight w:val="none"/>
        </w:rPr>
        <w:t>40</w:t>
      </w:r>
      <w:r>
        <w:rPr>
          <w:rFonts w:ascii="宋体" w:hAnsi="宋体" w:cs="仿宋"/>
          <w:b/>
          <w:bCs/>
          <w:color w:val="auto"/>
          <w:sz w:val="24"/>
          <w:highlight w:val="none"/>
        </w:rPr>
        <w:t>.</w:t>
      </w:r>
      <w:r>
        <w:rPr>
          <w:rFonts w:hint="eastAsia" w:ascii="宋体" w:hAnsi="宋体" w:cs="仿宋"/>
          <w:b/>
          <w:bCs/>
          <w:color w:val="auto"/>
          <w:sz w:val="24"/>
          <w:highlight w:val="none"/>
        </w:rPr>
        <w:t>供应商不得具有的情形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供应商参加本项目磋商不得有下列情形：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w:t>
      </w:r>
      <w:r>
        <w:rPr>
          <w:rFonts w:hint="eastAsia" w:ascii="宋体" w:hAnsi="宋体" w:cs="仿宋"/>
          <w:color w:val="auto"/>
          <w:sz w:val="24"/>
          <w:highlight w:val="none"/>
        </w:rPr>
        <w:t>）提供虚假材料谋取成交；</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2</w:t>
      </w:r>
      <w:r>
        <w:rPr>
          <w:rFonts w:hint="eastAsia" w:ascii="宋体" w:hAnsi="宋体" w:cs="仿宋"/>
          <w:color w:val="auto"/>
          <w:sz w:val="24"/>
          <w:highlight w:val="none"/>
        </w:rPr>
        <w:t>）采取不正当手段诋毁、排挤其他供应商；</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3</w:t>
      </w:r>
      <w:r>
        <w:rPr>
          <w:rFonts w:hint="eastAsia" w:ascii="宋体" w:hAnsi="宋体" w:cs="仿宋"/>
          <w:color w:val="auto"/>
          <w:sz w:val="24"/>
          <w:highlight w:val="none"/>
        </w:rPr>
        <w:t>）与采购人、采购代理机构、或其他供应商恶意串通；</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4</w:t>
      </w:r>
      <w:r>
        <w:rPr>
          <w:rFonts w:hint="eastAsia" w:ascii="宋体" w:hAnsi="宋体" w:cs="仿宋"/>
          <w:color w:val="auto"/>
          <w:sz w:val="24"/>
          <w:highlight w:val="none"/>
        </w:rPr>
        <w:t>）向采购人、采购代理机构、磋商小组成员行贿或者提供其他不正当利益；</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5</w:t>
      </w:r>
      <w:r>
        <w:rPr>
          <w:rFonts w:hint="eastAsia" w:ascii="宋体" w:hAnsi="宋体" w:cs="仿宋"/>
          <w:color w:val="auto"/>
          <w:sz w:val="24"/>
          <w:highlight w:val="none"/>
        </w:rPr>
        <w:t>）在磋商过程中与采购人、采购代理机构进行协商；</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6</w:t>
      </w:r>
      <w:r>
        <w:rPr>
          <w:rFonts w:hint="eastAsia" w:ascii="宋体" w:hAnsi="宋体" w:cs="仿宋"/>
          <w:color w:val="auto"/>
          <w:sz w:val="24"/>
          <w:highlight w:val="none"/>
        </w:rPr>
        <w:t>）成交后无正当理由拒不与采购人签订政府采购合同；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7</w:t>
      </w:r>
      <w:r>
        <w:rPr>
          <w:rFonts w:hint="eastAsia" w:ascii="宋体" w:hAnsi="宋体" w:cs="仿宋"/>
          <w:color w:val="auto"/>
          <w:sz w:val="24"/>
          <w:highlight w:val="none"/>
        </w:rPr>
        <w:t>）未按照磋商文件确定的事项签订政府采购合同；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8</w:t>
      </w:r>
      <w:r>
        <w:rPr>
          <w:rFonts w:hint="eastAsia" w:ascii="宋体" w:hAnsi="宋体" w:cs="仿宋"/>
          <w:color w:val="auto"/>
          <w:sz w:val="24"/>
          <w:highlight w:val="none"/>
        </w:rPr>
        <w:t>）将政府采购合同转包或者违规分包；</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9</w:t>
      </w:r>
      <w:r>
        <w:rPr>
          <w:rFonts w:hint="eastAsia" w:ascii="宋体" w:hAnsi="宋体" w:cs="仿宋"/>
          <w:color w:val="auto"/>
          <w:sz w:val="24"/>
          <w:highlight w:val="none"/>
        </w:rPr>
        <w:t>）提供假冒伪劣产品；</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10</w:t>
      </w:r>
      <w:r>
        <w:rPr>
          <w:rFonts w:hint="eastAsia" w:ascii="宋体" w:hAnsi="宋体" w:cs="仿宋"/>
          <w:color w:val="auto"/>
          <w:sz w:val="24"/>
          <w:highlight w:val="none"/>
        </w:rPr>
        <w:t>）擅自变更、中止或者终止政府采购合同；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11</w:t>
      </w:r>
      <w:r>
        <w:rPr>
          <w:rFonts w:hint="eastAsia" w:ascii="宋体" w:hAnsi="宋体" w:cs="仿宋"/>
          <w:color w:val="auto"/>
          <w:sz w:val="24"/>
          <w:highlight w:val="none"/>
        </w:rPr>
        <w:t>）拒绝有关部门的监督检查或者向监督检查部门提供虚假情况；</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12</w:t>
      </w:r>
      <w:r>
        <w:rPr>
          <w:rFonts w:hint="eastAsia" w:ascii="宋体" w:hAnsi="宋体" w:cs="仿宋"/>
          <w:color w:val="auto"/>
          <w:sz w:val="24"/>
          <w:highlight w:val="none"/>
        </w:rPr>
        <w:t>）法律法规规定的其他情形。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供应商有上述情形的，按照规定追究法律责任，具备（</w:t>
      </w:r>
      <w:r>
        <w:rPr>
          <w:rFonts w:ascii="宋体" w:hAnsi="宋体" w:cs="仿宋"/>
          <w:color w:val="auto"/>
          <w:sz w:val="24"/>
          <w:highlight w:val="none"/>
        </w:rPr>
        <w:t>1</w:t>
      </w:r>
      <w:r>
        <w:rPr>
          <w:rFonts w:hint="eastAsia" w:ascii="宋体" w:hAnsi="宋体" w:cs="仿宋"/>
          <w:color w:val="auto"/>
          <w:sz w:val="24"/>
          <w:highlight w:val="none"/>
        </w:rPr>
        <w:t>）</w:t>
      </w:r>
      <w:r>
        <w:rPr>
          <w:rFonts w:ascii="宋体" w:hAnsi="宋体" w:cs="仿宋"/>
          <w:color w:val="auto"/>
          <w:sz w:val="24"/>
          <w:highlight w:val="none"/>
        </w:rPr>
        <w:t>-</w:t>
      </w:r>
      <w:r>
        <w:rPr>
          <w:rFonts w:hint="eastAsia" w:ascii="宋体" w:hAnsi="宋体" w:cs="仿宋"/>
          <w:color w:val="auto"/>
          <w:sz w:val="24"/>
          <w:highlight w:val="none"/>
        </w:rPr>
        <w:t>（10）条情形之一的，同时将取消成交资格或者认定成交无效。</w:t>
      </w:r>
    </w:p>
    <w:p>
      <w:pPr>
        <w:pStyle w:val="4"/>
        <w:spacing w:line="400" w:lineRule="exact"/>
        <w:jc w:val="center"/>
        <w:rPr>
          <w:rFonts w:ascii="宋体" w:hAnsi="宋体" w:eastAsia="宋体"/>
          <w:bCs w:val="0"/>
          <w:highlight w:val="none"/>
        </w:rPr>
      </w:pPr>
      <w:r>
        <w:rPr>
          <w:rFonts w:hint="eastAsia" w:ascii="宋体" w:hAnsi="宋体" w:eastAsia="宋体"/>
          <w:bCs w:val="0"/>
          <w:highlight w:val="none"/>
        </w:rPr>
        <w:t>九、询问、质疑和投诉</w:t>
      </w:r>
    </w:p>
    <w:p>
      <w:pPr>
        <w:tabs>
          <w:tab w:val="left" w:pos="851"/>
        </w:tabs>
        <w:spacing w:line="360" w:lineRule="auto"/>
        <w:ind w:firstLine="495"/>
        <w:rPr>
          <w:rFonts w:ascii="宋体" w:hAnsi="宋体"/>
          <w:sz w:val="24"/>
          <w:highlight w:val="none"/>
        </w:rPr>
      </w:pPr>
      <w:r>
        <w:rPr>
          <w:rFonts w:hint="eastAsia" w:ascii="宋体" w:hAnsi="宋体" w:cs="仿宋"/>
          <w:sz w:val="24"/>
          <w:highlight w:val="none"/>
          <w:lang w:val="en-US" w:eastAsia="zh-CN"/>
        </w:rPr>
        <w:t>41</w:t>
      </w:r>
      <w:r>
        <w:rPr>
          <w:rFonts w:ascii="宋体" w:hAnsi="宋体" w:cs="仿宋"/>
          <w:sz w:val="24"/>
          <w:highlight w:val="none"/>
        </w:rPr>
        <w:t>.</w:t>
      </w:r>
      <w:r>
        <w:rPr>
          <w:rFonts w:hint="eastAsia" w:ascii="宋体" w:hAnsi="宋体" w:cs="仿宋"/>
          <w:sz w:val="24"/>
          <w:highlight w:val="none"/>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pStyle w:val="4"/>
        <w:spacing w:line="400" w:lineRule="exact"/>
        <w:jc w:val="center"/>
        <w:rPr>
          <w:rFonts w:ascii="宋体" w:hAnsi="宋体" w:eastAsia="宋体"/>
          <w:bCs w:val="0"/>
          <w:highlight w:val="none"/>
        </w:rPr>
      </w:pPr>
      <w:r>
        <w:rPr>
          <w:rFonts w:hint="eastAsia" w:ascii="宋体" w:hAnsi="宋体" w:eastAsia="宋体"/>
          <w:bCs w:val="0"/>
          <w:highlight w:val="none"/>
        </w:rPr>
        <w:t>十、其他</w:t>
      </w:r>
    </w:p>
    <w:p>
      <w:pPr>
        <w:tabs>
          <w:tab w:val="left" w:pos="851"/>
        </w:tabs>
        <w:spacing w:line="360" w:lineRule="auto"/>
        <w:jc w:val="center"/>
        <w:rPr>
          <w:rFonts w:ascii="宋体" w:hAnsi="宋体"/>
          <w:sz w:val="24"/>
          <w:highlight w:val="none"/>
        </w:rPr>
      </w:pPr>
    </w:p>
    <w:p>
      <w:pPr>
        <w:tabs>
          <w:tab w:val="left" w:pos="851"/>
        </w:tabs>
        <w:spacing w:line="360" w:lineRule="auto"/>
        <w:ind w:firstLine="480" w:firstLineChars="200"/>
        <w:rPr>
          <w:rFonts w:ascii="宋体" w:hAnsi="宋体"/>
          <w:sz w:val="24"/>
          <w:highlight w:val="none"/>
        </w:rPr>
      </w:pPr>
      <w:r>
        <w:rPr>
          <w:rFonts w:hint="eastAsia" w:ascii="宋体" w:hAnsi="宋体" w:cs="仿宋"/>
          <w:sz w:val="24"/>
          <w:highlight w:val="none"/>
          <w:lang w:val="en-US" w:eastAsia="zh-CN"/>
        </w:rPr>
        <w:t>42</w:t>
      </w:r>
      <w:r>
        <w:rPr>
          <w:rFonts w:ascii="宋体" w:hAnsi="宋体" w:cs="仿宋"/>
          <w:sz w:val="24"/>
          <w:highlight w:val="none"/>
        </w:rPr>
        <w:t>.</w:t>
      </w:r>
      <w:r>
        <w:rPr>
          <w:rFonts w:hint="eastAsia" w:ascii="宋体" w:hAnsi="宋体" w:cs="仿宋"/>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宋体" w:hAnsi="宋体"/>
          <w:b/>
          <w:sz w:val="24"/>
          <w:highlight w:val="none"/>
        </w:rPr>
      </w:pPr>
      <w:r>
        <w:rPr>
          <w:rFonts w:hint="eastAsia" w:ascii="宋体" w:hAnsi="宋体" w:cs="仿宋"/>
          <w:sz w:val="24"/>
          <w:highlight w:val="none"/>
          <w:lang w:val="en-US" w:eastAsia="zh-CN"/>
        </w:rPr>
        <w:t>43</w:t>
      </w:r>
      <w:r>
        <w:rPr>
          <w:rFonts w:ascii="宋体" w:hAnsi="宋体" w:cs="仿宋"/>
          <w:sz w:val="24"/>
          <w:highlight w:val="none"/>
        </w:rPr>
        <w:t>.</w:t>
      </w:r>
      <w:r>
        <w:rPr>
          <w:rFonts w:hint="eastAsia" w:ascii="宋体" w:hAnsi="宋体" w:cs="仿宋"/>
          <w:b/>
          <w:bCs/>
          <w:sz w:val="24"/>
          <w:highlight w:val="none"/>
        </w:rPr>
        <w:t>（实质性要求）</w:t>
      </w:r>
      <w:r>
        <w:rPr>
          <w:rFonts w:hint="eastAsia" w:ascii="宋体" w:hAnsi="宋体" w:cs="仿宋"/>
          <w:sz w:val="24"/>
          <w:highlight w:val="none"/>
        </w:rPr>
        <w:t>国家或行业主管部门对工程项目的技术标准、质量标准和资格资质条件等有强制性规定的，必须符合其要求。</w:t>
      </w:r>
      <w:bookmarkStart w:id="67" w:name="_Toc217446083"/>
    </w:p>
    <w:p>
      <w:pPr>
        <w:pStyle w:val="3"/>
        <w:jc w:val="center"/>
        <w:rPr>
          <w:rFonts w:ascii="宋体" w:hAnsi="宋体"/>
          <w:sz w:val="36"/>
          <w:szCs w:val="36"/>
          <w:highlight w:val="none"/>
        </w:rPr>
        <w:sectPr>
          <w:pgSz w:w="11907" w:h="16840"/>
          <w:pgMar w:top="1440" w:right="1474" w:bottom="1440" w:left="1474" w:header="851" w:footer="992" w:gutter="0"/>
          <w:cols w:space="720" w:num="1"/>
          <w:docGrid w:linePitch="312" w:charSpace="0"/>
        </w:sectPr>
      </w:pPr>
      <w:bookmarkStart w:id="68" w:name="_Toc1368"/>
    </w:p>
    <w:p>
      <w:pPr>
        <w:pStyle w:val="3"/>
        <w:spacing w:line="240" w:lineRule="auto"/>
        <w:jc w:val="center"/>
        <w:rPr>
          <w:rFonts w:ascii="宋体" w:hAnsi="宋体"/>
          <w:sz w:val="36"/>
          <w:szCs w:val="36"/>
          <w:highlight w:val="none"/>
        </w:rPr>
      </w:pPr>
      <w:bookmarkStart w:id="69" w:name="_Toc53267583"/>
      <w:r>
        <w:rPr>
          <w:rFonts w:hint="eastAsia" w:ascii="宋体" w:hAnsi="宋体"/>
          <w:sz w:val="36"/>
          <w:szCs w:val="36"/>
          <w:highlight w:val="none"/>
        </w:rPr>
        <w:t xml:space="preserve">第三章  </w:t>
      </w:r>
      <w:bookmarkEnd w:id="68"/>
      <w:bookmarkStart w:id="70" w:name="_Toc217446082"/>
      <w:bookmarkStart w:id="71" w:name="_Toc308164821"/>
      <w:r>
        <w:rPr>
          <w:rFonts w:hint="eastAsia" w:ascii="宋体" w:hAnsi="宋体"/>
          <w:sz w:val="36"/>
          <w:szCs w:val="36"/>
          <w:highlight w:val="none"/>
        </w:rPr>
        <w:t>供应商资格条件要求</w:t>
      </w:r>
      <w:bookmarkEnd w:id="69"/>
    </w:p>
    <w:p>
      <w:pPr>
        <w:pStyle w:val="65"/>
        <w:spacing w:line="420" w:lineRule="exact"/>
        <w:ind w:firstLine="0" w:firstLineChars="0"/>
        <w:rPr>
          <w:rFonts w:ascii="宋体" w:hAnsi="宋体"/>
          <w:b/>
          <w:bCs/>
          <w:sz w:val="24"/>
          <w:highlight w:val="none"/>
        </w:rPr>
      </w:pPr>
      <w:r>
        <w:rPr>
          <w:rFonts w:ascii="宋体" w:hAnsi="宋体"/>
          <w:b/>
          <w:bCs/>
          <w:sz w:val="24"/>
          <w:highlight w:val="none"/>
        </w:rPr>
        <w:t>（一）</w:t>
      </w:r>
      <w:r>
        <w:rPr>
          <w:rFonts w:hint="eastAsia" w:ascii="宋体" w:hAnsi="宋体"/>
          <w:b/>
          <w:bCs/>
          <w:sz w:val="24"/>
          <w:highlight w:val="none"/>
        </w:rPr>
        <w:t>资格要求：</w:t>
      </w:r>
    </w:p>
    <w:p>
      <w:pPr>
        <w:spacing w:line="400" w:lineRule="exact"/>
        <w:ind w:firstLine="480" w:firstLineChars="200"/>
        <w:rPr>
          <w:rFonts w:ascii="宋体" w:hAnsi="宋体"/>
          <w:sz w:val="24"/>
          <w:highlight w:val="none"/>
        </w:rPr>
      </w:pPr>
      <w:r>
        <w:rPr>
          <w:rFonts w:hint="eastAsia" w:ascii="宋体" w:hAnsi="宋体"/>
          <w:sz w:val="24"/>
          <w:highlight w:val="none"/>
        </w:rPr>
        <w:t>1.满足《中华人民共和国政府采购法》第二十二条规定；</w:t>
      </w:r>
    </w:p>
    <w:p>
      <w:pPr>
        <w:spacing w:line="400" w:lineRule="exact"/>
        <w:ind w:firstLine="480" w:firstLineChars="200"/>
        <w:rPr>
          <w:rFonts w:ascii="宋体" w:hAnsi="宋体"/>
          <w:sz w:val="24"/>
          <w:highlight w:val="none"/>
        </w:rPr>
      </w:pPr>
      <w:r>
        <w:rPr>
          <w:rFonts w:hint="eastAsia" w:ascii="宋体" w:hAnsi="宋体"/>
          <w:sz w:val="24"/>
          <w:highlight w:val="none"/>
        </w:rPr>
        <w:t>(1)具有独立承担民事责任的能力；</w:t>
      </w:r>
    </w:p>
    <w:p>
      <w:pPr>
        <w:spacing w:line="400" w:lineRule="exact"/>
        <w:ind w:firstLine="480" w:firstLineChars="200"/>
        <w:rPr>
          <w:rFonts w:ascii="宋体" w:hAnsi="宋体"/>
          <w:sz w:val="24"/>
          <w:highlight w:val="none"/>
        </w:rPr>
      </w:pPr>
      <w:r>
        <w:rPr>
          <w:rFonts w:hint="eastAsia" w:ascii="宋体" w:hAnsi="宋体"/>
          <w:sz w:val="24"/>
          <w:highlight w:val="none"/>
        </w:rPr>
        <w:t>(2)具有良好的商业信誉和健全的财务会计制度；</w:t>
      </w:r>
    </w:p>
    <w:p>
      <w:pPr>
        <w:spacing w:line="400" w:lineRule="exact"/>
        <w:ind w:firstLine="480" w:firstLineChars="200"/>
        <w:rPr>
          <w:rFonts w:ascii="宋体" w:hAnsi="宋体"/>
          <w:sz w:val="24"/>
          <w:highlight w:val="none"/>
        </w:rPr>
      </w:pPr>
      <w:r>
        <w:rPr>
          <w:rFonts w:hint="eastAsia" w:ascii="宋体" w:hAnsi="宋体"/>
          <w:sz w:val="24"/>
          <w:highlight w:val="none"/>
        </w:rPr>
        <w:t>(3)具有履行合同所必须的设备和专业技术能力；</w:t>
      </w:r>
    </w:p>
    <w:p>
      <w:pPr>
        <w:spacing w:line="400" w:lineRule="exact"/>
        <w:ind w:firstLine="480" w:firstLineChars="200"/>
        <w:rPr>
          <w:rFonts w:ascii="宋体" w:hAnsi="宋体"/>
          <w:sz w:val="24"/>
          <w:highlight w:val="none"/>
        </w:rPr>
      </w:pPr>
      <w:r>
        <w:rPr>
          <w:rFonts w:hint="eastAsia" w:ascii="宋体" w:hAnsi="宋体"/>
          <w:sz w:val="24"/>
          <w:highlight w:val="none"/>
        </w:rPr>
        <w:t>(4)具有依法缴纳税收和社会保障资金的良好记录；</w:t>
      </w:r>
    </w:p>
    <w:p>
      <w:pPr>
        <w:spacing w:line="400" w:lineRule="exact"/>
        <w:ind w:firstLine="480" w:firstLineChars="200"/>
        <w:rPr>
          <w:rFonts w:ascii="宋体" w:hAnsi="宋体"/>
          <w:sz w:val="24"/>
          <w:highlight w:val="none"/>
        </w:rPr>
      </w:pPr>
      <w:r>
        <w:rPr>
          <w:rFonts w:hint="eastAsia" w:ascii="宋体" w:hAnsi="宋体"/>
          <w:sz w:val="24"/>
          <w:highlight w:val="none"/>
        </w:rPr>
        <w:t>(5)参加政府采购活动前三年内，在经营活动中没有重大违法记录；</w:t>
      </w:r>
    </w:p>
    <w:p>
      <w:pPr>
        <w:spacing w:line="400" w:lineRule="exact"/>
        <w:ind w:firstLine="480" w:firstLineChars="200"/>
        <w:rPr>
          <w:rFonts w:ascii="宋体" w:hAnsi="宋体"/>
          <w:sz w:val="24"/>
          <w:highlight w:val="none"/>
        </w:rPr>
      </w:pPr>
      <w:r>
        <w:rPr>
          <w:rFonts w:hint="eastAsia" w:ascii="宋体" w:hAnsi="宋体"/>
          <w:sz w:val="24"/>
          <w:highlight w:val="none"/>
        </w:rPr>
        <w:t>(6)符合法律、行政法规规定的其他条件；</w:t>
      </w:r>
    </w:p>
    <w:p>
      <w:pPr>
        <w:shd w:val="clear"/>
        <w:spacing w:line="4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.落实政府采购政策需满足的资格要求：</w:t>
      </w:r>
      <w:r>
        <w:rPr>
          <w:rFonts w:hint="eastAsia" w:ascii="宋体" w:hAnsi="宋体"/>
          <w:iCs/>
          <w:color w:val="auto"/>
          <w:sz w:val="24"/>
          <w:highlight w:val="none"/>
          <w:u w:val="single"/>
        </w:rPr>
        <w:t>本项目属于专门面向中小企业采购的项目,供应商应为中小微企业、监狱企业、残疾人福利性单位</w:t>
      </w:r>
      <w:r>
        <w:rPr>
          <w:rFonts w:hint="eastAsia" w:ascii="宋体" w:hAnsi="宋体"/>
          <w:color w:val="auto"/>
          <w:sz w:val="24"/>
          <w:highlight w:val="none"/>
          <w:u w:val="single"/>
        </w:rPr>
        <w:t>。</w:t>
      </w:r>
    </w:p>
    <w:p>
      <w:pPr>
        <w:spacing w:line="400" w:lineRule="exact"/>
        <w:ind w:firstLine="480" w:firstLineChars="200"/>
        <w:rPr>
          <w:rFonts w:ascii="宋体" w:hAnsi="宋体"/>
          <w:sz w:val="24"/>
          <w:highlight w:val="none"/>
        </w:rPr>
      </w:pPr>
      <w:r>
        <w:rPr>
          <w:rFonts w:hint="eastAsia" w:ascii="宋体" w:hAnsi="宋体"/>
          <w:sz w:val="24"/>
          <w:highlight w:val="none"/>
        </w:rPr>
        <w:t>3.本项目的特定资格要求：供应商应具有国家卫生部门颁发的《医疗机构执业许可证》</w:t>
      </w:r>
      <w:r>
        <w:rPr>
          <w:rFonts w:hint="eastAsia" w:ascii="宋体" w:hAnsi="宋体"/>
          <w:sz w:val="24"/>
          <w:highlight w:val="none"/>
          <w:lang w:eastAsia="zh-CN"/>
        </w:rPr>
        <w:t>。</w:t>
      </w:r>
    </w:p>
    <w:p>
      <w:pPr>
        <w:pStyle w:val="2"/>
        <w:rPr>
          <w:highlight w:val="none"/>
        </w:rPr>
      </w:pPr>
      <w:r>
        <w:rPr>
          <w:rFonts w:hint="eastAsia" w:hAnsi="宋体"/>
          <w:color w:val="auto"/>
          <w:highlight w:val="none"/>
        </w:rPr>
        <w:t xml:space="preserve">    4.本项目的其他资格要求：</w:t>
      </w:r>
    </w:p>
    <w:p>
      <w:pPr>
        <w:spacing w:line="400" w:lineRule="exact"/>
        <w:ind w:firstLine="480" w:firstLineChars="200"/>
        <w:rPr>
          <w:rFonts w:ascii="宋体" w:hAnsi="宋体"/>
          <w:sz w:val="24"/>
          <w:highlight w:val="none"/>
        </w:rPr>
      </w:pPr>
      <w:r>
        <w:rPr>
          <w:rFonts w:hint="eastAsia" w:ascii="宋体" w:hAnsi="宋体"/>
          <w:sz w:val="24"/>
          <w:highlight w:val="none"/>
        </w:rPr>
        <w:t>4.1供应商及其法定代表人/主要负责人在参加本项目政府采购活动前三年无行贿犯罪记录；</w:t>
      </w:r>
    </w:p>
    <w:p>
      <w:pPr>
        <w:spacing w:line="400" w:lineRule="exact"/>
        <w:ind w:firstLine="480" w:firstLineChars="200"/>
        <w:rPr>
          <w:rFonts w:ascii="宋体" w:hAnsi="宋体"/>
          <w:iCs/>
          <w:sz w:val="24"/>
          <w:highlight w:val="none"/>
          <w:u w:val="single"/>
        </w:rPr>
      </w:pPr>
      <w:r>
        <w:rPr>
          <w:rFonts w:hint="eastAsia" w:ascii="宋体" w:hAnsi="宋体"/>
          <w:sz w:val="24"/>
          <w:highlight w:val="none"/>
        </w:rPr>
        <w:t>4.2.本项目不接受联合体投标；</w:t>
      </w:r>
    </w:p>
    <w:p>
      <w:pPr>
        <w:pStyle w:val="65"/>
        <w:spacing w:line="420" w:lineRule="exact"/>
        <w:ind w:firstLine="0" w:firstLineChars="0"/>
        <w:rPr>
          <w:rFonts w:ascii="宋体" w:hAnsi="宋体"/>
          <w:b/>
          <w:bCs/>
          <w:sz w:val="24"/>
          <w:highlight w:val="none"/>
        </w:rPr>
      </w:pPr>
      <w:r>
        <w:rPr>
          <w:rFonts w:hint="eastAsia" w:ascii="宋体" w:hAnsi="宋体"/>
          <w:b/>
          <w:bCs/>
          <w:sz w:val="24"/>
          <w:highlight w:val="none"/>
        </w:rPr>
        <w:t>（二）其他类似效力要求：</w:t>
      </w:r>
    </w:p>
    <w:p>
      <w:pPr>
        <w:spacing w:line="400" w:lineRule="exact"/>
        <w:ind w:firstLine="480" w:firstLineChars="200"/>
        <w:rPr>
          <w:rFonts w:ascii="宋体" w:hAnsi="宋体"/>
          <w:sz w:val="24"/>
          <w:highlight w:val="none"/>
        </w:rPr>
      </w:pPr>
      <w:r>
        <w:rPr>
          <w:rFonts w:hint="eastAsia" w:ascii="宋体" w:hAnsi="宋体"/>
          <w:sz w:val="24"/>
          <w:highlight w:val="none"/>
        </w:rPr>
        <w:t>1.法定代表人/单位负责人身份证明文件或授权参加本次采购活动的授权代表证明材料。</w:t>
      </w:r>
    </w:p>
    <w:p>
      <w:pPr>
        <w:widowControl/>
        <w:jc w:val="left"/>
        <w:rPr>
          <w:rFonts w:ascii="宋体" w:hAnsi="宋体"/>
          <w:b/>
          <w:sz w:val="32"/>
          <w:highlight w:val="none"/>
        </w:rPr>
      </w:pPr>
    </w:p>
    <w:p>
      <w:pPr>
        <w:pStyle w:val="65"/>
        <w:spacing w:line="420" w:lineRule="exact"/>
        <w:ind w:firstLine="0" w:firstLineChars="0"/>
        <w:rPr>
          <w:rFonts w:ascii="宋体" w:hAnsi="宋体"/>
          <w:b/>
          <w:szCs w:val="21"/>
          <w:highlight w:val="none"/>
        </w:rPr>
      </w:pPr>
      <w:r>
        <w:rPr>
          <w:rFonts w:hint="eastAsia" w:ascii="宋体" w:hAnsi="宋体"/>
          <w:b/>
          <w:szCs w:val="21"/>
          <w:highlight w:val="none"/>
        </w:rPr>
        <w:t>注：</w:t>
      </w:r>
    </w:p>
    <w:p>
      <w:pPr>
        <w:pStyle w:val="65"/>
        <w:ind w:firstLine="422"/>
        <w:rPr>
          <w:rFonts w:ascii="宋体" w:hAnsi="宋体"/>
          <w:b/>
          <w:szCs w:val="21"/>
          <w:highlight w:val="none"/>
        </w:rPr>
      </w:pPr>
      <w:r>
        <w:rPr>
          <w:rFonts w:hint="eastAsia" w:ascii="宋体" w:hAnsi="宋体"/>
          <w:b/>
          <w:szCs w:val="21"/>
          <w:highlight w:val="none"/>
        </w:rPr>
        <w:t>本项目确定供应商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widowControl/>
        <w:spacing w:line="360" w:lineRule="auto"/>
        <w:ind w:firstLine="422" w:firstLineChars="200"/>
        <w:jc w:val="left"/>
        <w:rPr>
          <w:rFonts w:ascii="宋体" w:hAnsi="宋体"/>
          <w:b/>
          <w:szCs w:val="21"/>
          <w:highlight w:val="none"/>
        </w:rPr>
      </w:pPr>
      <w:r>
        <w:rPr>
          <w:rFonts w:ascii="宋体" w:hAnsi="宋体"/>
          <w:b/>
          <w:szCs w:val="21"/>
          <w:highlight w:val="none"/>
        </w:rPr>
        <w:br w:type="page"/>
      </w:r>
    </w:p>
    <w:p>
      <w:pPr>
        <w:pStyle w:val="3"/>
        <w:spacing w:line="240" w:lineRule="auto"/>
        <w:jc w:val="center"/>
        <w:rPr>
          <w:rFonts w:ascii="宋体" w:hAnsi="宋体"/>
          <w:sz w:val="36"/>
          <w:szCs w:val="36"/>
          <w:highlight w:val="none"/>
        </w:rPr>
      </w:pPr>
      <w:bookmarkStart w:id="72" w:name="_Toc53267584"/>
      <w:r>
        <w:rPr>
          <w:rFonts w:hint="eastAsia" w:ascii="宋体" w:hAnsi="宋体"/>
          <w:sz w:val="36"/>
          <w:szCs w:val="36"/>
          <w:highlight w:val="none"/>
        </w:rPr>
        <w:t>第四章  供应商资格证明材料</w:t>
      </w:r>
      <w:bookmarkEnd w:id="72"/>
    </w:p>
    <w:p>
      <w:pPr>
        <w:pStyle w:val="4"/>
        <w:spacing w:line="360" w:lineRule="exact"/>
        <w:rPr>
          <w:rFonts w:ascii="宋体" w:hAnsi="宋体" w:eastAsia="宋体"/>
          <w:sz w:val="24"/>
          <w:szCs w:val="24"/>
          <w:highlight w:val="none"/>
        </w:rPr>
      </w:pPr>
      <w:r>
        <w:rPr>
          <w:rFonts w:hint="eastAsia" w:ascii="宋体" w:hAnsi="宋体" w:eastAsia="宋体"/>
          <w:sz w:val="24"/>
          <w:szCs w:val="24"/>
          <w:highlight w:val="none"/>
        </w:rPr>
        <w:t>一、供应商应提交的资格证明材料</w:t>
      </w:r>
    </w:p>
    <w:p>
      <w:pPr>
        <w:rPr>
          <w:rFonts w:ascii="宋体" w:hAnsi="宋体"/>
          <w:b/>
          <w:bCs/>
          <w:sz w:val="24"/>
          <w:highlight w:val="none"/>
        </w:rPr>
      </w:pPr>
      <w:r>
        <w:rPr>
          <w:rFonts w:hint="eastAsia" w:ascii="宋体" w:hAnsi="宋体"/>
          <w:b/>
          <w:bCs/>
          <w:sz w:val="24"/>
          <w:highlight w:val="none"/>
        </w:rPr>
        <w:t>（一）资格要求相关证明材料：</w:t>
      </w:r>
    </w:p>
    <w:p>
      <w:pPr>
        <w:pStyle w:val="65"/>
        <w:spacing w:line="420" w:lineRule="exact"/>
        <w:ind w:firstLine="480"/>
        <w:rPr>
          <w:rFonts w:ascii="宋体" w:hAnsi="宋体"/>
          <w:sz w:val="24"/>
          <w:highlight w:val="none"/>
        </w:rPr>
      </w:pPr>
      <w:r>
        <w:rPr>
          <w:rFonts w:hint="eastAsia" w:ascii="宋体" w:hAnsi="宋体"/>
          <w:sz w:val="24"/>
          <w:highlight w:val="none"/>
        </w:rPr>
        <w:t>1.具有独立承担民事责任的能力。</w:t>
      </w:r>
    </w:p>
    <w:p>
      <w:pPr>
        <w:spacing w:line="312" w:lineRule="auto"/>
        <w:ind w:firstLine="540" w:firstLineChars="225"/>
        <w:rPr>
          <w:rFonts w:ascii="宋体" w:hAnsi="宋体"/>
          <w:sz w:val="24"/>
          <w:highlight w:val="none"/>
        </w:rPr>
      </w:pPr>
      <w:r>
        <w:rPr>
          <w:rFonts w:hint="eastAsia" w:ascii="宋体" w:hAnsi="宋体"/>
          <w:sz w:val="24"/>
          <w:highlight w:val="none"/>
        </w:rPr>
        <w:t>（1）若为企业法人：提供“统一社会信用代码营业执照”；</w:t>
      </w:r>
    </w:p>
    <w:p>
      <w:pPr>
        <w:spacing w:line="312" w:lineRule="auto"/>
        <w:ind w:firstLine="540" w:firstLineChars="225"/>
        <w:rPr>
          <w:rFonts w:ascii="宋体" w:hAnsi="宋体"/>
          <w:sz w:val="24"/>
          <w:highlight w:val="none"/>
        </w:rPr>
      </w:pPr>
      <w:r>
        <w:rPr>
          <w:rFonts w:hint="eastAsia" w:ascii="宋体" w:hAnsi="宋体"/>
          <w:sz w:val="24"/>
          <w:highlight w:val="none"/>
        </w:rPr>
        <w:t>（2）若为事业法人：提供“统一社会信用代码法人登记证书”；</w:t>
      </w:r>
    </w:p>
    <w:p>
      <w:pPr>
        <w:spacing w:line="312" w:lineRule="auto"/>
        <w:ind w:firstLine="540" w:firstLineChars="225"/>
        <w:rPr>
          <w:rFonts w:ascii="宋体" w:hAnsi="宋体"/>
          <w:sz w:val="24"/>
          <w:highlight w:val="none"/>
        </w:rPr>
      </w:pPr>
      <w:r>
        <w:rPr>
          <w:rFonts w:hint="eastAsia" w:ascii="宋体" w:hAnsi="宋体"/>
          <w:sz w:val="24"/>
          <w:highlight w:val="none"/>
        </w:rPr>
        <w:t>（3）若为其他组织：提供“对应主管部门颁发的准许执业证明文件或营业执照”；</w:t>
      </w:r>
    </w:p>
    <w:p>
      <w:pPr>
        <w:spacing w:line="312" w:lineRule="auto"/>
        <w:ind w:firstLine="540" w:firstLineChars="225"/>
        <w:rPr>
          <w:rFonts w:ascii="宋体" w:hAnsi="宋体"/>
          <w:sz w:val="24"/>
          <w:highlight w:val="none"/>
        </w:rPr>
      </w:pPr>
      <w:r>
        <w:rPr>
          <w:rFonts w:hint="eastAsia" w:ascii="宋体" w:hAnsi="宋体"/>
          <w:sz w:val="24"/>
          <w:highlight w:val="none"/>
        </w:rPr>
        <w:t>（4）若为自然人：提供“身份证明材料”；</w:t>
      </w:r>
    </w:p>
    <w:p>
      <w:pPr>
        <w:pStyle w:val="65"/>
        <w:spacing w:line="420" w:lineRule="exact"/>
        <w:ind w:firstLine="480"/>
        <w:rPr>
          <w:rFonts w:ascii="宋体" w:hAnsi="宋体"/>
          <w:sz w:val="24"/>
          <w:highlight w:val="none"/>
        </w:rPr>
      </w:pPr>
      <w:r>
        <w:rPr>
          <w:rFonts w:hint="eastAsia" w:ascii="宋体" w:hAnsi="宋体"/>
          <w:sz w:val="24"/>
          <w:highlight w:val="none"/>
        </w:rPr>
        <w:t>注：供应商根据自身情况选择提供以上（1）-（4）项其中之一复印件。</w:t>
      </w:r>
    </w:p>
    <w:p>
      <w:pPr>
        <w:pStyle w:val="65"/>
        <w:spacing w:line="420" w:lineRule="exact"/>
        <w:ind w:firstLine="480"/>
        <w:rPr>
          <w:rFonts w:ascii="宋体" w:hAnsi="宋体"/>
          <w:sz w:val="24"/>
          <w:highlight w:val="none"/>
        </w:rPr>
      </w:pPr>
      <w:r>
        <w:rPr>
          <w:rFonts w:hint="eastAsia" w:ascii="宋体" w:hAnsi="宋体"/>
          <w:sz w:val="24"/>
          <w:highlight w:val="none"/>
        </w:rPr>
        <w:t>2. 具有良好的商业信誉和健全的财务会计制度。</w:t>
      </w:r>
    </w:p>
    <w:p>
      <w:pPr>
        <w:pStyle w:val="65"/>
        <w:spacing w:line="420" w:lineRule="exact"/>
        <w:ind w:firstLine="480"/>
        <w:rPr>
          <w:rFonts w:ascii="宋体" w:hAnsi="宋体"/>
          <w:sz w:val="24"/>
          <w:highlight w:val="none"/>
        </w:rPr>
      </w:pPr>
      <w:r>
        <w:rPr>
          <w:rFonts w:hint="eastAsia" w:ascii="宋体" w:hAnsi="宋体"/>
          <w:sz w:val="24"/>
          <w:highlight w:val="none"/>
        </w:rPr>
        <w:t>（1）提供具有良好的商业信誉的承诺函原件。</w:t>
      </w:r>
    </w:p>
    <w:p>
      <w:pPr>
        <w:pStyle w:val="65"/>
        <w:spacing w:line="420" w:lineRule="exact"/>
        <w:ind w:firstLine="480"/>
        <w:rPr>
          <w:rFonts w:ascii="宋体" w:hAnsi="宋体"/>
          <w:sz w:val="24"/>
          <w:highlight w:val="none"/>
        </w:rPr>
      </w:pPr>
      <w:r>
        <w:rPr>
          <w:rFonts w:hint="eastAsia" w:ascii="宋体" w:hAnsi="宋体"/>
          <w:sz w:val="24"/>
          <w:highlight w:val="none"/>
        </w:rPr>
        <w:t>（2）具备健全的财务会计制度的证明材料。</w:t>
      </w:r>
    </w:p>
    <w:p>
      <w:pPr>
        <w:pStyle w:val="65"/>
        <w:spacing w:line="420" w:lineRule="exact"/>
        <w:ind w:firstLine="480"/>
        <w:rPr>
          <w:rFonts w:ascii="宋体" w:hAnsi="宋体"/>
          <w:sz w:val="24"/>
          <w:highlight w:val="none"/>
        </w:rPr>
      </w:pPr>
      <w:r>
        <w:rPr>
          <w:rFonts w:hint="eastAsia" w:ascii="宋体" w:hAnsi="宋体"/>
          <w:sz w:val="24"/>
          <w:highlight w:val="none"/>
        </w:rPr>
        <w:t>①提供2020年度经审计的财务报告复印件（包含审计报告和审计报告中所涉及的财务报表和报表附注）；</w:t>
      </w:r>
    </w:p>
    <w:p>
      <w:pPr>
        <w:pStyle w:val="65"/>
        <w:spacing w:line="420" w:lineRule="exact"/>
        <w:ind w:firstLine="480"/>
        <w:rPr>
          <w:rFonts w:ascii="宋体" w:hAnsi="宋体"/>
          <w:sz w:val="24"/>
          <w:highlight w:val="none"/>
        </w:rPr>
      </w:pPr>
      <w:r>
        <w:rPr>
          <w:rFonts w:hint="eastAsia" w:ascii="宋体" w:hAnsi="宋体"/>
          <w:sz w:val="24"/>
          <w:highlight w:val="none"/>
        </w:rPr>
        <w:t>②提供2020年度供应商内部的财务报表复印件（至少包含资产负债表）；</w:t>
      </w:r>
    </w:p>
    <w:p>
      <w:pPr>
        <w:pStyle w:val="65"/>
        <w:spacing w:line="420" w:lineRule="exact"/>
        <w:ind w:firstLine="480"/>
        <w:rPr>
          <w:rFonts w:ascii="宋体" w:hAnsi="宋体"/>
          <w:sz w:val="24"/>
          <w:highlight w:val="none"/>
        </w:rPr>
      </w:pPr>
      <w:r>
        <w:rPr>
          <w:rFonts w:hint="eastAsia" w:ascii="宋体" w:hAnsi="宋体"/>
          <w:sz w:val="24"/>
          <w:highlight w:val="none"/>
        </w:rPr>
        <w:t>③提供截至</w:t>
      </w:r>
      <w:r>
        <w:rPr>
          <w:rFonts w:hint="eastAsia" w:ascii="宋体" w:hAnsi="宋体"/>
          <w:sz w:val="24"/>
          <w:highlight w:val="none"/>
          <w:lang w:eastAsia="zh-CN"/>
        </w:rPr>
        <w:t>响应文件</w:t>
      </w:r>
      <w:r>
        <w:rPr>
          <w:rFonts w:hint="eastAsia" w:ascii="宋体" w:hAnsi="宋体"/>
          <w:sz w:val="24"/>
          <w:highlight w:val="none"/>
        </w:rPr>
        <w:t>递交截止日一年内银行出具的资信证明（复印件）；</w:t>
      </w:r>
    </w:p>
    <w:p>
      <w:pPr>
        <w:pStyle w:val="65"/>
        <w:spacing w:line="420" w:lineRule="exact"/>
        <w:ind w:firstLine="480"/>
        <w:rPr>
          <w:rFonts w:ascii="宋体" w:hAnsi="宋体"/>
          <w:sz w:val="24"/>
          <w:highlight w:val="none"/>
        </w:rPr>
      </w:pPr>
      <w:r>
        <w:rPr>
          <w:rFonts w:hint="eastAsia" w:ascii="宋体" w:hAnsi="宋体"/>
          <w:sz w:val="24"/>
          <w:highlight w:val="none"/>
        </w:rPr>
        <w:t>④供应商注册时间截至</w:t>
      </w:r>
      <w:r>
        <w:rPr>
          <w:rFonts w:hint="eastAsia" w:ascii="宋体" w:hAnsi="宋体"/>
          <w:sz w:val="24"/>
          <w:highlight w:val="none"/>
          <w:lang w:eastAsia="zh-CN"/>
        </w:rPr>
        <w:t>响应文件</w:t>
      </w:r>
      <w:r>
        <w:rPr>
          <w:rFonts w:hint="eastAsia" w:ascii="宋体" w:hAnsi="宋体"/>
          <w:sz w:val="24"/>
          <w:highlight w:val="none"/>
        </w:rPr>
        <w:t>递交截止日不足一年的，提供在工商备案的公司章程（复印件）。</w:t>
      </w:r>
    </w:p>
    <w:p>
      <w:pPr>
        <w:pStyle w:val="65"/>
        <w:spacing w:line="420" w:lineRule="exact"/>
        <w:ind w:firstLine="480"/>
        <w:rPr>
          <w:rFonts w:ascii="宋体" w:hAnsi="宋体"/>
          <w:sz w:val="24"/>
          <w:highlight w:val="none"/>
        </w:rPr>
      </w:pPr>
      <w:r>
        <w:rPr>
          <w:rFonts w:hint="eastAsia" w:ascii="宋体" w:hAnsi="宋体"/>
          <w:sz w:val="24"/>
          <w:highlight w:val="none"/>
        </w:rPr>
        <w:t>注：供应商根据自身情况选择提供以上①-④项其中之一。</w:t>
      </w:r>
    </w:p>
    <w:p>
      <w:pPr>
        <w:pStyle w:val="65"/>
        <w:spacing w:line="420" w:lineRule="exact"/>
        <w:ind w:firstLine="480"/>
        <w:rPr>
          <w:rFonts w:ascii="宋体" w:hAnsi="宋体"/>
          <w:sz w:val="24"/>
          <w:highlight w:val="none"/>
        </w:rPr>
      </w:pPr>
      <w:r>
        <w:rPr>
          <w:rFonts w:hint="eastAsia" w:ascii="宋体" w:hAnsi="宋体"/>
          <w:sz w:val="24"/>
          <w:highlight w:val="none"/>
        </w:rPr>
        <w:t>3. 具备履行合同所必需的设备和专业技术能力的证明材料；</w:t>
      </w:r>
    </w:p>
    <w:p>
      <w:pPr>
        <w:pStyle w:val="65"/>
        <w:spacing w:line="420" w:lineRule="exact"/>
        <w:ind w:firstLine="480"/>
        <w:rPr>
          <w:rFonts w:ascii="宋体" w:hAnsi="宋体"/>
          <w:sz w:val="24"/>
          <w:highlight w:val="none"/>
        </w:rPr>
      </w:pPr>
      <w:r>
        <w:rPr>
          <w:rFonts w:hint="eastAsia" w:ascii="宋体" w:hAnsi="宋体"/>
          <w:sz w:val="24"/>
          <w:highlight w:val="none"/>
        </w:rPr>
        <w:t>提供承诺函原件。</w:t>
      </w:r>
    </w:p>
    <w:p>
      <w:pPr>
        <w:pStyle w:val="65"/>
        <w:spacing w:line="420" w:lineRule="exact"/>
        <w:ind w:firstLine="480"/>
        <w:rPr>
          <w:rFonts w:ascii="宋体" w:hAnsi="宋体"/>
          <w:sz w:val="24"/>
          <w:highlight w:val="none"/>
        </w:rPr>
      </w:pPr>
      <w:r>
        <w:rPr>
          <w:rFonts w:hint="eastAsia" w:ascii="宋体" w:hAnsi="宋体"/>
          <w:sz w:val="24"/>
          <w:highlight w:val="none"/>
        </w:rPr>
        <w:t>4.具有依法缴纳税收和社会保障资金的良好记录；</w:t>
      </w:r>
    </w:p>
    <w:p>
      <w:pPr>
        <w:pStyle w:val="65"/>
        <w:spacing w:line="420" w:lineRule="exact"/>
        <w:ind w:firstLine="480"/>
        <w:rPr>
          <w:rFonts w:ascii="宋体" w:hAnsi="宋体"/>
          <w:sz w:val="24"/>
          <w:highlight w:val="none"/>
        </w:rPr>
      </w:pPr>
      <w:r>
        <w:rPr>
          <w:rFonts w:hint="eastAsia" w:ascii="宋体" w:hAnsi="宋体"/>
          <w:sz w:val="24"/>
          <w:highlight w:val="none"/>
        </w:rPr>
        <w:t>提供承诺函原件。</w:t>
      </w:r>
    </w:p>
    <w:p>
      <w:pPr>
        <w:pStyle w:val="65"/>
        <w:spacing w:line="420" w:lineRule="exact"/>
        <w:ind w:firstLine="480"/>
        <w:rPr>
          <w:rFonts w:ascii="宋体" w:hAnsi="宋体"/>
          <w:sz w:val="24"/>
          <w:highlight w:val="none"/>
        </w:rPr>
      </w:pPr>
      <w:r>
        <w:rPr>
          <w:rFonts w:hint="eastAsia" w:ascii="宋体" w:hAnsi="宋体"/>
          <w:sz w:val="24"/>
          <w:highlight w:val="none"/>
        </w:rPr>
        <w:t>5.参加政府采购活动前三年内，在经营活动中没有重大违法记录；</w:t>
      </w:r>
    </w:p>
    <w:p>
      <w:pPr>
        <w:pStyle w:val="65"/>
        <w:spacing w:line="420" w:lineRule="exact"/>
        <w:ind w:firstLine="480"/>
        <w:rPr>
          <w:rFonts w:hint="eastAsia" w:ascii="宋体" w:hAnsi="宋体"/>
          <w:sz w:val="24"/>
          <w:highlight w:val="none"/>
        </w:rPr>
      </w:pPr>
      <w:r>
        <w:rPr>
          <w:rFonts w:hint="eastAsia" w:ascii="宋体" w:hAnsi="宋体"/>
          <w:sz w:val="24"/>
          <w:highlight w:val="none"/>
        </w:rPr>
        <w:t>提供承诺函原件</w:t>
      </w:r>
    </w:p>
    <w:p>
      <w:pPr>
        <w:pStyle w:val="65"/>
        <w:numPr>
          <w:ilvl w:val="0"/>
          <w:numId w:val="1"/>
        </w:numPr>
        <w:spacing w:line="420" w:lineRule="exact"/>
        <w:ind w:firstLine="480"/>
        <w:rPr>
          <w:rFonts w:hint="eastAsia" w:ascii="宋体" w:hAnsi="宋体"/>
          <w:sz w:val="24"/>
          <w:highlight w:val="none"/>
          <w:lang w:eastAsia="zh-CN"/>
        </w:rPr>
      </w:pPr>
      <w:r>
        <w:rPr>
          <w:rFonts w:hint="eastAsia" w:ascii="宋体" w:hAnsi="宋体"/>
          <w:sz w:val="24"/>
          <w:highlight w:val="none"/>
        </w:rPr>
        <w:t>符合法律、行政法规规定的其他条件</w:t>
      </w:r>
      <w:r>
        <w:rPr>
          <w:rFonts w:hint="eastAsia" w:ascii="宋体" w:hAnsi="宋体"/>
          <w:sz w:val="24"/>
          <w:highlight w:val="none"/>
          <w:lang w:eastAsia="zh-CN"/>
        </w:rPr>
        <w:t>；</w:t>
      </w:r>
    </w:p>
    <w:p>
      <w:pPr>
        <w:pStyle w:val="65"/>
        <w:spacing w:line="420" w:lineRule="exact"/>
        <w:ind w:firstLine="480"/>
        <w:rPr>
          <w:rFonts w:hint="eastAsia" w:ascii="宋体" w:hAnsi="宋体"/>
          <w:sz w:val="24"/>
          <w:highlight w:val="none"/>
          <w:lang w:val="en-US" w:eastAsia="zh-CN"/>
        </w:rPr>
      </w:pPr>
      <w:r>
        <w:rPr>
          <w:rFonts w:hint="eastAsia" w:ascii="宋体" w:hAnsi="宋体"/>
          <w:sz w:val="24"/>
          <w:highlight w:val="none"/>
        </w:rPr>
        <w:t>提供承诺函原件</w:t>
      </w:r>
    </w:p>
    <w:p>
      <w:pPr>
        <w:numPr>
          <w:ilvl w:val="0"/>
          <w:numId w:val="2"/>
        </w:numPr>
        <w:spacing w:line="312" w:lineRule="auto"/>
        <w:ind w:firstLine="482" w:firstLineChars="200"/>
        <w:rPr>
          <w:rFonts w:ascii="宋体" w:hAnsi="宋体"/>
          <w:b/>
          <w:sz w:val="24"/>
          <w:highlight w:val="none"/>
        </w:rPr>
      </w:pPr>
      <w:r>
        <w:rPr>
          <w:rFonts w:hint="eastAsia" w:ascii="宋体" w:hAnsi="宋体"/>
          <w:b/>
          <w:sz w:val="24"/>
          <w:highlight w:val="none"/>
        </w:rPr>
        <w:t>落实政府采购政策需满足的资格要求：</w:t>
      </w:r>
      <w:r>
        <w:rPr>
          <w:rFonts w:hint="eastAsia" w:ascii="宋体" w:hAnsi="宋体"/>
          <w:b w:val="0"/>
          <w:bCs/>
          <w:sz w:val="24"/>
          <w:highlight w:val="none"/>
        </w:rPr>
        <w:t>本项目属于专门面向中小企业采购的项目,供应商应为中小微企业、监狱企业、残疾人福利性单位。</w:t>
      </w:r>
    </w:p>
    <w:p>
      <w:pPr>
        <w:pStyle w:val="65"/>
        <w:numPr>
          <w:ilvl w:val="0"/>
          <w:numId w:val="3"/>
        </w:numPr>
        <w:shd w:val="clear"/>
        <w:spacing w:line="420" w:lineRule="exact"/>
        <w:ind w:firstLineChars="0"/>
        <w:rPr>
          <w:rFonts w:ascii="宋体" w:hAnsi="宋体"/>
          <w:color w:val="auto"/>
          <w:sz w:val="24"/>
          <w:highlight w:val="none"/>
        </w:rPr>
      </w:pPr>
      <w:r>
        <w:rPr>
          <w:rFonts w:hint="eastAsia" w:ascii="宋体" w:hAnsi="宋体"/>
          <w:color w:val="auto"/>
          <w:sz w:val="24"/>
          <w:highlight w:val="none"/>
        </w:rPr>
        <w:t>提供中小企业声明函原件；</w:t>
      </w:r>
    </w:p>
    <w:p>
      <w:pPr>
        <w:pStyle w:val="65"/>
        <w:numPr>
          <w:ilvl w:val="0"/>
          <w:numId w:val="3"/>
        </w:numPr>
        <w:shd w:val="clear"/>
        <w:spacing w:line="420" w:lineRule="exact"/>
        <w:ind w:firstLineChars="0"/>
        <w:rPr>
          <w:rFonts w:ascii="宋体" w:hAnsi="宋体"/>
          <w:color w:val="auto"/>
          <w:sz w:val="24"/>
          <w:highlight w:val="none"/>
        </w:rPr>
      </w:pPr>
      <w:r>
        <w:rPr>
          <w:rFonts w:hint="eastAsia" w:ascii="宋体" w:hAnsi="宋体"/>
          <w:color w:val="auto"/>
          <w:sz w:val="24"/>
          <w:highlight w:val="none"/>
        </w:rPr>
        <w:t>提供残疾人福利性单位声明函原件；</w:t>
      </w:r>
    </w:p>
    <w:p>
      <w:pPr>
        <w:pStyle w:val="65"/>
        <w:numPr>
          <w:ilvl w:val="0"/>
          <w:numId w:val="3"/>
        </w:numPr>
        <w:shd w:val="clear"/>
        <w:spacing w:line="420" w:lineRule="exact"/>
        <w:ind w:firstLineChars="0"/>
        <w:rPr>
          <w:rFonts w:ascii="宋体" w:hAnsi="宋体"/>
          <w:color w:val="auto"/>
          <w:sz w:val="24"/>
          <w:highlight w:val="none"/>
        </w:rPr>
      </w:pPr>
      <w:r>
        <w:rPr>
          <w:rFonts w:hint="eastAsia" w:ascii="宋体" w:hAnsi="宋体"/>
          <w:color w:val="auto"/>
          <w:sz w:val="24"/>
          <w:highlight w:val="none"/>
        </w:rPr>
        <w:t>提供监狱企业证明材料复印件</w:t>
      </w:r>
    </w:p>
    <w:p>
      <w:pPr>
        <w:pStyle w:val="65"/>
        <w:shd w:val="clear"/>
        <w:spacing w:line="420" w:lineRule="exact"/>
        <w:ind w:left="480" w:firstLine="0" w:firstLineChars="0"/>
        <w:rPr>
          <w:highlight w:val="none"/>
        </w:rPr>
      </w:pPr>
      <w:r>
        <w:rPr>
          <w:rFonts w:hint="eastAsia" w:ascii="宋体" w:hAnsi="宋体"/>
          <w:color w:val="auto"/>
          <w:sz w:val="24"/>
          <w:highlight w:val="none"/>
        </w:rPr>
        <w:t>注：供应商根据自身情况选择提供以上（1）-（3）项其中之一。</w:t>
      </w:r>
    </w:p>
    <w:p>
      <w:pPr>
        <w:spacing w:line="400" w:lineRule="exact"/>
        <w:ind w:firstLine="482" w:firstLineChars="200"/>
        <w:rPr>
          <w:rFonts w:hint="eastAsia" w:ascii="宋体" w:hAnsi="宋体"/>
          <w:b/>
          <w:sz w:val="24"/>
          <w:highlight w:val="none"/>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rPr>
        <w:t>本项目的特定资格要求：</w:t>
      </w:r>
    </w:p>
    <w:p>
      <w:pPr>
        <w:spacing w:line="400" w:lineRule="exact"/>
        <w:ind w:firstLine="480" w:firstLineChars="200"/>
        <w:rPr>
          <w:rFonts w:hint="eastAsia" w:ascii="宋体" w:hAnsi="宋体" w:eastAsia="宋体"/>
          <w:sz w:val="24"/>
          <w:highlight w:val="none"/>
          <w:lang w:eastAsia="zh-CN"/>
        </w:rPr>
      </w:pPr>
      <w:r>
        <w:rPr>
          <w:rFonts w:hint="eastAsia" w:ascii="宋体" w:hAnsi="宋体"/>
          <w:sz w:val="24"/>
          <w:highlight w:val="none"/>
        </w:rPr>
        <w:t>供应商应具有国家卫生部门颁发的《医疗机构执业许可证》</w:t>
      </w:r>
      <w:r>
        <w:rPr>
          <w:rFonts w:hint="eastAsia" w:ascii="宋体" w:hAnsi="宋体"/>
          <w:sz w:val="24"/>
          <w:highlight w:val="none"/>
          <w:lang w:eastAsia="zh-CN"/>
        </w:rPr>
        <w:t>。</w:t>
      </w:r>
    </w:p>
    <w:p>
      <w:pPr>
        <w:numPr>
          <w:ilvl w:val="0"/>
          <w:numId w:val="0"/>
        </w:numPr>
        <w:spacing w:line="312" w:lineRule="auto"/>
        <w:rPr>
          <w:rFonts w:hint="default" w:ascii="宋体" w:hAnsi="宋体" w:eastAsia="宋体"/>
          <w:b/>
          <w:sz w:val="24"/>
          <w:highlight w:val="none"/>
          <w:lang w:val="en-US" w:eastAsia="zh-CN"/>
        </w:rPr>
      </w:pPr>
      <w:r>
        <w:rPr>
          <w:rFonts w:hint="eastAsia" w:ascii="宋体" w:hAnsi="宋体"/>
          <w:b/>
          <w:sz w:val="24"/>
          <w:highlight w:val="none"/>
          <w:lang w:val="en-US" w:eastAsia="zh-CN"/>
        </w:rPr>
        <w:t xml:space="preserve">    </w:t>
      </w:r>
      <w:r>
        <w:rPr>
          <w:rFonts w:hint="eastAsia" w:ascii="宋体" w:hAnsi="宋体"/>
          <w:b w:val="0"/>
          <w:bCs/>
          <w:sz w:val="24"/>
          <w:highlight w:val="none"/>
          <w:lang w:val="en-US" w:eastAsia="zh-CN"/>
        </w:rPr>
        <w:t>提供证书复印件。</w:t>
      </w:r>
    </w:p>
    <w:p>
      <w:pPr>
        <w:pStyle w:val="2"/>
        <w:rPr>
          <w:highlight w:val="none"/>
        </w:rPr>
      </w:pPr>
      <w:r>
        <w:rPr>
          <w:rFonts w:hint="eastAsia" w:hAnsi="宋体"/>
          <w:color w:val="auto"/>
          <w:highlight w:val="none"/>
        </w:rPr>
        <w:t xml:space="preserve">    </w:t>
      </w:r>
      <w:r>
        <w:rPr>
          <w:rFonts w:hint="eastAsia" w:hAnsi="宋体" w:cs="Times New Roman"/>
          <w:b/>
          <w:color w:val="auto"/>
          <w:kern w:val="2"/>
          <w:highlight w:val="none"/>
        </w:rPr>
        <w:t>（四）本项目的其他资格要求：</w:t>
      </w:r>
    </w:p>
    <w:p>
      <w:pPr>
        <w:pStyle w:val="65"/>
        <w:ind w:firstLine="480"/>
        <w:rPr>
          <w:rFonts w:ascii="宋体" w:hAnsi="宋体"/>
          <w:sz w:val="24"/>
          <w:highlight w:val="none"/>
        </w:rPr>
      </w:pPr>
      <w:r>
        <w:rPr>
          <w:rFonts w:hint="eastAsia" w:ascii="宋体" w:hAnsi="宋体"/>
          <w:sz w:val="24"/>
          <w:highlight w:val="none"/>
        </w:rPr>
        <w:t>1.</w:t>
      </w:r>
      <w:r>
        <w:rPr>
          <w:rFonts w:hint="eastAsia"/>
          <w:highlight w:val="none"/>
        </w:rPr>
        <w:t xml:space="preserve"> </w:t>
      </w:r>
      <w:r>
        <w:rPr>
          <w:rFonts w:hint="eastAsia" w:ascii="宋体" w:hAnsi="宋体"/>
          <w:sz w:val="24"/>
          <w:highlight w:val="none"/>
        </w:rPr>
        <w:t>供应商单位及其法定代表人/主要负责人在参加本项目政府采购活动前三年无行贿犯罪记录。</w:t>
      </w:r>
    </w:p>
    <w:p>
      <w:pPr>
        <w:pStyle w:val="65"/>
        <w:ind w:firstLine="480"/>
        <w:rPr>
          <w:rFonts w:ascii="宋体" w:hAnsi="宋体"/>
          <w:sz w:val="24"/>
          <w:highlight w:val="none"/>
        </w:rPr>
      </w:pPr>
      <w:r>
        <w:rPr>
          <w:rFonts w:hint="eastAsia" w:ascii="宋体" w:hAnsi="宋体"/>
          <w:sz w:val="24"/>
          <w:highlight w:val="none"/>
        </w:rPr>
        <w:t>提供承诺函原件；</w:t>
      </w:r>
    </w:p>
    <w:p>
      <w:pPr>
        <w:pStyle w:val="4"/>
        <w:spacing w:line="360" w:lineRule="exact"/>
        <w:rPr>
          <w:rFonts w:ascii="宋体" w:eastAsia="宋体"/>
          <w:sz w:val="24"/>
          <w:szCs w:val="24"/>
          <w:highlight w:val="none"/>
        </w:rPr>
      </w:pPr>
      <w:r>
        <w:rPr>
          <w:rFonts w:hint="eastAsia"/>
          <w:b w:val="0"/>
          <w:bCs w:val="0"/>
          <w:sz w:val="24"/>
          <w:szCs w:val="24"/>
          <w:highlight w:val="none"/>
        </w:rPr>
        <w:t>二、</w:t>
      </w:r>
      <w:r>
        <w:rPr>
          <w:rFonts w:hint="eastAsia" w:ascii="宋体" w:eastAsia="宋体"/>
          <w:sz w:val="24"/>
          <w:szCs w:val="24"/>
          <w:highlight w:val="none"/>
        </w:rPr>
        <w:t>应当提供的投标产品的资格、资质性及其他类似效力要求的相关证明材料</w:t>
      </w:r>
    </w:p>
    <w:p>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法定代表人/单位负责人身份证明原件及附件。（法定代表人/单位负责人亲自参加适用）</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法定代表人/单位负责人授权书原件及附件（授权代表参加适用）。</w:t>
      </w:r>
    </w:p>
    <w:p>
      <w:pPr>
        <w:pStyle w:val="65"/>
        <w:ind w:firstLine="480"/>
        <w:rPr>
          <w:rFonts w:ascii="宋体" w:hAnsi="宋体"/>
          <w:sz w:val="24"/>
          <w:highlight w:val="none"/>
        </w:rPr>
      </w:pPr>
    </w:p>
    <w:p>
      <w:pPr>
        <w:pStyle w:val="65"/>
        <w:ind w:firstLine="480"/>
        <w:rPr>
          <w:rFonts w:ascii="宋体" w:hAnsi="宋体"/>
          <w:sz w:val="24"/>
          <w:highlight w:val="none"/>
        </w:rPr>
      </w:pPr>
    </w:p>
    <w:p>
      <w:pPr>
        <w:pStyle w:val="65"/>
        <w:ind w:firstLine="480"/>
        <w:rPr>
          <w:rFonts w:ascii="宋体" w:hAnsi="宋体"/>
          <w:sz w:val="24"/>
          <w:highlight w:val="none"/>
        </w:rPr>
      </w:pPr>
    </w:p>
    <w:p>
      <w:pPr>
        <w:spacing w:line="420" w:lineRule="exact"/>
        <w:rPr>
          <w:rFonts w:ascii="宋体" w:hAnsi="宋体"/>
          <w:highlight w:val="none"/>
        </w:rPr>
      </w:pPr>
    </w:p>
    <w:p>
      <w:pPr>
        <w:widowControl/>
        <w:jc w:val="left"/>
        <w:rPr>
          <w:rFonts w:ascii="宋体" w:hAnsi="宋体"/>
          <w:b/>
          <w:sz w:val="32"/>
          <w:highlight w:val="none"/>
        </w:rPr>
      </w:pPr>
      <w:r>
        <w:rPr>
          <w:rFonts w:hint="eastAsia" w:ascii="宋体" w:hAnsi="宋体"/>
          <w:b/>
          <w:bCs/>
          <w:sz w:val="24"/>
          <w:highlight w:val="none"/>
        </w:rPr>
        <w:t>注：以上要求的资料复印件（身份证明材料除外）均须加盖供应商的公章（鲜章）。</w:t>
      </w:r>
    </w:p>
    <w:p>
      <w:pPr>
        <w:widowControl/>
        <w:jc w:val="left"/>
        <w:rPr>
          <w:rFonts w:ascii="宋体" w:hAnsi="宋体"/>
          <w:b/>
          <w:sz w:val="32"/>
          <w:highlight w:val="none"/>
        </w:rPr>
      </w:pPr>
      <w:r>
        <w:rPr>
          <w:rFonts w:ascii="宋体" w:hAnsi="宋体"/>
          <w:b/>
          <w:sz w:val="32"/>
          <w:highlight w:val="none"/>
        </w:rPr>
        <w:br w:type="page"/>
      </w:r>
    </w:p>
    <w:p>
      <w:pPr>
        <w:pStyle w:val="3"/>
        <w:spacing w:line="240" w:lineRule="auto"/>
        <w:jc w:val="center"/>
        <w:rPr>
          <w:rFonts w:ascii="宋体" w:hAnsi="宋体"/>
          <w:sz w:val="36"/>
          <w:szCs w:val="36"/>
          <w:highlight w:val="none"/>
        </w:rPr>
      </w:pPr>
      <w:bookmarkStart w:id="73" w:name="_Toc53267585"/>
      <w:r>
        <w:rPr>
          <w:rFonts w:hint="eastAsia" w:ascii="宋体" w:hAnsi="宋体"/>
          <w:sz w:val="36"/>
          <w:szCs w:val="36"/>
          <w:highlight w:val="none"/>
        </w:rPr>
        <w:t>第五章  采购项目技术、服务、政府采购合同内容条款及其他商务要求</w:t>
      </w:r>
      <w:bookmarkEnd w:id="73"/>
    </w:p>
    <w:p>
      <w:pPr>
        <w:pStyle w:val="124"/>
        <w:spacing w:line="360" w:lineRule="auto"/>
        <w:ind w:firstLine="0" w:firstLineChars="0"/>
        <w:jc w:val="left"/>
        <w:rPr>
          <w:rFonts w:ascii="宋体" w:hAnsi="宋体" w:cs="宋体"/>
          <w:b/>
          <w:bCs/>
          <w:sz w:val="24"/>
          <w:szCs w:val="24"/>
          <w:highlight w:val="none"/>
        </w:rPr>
      </w:pPr>
      <w:r>
        <w:rPr>
          <w:rFonts w:hint="eastAsia" w:ascii="宋体" w:hAnsi="宋体" w:cs="宋体"/>
          <w:b/>
          <w:bCs/>
          <w:sz w:val="24"/>
          <w:szCs w:val="24"/>
          <w:highlight w:val="none"/>
        </w:rPr>
        <w:t>一、项目概述</w:t>
      </w:r>
    </w:p>
    <w:p>
      <w:pPr>
        <w:pStyle w:val="124"/>
        <w:spacing w:line="360" w:lineRule="auto"/>
        <w:ind w:firstLine="0" w:firstLineChars="0"/>
        <w:jc w:val="left"/>
        <w:rPr>
          <w:rFonts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都江堰市人民医院检验科外送检测服务项目。</w:t>
      </w:r>
    </w:p>
    <w:p>
      <w:pPr>
        <w:pStyle w:val="124"/>
        <w:spacing w:line="360" w:lineRule="auto"/>
        <w:ind w:firstLine="0" w:firstLineChars="0"/>
        <w:jc w:val="left"/>
        <w:rPr>
          <w:rFonts w:ascii="宋体" w:hAnsi="宋体" w:cs="宋体"/>
          <w:sz w:val="24"/>
          <w:szCs w:val="24"/>
          <w:highlight w:val="none"/>
        </w:rPr>
      </w:pPr>
      <w:r>
        <w:rPr>
          <w:rFonts w:hint="eastAsia" w:ascii="宋体" w:hAnsi="宋体" w:cs="宋体"/>
          <w:sz w:val="24"/>
          <w:szCs w:val="24"/>
          <w:highlight w:val="none"/>
        </w:rPr>
        <w:t>采购人：</w:t>
      </w:r>
      <w:r>
        <w:rPr>
          <w:rFonts w:hint="eastAsia" w:ascii="宋体" w:hAnsi="宋体" w:cs="宋体"/>
          <w:sz w:val="24"/>
          <w:szCs w:val="24"/>
          <w:highlight w:val="none"/>
          <w:lang w:eastAsia="zh-CN"/>
        </w:rPr>
        <w:t xml:space="preserve">都江堰市人民医院 </w:t>
      </w:r>
      <w:r>
        <w:rPr>
          <w:rFonts w:hint="eastAsia" w:ascii="宋体" w:hAnsi="宋体" w:cs="宋体"/>
          <w:sz w:val="24"/>
          <w:szCs w:val="24"/>
          <w:highlight w:val="none"/>
        </w:rPr>
        <w:t>。</w:t>
      </w:r>
    </w:p>
    <w:p>
      <w:pPr>
        <w:pStyle w:val="124"/>
        <w:numPr>
          <w:ilvl w:val="0"/>
          <w:numId w:val="4"/>
        </w:numPr>
        <w:spacing w:line="360" w:lineRule="auto"/>
        <w:ind w:firstLine="0" w:firstLineChars="0"/>
        <w:jc w:val="left"/>
        <w:rPr>
          <w:rFonts w:hint="eastAsia" w:ascii="宋体" w:hAnsi="宋体" w:cs="宋体"/>
          <w:b/>
          <w:bCs/>
          <w:sz w:val="24"/>
          <w:szCs w:val="24"/>
          <w:highlight w:val="none"/>
          <w:lang w:val="en-US" w:eastAsia="zh-CN"/>
        </w:rPr>
      </w:pPr>
      <w:r>
        <w:rPr>
          <w:rFonts w:hint="eastAsia" w:ascii="宋体" w:hAnsi="宋体" w:cs="宋体"/>
          <w:sz w:val="24"/>
          <w:szCs w:val="24"/>
          <w:highlight w:val="none"/>
        </w:rPr>
        <w:t>*</w:t>
      </w:r>
      <w:r>
        <w:rPr>
          <w:rFonts w:hint="eastAsia" w:ascii="宋体" w:hAnsi="宋体" w:cs="宋体"/>
          <w:b/>
          <w:bCs/>
          <w:sz w:val="24"/>
          <w:szCs w:val="24"/>
          <w:highlight w:val="none"/>
          <w:lang w:val="en-US" w:eastAsia="zh-CN"/>
        </w:rPr>
        <w:t>服务内容及要求</w:t>
      </w:r>
    </w:p>
    <w:p>
      <w:pPr>
        <w:pStyle w:val="124"/>
        <w:numPr>
          <w:ilvl w:val="0"/>
          <w:numId w:val="5"/>
        </w:numPr>
        <w:spacing w:line="360" w:lineRule="auto"/>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送检清单</w:t>
      </w:r>
    </w:p>
    <w:tbl>
      <w:tblPr>
        <w:tblStyle w:val="38"/>
        <w:tblW w:w="9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6706"/>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5" w:hRule="atLeast"/>
        </w:trPr>
        <w:tc>
          <w:tcPr>
            <w:tcW w:w="9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检验科外送检测服务项目清单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送检项目</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三甲医院收费标准（元）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地中海贫血基因分型</w:t>
            </w:r>
            <w:r>
              <w:rPr>
                <w:rStyle w:val="129"/>
                <w:rFonts w:eastAsia="宋体"/>
                <w:highlight w:val="none"/>
                <w:lang w:val="en-US" w:eastAsia="zh-CN" w:bidi="ar"/>
              </w:rPr>
              <w:t>(23</w:t>
            </w:r>
            <w:r>
              <w:rPr>
                <w:rFonts w:hint="eastAsia" w:ascii="宋体" w:hAnsi="宋体" w:eastAsia="宋体" w:cs="宋体"/>
                <w:i w:val="0"/>
                <w:iCs w:val="0"/>
                <w:color w:val="000000"/>
                <w:kern w:val="0"/>
                <w:sz w:val="20"/>
                <w:szCs w:val="20"/>
                <w:highlight w:val="none"/>
                <w:u w:val="none"/>
                <w:lang w:val="en-US" w:eastAsia="zh-CN" w:bidi="ar"/>
              </w:rPr>
              <w:t>位点</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6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微量元素</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抗可提取性核抗原多肽抗体</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抗</w:t>
            </w:r>
            <w:r>
              <w:rPr>
                <w:rStyle w:val="129"/>
                <w:rFonts w:eastAsia="宋体"/>
                <w:highlight w:val="none"/>
                <w:lang w:val="en-US" w:eastAsia="zh-CN" w:bidi="ar"/>
              </w:rPr>
              <w:t>ENA</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抗双链</w:t>
            </w:r>
            <w:r>
              <w:rPr>
                <w:rStyle w:val="129"/>
                <w:rFonts w:eastAsia="宋体"/>
                <w:highlight w:val="none"/>
                <w:lang w:val="en-US" w:eastAsia="zh-CN" w:bidi="ar"/>
              </w:rPr>
              <w:t>DNA</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 xml:space="preserve">(dsDNA)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(1-3)-β-D</w:t>
            </w:r>
            <w:r>
              <w:rPr>
                <w:rFonts w:hint="eastAsia" w:ascii="宋体" w:hAnsi="宋体" w:eastAsia="宋体" w:cs="宋体"/>
                <w:i w:val="0"/>
                <w:iCs w:val="0"/>
                <w:color w:val="000000"/>
                <w:kern w:val="0"/>
                <w:sz w:val="20"/>
                <w:szCs w:val="20"/>
                <w:highlight w:val="none"/>
                <w:u w:val="none"/>
                <w:lang w:val="en-US" w:eastAsia="zh-CN" w:bidi="ar"/>
              </w:rPr>
              <w:t>葡聚糖</w:t>
            </w:r>
            <w:r>
              <w:rPr>
                <w:rStyle w:val="129"/>
                <w:rFonts w:eastAsia="宋体"/>
                <w:highlight w:val="none"/>
                <w:lang w:val="en-US" w:eastAsia="zh-CN" w:bidi="ar"/>
              </w:rPr>
              <w:t>(G</w:t>
            </w:r>
            <w:r>
              <w:rPr>
                <w:rFonts w:hint="eastAsia" w:ascii="宋体" w:hAnsi="宋体" w:eastAsia="宋体" w:cs="宋体"/>
                <w:i w:val="0"/>
                <w:iCs w:val="0"/>
                <w:color w:val="000000"/>
                <w:kern w:val="0"/>
                <w:sz w:val="20"/>
                <w:szCs w:val="20"/>
                <w:highlight w:val="none"/>
                <w:u w:val="none"/>
                <w:lang w:val="en-US" w:eastAsia="zh-CN" w:bidi="ar"/>
              </w:rPr>
              <w:t>试验</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曲霉菌抗原</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梅毒两项（</w:t>
            </w:r>
            <w:r>
              <w:rPr>
                <w:rStyle w:val="129"/>
                <w:rFonts w:eastAsia="宋体"/>
                <w:highlight w:val="none"/>
                <w:lang w:val="en-US" w:eastAsia="zh-CN" w:bidi="ar"/>
              </w:rPr>
              <w:t>TRUST</w:t>
            </w:r>
            <w:r>
              <w:rPr>
                <w:rFonts w:hint="eastAsia" w:ascii="宋体" w:hAnsi="宋体" w:eastAsia="宋体" w:cs="宋体"/>
                <w:i w:val="0"/>
                <w:iCs w:val="0"/>
                <w:color w:val="000000"/>
                <w:kern w:val="0"/>
                <w:sz w:val="20"/>
                <w:szCs w:val="20"/>
                <w:highlight w:val="none"/>
                <w:u w:val="none"/>
                <w:lang w:val="en-US" w:eastAsia="zh-CN" w:bidi="ar"/>
              </w:rPr>
              <w:t>定性</w:t>
            </w:r>
            <w:r>
              <w:rPr>
                <w:rStyle w:val="129"/>
                <w:rFonts w:eastAsia="宋体"/>
                <w:highlight w:val="none"/>
                <w:lang w:val="en-US" w:eastAsia="zh-CN" w:bidi="ar"/>
              </w:rPr>
              <w:t>+TPPA</w:t>
            </w:r>
            <w:r>
              <w:rPr>
                <w:rFonts w:hint="eastAsia" w:ascii="宋体" w:hAnsi="宋体" w:eastAsia="宋体" w:cs="宋体"/>
                <w:i w:val="0"/>
                <w:iCs w:val="0"/>
                <w:color w:val="000000"/>
                <w:kern w:val="0"/>
                <w:sz w:val="20"/>
                <w:szCs w:val="20"/>
                <w:highlight w:val="none"/>
                <w:u w:val="none"/>
                <w:lang w:val="en-US" w:eastAsia="zh-CN" w:bidi="ar"/>
              </w:rPr>
              <w:t>定性）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地中海贫血基因分型</w:t>
            </w:r>
            <w:r>
              <w:rPr>
                <w:rStyle w:val="129"/>
                <w:rFonts w:eastAsia="宋体"/>
                <w:highlight w:val="none"/>
                <w:lang w:val="en-US" w:eastAsia="zh-CN" w:bidi="ar"/>
              </w:rPr>
              <w:t>(20</w:t>
            </w:r>
            <w:r>
              <w:rPr>
                <w:rFonts w:hint="eastAsia" w:ascii="宋体" w:hAnsi="宋体" w:eastAsia="宋体" w:cs="宋体"/>
                <w:i w:val="0"/>
                <w:iCs w:val="0"/>
                <w:color w:val="000000"/>
                <w:kern w:val="0"/>
                <w:sz w:val="20"/>
                <w:szCs w:val="20"/>
                <w:highlight w:val="none"/>
                <w:u w:val="none"/>
                <w:lang w:val="en-US" w:eastAsia="zh-CN" w:bidi="ar"/>
              </w:rPr>
              <w:t>个位点</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风湿</w:t>
            </w:r>
            <w:r>
              <w:rPr>
                <w:rStyle w:val="129"/>
                <w:rFonts w:eastAsia="宋体"/>
                <w:highlight w:val="none"/>
                <w:lang w:val="en-US" w:eastAsia="zh-CN" w:bidi="ar"/>
              </w:rPr>
              <w:t>4-1(ANA</w:t>
            </w:r>
            <w:r>
              <w:rPr>
                <w:rFonts w:hint="default" w:ascii="Arial" w:hAnsi="Arial" w:eastAsia="宋体" w:cs="Arial"/>
                <w:i w:val="0"/>
                <w:iCs w:val="0"/>
                <w:color w:val="FF0000"/>
                <w:kern w:val="0"/>
                <w:sz w:val="20"/>
                <w:szCs w:val="20"/>
                <w:highlight w:val="none"/>
                <w:u w:val="none"/>
                <w:lang w:val="en-US" w:eastAsia="zh-CN" w:bidi="ar"/>
              </w:rPr>
              <w:t>,CCP</w:t>
            </w:r>
            <w:r>
              <w:rPr>
                <w:rStyle w:val="129"/>
                <w:rFonts w:eastAsia="宋体"/>
                <w:highlight w:val="none"/>
                <w:lang w:val="en-US" w:eastAsia="zh-CN" w:bidi="ar"/>
              </w:rPr>
              <w:t>,AKA)</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血管炎二项</w:t>
            </w:r>
            <w:r>
              <w:rPr>
                <w:rStyle w:val="129"/>
                <w:rFonts w:eastAsia="宋体"/>
                <w:highlight w:val="none"/>
                <w:lang w:val="en-US" w:eastAsia="zh-CN" w:bidi="ar"/>
              </w:rPr>
              <w:t>(MPO-Ab</w:t>
            </w:r>
            <w:r>
              <w:rPr>
                <w:rFonts w:hint="eastAsia" w:ascii="宋体" w:hAnsi="宋体" w:eastAsia="宋体" w:cs="宋体"/>
                <w:i w:val="0"/>
                <w:iCs w:val="0"/>
                <w:color w:val="000000"/>
                <w:kern w:val="0"/>
                <w:sz w:val="20"/>
                <w:szCs w:val="20"/>
                <w:highlight w:val="none"/>
                <w:u w:val="none"/>
                <w:lang w:val="en-US" w:eastAsia="zh-CN" w:bidi="ar"/>
              </w:rPr>
              <w:t>，</w:t>
            </w:r>
            <w:r>
              <w:rPr>
                <w:rStyle w:val="129"/>
                <w:rFonts w:eastAsia="宋体"/>
                <w:highlight w:val="none"/>
                <w:lang w:val="en-US" w:eastAsia="zh-CN" w:bidi="ar"/>
              </w:rPr>
              <w:t>PR3-AB)</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ANCA</w:t>
            </w:r>
            <w:r>
              <w:rPr>
                <w:rFonts w:hint="eastAsia" w:ascii="宋体" w:hAnsi="宋体" w:eastAsia="宋体" w:cs="宋体"/>
                <w:i w:val="0"/>
                <w:iCs w:val="0"/>
                <w:color w:val="000000"/>
                <w:kern w:val="0"/>
                <w:sz w:val="20"/>
                <w:szCs w:val="20"/>
                <w:highlight w:val="none"/>
                <w:u w:val="none"/>
                <w:lang w:val="en-US" w:eastAsia="zh-CN" w:bidi="ar"/>
              </w:rPr>
              <w:t>二项</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免疫</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胰岛素样生长因子</w:t>
            </w:r>
            <w:r>
              <w:rPr>
                <w:rStyle w:val="129"/>
                <w:rFonts w:eastAsia="宋体"/>
                <w:highlight w:val="none"/>
                <w:lang w:val="en-US" w:eastAsia="zh-CN" w:bidi="ar"/>
              </w:rPr>
              <w:t xml:space="preserve"> 1(IGF-1)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胰岛素样生长因子结合蛋白</w:t>
            </w:r>
            <w:r>
              <w:rPr>
                <w:rStyle w:val="129"/>
                <w:rFonts w:eastAsia="宋体"/>
                <w:highlight w:val="none"/>
                <w:lang w:val="en-US" w:eastAsia="zh-CN" w:bidi="ar"/>
              </w:rPr>
              <w:t>-3(IGFBP-3)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结核感染</w:t>
            </w:r>
            <w:r>
              <w:rPr>
                <w:rStyle w:val="129"/>
                <w:rFonts w:eastAsia="宋体"/>
                <w:highlight w:val="none"/>
                <w:lang w:val="en-US" w:eastAsia="zh-CN" w:bidi="ar"/>
              </w:rPr>
              <w:t>T</w:t>
            </w:r>
            <w:r>
              <w:rPr>
                <w:rFonts w:hint="eastAsia" w:ascii="宋体" w:hAnsi="宋体" w:eastAsia="宋体" w:cs="宋体"/>
                <w:i w:val="0"/>
                <w:iCs w:val="0"/>
                <w:color w:val="000000"/>
                <w:kern w:val="0"/>
                <w:sz w:val="20"/>
                <w:szCs w:val="20"/>
                <w:highlight w:val="none"/>
                <w:u w:val="none"/>
                <w:lang w:val="en-US" w:eastAsia="zh-CN" w:bidi="ar"/>
              </w:rPr>
              <w:t>细胞</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抗核抗体</w:t>
            </w:r>
            <w:r>
              <w:rPr>
                <w:rStyle w:val="129"/>
                <w:rFonts w:eastAsia="宋体"/>
                <w:highlight w:val="none"/>
                <w:lang w:val="en-US" w:eastAsia="zh-CN" w:bidi="ar"/>
              </w:rPr>
              <w:t>(ANA)</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副流感病毒</w:t>
            </w:r>
            <w:r>
              <w:rPr>
                <w:rStyle w:val="129"/>
                <w:rFonts w:eastAsia="宋体"/>
                <w:highlight w:val="none"/>
                <w:lang w:val="en-US" w:eastAsia="zh-CN" w:bidi="ar"/>
              </w:rPr>
              <w:t>1/2/3</w:t>
            </w:r>
            <w:r>
              <w:rPr>
                <w:rFonts w:hint="eastAsia" w:ascii="宋体" w:hAnsi="宋体" w:eastAsia="宋体" w:cs="宋体"/>
                <w:i w:val="0"/>
                <w:iCs w:val="0"/>
                <w:color w:val="000000"/>
                <w:kern w:val="0"/>
                <w:sz w:val="20"/>
                <w:szCs w:val="20"/>
                <w:highlight w:val="none"/>
                <w:u w:val="none"/>
                <w:lang w:val="en-US" w:eastAsia="zh-CN" w:bidi="ar"/>
              </w:rPr>
              <w:t>型</w:t>
            </w:r>
            <w:r>
              <w:rPr>
                <w:rStyle w:val="129"/>
                <w:rFonts w:eastAsia="宋体"/>
                <w:highlight w:val="none"/>
                <w:lang w:val="en-US" w:eastAsia="zh-CN" w:bidi="ar"/>
              </w:rPr>
              <w:t>IgA</w:t>
            </w:r>
            <w:r>
              <w:rPr>
                <w:rFonts w:hint="eastAsia" w:ascii="宋体" w:hAnsi="宋体" w:eastAsia="宋体" w:cs="宋体"/>
                <w:i w:val="0"/>
                <w:iCs w:val="0"/>
                <w:color w:val="000000"/>
                <w:kern w:val="0"/>
                <w:sz w:val="20"/>
                <w:szCs w:val="20"/>
                <w:highlight w:val="none"/>
                <w:u w:val="none"/>
                <w:lang w:val="en-US" w:eastAsia="zh-CN" w:bidi="ar"/>
              </w:rPr>
              <w:t>抗体</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血清蛋白电泳</w:t>
            </w:r>
            <w:r>
              <w:rPr>
                <w:rStyle w:val="129"/>
                <w:rFonts w:eastAsia="宋体"/>
                <w:highlight w:val="none"/>
                <w:lang w:val="en-US" w:eastAsia="zh-CN" w:bidi="ar"/>
              </w:rPr>
              <w:t>(SPE)</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血清免疫固定电泳</w:t>
            </w:r>
            <w:r>
              <w:rPr>
                <w:rStyle w:val="129"/>
                <w:rFonts w:eastAsia="宋体"/>
                <w:highlight w:val="none"/>
                <w:lang w:val="en-US" w:eastAsia="zh-CN" w:bidi="ar"/>
              </w:rPr>
              <w:t>(IF)</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血清游离轻链组合</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血清轻链组合</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结核杆菌</w:t>
            </w:r>
            <w:r>
              <w:rPr>
                <w:rStyle w:val="129"/>
                <w:rFonts w:eastAsia="宋体"/>
                <w:highlight w:val="none"/>
                <w:lang w:val="en-US" w:eastAsia="zh-CN" w:bidi="ar"/>
              </w:rPr>
              <w:t>(TB-DNA)</w:t>
            </w:r>
            <w:r>
              <w:rPr>
                <w:rFonts w:hint="eastAsia" w:ascii="宋体" w:hAnsi="宋体" w:eastAsia="宋体" w:cs="宋体"/>
                <w:i w:val="0"/>
                <w:iCs w:val="0"/>
                <w:color w:val="000000"/>
                <w:kern w:val="0"/>
                <w:sz w:val="20"/>
                <w:szCs w:val="20"/>
                <w:highlight w:val="none"/>
                <w:u w:val="none"/>
                <w:lang w:val="en-US" w:eastAsia="zh-CN" w:bidi="ar"/>
              </w:rPr>
              <w:t>定性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包虫抗体</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军团杆菌</w:t>
            </w:r>
            <w:r>
              <w:rPr>
                <w:rStyle w:val="129"/>
                <w:rFonts w:eastAsia="宋体"/>
                <w:highlight w:val="none"/>
                <w:lang w:val="en-US" w:eastAsia="zh-CN" w:bidi="ar"/>
              </w:rPr>
              <w:t>-IgM</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(Leg-IgM)</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血型单特异性抗体鉴定</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丙型肝炎抗体二项</w:t>
            </w:r>
            <w:r>
              <w:rPr>
                <w:rStyle w:val="129"/>
                <w:rFonts w:eastAsia="宋体"/>
                <w:highlight w:val="none"/>
                <w:lang w:val="en-US" w:eastAsia="zh-CN" w:bidi="ar"/>
              </w:rPr>
              <w:t>(HCV-IgM,HCV-IgG)</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丙型肝炎病毒</w:t>
            </w:r>
            <w:r>
              <w:rPr>
                <w:rStyle w:val="129"/>
                <w:rFonts w:eastAsia="宋体"/>
                <w:highlight w:val="none"/>
                <w:lang w:val="en-US" w:eastAsia="zh-CN" w:bidi="ar"/>
              </w:rPr>
              <w:t>(HCV-RNA)</w:t>
            </w:r>
            <w:r>
              <w:rPr>
                <w:rFonts w:hint="eastAsia" w:ascii="宋体" w:hAnsi="宋体" w:eastAsia="宋体" w:cs="宋体"/>
                <w:i w:val="0"/>
                <w:iCs w:val="0"/>
                <w:color w:val="000000"/>
                <w:kern w:val="0"/>
                <w:sz w:val="20"/>
                <w:szCs w:val="20"/>
                <w:highlight w:val="none"/>
                <w:u w:val="none"/>
                <w:lang w:val="en-US" w:eastAsia="zh-CN" w:bidi="ar"/>
              </w:rPr>
              <w:t>定量</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促肾上腺皮质激素</w:t>
            </w:r>
            <w:r>
              <w:rPr>
                <w:rStyle w:val="129"/>
                <w:rFonts w:eastAsia="宋体"/>
                <w:highlight w:val="none"/>
                <w:lang w:val="en-US" w:eastAsia="zh-CN" w:bidi="ar"/>
              </w:rPr>
              <w:t>(ACTH)</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自身免疫性肝病抗体四项</w:t>
            </w:r>
            <w:r>
              <w:rPr>
                <w:rStyle w:val="129"/>
                <w:rFonts w:eastAsia="宋体"/>
                <w:highlight w:val="none"/>
                <w:lang w:val="en-US" w:eastAsia="zh-CN" w:bidi="ar"/>
              </w:rPr>
              <w:t>(AMA-M2,SLA/LP,LC-1,LKM-1)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产前</w:t>
            </w:r>
            <w:r>
              <w:rPr>
                <w:rStyle w:val="129"/>
                <w:rFonts w:eastAsia="宋体"/>
                <w:highlight w:val="none"/>
                <w:lang w:val="en-US" w:eastAsia="zh-CN" w:bidi="ar"/>
              </w:rPr>
              <w:t>IgG</w:t>
            </w:r>
            <w:r>
              <w:rPr>
                <w:rFonts w:hint="eastAsia" w:ascii="宋体" w:hAnsi="宋体" w:eastAsia="宋体" w:cs="宋体"/>
                <w:i w:val="0"/>
                <w:iCs w:val="0"/>
                <w:color w:val="000000"/>
                <w:kern w:val="0"/>
                <w:sz w:val="20"/>
                <w:szCs w:val="20"/>
                <w:highlight w:val="none"/>
                <w:u w:val="none"/>
                <w:lang w:val="en-US" w:eastAsia="zh-CN" w:bidi="ar"/>
              </w:rPr>
              <w:t>抗</w:t>
            </w:r>
            <w:r>
              <w:rPr>
                <w:rStyle w:val="129"/>
                <w:rFonts w:eastAsia="宋体"/>
                <w:highlight w:val="none"/>
                <w:lang w:val="en-US" w:eastAsia="zh-CN" w:bidi="ar"/>
              </w:rPr>
              <w:t>A</w:t>
            </w:r>
            <w:r>
              <w:rPr>
                <w:rFonts w:hint="eastAsia" w:ascii="宋体" w:hAnsi="宋体" w:eastAsia="宋体" w:cs="宋体"/>
                <w:i w:val="0"/>
                <w:iCs w:val="0"/>
                <w:color w:val="000000"/>
                <w:kern w:val="0"/>
                <w:sz w:val="20"/>
                <w:szCs w:val="20"/>
                <w:highlight w:val="none"/>
                <w:u w:val="none"/>
                <w:lang w:val="en-US" w:eastAsia="zh-CN" w:bidi="ar"/>
              </w:rPr>
              <w:t>、抗</w:t>
            </w:r>
            <w:r>
              <w:rPr>
                <w:rStyle w:val="129"/>
                <w:rFonts w:eastAsia="宋体"/>
                <w:highlight w:val="none"/>
                <w:lang w:val="en-US" w:eastAsia="zh-CN" w:bidi="ar"/>
              </w:rPr>
              <w:t>B-</w:t>
            </w:r>
            <w:r>
              <w:rPr>
                <w:rFonts w:hint="eastAsia" w:ascii="宋体" w:hAnsi="宋体" w:eastAsia="宋体" w:cs="宋体"/>
                <w:i w:val="0"/>
                <w:iCs w:val="0"/>
                <w:color w:val="000000"/>
                <w:kern w:val="0"/>
                <w:sz w:val="20"/>
                <w:szCs w:val="20"/>
                <w:highlight w:val="none"/>
                <w:u w:val="none"/>
                <w:lang w:val="en-US" w:eastAsia="zh-CN" w:bidi="ar"/>
              </w:rPr>
              <w:t>效价测定</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生长激素激发试验</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戊型肝炎抗体二项</w:t>
            </w:r>
            <w:r>
              <w:rPr>
                <w:rStyle w:val="129"/>
                <w:rFonts w:eastAsia="宋体"/>
                <w:highlight w:val="none"/>
                <w:lang w:val="en-US" w:eastAsia="zh-CN" w:bidi="ar"/>
              </w:rPr>
              <w:t>(HEV-IgM,HEV-IgG)</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尿蛋白电泳</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不规则抗体筛选</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抗组蛋白抗体</w:t>
            </w:r>
            <w:r>
              <w:rPr>
                <w:rStyle w:val="129"/>
                <w:rFonts w:eastAsia="宋体"/>
                <w:highlight w:val="none"/>
                <w:lang w:val="en-US" w:eastAsia="zh-CN" w:bidi="ar"/>
              </w:rPr>
              <w:t>(AHA)</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抗肾小球基底膜抗体</w:t>
            </w:r>
            <w:r>
              <w:rPr>
                <w:rStyle w:val="129"/>
                <w:rFonts w:eastAsia="宋体"/>
                <w:highlight w:val="none"/>
                <w:lang w:val="en-US" w:eastAsia="zh-CN" w:bidi="ar"/>
              </w:rPr>
              <w:t>(GBM)</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腺病毒</w:t>
            </w:r>
            <w:r>
              <w:rPr>
                <w:rStyle w:val="129"/>
                <w:rFonts w:eastAsia="宋体"/>
                <w:highlight w:val="none"/>
                <w:lang w:val="en-US" w:eastAsia="zh-CN" w:bidi="ar"/>
              </w:rPr>
              <w:t>IgM</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(ADV-IgM)</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呼吸道合胞病毒抗体</w:t>
            </w:r>
            <w:r>
              <w:rPr>
                <w:rStyle w:val="129"/>
                <w:rFonts w:eastAsia="宋体"/>
                <w:highlight w:val="none"/>
                <w:lang w:val="en-US" w:eastAsia="zh-CN" w:bidi="ar"/>
              </w:rPr>
              <w:t>IgG(RSV-IgG)</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儿茶酚胺</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血浆</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流感病毒</w:t>
            </w:r>
            <w:r>
              <w:rPr>
                <w:rStyle w:val="129"/>
                <w:rFonts w:eastAsia="宋体"/>
                <w:highlight w:val="none"/>
                <w:lang w:val="en-US" w:eastAsia="zh-CN" w:bidi="ar"/>
              </w:rPr>
              <w:t>A</w:t>
            </w:r>
            <w:r>
              <w:rPr>
                <w:rFonts w:hint="eastAsia" w:ascii="宋体" w:hAnsi="宋体" w:eastAsia="宋体" w:cs="宋体"/>
                <w:i w:val="0"/>
                <w:iCs w:val="0"/>
                <w:color w:val="000000"/>
                <w:kern w:val="0"/>
                <w:sz w:val="20"/>
                <w:szCs w:val="20"/>
                <w:highlight w:val="none"/>
                <w:u w:val="none"/>
                <w:lang w:val="en-US" w:eastAsia="zh-CN" w:bidi="ar"/>
              </w:rPr>
              <w:t>型</w:t>
            </w:r>
            <w:r>
              <w:rPr>
                <w:rStyle w:val="129"/>
                <w:rFonts w:eastAsia="宋体"/>
                <w:highlight w:val="none"/>
                <w:lang w:val="en-US" w:eastAsia="zh-CN" w:bidi="ar"/>
              </w:rPr>
              <w:t>IgM</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(InA-IgM)</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流感病毒</w:t>
            </w:r>
            <w:r>
              <w:rPr>
                <w:rStyle w:val="129"/>
                <w:rFonts w:eastAsia="宋体"/>
                <w:highlight w:val="none"/>
                <w:lang w:val="en-US" w:eastAsia="zh-CN" w:bidi="ar"/>
              </w:rPr>
              <w:t>A</w:t>
            </w:r>
            <w:r>
              <w:rPr>
                <w:rFonts w:hint="eastAsia" w:ascii="宋体" w:hAnsi="宋体" w:eastAsia="宋体" w:cs="宋体"/>
                <w:i w:val="0"/>
                <w:iCs w:val="0"/>
                <w:color w:val="000000"/>
                <w:kern w:val="0"/>
                <w:sz w:val="20"/>
                <w:szCs w:val="20"/>
                <w:highlight w:val="none"/>
                <w:u w:val="none"/>
                <w:lang w:val="en-US" w:eastAsia="zh-CN" w:bidi="ar"/>
              </w:rPr>
              <w:t>型</w:t>
            </w:r>
            <w:r>
              <w:rPr>
                <w:rStyle w:val="129"/>
                <w:rFonts w:eastAsia="宋体"/>
                <w:highlight w:val="none"/>
                <w:lang w:val="en-US" w:eastAsia="zh-CN" w:bidi="ar"/>
              </w:rPr>
              <w:t>IgG</w:t>
            </w:r>
            <w:r>
              <w:rPr>
                <w:rFonts w:hint="eastAsia" w:ascii="宋体" w:hAnsi="宋体" w:eastAsia="宋体" w:cs="宋体"/>
                <w:i w:val="0"/>
                <w:iCs w:val="0"/>
                <w:color w:val="000000"/>
                <w:kern w:val="0"/>
                <w:sz w:val="20"/>
                <w:szCs w:val="20"/>
                <w:highlight w:val="none"/>
                <w:u w:val="none"/>
                <w:lang w:val="en-US" w:eastAsia="zh-CN" w:bidi="ar"/>
              </w:rPr>
              <w:t>抗体</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流感病毒</w:t>
            </w:r>
            <w:r>
              <w:rPr>
                <w:rStyle w:val="129"/>
                <w:rFonts w:eastAsia="宋体"/>
                <w:highlight w:val="none"/>
                <w:lang w:val="en-US" w:eastAsia="zh-CN" w:bidi="ar"/>
              </w:rPr>
              <w:t>B</w:t>
            </w:r>
            <w:r>
              <w:rPr>
                <w:rFonts w:hint="eastAsia" w:ascii="宋体" w:hAnsi="宋体" w:eastAsia="宋体" w:cs="宋体"/>
                <w:i w:val="0"/>
                <w:iCs w:val="0"/>
                <w:color w:val="000000"/>
                <w:kern w:val="0"/>
                <w:sz w:val="20"/>
                <w:szCs w:val="20"/>
                <w:highlight w:val="none"/>
                <w:u w:val="none"/>
                <w:lang w:val="en-US" w:eastAsia="zh-CN" w:bidi="ar"/>
              </w:rPr>
              <w:t>型</w:t>
            </w:r>
            <w:r>
              <w:rPr>
                <w:rStyle w:val="129"/>
                <w:rFonts w:eastAsia="宋体"/>
                <w:highlight w:val="none"/>
                <w:lang w:val="en-US" w:eastAsia="zh-CN" w:bidi="ar"/>
              </w:rPr>
              <w:t>IgG</w:t>
            </w:r>
            <w:r>
              <w:rPr>
                <w:rFonts w:hint="eastAsia" w:ascii="宋体" w:hAnsi="宋体" w:eastAsia="宋体" w:cs="宋体"/>
                <w:i w:val="0"/>
                <w:iCs w:val="0"/>
                <w:color w:val="000000"/>
                <w:kern w:val="0"/>
                <w:sz w:val="20"/>
                <w:szCs w:val="20"/>
                <w:highlight w:val="none"/>
                <w:u w:val="none"/>
                <w:lang w:val="en-US" w:eastAsia="zh-CN" w:bidi="ar"/>
              </w:rPr>
              <w:t>抗体</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骨髓涂片</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红斑狼疮鉴别三项（</w:t>
            </w:r>
            <w:r>
              <w:rPr>
                <w:rStyle w:val="129"/>
                <w:rFonts w:eastAsia="宋体"/>
                <w:highlight w:val="none"/>
                <w:lang w:val="en-US" w:eastAsia="zh-CN" w:bidi="ar"/>
              </w:rPr>
              <w:t>ENA,</w:t>
            </w:r>
            <w:r>
              <w:rPr>
                <w:rFonts w:hint="eastAsia" w:ascii="宋体" w:hAnsi="宋体" w:eastAsia="宋体" w:cs="宋体"/>
                <w:i w:val="0"/>
                <w:iCs w:val="0"/>
                <w:color w:val="000000"/>
                <w:kern w:val="0"/>
                <w:sz w:val="20"/>
                <w:szCs w:val="20"/>
                <w:highlight w:val="none"/>
                <w:u w:val="none"/>
                <w:lang w:val="en-US" w:eastAsia="zh-CN" w:bidi="ar"/>
              </w:rPr>
              <w:t>抗</w:t>
            </w:r>
            <w:r>
              <w:rPr>
                <w:rStyle w:val="129"/>
                <w:rFonts w:eastAsia="宋体"/>
                <w:highlight w:val="none"/>
                <w:lang w:val="en-US" w:eastAsia="zh-CN" w:bidi="ar"/>
              </w:rPr>
              <w:t>DsDNA,</w:t>
            </w:r>
            <w:r>
              <w:rPr>
                <w:rFonts w:hint="eastAsia" w:ascii="宋体" w:hAnsi="宋体" w:eastAsia="宋体" w:cs="宋体"/>
                <w:i w:val="0"/>
                <w:iCs w:val="0"/>
                <w:color w:val="000000"/>
                <w:kern w:val="0"/>
                <w:sz w:val="20"/>
                <w:szCs w:val="20"/>
                <w:highlight w:val="none"/>
                <w:u w:val="none"/>
                <w:lang w:val="en-US" w:eastAsia="zh-CN" w:bidi="ar"/>
              </w:rPr>
              <w:t>组蛋白）</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人类白细胞分化抗原</w:t>
            </w:r>
            <w:r>
              <w:rPr>
                <w:rStyle w:val="129"/>
                <w:rFonts w:eastAsia="宋体"/>
                <w:highlight w:val="none"/>
                <w:lang w:val="en-US" w:eastAsia="zh-CN" w:bidi="ar"/>
              </w:rPr>
              <w:t>B27(HLA-B27)</w:t>
            </w:r>
            <w:r>
              <w:rPr>
                <w:rFonts w:hint="eastAsia" w:ascii="宋体" w:hAnsi="宋体" w:eastAsia="宋体" w:cs="宋体"/>
                <w:i w:val="0"/>
                <w:iCs w:val="0"/>
                <w:color w:val="000000"/>
                <w:kern w:val="0"/>
                <w:sz w:val="20"/>
                <w:szCs w:val="20"/>
                <w:highlight w:val="none"/>
                <w:u w:val="none"/>
                <w:lang w:val="en-US" w:eastAsia="zh-CN" w:bidi="ar"/>
              </w:rPr>
              <w:t>筛查</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高灵敏</w:t>
            </w:r>
            <w:r>
              <w:rPr>
                <w:rStyle w:val="129"/>
                <w:rFonts w:eastAsia="宋体"/>
                <w:highlight w:val="none"/>
                <w:lang w:val="en-US" w:eastAsia="zh-CN" w:bidi="ar"/>
              </w:rPr>
              <w:t>HCV RNA</w:t>
            </w:r>
            <w:r>
              <w:rPr>
                <w:rFonts w:hint="eastAsia" w:ascii="宋体" w:hAnsi="宋体" w:eastAsia="宋体" w:cs="宋体"/>
                <w:i w:val="0"/>
                <w:iCs w:val="0"/>
                <w:color w:val="000000"/>
                <w:kern w:val="0"/>
                <w:sz w:val="20"/>
                <w:szCs w:val="20"/>
                <w:highlight w:val="none"/>
                <w:u w:val="none"/>
                <w:lang w:val="en-US" w:eastAsia="zh-CN" w:bidi="ar"/>
              </w:rPr>
              <w:t>检测</w:t>
            </w:r>
            <w:r>
              <w:rPr>
                <w:rStyle w:val="129"/>
                <w:rFonts w:eastAsia="宋体"/>
                <w:highlight w:val="none"/>
                <w:lang w:val="en-US" w:eastAsia="zh-CN" w:bidi="ar"/>
              </w:rPr>
              <w:t>(COBAS AmpliPrep/COBAS TaqMan)</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Hb</w:t>
            </w:r>
            <w:r>
              <w:rPr>
                <w:rFonts w:hint="eastAsia" w:ascii="宋体" w:hAnsi="宋体" w:eastAsia="宋体" w:cs="宋体"/>
                <w:i w:val="0"/>
                <w:iCs w:val="0"/>
                <w:color w:val="000000"/>
                <w:kern w:val="0"/>
                <w:sz w:val="20"/>
                <w:szCs w:val="20"/>
                <w:highlight w:val="none"/>
                <w:u w:val="none"/>
                <w:lang w:val="en-US" w:eastAsia="zh-CN" w:bidi="ar"/>
              </w:rPr>
              <w:t>成份分析</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碱性血红蛋白电泳，</w:t>
            </w:r>
            <w:r>
              <w:rPr>
                <w:rStyle w:val="129"/>
                <w:rFonts w:eastAsia="宋体"/>
                <w:highlight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个月外</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外周血染色体核型分析</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甲型肝炎病毒抗体二项</w:t>
            </w:r>
            <w:r>
              <w:rPr>
                <w:rStyle w:val="129"/>
                <w:rFonts w:eastAsia="宋体"/>
                <w:highlight w:val="none"/>
                <w:lang w:val="en-US" w:eastAsia="zh-CN" w:bidi="ar"/>
              </w:rPr>
              <w:t>(HAV-IgM,HAV-IgG)</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ABO-Rh</w:t>
            </w:r>
            <w:r>
              <w:rPr>
                <w:rFonts w:hint="eastAsia" w:ascii="宋体" w:hAnsi="宋体" w:eastAsia="宋体" w:cs="宋体"/>
                <w:i w:val="0"/>
                <w:iCs w:val="0"/>
                <w:color w:val="000000"/>
                <w:kern w:val="0"/>
                <w:sz w:val="20"/>
                <w:szCs w:val="20"/>
                <w:highlight w:val="none"/>
                <w:u w:val="none"/>
                <w:lang w:val="en-US" w:eastAsia="zh-CN" w:bidi="ar"/>
              </w:rPr>
              <w:t>新生儿溶血病检测</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肺炎支原体抗体二项</w:t>
            </w:r>
            <w:r>
              <w:rPr>
                <w:rStyle w:val="129"/>
                <w:rFonts w:eastAsia="宋体"/>
                <w:highlight w:val="none"/>
                <w:lang w:val="en-US" w:eastAsia="zh-CN" w:bidi="ar"/>
              </w:rPr>
              <w:t>(MP-IgM,IgG)</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肺炎衣原体抗体二项</w:t>
            </w:r>
            <w:r>
              <w:rPr>
                <w:rStyle w:val="129"/>
                <w:rFonts w:eastAsia="宋体"/>
                <w:highlight w:val="none"/>
                <w:lang w:val="en-US" w:eastAsia="zh-CN" w:bidi="ar"/>
              </w:rPr>
              <w:t>(CP-IgM,IgG)</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糖尿病自身抗体谱</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骨源性碱性磷酸酶</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肺炎四项</w:t>
            </w:r>
            <w:r>
              <w:rPr>
                <w:rStyle w:val="129"/>
                <w:rFonts w:eastAsia="宋体"/>
                <w:highlight w:val="none"/>
                <w:lang w:val="en-US" w:eastAsia="zh-CN" w:bidi="ar"/>
              </w:rPr>
              <w:t>(MP-IgM/IgG,CP-IgM/IgG)</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抗甲状腺微粒体抗体</w:t>
            </w:r>
            <w:r>
              <w:rPr>
                <w:rStyle w:val="129"/>
                <w:rFonts w:eastAsia="宋体"/>
                <w:highlight w:val="none"/>
                <w:lang w:val="en-US" w:eastAsia="zh-CN" w:bidi="ar"/>
              </w:rPr>
              <w:t>(TMAb)</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解脲支原体</w:t>
            </w:r>
            <w:r>
              <w:rPr>
                <w:rStyle w:val="129"/>
                <w:rFonts w:eastAsia="宋体"/>
                <w:highlight w:val="none"/>
                <w:lang w:val="en-US" w:eastAsia="zh-CN" w:bidi="ar"/>
              </w:rPr>
              <w:t>(UU-DNA)</w:t>
            </w:r>
            <w:r>
              <w:rPr>
                <w:rFonts w:hint="eastAsia" w:ascii="宋体" w:hAnsi="宋体" w:eastAsia="宋体" w:cs="宋体"/>
                <w:i w:val="0"/>
                <w:iCs w:val="0"/>
                <w:color w:val="000000"/>
                <w:kern w:val="0"/>
                <w:sz w:val="20"/>
                <w:szCs w:val="20"/>
                <w:highlight w:val="none"/>
                <w:u w:val="none"/>
                <w:lang w:val="en-US" w:eastAsia="zh-CN" w:bidi="ar"/>
              </w:rPr>
              <w:t>定性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高灵敏</w:t>
            </w:r>
            <w:r>
              <w:rPr>
                <w:rStyle w:val="129"/>
                <w:rFonts w:eastAsia="宋体"/>
                <w:highlight w:val="none"/>
                <w:lang w:val="en-US" w:eastAsia="zh-CN" w:bidi="ar"/>
              </w:rPr>
              <w:t>HBV DNA</w:t>
            </w:r>
            <w:r>
              <w:rPr>
                <w:rFonts w:hint="eastAsia" w:ascii="宋体" w:hAnsi="宋体" w:eastAsia="宋体" w:cs="宋体"/>
                <w:i w:val="0"/>
                <w:iCs w:val="0"/>
                <w:color w:val="000000"/>
                <w:kern w:val="0"/>
                <w:sz w:val="20"/>
                <w:szCs w:val="20"/>
                <w:highlight w:val="none"/>
                <w:u w:val="none"/>
                <w:lang w:val="en-US" w:eastAsia="zh-CN" w:bidi="ar"/>
              </w:rPr>
              <w:t>检测</w:t>
            </w:r>
            <w:r>
              <w:rPr>
                <w:rStyle w:val="129"/>
                <w:rFonts w:eastAsia="宋体"/>
                <w:highlight w:val="none"/>
                <w:lang w:val="en-US" w:eastAsia="zh-CN" w:bidi="ar"/>
              </w:rPr>
              <w:t>(COBAS AmpliPrep/COBAS TaqMan)</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17-</w:t>
            </w:r>
            <w:r>
              <w:rPr>
                <w:rFonts w:hint="eastAsia" w:ascii="宋体" w:hAnsi="宋体" w:eastAsia="宋体" w:cs="宋体"/>
                <w:i w:val="0"/>
                <w:iCs w:val="0"/>
                <w:color w:val="000000"/>
                <w:kern w:val="0"/>
                <w:sz w:val="20"/>
                <w:szCs w:val="20"/>
                <w:highlight w:val="none"/>
                <w:u w:val="none"/>
                <w:lang w:val="en-US" w:eastAsia="zh-CN" w:bidi="ar"/>
              </w:rPr>
              <w:t>羟皮质类固醇</w:t>
            </w:r>
            <w:r>
              <w:rPr>
                <w:rStyle w:val="129"/>
                <w:rFonts w:eastAsia="宋体"/>
                <w:highlight w:val="none"/>
                <w:lang w:val="en-US" w:eastAsia="zh-CN" w:bidi="ar"/>
              </w:rPr>
              <w:t>(17-OH),</w:t>
            </w:r>
            <w:r>
              <w:rPr>
                <w:rFonts w:hint="eastAsia" w:ascii="宋体" w:hAnsi="宋体" w:eastAsia="宋体" w:cs="宋体"/>
                <w:i w:val="0"/>
                <w:iCs w:val="0"/>
                <w:color w:val="000000"/>
                <w:kern w:val="0"/>
                <w:sz w:val="20"/>
                <w:szCs w:val="20"/>
                <w:highlight w:val="none"/>
                <w:u w:val="none"/>
                <w:lang w:val="en-US" w:eastAsia="zh-CN" w:bidi="ar"/>
              </w:rPr>
              <w:t>均相酶免法</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急慢性白血病</w:t>
            </w:r>
            <w:r>
              <w:rPr>
                <w:rStyle w:val="129"/>
                <w:rFonts w:eastAsia="宋体"/>
                <w:highlight w:val="none"/>
                <w:lang w:val="en-US" w:eastAsia="zh-CN" w:bidi="ar"/>
              </w:rPr>
              <w:t>/NHL/MDS</w:t>
            </w:r>
            <w:r>
              <w:rPr>
                <w:rFonts w:hint="eastAsia" w:ascii="宋体" w:hAnsi="宋体" w:eastAsia="宋体" w:cs="宋体"/>
                <w:i w:val="0"/>
                <w:iCs w:val="0"/>
                <w:color w:val="000000"/>
                <w:kern w:val="0"/>
                <w:sz w:val="20"/>
                <w:szCs w:val="20"/>
                <w:highlight w:val="none"/>
                <w:u w:val="none"/>
                <w:lang w:val="en-US" w:eastAsia="zh-CN" w:bidi="ar"/>
              </w:rPr>
              <w:t>全面</w:t>
            </w:r>
            <w:r>
              <w:rPr>
                <w:rStyle w:val="129"/>
                <w:rFonts w:eastAsia="宋体"/>
                <w:highlight w:val="none"/>
                <w:lang w:val="en-US" w:eastAsia="zh-CN" w:bidi="ar"/>
              </w:rPr>
              <w:t>CD</w:t>
            </w:r>
            <w:r>
              <w:rPr>
                <w:rFonts w:hint="eastAsia" w:ascii="宋体" w:hAnsi="宋体" w:eastAsia="宋体" w:cs="宋体"/>
                <w:i w:val="0"/>
                <w:iCs w:val="0"/>
                <w:color w:val="000000"/>
                <w:kern w:val="0"/>
                <w:sz w:val="20"/>
                <w:szCs w:val="20"/>
                <w:highlight w:val="none"/>
                <w:u w:val="none"/>
                <w:lang w:val="en-US" w:eastAsia="zh-CN" w:bidi="ar"/>
              </w:rPr>
              <w:t>系列检测</w:t>
            </w:r>
            <w:r>
              <w:rPr>
                <w:rStyle w:val="129"/>
                <w:rFonts w:eastAsia="宋体"/>
                <w:highlight w:val="none"/>
                <w:lang w:val="en-US" w:eastAsia="zh-CN" w:bidi="ar"/>
              </w:rPr>
              <w:t>(40 CD)</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w:t>
            </w:r>
            <w:r>
              <w:rPr>
                <w:rStyle w:val="129"/>
                <w:rFonts w:eastAsia="宋体"/>
                <w:highlight w:val="none"/>
                <w:lang w:val="en-US" w:eastAsia="zh-CN" w:bidi="ar"/>
              </w:rPr>
              <w:t>IgE</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17-</w:t>
            </w:r>
            <w:r>
              <w:rPr>
                <w:rFonts w:hint="eastAsia" w:ascii="宋体" w:hAnsi="宋体" w:eastAsia="宋体" w:cs="宋体"/>
                <w:i w:val="0"/>
                <w:iCs w:val="0"/>
                <w:color w:val="000000"/>
                <w:kern w:val="0"/>
                <w:sz w:val="20"/>
                <w:szCs w:val="20"/>
                <w:highlight w:val="none"/>
                <w:u w:val="none"/>
                <w:lang w:val="en-US" w:eastAsia="zh-CN" w:bidi="ar"/>
              </w:rPr>
              <w:t>酮类固醇</w:t>
            </w:r>
            <w:r>
              <w:rPr>
                <w:rStyle w:val="129"/>
                <w:rFonts w:eastAsia="宋体"/>
                <w:highlight w:val="none"/>
                <w:lang w:val="en-US" w:eastAsia="zh-CN" w:bidi="ar"/>
              </w:rPr>
              <w:t>(17-KS),</w:t>
            </w:r>
            <w:r>
              <w:rPr>
                <w:rFonts w:hint="eastAsia" w:ascii="宋体" w:hAnsi="宋体" w:eastAsia="宋体" w:cs="宋体"/>
                <w:i w:val="0"/>
                <w:iCs w:val="0"/>
                <w:color w:val="000000"/>
                <w:kern w:val="0"/>
                <w:sz w:val="20"/>
                <w:szCs w:val="20"/>
                <w:highlight w:val="none"/>
                <w:u w:val="none"/>
                <w:lang w:val="en-US" w:eastAsia="zh-CN" w:bidi="ar"/>
              </w:rPr>
              <w:t>均相酶免法</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性病二项</w:t>
            </w:r>
            <w:r>
              <w:rPr>
                <w:rStyle w:val="129"/>
                <w:rFonts w:eastAsia="宋体"/>
                <w:highlight w:val="none"/>
                <w:lang w:val="en-US" w:eastAsia="zh-CN" w:bidi="ar"/>
              </w:rPr>
              <w:t>(CT+UU)</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外周血</w:t>
            </w:r>
            <w:r>
              <w:rPr>
                <w:rStyle w:val="129"/>
                <w:rFonts w:eastAsia="宋体"/>
                <w:highlight w:val="none"/>
                <w:lang w:val="en-US" w:eastAsia="zh-CN" w:bidi="ar"/>
              </w:rPr>
              <w:t>T</w:t>
            </w:r>
            <w:r>
              <w:rPr>
                <w:rFonts w:hint="eastAsia" w:ascii="宋体" w:hAnsi="宋体" w:eastAsia="宋体" w:cs="宋体"/>
                <w:i w:val="0"/>
                <w:iCs w:val="0"/>
                <w:color w:val="000000"/>
                <w:kern w:val="0"/>
                <w:sz w:val="20"/>
                <w:szCs w:val="20"/>
                <w:highlight w:val="none"/>
                <w:u w:val="none"/>
                <w:lang w:val="en-US" w:eastAsia="zh-CN" w:bidi="ar"/>
              </w:rPr>
              <w:t>淋巴细胞亚群</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性病三项</w:t>
            </w:r>
            <w:r>
              <w:rPr>
                <w:rStyle w:val="129"/>
                <w:rFonts w:eastAsia="宋体"/>
                <w:highlight w:val="none"/>
                <w:lang w:val="en-US" w:eastAsia="zh-CN" w:bidi="ar"/>
              </w:rPr>
              <w:t>(NG</w:t>
            </w:r>
            <w:r>
              <w:rPr>
                <w:rFonts w:hint="eastAsia" w:ascii="宋体" w:hAnsi="宋体" w:eastAsia="宋体" w:cs="宋体"/>
                <w:i w:val="0"/>
                <w:iCs w:val="0"/>
                <w:color w:val="000000"/>
                <w:kern w:val="0"/>
                <w:sz w:val="20"/>
                <w:szCs w:val="20"/>
                <w:highlight w:val="none"/>
                <w:u w:val="none"/>
                <w:lang w:val="en-US" w:eastAsia="zh-CN" w:bidi="ar"/>
              </w:rPr>
              <w:t>、</w:t>
            </w:r>
            <w:r>
              <w:rPr>
                <w:rStyle w:val="129"/>
                <w:rFonts w:eastAsia="宋体"/>
                <w:highlight w:val="none"/>
                <w:lang w:val="en-US" w:eastAsia="zh-CN" w:bidi="ar"/>
              </w:rPr>
              <w:t>CT</w:t>
            </w:r>
            <w:r>
              <w:rPr>
                <w:rFonts w:hint="eastAsia" w:ascii="宋体" w:hAnsi="宋体" w:eastAsia="宋体" w:cs="宋体"/>
                <w:i w:val="0"/>
                <w:iCs w:val="0"/>
                <w:color w:val="000000"/>
                <w:kern w:val="0"/>
                <w:sz w:val="20"/>
                <w:szCs w:val="20"/>
                <w:highlight w:val="none"/>
                <w:u w:val="none"/>
                <w:lang w:val="en-US" w:eastAsia="zh-CN" w:bidi="ar"/>
              </w:rPr>
              <w:t>、</w:t>
            </w:r>
            <w:r>
              <w:rPr>
                <w:rStyle w:val="129"/>
                <w:rFonts w:eastAsia="宋体"/>
                <w:highlight w:val="none"/>
                <w:lang w:val="en-US" w:eastAsia="zh-CN" w:bidi="ar"/>
              </w:rPr>
              <w:t>UU)</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人免疫缺陷病毒抗体初筛</w:t>
            </w:r>
            <w:r>
              <w:rPr>
                <w:rStyle w:val="129"/>
                <w:rFonts w:eastAsia="宋体"/>
                <w:highlight w:val="none"/>
                <w:lang w:val="en-US" w:eastAsia="zh-CN" w:bidi="ar"/>
              </w:rPr>
              <w:t>(Anti-HIV)</w:t>
            </w:r>
            <w:r>
              <w:rPr>
                <w:rFonts w:hint="eastAsia" w:ascii="宋体" w:hAnsi="宋体" w:eastAsia="宋体" w:cs="宋体"/>
                <w:i w:val="0"/>
                <w:iCs w:val="0"/>
                <w:color w:val="000000"/>
                <w:kern w:val="0"/>
                <w:sz w:val="20"/>
                <w:szCs w:val="20"/>
                <w:highlight w:val="none"/>
                <w:u w:val="none"/>
                <w:lang w:val="en-US" w:eastAsia="zh-CN" w:bidi="ar"/>
              </w:rPr>
              <w:t>试验</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淋巴造血组织病理诊断套餐</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病理诊断</w:t>
            </w:r>
            <w:r>
              <w:rPr>
                <w:rStyle w:val="129"/>
                <w:rFonts w:eastAsia="宋体"/>
                <w:highlight w:val="none"/>
                <w:lang w:val="en-US" w:eastAsia="zh-CN" w:bidi="ar"/>
              </w:rPr>
              <w:t>+10</w:t>
            </w:r>
            <w:r>
              <w:rPr>
                <w:rFonts w:hint="eastAsia" w:ascii="宋体" w:hAnsi="宋体" w:eastAsia="宋体" w:cs="宋体"/>
                <w:i w:val="0"/>
                <w:iCs w:val="0"/>
                <w:color w:val="000000"/>
                <w:kern w:val="0"/>
                <w:sz w:val="20"/>
                <w:szCs w:val="20"/>
                <w:highlight w:val="none"/>
                <w:u w:val="none"/>
                <w:lang w:val="en-US" w:eastAsia="zh-CN" w:bidi="ar"/>
              </w:rPr>
              <w:t>项免疫组化</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抗角蛋白抗体</w:t>
            </w:r>
            <w:r>
              <w:rPr>
                <w:rStyle w:val="129"/>
                <w:rFonts w:eastAsia="宋体"/>
                <w:highlight w:val="none"/>
                <w:lang w:val="en-US" w:eastAsia="zh-CN" w:bidi="ar"/>
              </w:rPr>
              <w:t>(AKA)</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肺炎支原体</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肺炎衣原体</w:t>
            </w:r>
            <w:r>
              <w:rPr>
                <w:rStyle w:val="129"/>
                <w:rFonts w:eastAsia="宋体"/>
                <w:highlight w:val="none"/>
                <w:lang w:val="en-US" w:eastAsia="zh-CN" w:bidi="ar"/>
              </w:rPr>
              <w:t>IgM</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抗双链</w:t>
            </w:r>
            <w:r>
              <w:rPr>
                <w:rStyle w:val="129"/>
                <w:rFonts w:eastAsia="宋体"/>
                <w:highlight w:val="none"/>
                <w:lang w:val="en-US" w:eastAsia="zh-CN" w:bidi="ar"/>
              </w:rPr>
              <w:t>DNA</w:t>
            </w:r>
            <w:r>
              <w:rPr>
                <w:rFonts w:hint="eastAsia" w:ascii="宋体" w:hAnsi="宋体" w:eastAsia="宋体" w:cs="宋体"/>
                <w:i w:val="0"/>
                <w:iCs w:val="0"/>
                <w:color w:val="000000"/>
                <w:kern w:val="0"/>
                <w:sz w:val="20"/>
                <w:szCs w:val="20"/>
                <w:highlight w:val="none"/>
                <w:u w:val="none"/>
                <w:lang w:val="en-US" w:eastAsia="zh-CN" w:bidi="ar"/>
              </w:rPr>
              <w:t>抗体定量</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环孢霉素</w:t>
            </w:r>
            <w:r>
              <w:rPr>
                <w:rStyle w:val="129"/>
                <w:rFonts w:eastAsia="宋体"/>
                <w:highlight w:val="none"/>
                <w:lang w:val="en-US" w:eastAsia="zh-CN" w:bidi="ar"/>
              </w:rPr>
              <w:t>A</w:t>
            </w:r>
            <w:r>
              <w:rPr>
                <w:rFonts w:hint="eastAsia" w:ascii="宋体" w:hAnsi="宋体" w:eastAsia="宋体" w:cs="宋体"/>
                <w:i w:val="0"/>
                <w:iCs w:val="0"/>
                <w:color w:val="000000"/>
                <w:kern w:val="0"/>
                <w:sz w:val="20"/>
                <w:szCs w:val="20"/>
                <w:highlight w:val="none"/>
                <w:u w:val="none"/>
                <w:lang w:val="en-US" w:eastAsia="zh-CN" w:bidi="ar"/>
              </w:rPr>
              <w:t>浓度</w:t>
            </w:r>
            <w:r>
              <w:rPr>
                <w:rStyle w:val="129"/>
                <w:rFonts w:eastAsia="宋体"/>
                <w:highlight w:val="none"/>
                <w:lang w:val="en-US" w:eastAsia="zh-CN" w:bidi="ar"/>
              </w:rPr>
              <w:t>(CSA)</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毒品检测全套</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五项</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柯萨奇病毒</w:t>
            </w:r>
            <w:r>
              <w:rPr>
                <w:rStyle w:val="129"/>
                <w:rFonts w:eastAsia="宋体"/>
                <w:highlight w:val="none"/>
                <w:lang w:val="en-US" w:eastAsia="zh-CN" w:bidi="ar"/>
              </w:rPr>
              <w:t>IgG</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CSV-IgG</w:t>
            </w:r>
            <w:r>
              <w:rPr>
                <w:rFonts w:hint="eastAsia" w:ascii="宋体" w:hAnsi="宋体" w:eastAsia="宋体" w:cs="宋体"/>
                <w:i w:val="0"/>
                <w:iCs w:val="0"/>
                <w:color w:val="000000"/>
                <w:kern w:val="0"/>
                <w:sz w:val="20"/>
                <w:szCs w:val="20"/>
                <w:highlight w:val="none"/>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柯萨奇病毒</w:t>
            </w:r>
            <w:r>
              <w:rPr>
                <w:rStyle w:val="129"/>
                <w:rFonts w:eastAsia="宋体"/>
                <w:highlight w:val="none"/>
                <w:lang w:val="en-US" w:eastAsia="zh-CN" w:bidi="ar"/>
              </w:rPr>
              <w:t>IgM</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 xml:space="preserve">(CSV-IgM)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沙眼衣原体</w:t>
            </w:r>
            <w:r>
              <w:rPr>
                <w:rStyle w:val="129"/>
                <w:rFonts w:eastAsia="宋体"/>
                <w:highlight w:val="none"/>
                <w:lang w:val="en-US" w:eastAsia="zh-CN" w:bidi="ar"/>
              </w:rPr>
              <w:t>(CT-DNA)</w:t>
            </w:r>
            <w:r>
              <w:rPr>
                <w:rFonts w:hint="eastAsia" w:ascii="宋体" w:hAnsi="宋体" w:eastAsia="宋体" w:cs="宋体"/>
                <w:i w:val="0"/>
                <w:iCs w:val="0"/>
                <w:color w:val="000000"/>
                <w:kern w:val="0"/>
                <w:sz w:val="20"/>
                <w:szCs w:val="20"/>
                <w:highlight w:val="none"/>
                <w:u w:val="none"/>
                <w:lang w:val="en-US" w:eastAsia="zh-CN" w:bidi="ar"/>
              </w:rPr>
              <w:t>定性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麻疹病毒二项</w:t>
            </w:r>
            <w:r>
              <w:rPr>
                <w:rStyle w:val="129"/>
                <w:rFonts w:eastAsia="宋体"/>
                <w:highlight w:val="none"/>
                <w:lang w:val="en-US" w:eastAsia="zh-CN" w:bidi="ar"/>
              </w:rPr>
              <w:t>(MV-IgM,IgG)</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EB</w:t>
            </w:r>
            <w:r>
              <w:rPr>
                <w:rFonts w:hint="eastAsia" w:ascii="宋体" w:hAnsi="宋体" w:eastAsia="宋体" w:cs="宋体"/>
                <w:i w:val="0"/>
                <w:iCs w:val="0"/>
                <w:color w:val="000000"/>
                <w:kern w:val="0"/>
                <w:sz w:val="20"/>
                <w:szCs w:val="20"/>
                <w:highlight w:val="none"/>
                <w:u w:val="none"/>
                <w:lang w:val="en-US" w:eastAsia="zh-CN" w:bidi="ar"/>
              </w:rPr>
              <w:t>病毒早期抗原</w:t>
            </w:r>
            <w:r>
              <w:rPr>
                <w:rStyle w:val="129"/>
                <w:rFonts w:eastAsia="宋体"/>
                <w:highlight w:val="none"/>
                <w:lang w:val="en-US" w:eastAsia="zh-CN" w:bidi="ar"/>
              </w:rPr>
              <w:t>IgA</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(EA-IgA)</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HCV</w:t>
            </w:r>
            <w:r>
              <w:rPr>
                <w:rFonts w:hint="eastAsia" w:ascii="宋体" w:hAnsi="宋体" w:eastAsia="宋体" w:cs="宋体"/>
                <w:i w:val="0"/>
                <w:iCs w:val="0"/>
                <w:color w:val="000000"/>
                <w:kern w:val="0"/>
                <w:sz w:val="20"/>
                <w:szCs w:val="20"/>
                <w:highlight w:val="none"/>
                <w:u w:val="none"/>
                <w:lang w:val="en-US" w:eastAsia="zh-CN" w:bidi="ar"/>
              </w:rPr>
              <w:t>基因分型</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肺炎支原体</w:t>
            </w:r>
            <w:r>
              <w:rPr>
                <w:rStyle w:val="129"/>
                <w:rFonts w:eastAsia="宋体"/>
                <w:highlight w:val="none"/>
                <w:lang w:val="en-US" w:eastAsia="zh-CN" w:bidi="ar"/>
              </w:rPr>
              <w:t>(MP-DNA)</w:t>
            </w:r>
            <w:r>
              <w:rPr>
                <w:rFonts w:hint="eastAsia" w:ascii="宋体" w:hAnsi="宋体" w:eastAsia="宋体" w:cs="宋体"/>
                <w:i w:val="0"/>
                <w:iCs w:val="0"/>
                <w:color w:val="000000"/>
                <w:kern w:val="0"/>
                <w:sz w:val="20"/>
                <w:szCs w:val="20"/>
                <w:highlight w:val="none"/>
                <w:u w:val="none"/>
                <w:lang w:val="en-US" w:eastAsia="zh-CN" w:bidi="ar"/>
              </w:rPr>
              <w:t>定性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淋球菌</w:t>
            </w:r>
            <w:r>
              <w:rPr>
                <w:rStyle w:val="129"/>
                <w:rFonts w:eastAsia="宋体"/>
                <w:highlight w:val="none"/>
                <w:lang w:val="en-US" w:eastAsia="zh-CN" w:bidi="ar"/>
              </w:rPr>
              <w:t>(NG-DNA)</w:t>
            </w:r>
            <w:r>
              <w:rPr>
                <w:rFonts w:hint="eastAsia" w:ascii="宋体" w:hAnsi="宋体" w:eastAsia="宋体" w:cs="宋体"/>
                <w:i w:val="0"/>
                <w:iCs w:val="0"/>
                <w:color w:val="000000"/>
                <w:kern w:val="0"/>
                <w:sz w:val="20"/>
                <w:szCs w:val="20"/>
                <w:highlight w:val="none"/>
                <w:u w:val="none"/>
                <w:lang w:val="en-US" w:eastAsia="zh-CN" w:bidi="ar"/>
              </w:rPr>
              <w:t>定性</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骨髓组织活检检查与诊断</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抗脱氧核糖核酸抗体</w:t>
            </w:r>
            <w:r>
              <w:rPr>
                <w:rStyle w:val="129"/>
                <w:rFonts w:eastAsia="宋体"/>
                <w:highlight w:val="none"/>
                <w:lang w:val="en-US" w:eastAsia="zh-CN" w:bidi="ar"/>
              </w:rPr>
              <w:t>(DNA-Ab)</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BCR-ABL1(p210)</w:t>
            </w:r>
            <w:r>
              <w:rPr>
                <w:rFonts w:hint="eastAsia" w:ascii="宋体" w:hAnsi="宋体" w:eastAsia="宋体" w:cs="宋体"/>
                <w:i w:val="0"/>
                <w:iCs w:val="0"/>
                <w:color w:val="000000"/>
                <w:kern w:val="0"/>
                <w:sz w:val="20"/>
                <w:szCs w:val="20"/>
                <w:highlight w:val="none"/>
                <w:u w:val="none"/>
                <w:lang w:val="en-US" w:eastAsia="zh-CN" w:bidi="ar"/>
              </w:rPr>
              <w:t>融合基因定量检测</w:t>
            </w:r>
            <w:r>
              <w:rPr>
                <w:rStyle w:val="129"/>
                <w:rFonts w:eastAsia="宋体"/>
                <w:highlight w:val="none"/>
                <w:lang w:val="en-US" w:eastAsia="zh-CN" w:bidi="ar"/>
              </w:rPr>
              <w:t>(RQ-PCR)</w:t>
            </w:r>
            <w:r>
              <w:rPr>
                <w:rFonts w:hint="eastAsia" w:ascii="宋体" w:hAnsi="宋体" w:eastAsia="宋体" w:cs="宋体"/>
                <w:i w:val="0"/>
                <w:iCs w:val="0"/>
                <w:color w:val="000000"/>
                <w:kern w:val="0"/>
                <w:sz w:val="20"/>
                <w:szCs w:val="20"/>
                <w:highlight w:val="none"/>
                <w:u w:val="none"/>
                <w:lang w:val="en-US" w:eastAsia="zh-CN" w:bidi="ar"/>
              </w:rPr>
              <w:t>（</w:t>
            </w:r>
            <w:r>
              <w:rPr>
                <w:rStyle w:val="129"/>
                <w:rFonts w:eastAsia="宋体"/>
                <w:highlight w:val="none"/>
                <w:lang w:val="en-US" w:eastAsia="zh-CN" w:bidi="ar"/>
              </w:rPr>
              <w:t>IS</w:t>
            </w:r>
            <w:r>
              <w:rPr>
                <w:rFonts w:hint="eastAsia" w:ascii="宋体" w:hAnsi="宋体" w:eastAsia="宋体" w:cs="宋体"/>
                <w:i w:val="0"/>
                <w:iCs w:val="0"/>
                <w:color w:val="000000"/>
                <w:kern w:val="0"/>
                <w:sz w:val="20"/>
                <w:szCs w:val="20"/>
                <w:highlight w:val="none"/>
                <w:u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免疫球蛋白三项</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JAK2</w:t>
            </w:r>
            <w:r>
              <w:rPr>
                <w:rFonts w:hint="eastAsia" w:ascii="宋体" w:hAnsi="宋体" w:eastAsia="宋体" w:cs="宋体"/>
                <w:i w:val="0"/>
                <w:iCs w:val="0"/>
                <w:color w:val="000000"/>
                <w:kern w:val="0"/>
                <w:sz w:val="20"/>
                <w:szCs w:val="20"/>
                <w:highlight w:val="none"/>
                <w:u w:val="none"/>
                <w:lang w:val="en-US" w:eastAsia="zh-CN" w:bidi="ar"/>
              </w:rPr>
              <w:t>基因</w:t>
            </w:r>
            <w:r>
              <w:rPr>
                <w:rStyle w:val="129"/>
                <w:rFonts w:eastAsia="宋体"/>
                <w:highlight w:val="none"/>
                <w:lang w:val="en-US" w:eastAsia="zh-CN" w:bidi="ar"/>
              </w:rPr>
              <w:t>V617F</w:t>
            </w:r>
            <w:r>
              <w:rPr>
                <w:rFonts w:hint="eastAsia" w:ascii="宋体" w:hAnsi="宋体" w:eastAsia="宋体" w:cs="宋体"/>
                <w:i w:val="0"/>
                <w:iCs w:val="0"/>
                <w:color w:val="000000"/>
                <w:kern w:val="0"/>
                <w:sz w:val="20"/>
                <w:szCs w:val="20"/>
                <w:highlight w:val="none"/>
                <w:u w:val="none"/>
                <w:lang w:val="en-US" w:eastAsia="zh-CN" w:bidi="ar"/>
              </w:rPr>
              <w:t>突变定性检测</w:t>
            </w:r>
            <w:r>
              <w:rPr>
                <w:rStyle w:val="129"/>
                <w:rFonts w:eastAsia="宋体"/>
                <w:highlight w:val="none"/>
                <w:lang w:val="en-US" w:eastAsia="zh-CN" w:bidi="ar"/>
              </w:rPr>
              <w:t>(PCR)</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JAK2</w:t>
            </w:r>
            <w:r>
              <w:rPr>
                <w:rFonts w:hint="eastAsia" w:ascii="宋体" w:hAnsi="宋体" w:eastAsia="宋体" w:cs="宋体"/>
                <w:i w:val="0"/>
                <w:iCs w:val="0"/>
                <w:color w:val="000000"/>
                <w:kern w:val="0"/>
                <w:sz w:val="20"/>
                <w:szCs w:val="20"/>
                <w:highlight w:val="none"/>
                <w:u w:val="none"/>
                <w:lang w:val="en-US" w:eastAsia="zh-CN" w:bidi="ar"/>
              </w:rPr>
              <w:t>基因</w:t>
            </w:r>
            <w:r>
              <w:rPr>
                <w:rStyle w:val="129"/>
                <w:rFonts w:eastAsia="宋体"/>
                <w:highlight w:val="none"/>
                <w:lang w:val="en-US" w:eastAsia="zh-CN" w:bidi="ar"/>
              </w:rPr>
              <w:t>V617F</w:t>
            </w:r>
            <w:r>
              <w:rPr>
                <w:rFonts w:hint="eastAsia" w:ascii="宋体" w:hAnsi="宋体" w:eastAsia="宋体" w:cs="宋体"/>
                <w:i w:val="0"/>
                <w:iCs w:val="0"/>
                <w:color w:val="000000"/>
                <w:kern w:val="0"/>
                <w:sz w:val="20"/>
                <w:szCs w:val="20"/>
                <w:highlight w:val="none"/>
                <w:u w:val="none"/>
                <w:lang w:val="en-US" w:eastAsia="zh-CN" w:bidi="ar"/>
              </w:rPr>
              <w:t>突变定量检测</w:t>
            </w:r>
            <w:r>
              <w:rPr>
                <w:rStyle w:val="129"/>
                <w:rFonts w:eastAsia="宋体"/>
                <w:highlight w:val="none"/>
                <w:lang w:val="en-US" w:eastAsia="zh-CN" w:bidi="ar"/>
              </w:rPr>
              <w:t>(Q-PCR)</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化学污染物</w:t>
            </w:r>
            <w:r>
              <w:rPr>
                <w:rStyle w:val="129"/>
                <w:rFonts w:eastAsia="宋体"/>
                <w:highlight w:val="none"/>
                <w:lang w:val="en-US" w:eastAsia="zh-CN" w:bidi="ar"/>
              </w:rPr>
              <w:t>22</w:t>
            </w:r>
            <w:r>
              <w:rPr>
                <w:rFonts w:hint="eastAsia" w:ascii="宋体" w:hAnsi="宋体" w:eastAsia="宋体" w:cs="宋体"/>
                <w:i w:val="0"/>
                <w:iCs w:val="0"/>
                <w:color w:val="000000"/>
                <w:kern w:val="0"/>
                <w:sz w:val="20"/>
                <w:szCs w:val="20"/>
                <w:highlight w:val="none"/>
                <w:u w:val="none"/>
                <w:lang w:val="en-US" w:eastAsia="zh-CN" w:bidi="ar"/>
              </w:rPr>
              <w:t>项</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促肾上腺皮质激素（</w:t>
            </w:r>
            <w:r>
              <w:rPr>
                <w:rStyle w:val="129"/>
                <w:rFonts w:eastAsia="宋体"/>
                <w:highlight w:val="none"/>
                <w:lang w:val="en-US" w:eastAsia="zh-CN" w:bidi="ar"/>
              </w:rPr>
              <w:t>ACTH</w:t>
            </w:r>
            <w:r>
              <w:rPr>
                <w:rFonts w:hint="eastAsia" w:ascii="宋体" w:hAnsi="宋体" w:eastAsia="宋体" w:cs="宋体"/>
                <w:i w:val="0"/>
                <w:iCs w:val="0"/>
                <w:color w:val="000000"/>
                <w:kern w:val="0"/>
                <w:sz w:val="20"/>
                <w:szCs w:val="20"/>
                <w:highlight w:val="none"/>
                <w:u w:val="none"/>
                <w:lang w:val="en-US" w:eastAsia="zh-CN" w:bidi="ar"/>
              </w:rPr>
              <w:t>）电化学发光法</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全段甲状旁腺激素</w:t>
            </w:r>
            <w:r>
              <w:rPr>
                <w:rStyle w:val="129"/>
                <w:rFonts w:eastAsia="宋体"/>
                <w:highlight w:val="none"/>
                <w:lang w:val="en-US" w:eastAsia="zh-CN" w:bidi="ar"/>
              </w:rPr>
              <w:t>(iPTH)-</w:t>
            </w:r>
            <w:r>
              <w:rPr>
                <w:rFonts w:hint="eastAsia" w:ascii="宋体" w:hAnsi="宋体" w:eastAsia="宋体" w:cs="宋体"/>
                <w:i w:val="0"/>
                <w:iCs w:val="0"/>
                <w:color w:val="000000"/>
                <w:kern w:val="0"/>
                <w:sz w:val="20"/>
                <w:szCs w:val="20"/>
                <w:highlight w:val="none"/>
                <w:u w:val="none"/>
                <w:lang w:val="en-US" w:eastAsia="zh-CN" w:bidi="ar"/>
              </w:rPr>
              <w:t>外包广州</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隐球菌抗原</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外周血</w:t>
            </w:r>
            <w:r>
              <w:rPr>
                <w:rStyle w:val="129"/>
                <w:rFonts w:eastAsia="宋体"/>
                <w:highlight w:val="none"/>
                <w:lang w:val="en-US" w:eastAsia="zh-CN" w:bidi="ar"/>
              </w:rPr>
              <w:t>B</w:t>
            </w:r>
            <w:r>
              <w:rPr>
                <w:rFonts w:hint="eastAsia" w:ascii="宋体" w:hAnsi="宋体" w:eastAsia="宋体" w:cs="宋体"/>
                <w:i w:val="0"/>
                <w:iCs w:val="0"/>
                <w:color w:val="000000"/>
                <w:kern w:val="0"/>
                <w:sz w:val="20"/>
                <w:szCs w:val="20"/>
                <w:highlight w:val="none"/>
                <w:u w:val="none"/>
                <w:lang w:val="en-US" w:eastAsia="zh-CN" w:bidi="ar"/>
              </w:rPr>
              <w:t>淋巴细胞</w:t>
            </w:r>
            <w:r>
              <w:rPr>
                <w:rStyle w:val="129"/>
                <w:rFonts w:eastAsia="宋体"/>
                <w:highlight w:val="none"/>
                <w:lang w:val="en-US" w:eastAsia="zh-CN" w:bidi="ar"/>
              </w:rPr>
              <w:t>(CD3/CD19)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外周血</w:t>
            </w:r>
            <w:r>
              <w:rPr>
                <w:rStyle w:val="129"/>
                <w:rFonts w:eastAsia="宋体"/>
                <w:highlight w:val="none"/>
                <w:lang w:val="en-US" w:eastAsia="zh-CN" w:bidi="ar"/>
              </w:rPr>
              <w:t>NK</w:t>
            </w:r>
            <w:r>
              <w:rPr>
                <w:rFonts w:hint="eastAsia" w:ascii="宋体" w:hAnsi="宋体" w:eastAsia="宋体" w:cs="宋体"/>
                <w:i w:val="0"/>
                <w:iCs w:val="0"/>
                <w:color w:val="000000"/>
                <w:kern w:val="0"/>
                <w:sz w:val="20"/>
                <w:szCs w:val="20"/>
                <w:highlight w:val="none"/>
                <w:u w:val="none"/>
                <w:lang w:val="en-US" w:eastAsia="zh-CN" w:bidi="ar"/>
              </w:rPr>
              <w:t>细胞</w:t>
            </w:r>
            <w:r>
              <w:rPr>
                <w:rStyle w:val="129"/>
                <w:rFonts w:eastAsia="宋体"/>
                <w:highlight w:val="none"/>
                <w:lang w:val="en-US" w:eastAsia="zh-CN" w:bidi="ar"/>
              </w:rPr>
              <w:t xml:space="preserve"> (CD3/CD16+56)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淋巴造血免疫组化</w:t>
            </w:r>
            <w:r>
              <w:rPr>
                <w:rStyle w:val="129"/>
                <w:rFonts w:eastAsia="宋体"/>
                <w:highlight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项</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外周血淋巴细胞增多快速鉴别诊断</w:t>
            </w:r>
            <w:r>
              <w:rPr>
                <w:rStyle w:val="129"/>
                <w:rFonts w:eastAsia="宋体"/>
                <w:highlight w:val="none"/>
                <w:lang w:val="en-US" w:eastAsia="zh-CN" w:bidi="ar"/>
              </w:rPr>
              <w:t>CD</w:t>
            </w:r>
            <w:r>
              <w:rPr>
                <w:rFonts w:hint="eastAsia" w:ascii="宋体" w:hAnsi="宋体" w:eastAsia="宋体" w:cs="宋体"/>
                <w:i w:val="0"/>
                <w:iCs w:val="0"/>
                <w:color w:val="000000"/>
                <w:kern w:val="0"/>
                <w:sz w:val="20"/>
                <w:szCs w:val="20"/>
                <w:highlight w:val="none"/>
                <w:u w:val="none"/>
                <w:lang w:val="en-US" w:eastAsia="zh-CN" w:bidi="ar"/>
              </w:rPr>
              <w:t>系列检测</w:t>
            </w:r>
            <w:r>
              <w:rPr>
                <w:rStyle w:val="129"/>
                <w:rFonts w:eastAsia="宋体"/>
                <w:highlight w:val="none"/>
                <w:lang w:val="en-US" w:eastAsia="zh-CN" w:bidi="ar"/>
              </w:rPr>
              <w:t xml:space="preserve"> (15 CD)</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浆细胞肿瘤相关</w:t>
            </w:r>
            <w:r>
              <w:rPr>
                <w:rStyle w:val="129"/>
                <w:rFonts w:eastAsia="宋体"/>
                <w:highlight w:val="none"/>
                <w:lang w:val="en-US" w:eastAsia="zh-CN" w:bidi="ar"/>
              </w:rPr>
              <w:t>CD</w:t>
            </w:r>
            <w:r>
              <w:rPr>
                <w:rFonts w:hint="eastAsia" w:ascii="宋体" w:hAnsi="宋体" w:eastAsia="宋体" w:cs="宋体"/>
                <w:i w:val="0"/>
                <w:iCs w:val="0"/>
                <w:color w:val="000000"/>
                <w:kern w:val="0"/>
                <w:sz w:val="20"/>
                <w:szCs w:val="20"/>
                <w:highlight w:val="none"/>
                <w:u w:val="none"/>
                <w:lang w:val="en-US" w:eastAsia="zh-CN" w:bidi="ar"/>
              </w:rPr>
              <w:t>系列检测</w:t>
            </w:r>
            <w:r>
              <w:rPr>
                <w:rStyle w:val="129"/>
                <w:rFonts w:eastAsia="宋体"/>
                <w:highlight w:val="none"/>
                <w:lang w:val="en-US" w:eastAsia="zh-CN" w:bidi="ar"/>
              </w:rPr>
              <w:t>(15CD)</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BCR-ABL1(p190)</w:t>
            </w:r>
            <w:r>
              <w:rPr>
                <w:rFonts w:hint="eastAsia" w:ascii="宋体" w:hAnsi="宋体" w:eastAsia="宋体" w:cs="宋体"/>
                <w:i w:val="0"/>
                <w:iCs w:val="0"/>
                <w:color w:val="000000"/>
                <w:kern w:val="0"/>
                <w:sz w:val="20"/>
                <w:szCs w:val="20"/>
                <w:highlight w:val="none"/>
                <w:u w:val="none"/>
                <w:lang w:val="en-US" w:eastAsia="zh-CN" w:bidi="ar"/>
              </w:rPr>
              <w:t>融合基因定量检测</w:t>
            </w:r>
            <w:r>
              <w:rPr>
                <w:rStyle w:val="129"/>
                <w:rFonts w:eastAsia="宋体"/>
                <w:highlight w:val="none"/>
                <w:lang w:val="en-US" w:eastAsia="zh-CN" w:bidi="ar"/>
              </w:rPr>
              <w:t>(RQ-PCR)</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不孕不育抗体五项</w:t>
            </w:r>
            <w:r>
              <w:rPr>
                <w:rStyle w:val="129"/>
                <w:rFonts w:eastAsia="宋体"/>
                <w:highlight w:val="none"/>
                <w:lang w:val="en-US" w:eastAsia="zh-CN" w:bidi="ar"/>
              </w:rPr>
              <w:t>(EmAb,ACA,AsAb,AoAb,AhcgAb)</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抗双链</w:t>
            </w:r>
            <w:r>
              <w:rPr>
                <w:rStyle w:val="129"/>
                <w:rFonts w:eastAsia="宋体"/>
                <w:highlight w:val="none"/>
                <w:lang w:val="en-US" w:eastAsia="zh-CN" w:bidi="ar"/>
              </w:rPr>
              <w:t>DNA</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(dsDNA)</w:t>
            </w:r>
            <w:r>
              <w:rPr>
                <w:rFonts w:hint="eastAsia" w:ascii="宋体" w:hAnsi="宋体" w:eastAsia="宋体" w:cs="宋体"/>
                <w:i w:val="0"/>
                <w:iCs w:val="0"/>
                <w:color w:val="000000"/>
                <w:kern w:val="0"/>
                <w:sz w:val="20"/>
                <w:szCs w:val="20"/>
                <w:highlight w:val="none"/>
                <w:u w:val="none"/>
                <w:lang w:val="en-US" w:eastAsia="zh-CN" w:bidi="ar"/>
              </w:rPr>
              <w:t>定性</w:t>
            </w:r>
            <w:r>
              <w:rPr>
                <w:rStyle w:val="129"/>
                <w:rFonts w:eastAsia="宋体"/>
                <w:highlight w:val="none"/>
                <w:lang w:val="en-US" w:eastAsia="zh-CN" w:bidi="ar"/>
              </w:rPr>
              <w:t>,ELISA</w:t>
            </w:r>
            <w:r>
              <w:rPr>
                <w:rFonts w:hint="eastAsia" w:ascii="宋体" w:hAnsi="宋体" w:eastAsia="宋体" w:cs="宋体"/>
                <w:i w:val="0"/>
                <w:iCs w:val="0"/>
                <w:color w:val="000000"/>
                <w:kern w:val="0"/>
                <w:sz w:val="20"/>
                <w:szCs w:val="20"/>
                <w:highlight w:val="none"/>
                <w:u w:val="none"/>
                <w:lang w:val="en-US" w:eastAsia="zh-CN" w:bidi="ar"/>
              </w:rPr>
              <w:t>法</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抗肾小球基底膜抗体</w:t>
            </w:r>
            <w:r>
              <w:rPr>
                <w:rStyle w:val="129"/>
                <w:rFonts w:eastAsia="宋体"/>
                <w:highlight w:val="none"/>
                <w:lang w:val="en-US" w:eastAsia="zh-CN" w:bidi="ar"/>
              </w:rPr>
              <w:t>(GBM),ELISA</w:t>
            </w:r>
            <w:r>
              <w:rPr>
                <w:rFonts w:hint="eastAsia" w:ascii="宋体" w:hAnsi="宋体" w:eastAsia="宋体" w:cs="宋体"/>
                <w:i w:val="0"/>
                <w:iCs w:val="0"/>
                <w:color w:val="000000"/>
                <w:kern w:val="0"/>
                <w:sz w:val="20"/>
                <w:szCs w:val="20"/>
                <w:highlight w:val="none"/>
                <w:u w:val="none"/>
                <w:lang w:val="en-US" w:eastAsia="zh-CN" w:bidi="ar"/>
              </w:rPr>
              <w:t>法</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抗胰岛细胞抗体</w:t>
            </w:r>
            <w:r>
              <w:rPr>
                <w:rStyle w:val="129"/>
                <w:rFonts w:eastAsia="宋体"/>
                <w:highlight w:val="none"/>
                <w:lang w:val="en-US" w:eastAsia="zh-CN" w:bidi="ar"/>
              </w:rPr>
              <w:t>(ICA-IgG)</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胰岛素抗体</w:t>
            </w:r>
            <w:r>
              <w:rPr>
                <w:rStyle w:val="129"/>
                <w:rFonts w:eastAsia="宋体"/>
                <w:highlight w:val="none"/>
                <w:lang w:val="en-US" w:eastAsia="zh-CN" w:bidi="ar"/>
              </w:rPr>
              <w:t>INSAB</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IgG</w:t>
            </w:r>
            <w:r>
              <w:rPr>
                <w:rFonts w:hint="eastAsia" w:ascii="宋体" w:hAnsi="宋体" w:eastAsia="宋体" w:cs="宋体"/>
                <w:i w:val="0"/>
                <w:iCs w:val="0"/>
                <w:color w:val="000000"/>
                <w:kern w:val="0"/>
                <w:sz w:val="20"/>
                <w:szCs w:val="20"/>
                <w:highlight w:val="none"/>
                <w:u w:val="none"/>
                <w:lang w:val="en-US" w:eastAsia="zh-CN" w:bidi="ar"/>
              </w:rPr>
              <w:t>抗</w:t>
            </w:r>
            <w:r>
              <w:rPr>
                <w:rStyle w:val="129"/>
                <w:rFonts w:eastAsia="宋体"/>
                <w:highlight w:val="none"/>
                <w:lang w:val="en-US" w:eastAsia="zh-CN" w:bidi="ar"/>
              </w:rPr>
              <w:t>A-</w:t>
            </w:r>
            <w:r>
              <w:rPr>
                <w:rFonts w:hint="eastAsia" w:ascii="宋体" w:hAnsi="宋体" w:eastAsia="宋体" w:cs="宋体"/>
                <w:i w:val="0"/>
                <w:iCs w:val="0"/>
                <w:color w:val="000000"/>
                <w:kern w:val="0"/>
                <w:sz w:val="20"/>
                <w:szCs w:val="20"/>
                <w:highlight w:val="none"/>
                <w:u w:val="none"/>
                <w:lang w:val="en-US" w:eastAsia="zh-CN" w:bidi="ar"/>
              </w:rPr>
              <w:t>效价测定</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IgG</w:t>
            </w:r>
            <w:r>
              <w:rPr>
                <w:rFonts w:hint="eastAsia" w:ascii="宋体" w:hAnsi="宋体" w:eastAsia="宋体" w:cs="宋体"/>
                <w:i w:val="0"/>
                <w:iCs w:val="0"/>
                <w:color w:val="000000"/>
                <w:kern w:val="0"/>
                <w:sz w:val="20"/>
                <w:szCs w:val="20"/>
                <w:highlight w:val="none"/>
                <w:u w:val="none"/>
                <w:lang w:val="en-US" w:eastAsia="zh-CN" w:bidi="ar"/>
              </w:rPr>
              <w:t>抗</w:t>
            </w:r>
            <w:r>
              <w:rPr>
                <w:rStyle w:val="129"/>
                <w:rFonts w:eastAsia="宋体"/>
                <w:highlight w:val="none"/>
                <w:lang w:val="en-US" w:eastAsia="zh-CN" w:bidi="ar"/>
              </w:rPr>
              <w:t>B-</w:t>
            </w:r>
            <w:r>
              <w:rPr>
                <w:rFonts w:hint="eastAsia" w:ascii="宋体" w:hAnsi="宋体" w:eastAsia="宋体" w:cs="宋体"/>
                <w:i w:val="0"/>
                <w:iCs w:val="0"/>
                <w:color w:val="000000"/>
                <w:kern w:val="0"/>
                <w:sz w:val="20"/>
                <w:szCs w:val="20"/>
                <w:highlight w:val="none"/>
                <w:u w:val="none"/>
                <w:lang w:val="en-US" w:eastAsia="zh-CN" w:bidi="ar"/>
              </w:rPr>
              <w:t>效价测定</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外斐反应</w:t>
            </w:r>
            <w:r>
              <w:rPr>
                <w:rStyle w:val="129"/>
                <w:rFonts w:eastAsia="宋体"/>
                <w:highlight w:val="none"/>
                <w:lang w:val="en-US" w:eastAsia="zh-CN" w:bidi="ar"/>
              </w:rPr>
              <w:t>(Weill-Felix's Reaction)</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支原体</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解脲、人型</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培养</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药敏</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遗传代谢病检测</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新生儿</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PML-RARα</w:t>
            </w:r>
            <w:r>
              <w:rPr>
                <w:rFonts w:hint="eastAsia" w:ascii="宋体" w:hAnsi="宋体" w:eastAsia="宋体" w:cs="宋体"/>
                <w:i w:val="0"/>
                <w:iCs w:val="0"/>
                <w:color w:val="000000"/>
                <w:kern w:val="0"/>
                <w:sz w:val="20"/>
                <w:szCs w:val="20"/>
                <w:highlight w:val="none"/>
                <w:u w:val="none"/>
                <w:lang w:val="en-US" w:eastAsia="zh-CN" w:bidi="ar"/>
              </w:rPr>
              <w:t>融合基因</w:t>
            </w:r>
            <w:r>
              <w:rPr>
                <w:rStyle w:val="129"/>
                <w:rFonts w:eastAsia="宋体"/>
                <w:highlight w:val="none"/>
                <w:lang w:val="en-US" w:eastAsia="zh-CN" w:bidi="ar"/>
              </w:rPr>
              <w:t>bcr-1(L</w:t>
            </w:r>
            <w:r>
              <w:rPr>
                <w:rFonts w:hint="eastAsia" w:ascii="宋体" w:hAnsi="宋体" w:eastAsia="宋体" w:cs="宋体"/>
                <w:i w:val="0"/>
                <w:iCs w:val="0"/>
                <w:color w:val="000000"/>
                <w:kern w:val="0"/>
                <w:sz w:val="20"/>
                <w:szCs w:val="20"/>
                <w:highlight w:val="none"/>
                <w:u w:val="none"/>
                <w:lang w:val="en-US" w:eastAsia="zh-CN" w:bidi="ar"/>
              </w:rPr>
              <w:t>型</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定量检测</w:t>
            </w:r>
            <w:r>
              <w:rPr>
                <w:rStyle w:val="129"/>
                <w:rFonts w:eastAsia="宋体"/>
                <w:highlight w:val="none"/>
                <w:lang w:val="en-US" w:eastAsia="zh-CN" w:bidi="ar"/>
              </w:rPr>
              <w:t>(RQ-PCR)</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PML-RARα</w:t>
            </w:r>
            <w:r>
              <w:rPr>
                <w:rFonts w:hint="eastAsia" w:ascii="宋体" w:hAnsi="宋体" w:eastAsia="宋体" w:cs="宋体"/>
                <w:i w:val="0"/>
                <w:iCs w:val="0"/>
                <w:color w:val="000000"/>
                <w:kern w:val="0"/>
                <w:sz w:val="20"/>
                <w:szCs w:val="20"/>
                <w:highlight w:val="none"/>
                <w:u w:val="none"/>
                <w:lang w:val="en-US" w:eastAsia="zh-CN" w:bidi="ar"/>
              </w:rPr>
              <w:t>融合基因</w:t>
            </w:r>
            <w:r>
              <w:rPr>
                <w:rStyle w:val="129"/>
                <w:rFonts w:eastAsia="宋体"/>
                <w:highlight w:val="none"/>
                <w:lang w:val="en-US" w:eastAsia="zh-CN" w:bidi="ar"/>
              </w:rPr>
              <w:t>bcr-2(V</w:t>
            </w:r>
            <w:r>
              <w:rPr>
                <w:rFonts w:hint="eastAsia" w:ascii="宋体" w:hAnsi="宋体" w:eastAsia="宋体" w:cs="宋体"/>
                <w:i w:val="0"/>
                <w:iCs w:val="0"/>
                <w:color w:val="000000"/>
                <w:kern w:val="0"/>
                <w:sz w:val="20"/>
                <w:szCs w:val="20"/>
                <w:highlight w:val="none"/>
                <w:u w:val="none"/>
                <w:lang w:val="en-US" w:eastAsia="zh-CN" w:bidi="ar"/>
              </w:rPr>
              <w:t>型</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定量检测</w:t>
            </w:r>
            <w:r>
              <w:rPr>
                <w:rStyle w:val="129"/>
                <w:rFonts w:eastAsia="宋体"/>
                <w:highlight w:val="none"/>
                <w:lang w:val="en-US" w:eastAsia="zh-CN" w:bidi="ar"/>
              </w:rPr>
              <w:t>(RQ-PCR)</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PML-RARα</w:t>
            </w:r>
            <w:r>
              <w:rPr>
                <w:rFonts w:hint="eastAsia" w:ascii="宋体" w:hAnsi="宋体" w:eastAsia="宋体" w:cs="宋体"/>
                <w:i w:val="0"/>
                <w:iCs w:val="0"/>
                <w:color w:val="000000"/>
                <w:kern w:val="0"/>
                <w:sz w:val="20"/>
                <w:szCs w:val="20"/>
                <w:highlight w:val="none"/>
                <w:u w:val="none"/>
                <w:lang w:val="en-US" w:eastAsia="zh-CN" w:bidi="ar"/>
              </w:rPr>
              <w:t>融合基因</w:t>
            </w:r>
            <w:r>
              <w:rPr>
                <w:rStyle w:val="129"/>
                <w:rFonts w:eastAsia="宋体"/>
                <w:highlight w:val="none"/>
                <w:lang w:val="en-US" w:eastAsia="zh-CN" w:bidi="ar"/>
              </w:rPr>
              <w:t>bcr-3(S</w:t>
            </w:r>
            <w:r>
              <w:rPr>
                <w:rFonts w:hint="eastAsia" w:ascii="宋体" w:hAnsi="宋体" w:eastAsia="宋体" w:cs="宋体"/>
                <w:i w:val="0"/>
                <w:iCs w:val="0"/>
                <w:color w:val="000000"/>
                <w:kern w:val="0"/>
                <w:sz w:val="20"/>
                <w:szCs w:val="20"/>
                <w:highlight w:val="none"/>
                <w:u w:val="none"/>
                <w:lang w:val="en-US" w:eastAsia="zh-CN" w:bidi="ar"/>
              </w:rPr>
              <w:t>型</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定量检测</w:t>
            </w:r>
            <w:r>
              <w:rPr>
                <w:rStyle w:val="129"/>
                <w:rFonts w:eastAsia="宋体"/>
                <w:highlight w:val="none"/>
                <w:lang w:val="en-US" w:eastAsia="zh-CN" w:bidi="ar"/>
              </w:rPr>
              <w:t>(RQ-PCR)</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骨髓活检</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特殊染色</w:t>
            </w:r>
            <w:r>
              <w:rPr>
                <w:rStyle w:val="129"/>
                <w:rFonts w:eastAsia="宋体"/>
                <w:highlight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项</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免疫组化</w:t>
            </w:r>
            <w:r>
              <w:rPr>
                <w:rStyle w:val="129"/>
                <w:rFonts w:eastAsia="宋体"/>
                <w:highlight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项</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MDS/AA</w:t>
            </w:r>
            <w:r>
              <w:rPr>
                <w:rFonts w:hint="eastAsia" w:ascii="宋体" w:hAnsi="宋体" w:eastAsia="宋体" w:cs="宋体"/>
                <w:i w:val="0"/>
                <w:iCs w:val="0"/>
                <w:color w:val="000000"/>
                <w:kern w:val="0"/>
                <w:sz w:val="20"/>
                <w:szCs w:val="20"/>
                <w:highlight w:val="none"/>
                <w:u w:val="none"/>
                <w:lang w:val="en-US" w:eastAsia="zh-CN" w:bidi="ar"/>
              </w:rPr>
              <w:t>鉴别相关</w:t>
            </w:r>
            <w:r>
              <w:rPr>
                <w:rStyle w:val="129"/>
                <w:rFonts w:eastAsia="宋体"/>
                <w:highlight w:val="none"/>
                <w:lang w:val="en-US" w:eastAsia="zh-CN" w:bidi="ar"/>
              </w:rPr>
              <w:t>CD</w:t>
            </w:r>
            <w:r>
              <w:rPr>
                <w:rFonts w:hint="eastAsia" w:ascii="宋体" w:hAnsi="宋体" w:eastAsia="宋体" w:cs="宋体"/>
                <w:i w:val="0"/>
                <w:iCs w:val="0"/>
                <w:color w:val="000000"/>
                <w:kern w:val="0"/>
                <w:sz w:val="20"/>
                <w:szCs w:val="20"/>
                <w:highlight w:val="none"/>
                <w:u w:val="none"/>
                <w:lang w:val="en-US" w:eastAsia="zh-CN" w:bidi="ar"/>
              </w:rPr>
              <w:t>系列检测</w:t>
            </w:r>
            <w:r>
              <w:rPr>
                <w:rStyle w:val="129"/>
                <w:rFonts w:eastAsia="宋体"/>
                <w:highlight w:val="none"/>
                <w:lang w:val="en-US" w:eastAsia="zh-CN" w:bidi="ar"/>
              </w:rPr>
              <w:t>(15CD)</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750</w:t>
            </w:r>
          </w:p>
        </w:tc>
      </w:tr>
      <w:tr>
        <w:tblPrEx>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白血病</w:t>
            </w:r>
            <w:r>
              <w:rPr>
                <w:rStyle w:val="129"/>
                <w:rFonts w:eastAsia="宋体"/>
                <w:highlight w:val="none"/>
                <w:lang w:val="en-US" w:eastAsia="zh-CN" w:bidi="ar"/>
              </w:rPr>
              <w:t>CD</w:t>
            </w:r>
            <w:r>
              <w:rPr>
                <w:rFonts w:hint="eastAsia" w:ascii="宋体" w:hAnsi="宋体" w:eastAsia="宋体" w:cs="宋体"/>
                <w:i w:val="0"/>
                <w:iCs w:val="0"/>
                <w:color w:val="000000"/>
                <w:kern w:val="0"/>
                <w:sz w:val="20"/>
                <w:szCs w:val="20"/>
                <w:highlight w:val="none"/>
                <w:u w:val="none"/>
                <w:lang w:val="en-US" w:eastAsia="zh-CN" w:bidi="ar"/>
              </w:rPr>
              <w:t>系列检测</w:t>
            </w:r>
            <w:r>
              <w:rPr>
                <w:rStyle w:val="129"/>
                <w:rFonts w:eastAsia="宋体"/>
                <w:highlight w:val="none"/>
                <w:lang w:val="en-US" w:eastAsia="zh-CN" w:bidi="ar"/>
              </w:rPr>
              <w:t xml:space="preserve"> (28 CD)</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CALR</w:t>
            </w:r>
            <w:r>
              <w:rPr>
                <w:rFonts w:hint="eastAsia" w:ascii="宋体" w:hAnsi="宋体" w:eastAsia="宋体" w:cs="宋体"/>
                <w:i w:val="0"/>
                <w:iCs w:val="0"/>
                <w:color w:val="000000"/>
                <w:kern w:val="0"/>
                <w:sz w:val="20"/>
                <w:szCs w:val="20"/>
                <w:highlight w:val="none"/>
                <w:u w:val="none"/>
                <w:lang w:val="en-US" w:eastAsia="zh-CN" w:bidi="ar"/>
              </w:rPr>
              <w:t>基因突变检测</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外显子</w:t>
            </w:r>
            <w:r>
              <w:rPr>
                <w:rStyle w:val="129"/>
                <w:rFonts w:eastAsia="宋体"/>
                <w:highlight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片段分析</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113</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FLT3</w:t>
            </w:r>
            <w:r>
              <w:rPr>
                <w:rFonts w:hint="eastAsia" w:ascii="宋体" w:hAnsi="宋体" w:eastAsia="宋体" w:cs="宋体"/>
                <w:i w:val="0"/>
                <w:iCs w:val="0"/>
                <w:color w:val="000000"/>
                <w:kern w:val="0"/>
                <w:sz w:val="20"/>
                <w:szCs w:val="20"/>
                <w:highlight w:val="none"/>
                <w:u w:val="none"/>
                <w:lang w:val="en-US" w:eastAsia="zh-CN" w:bidi="ar"/>
              </w:rPr>
              <w:t>基因</w:t>
            </w:r>
            <w:r>
              <w:rPr>
                <w:rStyle w:val="129"/>
                <w:rFonts w:eastAsia="宋体"/>
                <w:highlight w:val="none"/>
                <w:lang w:val="en-US" w:eastAsia="zh-CN" w:bidi="ar"/>
              </w:rPr>
              <w:t>ITD</w:t>
            </w:r>
            <w:r>
              <w:rPr>
                <w:rFonts w:hint="eastAsia" w:ascii="宋体" w:hAnsi="宋体" w:eastAsia="宋体" w:cs="宋体"/>
                <w:i w:val="0"/>
                <w:iCs w:val="0"/>
                <w:color w:val="000000"/>
                <w:kern w:val="0"/>
                <w:sz w:val="20"/>
                <w:szCs w:val="20"/>
                <w:highlight w:val="none"/>
                <w:u w:val="none"/>
                <w:lang w:val="en-US" w:eastAsia="zh-CN" w:bidi="ar"/>
              </w:rPr>
              <w:t>突变检测</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片段分析</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114</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JAK2</w:t>
            </w:r>
            <w:r>
              <w:rPr>
                <w:rFonts w:hint="eastAsia" w:ascii="宋体" w:hAnsi="宋体" w:eastAsia="宋体" w:cs="宋体"/>
                <w:i w:val="0"/>
                <w:iCs w:val="0"/>
                <w:color w:val="000000"/>
                <w:kern w:val="0"/>
                <w:sz w:val="20"/>
                <w:szCs w:val="20"/>
                <w:highlight w:val="none"/>
                <w:u w:val="none"/>
                <w:lang w:val="en-US" w:eastAsia="zh-CN" w:bidi="ar"/>
              </w:rPr>
              <w:t>基因突变检测</w:t>
            </w:r>
            <w:r>
              <w:rPr>
                <w:rStyle w:val="129"/>
                <w:rFonts w:eastAsia="宋体"/>
                <w:highlight w:val="none"/>
                <w:lang w:val="en-US" w:eastAsia="zh-CN" w:bidi="ar"/>
              </w:rPr>
              <w:t>(Sanger</w:t>
            </w:r>
            <w:r>
              <w:rPr>
                <w:rFonts w:hint="eastAsia" w:ascii="宋体" w:hAnsi="宋体" w:eastAsia="宋体" w:cs="宋体"/>
                <w:i w:val="0"/>
                <w:iCs w:val="0"/>
                <w:color w:val="000000"/>
                <w:kern w:val="0"/>
                <w:sz w:val="20"/>
                <w:szCs w:val="20"/>
                <w:highlight w:val="none"/>
                <w:u w:val="none"/>
                <w:lang w:val="en-US" w:eastAsia="zh-CN" w:bidi="ar"/>
              </w:rPr>
              <w:t>测序</w:t>
            </w:r>
            <w:r>
              <w:rPr>
                <w:rStyle w:val="129"/>
                <w:rFonts w:eastAsia="宋体"/>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外显子</w:t>
            </w:r>
            <w:r>
              <w:rPr>
                <w:rStyle w:val="129"/>
                <w:rFonts w:eastAsia="宋体"/>
                <w:highlight w:val="none"/>
                <w:lang w:val="en-US" w:eastAsia="zh-CN" w:bidi="ar"/>
              </w:rPr>
              <w:t>12&amp;13)__</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115</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29"/>
                <w:rFonts w:eastAsia="宋体"/>
                <w:highlight w:val="none"/>
                <w:lang w:val="en-US" w:eastAsia="zh-CN" w:bidi="ar"/>
              </w:rPr>
              <w:t>MPL</w:t>
            </w:r>
            <w:r>
              <w:rPr>
                <w:rFonts w:hint="eastAsia" w:ascii="宋体" w:hAnsi="宋体" w:eastAsia="宋体" w:cs="宋体"/>
                <w:i w:val="0"/>
                <w:iCs w:val="0"/>
                <w:color w:val="000000"/>
                <w:kern w:val="0"/>
                <w:sz w:val="20"/>
                <w:szCs w:val="20"/>
                <w:highlight w:val="none"/>
                <w:u w:val="none"/>
                <w:lang w:val="en-US" w:eastAsia="zh-CN" w:bidi="ar"/>
              </w:rPr>
              <w:t>基因突变检测</w:t>
            </w:r>
            <w:r>
              <w:rPr>
                <w:rStyle w:val="129"/>
                <w:rFonts w:eastAsia="宋体"/>
                <w:highlight w:val="none"/>
                <w:lang w:val="en-US" w:eastAsia="zh-CN" w:bidi="ar"/>
              </w:rPr>
              <w:t>(Sanger</w:t>
            </w:r>
            <w:r>
              <w:rPr>
                <w:rFonts w:hint="eastAsia" w:ascii="宋体" w:hAnsi="宋体" w:eastAsia="宋体" w:cs="宋体"/>
                <w:i w:val="0"/>
                <w:iCs w:val="0"/>
                <w:color w:val="000000"/>
                <w:kern w:val="0"/>
                <w:sz w:val="20"/>
                <w:szCs w:val="20"/>
                <w:highlight w:val="none"/>
                <w:u w:val="none"/>
                <w:lang w:val="en-US" w:eastAsia="zh-CN" w:bidi="ar"/>
              </w:rPr>
              <w:t>测序</w:t>
            </w:r>
            <w:r>
              <w:rPr>
                <w:rStyle w:val="129"/>
                <w:rFonts w:eastAsia="宋体"/>
                <w:highlight w:val="none"/>
                <w:lang w:val="en-US" w:eastAsia="zh-CN" w:bidi="ar"/>
              </w:rPr>
              <w:t>,W515)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116</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骨髓细胞染色体核型分析</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117</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染色体微阵列分析</w:t>
            </w:r>
            <w:r>
              <w:rPr>
                <w:rStyle w:val="129"/>
                <w:rFonts w:eastAsia="宋体"/>
                <w:highlight w:val="none"/>
                <w:lang w:val="en-US" w:eastAsia="zh-CN" w:bidi="ar"/>
              </w:rPr>
              <w:t>(HD,</w:t>
            </w:r>
            <w:r>
              <w:rPr>
                <w:rFonts w:hint="eastAsia" w:ascii="宋体" w:hAnsi="宋体" w:eastAsia="宋体" w:cs="宋体"/>
                <w:i w:val="0"/>
                <w:iCs w:val="0"/>
                <w:color w:val="000000"/>
                <w:kern w:val="0"/>
                <w:sz w:val="20"/>
                <w:szCs w:val="20"/>
                <w:highlight w:val="none"/>
                <w:u w:val="none"/>
                <w:lang w:val="en-US" w:eastAsia="zh-CN" w:bidi="ar"/>
              </w:rPr>
              <w:t>流产物</w:t>
            </w:r>
            <w:r>
              <w:rPr>
                <w:rStyle w:val="129"/>
                <w:rFonts w:eastAsia="宋体"/>
                <w:highlight w:val="none"/>
                <w:lang w:val="en-US" w:eastAsia="zh-CN" w:bidi="ar"/>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118</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w:t>
            </w:r>
            <w:r>
              <w:rPr>
                <w:rStyle w:val="129"/>
                <w:rFonts w:eastAsia="宋体"/>
                <w:highlight w:val="none"/>
                <w:lang w:val="en-US" w:eastAsia="zh-CN" w:bidi="ar"/>
              </w:rPr>
              <w:t>HCG</w:t>
            </w:r>
            <w:r>
              <w:rPr>
                <w:rFonts w:hint="eastAsia" w:ascii="宋体" w:hAnsi="宋体" w:eastAsia="宋体" w:cs="宋体"/>
                <w:i w:val="0"/>
                <w:iCs w:val="0"/>
                <w:color w:val="000000"/>
                <w:kern w:val="0"/>
                <w:sz w:val="20"/>
                <w:szCs w:val="20"/>
                <w:highlight w:val="none"/>
                <w:u w:val="none"/>
                <w:lang w:val="en-US" w:eastAsia="zh-CN" w:bidi="ar"/>
              </w:rPr>
              <w:t>抗体</w:t>
            </w:r>
            <w:r>
              <w:rPr>
                <w:rStyle w:val="129"/>
                <w:rFonts w:eastAsia="宋体"/>
                <w:highlight w:val="none"/>
                <w:lang w:val="en-US" w:eastAsia="zh-CN" w:bidi="ar"/>
              </w:rPr>
              <w:t>(HCG-Ab)</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119</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抗卵巢抗体</w:t>
            </w:r>
            <w:r>
              <w:rPr>
                <w:rStyle w:val="129"/>
                <w:rFonts w:eastAsia="宋体"/>
                <w:highlight w:val="none"/>
                <w:lang w:val="en-US" w:eastAsia="zh-CN" w:bidi="ar"/>
              </w:rPr>
              <w:t>(AoAb)</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120</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抗子宫内膜抗体</w:t>
            </w:r>
            <w:r>
              <w:rPr>
                <w:rStyle w:val="129"/>
                <w:rFonts w:eastAsia="宋体"/>
                <w:highlight w:val="none"/>
                <w:lang w:val="en-US" w:eastAsia="zh-CN" w:bidi="ar"/>
              </w:rPr>
              <w:t>(EmAb)</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121</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抗心磷脂抗体</w:t>
            </w:r>
            <w:r>
              <w:rPr>
                <w:rStyle w:val="129"/>
                <w:rFonts w:eastAsia="宋体"/>
                <w:highlight w:val="none"/>
                <w:lang w:val="en-US" w:eastAsia="zh-CN" w:bidi="ar"/>
              </w:rPr>
              <w:t xml:space="preserve">(ACA) </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122</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抗精子抗体</w:t>
            </w:r>
            <w:r>
              <w:rPr>
                <w:rStyle w:val="129"/>
                <w:rFonts w:eastAsia="宋体"/>
                <w:highlight w:val="none"/>
                <w:lang w:val="en-US" w:eastAsia="zh-CN" w:bidi="ar"/>
              </w:rPr>
              <w:t>(AsAb)</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36</w:t>
            </w:r>
          </w:p>
        </w:tc>
      </w:tr>
    </w:tbl>
    <w:p>
      <w:pPr>
        <w:pStyle w:val="124"/>
        <w:numPr>
          <w:ilvl w:val="0"/>
          <w:numId w:val="0"/>
        </w:numPr>
        <w:spacing w:line="360" w:lineRule="auto"/>
        <w:jc w:val="left"/>
        <w:rPr>
          <w:rFonts w:hint="default" w:ascii="宋体" w:hAnsi="宋体" w:cs="宋体"/>
          <w:b/>
          <w:bCs/>
          <w:sz w:val="24"/>
          <w:szCs w:val="24"/>
          <w:highlight w:val="none"/>
          <w:lang w:val="en-US" w:eastAsia="zh-CN"/>
        </w:rPr>
      </w:pPr>
    </w:p>
    <w:p>
      <w:pPr>
        <w:pStyle w:val="124"/>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default" w:ascii="宋体" w:hAnsi="宋体" w:eastAsia="宋体" w:cs="宋体"/>
          <w:b/>
          <w:bCs/>
          <w:sz w:val="24"/>
          <w:szCs w:val="24"/>
          <w:highlight w:val="none"/>
          <w:lang w:val="en-US" w:eastAsia="zh-CN"/>
        </w:rPr>
        <w:t>服务内容及范围：</w:t>
      </w:r>
      <w:r>
        <w:rPr>
          <w:rFonts w:hint="default" w:ascii="宋体" w:hAnsi="宋体" w:eastAsia="宋体" w:cs="宋体"/>
          <w:sz w:val="24"/>
          <w:szCs w:val="24"/>
          <w:highlight w:val="none"/>
          <w:lang w:val="en-US" w:eastAsia="zh-CN"/>
        </w:rPr>
        <w:t>提供临床检验及病理相关项目的检测服务</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（1）提供临床检验、病理相关项目的检测服务，按要求及时足量配送专用采样耗材。</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（2）出报告时间：自标本采集后---激素类 24小时；感染性疾病 24-48小时；心血管内分泌、HPV病毒检测 48-72小时；血液病、自身免疫性疾病检测 3-4个工作日；神经自免、优生优育 7个工作日；普通病理报告3个工作日。</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（3）每周周一到周日均到医院检验科收集标本及送检验报告（法定重大节日除外），对外包检验标本进行妥善保管，保管时限为 7 日以上，病理标本按要求保管。</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（4）能够实现在远程查询打印，必要时信息系统对接等服务。在院免费安装打印所需的电脑、打印机等。及时报送纸质报告。如医院对报告结果出现疑虑，应负责解释，必要时尽快免费复查后回复。</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（5）制定完善有效的应急制度和应急措施。</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（6）向采购人提供医学检验相关学术指导，提供与检验检疫有关的各种培训。</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（7）特殊情况响应情况：</w:t>
      </w:r>
    </w:p>
    <w:p>
      <w:pPr>
        <w:pStyle w:val="124"/>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1）如遇急查标本，收样人员</w:t>
      </w:r>
      <w:r>
        <w:rPr>
          <w:rFonts w:hint="eastAsia" w:ascii="宋体" w:hAnsi="宋体" w:cs="宋体"/>
          <w:sz w:val="24"/>
          <w:szCs w:val="24"/>
          <w:highlight w:val="none"/>
          <w:lang w:val="en-US" w:eastAsia="zh-CN"/>
        </w:rPr>
        <w:t>120</w:t>
      </w:r>
      <w:r>
        <w:rPr>
          <w:rFonts w:hint="eastAsia" w:ascii="宋体" w:hAnsi="宋体" w:eastAsia="宋体" w:cs="宋体"/>
          <w:sz w:val="24"/>
          <w:szCs w:val="24"/>
          <w:highlight w:val="none"/>
          <w:lang w:eastAsia="zh-CN"/>
        </w:rPr>
        <w:t>分钟内到达指定收样地点，标本到达实验室后视项目类型加急处理结果</w:t>
      </w:r>
      <w:r>
        <w:rPr>
          <w:rFonts w:hint="eastAsia" w:ascii="宋体" w:hAnsi="宋体" w:cs="宋体"/>
          <w:sz w:val="24"/>
          <w:szCs w:val="24"/>
          <w:highlight w:val="none"/>
          <w:lang w:eastAsia="zh-CN"/>
        </w:rPr>
        <w:t>。</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）如遇结果疑问需答疑，业务代表5分钟内电话沟通解决，30分钟内到达医院指定地点现场答疑。</w:t>
      </w:r>
    </w:p>
    <w:p>
      <w:pPr>
        <w:pStyle w:val="124"/>
        <w:spacing w:line="360" w:lineRule="auto"/>
        <w:ind w:firstLine="0" w:firstLineChars="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cs="宋体"/>
          <w:sz w:val="24"/>
          <w:szCs w:val="24"/>
          <w:highlight w:val="none"/>
        </w:rPr>
        <w:t>*</w:t>
      </w:r>
      <w:r>
        <w:rPr>
          <w:rFonts w:hint="eastAsia" w:ascii="宋体" w:hAnsi="宋体" w:eastAsia="宋体" w:cs="宋体"/>
          <w:b/>
          <w:bCs/>
          <w:sz w:val="24"/>
          <w:szCs w:val="24"/>
          <w:highlight w:val="none"/>
          <w:lang w:eastAsia="zh-CN"/>
        </w:rPr>
        <w:t>技术要求：</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1、人员配置要求：技术团队</w:t>
      </w:r>
      <w:r>
        <w:rPr>
          <w:rFonts w:hint="eastAsia" w:ascii="宋体" w:hAnsi="宋体" w:cs="宋体"/>
          <w:sz w:val="24"/>
          <w:szCs w:val="24"/>
          <w:highlight w:val="none"/>
          <w:lang w:val="en-US" w:eastAsia="zh-CN"/>
        </w:rPr>
        <w:t>必须</w:t>
      </w:r>
      <w:r>
        <w:rPr>
          <w:rFonts w:hint="eastAsia" w:ascii="宋体" w:hAnsi="宋体" w:eastAsia="宋体" w:cs="宋体"/>
          <w:sz w:val="24"/>
          <w:szCs w:val="24"/>
          <w:highlight w:val="none"/>
          <w:lang w:eastAsia="zh-CN"/>
        </w:rPr>
        <w:t>具有检验</w:t>
      </w:r>
      <w:r>
        <w:rPr>
          <w:rFonts w:hint="eastAsia" w:ascii="宋体" w:hAnsi="宋体" w:cs="宋体"/>
          <w:sz w:val="24"/>
          <w:szCs w:val="24"/>
          <w:highlight w:val="none"/>
          <w:lang w:val="en-US" w:eastAsia="zh-CN"/>
        </w:rPr>
        <w:t>类</w:t>
      </w:r>
      <w:r>
        <w:rPr>
          <w:rFonts w:hint="eastAsia" w:ascii="宋体" w:hAnsi="宋体" w:eastAsia="宋体" w:cs="宋体"/>
          <w:sz w:val="24"/>
          <w:szCs w:val="24"/>
          <w:highlight w:val="none"/>
          <w:lang w:eastAsia="zh-CN"/>
        </w:rPr>
        <w:t>专业</w:t>
      </w:r>
      <w:r>
        <w:rPr>
          <w:rFonts w:hint="eastAsia" w:ascii="宋体" w:hAnsi="宋体" w:cs="宋体"/>
          <w:sz w:val="24"/>
          <w:szCs w:val="24"/>
          <w:highlight w:val="none"/>
          <w:lang w:val="en-US" w:eastAsia="zh-CN"/>
        </w:rPr>
        <w:t>至少</w:t>
      </w:r>
      <w:r>
        <w:rPr>
          <w:rFonts w:hint="eastAsia" w:ascii="宋体" w:hAnsi="宋体" w:eastAsia="宋体" w:cs="宋体"/>
          <w:sz w:val="24"/>
          <w:szCs w:val="24"/>
          <w:highlight w:val="none"/>
          <w:lang w:eastAsia="zh-CN"/>
        </w:rPr>
        <w:t>高级职称人员1名、检验</w:t>
      </w:r>
      <w:r>
        <w:rPr>
          <w:rFonts w:hint="eastAsia" w:ascii="宋体" w:hAnsi="宋体" w:cs="宋体"/>
          <w:sz w:val="24"/>
          <w:szCs w:val="24"/>
          <w:highlight w:val="none"/>
          <w:lang w:val="en-US" w:eastAsia="zh-CN"/>
        </w:rPr>
        <w:t>类</w:t>
      </w:r>
      <w:r>
        <w:rPr>
          <w:rFonts w:hint="eastAsia" w:ascii="宋体" w:hAnsi="宋体" w:eastAsia="宋体" w:cs="宋体"/>
          <w:sz w:val="24"/>
          <w:szCs w:val="24"/>
          <w:highlight w:val="none"/>
          <w:lang w:eastAsia="zh-CN"/>
        </w:rPr>
        <w:t>专业中级</w:t>
      </w:r>
      <w:r>
        <w:rPr>
          <w:rFonts w:hint="eastAsia" w:ascii="宋体" w:hAnsi="宋体" w:cs="宋体"/>
          <w:sz w:val="24"/>
          <w:szCs w:val="24"/>
          <w:highlight w:val="none"/>
          <w:lang w:val="en-US" w:eastAsia="zh-CN"/>
        </w:rPr>
        <w:t>职称</w:t>
      </w:r>
      <w:r>
        <w:rPr>
          <w:rFonts w:hint="eastAsia" w:ascii="宋体" w:hAnsi="宋体" w:eastAsia="宋体" w:cs="宋体"/>
          <w:sz w:val="24"/>
          <w:szCs w:val="24"/>
          <w:highlight w:val="none"/>
          <w:lang w:eastAsia="zh-CN"/>
        </w:rPr>
        <w:t>人员5名；（提供</w:t>
      </w:r>
      <w:r>
        <w:rPr>
          <w:rFonts w:hint="eastAsia" w:ascii="宋体" w:hAnsi="宋体" w:cs="宋体"/>
          <w:sz w:val="24"/>
          <w:szCs w:val="24"/>
          <w:highlight w:val="none"/>
          <w:lang w:val="en-US" w:eastAsia="zh-CN"/>
        </w:rPr>
        <w:t>相关证书及</w:t>
      </w:r>
      <w:r>
        <w:rPr>
          <w:rFonts w:hint="eastAsia" w:ascii="宋体" w:hAnsi="宋体" w:eastAsia="宋体" w:cs="宋体"/>
          <w:sz w:val="24"/>
          <w:szCs w:val="24"/>
          <w:highlight w:val="none"/>
          <w:lang w:eastAsia="zh-CN"/>
        </w:rPr>
        <w:t>劳动</w:t>
      </w:r>
      <w:r>
        <w:rPr>
          <w:rFonts w:hint="eastAsia" w:ascii="宋体" w:hAnsi="宋体" w:cs="宋体"/>
          <w:sz w:val="24"/>
          <w:szCs w:val="24"/>
          <w:highlight w:val="none"/>
          <w:lang w:val="en-US" w:eastAsia="zh-CN"/>
        </w:rPr>
        <w:t>关系证明材料</w:t>
      </w:r>
      <w:r>
        <w:rPr>
          <w:rFonts w:hint="eastAsia" w:ascii="宋体" w:hAnsi="宋体" w:eastAsia="宋体" w:cs="宋体"/>
          <w:sz w:val="24"/>
          <w:szCs w:val="24"/>
          <w:highlight w:val="none"/>
          <w:lang w:eastAsia="zh-CN"/>
        </w:rPr>
        <w:t>）</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2、设施设备配置要求：</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（1）具有高新技术平台：如生化免疫</w:t>
      </w:r>
      <w:r>
        <w:rPr>
          <w:rFonts w:hint="eastAsia" w:ascii="宋体" w:hAnsi="宋体" w:cs="宋体"/>
          <w:sz w:val="24"/>
          <w:szCs w:val="24"/>
          <w:highlight w:val="none"/>
          <w:lang w:val="en-US" w:eastAsia="zh-CN"/>
        </w:rPr>
        <w:t>平台</w:t>
      </w:r>
      <w:r>
        <w:rPr>
          <w:rFonts w:hint="eastAsia" w:ascii="宋体" w:hAnsi="宋体" w:eastAsia="宋体" w:cs="宋体"/>
          <w:sz w:val="24"/>
          <w:szCs w:val="24"/>
          <w:highlight w:val="none"/>
          <w:lang w:eastAsia="zh-CN"/>
        </w:rPr>
        <w:t>、质谱平台、基因测序平台、远程病理会诊中心等。（提供购买发票或租赁合同、投放合同等复印件）</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（2）具有完善的冷链物流服务体系：冷链标本运输箱具备GPS定位和温度监控功能，能实现全程实时监测；具有冷链运输车辆；具有《药品冷链物流运作规范》GB/T28842-2012国家标准试点企业证明；</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3、技术质量体系要求：</w:t>
      </w:r>
    </w:p>
    <w:p>
      <w:pPr>
        <w:pStyle w:val="124"/>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（1）供应商须参加卫生部和省临检中心的室间质评，合格率大于等于90%，保证室内质量控制和检验结果准确</w:t>
      </w:r>
      <w:r>
        <w:rPr>
          <w:rFonts w:hint="eastAsia" w:ascii="宋体" w:hAnsi="宋体" w:cs="宋体"/>
          <w:sz w:val="24"/>
          <w:szCs w:val="24"/>
          <w:highlight w:val="none"/>
          <w:lang w:eastAsia="zh-CN"/>
        </w:rPr>
        <w:t>。</w:t>
      </w:r>
    </w:p>
    <w:p>
      <w:pPr>
        <w:pStyle w:val="124"/>
        <w:shd w:val="clear"/>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（2）供应商获得中国合格评定委员会颁发的ISO15189实验室认可证书；且认证项目数量大于</w:t>
      </w:r>
      <w:r>
        <w:rPr>
          <w:rFonts w:hint="eastAsia" w:ascii="宋体" w:hAnsi="宋体" w:cs="宋体"/>
          <w:sz w:val="24"/>
          <w:szCs w:val="24"/>
          <w:highlight w:val="none"/>
          <w:lang w:val="en-US" w:eastAsia="zh-CN"/>
        </w:rPr>
        <w:t>等于60</w:t>
      </w:r>
      <w:r>
        <w:rPr>
          <w:rFonts w:hint="eastAsia" w:ascii="宋体" w:hAnsi="宋体" w:eastAsia="宋体" w:cs="宋体"/>
          <w:sz w:val="24"/>
          <w:szCs w:val="24"/>
          <w:highlight w:val="none"/>
          <w:lang w:eastAsia="zh-CN"/>
        </w:rPr>
        <w:t>项。（提供相关证明材料）。</w:t>
      </w:r>
    </w:p>
    <w:p>
      <w:pPr>
        <w:pStyle w:val="4"/>
        <w:spacing w:before="120" w:after="120"/>
        <w:rPr>
          <w:rFonts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cs="宋体"/>
          <w:sz w:val="24"/>
          <w:szCs w:val="24"/>
          <w:highlight w:val="none"/>
        </w:rPr>
        <w:t>*</w:t>
      </w:r>
      <w:r>
        <w:rPr>
          <w:rFonts w:hint="eastAsia" w:ascii="宋体" w:hAnsi="宋体" w:eastAsia="宋体" w:cs="宋体"/>
          <w:sz w:val="24"/>
          <w:szCs w:val="24"/>
          <w:highlight w:val="none"/>
        </w:rPr>
        <w:t>商务要求</w:t>
      </w:r>
    </w:p>
    <w:p>
      <w:pPr>
        <w:spacing w:line="360" w:lineRule="auto"/>
        <w:ind w:firstLine="480"/>
        <w:rPr>
          <w:rFonts w:hint="eastAsia" w:ascii="宋体" w:hAnsi="宋体" w:cs="宋体"/>
          <w:sz w:val="24"/>
          <w:highlight w:val="none"/>
        </w:rPr>
      </w:pPr>
      <w:r>
        <w:rPr>
          <w:rFonts w:hint="eastAsia" w:ascii="宋体" w:hAnsi="宋体" w:cs="宋体"/>
          <w:sz w:val="24"/>
          <w:highlight w:val="none"/>
        </w:rPr>
        <w:t>1、服务期限：签订合同之日起</w:t>
      </w:r>
      <w:r>
        <w:rPr>
          <w:rFonts w:hint="eastAsia" w:ascii="宋体" w:hAnsi="宋体" w:cs="宋体"/>
          <w:sz w:val="24"/>
          <w:highlight w:val="none"/>
          <w:lang w:val="en-US" w:eastAsia="zh-CN"/>
        </w:rPr>
        <w:t>一年</w:t>
      </w:r>
      <w:r>
        <w:rPr>
          <w:rFonts w:hint="eastAsia" w:ascii="宋体" w:hAnsi="宋体" w:cs="宋体"/>
          <w:sz w:val="24"/>
          <w:highlight w:val="none"/>
        </w:rPr>
        <w:t>。</w:t>
      </w:r>
    </w:p>
    <w:p>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2、付款方式：</w:t>
      </w:r>
      <w:r>
        <w:rPr>
          <w:rFonts w:hint="eastAsia" w:ascii="宋体" w:hAnsi="宋体" w:cs="宋体"/>
          <w:sz w:val="24"/>
          <w:highlight w:val="none"/>
          <w:lang w:val="en-US" w:eastAsia="zh-CN"/>
        </w:rPr>
        <w:t>采购人根据每月检验检测实际情况进行支付。</w:t>
      </w:r>
    </w:p>
    <w:p>
      <w:pPr>
        <w:spacing w:line="360" w:lineRule="auto"/>
        <w:ind w:firstLine="480"/>
        <w:rPr>
          <w:rFonts w:ascii="宋体" w:hAnsi="宋体" w:cs="宋体"/>
          <w:sz w:val="24"/>
          <w:highlight w:val="none"/>
        </w:rPr>
      </w:pPr>
      <w:r>
        <w:rPr>
          <w:rFonts w:hint="eastAsia" w:ascii="宋体" w:hAnsi="宋体" w:cs="宋体"/>
          <w:sz w:val="24"/>
          <w:highlight w:val="none"/>
        </w:rPr>
        <w:t>3、服务地点：采购人指定地点。</w:t>
      </w:r>
    </w:p>
    <w:p>
      <w:pPr>
        <w:pStyle w:val="13"/>
        <w:spacing w:line="360" w:lineRule="auto"/>
        <w:ind w:firstLine="480"/>
        <w:rPr>
          <w:rFonts w:hint="eastAsia" w:ascii="宋体" w:hAnsi="宋体" w:eastAsia="宋体" w:cs="宋体"/>
          <w:bCs/>
          <w:color w:val="auto"/>
          <w:sz w:val="24"/>
          <w:szCs w:val="24"/>
          <w:highlight w:val="none"/>
        </w:rPr>
      </w:pP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验收：</w:t>
      </w:r>
      <w:r>
        <w:rPr>
          <w:rFonts w:hint="eastAsia" w:ascii="宋体" w:hAnsi="宋体" w:cs="宋体"/>
          <w:kern w:val="0"/>
          <w:sz w:val="24"/>
          <w:highlight w:val="none"/>
        </w:rPr>
        <w:t>严格按照</w:t>
      </w:r>
      <w:r>
        <w:rPr>
          <w:rFonts w:hint="eastAsia" w:ascii="宋体" w:hAnsi="宋体"/>
          <w:sz w:val="24"/>
          <w:highlight w:val="none"/>
        </w:rPr>
        <w:t>政府采购相关法律法规以及</w:t>
      </w:r>
      <w:r>
        <w:rPr>
          <w:rFonts w:hint="eastAsia" w:ascii="宋体" w:hAnsi="宋体" w:cs="仿宋"/>
          <w:sz w:val="24"/>
          <w:highlight w:val="none"/>
          <w:lang w:eastAsia="zh-CN"/>
        </w:rPr>
        <w:t>《财政部关于进一步加强政府采购需求和履约验收管理的指导意见》（财库[2016]205号</w:t>
      </w:r>
      <w:r>
        <w:rPr>
          <w:rFonts w:hint="default" w:ascii="宋体" w:hAnsi="宋体" w:cs="仿宋"/>
          <w:sz w:val="24"/>
          <w:highlight w:val="none"/>
          <w:lang w:eastAsia="zh-CN"/>
        </w:rPr>
        <w:t>）、</w:t>
      </w:r>
      <w:r>
        <w:rPr>
          <w:rFonts w:hint="default" w:ascii="宋体" w:hAnsi="宋体"/>
          <w:sz w:val="24"/>
          <w:highlight w:val="none"/>
        </w:rPr>
        <w:t>《</w:t>
      </w:r>
      <w:r>
        <w:rPr>
          <w:rFonts w:hint="eastAsia" w:ascii="宋体" w:hAnsi="宋体"/>
          <w:sz w:val="24"/>
          <w:highlight w:val="none"/>
          <w:lang w:val="en-US" w:eastAsia="zh-Hans"/>
        </w:rPr>
        <w:t>政府采购需求管理办法</w:t>
      </w:r>
      <w:r>
        <w:rPr>
          <w:rFonts w:hint="default" w:ascii="宋体" w:hAnsi="宋体"/>
          <w:sz w:val="24"/>
          <w:highlight w:val="none"/>
        </w:rPr>
        <w:t>》（</w:t>
      </w:r>
      <w:r>
        <w:rPr>
          <w:rFonts w:hint="eastAsia" w:ascii="宋体" w:hAnsi="宋体"/>
          <w:sz w:val="24"/>
          <w:highlight w:val="none"/>
          <w:lang w:val="en-US" w:eastAsia="zh-Hans"/>
        </w:rPr>
        <w:t>财库</w:t>
      </w:r>
      <w:r>
        <w:rPr>
          <w:rFonts w:hint="eastAsia" w:ascii="宋体" w:hAnsi="宋体"/>
          <w:sz w:val="24"/>
          <w:highlight w:val="none"/>
        </w:rPr>
        <w:t>〔20</w:t>
      </w:r>
      <w:r>
        <w:rPr>
          <w:rFonts w:hint="default" w:ascii="宋体" w:hAnsi="宋体"/>
          <w:sz w:val="24"/>
          <w:highlight w:val="none"/>
        </w:rPr>
        <w:t>21</w:t>
      </w:r>
      <w:r>
        <w:rPr>
          <w:rFonts w:hint="eastAsia" w:ascii="宋体" w:hAnsi="宋体"/>
          <w:sz w:val="24"/>
          <w:highlight w:val="none"/>
        </w:rPr>
        <w:t>〕</w:t>
      </w:r>
      <w:r>
        <w:rPr>
          <w:rFonts w:hint="default" w:ascii="宋体" w:hAnsi="宋体"/>
          <w:sz w:val="24"/>
          <w:highlight w:val="none"/>
        </w:rPr>
        <w:t>22</w:t>
      </w:r>
      <w:r>
        <w:rPr>
          <w:rFonts w:hint="eastAsia" w:ascii="宋体" w:hAnsi="宋体"/>
          <w:sz w:val="24"/>
          <w:highlight w:val="none"/>
          <w:lang w:val="en-US" w:eastAsia="zh-Hans"/>
        </w:rPr>
        <w:t>号</w:t>
      </w:r>
      <w:r>
        <w:rPr>
          <w:rFonts w:hint="default" w:ascii="宋体" w:hAnsi="宋体"/>
          <w:sz w:val="24"/>
          <w:highlight w:val="none"/>
        </w:rPr>
        <w:t>）</w:t>
      </w:r>
      <w:r>
        <w:rPr>
          <w:rFonts w:hint="eastAsia" w:ascii="宋体" w:hAnsi="宋体" w:cs="仿宋"/>
          <w:sz w:val="24"/>
          <w:highlight w:val="none"/>
        </w:rPr>
        <w:t>的要求及国家行业主管部门规定的标准、方法和内容进行验收。</w:t>
      </w:r>
    </w:p>
    <w:p>
      <w:pPr>
        <w:pStyle w:val="2"/>
        <w:rPr>
          <w:rFonts w:hint="eastAsia" w:ascii="宋体" w:hAnsi="宋体" w:eastAsia="宋体" w:cs="宋体"/>
          <w:bCs/>
          <w:color w:val="auto"/>
          <w:sz w:val="24"/>
          <w:szCs w:val="24"/>
          <w:highlight w:val="none"/>
        </w:rPr>
      </w:pPr>
    </w:p>
    <w:p>
      <w:pPr>
        <w:rPr>
          <w:rFonts w:hint="eastAsia"/>
          <w:highlight w:val="none"/>
        </w:rPr>
      </w:pPr>
    </w:p>
    <w:p>
      <w:pPr>
        <w:pStyle w:val="124"/>
        <w:numPr>
          <w:ilvl w:val="0"/>
          <w:numId w:val="6"/>
        </w:numPr>
        <w:spacing w:line="360" w:lineRule="auto"/>
        <w:ind w:firstLine="0" w:firstLineChars="0"/>
        <w:jc w:val="left"/>
        <w:rPr>
          <w:rFonts w:ascii="宋体" w:hAnsi="宋体" w:cs="宋体"/>
          <w:b/>
          <w:bCs/>
          <w:sz w:val="24"/>
          <w:szCs w:val="24"/>
          <w:highlight w:val="none"/>
        </w:rPr>
      </w:pPr>
      <w:r>
        <w:rPr>
          <w:rFonts w:hint="eastAsia" w:ascii="宋体" w:hAnsi="宋体" w:cs="宋体"/>
          <w:b/>
          <w:bCs/>
          <w:sz w:val="24"/>
          <w:szCs w:val="24"/>
          <w:highlight w:val="none"/>
        </w:rPr>
        <w:t>服务方案</w:t>
      </w:r>
    </w:p>
    <w:p>
      <w:pPr>
        <w:pStyle w:val="13"/>
        <w:spacing w:line="360" w:lineRule="auto"/>
        <w:ind w:firstLine="480" w:firstLineChars="0"/>
        <w:rPr>
          <w:rFonts w:hint="eastAsia" w:ascii="宋体" w:hAnsi="宋体" w:cs="宋体"/>
          <w:sz w:val="24"/>
          <w:highlight w:val="none"/>
        </w:rPr>
      </w:pPr>
    </w:p>
    <w:p>
      <w:pPr>
        <w:pStyle w:val="13"/>
        <w:spacing w:line="360" w:lineRule="auto"/>
        <w:ind w:firstLine="480" w:firstLineChars="0"/>
        <w:rPr>
          <w:rFonts w:hint="eastAsia" w:ascii="宋体" w:hAnsi="宋体" w:eastAsia="宋体" w:cs="宋体"/>
          <w:sz w:val="24"/>
          <w:highlight w:val="none"/>
          <w:lang w:eastAsia="zh-CN"/>
        </w:rPr>
      </w:pPr>
      <w:r>
        <w:rPr>
          <w:rFonts w:hint="eastAsia" w:ascii="宋体" w:hAnsi="宋体" w:cs="宋体"/>
          <w:sz w:val="24"/>
          <w:highlight w:val="none"/>
        </w:rPr>
        <w:t>供应商根据磋商文件要求提供针对本项目的服务实施方案，包括</w:t>
      </w:r>
      <w:r>
        <w:rPr>
          <w:rFonts w:hint="eastAsia" w:ascii="宋体" w:hAnsi="宋体" w:cs="宋体"/>
          <w:sz w:val="24"/>
          <w:highlight w:val="none"/>
          <w:lang w:val="en-US" w:eastAsia="zh-CN"/>
        </w:rPr>
        <w:t>但不限于</w:t>
      </w:r>
      <w:r>
        <w:rPr>
          <w:rFonts w:hint="eastAsia" w:ascii="宋体" w:hAnsi="宋体" w:cs="宋体"/>
          <w:sz w:val="24"/>
          <w:highlight w:val="none"/>
        </w:rPr>
        <w:t>：机构设置及管理制度</w:t>
      </w:r>
      <w:r>
        <w:rPr>
          <w:rFonts w:hint="eastAsia" w:ascii="宋体" w:hAnsi="宋体" w:cs="宋体"/>
          <w:sz w:val="24"/>
          <w:highlight w:val="none"/>
          <w:lang w:eastAsia="zh-CN"/>
        </w:rPr>
        <w:t>；</w:t>
      </w:r>
      <w:r>
        <w:rPr>
          <w:rFonts w:hint="eastAsia" w:ascii="宋体" w:hAnsi="宋体" w:cs="宋体"/>
          <w:sz w:val="24"/>
          <w:highlight w:val="none"/>
        </w:rPr>
        <w:t>实施方案</w:t>
      </w:r>
      <w:r>
        <w:rPr>
          <w:rFonts w:hint="eastAsia" w:ascii="宋体" w:hAnsi="宋体" w:cs="宋体"/>
          <w:sz w:val="24"/>
          <w:highlight w:val="none"/>
          <w:lang w:eastAsia="zh-CN"/>
        </w:rPr>
        <w:t>；</w:t>
      </w:r>
      <w:r>
        <w:rPr>
          <w:rFonts w:hint="eastAsia" w:ascii="宋体" w:hAnsi="宋体" w:cs="宋体"/>
          <w:sz w:val="24"/>
          <w:highlight w:val="none"/>
        </w:rPr>
        <w:t>应急方案</w:t>
      </w:r>
      <w:r>
        <w:rPr>
          <w:rFonts w:hint="eastAsia" w:ascii="宋体" w:hAnsi="宋体" w:cs="宋体"/>
          <w:sz w:val="24"/>
          <w:highlight w:val="none"/>
          <w:lang w:eastAsia="zh-CN"/>
        </w:rPr>
        <w:t>；</w:t>
      </w:r>
      <w:r>
        <w:rPr>
          <w:rFonts w:hint="eastAsia" w:ascii="宋体" w:hAnsi="宋体" w:cs="宋体"/>
          <w:sz w:val="24"/>
          <w:highlight w:val="none"/>
          <w:lang w:val="en-US" w:eastAsia="zh-CN"/>
        </w:rPr>
        <w:t>售后服务方案</w:t>
      </w:r>
      <w:r>
        <w:rPr>
          <w:rFonts w:hint="eastAsia" w:ascii="宋体" w:hAnsi="宋体" w:cs="宋体"/>
          <w:sz w:val="24"/>
          <w:highlight w:val="none"/>
          <w:lang w:eastAsia="zh-CN"/>
        </w:rPr>
        <w:t>。</w:t>
      </w:r>
    </w:p>
    <w:p>
      <w:pPr>
        <w:rPr>
          <w:highlight w:val="none"/>
        </w:rPr>
      </w:pPr>
    </w:p>
    <w:p>
      <w:pPr>
        <w:widowControl/>
        <w:spacing w:line="360" w:lineRule="auto"/>
        <w:ind w:firstLine="643" w:firstLineChars="200"/>
        <w:jc w:val="left"/>
        <w:rPr>
          <w:rFonts w:ascii="宋体" w:hAnsi="宋体" w:cs="微软雅黑"/>
          <w:b/>
          <w:bCs/>
          <w:sz w:val="24"/>
          <w:highlight w:val="none"/>
        </w:rPr>
      </w:pPr>
      <w:r>
        <w:rPr>
          <w:rFonts w:hint="eastAsia" w:ascii="宋体" w:hAnsi="宋体"/>
          <w:b/>
          <w:bCs/>
          <w:sz w:val="32"/>
          <w:highlight w:val="none"/>
        </w:rPr>
        <w:t>注：带*号的为实质性要求</w:t>
      </w:r>
    </w:p>
    <w:p>
      <w:pPr>
        <w:pStyle w:val="3"/>
        <w:spacing w:line="240" w:lineRule="auto"/>
        <w:jc w:val="center"/>
        <w:rPr>
          <w:rFonts w:ascii="宋体" w:hAnsi="宋体"/>
          <w:sz w:val="36"/>
          <w:szCs w:val="36"/>
          <w:highlight w:val="none"/>
        </w:rPr>
      </w:pPr>
      <w:r>
        <w:rPr>
          <w:rFonts w:ascii="宋体" w:hAnsi="宋体"/>
          <w:b w:val="0"/>
          <w:sz w:val="32"/>
          <w:highlight w:val="none"/>
        </w:rPr>
        <w:br w:type="page"/>
      </w:r>
      <w:bookmarkStart w:id="74" w:name="_Toc53267586"/>
      <w:r>
        <w:rPr>
          <w:rFonts w:hint="eastAsia" w:ascii="宋体" w:hAnsi="宋体"/>
          <w:sz w:val="36"/>
          <w:szCs w:val="36"/>
          <w:highlight w:val="none"/>
        </w:rPr>
        <w:t>第六章  采购项目实质性要求</w:t>
      </w:r>
      <w:bookmarkEnd w:id="74"/>
    </w:p>
    <w:p>
      <w:pPr>
        <w:rPr>
          <w:highlight w:val="none"/>
        </w:rPr>
      </w:pPr>
    </w:p>
    <w:p>
      <w:pPr>
        <w:widowControl/>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pPr>
        <w:rPr>
          <w:highlight w:val="none"/>
        </w:rPr>
      </w:pPr>
    </w:p>
    <w:p>
      <w:pPr>
        <w:widowControl/>
        <w:jc w:val="left"/>
        <w:rPr>
          <w:rFonts w:ascii="宋体" w:hAnsi="宋体"/>
          <w:b/>
          <w:bCs/>
          <w:kern w:val="44"/>
          <w:sz w:val="36"/>
          <w:szCs w:val="36"/>
          <w:highlight w:val="none"/>
        </w:rPr>
      </w:pPr>
      <w:r>
        <w:rPr>
          <w:rFonts w:ascii="宋体" w:hAnsi="宋体"/>
          <w:sz w:val="36"/>
          <w:szCs w:val="36"/>
          <w:highlight w:val="none"/>
        </w:rPr>
        <w:br w:type="page"/>
      </w:r>
    </w:p>
    <w:p>
      <w:pPr>
        <w:pStyle w:val="3"/>
        <w:spacing w:line="240" w:lineRule="auto"/>
        <w:jc w:val="center"/>
        <w:rPr>
          <w:rFonts w:ascii="宋体" w:hAnsi="宋体"/>
          <w:sz w:val="36"/>
          <w:szCs w:val="36"/>
          <w:highlight w:val="none"/>
        </w:rPr>
      </w:pPr>
      <w:bookmarkStart w:id="75" w:name="_Toc53267587"/>
      <w:r>
        <w:rPr>
          <w:rFonts w:hint="eastAsia" w:ascii="宋体" w:hAnsi="宋体"/>
          <w:sz w:val="36"/>
          <w:szCs w:val="36"/>
          <w:highlight w:val="none"/>
        </w:rPr>
        <w:t>第七章  磋商内容、磋商过程中可实质性变动的内容</w:t>
      </w:r>
      <w:bookmarkEnd w:id="75"/>
    </w:p>
    <w:p>
      <w:pPr>
        <w:widowControl/>
        <w:spacing w:line="360" w:lineRule="auto"/>
        <w:ind w:firstLine="480" w:firstLineChars="200"/>
        <w:jc w:val="left"/>
        <w:rPr>
          <w:rFonts w:ascii="宋体" w:hAnsi="宋体" w:cs="微软雅黑"/>
          <w:sz w:val="24"/>
          <w:highlight w:val="none"/>
        </w:rPr>
      </w:pPr>
    </w:p>
    <w:p>
      <w:pPr>
        <w:tabs>
          <w:tab w:val="left" w:pos="7665"/>
        </w:tabs>
        <w:spacing w:line="480" w:lineRule="auto"/>
        <w:ind w:firstLine="480"/>
        <w:rPr>
          <w:rFonts w:ascii="宋体" w:hAnsi="宋体"/>
          <w:bCs/>
          <w:sz w:val="24"/>
          <w:highlight w:val="none"/>
        </w:rPr>
      </w:pPr>
      <w:r>
        <w:rPr>
          <w:rFonts w:hint="eastAsia" w:ascii="宋体" w:hAnsi="宋体"/>
          <w:bCs/>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jc w:val="left"/>
        <w:rPr>
          <w:rFonts w:ascii="宋体" w:hAnsi="宋体"/>
          <w:b/>
          <w:sz w:val="32"/>
          <w:highlight w:val="none"/>
        </w:rPr>
      </w:pPr>
    </w:p>
    <w:p>
      <w:pPr>
        <w:widowControl/>
        <w:jc w:val="left"/>
        <w:rPr>
          <w:rFonts w:ascii="宋体" w:hAnsi="宋体"/>
          <w:b/>
          <w:sz w:val="32"/>
          <w:highlight w:val="none"/>
        </w:rPr>
      </w:pPr>
      <w:r>
        <w:rPr>
          <w:rFonts w:ascii="宋体" w:hAnsi="宋体"/>
          <w:b/>
          <w:sz w:val="32"/>
          <w:highlight w:val="none"/>
        </w:rPr>
        <w:br w:type="page"/>
      </w:r>
    </w:p>
    <w:p>
      <w:pPr>
        <w:pStyle w:val="3"/>
        <w:spacing w:line="240" w:lineRule="auto"/>
        <w:jc w:val="center"/>
        <w:rPr>
          <w:rFonts w:ascii="宋体" w:hAnsi="宋体"/>
          <w:sz w:val="36"/>
          <w:szCs w:val="36"/>
          <w:highlight w:val="none"/>
        </w:rPr>
      </w:pPr>
      <w:bookmarkStart w:id="76" w:name="_Toc53267588"/>
      <w:r>
        <w:rPr>
          <w:rFonts w:hint="eastAsia" w:ascii="宋体" w:hAnsi="宋体"/>
          <w:sz w:val="36"/>
          <w:szCs w:val="36"/>
          <w:highlight w:val="none"/>
        </w:rPr>
        <w:t>第八章  响应文件格式</w:t>
      </w:r>
      <w:bookmarkEnd w:id="76"/>
    </w:p>
    <w:p>
      <w:pPr>
        <w:tabs>
          <w:tab w:val="left" w:pos="900"/>
        </w:tabs>
        <w:spacing w:line="360" w:lineRule="auto"/>
        <w:jc w:val="center"/>
        <w:rPr>
          <w:rFonts w:ascii="宋体" w:hAnsi="宋体"/>
          <w:b/>
          <w:sz w:val="32"/>
          <w:highlight w:val="none"/>
        </w:rPr>
      </w:pPr>
    </w:p>
    <w:p>
      <w:pPr>
        <w:spacing w:line="360" w:lineRule="auto"/>
        <w:ind w:firstLine="480" w:firstLineChars="200"/>
        <w:rPr>
          <w:rFonts w:ascii="宋体" w:hAnsi="宋体" w:cstheme="minorEastAsia"/>
          <w:sz w:val="24"/>
          <w:highlight w:val="none"/>
        </w:rPr>
      </w:pPr>
      <w:r>
        <w:rPr>
          <w:rFonts w:hint="eastAsia" w:ascii="宋体" w:hAnsi="宋体" w:cstheme="minorEastAsia"/>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宋体" w:hAnsi="宋体" w:cstheme="minorEastAsia"/>
          <w:sz w:val="24"/>
          <w:highlight w:val="none"/>
        </w:rPr>
      </w:pPr>
      <w:r>
        <w:rPr>
          <w:rFonts w:hint="eastAsia" w:ascii="宋体" w:hAnsi="宋体" w:cstheme="minorEastAsia"/>
          <w:sz w:val="24"/>
          <w:highlight w:val="none"/>
        </w:rPr>
        <w:t>二、本章所制响应文件格式有关表格中的备注栏，由供应商根据自身响应情况作解释性说明，不作为必填项。</w:t>
      </w:r>
    </w:p>
    <w:p>
      <w:pPr>
        <w:spacing w:line="360" w:lineRule="auto"/>
        <w:ind w:firstLine="480" w:firstLineChars="200"/>
        <w:rPr>
          <w:rFonts w:ascii="宋体" w:hAnsi="宋体" w:cstheme="minorEastAsia"/>
          <w:sz w:val="24"/>
          <w:highlight w:val="none"/>
        </w:rPr>
      </w:pPr>
      <w:r>
        <w:rPr>
          <w:rFonts w:hint="eastAsia" w:ascii="宋体" w:hAnsi="宋体" w:cstheme="minorEastAsia"/>
          <w:sz w:val="24"/>
          <w:highlight w:val="none"/>
        </w:rPr>
        <w:t>三、本章所制响应文件格式中需要填写的相关内容事项，可能会与本采购项目无关，在不改变响应文件原义、不影响本项目采购需求的情况下，供应商可以不予填写，但应当注明。</w:t>
      </w:r>
    </w:p>
    <w:p>
      <w:pPr>
        <w:tabs>
          <w:tab w:val="left" w:pos="900"/>
        </w:tabs>
        <w:spacing w:line="360" w:lineRule="auto"/>
        <w:jc w:val="center"/>
        <w:rPr>
          <w:rFonts w:ascii="宋体" w:hAnsi="宋体"/>
          <w:b/>
          <w:sz w:val="32"/>
          <w:highlight w:val="none"/>
        </w:rPr>
      </w:pPr>
    </w:p>
    <w:p>
      <w:pPr>
        <w:tabs>
          <w:tab w:val="left" w:pos="900"/>
        </w:tabs>
        <w:spacing w:line="360" w:lineRule="auto"/>
        <w:jc w:val="center"/>
        <w:rPr>
          <w:rFonts w:ascii="宋体" w:hAnsi="宋体"/>
          <w:b/>
          <w:sz w:val="32"/>
          <w:highlight w:val="none"/>
        </w:rPr>
      </w:pPr>
    </w:p>
    <w:p>
      <w:pPr>
        <w:tabs>
          <w:tab w:val="left" w:pos="900"/>
        </w:tabs>
        <w:spacing w:line="360" w:lineRule="auto"/>
        <w:jc w:val="center"/>
        <w:rPr>
          <w:rFonts w:ascii="宋体" w:hAnsi="宋体"/>
          <w:b/>
          <w:sz w:val="32"/>
          <w:highlight w:val="none"/>
        </w:rPr>
      </w:pPr>
    </w:p>
    <w:p>
      <w:pPr>
        <w:tabs>
          <w:tab w:val="left" w:pos="900"/>
        </w:tabs>
        <w:spacing w:line="360" w:lineRule="auto"/>
        <w:jc w:val="center"/>
        <w:rPr>
          <w:rFonts w:ascii="宋体" w:hAnsi="宋体"/>
          <w:b/>
          <w:sz w:val="32"/>
          <w:highlight w:val="none"/>
        </w:rPr>
      </w:pPr>
    </w:p>
    <w:p>
      <w:pPr>
        <w:widowControl/>
        <w:jc w:val="left"/>
        <w:rPr>
          <w:rFonts w:ascii="宋体" w:hAnsi="宋体"/>
          <w:b/>
          <w:sz w:val="32"/>
          <w:szCs w:val="32"/>
          <w:highlight w:val="none"/>
        </w:rPr>
      </w:pPr>
      <w:r>
        <w:rPr>
          <w:rFonts w:ascii="宋体" w:hAnsi="宋体"/>
          <w:b/>
          <w:sz w:val="32"/>
          <w:szCs w:val="32"/>
          <w:highlight w:val="none"/>
        </w:rPr>
        <w:br w:type="page"/>
      </w:r>
    </w:p>
    <w:p>
      <w:pPr>
        <w:tabs>
          <w:tab w:val="left" w:pos="900"/>
        </w:tabs>
        <w:spacing w:line="360" w:lineRule="auto"/>
        <w:jc w:val="center"/>
        <w:rPr>
          <w:rFonts w:ascii="宋体" w:hAnsi="宋体"/>
          <w:b/>
          <w:sz w:val="32"/>
          <w:highlight w:val="none"/>
        </w:rPr>
      </w:pPr>
    </w:p>
    <w:p>
      <w:pPr>
        <w:tabs>
          <w:tab w:val="left" w:pos="900"/>
        </w:tabs>
        <w:spacing w:line="360" w:lineRule="auto"/>
        <w:jc w:val="center"/>
        <w:rPr>
          <w:rFonts w:ascii="宋体" w:hAnsi="宋体"/>
          <w:b/>
          <w:sz w:val="32"/>
          <w:highlight w:val="none"/>
        </w:rPr>
      </w:pPr>
      <w:r>
        <w:rPr>
          <w:rFonts w:ascii="宋体" w:hAnsi="宋体"/>
          <w:b/>
          <w:sz w:val="32"/>
          <w:highlight w:val="none"/>
        </w:rPr>
        <w:t xml:space="preserve">第一部分     </w:t>
      </w:r>
      <w:r>
        <w:rPr>
          <w:rFonts w:hint="eastAsia" w:ascii="宋体" w:hAnsi="宋体"/>
          <w:b/>
          <w:sz w:val="32"/>
          <w:highlight w:val="none"/>
        </w:rPr>
        <w:t>“</w:t>
      </w:r>
      <w:r>
        <w:rPr>
          <w:rFonts w:ascii="宋体" w:hAnsi="宋体"/>
          <w:b/>
          <w:sz w:val="32"/>
          <w:highlight w:val="none"/>
        </w:rPr>
        <w:t>资格性响应文件</w:t>
      </w:r>
      <w:r>
        <w:rPr>
          <w:rFonts w:hint="eastAsia" w:ascii="宋体" w:hAnsi="宋体"/>
          <w:b/>
          <w:sz w:val="32"/>
          <w:highlight w:val="none"/>
        </w:rPr>
        <w:t>”</w:t>
      </w:r>
      <w:r>
        <w:rPr>
          <w:rFonts w:ascii="宋体" w:hAnsi="宋体"/>
          <w:b/>
          <w:sz w:val="32"/>
          <w:highlight w:val="none"/>
        </w:rPr>
        <w:t>格式</w:t>
      </w:r>
    </w:p>
    <w:p>
      <w:pPr>
        <w:spacing w:line="360" w:lineRule="auto"/>
        <w:rPr>
          <w:rFonts w:ascii="宋体" w:hAnsi="宋体"/>
          <w:b/>
          <w:sz w:val="32"/>
          <w:szCs w:val="32"/>
          <w:highlight w:val="none"/>
        </w:rPr>
      </w:pPr>
    </w:p>
    <w:p>
      <w:pPr>
        <w:spacing w:line="360" w:lineRule="auto"/>
        <w:rPr>
          <w:rFonts w:ascii="宋体" w:hAnsi="宋体"/>
          <w:b/>
          <w:sz w:val="32"/>
          <w:szCs w:val="32"/>
          <w:highlight w:val="none"/>
        </w:rPr>
      </w:pPr>
      <w:r>
        <w:rPr>
          <w:rFonts w:hint="eastAsia" w:ascii="宋体" w:hAnsi="宋体"/>
          <w:b/>
          <w:sz w:val="32"/>
          <w:szCs w:val="32"/>
          <w:highlight w:val="none"/>
        </w:rPr>
        <w:t>封面：</w:t>
      </w:r>
    </w:p>
    <w:p>
      <w:pPr>
        <w:spacing w:line="360" w:lineRule="auto"/>
        <w:jc w:val="right"/>
        <w:rPr>
          <w:rFonts w:ascii="宋体" w:hAnsi="宋体"/>
          <w:b/>
          <w:sz w:val="36"/>
          <w:highlight w:val="none"/>
        </w:rPr>
      </w:pPr>
      <w:r>
        <w:rPr>
          <w:rFonts w:ascii="宋体" w:hAnsi="宋体"/>
          <w:b/>
          <w:sz w:val="36"/>
          <w:highlight w:val="none"/>
        </w:rPr>
        <w:t>（正本/副本）</w:t>
      </w:r>
    </w:p>
    <w:p>
      <w:pPr>
        <w:spacing w:line="360" w:lineRule="auto"/>
        <w:rPr>
          <w:rFonts w:ascii="宋体" w:hAnsi="宋体"/>
          <w:b/>
          <w:sz w:val="32"/>
          <w:szCs w:val="32"/>
          <w:highlight w:val="none"/>
        </w:rPr>
      </w:pPr>
    </w:p>
    <w:p>
      <w:pPr>
        <w:spacing w:line="360" w:lineRule="auto"/>
        <w:rPr>
          <w:rFonts w:ascii="宋体" w:hAnsi="宋体"/>
          <w:b/>
          <w:sz w:val="32"/>
          <w:szCs w:val="32"/>
          <w:highlight w:val="none"/>
        </w:rPr>
      </w:pPr>
    </w:p>
    <w:p>
      <w:pPr>
        <w:spacing w:line="360" w:lineRule="auto"/>
        <w:jc w:val="center"/>
        <w:rPr>
          <w:rFonts w:ascii="宋体" w:hAnsi="宋体"/>
          <w:b/>
          <w:sz w:val="72"/>
          <w:highlight w:val="none"/>
        </w:rPr>
      </w:pPr>
      <w:r>
        <w:rPr>
          <w:rFonts w:hint="eastAsia" w:ascii="宋体" w:hAnsi="宋体"/>
          <w:b/>
          <w:sz w:val="40"/>
          <w:szCs w:val="48"/>
          <w:highlight w:val="none"/>
          <w:u w:val="single"/>
        </w:rPr>
        <w:t xml:space="preserve">                      </w:t>
      </w:r>
      <w:r>
        <w:rPr>
          <w:rFonts w:hint="eastAsia" w:ascii="宋体" w:hAnsi="宋体"/>
          <w:b/>
          <w:sz w:val="40"/>
          <w:szCs w:val="48"/>
          <w:highlight w:val="none"/>
        </w:rPr>
        <w:t>项目</w:t>
      </w:r>
    </w:p>
    <w:p>
      <w:pPr>
        <w:spacing w:line="360" w:lineRule="auto"/>
        <w:rPr>
          <w:rFonts w:ascii="宋体" w:hAnsi="宋体"/>
          <w:b/>
          <w:sz w:val="52"/>
          <w:szCs w:val="52"/>
          <w:highlight w:val="none"/>
        </w:rPr>
      </w:pPr>
    </w:p>
    <w:p>
      <w:pPr>
        <w:pStyle w:val="2"/>
        <w:jc w:val="center"/>
        <w:rPr>
          <w:color w:val="auto"/>
          <w:highlight w:val="none"/>
        </w:rPr>
      </w:pPr>
      <w:r>
        <w:rPr>
          <w:rFonts w:hint="eastAsia" w:hAnsi="宋体" w:cs="Times New Roman"/>
          <w:b/>
          <w:color w:val="auto"/>
          <w:kern w:val="2"/>
          <w:sz w:val="52"/>
          <w:szCs w:val="52"/>
          <w:highlight w:val="none"/>
        </w:rPr>
        <w:t>资格性响应文件</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643" w:firstLineChars="200"/>
        <w:jc w:val="left"/>
        <w:rPr>
          <w:rFonts w:ascii="宋体" w:hAnsi="宋体"/>
          <w:b/>
          <w:sz w:val="32"/>
          <w:highlight w:val="none"/>
          <w:u w:val="single"/>
        </w:rPr>
      </w:pPr>
      <w:r>
        <w:rPr>
          <w:rFonts w:hint="eastAsia" w:ascii="宋体" w:hAnsi="宋体"/>
          <w:b/>
          <w:sz w:val="32"/>
          <w:highlight w:val="none"/>
        </w:rPr>
        <w:t>供应商</w:t>
      </w:r>
      <w:r>
        <w:rPr>
          <w:rFonts w:ascii="宋体" w:hAnsi="宋体"/>
          <w:b/>
          <w:sz w:val="32"/>
          <w:highlight w:val="none"/>
        </w:rPr>
        <w:t>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spacing w:line="360" w:lineRule="auto"/>
        <w:ind w:firstLine="643" w:firstLineChars="200"/>
        <w:jc w:val="left"/>
        <w:rPr>
          <w:rFonts w:ascii="宋体" w:hAnsi="宋体"/>
          <w:b/>
          <w:sz w:val="32"/>
          <w:highlight w:val="none"/>
          <w:u w:val="single"/>
        </w:rPr>
      </w:pPr>
      <w:r>
        <w:rPr>
          <w:rFonts w:hint="eastAsia" w:ascii="宋体" w:hAnsi="宋体"/>
          <w:b/>
          <w:sz w:val="32"/>
          <w:highlight w:val="none"/>
          <w:lang w:eastAsia="zh-CN"/>
        </w:rPr>
        <w:t>项 目 编号</w:t>
      </w:r>
      <w:r>
        <w:rPr>
          <w:rFonts w:ascii="宋体" w:hAnsi="宋体"/>
          <w:b/>
          <w:sz w:val="32"/>
          <w:highlight w:val="none"/>
        </w:rPr>
        <w:t>：</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pStyle w:val="17"/>
        <w:rPr>
          <w:rFonts w:ascii="宋体" w:hAnsi="宋体"/>
          <w:b/>
          <w:sz w:val="32"/>
          <w:highlight w:val="none"/>
        </w:rPr>
      </w:pPr>
      <w:r>
        <w:rPr>
          <w:rFonts w:hint="eastAsia" w:ascii="宋体" w:hAnsi="宋体"/>
          <w:b/>
          <w:sz w:val="32"/>
          <w:highlight w:val="none"/>
        </w:rPr>
        <w:t xml:space="preserve">   </w:t>
      </w:r>
    </w:p>
    <w:p>
      <w:pPr>
        <w:spacing w:line="360" w:lineRule="auto"/>
        <w:ind w:firstLine="790" w:firstLineChars="246"/>
        <w:jc w:val="center"/>
        <w:rPr>
          <w:rFonts w:ascii="宋体" w:hAnsi="宋体"/>
          <w:b/>
          <w:sz w:val="32"/>
          <w:highlight w:val="none"/>
        </w:rPr>
      </w:pPr>
    </w:p>
    <w:p>
      <w:pPr>
        <w:spacing w:line="360" w:lineRule="auto"/>
        <w:ind w:firstLine="790" w:firstLineChars="246"/>
        <w:jc w:val="center"/>
        <w:rPr>
          <w:rFonts w:ascii="宋体" w:hAnsi="宋体"/>
          <w:b/>
          <w:sz w:val="32"/>
          <w:highlight w:val="none"/>
        </w:rPr>
      </w:pPr>
    </w:p>
    <w:p>
      <w:pPr>
        <w:spacing w:line="360" w:lineRule="auto"/>
        <w:ind w:firstLine="790" w:firstLineChars="246"/>
        <w:jc w:val="center"/>
        <w:rPr>
          <w:rFonts w:ascii="宋体" w:hAnsi="宋体"/>
          <w:b/>
          <w:sz w:val="32"/>
          <w:highlight w:val="none"/>
        </w:rPr>
      </w:pPr>
      <w:r>
        <w:rPr>
          <w:rFonts w:hint="eastAsia" w:ascii="宋体" w:hAnsi="宋体"/>
          <w:b/>
          <w:sz w:val="32"/>
          <w:highlight w:val="none"/>
        </w:rPr>
        <w:t>日期</w:t>
      </w:r>
      <w:r>
        <w:rPr>
          <w:rFonts w:ascii="宋体" w:hAnsi="宋体"/>
          <w:b/>
          <w:sz w:val="32"/>
          <w:highlight w:val="none"/>
        </w:rPr>
        <w:t>：</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ascii="宋体" w:hAnsi="宋体"/>
          <w:b/>
          <w:sz w:val="32"/>
          <w:highlight w:val="none"/>
        </w:rPr>
        <w:t>年</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ascii="宋体" w:hAnsi="宋体"/>
          <w:b/>
          <w:sz w:val="32"/>
          <w:highlight w:val="none"/>
        </w:rPr>
        <w:t>月</w:t>
      </w:r>
      <w:r>
        <w:rPr>
          <w:rFonts w:ascii="宋体" w:hAnsi="宋体"/>
          <w:b/>
          <w:sz w:val="32"/>
          <w:highlight w:val="none"/>
          <w:u w:val="single"/>
        </w:rPr>
        <w:t xml:space="preserve">    </w:t>
      </w:r>
      <w:r>
        <w:rPr>
          <w:rFonts w:ascii="宋体" w:hAnsi="宋体"/>
          <w:b/>
          <w:sz w:val="32"/>
          <w:highlight w:val="none"/>
        </w:rPr>
        <w:t>日</w:t>
      </w:r>
    </w:p>
    <w:p>
      <w:pPr>
        <w:spacing w:line="360" w:lineRule="auto"/>
        <w:rPr>
          <w:rFonts w:ascii="宋体" w:hAnsi="宋体"/>
          <w:b/>
          <w:sz w:val="32"/>
          <w:szCs w:val="32"/>
          <w:highlight w:val="none"/>
        </w:rPr>
      </w:pPr>
      <w:r>
        <w:rPr>
          <w:rFonts w:ascii="宋体" w:hAnsi="宋体"/>
          <w:b/>
          <w:sz w:val="32"/>
          <w:highlight w:val="none"/>
        </w:rPr>
        <w:br w:type="page"/>
      </w:r>
    </w:p>
    <w:p>
      <w:pPr>
        <w:spacing w:line="360" w:lineRule="auto"/>
        <w:ind w:firstLine="790" w:firstLineChars="246"/>
        <w:jc w:val="center"/>
        <w:rPr>
          <w:rFonts w:ascii="宋体" w:hAnsi="宋体"/>
          <w:b/>
          <w:sz w:val="32"/>
          <w:szCs w:val="32"/>
          <w:highlight w:val="none"/>
        </w:rPr>
      </w:pPr>
      <w:r>
        <w:rPr>
          <w:rFonts w:hint="eastAsia" w:ascii="宋体" w:hAnsi="宋体"/>
          <w:b/>
          <w:sz w:val="32"/>
          <w:szCs w:val="32"/>
          <w:highlight w:val="none"/>
        </w:rPr>
        <w:t>一、法定代表人/单位负责人授权书</w:t>
      </w:r>
    </w:p>
    <w:p>
      <w:pPr>
        <w:widowControl/>
        <w:spacing w:line="360" w:lineRule="atLeast"/>
        <w:ind w:firstLine="472" w:firstLineChars="196"/>
        <w:jc w:val="left"/>
        <w:outlineLvl w:val="1"/>
        <w:rPr>
          <w:rFonts w:ascii="宋体" w:hAnsi="宋体"/>
          <w:b/>
          <w:sz w:val="24"/>
          <w:highlight w:val="none"/>
        </w:rPr>
      </w:pPr>
    </w:p>
    <w:p>
      <w:pPr>
        <w:widowControl/>
        <w:spacing w:line="360" w:lineRule="atLeast"/>
        <w:ind w:firstLine="472" w:firstLineChars="196"/>
        <w:jc w:val="left"/>
        <w:outlineLvl w:val="1"/>
        <w:rPr>
          <w:rFonts w:ascii="宋体" w:hAnsi="宋体"/>
          <w:b/>
          <w:sz w:val="24"/>
          <w:highlight w:val="none"/>
        </w:rPr>
      </w:pPr>
    </w:p>
    <w:p>
      <w:pPr>
        <w:widowControl/>
        <w:spacing w:line="360" w:lineRule="auto"/>
        <w:jc w:val="left"/>
        <w:outlineLvl w:val="1"/>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（采购代理机构名称）：</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本授权声明：</w:t>
      </w:r>
      <w:r>
        <w:rPr>
          <w:rFonts w:hint="eastAsia" w:ascii="宋体" w:hAnsi="宋体"/>
          <w:sz w:val="24"/>
          <w:highlight w:val="none"/>
          <w:u w:val="single"/>
        </w:rPr>
        <w:t xml:space="preserve">            </w:t>
      </w: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（法定代表人/单位负责人姓名、职务）授权</w:t>
      </w:r>
      <w:r>
        <w:rPr>
          <w:rFonts w:hint="eastAsia" w:ascii="宋体" w:hAnsi="宋体"/>
          <w:sz w:val="24"/>
          <w:highlight w:val="none"/>
          <w:u w:val="single"/>
        </w:rPr>
        <w:t xml:space="preserve">             </w:t>
      </w:r>
      <w:r>
        <w:rPr>
          <w:rFonts w:hint="eastAsia" w:ascii="宋体" w:hAnsi="宋体"/>
          <w:sz w:val="24"/>
          <w:highlight w:val="none"/>
        </w:rPr>
        <w:t>（被授权人姓名、职务）为我方 “</w:t>
      </w:r>
      <w:r>
        <w:rPr>
          <w:rFonts w:hint="eastAsia" w:ascii="宋体" w:hAnsi="宋体"/>
          <w:sz w:val="24"/>
          <w:highlight w:val="none"/>
          <w:u w:val="single"/>
        </w:rPr>
        <w:t xml:space="preserve">              </w:t>
      </w:r>
      <w:r>
        <w:rPr>
          <w:rFonts w:hint="eastAsia" w:ascii="宋体" w:hAnsi="宋体"/>
          <w:sz w:val="24"/>
          <w:highlight w:val="none"/>
        </w:rPr>
        <w:t>” （项目名称）（采购编号：</w:t>
      </w:r>
      <w:r>
        <w:rPr>
          <w:rFonts w:hint="eastAsia" w:ascii="宋体" w:hAnsi="宋体"/>
          <w:sz w:val="24"/>
          <w:highlight w:val="none"/>
          <w:u w:val="single"/>
        </w:rPr>
        <w:t xml:space="preserve">             </w:t>
      </w:r>
      <w:r>
        <w:rPr>
          <w:rFonts w:hint="eastAsia" w:ascii="宋体" w:hAnsi="宋体"/>
          <w:sz w:val="24"/>
          <w:highlight w:val="none"/>
        </w:rPr>
        <w:t>）磋商采购活动的合法代表，以我方名义全权处理该项目有关磋商、签订合同以及执行合同等一切事宜。</w:t>
      </w:r>
    </w:p>
    <w:p>
      <w:pPr>
        <w:pStyle w:val="2"/>
        <w:spacing w:line="360" w:lineRule="auto"/>
        <w:rPr>
          <w:color w:val="auto"/>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特此声明。</w:t>
      </w: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法定代表人/单位负责人（委托人）签字或加盖个人印章：</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授权代表（被授权人）签字：</w:t>
      </w:r>
      <w:r>
        <w:rPr>
          <w:rFonts w:hint="eastAsia" w:ascii="宋体" w:hAnsi="宋体"/>
          <w:sz w:val="24"/>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hint="eastAsia" w:ascii="宋体" w:hAnsi="宋体"/>
          <w:b/>
          <w:sz w:val="40"/>
          <w:szCs w:val="48"/>
          <w:highlight w:val="none"/>
          <w:u w:val="single"/>
        </w:rPr>
        <w:t xml:space="preserve">           </w:t>
      </w:r>
      <w:r>
        <w:rPr>
          <w:rFonts w:hint="eastAsia" w:ascii="宋体" w:hAnsi="宋体"/>
          <w:sz w:val="24"/>
          <w:highlight w:val="none"/>
        </w:rPr>
        <w:t>（单位公章）。</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w:t>
      </w:r>
    </w:p>
    <w:p>
      <w:pPr>
        <w:widowControl/>
        <w:spacing w:line="360" w:lineRule="atLeast"/>
        <w:ind w:firstLine="470" w:firstLineChars="196"/>
        <w:jc w:val="left"/>
        <w:outlineLvl w:val="1"/>
        <w:rPr>
          <w:rFonts w:ascii="宋体" w:hAnsi="宋体"/>
          <w:sz w:val="24"/>
          <w:highlight w:val="none"/>
        </w:rPr>
      </w:pPr>
    </w:p>
    <w:p>
      <w:pPr>
        <w:widowControl/>
        <w:spacing w:line="360" w:lineRule="atLeast"/>
        <w:jc w:val="left"/>
        <w:outlineLvl w:val="1"/>
        <w:rPr>
          <w:rFonts w:ascii="宋体" w:hAnsi="宋体"/>
          <w:b/>
          <w:sz w:val="24"/>
          <w:highlight w:val="none"/>
        </w:rPr>
      </w:pPr>
    </w:p>
    <w:p>
      <w:pPr>
        <w:widowControl/>
        <w:spacing w:line="360" w:lineRule="atLeast"/>
        <w:jc w:val="left"/>
        <w:outlineLvl w:val="1"/>
        <w:rPr>
          <w:rFonts w:ascii="宋体" w:hAnsi="宋体"/>
          <w:b/>
          <w:sz w:val="24"/>
          <w:highlight w:val="none"/>
        </w:rPr>
      </w:pPr>
    </w:p>
    <w:p>
      <w:pPr>
        <w:widowControl/>
        <w:spacing w:line="360" w:lineRule="atLeast"/>
        <w:jc w:val="left"/>
        <w:outlineLvl w:val="1"/>
        <w:rPr>
          <w:rFonts w:ascii="宋体" w:hAnsi="宋体"/>
          <w:b/>
          <w:sz w:val="24"/>
          <w:highlight w:val="none"/>
        </w:rPr>
      </w:pPr>
    </w:p>
    <w:p>
      <w:pPr>
        <w:widowControl/>
        <w:spacing w:line="360" w:lineRule="atLeast"/>
        <w:jc w:val="left"/>
        <w:outlineLvl w:val="1"/>
        <w:rPr>
          <w:rFonts w:ascii="宋体" w:hAnsi="宋体"/>
          <w:b/>
          <w:sz w:val="24"/>
          <w:highlight w:val="none"/>
        </w:rPr>
      </w:pPr>
    </w:p>
    <w:p>
      <w:pPr>
        <w:spacing w:line="400" w:lineRule="exact"/>
        <w:ind w:left="840" w:hanging="840" w:hangingChars="350"/>
        <w:jc w:val="left"/>
        <w:rPr>
          <w:rFonts w:ascii="宋体" w:hAnsi="宋体"/>
          <w:sz w:val="24"/>
          <w:highlight w:val="none"/>
        </w:rPr>
      </w:pPr>
      <w:r>
        <w:rPr>
          <w:rFonts w:hint="eastAsia" w:ascii="宋体" w:hAnsi="宋体"/>
          <w:sz w:val="24"/>
          <w:highlight w:val="none"/>
        </w:rPr>
        <w:t>注：</w:t>
      </w:r>
    </w:p>
    <w:p>
      <w:pPr>
        <w:spacing w:line="400" w:lineRule="exact"/>
        <w:ind w:firstLine="480" w:firstLineChars="200"/>
        <w:rPr>
          <w:rFonts w:ascii="宋体" w:hAnsi="宋体"/>
          <w:sz w:val="24"/>
          <w:highlight w:val="none"/>
        </w:rPr>
      </w:pPr>
      <w:r>
        <w:rPr>
          <w:rFonts w:hint="eastAsia" w:ascii="宋体" w:hAnsi="宋体"/>
          <w:sz w:val="24"/>
          <w:highlight w:val="none"/>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宋体" w:hAnsi="宋体"/>
          <w:sz w:val="24"/>
          <w:highlight w:val="none"/>
        </w:rPr>
      </w:pPr>
      <w:r>
        <w:rPr>
          <w:rFonts w:hint="eastAsia" w:ascii="宋体" w:hAnsi="宋体"/>
          <w:sz w:val="24"/>
          <w:highlight w:val="none"/>
        </w:rPr>
        <w:t>2、应附法定代表人身份证明材料复印件和授权代表身份证明材料复印件。</w:t>
      </w:r>
    </w:p>
    <w:p>
      <w:pPr>
        <w:spacing w:line="400" w:lineRule="exact"/>
        <w:ind w:firstLine="480" w:firstLineChars="200"/>
        <w:rPr>
          <w:rFonts w:ascii="宋体" w:hAnsi="宋体"/>
          <w:sz w:val="24"/>
          <w:highlight w:val="none"/>
        </w:rPr>
      </w:pPr>
      <w:r>
        <w:rPr>
          <w:rFonts w:hint="eastAsia" w:ascii="宋体" w:hAnsi="宋体"/>
          <w:sz w:val="24"/>
          <w:highlight w:val="none"/>
        </w:rPr>
        <w:t>3、身份证明材料包括居民身份证或户口本或军官证或护照等。</w:t>
      </w:r>
    </w:p>
    <w:p>
      <w:pPr>
        <w:spacing w:line="400" w:lineRule="exact"/>
        <w:ind w:firstLine="480" w:firstLineChars="200"/>
        <w:rPr>
          <w:rFonts w:ascii="宋体" w:hAnsi="宋体"/>
          <w:sz w:val="24"/>
          <w:highlight w:val="none"/>
        </w:rPr>
      </w:pPr>
      <w:r>
        <w:rPr>
          <w:rFonts w:hint="eastAsia" w:ascii="宋体" w:hAnsi="宋体"/>
          <w:sz w:val="24"/>
          <w:highlight w:val="none"/>
        </w:rPr>
        <w:t>4、身份证明材料应同时提供其在有效期的材料，如居民身份证正、反面复印件。</w:t>
      </w:r>
    </w:p>
    <w:p>
      <w:pPr>
        <w:widowControl/>
        <w:jc w:val="left"/>
        <w:rPr>
          <w:rFonts w:ascii="宋体" w:hAnsi="宋体"/>
          <w:b/>
          <w:sz w:val="32"/>
          <w:szCs w:val="32"/>
          <w:highlight w:val="none"/>
        </w:rPr>
      </w:pPr>
      <w:r>
        <w:rPr>
          <w:rFonts w:ascii="宋体" w:hAnsi="宋体"/>
          <w:b/>
          <w:sz w:val="32"/>
          <w:szCs w:val="32"/>
          <w:highlight w:val="none"/>
        </w:rPr>
        <w:br w:type="page"/>
      </w:r>
    </w:p>
    <w:p>
      <w:pPr>
        <w:spacing w:line="400" w:lineRule="exact"/>
        <w:jc w:val="center"/>
        <w:rPr>
          <w:rFonts w:ascii="宋体" w:hAnsi="宋体"/>
          <w:sz w:val="24"/>
          <w:highlight w:val="none"/>
        </w:rPr>
      </w:pPr>
      <w:r>
        <w:rPr>
          <w:rFonts w:ascii="宋体" w:hAnsi="宋体"/>
          <w:b/>
          <w:sz w:val="32"/>
          <w:szCs w:val="32"/>
          <w:highlight w:val="none"/>
        </w:rPr>
        <w:t>二</w:t>
      </w:r>
      <w:r>
        <w:rPr>
          <w:rFonts w:hint="eastAsia" w:ascii="宋体" w:hAnsi="宋体"/>
          <w:b/>
          <w:sz w:val="32"/>
          <w:szCs w:val="32"/>
          <w:highlight w:val="none"/>
        </w:rPr>
        <w:t>、法定代表人/单位负责人</w:t>
      </w:r>
      <w:r>
        <w:rPr>
          <w:rFonts w:hint="eastAsia" w:ascii="宋体" w:hAnsi="宋体" w:cs="宋体"/>
          <w:b/>
          <w:sz w:val="32"/>
          <w:szCs w:val="32"/>
          <w:highlight w:val="none"/>
        </w:rPr>
        <w:t>身份证明</w:t>
      </w:r>
    </w:p>
    <w:p>
      <w:pPr>
        <w:tabs>
          <w:tab w:val="left" w:pos="6300"/>
        </w:tabs>
        <w:spacing w:line="520" w:lineRule="exact"/>
        <w:ind w:firstLine="573"/>
        <w:rPr>
          <w:rFonts w:ascii="宋体" w:hAnsi="宋体"/>
          <w:sz w:val="24"/>
          <w:highlight w:val="none"/>
          <w:lang w:val="zh-CN"/>
        </w:rPr>
      </w:pPr>
    </w:p>
    <w:p>
      <w:pPr>
        <w:tabs>
          <w:tab w:val="left" w:pos="6300"/>
        </w:tabs>
        <w:spacing w:line="520" w:lineRule="exact"/>
        <w:ind w:firstLine="573"/>
        <w:rPr>
          <w:rFonts w:ascii="宋体" w:hAnsi="宋体"/>
          <w:sz w:val="24"/>
          <w:highlight w:val="none"/>
          <w:lang w:val="zh-CN"/>
        </w:rPr>
      </w:pPr>
    </w:p>
    <w:p>
      <w:pPr>
        <w:tabs>
          <w:tab w:val="left" w:pos="6300"/>
        </w:tabs>
        <w:spacing w:line="520" w:lineRule="exact"/>
        <w:ind w:firstLine="573"/>
        <w:rPr>
          <w:rFonts w:ascii="宋体" w:hAnsi="宋体"/>
          <w:sz w:val="24"/>
          <w:highlight w:val="none"/>
          <w:lang w:val="zh-CN"/>
        </w:rPr>
      </w:pPr>
      <w:r>
        <w:rPr>
          <w:rFonts w:hint="eastAsia" w:ascii="宋体" w:hAnsi="宋体"/>
          <w:sz w:val="24"/>
          <w:highlight w:val="none"/>
          <w:u w:val="single"/>
        </w:rPr>
        <w:t xml:space="preserve">                  </w:t>
      </w:r>
      <w:r>
        <w:rPr>
          <w:rFonts w:hint="eastAsia" w:ascii="宋体" w:hAnsi="宋体"/>
          <w:sz w:val="24"/>
          <w:highlight w:val="none"/>
        </w:rPr>
        <w:t>（采购代理机构名称）</w:t>
      </w:r>
      <w:r>
        <w:rPr>
          <w:rFonts w:hint="eastAsia" w:ascii="宋体" w:hAnsi="宋体"/>
          <w:sz w:val="24"/>
          <w:highlight w:val="none"/>
          <w:lang w:val="zh-CN"/>
        </w:rPr>
        <w:t>：</w:t>
      </w:r>
    </w:p>
    <w:p>
      <w:pPr>
        <w:tabs>
          <w:tab w:val="left" w:pos="6300"/>
        </w:tabs>
        <w:spacing w:line="520" w:lineRule="exact"/>
        <w:ind w:firstLine="720" w:firstLineChars="300"/>
        <w:rPr>
          <w:rFonts w:ascii="宋体" w:hAnsi="宋体"/>
          <w:sz w:val="24"/>
          <w:highlight w:val="none"/>
          <w:lang w:val="zh-CN"/>
        </w:rPr>
      </w:pPr>
      <w:r>
        <w:rPr>
          <w:rFonts w:ascii="宋体" w:hAnsi="宋体"/>
          <w:sz w:val="24"/>
          <w:highlight w:val="none"/>
          <w:u w:val="single"/>
          <w:lang w:val="zh-CN"/>
        </w:rPr>
        <w:t xml:space="preserve">   </w:t>
      </w:r>
      <w:r>
        <w:rPr>
          <w:rFonts w:hint="eastAsia" w:ascii="宋体" w:hAnsi="宋体"/>
          <w:sz w:val="24"/>
          <w:highlight w:val="none"/>
          <w:u w:val="single"/>
        </w:rPr>
        <w:t xml:space="preserve">      </w:t>
      </w:r>
      <w:r>
        <w:rPr>
          <w:rFonts w:hint="eastAsia" w:ascii="宋体" w:hAnsi="宋体"/>
          <w:sz w:val="24"/>
          <w:highlight w:val="none"/>
          <w:lang w:val="zh-CN"/>
        </w:rPr>
        <w:t>（法定代表人</w:t>
      </w:r>
      <w:r>
        <w:rPr>
          <w:rFonts w:hint="eastAsia" w:ascii="宋体" w:hAnsi="宋体"/>
          <w:sz w:val="24"/>
          <w:highlight w:val="none"/>
        </w:rPr>
        <w:t>/单位负责人姓名</w:t>
      </w:r>
      <w:r>
        <w:rPr>
          <w:rFonts w:hint="eastAsia" w:ascii="宋体" w:hAnsi="宋体"/>
          <w:sz w:val="24"/>
          <w:highlight w:val="none"/>
          <w:lang w:val="zh-CN"/>
        </w:rPr>
        <w:t>）在</w:t>
      </w:r>
      <w:r>
        <w:rPr>
          <w:rFonts w:ascii="宋体" w:hAnsi="宋体"/>
          <w:sz w:val="24"/>
          <w:highlight w:val="none"/>
          <w:u w:val="single"/>
          <w:lang w:val="zh-CN"/>
        </w:rPr>
        <w:t xml:space="preserve">          </w:t>
      </w:r>
      <w:r>
        <w:rPr>
          <w:rFonts w:hint="eastAsia" w:ascii="宋体" w:hAnsi="宋体"/>
          <w:sz w:val="24"/>
          <w:highlight w:val="none"/>
          <w:u w:val="single"/>
        </w:rPr>
        <w:t xml:space="preserve">    </w:t>
      </w:r>
      <w:r>
        <w:rPr>
          <w:rFonts w:hint="eastAsia" w:ascii="宋体" w:hAnsi="宋体"/>
          <w:sz w:val="24"/>
          <w:highlight w:val="none"/>
          <w:lang w:val="zh-CN"/>
        </w:rPr>
        <w:t>（供应商名称）处任</w:t>
      </w:r>
      <w:r>
        <w:rPr>
          <w:rFonts w:ascii="宋体" w:hAnsi="宋体"/>
          <w:sz w:val="24"/>
          <w:highlight w:val="none"/>
          <w:u w:val="single"/>
          <w:lang w:val="zh-CN"/>
        </w:rPr>
        <w:t xml:space="preserve">         </w:t>
      </w:r>
      <w:r>
        <w:rPr>
          <w:rFonts w:hint="eastAsia" w:ascii="宋体" w:hAnsi="宋体"/>
          <w:sz w:val="24"/>
          <w:highlight w:val="none"/>
          <w:lang w:val="zh-CN"/>
        </w:rPr>
        <w:t>（职务名称）</w:t>
      </w:r>
      <w:r>
        <w:rPr>
          <w:rFonts w:ascii="宋体" w:hAnsi="宋体"/>
          <w:sz w:val="24"/>
          <w:highlight w:val="none"/>
          <w:u w:val="single"/>
          <w:lang w:val="zh-CN"/>
        </w:rPr>
        <w:t xml:space="preserve">        </w:t>
      </w:r>
      <w:r>
        <w:rPr>
          <w:rFonts w:hint="eastAsia" w:ascii="宋体" w:hAnsi="宋体"/>
          <w:sz w:val="24"/>
          <w:highlight w:val="none"/>
          <w:lang w:val="zh-CN"/>
        </w:rPr>
        <w:t>职务，是</w:t>
      </w:r>
      <w:r>
        <w:rPr>
          <w:rFonts w:ascii="宋体" w:hAnsi="宋体"/>
          <w:sz w:val="24"/>
          <w:highlight w:val="none"/>
          <w:u w:val="single"/>
          <w:lang w:val="zh-CN"/>
        </w:rPr>
        <w:t xml:space="preserve">    </w:t>
      </w:r>
      <w:r>
        <w:rPr>
          <w:rFonts w:hint="eastAsia" w:ascii="宋体" w:hAnsi="宋体"/>
          <w:sz w:val="24"/>
          <w:highlight w:val="none"/>
          <w:u w:val="single"/>
        </w:rPr>
        <w:t xml:space="preserve">    </w:t>
      </w:r>
      <w:r>
        <w:rPr>
          <w:rFonts w:ascii="宋体" w:hAnsi="宋体"/>
          <w:sz w:val="24"/>
          <w:highlight w:val="none"/>
          <w:u w:val="single"/>
          <w:lang w:val="zh-CN"/>
        </w:rPr>
        <w:t xml:space="preserve">  </w:t>
      </w:r>
      <w:r>
        <w:rPr>
          <w:rFonts w:hint="eastAsia" w:ascii="宋体" w:hAnsi="宋体"/>
          <w:sz w:val="24"/>
          <w:highlight w:val="none"/>
          <w:u w:val="single"/>
        </w:rPr>
        <w:t xml:space="preserve">     </w:t>
      </w:r>
      <w:r>
        <w:rPr>
          <w:rFonts w:hint="eastAsia" w:ascii="宋体" w:hAnsi="宋体"/>
          <w:sz w:val="24"/>
          <w:highlight w:val="none"/>
          <w:lang w:val="zh-CN"/>
        </w:rPr>
        <w:t>（供应商名称）的法定代表人</w:t>
      </w:r>
      <w:r>
        <w:rPr>
          <w:rFonts w:hint="eastAsia" w:ascii="宋体" w:hAnsi="宋体"/>
          <w:sz w:val="24"/>
          <w:highlight w:val="none"/>
        </w:rPr>
        <w:t>/单位负责人</w:t>
      </w:r>
      <w:r>
        <w:rPr>
          <w:rFonts w:hint="eastAsia" w:ascii="宋体" w:hAnsi="宋体"/>
          <w:sz w:val="24"/>
          <w:highlight w:val="none"/>
          <w:lang w:val="zh-CN"/>
        </w:rPr>
        <w:t>。</w:t>
      </w:r>
    </w:p>
    <w:p>
      <w:pPr>
        <w:tabs>
          <w:tab w:val="left" w:pos="6300"/>
        </w:tabs>
        <w:spacing w:line="520" w:lineRule="exact"/>
        <w:ind w:firstLine="573"/>
        <w:rPr>
          <w:rFonts w:ascii="宋体" w:hAnsi="宋体"/>
          <w:sz w:val="24"/>
          <w:highlight w:val="none"/>
          <w:lang w:val="zh-CN"/>
        </w:rPr>
      </w:pPr>
      <w:r>
        <w:rPr>
          <w:rFonts w:hint="eastAsia" w:ascii="宋体" w:hAnsi="宋体"/>
          <w:sz w:val="24"/>
          <w:highlight w:val="none"/>
          <w:lang w:val="zh-CN"/>
        </w:rPr>
        <w:t>法定代表人</w:t>
      </w:r>
      <w:r>
        <w:rPr>
          <w:rFonts w:hint="eastAsia" w:ascii="宋体" w:hAnsi="宋体"/>
          <w:sz w:val="24"/>
          <w:highlight w:val="none"/>
        </w:rPr>
        <w:t>/</w:t>
      </w:r>
      <w:r>
        <w:rPr>
          <w:rFonts w:hint="eastAsia" w:ascii="宋体" w:hAnsi="宋体"/>
          <w:sz w:val="24"/>
          <w:highlight w:val="none"/>
          <w:lang w:val="zh-CN"/>
        </w:rPr>
        <w:t>单位负责人联系方式：</w:t>
      </w:r>
      <w:r>
        <w:rPr>
          <w:rFonts w:ascii="宋体" w:hAnsi="宋体"/>
          <w:sz w:val="24"/>
          <w:highlight w:val="none"/>
          <w:u w:val="single"/>
          <w:lang w:val="zh-CN"/>
        </w:rPr>
        <w:t xml:space="preserve">                     </w:t>
      </w:r>
      <w:r>
        <w:rPr>
          <w:rFonts w:hint="eastAsia" w:ascii="宋体" w:hAnsi="宋体"/>
          <w:sz w:val="24"/>
          <w:highlight w:val="none"/>
          <w:lang w:val="zh-CN"/>
        </w:rPr>
        <w:t>。</w:t>
      </w:r>
    </w:p>
    <w:p>
      <w:pPr>
        <w:tabs>
          <w:tab w:val="left" w:pos="6300"/>
        </w:tabs>
        <w:spacing w:line="520" w:lineRule="exact"/>
        <w:ind w:firstLine="573"/>
        <w:rPr>
          <w:rFonts w:ascii="宋体" w:hAnsi="宋体"/>
          <w:sz w:val="24"/>
          <w:highlight w:val="none"/>
          <w:lang w:val="zh-CN"/>
        </w:rPr>
      </w:pPr>
    </w:p>
    <w:p>
      <w:pPr>
        <w:tabs>
          <w:tab w:val="left" w:pos="6300"/>
        </w:tabs>
        <w:spacing w:line="520" w:lineRule="exact"/>
        <w:ind w:firstLine="573"/>
        <w:rPr>
          <w:rFonts w:ascii="宋体" w:hAnsi="宋体"/>
          <w:sz w:val="24"/>
          <w:highlight w:val="none"/>
          <w:lang w:val="zh-CN"/>
        </w:rPr>
      </w:pPr>
      <w:r>
        <w:rPr>
          <w:rFonts w:hint="eastAsia" w:ascii="宋体" w:hAnsi="宋体"/>
          <w:sz w:val="24"/>
          <w:highlight w:val="none"/>
          <w:lang w:val="zh-CN"/>
        </w:rPr>
        <w:t>特此证明。</w:t>
      </w:r>
    </w:p>
    <w:p>
      <w:pPr>
        <w:tabs>
          <w:tab w:val="left" w:pos="6300"/>
        </w:tabs>
        <w:spacing w:line="520" w:lineRule="exact"/>
        <w:rPr>
          <w:rFonts w:ascii="宋体" w:hAnsi="宋体"/>
          <w:sz w:val="24"/>
          <w:highlight w:val="none"/>
          <w:lang w:val="zh-CN"/>
        </w:rPr>
      </w:pPr>
    </w:p>
    <w:p>
      <w:pPr>
        <w:tabs>
          <w:tab w:val="left" w:pos="6300"/>
        </w:tabs>
        <w:spacing w:line="520" w:lineRule="exact"/>
        <w:rPr>
          <w:rFonts w:ascii="宋体" w:hAnsi="宋体"/>
          <w:sz w:val="24"/>
          <w:highlight w:val="none"/>
          <w:lang w:val="zh-CN"/>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hint="eastAsia" w:ascii="宋体" w:hAnsi="宋体"/>
          <w:b/>
          <w:sz w:val="40"/>
          <w:szCs w:val="48"/>
          <w:highlight w:val="none"/>
          <w:u w:val="single"/>
        </w:rPr>
        <w:t xml:space="preserve">            </w:t>
      </w:r>
      <w:r>
        <w:rPr>
          <w:rFonts w:hint="eastAsia" w:ascii="宋体" w:hAnsi="宋体"/>
          <w:sz w:val="24"/>
          <w:highlight w:val="none"/>
        </w:rPr>
        <w:t>（单位公章）。</w:t>
      </w:r>
    </w:p>
    <w:p>
      <w:pPr>
        <w:spacing w:line="520" w:lineRule="exact"/>
        <w:ind w:firstLine="480"/>
        <w:jc w:val="left"/>
        <w:rPr>
          <w:rFonts w:ascii="宋体" w:hAnsi="宋体"/>
          <w:sz w:val="24"/>
          <w:highlight w:val="none"/>
        </w:rPr>
      </w:pPr>
      <w:r>
        <w:rPr>
          <w:rFonts w:hint="eastAsia" w:ascii="宋体" w:hAnsi="宋体"/>
          <w:sz w:val="24"/>
          <w:highlight w:val="none"/>
        </w:rPr>
        <w:t>法定代表人/单位负责人（签字或加盖个人印章）：</w:t>
      </w:r>
      <w:r>
        <w:rPr>
          <w:rFonts w:hint="eastAsia" w:ascii="宋体" w:hAnsi="宋体"/>
          <w:sz w:val="24"/>
          <w:highlight w:val="none"/>
          <w:u w:val="single"/>
        </w:rPr>
        <w:t xml:space="preserve">                  </w:t>
      </w:r>
    </w:p>
    <w:p>
      <w:pPr>
        <w:spacing w:line="520" w:lineRule="exact"/>
        <w:ind w:firstLine="480" w:firstLineChars="200"/>
        <w:rPr>
          <w:rFonts w:ascii="宋体" w:hAnsi="宋体"/>
          <w:sz w:val="24"/>
          <w:highlight w:val="none"/>
          <w:lang w:val="zh-CN"/>
        </w:rPr>
      </w:pPr>
      <w:r>
        <w:rPr>
          <w:rFonts w:hint="eastAsia" w:ascii="宋体" w:hAnsi="宋体"/>
          <w:sz w:val="24"/>
          <w:highlight w:val="none"/>
        </w:rPr>
        <w:t>日  期:</w:t>
      </w:r>
      <w:r>
        <w:rPr>
          <w:rFonts w:hint="eastAsia" w:ascii="宋体" w:hAnsi="宋体"/>
          <w:sz w:val="24"/>
          <w:highlight w:val="none"/>
          <w:u w:val="single"/>
        </w:rPr>
        <w:t xml:space="preserve">                  </w:t>
      </w:r>
      <w:r>
        <w:rPr>
          <w:rFonts w:ascii="宋体" w:hAnsi="宋体"/>
          <w:sz w:val="24"/>
          <w:highlight w:val="none"/>
        </w:rPr>
        <w:t xml:space="preserve"> </w:t>
      </w:r>
      <w:r>
        <w:rPr>
          <w:rFonts w:ascii="宋体" w:hAnsi="宋体"/>
          <w:sz w:val="24"/>
          <w:highlight w:val="none"/>
          <w:lang w:val="zh-CN"/>
        </w:rPr>
        <w:t xml:space="preserve"> </w:t>
      </w:r>
    </w:p>
    <w:p>
      <w:pPr>
        <w:tabs>
          <w:tab w:val="left" w:pos="720"/>
          <w:tab w:val="left" w:pos="6300"/>
        </w:tabs>
        <w:spacing w:line="520" w:lineRule="exact"/>
        <w:ind w:firstLine="573"/>
        <w:rPr>
          <w:rFonts w:ascii="宋体" w:hAnsi="宋体"/>
          <w:b/>
          <w:sz w:val="24"/>
          <w:highlight w:val="none"/>
          <w:lang w:val="zh-CN"/>
        </w:rPr>
      </w:pPr>
    </w:p>
    <w:p>
      <w:pPr>
        <w:tabs>
          <w:tab w:val="left" w:pos="720"/>
          <w:tab w:val="left" w:pos="6300"/>
        </w:tabs>
        <w:spacing w:line="520" w:lineRule="exact"/>
        <w:ind w:firstLine="573"/>
        <w:rPr>
          <w:rFonts w:ascii="宋体" w:hAnsi="宋体"/>
          <w:b/>
          <w:sz w:val="24"/>
          <w:highlight w:val="none"/>
        </w:rPr>
      </w:pPr>
      <w:r>
        <w:rPr>
          <w:rFonts w:hint="eastAsia" w:ascii="宋体" w:hAnsi="宋体"/>
          <w:b/>
          <w:sz w:val="24"/>
          <w:highlight w:val="none"/>
          <w:lang w:val="zh-CN"/>
        </w:rPr>
        <w:t>说明：上述证明文件在</w:t>
      </w:r>
      <w:r>
        <w:rPr>
          <w:rFonts w:hint="eastAsia" w:ascii="宋体" w:hAnsi="宋体"/>
          <w:b/>
          <w:sz w:val="24"/>
          <w:highlight w:val="none"/>
        </w:rPr>
        <w:t>响应</w:t>
      </w:r>
      <w:r>
        <w:rPr>
          <w:rFonts w:hint="eastAsia" w:ascii="宋体" w:hAnsi="宋体"/>
          <w:b/>
          <w:sz w:val="24"/>
          <w:highlight w:val="none"/>
          <w:lang w:val="zh-CN"/>
        </w:rPr>
        <w:t>文件中附有法定代表人/单位负责人身份证复印件（身份证两面均应复印）时才能生效,不允许粘贴。</w:t>
      </w:r>
    </w:p>
    <w:p>
      <w:pPr>
        <w:tabs>
          <w:tab w:val="left" w:pos="720"/>
          <w:tab w:val="left" w:pos="6300"/>
        </w:tabs>
        <w:ind w:firstLine="573"/>
        <w:rPr>
          <w:rFonts w:ascii="宋体" w:hAnsi="宋体"/>
          <w:b/>
          <w:sz w:val="24"/>
          <w:highlight w:val="none"/>
          <w:lang w:val="zh-CN"/>
        </w:rPr>
      </w:pPr>
      <w:r>
        <w:rPr>
          <w:rFonts w:ascii="宋体" w:hAnsi="宋体"/>
          <w:b/>
          <w:sz w:val="24"/>
          <w:highlight w:val="none"/>
        </w:rPr>
        <mc:AlternateContent>
          <mc:Choice Requires="wps">
            <w:drawing>
              <wp:anchor distT="0" distB="0" distL="114300" distR="114300" simplePos="0" relativeHeight="251662336"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35pt;margin-top:49.45pt;height:115.1pt;width:189.4pt;mso-wrap-distance-bottom:0pt;mso-wrap-distance-left:9pt;mso-wrap-distance-right:9pt;mso-wrap-distance-top:0pt;z-index:251662336;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FOAvZAAAACgEAAA8AAAAAAAAAAQAgAAAAIgAA&#10;AGRycy9kb3ducmV2LnhtbFBLAQIUABQAAAAIAIdO4kBRSz1mQAIAAGsEAAAOAAAAAAAAAAEAIAAA&#10;ACgBAABkcnMvZTJvRG9jLnhtbFBLBQYAAAAABgAGAFkBAADa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b/>
          <w:sz w:val="24"/>
          <w:highlight w:val="none"/>
        </w:rPr>
        <mc:AlternateContent>
          <mc:Choice Requires="wps">
            <w:drawing>
              <wp:anchor distT="0" distB="0" distL="114300" distR="114300" simplePos="0" relativeHeight="251661312"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1pt;margin-top:49.45pt;height:115.1pt;width:189.4pt;mso-wrap-distance-bottom:0pt;mso-wrap-distance-left:9pt;mso-wrap-distance-right:9pt;mso-wrap-distance-top:0pt;z-index:251661312;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jIrd9gAAAAJAQAADwAAAAAAAAABACAAAAAiAAAA&#10;ZHJzL2Rvd25yZXYueG1sUEsBAhQAFAAAAAgAh07iQEVUiQFAAgAAawQAAA4AAAAAAAAAAQAgAAAA&#10;JwEAAGRycy9lMm9Eb2MueG1sUEsFBgAAAAAGAAYAWQEAANkF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highlight w:val="none"/>
          <w:lang w:val="zh-CN"/>
        </w:rPr>
      </w:pPr>
      <w:r>
        <w:rPr>
          <w:rFonts w:hint="eastAsia" w:ascii="宋体" w:hAnsi="宋体"/>
          <w:b/>
          <w:sz w:val="24"/>
          <w:highlight w:val="none"/>
          <w:lang w:val="zh-CN"/>
        </w:rPr>
        <w:t>法定代表人/单位负责人身份证样式(仅供参考)：</w:t>
      </w:r>
    </w:p>
    <w:p>
      <w:pPr>
        <w:tabs>
          <w:tab w:val="left" w:pos="720"/>
          <w:tab w:val="left" w:pos="6300"/>
        </w:tabs>
        <w:ind w:firstLine="573"/>
        <w:rPr>
          <w:rFonts w:ascii="宋体" w:hAnsi="宋体"/>
          <w:b/>
          <w:sz w:val="24"/>
          <w:highlight w:val="none"/>
          <w:lang w:val="zh-CN"/>
        </w:rPr>
      </w:pPr>
    </w:p>
    <w:p>
      <w:pPr>
        <w:tabs>
          <w:tab w:val="left" w:pos="720"/>
          <w:tab w:val="left" w:pos="6300"/>
        </w:tabs>
        <w:spacing w:line="360" w:lineRule="auto"/>
        <w:ind w:firstLine="573"/>
        <w:rPr>
          <w:rFonts w:ascii="宋体" w:hAnsi="宋体"/>
          <w:b/>
          <w:sz w:val="24"/>
          <w:highlight w:val="none"/>
          <w:lang w:val="zh-CN"/>
        </w:rPr>
      </w:pPr>
    </w:p>
    <w:p>
      <w:pPr>
        <w:tabs>
          <w:tab w:val="left" w:pos="720"/>
          <w:tab w:val="left" w:pos="6300"/>
        </w:tabs>
        <w:spacing w:line="360" w:lineRule="auto"/>
        <w:ind w:firstLine="573"/>
        <w:rPr>
          <w:rFonts w:ascii="宋体" w:hAnsi="宋体"/>
          <w:b/>
          <w:sz w:val="24"/>
          <w:highlight w:val="none"/>
          <w:lang w:val="zh-CN"/>
        </w:rPr>
      </w:pPr>
    </w:p>
    <w:p>
      <w:pPr>
        <w:tabs>
          <w:tab w:val="left" w:pos="720"/>
          <w:tab w:val="left" w:pos="6300"/>
        </w:tabs>
        <w:spacing w:line="360" w:lineRule="auto"/>
        <w:ind w:firstLine="573"/>
        <w:rPr>
          <w:rFonts w:ascii="宋体" w:hAnsi="宋体"/>
          <w:b/>
          <w:sz w:val="24"/>
          <w:highlight w:val="none"/>
          <w:lang w:val="zh-CN"/>
        </w:rPr>
      </w:pPr>
    </w:p>
    <w:p>
      <w:pPr>
        <w:tabs>
          <w:tab w:val="left" w:pos="720"/>
          <w:tab w:val="left" w:pos="6300"/>
        </w:tabs>
        <w:spacing w:line="360" w:lineRule="auto"/>
        <w:ind w:firstLine="573"/>
        <w:rPr>
          <w:rFonts w:ascii="宋体" w:hAnsi="宋体"/>
          <w:b/>
          <w:sz w:val="24"/>
          <w:highlight w:val="none"/>
          <w:lang w:val="zh-CN"/>
        </w:rPr>
      </w:pPr>
    </w:p>
    <w:p>
      <w:pPr>
        <w:tabs>
          <w:tab w:val="left" w:pos="720"/>
          <w:tab w:val="left" w:pos="6300"/>
        </w:tabs>
        <w:spacing w:line="360" w:lineRule="auto"/>
        <w:ind w:firstLine="573"/>
        <w:rPr>
          <w:rFonts w:ascii="宋体" w:hAnsi="宋体"/>
          <w:b/>
          <w:sz w:val="24"/>
          <w:highlight w:val="none"/>
          <w:lang w:val="zh-CN"/>
        </w:rPr>
      </w:pPr>
    </w:p>
    <w:p>
      <w:pPr>
        <w:tabs>
          <w:tab w:val="left" w:pos="720"/>
          <w:tab w:val="left" w:pos="6300"/>
        </w:tabs>
        <w:spacing w:line="360" w:lineRule="auto"/>
        <w:ind w:firstLine="573"/>
        <w:rPr>
          <w:rFonts w:ascii="宋体" w:hAnsi="宋体"/>
          <w:b/>
          <w:sz w:val="24"/>
          <w:highlight w:val="none"/>
          <w:lang w:val="zh-CN"/>
        </w:rPr>
      </w:pPr>
    </w:p>
    <w:p>
      <w:pPr>
        <w:widowControl/>
        <w:jc w:val="left"/>
        <w:rPr>
          <w:rFonts w:ascii="宋体" w:hAnsi="宋体"/>
          <w:b/>
          <w:sz w:val="32"/>
          <w:szCs w:val="32"/>
          <w:highlight w:val="none"/>
        </w:rPr>
      </w:pPr>
      <w:r>
        <w:rPr>
          <w:rFonts w:ascii="宋体" w:hAnsi="宋体"/>
          <w:b/>
          <w:sz w:val="32"/>
          <w:szCs w:val="32"/>
          <w:highlight w:val="none"/>
        </w:rPr>
        <w:br w:type="page"/>
      </w:r>
    </w:p>
    <w:p>
      <w:pPr>
        <w:widowControl/>
        <w:spacing w:line="360" w:lineRule="atLeast"/>
        <w:jc w:val="center"/>
        <w:outlineLvl w:val="1"/>
        <w:rPr>
          <w:rFonts w:ascii="宋体" w:hAnsi="宋体"/>
          <w:b/>
          <w:sz w:val="32"/>
          <w:szCs w:val="32"/>
          <w:highlight w:val="none"/>
        </w:rPr>
      </w:pPr>
      <w:r>
        <w:rPr>
          <w:rFonts w:hint="eastAsia" w:ascii="宋体" w:hAnsi="宋体"/>
          <w:b/>
          <w:sz w:val="32"/>
          <w:szCs w:val="32"/>
          <w:highlight w:val="none"/>
        </w:rPr>
        <w:t>三、承诺函</w:t>
      </w:r>
    </w:p>
    <w:p>
      <w:pPr>
        <w:widowControl/>
        <w:spacing w:line="360" w:lineRule="atLeast"/>
        <w:jc w:val="center"/>
        <w:outlineLvl w:val="1"/>
        <w:rPr>
          <w:rFonts w:ascii="宋体" w:hAnsi="宋体"/>
          <w:b/>
          <w:sz w:val="24"/>
          <w:highlight w:val="none"/>
        </w:rPr>
      </w:pPr>
    </w:p>
    <w:p>
      <w:pPr>
        <w:spacing w:line="360" w:lineRule="auto"/>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（采购代理机构名称）：</w:t>
      </w:r>
    </w:p>
    <w:p>
      <w:pPr>
        <w:spacing w:line="360" w:lineRule="auto"/>
        <w:ind w:firstLine="480" w:firstLineChars="200"/>
        <w:rPr>
          <w:rFonts w:ascii="宋体" w:hAnsi="宋体"/>
          <w:sz w:val="24"/>
          <w:highlight w:val="none"/>
        </w:rPr>
      </w:pPr>
      <w:r>
        <w:rPr>
          <w:rFonts w:hint="eastAsia" w:ascii="宋体" w:hAnsi="宋体"/>
          <w:sz w:val="24"/>
          <w:highlight w:val="none"/>
        </w:rPr>
        <w:t>我公司作为本次采购项目的供应商，根据磋商文件要求，现郑重承诺如下：</w:t>
      </w:r>
    </w:p>
    <w:p>
      <w:pPr>
        <w:spacing w:line="360" w:lineRule="auto"/>
        <w:ind w:firstLine="480" w:firstLineChars="200"/>
        <w:rPr>
          <w:rFonts w:ascii="宋体" w:hAnsi="宋体"/>
          <w:sz w:val="24"/>
          <w:highlight w:val="none"/>
        </w:rPr>
      </w:pPr>
      <w:r>
        <w:rPr>
          <w:rFonts w:hint="eastAsia" w:ascii="宋体" w:hAnsi="宋体"/>
          <w:sz w:val="24"/>
          <w:highlight w:val="none"/>
        </w:rPr>
        <w:t>一、具备《中华人民共和国政府采购法》第二十二条第一款和本项目规定的条件：</w:t>
      </w:r>
    </w:p>
    <w:p>
      <w:pPr>
        <w:spacing w:line="360" w:lineRule="auto"/>
        <w:ind w:firstLine="480" w:firstLineChars="200"/>
        <w:rPr>
          <w:rFonts w:ascii="宋体" w:hAnsi="宋体"/>
          <w:sz w:val="24"/>
          <w:highlight w:val="none"/>
        </w:rPr>
      </w:pPr>
      <w:r>
        <w:rPr>
          <w:rFonts w:hint="eastAsia" w:ascii="宋体" w:hAnsi="宋体"/>
          <w:sz w:val="24"/>
          <w:highlight w:val="none"/>
        </w:rPr>
        <w:t>（一）具有独立承担民事责任的能力；</w:t>
      </w:r>
    </w:p>
    <w:p>
      <w:pPr>
        <w:spacing w:line="360" w:lineRule="auto"/>
        <w:ind w:firstLine="480" w:firstLineChars="200"/>
        <w:rPr>
          <w:rFonts w:ascii="宋体" w:hAnsi="宋体"/>
          <w:sz w:val="24"/>
          <w:highlight w:val="none"/>
        </w:rPr>
      </w:pPr>
      <w:r>
        <w:rPr>
          <w:rFonts w:hint="eastAsia" w:ascii="宋体" w:hAnsi="宋体"/>
          <w:sz w:val="24"/>
          <w:highlight w:val="none"/>
        </w:rPr>
        <w:t>（二）具有良好的商业信誉和健全的财务会计制度；</w:t>
      </w:r>
    </w:p>
    <w:p>
      <w:pPr>
        <w:spacing w:line="360" w:lineRule="auto"/>
        <w:ind w:firstLine="480" w:firstLineChars="200"/>
        <w:rPr>
          <w:rFonts w:ascii="宋体" w:hAnsi="宋体"/>
          <w:sz w:val="24"/>
          <w:highlight w:val="none"/>
        </w:rPr>
      </w:pPr>
      <w:r>
        <w:rPr>
          <w:rFonts w:hint="eastAsia" w:ascii="宋体" w:hAnsi="宋体"/>
          <w:sz w:val="24"/>
          <w:highlight w:val="none"/>
        </w:rPr>
        <w:t>（三）具有履行合同所必需的设备和专业技术能力；</w:t>
      </w:r>
    </w:p>
    <w:p>
      <w:pPr>
        <w:spacing w:line="360" w:lineRule="auto"/>
        <w:ind w:firstLine="480" w:firstLineChars="200"/>
        <w:rPr>
          <w:rFonts w:ascii="宋体" w:hAnsi="宋体"/>
          <w:sz w:val="24"/>
          <w:highlight w:val="none"/>
        </w:rPr>
      </w:pPr>
      <w:r>
        <w:rPr>
          <w:rFonts w:hint="eastAsia" w:ascii="宋体" w:hAnsi="宋体"/>
          <w:sz w:val="24"/>
          <w:highlight w:val="none"/>
        </w:rPr>
        <w:t>（四）有依法缴纳税收和社会保障资金的良好记录；</w:t>
      </w:r>
    </w:p>
    <w:p>
      <w:pPr>
        <w:spacing w:line="360" w:lineRule="auto"/>
        <w:ind w:firstLine="480" w:firstLineChars="200"/>
        <w:rPr>
          <w:rFonts w:ascii="宋体" w:hAnsi="宋体"/>
          <w:sz w:val="24"/>
          <w:highlight w:val="none"/>
        </w:rPr>
      </w:pPr>
      <w:r>
        <w:rPr>
          <w:rFonts w:hint="eastAsia" w:ascii="宋体" w:hAnsi="宋体"/>
          <w:sz w:val="24"/>
          <w:highlight w:val="none"/>
        </w:rPr>
        <w:t>（五）参加政府采购活动前三年内，在经营活动中没有重大违法记录；</w:t>
      </w:r>
    </w:p>
    <w:p>
      <w:pPr>
        <w:spacing w:line="360" w:lineRule="auto"/>
        <w:ind w:firstLine="480" w:firstLineChars="200"/>
        <w:rPr>
          <w:rFonts w:ascii="宋体" w:hAnsi="宋体"/>
          <w:sz w:val="24"/>
          <w:highlight w:val="none"/>
        </w:rPr>
      </w:pPr>
      <w:r>
        <w:rPr>
          <w:rFonts w:hint="eastAsia" w:ascii="宋体" w:hAnsi="宋体"/>
          <w:sz w:val="24"/>
          <w:highlight w:val="none"/>
        </w:rPr>
        <w:t>（六）法律、行政法规规定的其他条件；</w:t>
      </w:r>
    </w:p>
    <w:p>
      <w:pPr>
        <w:spacing w:line="360" w:lineRule="auto"/>
        <w:ind w:firstLine="480" w:firstLineChars="200"/>
        <w:rPr>
          <w:rFonts w:ascii="宋体" w:hAnsi="宋体"/>
          <w:sz w:val="24"/>
          <w:highlight w:val="none"/>
        </w:rPr>
      </w:pPr>
      <w:r>
        <w:rPr>
          <w:rFonts w:hint="eastAsia" w:ascii="宋体" w:hAnsi="宋体"/>
          <w:sz w:val="24"/>
          <w:highlight w:val="none"/>
        </w:rPr>
        <w:t>（七）我单位</w:t>
      </w:r>
      <w:r>
        <w:rPr>
          <w:rFonts w:hint="eastAsia" w:ascii="宋体" w:hAnsi="宋体" w:cs="宋体"/>
          <w:sz w:val="24"/>
          <w:highlight w:val="none"/>
        </w:rPr>
        <w:t>及其法定代表人/主要负责人在参加本项目政府采购活动前三年无行贿犯罪记录</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（八）根据采购项目提出的特殊条件。</w:t>
      </w:r>
    </w:p>
    <w:p>
      <w:pPr>
        <w:spacing w:line="360" w:lineRule="auto"/>
        <w:ind w:firstLine="480" w:firstLineChars="200"/>
        <w:rPr>
          <w:rFonts w:ascii="宋体" w:hAnsi="宋体"/>
          <w:sz w:val="24"/>
          <w:highlight w:val="none"/>
        </w:rPr>
      </w:pPr>
      <w:r>
        <w:rPr>
          <w:rFonts w:hint="eastAsia" w:ascii="宋体" w:hAnsi="宋体"/>
          <w:sz w:val="24"/>
          <w:highlight w:val="none"/>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sz w:val="24"/>
          <w:highlight w:val="none"/>
        </w:rPr>
      </w:pPr>
      <w:r>
        <w:rPr>
          <w:rFonts w:hint="eastAsia" w:ascii="宋体" w:hAnsi="宋体"/>
          <w:sz w:val="24"/>
          <w:highlight w:val="none"/>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宋体" w:hAnsi="宋体"/>
          <w:sz w:val="24"/>
          <w:highlight w:val="none"/>
        </w:rPr>
      </w:pPr>
      <w:r>
        <w:rPr>
          <w:rFonts w:hint="eastAsia" w:ascii="宋体" w:hAnsi="宋体"/>
          <w:sz w:val="24"/>
          <w:highlight w:val="none"/>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sz w:val="24"/>
          <w:highlight w:val="none"/>
        </w:rPr>
      </w:pPr>
      <w:r>
        <w:rPr>
          <w:rFonts w:hint="eastAsia" w:ascii="宋体" w:hAnsi="宋体"/>
          <w:sz w:val="24"/>
          <w:highlight w:val="none"/>
        </w:rPr>
        <w:t>五、如果有</w:t>
      </w:r>
      <w:r>
        <w:rPr>
          <w:rFonts w:hint="eastAsia" w:ascii="宋体" w:hAnsi="宋体"/>
          <w:sz w:val="24"/>
          <w:highlight w:val="none"/>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highlight w:val="none"/>
        </w:rPr>
        <w:t>规定的记入诚信档案的失信行为，将在响应文件中全面如实反映。</w:t>
      </w:r>
    </w:p>
    <w:p>
      <w:pPr>
        <w:spacing w:line="360" w:lineRule="auto"/>
        <w:ind w:firstLine="480" w:firstLineChars="200"/>
        <w:rPr>
          <w:rFonts w:ascii="宋体" w:hAnsi="宋体"/>
          <w:sz w:val="24"/>
          <w:highlight w:val="none"/>
        </w:rPr>
      </w:pPr>
      <w:r>
        <w:rPr>
          <w:rFonts w:hint="eastAsia" w:ascii="宋体" w:hAnsi="宋体"/>
          <w:sz w:val="24"/>
          <w:highlight w:val="none"/>
        </w:rPr>
        <w:t>六、响应文件中提供的任何资料和技术、服务、商务等响应承诺情况都是真实的、有效的、合法的。</w:t>
      </w:r>
    </w:p>
    <w:p>
      <w:pPr>
        <w:spacing w:line="360" w:lineRule="auto"/>
        <w:ind w:firstLine="480" w:firstLineChars="200"/>
        <w:rPr>
          <w:rFonts w:ascii="宋体" w:hAnsi="宋体"/>
          <w:sz w:val="24"/>
          <w:highlight w:val="none"/>
        </w:rPr>
      </w:pPr>
      <w:r>
        <w:rPr>
          <w:rFonts w:hint="eastAsia" w:ascii="宋体" w:hAnsi="宋体"/>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widowControl/>
        <w:spacing w:line="360" w:lineRule="auto"/>
        <w:ind w:firstLine="480" w:firstLineChars="200"/>
        <w:jc w:val="left"/>
        <w:outlineLvl w:val="1"/>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九、参加本次采购活动，我方完全同意磋商文件第二章关于“磋商费用”、“合同分包”、“合同转包”、“磋商保证金”的实质性要求，并承诺严格按照磋商文件要求履行。</w:t>
      </w:r>
    </w:p>
    <w:p>
      <w:pPr>
        <w:spacing w:line="360" w:lineRule="auto"/>
        <w:ind w:firstLine="480" w:firstLineChars="200"/>
        <w:rPr>
          <w:rFonts w:ascii="宋体" w:hAnsi="宋体"/>
          <w:sz w:val="24"/>
          <w:highlight w:val="none"/>
        </w:rPr>
      </w:pPr>
      <w:r>
        <w:rPr>
          <w:rFonts w:hint="eastAsia" w:ascii="宋体" w:hAnsi="宋体" w:cs="宋体"/>
          <w:sz w:val="24"/>
          <w:highlight w:val="none"/>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2"/>
        <w:spacing w:line="360" w:lineRule="auto"/>
        <w:rPr>
          <w:color w:val="auto"/>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本公司对上述承诺的内容事项真实性负责。如经查实上述承诺的内容事项存在虚假，我公司愿意接受以提供虚假材料谋取成交的法律责任。</w:t>
      </w:r>
    </w:p>
    <w:p>
      <w:pPr>
        <w:pStyle w:val="2"/>
        <w:rPr>
          <w:color w:val="auto"/>
          <w:highlight w:val="none"/>
        </w:rPr>
      </w:pPr>
    </w:p>
    <w:p>
      <w:pPr>
        <w:pStyle w:val="2"/>
        <w:spacing w:line="360" w:lineRule="auto"/>
        <w:rPr>
          <w:color w:val="auto"/>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法定代表人/单位负责人（签字或加盖个人印章）：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授权代表签字：</w:t>
      </w:r>
      <w:r>
        <w:rPr>
          <w:rFonts w:hint="eastAsia" w:ascii="宋体" w:hAnsi="宋体"/>
          <w:sz w:val="24"/>
          <w:highlight w:val="none"/>
          <w:u w:val="single"/>
        </w:rPr>
        <w:t xml:space="preserve">                  </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hint="eastAsia" w:ascii="宋体" w:hAnsi="宋体"/>
          <w:b/>
          <w:sz w:val="40"/>
          <w:szCs w:val="48"/>
          <w:highlight w:val="none"/>
          <w:u w:val="single"/>
        </w:rPr>
        <w:t xml:space="preserve">            </w:t>
      </w:r>
      <w:r>
        <w:rPr>
          <w:rFonts w:hint="eastAsia" w:ascii="宋体" w:hAnsi="宋体"/>
          <w:sz w:val="24"/>
          <w:highlight w:val="none"/>
        </w:rPr>
        <w:t>（单位公章）。</w:t>
      </w:r>
    </w:p>
    <w:p>
      <w:pPr>
        <w:pStyle w:val="2"/>
        <w:spacing w:line="360" w:lineRule="auto"/>
        <w:rPr>
          <w:rFonts w:hAnsi="宋体"/>
          <w:color w:val="auto"/>
          <w:kern w:val="2"/>
          <w:highlight w:val="none"/>
          <w:u w:val="single"/>
        </w:rPr>
      </w:pPr>
      <w:r>
        <w:rPr>
          <w:rFonts w:hint="eastAsia" w:hAnsi="宋体"/>
          <w:color w:val="auto"/>
          <w:kern w:val="2"/>
          <w:highlight w:val="none"/>
        </w:rPr>
        <w:t xml:space="preserve">    日    期： </w:t>
      </w:r>
      <w:r>
        <w:rPr>
          <w:rFonts w:hint="eastAsia" w:hAnsi="宋体"/>
          <w:color w:val="auto"/>
          <w:kern w:val="2"/>
          <w:highlight w:val="none"/>
          <w:u w:val="single"/>
        </w:rPr>
        <w:t xml:space="preserve">                     </w:t>
      </w:r>
    </w:p>
    <w:p>
      <w:pPr>
        <w:widowControl/>
        <w:jc w:val="left"/>
        <w:rPr>
          <w:rFonts w:ascii="宋体" w:hAnsi="宋体"/>
          <w:b/>
          <w:sz w:val="32"/>
          <w:szCs w:val="32"/>
          <w:highlight w:val="none"/>
        </w:rPr>
      </w:pPr>
      <w:r>
        <w:rPr>
          <w:rFonts w:ascii="宋体" w:hAnsi="宋体"/>
          <w:b/>
          <w:sz w:val="32"/>
          <w:szCs w:val="32"/>
          <w:highlight w:val="none"/>
        </w:rPr>
        <w:br w:type="page"/>
      </w:r>
    </w:p>
    <w:p>
      <w:pPr>
        <w:spacing w:line="360" w:lineRule="auto"/>
        <w:ind w:firstLine="790" w:firstLineChars="246"/>
        <w:jc w:val="center"/>
        <w:rPr>
          <w:rFonts w:ascii="宋体" w:hAnsi="宋体"/>
          <w:b/>
          <w:sz w:val="32"/>
          <w:szCs w:val="32"/>
          <w:highlight w:val="none"/>
        </w:rPr>
      </w:pPr>
      <w:r>
        <w:rPr>
          <w:rFonts w:hint="eastAsia" w:ascii="宋体" w:hAnsi="宋体"/>
          <w:b/>
          <w:sz w:val="32"/>
          <w:szCs w:val="32"/>
          <w:highlight w:val="none"/>
        </w:rPr>
        <w:t>四、供应商和磋商其他资格、资质性及其他类似效力要求的相关证明材料</w:t>
      </w:r>
    </w:p>
    <w:p>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注：供应商应按磋商文件第三章、第四章相关要求提供佐证材料，有格式要求的从其要求，无格式要求的格式自拟。</w:t>
      </w:r>
    </w:p>
    <w:p>
      <w:pPr>
        <w:widowControl/>
        <w:jc w:val="left"/>
        <w:rPr>
          <w:rFonts w:ascii="宋体" w:hAnsi="宋体"/>
          <w:b/>
          <w:sz w:val="32"/>
          <w:szCs w:val="32"/>
          <w:highlight w:val="none"/>
        </w:rPr>
      </w:pPr>
      <w:r>
        <w:rPr>
          <w:rFonts w:ascii="宋体" w:hAnsi="宋体"/>
          <w:b/>
          <w:sz w:val="32"/>
          <w:szCs w:val="32"/>
          <w:highlight w:val="none"/>
        </w:rPr>
        <w:br w:type="page"/>
      </w:r>
    </w:p>
    <w:p>
      <w:pPr>
        <w:tabs>
          <w:tab w:val="left" w:pos="900"/>
        </w:tabs>
        <w:spacing w:line="360" w:lineRule="auto"/>
        <w:jc w:val="center"/>
        <w:rPr>
          <w:rFonts w:ascii="宋体" w:hAnsi="宋体"/>
          <w:b/>
          <w:sz w:val="32"/>
          <w:highlight w:val="none"/>
        </w:rPr>
      </w:pPr>
      <w:r>
        <w:rPr>
          <w:rFonts w:ascii="宋体" w:hAnsi="宋体"/>
          <w:b/>
          <w:sz w:val="32"/>
          <w:highlight w:val="none"/>
        </w:rPr>
        <w:t>第</w:t>
      </w:r>
      <w:r>
        <w:rPr>
          <w:rFonts w:hint="eastAsia" w:ascii="宋体" w:hAnsi="宋体"/>
          <w:b/>
          <w:sz w:val="32"/>
          <w:highlight w:val="none"/>
        </w:rPr>
        <w:t>二</w:t>
      </w:r>
      <w:r>
        <w:rPr>
          <w:rFonts w:ascii="宋体" w:hAnsi="宋体"/>
          <w:b/>
          <w:sz w:val="32"/>
          <w:highlight w:val="none"/>
        </w:rPr>
        <w:t xml:space="preserve">部分     </w:t>
      </w:r>
      <w:r>
        <w:rPr>
          <w:rFonts w:hint="eastAsia" w:ascii="宋体" w:hAnsi="宋体"/>
          <w:b/>
          <w:sz w:val="32"/>
          <w:highlight w:val="none"/>
        </w:rPr>
        <w:t>“其他响应性</w:t>
      </w:r>
      <w:r>
        <w:rPr>
          <w:rFonts w:ascii="宋体" w:hAnsi="宋体"/>
          <w:b/>
          <w:sz w:val="32"/>
          <w:highlight w:val="none"/>
        </w:rPr>
        <w:t>文件</w:t>
      </w:r>
      <w:r>
        <w:rPr>
          <w:rFonts w:hint="eastAsia" w:ascii="宋体" w:hAnsi="宋体"/>
          <w:b/>
          <w:sz w:val="32"/>
          <w:highlight w:val="none"/>
        </w:rPr>
        <w:t>”</w:t>
      </w:r>
      <w:r>
        <w:rPr>
          <w:rFonts w:ascii="宋体" w:hAnsi="宋体"/>
          <w:b/>
          <w:sz w:val="32"/>
          <w:highlight w:val="none"/>
        </w:rPr>
        <w:t>格式</w:t>
      </w:r>
    </w:p>
    <w:p>
      <w:pPr>
        <w:spacing w:line="360" w:lineRule="auto"/>
        <w:rPr>
          <w:rFonts w:ascii="宋体" w:hAnsi="宋体"/>
          <w:b/>
          <w:sz w:val="32"/>
          <w:szCs w:val="32"/>
          <w:highlight w:val="none"/>
        </w:rPr>
      </w:pPr>
      <w:r>
        <w:rPr>
          <w:rFonts w:hint="eastAsia" w:ascii="宋体" w:hAnsi="宋体"/>
          <w:b/>
          <w:sz w:val="32"/>
          <w:szCs w:val="32"/>
          <w:highlight w:val="none"/>
        </w:rPr>
        <w:t>格式2-1</w:t>
      </w:r>
    </w:p>
    <w:p>
      <w:pPr>
        <w:spacing w:line="360" w:lineRule="auto"/>
        <w:rPr>
          <w:rFonts w:ascii="宋体" w:hAnsi="宋体"/>
          <w:b/>
          <w:sz w:val="32"/>
          <w:szCs w:val="32"/>
          <w:highlight w:val="none"/>
        </w:rPr>
      </w:pPr>
      <w:r>
        <w:rPr>
          <w:rFonts w:hint="eastAsia" w:ascii="宋体" w:hAnsi="宋体"/>
          <w:b/>
          <w:sz w:val="32"/>
          <w:szCs w:val="32"/>
          <w:highlight w:val="none"/>
        </w:rPr>
        <w:t>封面：</w:t>
      </w:r>
    </w:p>
    <w:p>
      <w:pPr>
        <w:spacing w:line="360" w:lineRule="auto"/>
        <w:jc w:val="right"/>
        <w:rPr>
          <w:rFonts w:ascii="宋体" w:hAnsi="宋体"/>
          <w:b/>
          <w:sz w:val="36"/>
          <w:highlight w:val="none"/>
        </w:rPr>
      </w:pPr>
      <w:r>
        <w:rPr>
          <w:rFonts w:ascii="宋体" w:hAnsi="宋体"/>
          <w:b/>
          <w:sz w:val="36"/>
          <w:highlight w:val="none"/>
        </w:rPr>
        <w:t>（正本/副本）</w:t>
      </w:r>
    </w:p>
    <w:p>
      <w:pPr>
        <w:spacing w:line="360" w:lineRule="auto"/>
        <w:rPr>
          <w:rFonts w:ascii="宋体" w:hAnsi="宋体"/>
          <w:b/>
          <w:sz w:val="32"/>
          <w:szCs w:val="32"/>
          <w:highlight w:val="none"/>
        </w:rPr>
      </w:pPr>
    </w:p>
    <w:p>
      <w:pPr>
        <w:spacing w:line="360" w:lineRule="auto"/>
        <w:rPr>
          <w:rFonts w:ascii="宋体" w:hAnsi="宋体"/>
          <w:b/>
          <w:sz w:val="32"/>
          <w:szCs w:val="32"/>
          <w:highlight w:val="none"/>
        </w:rPr>
      </w:pPr>
    </w:p>
    <w:p>
      <w:pPr>
        <w:spacing w:line="360" w:lineRule="auto"/>
        <w:jc w:val="center"/>
        <w:rPr>
          <w:rFonts w:ascii="宋体" w:hAnsi="宋体"/>
          <w:b/>
          <w:sz w:val="72"/>
          <w:highlight w:val="none"/>
        </w:rPr>
      </w:pPr>
      <w:r>
        <w:rPr>
          <w:rFonts w:hint="eastAsia" w:ascii="宋体" w:hAnsi="宋体"/>
          <w:b/>
          <w:sz w:val="40"/>
          <w:szCs w:val="48"/>
          <w:highlight w:val="none"/>
          <w:u w:val="single"/>
        </w:rPr>
        <w:t xml:space="preserve">                      </w:t>
      </w:r>
      <w:r>
        <w:rPr>
          <w:rFonts w:hint="eastAsia" w:ascii="宋体" w:hAnsi="宋体"/>
          <w:b/>
          <w:sz w:val="40"/>
          <w:szCs w:val="48"/>
          <w:highlight w:val="none"/>
        </w:rPr>
        <w:t>项目</w:t>
      </w:r>
    </w:p>
    <w:p>
      <w:pPr>
        <w:spacing w:line="360" w:lineRule="auto"/>
        <w:rPr>
          <w:rFonts w:ascii="宋体" w:hAnsi="宋体"/>
          <w:b/>
          <w:sz w:val="52"/>
          <w:szCs w:val="52"/>
          <w:highlight w:val="none"/>
        </w:rPr>
      </w:pPr>
    </w:p>
    <w:p>
      <w:pPr>
        <w:pStyle w:val="2"/>
        <w:ind w:firstLine="1044"/>
        <w:rPr>
          <w:rFonts w:hAnsi="宋体"/>
          <w:b/>
          <w:color w:val="auto"/>
          <w:sz w:val="52"/>
          <w:szCs w:val="52"/>
          <w:highlight w:val="none"/>
        </w:rPr>
      </w:pPr>
    </w:p>
    <w:p>
      <w:pPr>
        <w:pStyle w:val="2"/>
        <w:ind w:firstLine="480"/>
        <w:rPr>
          <w:color w:val="auto"/>
          <w:highlight w:val="none"/>
        </w:rPr>
      </w:pPr>
    </w:p>
    <w:p>
      <w:pPr>
        <w:spacing w:line="360" w:lineRule="auto"/>
        <w:jc w:val="center"/>
        <w:rPr>
          <w:rFonts w:ascii="宋体" w:hAnsi="宋体"/>
          <w:b/>
          <w:sz w:val="32"/>
          <w:szCs w:val="32"/>
          <w:highlight w:val="none"/>
        </w:rPr>
      </w:pPr>
      <w:r>
        <w:rPr>
          <w:rFonts w:hint="eastAsia" w:ascii="宋体" w:hAnsi="宋体"/>
          <w:b/>
          <w:sz w:val="52"/>
          <w:szCs w:val="52"/>
          <w:highlight w:val="none"/>
        </w:rPr>
        <w:t>其他响应性文件</w:t>
      </w:r>
    </w:p>
    <w:p>
      <w:pPr>
        <w:spacing w:line="360" w:lineRule="auto"/>
        <w:rPr>
          <w:rFonts w:ascii="宋体" w:hAnsi="宋体"/>
          <w:b/>
          <w:sz w:val="36"/>
          <w:highlight w:val="none"/>
        </w:rPr>
      </w:pPr>
    </w:p>
    <w:p>
      <w:pPr>
        <w:spacing w:line="360" w:lineRule="auto"/>
        <w:rPr>
          <w:rFonts w:ascii="宋体" w:hAnsi="宋体"/>
          <w:b/>
          <w:sz w:val="36"/>
          <w:highlight w:val="none"/>
        </w:rPr>
      </w:pPr>
    </w:p>
    <w:p>
      <w:pPr>
        <w:spacing w:line="360" w:lineRule="auto"/>
        <w:ind w:firstLine="964" w:firstLineChars="300"/>
        <w:jc w:val="left"/>
        <w:rPr>
          <w:rFonts w:ascii="宋体" w:hAnsi="宋体"/>
          <w:b/>
          <w:sz w:val="32"/>
          <w:highlight w:val="none"/>
          <w:u w:val="single"/>
        </w:rPr>
      </w:pPr>
      <w:r>
        <w:rPr>
          <w:rFonts w:ascii="宋体" w:hAnsi="宋体"/>
          <w:b/>
          <w:sz w:val="32"/>
          <w:highlight w:val="none"/>
        </w:rPr>
        <w:t>供</w:t>
      </w:r>
      <w:r>
        <w:rPr>
          <w:rFonts w:hint="eastAsia" w:ascii="宋体" w:hAnsi="宋体"/>
          <w:b/>
          <w:sz w:val="32"/>
          <w:highlight w:val="none"/>
        </w:rPr>
        <w:t xml:space="preserve"> </w:t>
      </w:r>
      <w:r>
        <w:rPr>
          <w:rFonts w:ascii="宋体" w:hAnsi="宋体"/>
          <w:b/>
          <w:sz w:val="32"/>
          <w:highlight w:val="none"/>
        </w:rPr>
        <w:t>应</w:t>
      </w:r>
      <w:r>
        <w:rPr>
          <w:rFonts w:hint="eastAsia" w:ascii="宋体" w:hAnsi="宋体"/>
          <w:b/>
          <w:sz w:val="32"/>
          <w:highlight w:val="none"/>
        </w:rPr>
        <w:t xml:space="preserve"> </w:t>
      </w:r>
      <w:r>
        <w:rPr>
          <w:rFonts w:ascii="宋体" w:hAnsi="宋体"/>
          <w:b/>
          <w:sz w:val="32"/>
          <w:highlight w:val="none"/>
        </w:rPr>
        <w:t>商名称：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spacing w:line="360" w:lineRule="auto"/>
        <w:ind w:firstLine="964" w:firstLineChars="300"/>
        <w:jc w:val="left"/>
        <w:rPr>
          <w:rFonts w:ascii="宋体" w:hAnsi="宋体"/>
          <w:b/>
          <w:sz w:val="32"/>
          <w:highlight w:val="none"/>
          <w:u w:val="single"/>
        </w:rPr>
      </w:pPr>
      <w:r>
        <w:rPr>
          <w:rFonts w:hint="eastAsia" w:ascii="宋体" w:hAnsi="宋体"/>
          <w:b/>
          <w:sz w:val="32"/>
          <w:highlight w:val="none"/>
          <w:lang w:eastAsia="zh-CN"/>
        </w:rPr>
        <w:t>项 目 编</w:t>
      </w:r>
      <w:r>
        <w:rPr>
          <w:rFonts w:hint="eastAsia" w:ascii="宋体" w:hAnsi="宋体"/>
          <w:b/>
          <w:sz w:val="32"/>
          <w:highlight w:val="none"/>
          <w:lang w:val="en-US" w:eastAsia="zh-CN"/>
        </w:rPr>
        <w:t xml:space="preserve">  </w:t>
      </w:r>
      <w:r>
        <w:rPr>
          <w:rFonts w:hint="eastAsia" w:ascii="宋体" w:hAnsi="宋体"/>
          <w:b/>
          <w:sz w:val="32"/>
          <w:highlight w:val="none"/>
          <w:lang w:eastAsia="zh-CN"/>
        </w:rPr>
        <w:t>号</w:t>
      </w:r>
      <w:r>
        <w:rPr>
          <w:rFonts w:ascii="宋体" w:hAnsi="宋体"/>
          <w:b/>
          <w:sz w:val="32"/>
          <w:highlight w:val="none"/>
        </w:rPr>
        <w:t>：</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pStyle w:val="17"/>
        <w:rPr>
          <w:highlight w:val="none"/>
        </w:rPr>
      </w:pPr>
    </w:p>
    <w:p>
      <w:pPr>
        <w:widowControl/>
        <w:jc w:val="left"/>
        <w:rPr>
          <w:rFonts w:ascii="宋体" w:hAnsi="宋体"/>
          <w:b/>
          <w:sz w:val="32"/>
          <w:szCs w:val="32"/>
          <w:highlight w:val="none"/>
        </w:rPr>
      </w:pPr>
    </w:p>
    <w:p>
      <w:pPr>
        <w:spacing w:line="360" w:lineRule="auto"/>
        <w:ind w:firstLine="790" w:firstLineChars="246"/>
        <w:jc w:val="center"/>
        <w:rPr>
          <w:rFonts w:ascii="宋体" w:hAnsi="宋体"/>
          <w:b/>
          <w:sz w:val="32"/>
          <w:highlight w:val="none"/>
        </w:rPr>
      </w:pPr>
      <w:r>
        <w:rPr>
          <w:rFonts w:hint="eastAsia" w:ascii="宋体" w:hAnsi="宋体"/>
          <w:b/>
          <w:sz w:val="32"/>
          <w:highlight w:val="none"/>
        </w:rPr>
        <w:t>日期</w:t>
      </w:r>
      <w:r>
        <w:rPr>
          <w:rFonts w:ascii="宋体" w:hAnsi="宋体"/>
          <w:b/>
          <w:sz w:val="32"/>
          <w:highlight w:val="none"/>
        </w:rPr>
        <w:t>：</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ascii="宋体" w:hAnsi="宋体"/>
          <w:b/>
          <w:sz w:val="32"/>
          <w:highlight w:val="none"/>
        </w:rPr>
        <w:t>年</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ascii="宋体" w:hAnsi="宋体"/>
          <w:b/>
          <w:sz w:val="32"/>
          <w:highlight w:val="none"/>
        </w:rPr>
        <w:t>月</w:t>
      </w:r>
      <w:r>
        <w:rPr>
          <w:rFonts w:ascii="宋体" w:hAnsi="宋体"/>
          <w:b/>
          <w:sz w:val="32"/>
          <w:highlight w:val="none"/>
          <w:u w:val="single"/>
        </w:rPr>
        <w:t xml:space="preserve">    </w:t>
      </w:r>
      <w:r>
        <w:rPr>
          <w:rFonts w:ascii="宋体" w:hAnsi="宋体"/>
          <w:b/>
          <w:sz w:val="32"/>
          <w:highlight w:val="none"/>
        </w:rPr>
        <w:t>日</w:t>
      </w:r>
    </w:p>
    <w:p>
      <w:pPr>
        <w:widowControl/>
        <w:jc w:val="left"/>
        <w:rPr>
          <w:rFonts w:ascii="宋体" w:hAnsi="宋体"/>
          <w:b/>
          <w:sz w:val="32"/>
          <w:szCs w:val="32"/>
          <w:highlight w:val="none"/>
        </w:rPr>
      </w:pPr>
    </w:p>
    <w:p>
      <w:pPr>
        <w:widowControl/>
        <w:jc w:val="left"/>
        <w:rPr>
          <w:rFonts w:ascii="宋体" w:hAnsi="宋体"/>
          <w:b/>
          <w:sz w:val="32"/>
          <w:szCs w:val="32"/>
          <w:highlight w:val="none"/>
        </w:rPr>
      </w:pPr>
      <w:r>
        <w:rPr>
          <w:rFonts w:ascii="宋体" w:hAnsi="宋体"/>
          <w:b/>
          <w:sz w:val="32"/>
          <w:szCs w:val="32"/>
          <w:highlight w:val="none"/>
        </w:rPr>
        <w:br w:type="page"/>
      </w:r>
    </w:p>
    <w:p>
      <w:pPr>
        <w:widowControl/>
        <w:spacing w:line="360" w:lineRule="atLeast"/>
        <w:jc w:val="center"/>
        <w:outlineLvl w:val="1"/>
        <w:rPr>
          <w:rFonts w:ascii="宋体" w:hAnsi="宋体"/>
          <w:b/>
          <w:sz w:val="32"/>
          <w:szCs w:val="32"/>
          <w:highlight w:val="none"/>
        </w:rPr>
      </w:pPr>
      <w:r>
        <w:rPr>
          <w:rFonts w:hint="eastAsia" w:ascii="宋体" w:hAnsi="宋体"/>
          <w:b/>
          <w:sz w:val="32"/>
          <w:szCs w:val="32"/>
          <w:highlight w:val="none"/>
        </w:rPr>
        <w:t>一、报 价 函</w:t>
      </w:r>
      <w:bookmarkEnd w:id="70"/>
      <w:bookmarkEnd w:id="71"/>
    </w:p>
    <w:p>
      <w:pPr>
        <w:widowControl/>
        <w:spacing w:line="360" w:lineRule="auto"/>
        <w:jc w:val="center"/>
        <w:outlineLvl w:val="1"/>
        <w:rPr>
          <w:rFonts w:ascii="宋体" w:hAnsi="宋体"/>
          <w:b/>
          <w:sz w:val="24"/>
          <w:highlight w:val="none"/>
        </w:rPr>
      </w:pPr>
    </w:p>
    <w:p>
      <w:pPr>
        <w:widowControl/>
        <w:spacing w:line="360" w:lineRule="auto"/>
        <w:jc w:val="left"/>
        <w:outlineLvl w:val="1"/>
        <w:rPr>
          <w:rFonts w:ascii="宋体" w:hAnsi="宋体"/>
          <w:sz w:val="24"/>
          <w:highlight w:val="none"/>
        </w:rPr>
      </w:pPr>
      <w:r>
        <w:rPr>
          <w:rFonts w:hint="eastAsia" w:ascii="宋体" w:hAnsi="宋体"/>
          <w:b/>
          <w:sz w:val="40"/>
          <w:szCs w:val="48"/>
          <w:highlight w:val="none"/>
          <w:u w:val="single"/>
        </w:rPr>
        <w:t xml:space="preserve">         </w:t>
      </w:r>
      <w:r>
        <w:rPr>
          <w:rFonts w:hint="eastAsia" w:ascii="宋体" w:hAnsi="宋体"/>
          <w:sz w:val="24"/>
          <w:highlight w:val="none"/>
        </w:rPr>
        <w:t>（采购代理机构名称）：</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我方全面研究了“</w:t>
      </w:r>
      <w:r>
        <w:rPr>
          <w:rFonts w:hint="eastAsia" w:ascii="宋体" w:hAnsi="宋体"/>
          <w:b/>
          <w:sz w:val="40"/>
          <w:szCs w:val="48"/>
          <w:highlight w:val="none"/>
          <w:u w:val="single"/>
        </w:rPr>
        <w:t xml:space="preserve">      </w:t>
      </w:r>
      <w:r>
        <w:rPr>
          <w:rFonts w:hint="eastAsia" w:ascii="宋体" w:hAnsi="宋体"/>
          <w:sz w:val="24"/>
          <w:highlight w:val="none"/>
        </w:rPr>
        <w:t>”（项目名称）（项目编号：</w:t>
      </w:r>
      <w:r>
        <w:rPr>
          <w:rFonts w:hint="eastAsia" w:ascii="宋体" w:hAnsi="宋体"/>
          <w:b/>
          <w:sz w:val="40"/>
          <w:szCs w:val="48"/>
          <w:highlight w:val="none"/>
          <w:u w:val="single"/>
        </w:rPr>
        <w:t xml:space="preserve">      </w:t>
      </w:r>
      <w:r>
        <w:rPr>
          <w:rFonts w:hint="eastAsia" w:ascii="宋体" w:hAnsi="宋体"/>
          <w:sz w:val="24"/>
          <w:highlight w:val="none"/>
        </w:rPr>
        <w:t>）竞争性磋商文件，决定参加贵单位组织的本项目磋商。</w:t>
      </w:r>
    </w:p>
    <w:p>
      <w:pPr>
        <w:widowControl/>
        <w:spacing w:line="360" w:lineRule="auto"/>
        <w:ind w:firstLine="470" w:firstLineChars="196"/>
        <w:jc w:val="left"/>
        <w:outlineLvl w:val="1"/>
        <w:rPr>
          <w:rFonts w:ascii="宋体"/>
          <w:sz w:val="24"/>
          <w:highlight w:val="none"/>
        </w:rPr>
      </w:pPr>
      <w:r>
        <w:rPr>
          <w:rFonts w:hint="eastAsia" w:ascii="宋体" w:hAnsi="宋体"/>
          <w:sz w:val="24"/>
          <w:highlight w:val="none"/>
        </w:rPr>
        <w:t>一、我方自愿按照采购文件规定的各项要求向采购人提供所需</w:t>
      </w:r>
      <w:r>
        <w:rPr>
          <w:rFonts w:hint="eastAsia" w:ascii="宋体" w:hAnsi="宋体"/>
          <w:b/>
          <w:sz w:val="24"/>
          <w:highlight w:val="none"/>
          <w:u w:val="single"/>
        </w:rPr>
        <w:t>服务</w:t>
      </w:r>
      <w:r>
        <w:rPr>
          <w:rFonts w:hint="eastAsia" w:ascii="宋体" w:hAnsi="宋体"/>
          <w:sz w:val="24"/>
          <w:highlight w:val="none"/>
        </w:rPr>
        <w:t>，总报价为人民币</w:t>
      </w:r>
      <w:r>
        <w:rPr>
          <w:rFonts w:hint="eastAsia" w:ascii="宋体"/>
          <w:sz w:val="24"/>
          <w:highlight w:val="none"/>
          <w:u w:val="single"/>
        </w:rPr>
        <w:t xml:space="preserve">          </w:t>
      </w:r>
      <w:r>
        <w:rPr>
          <w:rFonts w:hint="eastAsia" w:ascii="宋体"/>
          <w:sz w:val="24"/>
          <w:highlight w:val="none"/>
        </w:rPr>
        <w:t>元（大写：</w:t>
      </w:r>
      <w:r>
        <w:rPr>
          <w:rFonts w:hint="eastAsia" w:ascii="宋体"/>
          <w:sz w:val="24"/>
          <w:highlight w:val="none"/>
          <w:u w:val="single"/>
        </w:rPr>
        <w:t xml:space="preserve">            </w:t>
      </w:r>
      <w:r>
        <w:rPr>
          <w:rFonts w:hint="eastAsia" w:asci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二、一旦我方成交，我方将严格履行政府采购合同规定的责任和义务。</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三、我方同意本磋商文件依据</w:t>
      </w:r>
      <w:r>
        <w:rPr>
          <w:rFonts w:hint="eastAsia" w:ascii="宋体" w:hAnsi="宋体"/>
          <w:sz w:val="24"/>
          <w:highlight w:val="none"/>
          <w:lang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highlight w:val="none"/>
        </w:rPr>
        <w:t>对我方可能存在的失信行为进行惩戒。</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四、我方为本项目提交的响应文件正本</w:t>
      </w:r>
      <w:r>
        <w:rPr>
          <w:rFonts w:hint="eastAsia" w:ascii="宋体" w:hAnsi="宋体"/>
          <w:sz w:val="24"/>
          <w:highlight w:val="none"/>
          <w:u w:val="single"/>
        </w:rPr>
        <w:t xml:space="preserve">    </w:t>
      </w:r>
      <w:r>
        <w:rPr>
          <w:rFonts w:hint="eastAsia" w:ascii="宋体" w:hAnsi="宋体"/>
          <w:sz w:val="24"/>
          <w:highlight w:val="none"/>
        </w:rPr>
        <w:t>份，副本</w:t>
      </w:r>
      <w:r>
        <w:rPr>
          <w:rFonts w:hint="eastAsia" w:ascii="宋体" w:hAnsi="宋体"/>
          <w:sz w:val="24"/>
          <w:highlight w:val="none"/>
          <w:u w:val="single"/>
        </w:rPr>
        <w:t xml:space="preserve">    </w:t>
      </w:r>
      <w:r>
        <w:rPr>
          <w:rFonts w:hint="eastAsia" w:ascii="宋体" w:hAnsi="宋体"/>
          <w:sz w:val="24"/>
          <w:highlight w:val="none"/>
        </w:rPr>
        <w:t>份，电子文档</w:t>
      </w:r>
      <w:r>
        <w:rPr>
          <w:rFonts w:hint="eastAsia" w:ascii="宋体" w:hAnsi="宋体"/>
          <w:sz w:val="24"/>
          <w:highlight w:val="none"/>
          <w:u w:val="single"/>
        </w:rPr>
        <w:t xml:space="preserve">    </w:t>
      </w:r>
      <w:r>
        <w:rPr>
          <w:rFonts w:hint="eastAsia" w:ascii="宋体" w:hAnsi="宋体"/>
          <w:sz w:val="24"/>
          <w:highlight w:val="none"/>
        </w:rPr>
        <w:t>份用于磋商报价。</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五、我方愿意提供贵单位可能另外要求的，与磋商报价有关的文件资料，并保证我方已提供和将要提供的文件资料是真实、准确的。</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六、本次磋商，我方递交的响应文件有效期为磋商文件规定起算之日起</w:t>
      </w:r>
      <w:r>
        <w:rPr>
          <w:rFonts w:hint="eastAsia" w:ascii="宋体" w:hAnsi="宋体"/>
          <w:sz w:val="24"/>
          <w:highlight w:val="none"/>
          <w:u w:val="single"/>
        </w:rPr>
        <w:t xml:space="preserve">    </w:t>
      </w:r>
      <w:r>
        <w:rPr>
          <w:rFonts w:hint="eastAsia" w:ascii="宋体" w:hAnsi="宋体"/>
          <w:sz w:val="24"/>
          <w:highlight w:val="none"/>
        </w:rPr>
        <w:t>天。</w:t>
      </w: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hint="eastAsia" w:ascii="宋体" w:hAnsi="宋体"/>
          <w:b/>
          <w:sz w:val="40"/>
          <w:szCs w:val="48"/>
          <w:highlight w:val="none"/>
          <w:u w:val="single"/>
        </w:rPr>
        <w:t xml:space="preserve">      </w:t>
      </w:r>
      <w:r>
        <w:rPr>
          <w:rFonts w:hint="eastAsia" w:ascii="宋体" w:hAnsi="宋体"/>
          <w:sz w:val="24"/>
          <w:highlight w:val="none"/>
        </w:rPr>
        <w:t>（单位公章）。</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通讯地址：</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邮政编码：</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联系电话：</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传    真：</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日    期：</w:t>
      </w:r>
      <w:r>
        <w:rPr>
          <w:rFonts w:hint="eastAsia" w:ascii="宋体" w:hAnsi="宋体"/>
          <w:b/>
          <w:sz w:val="40"/>
          <w:szCs w:val="48"/>
          <w:highlight w:val="none"/>
          <w:u w:val="single"/>
        </w:rPr>
        <w:t xml:space="preserve">      </w:t>
      </w:r>
      <w:r>
        <w:rPr>
          <w:rFonts w:hint="eastAsia" w:ascii="宋体" w:hAnsi="宋体"/>
          <w:sz w:val="24"/>
          <w:highlight w:val="none"/>
        </w:rPr>
        <w:t>。</w:t>
      </w:r>
    </w:p>
    <w:p>
      <w:pPr>
        <w:spacing w:line="360" w:lineRule="auto"/>
        <w:rPr>
          <w:rFonts w:ascii="宋体" w:hAnsi="宋体"/>
          <w:b/>
          <w:sz w:val="32"/>
          <w:szCs w:val="32"/>
          <w:highlight w:val="none"/>
        </w:rPr>
      </w:pPr>
      <w:bookmarkStart w:id="77" w:name="_Toc308164824"/>
      <w:r>
        <w:rPr>
          <w:rFonts w:hint="eastAsia" w:ascii="宋体" w:hAnsi="宋体"/>
          <w:b/>
          <w:sz w:val="32"/>
          <w:szCs w:val="32"/>
          <w:highlight w:val="none"/>
        </w:rPr>
        <w:br w:type="page"/>
      </w:r>
    </w:p>
    <w:p>
      <w:pPr>
        <w:widowControl/>
        <w:spacing w:line="360" w:lineRule="atLeast"/>
        <w:jc w:val="center"/>
        <w:outlineLvl w:val="1"/>
        <w:rPr>
          <w:rFonts w:ascii="宋体" w:hAnsi="宋体"/>
          <w:b/>
          <w:sz w:val="32"/>
          <w:szCs w:val="32"/>
          <w:highlight w:val="none"/>
        </w:rPr>
      </w:pPr>
      <w:r>
        <w:rPr>
          <w:rFonts w:hint="eastAsia" w:ascii="宋体" w:hAnsi="宋体"/>
          <w:b/>
          <w:sz w:val="32"/>
          <w:szCs w:val="32"/>
          <w:highlight w:val="none"/>
        </w:rPr>
        <w:t>二、承诺函（实质性要求）</w:t>
      </w:r>
    </w:p>
    <w:p>
      <w:pPr>
        <w:widowControl/>
        <w:spacing w:line="360" w:lineRule="atLeast"/>
        <w:jc w:val="center"/>
        <w:outlineLvl w:val="1"/>
        <w:rPr>
          <w:rFonts w:ascii="宋体" w:hAnsi="宋体"/>
          <w:b/>
          <w:sz w:val="24"/>
          <w:highlight w:val="none"/>
        </w:rPr>
      </w:pPr>
    </w:p>
    <w:p>
      <w:pPr>
        <w:widowControl/>
        <w:spacing w:line="360" w:lineRule="atLeast"/>
        <w:jc w:val="left"/>
        <w:outlineLvl w:val="1"/>
        <w:rPr>
          <w:rFonts w:ascii="宋体" w:hAnsi="宋体"/>
          <w:sz w:val="24"/>
          <w:highlight w:val="none"/>
        </w:rPr>
      </w:pPr>
      <w:r>
        <w:rPr>
          <w:rFonts w:hint="eastAsia" w:ascii="宋体" w:hAnsi="宋体"/>
          <w:b/>
          <w:sz w:val="40"/>
          <w:szCs w:val="48"/>
          <w:highlight w:val="none"/>
          <w:u w:val="single"/>
        </w:rPr>
        <w:t xml:space="preserve">      </w:t>
      </w:r>
      <w:r>
        <w:rPr>
          <w:rFonts w:hint="eastAsia" w:ascii="宋体" w:hAnsi="宋体"/>
          <w:sz w:val="24"/>
          <w:highlight w:val="none"/>
        </w:rPr>
        <w:t>（采购代理机构名称）：</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我单位作为本次采购项目的供应商，根据竞争性磋商文件要求，现郑重承诺如下：</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一、我方已认真阅读并接受本项目竞争性磋商文件全部实质性要求，如对竞争性磋商文件有异议，已依法进行维权救济，不存在对竞争性磋商文件有异议的同时又参加磋商以求侥幸成交或者为实现其他非法目的的行为。</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二、参加本次招标采购活动，不存在与单位负责人为同一人或者存在直接控股、管理关系的其他供应商参与同一合同项下的政府采购活动的行为。</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三、为采购项目提供整体设计、规范编制或者项目管理、监理、检测等服务的供应商，不得再参加该采购项目的其他采购活动，我方承诺不属于此类禁止参加本项目的供应商。</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四、参加本次采购活动，不存在和其他供应商在同一合同项下的采购项目中，同时委托同一个自然人、同一家庭的人员、同一单位的人员作为代理人的行为。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五、我方实际控制人或者中高级管理人员或者其他工作人员，不存在同时是采购代理机构工作人员的情形。</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六、不存在同一母公司的两家以上的子公司，以不同供应商身份同时参加本项目同一合同项下的采购活动的情形。</w:t>
      </w:r>
    </w:p>
    <w:p>
      <w:pPr>
        <w:widowControl/>
        <w:spacing w:line="360" w:lineRule="auto"/>
        <w:ind w:firstLine="480" w:firstLineChars="200"/>
        <w:jc w:val="left"/>
        <w:outlineLvl w:val="1"/>
        <w:rPr>
          <w:highlight w:val="none"/>
        </w:rPr>
      </w:pPr>
      <w:r>
        <w:rPr>
          <w:rFonts w:hint="eastAsia" w:ascii="宋体" w:hAnsi="宋体" w:cs="宋体"/>
          <w:sz w:val="24"/>
          <w:highlight w:val="none"/>
        </w:rPr>
        <w:t>七、我方与采购代理机构不存在关联关系，也不是采购代理机构的母公司或子公司。</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八、如果有</w:t>
      </w:r>
      <w:r>
        <w:rPr>
          <w:rFonts w:hint="eastAsia" w:ascii="宋体" w:hAnsi="宋体"/>
          <w:sz w:val="24"/>
          <w:highlight w:val="none"/>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cs="宋体"/>
          <w:sz w:val="24"/>
          <w:highlight w:val="none"/>
        </w:rPr>
        <w:t>规定的记入诚信档案的失信行为，将在响应文件中全面如实反映。</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九、响应文件中提供的任何资料和技术、服务、商务等响应承诺情况都是真实的、有效的、合法的。</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十一、国家或行业主管部门对采购产品的技术标准、质量标准和资格资质条件等有强制性规定的，我方承诺符合其要求。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十二、参加本次采购活动，我方完全同意磋商文件第二章关于“磋商费用”、“合同分包”、“合同转包”、“履约保证金”的实质性要求，并承诺严格按照磋商文件要求履行。</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widowControl/>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本单位对上述承诺的内容事项存在虚假，我单位愿意接受以提供虚假材料谋取中标追究法律责任。</w:t>
      </w:r>
    </w:p>
    <w:p>
      <w:pPr>
        <w:widowControl/>
        <w:spacing w:line="360" w:lineRule="auto"/>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（单位公章）。</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日期：</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spacing w:line="360" w:lineRule="auto"/>
        <w:rPr>
          <w:rFonts w:ascii="宋体" w:hAnsi="宋体"/>
          <w:b/>
          <w:sz w:val="32"/>
          <w:szCs w:val="32"/>
          <w:highlight w:val="none"/>
        </w:rPr>
      </w:pPr>
      <w:r>
        <w:rPr>
          <w:rFonts w:hint="eastAsia" w:ascii="宋体" w:hAnsi="宋体"/>
          <w:b/>
          <w:sz w:val="32"/>
          <w:szCs w:val="32"/>
          <w:highlight w:val="none"/>
        </w:rPr>
        <w:br w:type="page"/>
      </w:r>
    </w:p>
    <w:bookmarkEnd w:id="67"/>
    <w:bookmarkEnd w:id="77"/>
    <w:p>
      <w:pPr>
        <w:spacing w:line="400" w:lineRule="exact"/>
        <w:ind w:firstLine="643" w:firstLineChars="200"/>
        <w:jc w:val="center"/>
        <w:rPr>
          <w:rFonts w:ascii="宋体" w:hAnsi="宋体"/>
          <w:b/>
          <w:sz w:val="32"/>
          <w:szCs w:val="32"/>
          <w:highlight w:val="none"/>
        </w:rPr>
      </w:pPr>
      <w:bookmarkStart w:id="78" w:name="_Toc217446085"/>
      <w:r>
        <w:rPr>
          <w:rFonts w:hint="eastAsia" w:ascii="宋体" w:hAnsi="宋体"/>
          <w:b/>
          <w:sz w:val="32"/>
          <w:szCs w:val="32"/>
          <w:highlight w:val="none"/>
        </w:rPr>
        <w:t>三、</w:t>
      </w:r>
      <w:bookmarkEnd w:id="78"/>
      <w:r>
        <w:rPr>
          <w:rFonts w:hint="eastAsia" w:ascii="宋体" w:hAnsi="宋体" w:cs="宋体"/>
          <w:b/>
          <w:bCs/>
          <w:sz w:val="28"/>
          <w:szCs w:val="28"/>
          <w:highlight w:val="none"/>
        </w:rPr>
        <w:t>报价表</w:t>
      </w:r>
    </w:p>
    <w:p>
      <w:pPr>
        <w:spacing w:line="480" w:lineRule="exact"/>
        <w:ind w:firstLine="436" w:firstLineChars="182"/>
        <w:rPr>
          <w:rFonts w:ascii="宋体" w:hAnsi="宋体"/>
          <w:sz w:val="24"/>
          <w:highlight w:val="none"/>
        </w:rPr>
      </w:pPr>
      <w:r>
        <w:rPr>
          <w:rFonts w:hint="eastAsia" w:ascii="宋体" w:hAnsi="宋体"/>
          <w:sz w:val="24"/>
          <w:highlight w:val="none"/>
        </w:rPr>
        <w:t>项目名称：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spacing w:line="480" w:lineRule="exact"/>
        <w:ind w:firstLine="436" w:firstLineChars="182"/>
        <w:rPr>
          <w:rFonts w:ascii="宋体" w:hAnsi="宋体"/>
          <w:b/>
          <w:sz w:val="32"/>
          <w:highlight w:val="none"/>
          <w:u w:val="single"/>
        </w:rPr>
      </w:pPr>
      <w:r>
        <w:rPr>
          <w:rFonts w:hint="eastAsia" w:ascii="宋体" w:hAnsi="宋体"/>
          <w:sz w:val="24"/>
          <w:highlight w:val="none"/>
        </w:rPr>
        <w:t>项目编号：</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widowControl/>
        <w:spacing w:line="360" w:lineRule="atLeast"/>
        <w:jc w:val="left"/>
        <w:outlineLvl w:val="1"/>
        <w:rPr>
          <w:rFonts w:ascii="宋体" w:hAnsi="宋体"/>
          <w:sz w:val="24"/>
          <w:highlight w:val="none"/>
        </w:rPr>
      </w:pPr>
    </w:p>
    <w:tbl>
      <w:tblPr>
        <w:tblStyle w:val="39"/>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0"/>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970" w:type="dxa"/>
            <w:vAlign w:val="center"/>
          </w:tcPr>
          <w:p>
            <w:pPr>
              <w:widowControl/>
              <w:spacing w:line="360" w:lineRule="auto"/>
              <w:jc w:val="center"/>
              <w:outlineLvl w:val="1"/>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970" w:type="dxa"/>
            <w:vAlign w:val="center"/>
          </w:tcPr>
          <w:p>
            <w:pPr>
              <w:widowControl/>
              <w:spacing w:line="360" w:lineRule="auto"/>
              <w:jc w:val="center"/>
              <w:outlineLvl w:val="1"/>
              <w:rPr>
                <w:rFonts w:hint="default"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项目名称</w:t>
            </w:r>
          </w:p>
        </w:tc>
        <w:tc>
          <w:tcPr>
            <w:tcW w:w="1971" w:type="dxa"/>
            <w:vAlign w:val="center"/>
          </w:tcPr>
          <w:p>
            <w:pPr>
              <w:widowControl/>
              <w:spacing w:line="360" w:lineRule="auto"/>
              <w:jc w:val="center"/>
              <w:outlineLvl w:val="1"/>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服务期限</w:t>
            </w:r>
          </w:p>
        </w:tc>
        <w:tc>
          <w:tcPr>
            <w:tcW w:w="1971" w:type="dxa"/>
            <w:vAlign w:val="center"/>
          </w:tcPr>
          <w:p>
            <w:pPr>
              <w:widowControl/>
              <w:spacing w:line="360" w:lineRule="auto"/>
              <w:jc w:val="center"/>
              <w:outlineLvl w:val="1"/>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报价</w:t>
            </w:r>
          </w:p>
        </w:tc>
        <w:tc>
          <w:tcPr>
            <w:tcW w:w="1971" w:type="dxa"/>
            <w:vAlign w:val="center"/>
          </w:tcPr>
          <w:p>
            <w:pPr>
              <w:widowControl/>
              <w:spacing w:line="360" w:lineRule="auto"/>
              <w:jc w:val="center"/>
              <w:outlineLvl w:val="1"/>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1970" w:type="dxa"/>
          </w:tcPr>
          <w:p>
            <w:pPr>
              <w:widowControl/>
              <w:spacing w:line="360" w:lineRule="auto"/>
              <w:jc w:val="left"/>
              <w:outlineLvl w:val="1"/>
              <w:rPr>
                <w:rFonts w:ascii="宋体" w:hAnsi="宋体"/>
                <w:sz w:val="24"/>
                <w:highlight w:val="none"/>
                <w:vertAlign w:val="baseline"/>
              </w:rPr>
            </w:pPr>
          </w:p>
        </w:tc>
        <w:tc>
          <w:tcPr>
            <w:tcW w:w="1970" w:type="dxa"/>
          </w:tcPr>
          <w:p>
            <w:pPr>
              <w:widowControl/>
              <w:spacing w:line="360" w:lineRule="auto"/>
              <w:jc w:val="left"/>
              <w:outlineLvl w:val="1"/>
              <w:rPr>
                <w:rFonts w:ascii="宋体" w:hAnsi="宋体"/>
                <w:sz w:val="24"/>
                <w:highlight w:val="none"/>
                <w:vertAlign w:val="baseline"/>
              </w:rPr>
            </w:pPr>
          </w:p>
        </w:tc>
        <w:tc>
          <w:tcPr>
            <w:tcW w:w="1971" w:type="dxa"/>
          </w:tcPr>
          <w:p>
            <w:pPr>
              <w:widowControl/>
              <w:spacing w:line="360" w:lineRule="auto"/>
              <w:jc w:val="left"/>
              <w:outlineLvl w:val="1"/>
              <w:rPr>
                <w:rFonts w:ascii="宋体" w:hAnsi="宋体"/>
                <w:sz w:val="24"/>
                <w:highlight w:val="none"/>
                <w:vertAlign w:val="baseline"/>
              </w:rPr>
            </w:pPr>
          </w:p>
        </w:tc>
        <w:tc>
          <w:tcPr>
            <w:tcW w:w="1971" w:type="dxa"/>
          </w:tcPr>
          <w:p>
            <w:pPr>
              <w:widowControl/>
              <w:spacing w:line="360" w:lineRule="auto"/>
              <w:jc w:val="left"/>
              <w:outlineLvl w:val="1"/>
              <w:rPr>
                <w:rFonts w:ascii="宋体" w:hAnsi="宋体"/>
                <w:sz w:val="24"/>
                <w:highlight w:val="none"/>
                <w:vertAlign w:val="baseline"/>
              </w:rPr>
            </w:pPr>
            <w:r>
              <w:rPr>
                <w:rFonts w:hint="eastAsia" w:ascii="宋体" w:hAnsi="宋体"/>
                <w:sz w:val="24"/>
                <w:highlight w:val="none"/>
                <w:u w:val="none"/>
              </w:rPr>
              <w:t>三甲</w:t>
            </w:r>
            <w:r>
              <w:rPr>
                <w:rFonts w:hint="eastAsia" w:ascii="宋体" w:hAnsi="宋体"/>
                <w:sz w:val="24"/>
                <w:highlight w:val="none"/>
                <w:u w:val="none"/>
                <w:lang w:val="en-US" w:eastAsia="zh-CN"/>
              </w:rPr>
              <w:t>医院</w:t>
            </w:r>
            <w:r>
              <w:rPr>
                <w:rFonts w:hint="eastAsia" w:ascii="宋体" w:hAnsi="宋体"/>
                <w:sz w:val="24"/>
                <w:highlight w:val="none"/>
                <w:u w:val="none"/>
              </w:rPr>
              <w:t>收费标准</w:t>
            </w:r>
            <w:r>
              <w:rPr>
                <w:rFonts w:hint="eastAsia" w:ascii="宋体" w:hAnsi="宋体"/>
                <w:sz w:val="24"/>
                <w:highlight w:val="none"/>
                <w:u w:val="none"/>
                <w:lang w:val="en-US" w:eastAsia="zh-CN"/>
              </w:rPr>
              <w:t>的</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w:t>
            </w:r>
          </w:p>
        </w:tc>
        <w:tc>
          <w:tcPr>
            <w:tcW w:w="1971" w:type="dxa"/>
          </w:tcPr>
          <w:p>
            <w:pPr>
              <w:widowControl/>
              <w:spacing w:line="360" w:lineRule="auto"/>
              <w:jc w:val="left"/>
              <w:outlineLvl w:val="1"/>
              <w:rPr>
                <w:rFonts w:ascii="宋体" w:hAnsi="宋体"/>
                <w:sz w:val="24"/>
                <w:highlight w:val="none"/>
                <w:vertAlign w:val="baseline"/>
              </w:rPr>
            </w:pPr>
          </w:p>
        </w:tc>
      </w:tr>
    </w:tbl>
    <w:p>
      <w:pPr>
        <w:widowControl/>
        <w:spacing w:line="360" w:lineRule="auto"/>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注：1. 报价应是最终用户验收合格后的总价，包括培训、税费和采购文件规定的其它费用。不得漏报，否则视为已包含在总报价中不再单独另行报价，不影响响应文件有效性。</w:t>
      </w:r>
    </w:p>
    <w:p>
      <w:pPr>
        <w:widowControl/>
        <w:numPr>
          <w:ilvl w:val="0"/>
          <w:numId w:val="7"/>
        </w:numPr>
        <w:spacing w:line="360" w:lineRule="atLeast"/>
        <w:ind w:firstLine="470" w:firstLineChars="196"/>
        <w:jc w:val="left"/>
        <w:outlineLvl w:val="1"/>
        <w:rPr>
          <w:rFonts w:hint="eastAsia" w:ascii="宋体" w:hAnsi="宋体"/>
          <w:sz w:val="24"/>
          <w:highlight w:val="none"/>
        </w:rPr>
      </w:pPr>
      <w:r>
        <w:rPr>
          <w:rFonts w:hint="eastAsia" w:ascii="宋体" w:hAnsi="宋体"/>
          <w:sz w:val="24"/>
          <w:highlight w:val="none"/>
        </w:rPr>
        <w:t>“报价表”为多页的，每页均需由法定代表人或授权代表签字并盖供应商印章。</w:t>
      </w:r>
    </w:p>
    <w:p>
      <w:pPr>
        <w:pStyle w:val="17"/>
        <w:numPr>
          <w:ilvl w:val="0"/>
          <w:numId w:val="7"/>
        </w:numPr>
        <w:ind w:left="0" w:leftChars="0" w:firstLine="470" w:firstLineChars="196"/>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本项目采用清单同比下浮</w:t>
      </w:r>
      <w:r>
        <w:rPr>
          <w:rFonts w:hint="eastAsia" w:ascii="宋体" w:hAnsi="宋体" w:cs="Times New Roman"/>
          <w:kern w:val="2"/>
          <w:sz w:val="24"/>
          <w:szCs w:val="24"/>
          <w:highlight w:val="none"/>
          <w:lang w:val="en-US" w:eastAsia="zh-CN" w:bidi="ar-SA"/>
        </w:rPr>
        <w:t>进行</w:t>
      </w:r>
      <w:r>
        <w:rPr>
          <w:rFonts w:hint="eastAsia" w:ascii="宋体" w:hAnsi="宋体" w:eastAsia="宋体" w:cs="Times New Roman"/>
          <w:kern w:val="2"/>
          <w:sz w:val="24"/>
          <w:szCs w:val="24"/>
          <w:highlight w:val="none"/>
          <w:lang w:val="en-US" w:eastAsia="zh-CN" w:bidi="ar-SA"/>
        </w:rPr>
        <w:t>报价</w:t>
      </w: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（单位公章）。</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日期：</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pStyle w:val="2"/>
        <w:rPr>
          <w:color w:val="auto"/>
          <w:highlight w:val="none"/>
        </w:rPr>
      </w:pPr>
    </w:p>
    <w:p>
      <w:pPr>
        <w:pStyle w:val="2"/>
        <w:rPr>
          <w:color w:val="auto"/>
          <w:highlight w:val="none"/>
        </w:rPr>
      </w:pPr>
    </w:p>
    <w:p>
      <w:pPr>
        <w:rPr>
          <w:highlight w:val="none"/>
        </w:rPr>
      </w:pPr>
      <w:r>
        <w:rPr>
          <w:highlight w:val="none"/>
        </w:rPr>
        <w:br w:type="page"/>
      </w:r>
    </w:p>
    <w:p>
      <w:pPr>
        <w:widowControl/>
        <w:spacing w:line="360" w:lineRule="atLeast"/>
        <w:jc w:val="center"/>
        <w:outlineLvl w:val="1"/>
        <w:rPr>
          <w:rFonts w:ascii="宋体" w:hAnsi="宋体"/>
          <w:b/>
          <w:sz w:val="32"/>
          <w:szCs w:val="32"/>
          <w:highlight w:val="none"/>
        </w:rPr>
      </w:pPr>
      <w:bookmarkStart w:id="79" w:name="_Toc217446087"/>
      <w:r>
        <w:rPr>
          <w:rFonts w:hint="eastAsia" w:ascii="宋体" w:hAnsi="宋体"/>
          <w:b/>
          <w:sz w:val="32"/>
          <w:szCs w:val="32"/>
          <w:highlight w:val="none"/>
        </w:rPr>
        <w:t>四、</w:t>
      </w:r>
      <w:bookmarkEnd w:id="79"/>
      <w:r>
        <w:rPr>
          <w:rFonts w:hint="eastAsia" w:ascii="宋体" w:hAnsi="宋体"/>
          <w:b/>
          <w:sz w:val="32"/>
          <w:szCs w:val="32"/>
          <w:highlight w:val="none"/>
        </w:rPr>
        <w:t>供应商基本情况表</w:t>
      </w:r>
    </w:p>
    <w:tbl>
      <w:tblPr>
        <w:tblStyle w:val="38"/>
        <w:tblW w:w="8391"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953"/>
        <w:gridCol w:w="1239"/>
        <w:gridCol w:w="1247"/>
        <w:gridCol w:w="1320"/>
        <w:gridCol w:w="344"/>
        <w:gridCol w:w="506"/>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供应商名称</w:t>
            </w:r>
          </w:p>
        </w:tc>
        <w:tc>
          <w:tcPr>
            <w:tcW w:w="6689" w:type="dxa"/>
            <w:gridSpan w:val="7"/>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注册地址</w:t>
            </w:r>
          </w:p>
        </w:tc>
        <w:tc>
          <w:tcPr>
            <w:tcW w:w="3439" w:type="dxa"/>
            <w:gridSpan w:val="3"/>
            <w:vAlign w:val="center"/>
          </w:tcPr>
          <w:p>
            <w:pPr>
              <w:widowControl/>
              <w:spacing w:line="360" w:lineRule="atLeast"/>
              <w:ind w:firstLine="470" w:firstLineChars="196"/>
              <w:jc w:val="left"/>
              <w:outlineLvl w:val="1"/>
              <w:rPr>
                <w:rFonts w:ascii="宋体" w:hAnsi="宋体"/>
                <w:sz w:val="24"/>
                <w:highlight w:val="none"/>
              </w:rPr>
            </w:pPr>
          </w:p>
        </w:tc>
        <w:tc>
          <w:tcPr>
            <w:tcW w:w="1320"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邮政编码</w:t>
            </w:r>
          </w:p>
        </w:tc>
        <w:tc>
          <w:tcPr>
            <w:tcW w:w="1930" w:type="dxa"/>
            <w:gridSpan w:val="3"/>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02" w:type="dxa"/>
            <w:vMerge w:val="restart"/>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联系方式</w:t>
            </w:r>
          </w:p>
        </w:tc>
        <w:tc>
          <w:tcPr>
            <w:tcW w:w="953"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联系人</w:t>
            </w:r>
          </w:p>
        </w:tc>
        <w:tc>
          <w:tcPr>
            <w:tcW w:w="2486" w:type="dxa"/>
            <w:gridSpan w:val="2"/>
            <w:vAlign w:val="center"/>
          </w:tcPr>
          <w:p>
            <w:pPr>
              <w:widowControl/>
              <w:spacing w:line="360" w:lineRule="atLeast"/>
              <w:ind w:firstLine="470" w:firstLineChars="196"/>
              <w:jc w:val="center"/>
              <w:outlineLvl w:val="1"/>
              <w:rPr>
                <w:rFonts w:ascii="宋体" w:hAnsi="宋体"/>
                <w:sz w:val="24"/>
                <w:highlight w:val="none"/>
              </w:rPr>
            </w:pPr>
          </w:p>
        </w:tc>
        <w:tc>
          <w:tcPr>
            <w:tcW w:w="1320" w:type="dxa"/>
            <w:vAlign w:val="center"/>
          </w:tcPr>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电话</w:t>
            </w:r>
          </w:p>
        </w:tc>
        <w:tc>
          <w:tcPr>
            <w:tcW w:w="1930" w:type="dxa"/>
            <w:gridSpan w:val="3"/>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702" w:type="dxa"/>
            <w:vMerge w:val="continue"/>
            <w:vAlign w:val="center"/>
          </w:tcPr>
          <w:p>
            <w:pPr>
              <w:rPr>
                <w:rFonts w:ascii="宋体" w:hAnsi="宋体"/>
                <w:highlight w:val="none"/>
              </w:rPr>
            </w:pPr>
          </w:p>
        </w:tc>
        <w:tc>
          <w:tcPr>
            <w:tcW w:w="953"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传真</w:t>
            </w:r>
          </w:p>
        </w:tc>
        <w:tc>
          <w:tcPr>
            <w:tcW w:w="2486" w:type="dxa"/>
            <w:gridSpan w:val="2"/>
            <w:vAlign w:val="center"/>
          </w:tcPr>
          <w:p>
            <w:pPr>
              <w:widowControl/>
              <w:spacing w:line="360" w:lineRule="atLeast"/>
              <w:ind w:firstLine="470" w:firstLineChars="196"/>
              <w:jc w:val="left"/>
              <w:outlineLvl w:val="1"/>
              <w:rPr>
                <w:rFonts w:ascii="宋体" w:hAnsi="宋体"/>
                <w:sz w:val="24"/>
                <w:highlight w:val="none"/>
              </w:rPr>
            </w:pPr>
          </w:p>
        </w:tc>
        <w:tc>
          <w:tcPr>
            <w:tcW w:w="1320" w:type="dxa"/>
            <w:vAlign w:val="center"/>
          </w:tcPr>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网址</w:t>
            </w:r>
          </w:p>
        </w:tc>
        <w:tc>
          <w:tcPr>
            <w:tcW w:w="1930" w:type="dxa"/>
            <w:gridSpan w:val="3"/>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组织结构</w:t>
            </w:r>
          </w:p>
        </w:tc>
        <w:tc>
          <w:tcPr>
            <w:tcW w:w="6689" w:type="dxa"/>
            <w:gridSpan w:val="7"/>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法定代表人</w:t>
            </w:r>
          </w:p>
        </w:tc>
        <w:tc>
          <w:tcPr>
            <w:tcW w:w="953"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姓名</w:t>
            </w:r>
          </w:p>
        </w:tc>
        <w:tc>
          <w:tcPr>
            <w:tcW w:w="1239" w:type="dxa"/>
            <w:vAlign w:val="center"/>
          </w:tcPr>
          <w:p>
            <w:pPr>
              <w:widowControl/>
              <w:spacing w:line="360" w:lineRule="atLeast"/>
              <w:ind w:firstLine="470" w:firstLineChars="196"/>
              <w:jc w:val="left"/>
              <w:outlineLvl w:val="1"/>
              <w:rPr>
                <w:rFonts w:ascii="宋体" w:hAnsi="宋体"/>
                <w:sz w:val="24"/>
                <w:highlight w:val="none"/>
              </w:rPr>
            </w:pPr>
          </w:p>
        </w:tc>
        <w:tc>
          <w:tcPr>
            <w:tcW w:w="1247"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技术职称</w:t>
            </w:r>
          </w:p>
        </w:tc>
        <w:tc>
          <w:tcPr>
            <w:tcW w:w="1320" w:type="dxa"/>
            <w:vAlign w:val="center"/>
          </w:tcPr>
          <w:p>
            <w:pPr>
              <w:widowControl/>
              <w:spacing w:line="360" w:lineRule="atLeast"/>
              <w:ind w:firstLine="470" w:firstLineChars="196"/>
              <w:jc w:val="left"/>
              <w:outlineLvl w:val="1"/>
              <w:rPr>
                <w:rFonts w:ascii="宋体" w:hAnsi="宋体"/>
                <w:sz w:val="24"/>
                <w:highlight w:val="none"/>
              </w:rPr>
            </w:pPr>
          </w:p>
        </w:tc>
        <w:tc>
          <w:tcPr>
            <w:tcW w:w="850" w:type="dxa"/>
            <w:gridSpan w:val="2"/>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电话</w:t>
            </w:r>
          </w:p>
        </w:tc>
        <w:tc>
          <w:tcPr>
            <w:tcW w:w="1080" w:type="dxa"/>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技术负责人</w:t>
            </w:r>
          </w:p>
        </w:tc>
        <w:tc>
          <w:tcPr>
            <w:tcW w:w="953"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姓名</w:t>
            </w:r>
          </w:p>
        </w:tc>
        <w:tc>
          <w:tcPr>
            <w:tcW w:w="1239" w:type="dxa"/>
            <w:vAlign w:val="center"/>
          </w:tcPr>
          <w:p>
            <w:pPr>
              <w:widowControl/>
              <w:spacing w:line="360" w:lineRule="atLeast"/>
              <w:ind w:firstLine="470" w:firstLineChars="196"/>
              <w:jc w:val="left"/>
              <w:outlineLvl w:val="1"/>
              <w:rPr>
                <w:rFonts w:ascii="宋体" w:hAnsi="宋体"/>
                <w:sz w:val="24"/>
                <w:highlight w:val="none"/>
              </w:rPr>
            </w:pPr>
          </w:p>
        </w:tc>
        <w:tc>
          <w:tcPr>
            <w:tcW w:w="1247"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技术职称</w:t>
            </w:r>
          </w:p>
        </w:tc>
        <w:tc>
          <w:tcPr>
            <w:tcW w:w="1320" w:type="dxa"/>
            <w:vAlign w:val="center"/>
          </w:tcPr>
          <w:p>
            <w:pPr>
              <w:widowControl/>
              <w:spacing w:line="360" w:lineRule="atLeast"/>
              <w:ind w:firstLine="470" w:firstLineChars="196"/>
              <w:jc w:val="left"/>
              <w:outlineLvl w:val="1"/>
              <w:rPr>
                <w:rFonts w:ascii="宋体" w:hAnsi="宋体"/>
                <w:sz w:val="24"/>
                <w:highlight w:val="none"/>
              </w:rPr>
            </w:pPr>
          </w:p>
        </w:tc>
        <w:tc>
          <w:tcPr>
            <w:tcW w:w="850" w:type="dxa"/>
            <w:gridSpan w:val="2"/>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电话</w:t>
            </w:r>
          </w:p>
        </w:tc>
        <w:tc>
          <w:tcPr>
            <w:tcW w:w="1080" w:type="dxa"/>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成立时间</w:t>
            </w:r>
          </w:p>
        </w:tc>
        <w:tc>
          <w:tcPr>
            <w:tcW w:w="2192" w:type="dxa"/>
            <w:gridSpan w:val="2"/>
            <w:vAlign w:val="center"/>
          </w:tcPr>
          <w:p>
            <w:pPr>
              <w:widowControl/>
              <w:spacing w:line="360" w:lineRule="atLeast"/>
              <w:ind w:firstLine="470" w:firstLineChars="196"/>
              <w:jc w:val="left"/>
              <w:outlineLvl w:val="1"/>
              <w:rPr>
                <w:rFonts w:ascii="宋体" w:hAnsi="宋体"/>
                <w:sz w:val="24"/>
                <w:highlight w:val="none"/>
              </w:rPr>
            </w:pPr>
          </w:p>
        </w:tc>
        <w:tc>
          <w:tcPr>
            <w:tcW w:w="4497" w:type="dxa"/>
            <w:gridSpan w:val="5"/>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企业资质等级</w:t>
            </w:r>
          </w:p>
        </w:tc>
        <w:tc>
          <w:tcPr>
            <w:tcW w:w="2192" w:type="dxa"/>
            <w:gridSpan w:val="2"/>
            <w:vAlign w:val="center"/>
          </w:tcPr>
          <w:p>
            <w:pPr>
              <w:widowControl/>
              <w:spacing w:line="360" w:lineRule="atLeast"/>
              <w:ind w:firstLine="470" w:firstLineChars="196"/>
              <w:jc w:val="left"/>
              <w:outlineLvl w:val="1"/>
              <w:rPr>
                <w:rFonts w:ascii="宋体" w:hAnsi="宋体"/>
                <w:sz w:val="24"/>
                <w:highlight w:val="none"/>
              </w:rPr>
            </w:pPr>
          </w:p>
        </w:tc>
        <w:tc>
          <w:tcPr>
            <w:tcW w:w="1247" w:type="dxa"/>
            <w:vMerge w:val="restart"/>
            <w:vAlign w:val="center"/>
          </w:tcPr>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其中</w:t>
            </w:r>
          </w:p>
        </w:tc>
        <w:tc>
          <w:tcPr>
            <w:tcW w:w="1664" w:type="dxa"/>
            <w:gridSpan w:val="2"/>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项目经理</w:t>
            </w:r>
          </w:p>
        </w:tc>
        <w:tc>
          <w:tcPr>
            <w:tcW w:w="1586" w:type="dxa"/>
            <w:gridSpan w:val="2"/>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营业执照号</w:t>
            </w:r>
          </w:p>
        </w:tc>
        <w:tc>
          <w:tcPr>
            <w:tcW w:w="2192" w:type="dxa"/>
            <w:gridSpan w:val="2"/>
            <w:vAlign w:val="center"/>
          </w:tcPr>
          <w:p>
            <w:pPr>
              <w:widowControl/>
              <w:spacing w:line="360" w:lineRule="atLeast"/>
              <w:ind w:firstLine="470" w:firstLineChars="196"/>
              <w:jc w:val="left"/>
              <w:outlineLvl w:val="1"/>
              <w:rPr>
                <w:rFonts w:ascii="宋体" w:hAnsi="宋体"/>
                <w:sz w:val="24"/>
                <w:highlight w:val="none"/>
              </w:rPr>
            </w:pPr>
          </w:p>
        </w:tc>
        <w:tc>
          <w:tcPr>
            <w:tcW w:w="1247" w:type="dxa"/>
            <w:vMerge w:val="continue"/>
            <w:vAlign w:val="center"/>
          </w:tcPr>
          <w:p>
            <w:pPr>
              <w:rPr>
                <w:rFonts w:ascii="宋体" w:hAnsi="宋体"/>
                <w:highlight w:val="none"/>
              </w:rPr>
            </w:pPr>
          </w:p>
        </w:tc>
        <w:tc>
          <w:tcPr>
            <w:tcW w:w="1664" w:type="dxa"/>
            <w:gridSpan w:val="2"/>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高级职称人员</w:t>
            </w:r>
          </w:p>
        </w:tc>
        <w:tc>
          <w:tcPr>
            <w:tcW w:w="1586" w:type="dxa"/>
            <w:gridSpan w:val="2"/>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注册资金</w:t>
            </w:r>
          </w:p>
        </w:tc>
        <w:tc>
          <w:tcPr>
            <w:tcW w:w="2192" w:type="dxa"/>
            <w:gridSpan w:val="2"/>
            <w:vAlign w:val="center"/>
          </w:tcPr>
          <w:p>
            <w:pPr>
              <w:widowControl/>
              <w:spacing w:line="360" w:lineRule="atLeast"/>
              <w:ind w:firstLine="470" w:firstLineChars="196"/>
              <w:jc w:val="left"/>
              <w:outlineLvl w:val="1"/>
              <w:rPr>
                <w:rFonts w:ascii="宋体" w:hAnsi="宋体"/>
                <w:sz w:val="24"/>
                <w:highlight w:val="none"/>
              </w:rPr>
            </w:pPr>
          </w:p>
        </w:tc>
        <w:tc>
          <w:tcPr>
            <w:tcW w:w="1247" w:type="dxa"/>
            <w:vMerge w:val="continue"/>
            <w:vAlign w:val="center"/>
          </w:tcPr>
          <w:p>
            <w:pPr>
              <w:rPr>
                <w:rFonts w:ascii="宋体" w:hAnsi="宋体"/>
                <w:highlight w:val="none"/>
              </w:rPr>
            </w:pPr>
          </w:p>
        </w:tc>
        <w:tc>
          <w:tcPr>
            <w:tcW w:w="1664" w:type="dxa"/>
            <w:gridSpan w:val="2"/>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中级职称人员</w:t>
            </w:r>
          </w:p>
        </w:tc>
        <w:tc>
          <w:tcPr>
            <w:tcW w:w="1586" w:type="dxa"/>
            <w:gridSpan w:val="2"/>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开户银行</w:t>
            </w:r>
          </w:p>
        </w:tc>
        <w:tc>
          <w:tcPr>
            <w:tcW w:w="2192" w:type="dxa"/>
            <w:gridSpan w:val="2"/>
            <w:vAlign w:val="center"/>
          </w:tcPr>
          <w:p>
            <w:pPr>
              <w:widowControl/>
              <w:spacing w:line="360" w:lineRule="atLeast"/>
              <w:ind w:firstLine="470" w:firstLineChars="196"/>
              <w:jc w:val="left"/>
              <w:outlineLvl w:val="1"/>
              <w:rPr>
                <w:rFonts w:ascii="宋体" w:hAnsi="宋体"/>
                <w:sz w:val="24"/>
                <w:highlight w:val="none"/>
              </w:rPr>
            </w:pPr>
          </w:p>
        </w:tc>
        <w:tc>
          <w:tcPr>
            <w:tcW w:w="1247" w:type="dxa"/>
            <w:vMerge w:val="continue"/>
            <w:vAlign w:val="center"/>
          </w:tcPr>
          <w:p>
            <w:pPr>
              <w:rPr>
                <w:rFonts w:ascii="宋体" w:hAnsi="宋体"/>
                <w:highlight w:val="none"/>
              </w:rPr>
            </w:pPr>
          </w:p>
        </w:tc>
        <w:tc>
          <w:tcPr>
            <w:tcW w:w="1664" w:type="dxa"/>
            <w:gridSpan w:val="2"/>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初级职称人员</w:t>
            </w:r>
          </w:p>
        </w:tc>
        <w:tc>
          <w:tcPr>
            <w:tcW w:w="1586" w:type="dxa"/>
            <w:gridSpan w:val="2"/>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702" w:type="dxa"/>
            <w:vAlign w:val="center"/>
          </w:tcPr>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账号</w:t>
            </w:r>
          </w:p>
        </w:tc>
        <w:tc>
          <w:tcPr>
            <w:tcW w:w="2192" w:type="dxa"/>
            <w:gridSpan w:val="2"/>
            <w:vAlign w:val="center"/>
          </w:tcPr>
          <w:p>
            <w:pPr>
              <w:widowControl/>
              <w:spacing w:line="360" w:lineRule="atLeast"/>
              <w:ind w:firstLine="470" w:firstLineChars="196"/>
              <w:jc w:val="left"/>
              <w:outlineLvl w:val="1"/>
              <w:rPr>
                <w:rFonts w:ascii="宋体" w:hAnsi="宋体"/>
                <w:sz w:val="24"/>
                <w:highlight w:val="none"/>
              </w:rPr>
            </w:pPr>
          </w:p>
        </w:tc>
        <w:tc>
          <w:tcPr>
            <w:tcW w:w="1247" w:type="dxa"/>
            <w:vMerge w:val="continue"/>
            <w:vAlign w:val="center"/>
          </w:tcPr>
          <w:p>
            <w:pPr>
              <w:rPr>
                <w:rFonts w:ascii="宋体" w:hAnsi="宋体"/>
                <w:highlight w:val="none"/>
              </w:rPr>
            </w:pPr>
          </w:p>
        </w:tc>
        <w:tc>
          <w:tcPr>
            <w:tcW w:w="1664" w:type="dxa"/>
            <w:gridSpan w:val="2"/>
            <w:vAlign w:val="center"/>
          </w:tcPr>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技工</w:t>
            </w:r>
          </w:p>
        </w:tc>
        <w:tc>
          <w:tcPr>
            <w:tcW w:w="1586" w:type="dxa"/>
            <w:gridSpan w:val="2"/>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702" w:type="dxa"/>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经营范围</w:t>
            </w:r>
          </w:p>
        </w:tc>
        <w:tc>
          <w:tcPr>
            <w:tcW w:w="6689" w:type="dxa"/>
            <w:gridSpan w:val="7"/>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702" w:type="dxa"/>
          </w:tcPr>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备注</w:t>
            </w:r>
          </w:p>
        </w:tc>
        <w:tc>
          <w:tcPr>
            <w:tcW w:w="6689" w:type="dxa"/>
            <w:gridSpan w:val="7"/>
          </w:tcPr>
          <w:p>
            <w:pPr>
              <w:widowControl/>
              <w:spacing w:line="360" w:lineRule="atLeast"/>
              <w:ind w:firstLine="470" w:firstLineChars="196"/>
              <w:jc w:val="left"/>
              <w:outlineLvl w:val="1"/>
              <w:rPr>
                <w:rFonts w:ascii="宋体" w:hAnsi="宋体"/>
                <w:sz w:val="24"/>
                <w:highlight w:val="none"/>
              </w:rPr>
            </w:pPr>
          </w:p>
        </w:tc>
      </w:tr>
    </w:tbl>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hint="eastAsia" w:ascii="宋体" w:hAnsi="宋体"/>
          <w:b/>
          <w:sz w:val="40"/>
          <w:szCs w:val="48"/>
          <w:highlight w:val="none"/>
          <w:u w:val="single"/>
        </w:rPr>
        <w:t xml:space="preserve">      </w:t>
      </w:r>
      <w:r>
        <w:rPr>
          <w:rFonts w:hint="eastAsia" w:ascii="宋体" w:hAnsi="宋体"/>
          <w:sz w:val="24"/>
          <w:highlight w:val="none"/>
        </w:rPr>
        <w:t>（单位公章）。</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日期:</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spacing w:line="360" w:lineRule="atLeast"/>
        <w:jc w:val="center"/>
        <w:outlineLvl w:val="1"/>
        <w:rPr>
          <w:rFonts w:ascii="宋体" w:hAnsi="宋体"/>
          <w:b/>
          <w:sz w:val="24"/>
          <w:highlight w:val="none"/>
        </w:rPr>
      </w:pPr>
    </w:p>
    <w:p>
      <w:pPr>
        <w:spacing w:line="360" w:lineRule="auto"/>
        <w:rPr>
          <w:rFonts w:ascii="宋体" w:hAnsi="宋体"/>
          <w:b/>
          <w:sz w:val="32"/>
          <w:szCs w:val="32"/>
          <w:highlight w:val="none"/>
        </w:rPr>
      </w:pPr>
      <w:r>
        <w:rPr>
          <w:rFonts w:hint="eastAsia" w:ascii="宋体" w:hAnsi="宋体"/>
          <w:sz w:val="24"/>
          <w:highlight w:val="none"/>
        </w:rPr>
        <w:br w:type="page"/>
      </w:r>
    </w:p>
    <w:p>
      <w:pPr>
        <w:widowControl/>
        <w:spacing w:line="360" w:lineRule="atLeast"/>
        <w:jc w:val="center"/>
        <w:outlineLvl w:val="1"/>
        <w:rPr>
          <w:rFonts w:ascii="宋体" w:hAnsi="宋体"/>
          <w:b/>
          <w:sz w:val="32"/>
          <w:szCs w:val="32"/>
          <w:highlight w:val="none"/>
        </w:rPr>
      </w:pPr>
      <w:r>
        <w:rPr>
          <w:rFonts w:hint="eastAsia" w:ascii="宋体" w:hAnsi="宋体"/>
          <w:b/>
          <w:sz w:val="32"/>
          <w:szCs w:val="32"/>
          <w:highlight w:val="none"/>
        </w:rPr>
        <w:t>五、中小企业声明函</w:t>
      </w:r>
    </w:p>
    <w:p>
      <w:pPr>
        <w:pStyle w:val="17"/>
        <w:kinsoku w:val="0"/>
        <w:overflowPunct w:val="0"/>
        <w:spacing w:line="419" w:lineRule="exact"/>
        <w:ind w:firstLine="600" w:firstLineChars="250"/>
        <w:rPr>
          <w:rFonts w:ascii="宋体" w:hAnsi="宋体"/>
          <w:sz w:val="24"/>
          <w:highlight w:val="none"/>
          <w:u w:val="single"/>
        </w:rPr>
      </w:pPr>
      <w:bookmarkStart w:id="80" w:name="_Toc413748654"/>
      <w:bookmarkStart w:id="81" w:name="_Toc419811733"/>
      <w:bookmarkStart w:id="82" w:name="_Toc417911732"/>
      <w:bookmarkStart w:id="83" w:name="_Toc387658050"/>
      <w:bookmarkStart w:id="84" w:name="_Toc387147344"/>
      <w:r>
        <w:rPr>
          <w:rFonts w:hint="eastAsia" w:ascii="宋体" w:hAnsi="宋体"/>
          <w:sz w:val="24"/>
          <w:highlight w:val="none"/>
        </w:rPr>
        <w:t>本</w:t>
      </w:r>
      <w:r>
        <w:rPr>
          <w:rFonts w:hint="eastAsia" w:ascii="宋体" w:hAnsi="宋体"/>
          <w:spacing w:val="2"/>
          <w:sz w:val="24"/>
          <w:highlight w:val="none"/>
        </w:rPr>
        <w:t>公</w:t>
      </w:r>
      <w:r>
        <w:rPr>
          <w:rFonts w:hint="eastAsia" w:ascii="宋体" w:hAnsi="宋体"/>
          <w:spacing w:val="-6"/>
          <w:sz w:val="24"/>
          <w:highlight w:val="none"/>
        </w:rPr>
        <w:t>司</w:t>
      </w:r>
      <w:r>
        <w:rPr>
          <w:rFonts w:hint="eastAsia" w:ascii="宋体" w:hAnsi="宋体"/>
          <w:sz w:val="24"/>
          <w:highlight w:val="none"/>
        </w:rPr>
        <w:t>（联</w:t>
      </w:r>
      <w:r>
        <w:rPr>
          <w:rFonts w:hint="eastAsia" w:ascii="宋体" w:hAnsi="宋体"/>
          <w:spacing w:val="2"/>
          <w:sz w:val="24"/>
          <w:highlight w:val="none"/>
        </w:rPr>
        <w:t>合体</w:t>
      </w:r>
      <w:r>
        <w:rPr>
          <w:rFonts w:hint="eastAsia" w:ascii="宋体" w:hAnsi="宋体"/>
          <w:spacing w:val="-6"/>
          <w:sz w:val="24"/>
          <w:highlight w:val="none"/>
        </w:rPr>
        <w:t>）</w:t>
      </w:r>
      <w:r>
        <w:rPr>
          <w:rFonts w:hint="eastAsia" w:ascii="宋体" w:hAnsi="宋体"/>
          <w:sz w:val="24"/>
          <w:highlight w:val="none"/>
        </w:rPr>
        <w:t>郑</w:t>
      </w:r>
      <w:r>
        <w:rPr>
          <w:rFonts w:hint="eastAsia" w:ascii="宋体" w:hAnsi="宋体"/>
          <w:spacing w:val="2"/>
          <w:sz w:val="24"/>
          <w:highlight w:val="none"/>
        </w:rPr>
        <w:t>重</w:t>
      </w:r>
      <w:r>
        <w:rPr>
          <w:rFonts w:hint="eastAsia" w:ascii="宋体" w:hAnsi="宋体"/>
          <w:sz w:val="24"/>
          <w:highlight w:val="none"/>
        </w:rPr>
        <w:t>声</w:t>
      </w:r>
      <w:r>
        <w:rPr>
          <w:rFonts w:hint="eastAsia" w:ascii="宋体" w:hAnsi="宋体"/>
          <w:spacing w:val="2"/>
          <w:sz w:val="24"/>
          <w:highlight w:val="none"/>
        </w:rPr>
        <w:t>明</w:t>
      </w:r>
      <w:r>
        <w:rPr>
          <w:rFonts w:hint="eastAsia" w:ascii="宋体" w:hAnsi="宋体"/>
          <w:spacing w:val="-3"/>
          <w:sz w:val="24"/>
          <w:highlight w:val="none"/>
        </w:rPr>
        <w:t>，</w:t>
      </w:r>
      <w:r>
        <w:rPr>
          <w:rFonts w:hint="eastAsia" w:ascii="宋体" w:hAnsi="宋体"/>
          <w:sz w:val="24"/>
          <w:highlight w:val="none"/>
        </w:rPr>
        <w:t>根</w:t>
      </w:r>
      <w:r>
        <w:rPr>
          <w:rFonts w:hint="eastAsia" w:ascii="宋体" w:hAnsi="宋体"/>
          <w:spacing w:val="2"/>
          <w:sz w:val="24"/>
          <w:highlight w:val="none"/>
        </w:rPr>
        <w:t>据《政府采购促进中小企业发展管理办法》（财库﹝</w:t>
      </w:r>
      <w:r>
        <w:rPr>
          <w:rFonts w:ascii="宋体" w:hAnsi="宋体"/>
          <w:spacing w:val="2"/>
          <w:sz w:val="24"/>
          <w:highlight w:val="none"/>
        </w:rPr>
        <w:t>2020</w:t>
      </w:r>
      <w:r>
        <w:rPr>
          <w:rFonts w:hint="eastAsia" w:ascii="宋体" w:hAnsi="宋体"/>
          <w:spacing w:val="2"/>
          <w:sz w:val="24"/>
          <w:highlight w:val="none"/>
        </w:rPr>
        <w:t>﹞</w:t>
      </w:r>
      <w:r>
        <w:rPr>
          <w:rFonts w:ascii="宋体" w:hAnsi="宋体"/>
          <w:spacing w:val="2"/>
          <w:sz w:val="24"/>
          <w:highlight w:val="none"/>
        </w:rPr>
        <w:t>46</w:t>
      </w:r>
      <w:r>
        <w:rPr>
          <w:rFonts w:hint="eastAsia" w:ascii="宋体" w:hAnsi="宋体"/>
          <w:spacing w:val="2"/>
          <w:sz w:val="24"/>
          <w:highlight w:val="none"/>
        </w:rPr>
        <w:t>号）的规定，本公司（联合体）</w:t>
      </w:r>
      <w:r>
        <w:rPr>
          <w:rFonts w:hint="eastAsia" w:ascii="宋体" w:hAnsi="宋体"/>
          <w:sz w:val="24"/>
          <w:highlight w:val="none"/>
        </w:rPr>
        <w:t>参</w:t>
      </w:r>
      <w:r>
        <w:rPr>
          <w:rFonts w:hint="eastAsia" w:ascii="宋体" w:hAnsi="宋体"/>
          <w:spacing w:val="-16"/>
          <w:sz w:val="24"/>
          <w:highlight w:val="none"/>
        </w:rPr>
        <w:t>加</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（单位名称）</w:t>
      </w:r>
      <w:r>
        <w:rPr>
          <w:rFonts w:hint="eastAsia" w:ascii="宋体" w:hAnsi="宋体"/>
          <w:spacing w:val="-16"/>
          <w:sz w:val="24"/>
          <w:highlight w:val="none"/>
        </w:rPr>
        <w:t>的</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（项目名称）</w:t>
      </w:r>
      <w:r>
        <w:rPr>
          <w:rFonts w:hint="eastAsia" w:ascii="宋体" w:hAnsi="宋体"/>
          <w:sz w:val="24"/>
          <w:highlight w:val="none"/>
        </w:rPr>
        <w:t>采</w:t>
      </w:r>
      <w:r>
        <w:rPr>
          <w:rFonts w:hint="eastAsia" w:ascii="宋体" w:hAnsi="宋体"/>
          <w:spacing w:val="2"/>
          <w:sz w:val="24"/>
          <w:highlight w:val="none"/>
        </w:rPr>
        <w:t>购</w:t>
      </w:r>
      <w:r>
        <w:rPr>
          <w:rFonts w:hint="eastAsia" w:ascii="宋体" w:hAnsi="宋体"/>
          <w:sz w:val="24"/>
          <w:highlight w:val="none"/>
        </w:rPr>
        <w:t>活</w:t>
      </w:r>
      <w:r>
        <w:rPr>
          <w:rFonts w:hint="eastAsia" w:ascii="宋体" w:hAnsi="宋体"/>
          <w:spacing w:val="2"/>
          <w:sz w:val="24"/>
          <w:highlight w:val="none"/>
        </w:rPr>
        <w:t>动</w:t>
      </w:r>
      <w:r>
        <w:rPr>
          <w:rFonts w:hint="eastAsia" w:ascii="宋体" w:hAnsi="宋体"/>
          <w:spacing w:val="-3"/>
          <w:sz w:val="24"/>
          <w:highlight w:val="none"/>
        </w:rPr>
        <w:t>，服务全部由符合政策要求的中小企业承接</w:t>
      </w:r>
      <w:r>
        <w:rPr>
          <w:rFonts w:hint="eastAsia" w:ascii="宋体" w:hAnsi="宋体"/>
          <w:spacing w:val="13"/>
          <w:w w:val="95"/>
          <w:sz w:val="24"/>
          <w:highlight w:val="none"/>
        </w:rPr>
        <w:t>。</w:t>
      </w:r>
      <w:r>
        <w:rPr>
          <w:rFonts w:hint="eastAsia" w:ascii="宋体" w:hAnsi="宋体"/>
          <w:sz w:val="24"/>
          <w:highlight w:val="none"/>
        </w:rPr>
        <w:t>相关企业（含联合体中的中小企业、签订分包意向协议的中小企业）的具体情况如下：</w:t>
      </w:r>
    </w:p>
    <w:p>
      <w:pPr>
        <w:pStyle w:val="17"/>
        <w:kinsoku w:val="0"/>
        <w:overflowPunct w:val="0"/>
        <w:spacing w:line="419" w:lineRule="exact"/>
        <w:ind w:firstLine="456" w:firstLineChars="200"/>
        <w:rPr>
          <w:rFonts w:ascii="宋体" w:hAnsi="宋体"/>
          <w:sz w:val="24"/>
          <w:highlight w:val="none"/>
        </w:rPr>
      </w:pPr>
      <w:r>
        <w:rPr>
          <w:rFonts w:ascii="宋体" w:hAnsi="宋体"/>
          <w:w w:val="95"/>
          <w:sz w:val="24"/>
          <w:highlight w:val="none"/>
        </w:rPr>
        <w:t>1</w:t>
      </w:r>
      <w:r>
        <w:rPr>
          <w:rFonts w:ascii="宋体" w:hAnsi="宋体"/>
          <w:sz w:val="24"/>
          <w:highlight w:val="none"/>
        </w:rPr>
        <w:t>.</w:t>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（标的名称），属于</w:t>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（采购文件中明确的所属行业）</w:t>
      </w:r>
      <w:r>
        <w:rPr>
          <w:rFonts w:hint="eastAsia" w:ascii="宋体" w:hAnsi="宋体"/>
          <w:sz w:val="24"/>
          <w:highlight w:val="none"/>
        </w:rPr>
        <w:t>；承建（承接）企业为</w:t>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（企业名称）</w:t>
      </w:r>
      <w:r>
        <w:rPr>
          <w:rFonts w:hint="eastAsia" w:ascii="宋体" w:hAnsi="宋体"/>
          <w:sz w:val="24"/>
          <w:highlight w:val="none"/>
        </w:rPr>
        <w:t>，从业人员</w:t>
      </w:r>
      <w:r>
        <w:rPr>
          <w:rFonts w:ascii="宋体" w:hAnsi="宋体"/>
          <w:sz w:val="24"/>
          <w:highlight w:val="none"/>
          <w:u w:val="single"/>
        </w:rPr>
        <w:tab/>
      </w:r>
      <w:r>
        <w:rPr>
          <w:rFonts w:hint="eastAsia" w:ascii="宋体" w:hAnsi="宋体"/>
          <w:sz w:val="24"/>
          <w:highlight w:val="none"/>
        </w:rPr>
        <w:t>人，营业收入为</w:t>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rPr>
        <w:t>万元，资产总额为</w:t>
      </w:r>
      <w:r>
        <w:rPr>
          <w:rFonts w:ascii="宋体" w:hAnsi="宋体"/>
          <w:sz w:val="24"/>
          <w:highlight w:val="none"/>
          <w:u w:val="single"/>
        </w:rPr>
        <w:tab/>
      </w:r>
      <w:r>
        <w:rPr>
          <w:rFonts w:hint="eastAsia" w:ascii="宋体" w:hAnsi="宋体"/>
          <w:sz w:val="24"/>
          <w:highlight w:val="none"/>
        </w:rPr>
        <w:t>万元，属于</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（中型企业、小</w:t>
      </w:r>
      <w:r>
        <w:rPr>
          <w:rFonts w:ascii="宋体" w:hAnsi="宋体"/>
          <w:sz w:val="24"/>
          <w:highlight w:val="none"/>
          <w:u w:val="single"/>
        </w:rPr>
        <w:t xml:space="preserve"> </w:t>
      </w:r>
      <w:r>
        <w:rPr>
          <w:rFonts w:hint="eastAsia" w:ascii="宋体" w:hAnsi="宋体"/>
          <w:sz w:val="24"/>
          <w:highlight w:val="none"/>
          <w:u w:val="single"/>
        </w:rPr>
        <w:t>型企业、微型企业）</w:t>
      </w:r>
      <w:r>
        <w:rPr>
          <w:rFonts w:hint="eastAsia" w:ascii="宋体" w:hAnsi="宋体"/>
          <w:sz w:val="24"/>
          <w:highlight w:val="none"/>
        </w:rPr>
        <w:t>；</w:t>
      </w:r>
    </w:p>
    <w:p>
      <w:pPr>
        <w:pStyle w:val="17"/>
        <w:kinsoku w:val="0"/>
        <w:overflowPunct w:val="0"/>
        <w:spacing w:line="419" w:lineRule="exact"/>
        <w:ind w:firstLine="480" w:firstLineChars="200"/>
        <w:rPr>
          <w:rFonts w:ascii="宋体" w:hAnsi="宋体"/>
          <w:sz w:val="24"/>
          <w:highlight w:val="none"/>
        </w:rPr>
      </w:pPr>
      <w:r>
        <w:rPr>
          <w:rFonts w:ascii="宋体" w:hAnsi="宋体"/>
          <w:sz w:val="24"/>
          <w:highlight w:val="none"/>
        </w:rPr>
        <w:t>2.</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（标的名称）</w:t>
      </w:r>
      <w:r>
        <w:rPr>
          <w:rFonts w:hint="eastAsia" w:ascii="宋体" w:hAnsi="宋体"/>
          <w:sz w:val="24"/>
          <w:highlight w:val="none"/>
        </w:rPr>
        <w:t>，属于</w:t>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（采购文件中明确的所属行业）</w:t>
      </w:r>
      <w:r>
        <w:rPr>
          <w:rFonts w:hint="eastAsia" w:ascii="宋体" w:hAnsi="宋体"/>
          <w:sz w:val="24"/>
          <w:highlight w:val="none"/>
        </w:rPr>
        <w:t>；承建（承接）企业为</w:t>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（企业名称</w:t>
      </w:r>
      <w:r>
        <w:rPr>
          <w:rFonts w:hint="eastAsia" w:ascii="宋体" w:hAnsi="宋体"/>
          <w:sz w:val="24"/>
          <w:highlight w:val="none"/>
        </w:rPr>
        <w:t>），从业人员</w:t>
      </w:r>
      <w:r>
        <w:rPr>
          <w:rFonts w:ascii="宋体" w:hAnsi="宋体"/>
          <w:sz w:val="24"/>
          <w:highlight w:val="none"/>
          <w:u w:val="single"/>
        </w:rPr>
        <w:tab/>
      </w:r>
      <w:r>
        <w:rPr>
          <w:rFonts w:hint="eastAsia" w:ascii="宋体" w:hAnsi="宋体"/>
          <w:sz w:val="24"/>
          <w:highlight w:val="none"/>
        </w:rPr>
        <w:t>人，营业收入为</w:t>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rPr>
        <w:t>万元，资产总额为</w:t>
      </w:r>
      <w:r>
        <w:rPr>
          <w:rFonts w:ascii="宋体" w:hAnsi="宋体"/>
          <w:sz w:val="24"/>
          <w:highlight w:val="none"/>
          <w:u w:val="single"/>
        </w:rPr>
        <w:tab/>
      </w:r>
      <w:r>
        <w:rPr>
          <w:rFonts w:hint="eastAsia" w:ascii="宋体" w:hAnsi="宋体"/>
          <w:sz w:val="24"/>
          <w:highlight w:val="none"/>
        </w:rPr>
        <w:t>万元，属于</w:t>
      </w:r>
      <w:r>
        <w:rPr>
          <w:rFonts w:ascii="宋体" w:hAnsi="宋体"/>
          <w:sz w:val="24"/>
          <w:highlight w:val="none"/>
          <w:u w:val="single"/>
        </w:rPr>
        <w:tab/>
      </w:r>
      <w:r>
        <w:rPr>
          <w:rFonts w:ascii="宋体" w:hAnsi="宋体"/>
          <w:sz w:val="24"/>
          <w:highlight w:val="none"/>
          <w:u w:val="single"/>
        </w:rPr>
        <w:tab/>
      </w:r>
      <w:r>
        <w:rPr>
          <w:rFonts w:hint="eastAsia" w:ascii="宋体" w:hAnsi="宋体"/>
          <w:sz w:val="24"/>
          <w:highlight w:val="none"/>
          <w:u w:val="single"/>
        </w:rPr>
        <w:t>（中型企业、小</w:t>
      </w:r>
      <w:r>
        <w:rPr>
          <w:rFonts w:ascii="宋体" w:hAnsi="宋体"/>
          <w:sz w:val="24"/>
          <w:highlight w:val="none"/>
          <w:u w:val="single"/>
        </w:rPr>
        <w:t xml:space="preserve"> </w:t>
      </w:r>
      <w:r>
        <w:rPr>
          <w:rFonts w:hint="eastAsia" w:ascii="宋体" w:hAnsi="宋体"/>
          <w:sz w:val="24"/>
          <w:highlight w:val="none"/>
          <w:u w:val="single"/>
        </w:rPr>
        <w:t>型企业、微型企业）</w:t>
      </w:r>
      <w:r>
        <w:rPr>
          <w:rFonts w:hint="eastAsia" w:ascii="宋体" w:hAnsi="宋体"/>
          <w:sz w:val="24"/>
          <w:highlight w:val="none"/>
        </w:rPr>
        <w:t>；</w:t>
      </w:r>
    </w:p>
    <w:p>
      <w:pPr>
        <w:pStyle w:val="17"/>
        <w:kinsoku w:val="0"/>
        <w:overflowPunct w:val="0"/>
        <w:spacing w:line="419" w:lineRule="exact"/>
        <w:ind w:firstLine="480" w:firstLineChars="200"/>
        <w:rPr>
          <w:rFonts w:ascii="宋体" w:hAnsi="宋体"/>
          <w:sz w:val="24"/>
          <w:highlight w:val="none"/>
        </w:rPr>
      </w:pPr>
      <w:r>
        <w:rPr>
          <w:rFonts w:hint="eastAsia" w:ascii="宋体" w:hAnsi="宋体"/>
          <w:sz w:val="24"/>
          <w:highlight w:val="none"/>
        </w:rPr>
        <w:t>……</w:t>
      </w:r>
    </w:p>
    <w:p>
      <w:pPr>
        <w:pStyle w:val="17"/>
        <w:kinsoku w:val="0"/>
        <w:overflowPunct w:val="0"/>
        <w:spacing w:line="419" w:lineRule="exact"/>
        <w:ind w:firstLine="480" w:firstLineChars="200"/>
        <w:rPr>
          <w:rFonts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pPr>
        <w:pStyle w:val="17"/>
        <w:kinsoku w:val="0"/>
        <w:overflowPunct w:val="0"/>
        <w:spacing w:line="419" w:lineRule="exact"/>
        <w:ind w:firstLine="480" w:firstLineChars="200"/>
        <w:rPr>
          <w:rFonts w:ascii="宋体" w:hAnsi="宋体"/>
          <w:sz w:val="24"/>
          <w:highlight w:val="none"/>
          <w:u w:val="single"/>
        </w:rPr>
      </w:pPr>
      <w:r>
        <w:rPr>
          <w:rFonts w:hint="eastAsia" w:ascii="宋体" w:hAnsi="宋体"/>
          <w:sz w:val="24"/>
          <w:highlight w:val="none"/>
        </w:rPr>
        <w:t>本企业对上述声明内容的真实性负责。如有虚假，将依</w:t>
      </w:r>
      <w:r>
        <w:rPr>
          <w:rFonts w:ascii="宋体" w:hAnsi="宋体"/>
          <w:sz w:val="24"/>
          <w:highlight w:val="none"/>
        </w:rPr>
        <w:t xml:space="preserve"> </w:t>
      </w:r>
      <w:r>
        <w:rPr>
          <w:rFonts w:hint="eastAsia" w:ascii="宋体" w:hAnsi="宋体"/>
          <w:sz w:val="24"/>
          <w:highlight w:val="none"/>
        </w:rPr>
        <w:t>法承担相应责任。</w:t>
      </w:r>
    </w:p>
    <w:p>
      <w:pPr>
        <w:spacing w:line="360" w:lineRule="auto"/>
        <w:ind w:firstLine="480" w:firstLineChars="200"/>
        <w:rPr>
          <w:rFonts w:ascii="宋体" w:hAnsi="宋体"/>
          <w:sz w:val="24"/>
          <w:highlight w:val="none"/>
        </w:rPr>
      </w:pPr>
    </w:p>
    <w:p>
      <w:pPr>
        <w:pStyle w:val="17"/>
        <w:kinsoku w:val="0"/>
        <w:overflowPunct w:val="0"/>
        <w:spacing w:line="419" w:lineRule="exact"/>
        <w:ind w:firstLine="480" w:firstLineChars="200"/>
        <w:rPr>
          <w:rFonts w:ascii="宋体" w:hAnsi="宋体"/>
          <w:sz w:val="24"/>
          <w:highlight w:val="none"/>
        </w:rPr>
      </w:pPr>
      <w:r>
        <w:rPr>
          <w:rFonts w:hint="eastAsia" w:ascii="宋体" w:hAnsi="宋体"/>
          <w:sz w:val="24"/>
          <w:highlight w:val="none"/>
        </w:rPr>
        <w:t>企业名称（盖章）：_________________</w:t>
      </w:r>
    </w:p>
    <w:p>
      <w:pPr>
        <w:pStyle w:val="17"/>
        <w:kinsoku w:val="0"/>
        <w:overflowPunct w:val="0"/>
        <w:spacing w:line="419" w:lineRule="exact"/>
        <w:ind w:firstLine="480" w:firstLineChars="200"/>
        <w:rPr>
          <w:rFonts w:ascii="宋体" w:hAnsi="宋体"/>
          <w:sz w:val="24"/>
          <w:highlight w:val="none"/>
        </w:rPr>
      </w:pPr>
      <w:r>
        <w:rPr>
          <w:rFonts w:hint="eastAsia" w:ascii="宋体" w:hAnsi="宋体"/>
          <w:sz w:val="24"/>
          <w:highlight w:val="none"/>
        </w:rPr>
        <w:t>日期：_________________</w:t>
      </w:r>
    </w:p>
    <w:p>
      <w:pPr>
        <w:pStyle w:val="2"/>
        <w:rPr>
          <w:color w:val="auto"/>
          <w:highlight w:val="none"/>
        </w:rPr>
      </w:pPr>
    </w:p>
    <w:p>
      <w:pPr>
        <w:pStyle w:val="2"/>
        <w:rPr>
          <w:color w:val="auto"/>
          <w:highlight w:val="none"/>
        </w:rPr>
      </w:pPr>
    </w:p>
    <w:p>
      <w:pPr>
        <w:spacing w:line="360" w:lineRule="auto"/>
        <w:rPr>
          <w:rFonts w:ascii="宋体" w:hAnsi="宋体" w:cs="宋体"/>
          <w:sz w:val="24"/>
          <w:highlight w:val="none"/>
        </w:rPr>
      </w:pPr>
      <w:r>
        <w:rPr>
          <w:rFonts w:hint="eastAsia" w:ascii="宋体" w:hAnsi="宋体" w:cs="宋体"/>
          <w:sz w:val="24"/>
          <w:highlight w:val="none"/>
        </w:rPr>
        <w:t>注：</w:t>
      </w:r>
    </w:p>
    <w:p>
      <w:pPr>
        <w:spacing w:line="360" w:lineRule="auto"/>
        <w:rPr>
          <w:rFonts w:ascii="宋体" w:hAnsi="宋体" w:cs="宋体"/>
          <w:sz w:val="24"/>
          <w:highlight w:val="none"/>
        </w:rPr>
      </w:pPr>
      <w:r>
        <w:rPr>
          <w:rFonts w:hint="eastAsia" w:ascii="宋体" w:hAnsi="宋体" w:cs="宋体"/>
          <w:sz w:val="24"/>
          <w:highlight w:val="none"/>
        </w:rPr>
        <w:t>1、</w:t>
      </w:r>
      <w:bookmarkEnd w:id="80"/>
      <w:bookmarkEnd w:id="81"/>
      <w:bookmarkEnd w:id="82"/>
      <w:bookmarkEnd w:id="83"/>
      <w:bookmarkEnd w:id="84"/>
      <w:r>
        <w:rPr>
          <w:rFonts w:hint="eastAsia" w:ascii="宋体" w:hAnsi="宋体" w:cs="宋体"/>
          <w:sz w:val="24"/>
          <w:highlight w:val="none"/>
        </w:rPr>
        <w:t>从业人员、营业收入、资产总额填报上一年度数据，无上一年度数据的新成立企业可不填报。</w:t>
      </w:r>
    </w:p>
    <w:p>
      <w:pPr>
        <w:spacing w:line="360" w:lineRule="auto"/>
        <w:rPr>
          <w:rFonts w:ascii="宋体" w:hAnsi="宋体" w:cs="宋体"/>
          <w:sz w:val="24"/>
          <w:highlight w:val="none"/>
        </w:rPr>
      </w:pPr>
      <w:r>
        <w:rPr>
          <w:rFonts w:hint="eastAsia" w:ascii="宋体" w:hAnsi="宋体" w:cs="宋体"/>
          <w:sz w:val="24"/>
          <w:highlight w:val="none"/>
        </w:rPr>
        <w:t>2、供应商为非中小企业的，可不提供此声明。</w:t>
      </w:r>
    </w:p>
    <w:p>
      <w:pPr>
        <w:spacing w:line="360" w:lineRule="auto"/>
        <w:rPr>
          <w:rFonts w:ascii="宋体" w:hAnsi="宋体"/>
          <w:b/>
          <w:sz w:val="32"/>
          <w:szCs w:val="32"/>
          <w:highlight w:val="none"/>
        </w:rPr>
      </w:pPr>
      <w:r>
        <w:rPr>
          <w:rFonts w:hint="eastAsia" w:ascii="宋体" w:hAnsi="宋体" w:cs="宋体"/>
          <w:sz w:val="24"/>
          <w:highlight w:val="none"/>
        </w:rPr>
        <w:br w:type="page"/>
      </w:r>
    </w:p>
    <w:p>
      <w:pPr>
        <w:jc w:val="center"/>
        <w:rPr>
          <w:rFonts w:ascii="宋体" w:hAnsi="宋体"/>
          <w:b/>
          <w:sz w:val="32"/>
          <w:szCs w:val="32"/>
          <w:highlight w:val="none"/>
        </w:rPr>
      </w:pPr>
      <w:r>
        <w:rPr>
          <w:rFonts w:hint="eastAsia" w:ascii="宋体" w:hAnsi="宋体"/>
          <w:b/>
          <w:sz w:val="32"/>
          <w:szCs w:val="32"/>
          <w:highlight w:val="none"/>
        </w:rPr>
        <w:t>六、</w:t>
      </w:r>
      <w:bookmarkStart w:id="85" w:name="OLE_LINK14"/>
      <w:bookmarkStart w:id="86" w:name="OLE_LINK13"/>
      <w:r>
        <w:rPr>
          <w:rFonts w:hint="eastAsia" w:ascii="宋体" w:hAnsi="宋体"/>
          <w:b/>
          <w:sz w:val="32"/>
          <w:szCs w:val="32"/>
          <w:highlight w:val="none"/>
        </w:rPr>
        <w:t>残疾人福利性单位声明函</w:t>
      </w:r>
    </w:p>
    <w:bookmarkEnd w:id="85"/>
    <w:bookmarkEnd w:id="86"/>
    <w:p>
      <w:pPr>
        <w:spacing w:line="588" w:lineRule="exact"/>
        <w:rPr>
          <w:rFonts w:ascii="宋体" w:hAnsi="宋体" w:cs="宋体"/>
          <w:b/>
          <w:spacing w:val="6"/>
          <w:sz w:val="24"/>
          <w:highlight w:val="none"/>
        </w:rPr>
      </w:pP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588" w:lineRule="exact"/>
        <w:rPr>
          <w:rFonts w:ascii="宋体" w:hAnsi="宋体" w:cs="宋体"/>
          <w:spacing w:val="6"/>
          <w:sz w:val="24"/>
          <w:highlight w:val="none"/>
        </w:rPr>
      </w:pPr>
    </w:p>
    <w:p>
      <w:pPr>
        <w:widowControl/>
        <w:spacing w:line="360" w:lineRule="atLeast"/>
        <w:jc w:val="left"/>
        <w:outlineLvl w:val="1"/>
        <w:rPr>
          <w:rFonts w:ascii="宋体" w:hAnsi="宋体"/>
          <w:sz w:val="24"/>
          <w:highlight w:val="none"/>
        </w:rPr>
      </w:pPr>
      <w:r>
        <w:rPr>
          <w:rFonts w:hint="eastAsia" w:ascii="宋体" w:hAnsi="宋体"/>
          <w:sz w:val="24"/>
          <w:highlight w:val="none"/>
        </w:rPr>
        <w:t>供应商名称：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（单位公章）。</w:t>
      </w:r>
    </w:p>
    <w:p>
      <w:pPr>
        <w:widowControl/>
        <w:spacing w:line="360" w:lineRule="atLeast"/>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rPr>
          <w:rFonts w:ascii="宋体" w:hAnsi="宋体" w:cs="宋体"/>
          <w:spacing w:val="6"/>
          <w:sz w:val="24"/>
          <w:highlight w:val="none"/>
        </w:rPr>
      </w:pPr>
      <w:r>
        <w:rPr>
          <w:rFonts w:hint="eastAsia" w:ascii="宋体" w:hAnsi="宋体"/>
          <w:sz w:val="24"/>
          <w:highlight w:val="none"/>
        </w:rPr>
        <w:t>日期:</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w:t>
      </w:r>
    </w:p>
    <w:p>
      <w:pPr>
        <w:numPr>
          <w:ilvl w:val="0"/>
          <w:numId w:val="8"/>
        </w:numPr>
        <w:spacing w:line="360" w:lineRule="auto"/>
        <w:rPr>
          <w:rFonts w:ascii="宋体" w:hAnsi="宋体" w:cs="宋体"/>
          <w:sz w:val="24"/>
          <w:highlight w:val="none"/>
        </w:rPr>
      </w:pPr>
      <w:r>
        <w:rPr>
          <w:rFonts w:hint="eastAsia" w:ascii="宋体" w:hAnsi="宋体" w:cs="宋体"/>
          <w:sz w:val="24"/>
          <w:highlight w:val="none"/>
        </w:rPr>
        <w:t>残疾人福利性单位视同小型、微型企业，享受预留份额等促进中小企业发展的政府采购政策。残疾人福利性单位属于小型、微型企业的，不重复享受政策。</w:t>
      </w:r>
    </w:p>
    <w:p>
      <w:pPr>
        <w:numPr>
          <w:ilvl w:val="0"/>
          <w:numId w:val="8"/>
        </w:numPr>
        <w:spacing w:line="360" w:lineRule="auto"/>
        <w:rPr>
          <w:rFonts w:ascii="宋体" w:hAnsi="宋体" w:cs="宋体"/>
          <w:sz w:val="24"/>
          <w:highlight w:val="none"/>
        </w:rPr>
      </w:pPr>
      <w:r>
        <w:rPr>
          <w:rFonts w:hint="eastAsia" w:ascii="宋体" w:hAnsi="宋体" w:cs="宋体"/>
          <w:sz w:val="24"/>
          <w:highlight w:val="none"/>
        </w:rPr>
        <w:t>供应商为非残疾人福利性单位的，可不提供此声明。</w:t>
      </w:r>
    </w:p>
    <w:p>
      <w:pPr>
        <w:widowControl/>
        <w:jc w:val="left"/>
        <w:rPr>
          <w:rFonts w:ascii="宋体" w:cs="宋体"/>
          <w:kern w:val="0"/>
          <w:sz w:val="24"/>
          <w:highlight w:val="none"/>
        </w:rPr>
      </w:pPr>
      <w:r>
        <w:rPr>
          <w:highlight w:val="none"/>
        </w:rPr>
        <w:br w:type="page"/>
      </w:r>
    </w:p>
    <w:p>
      <w:pPr>
        <w:autoSpaceDE w:val="0"/>
        <w:autoSpaceDN w:val="0"/>
        <w:adjustRightInd w:val="0"/>
        <w:jc w:val="center"/>
        <w:rPr>
          <w:rFonts w:ascii="宋体" w:hAnsi="宋体"/>
          <w:b/>
          <w:spacing w:val="6"/>
          <w:sz w:val="32"/>
          <w:szCs w:val="32"/>
          <w:highlight w:val="none"/>
        </w:rPr>
      </w:pPr>
      <w:r>
        <w:rPr>
          <w:rFonts w:hint="eastAsia" w:ascii="宋体" w:hAnsi="宋体"/>
          <w:b/>
          <w:sz w:val="32"/>
          <w:szCs w:val="32"/>
          <w:highlight w:val="none"/>
        </w:rPr>
        <w:t>七、</w:t>
      </w:r>
      <w:r>
        <w:rPr>
          <w:rFonts w:hint="eastAsia" w:ascii="宋体" w:hAnsi="宋体"/>
          <w:b/>
          <w:spacing w:val="6"/>
          <w:sz w:val="32"/>
          <w:szCs w:val="32"/>
          <w:highlight w:val="none"/>
        </w:rPr>
        <w:t>监狱企业证明材料</w:t>
      </w:r>
    </w:p>
    <w:p>
      <w:pPr>
        <w:pStyle w:val="2"/>
        <w:rPr>
          <w:color w:val="auto"/>
          <w:highlight w:val="none"/>
        </w:rPr>
      </w:pPr>
    </w:p>
    <w:p>
      <w:pPr>
        <w:spacing w:line="360" w:lineRule="auto"/>
        <w:ind w:firstLine="480" w:firstLineChars="200"/>
        <w:jc w:val="left"/>
        <w:rPr>
          <w:rFonts w:ascii="宋体" w:hAnsi="宋体"/>
          <w:b/>
          <w:sz w:val="32"/>
          <w:szCs w:val="32"/>
          <w:highlight w:val="none"/>
        </w:rPr>
      </w:pPr>
      <w:r>
        <w:rPr>
          <w:rFonts w:hint="eastAsia" w:ascii="宋体" w:hAnsi="宋体" w:cs="宋体"/>
          <w:sz w:val="24"/>
          <w:highlight w:val="none"/>
        </w:rPr>
        <w:t>供应商属于《政府采购支持监狱企业发展有关问题的通知》（财库〔2014〕68号）规定的监狱企业的，参加政府采购活动时，应当提供由省级以上监狱管理局、戒毒管理局（含新疆生产建设兵团）出具的属于监狱企业的证明文件。</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spacing w:line="360" w:lineRule="auto"/>
        <w:jc w:val="left"/>
        <w:rPr>
          <w:rFonts w:ascii="宋体" w:hAnsi="宋体"/>
          <w:b/>
          <w:sz w:val="32"/>
          <w:szCs w:val="32"/>
          <w:highlight w:val="none"/>
        </w:rPr>
      </w:pPr>
      <w:r>
        <w:rPr>
          <w:rFonts w:hint="eastAsia" w:ascii="宋体" w:hAnsi="宋体" w:cs="宋体"/>
          <w:sz w:val="24"/>
          <w:highlight w:val="none"/>
        </w:rPr>
        <w:t>注：在政府采购活动中，监狱企业视同小型、微型企业，享受预留份额等政府采购促进中小企业发展的政府采购政策。</w:t>
      </w:r>
    </w:p>
    <w:p>
      <w:pPr>
        <w:widowControl/>
        <w:jc w:val="left"/>
        <w:rPr>
          <w:rFonts w:ascii="宋体" w:hAnsi="宋体"/>
          <w:b/>
          <w:sz w:val="32"/>
          <w:szCs w:val="32"/>
          <w:highlight w:val="none"/>
        </w:rPr>
      </w:pPr>
      <w:r>
        <w:rPr>
          <w:rFonts w:ascii="宋体" w:hAnsi="宋体"/>
          <w:b/>
          <w:sz w:val="32"/>
          <w:szCs w:val="32"/>
          <w:highlight w:val="none"/>
        </w:rPr>
        <w:br w:type="page"/>
      </w:r>
    </w:p>
    <w:p>
      <w:pPr>
        <w:widowControl/>
        <w:jc w:val="center"/>
        <w:rPr>
          <w:rFonts w:ascii="宋体" w:hAnsi="宋体"/>
          <w:b/>
          <w:sz w:val="32"/>
          <w:szCs w:val="32"/>
          <w:highlight w:val="none"/>
        </w:rPr>
      </w:pPr>
      <w:r>
        <w:rPr>
          <w:rFonts w:hint="eastAsia" w:ascii="宋体" w:hAnsi="宋体"/>
          <w:b/>
          <w:sz w:val="32"/>
          <w:szCs w:val="32"/>
          <w:highlight w:val="none"/>
        </w:rPr>
        <w:t>八、技术、服务应答表</w:t>
      </w:r>
    </w:p>
    <w:p>
      <w:pPr>
        <w:spacing w:line="480" w:lineRule="exact"/>
        <w:ind w:firstLine="436" w:firstLineChars="182"/>
        <w:rPr>
          <w:rFonts w:ascii="宋体" w:hAnsi="宋体"/>
          <w:sz w:val="24"/>
          <w:highlight w:val="none"/>
        </w:rPr>
      </w:pPr>
      <w:r>
        <w:rPr>
          <w:rFonts w:hint="eastAsia" w:ascii="宋体" w:hAnsi="宋体"/>
          <w:sz w:val="24"/>
          <w:highlight w:val="none"/>
        </w:rPr>
        <w:t>项目名称：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项目编号：</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tbl>
      <w:tblPr>
        <w:tblStyle w:val="38"/>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015"/>
        <w:gridCol w:w="257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194" w:type="dxa"/>
            <w:vAlign w:val="center"/>
          </w:tcPr>
          <w:p>
            <w:pPr>
              <w:spacing w:line="400" w:lineRule="exact"/>
              <w:jc w:val="center"/>
              <w:rPr>
                <w:rFonts w:ascii="宋体" w:hAnsi="宋体"/>
                <w:sz w:val="24"/>
                <w:highlight w:val="none"/>
              </w:rPr>
            </w:pPr>
            <w:r>
              <w:rPr>
                <w:rFonts w:hint="eastAsia" w:ascii="宋体" w:hAnsi="宋体"/>
                <w:sz w:val="24"/>
                <w:highlight w:val="none"/>
              </w:rPr>
              <w:t>序号</w:t>
            </w:r>
          </w:p>
        </w:tc>
        <w:tc>
          <w:tcPr>
            <w:tcW w:w="3015" w:type="dxa"/>
            <w:vAlign w:val="center"/>
          </w:tcPr>
          <w:p>
            <w:pPr>
              <w:spacing w:line="400" w:lineRule="exact"/>
              <w:jc w:val="center"/>
              <w:rPr>
                <w:rFonts w:ascii="宋体" w:hAnsi="宋体"/>
                <w:sz w:val="24"/>
                <w:highlight w:val="none"/>
              </w:rPr>
            </w:pPr>
            <w:r>
              <w:rPr>
                <w:rFonts w:hint="eastAsia" w:ascii="宋体" w:hAnsi="宋体"/>
                <w:sz w:val="24"/>
                <w:highlight w:val="none"/>
              </w:rPr>
              <w:t>采购文件要求</w:t>
            </w:r>
          </w:p>
        </w:tc>
        <w:tc>
          <w:tcPr>
            <w:tcW w:w="2571" w:type="dxa"/>
            <w:vAlign w:val="center"/>
          </w:tcPr>
          <w:p>
            <w:pPr>
              <w:spacing w:line="400" w:lineRule="exact"/>
              <w:jc w:val="center"/>
              <w:rPr>
                <w:rFonts w:ascii="宋体" w:hAnsi="宋体"/>
                <w:sz w:val="24"/>
                <w:highlight w:val="none"/>
              </w:rPr>
            </w:pPr>
            <w:r>
              <w:rPr>
                <w:rFonts w:hint="eastAsia" w:ascii="宋体" w:hAnsi="宋体"/>
                <w:sz w:val="24"/>
                <w:highlight w:val="none"/>
              </w:rPr>
              <w:t>响应文件应答</w:t>
            </w:r>
          </w:p>
        </w:tc>
        <w:tc>
          <w:tcPr>
            <w:tcW w:w="2265" w:type="dxa"/>
            <w:vAlign w:val="center"/>
          </w:tcPr>
          <w:p>
            <w:pPr>
              <w:spacing w:line="400" w:lineRule="exact"/>
              <w:jc w:val="center"/>
              <w:rPr>
                <w:rFonts w:ascii="宋体" w:hAnsi="宋体"/>
                <w:sz w:val="24"/>
                <w:highlight w:val="none"/>
              </w:rPr>
            </w:pPr>
            <w:r>
              <w:rPr>
                <w:rFonts w:hint="eastAsia" w:ascii="宋体" w:hAnsi="宋体" w:cs="宋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194" w:type="dxa"/>
            <w:vAlign w:val="center"/>
          </w:tcPr>
          <w:p>
            <w:pPr>
              <w:spacing w:line="400" w:lineRule="exact"/>
              <w:jc w:val="center"/>
              <w:rPr>
                <w:rFonts w:ascii="宋体" w:hAnsi="宋体"/>
                <w:sz w:val="24"/>
                <w:highlight w:val="none"/>
              </w:rPr>
            </w:pPr>
          </w:p>
        </w:tc>
        <w:tc>
          <w:tcPr>
            <w:tcW w:w="3015" w:type="dxa"/>
            <w:vAlign w:val="center"/>
          </w:tcPr>
          <w:p>
            <w:pPr>
              <w:spacing w:line="400" w:lineRule="exact"/>
              <w:jc w:val="center"/>
              <w:rPr>
                <w:rFonts w:ascii="宋体" w:hAnsi="宋体"/>
                <w:sz w:val="24"/>
                <w:highlight w:val="none"/>
              </w:rPr>
            </w:pPr>
          </w:p>
        </w:tc>
        <w:tc>
          <w:tcPr>
            <w:tcW w:w="2571" w:type="dxa"/>
            <w:vAlign w:val="center"/>
          </w:tcPr>
          <w:p>
            <w:pPr>
              <w:spacing w:line="400" w:lineRule="exact"/>
              <w:jc w:val="center"/>
              <w:rPr>
                <w:rFonts w:ascii="宋体" w:hAnsi="宋体"/>
                <w:sz w:val="24"/>
                <w:highlight w:val="none"/>
              </w:rPr>
            </w:pPr>
          </w:p>
        </w:tc>
        <w:tc>
          <w:tcPr>
            <w:tcW w:w="2265"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194" w:type="dxa"/>
            <w:vAlign w:val="center"/>
          </w:tcPr>
          <w:p>
            <w:pPr>
              <w:spacing w:line="400" w:lineRule="exact"/>
              <w:jc w:val="center"/>
              <w:rPr>
                <w:rFonts w:ascii="宋体" w:hAnsi="宋体"/>
                <w:sz w:val="24"/>
                <w:highlight w:val="none"/>
              </w:rPr>
            </w:pPr>
          </w:p>
        </w:tc>
        <w:tc>
          <w:tcPr>
            <w:tcW w:w="3015" w:type="dxa"/>
            <w:vAlign w:val="center"/>
          </w:tcPr>
          <w:p>
            <w:pPr>
              <w:spacing w:line="400" w:lineRule="exact"/>
              <w:jc w:val="center"/>
              <w:rPr>
                <w:rFonts w:ascii="宋体" w:hAnsi="宋体"/>
                <w:sz w:val="24"/>
                <w:highlight w:val="none"/>
              </w:rPr>
            </w:pPr>
          </w:p>
        </w:tc>
        <w:tc>
          <w:tcPr>
            <w:tcW w:w="2571" w:type="dxa"/>
            <w:vAlign w:val="center"/>
          </w:tcPr>
          <w:p>
            <w:pPr>
              <w:spacing w:line="400" w:lineRule="exact"/>
              <w:jc w:val="center"/>
              <w:rPr>
                <w:rFonts w:ascii="宋体" w:hAnsi="宋体"/>
                <w:sz w:val="24"/>
                <w:highlight w:val="none"/>
              </w:rPr>
            </w:pPr>
          </w:p>
        </w:tc>
        <w:tc>
          <w:tcPr>
            <w:tcW w:w="2265"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194" w:type="dxa"/>
            <w:vAlign w:val="center"/>
          </w:tcPr>
          <w:p>
            <w:pPr>
              <w:spacing w:line="400" w:lineRule="exact"/>
              <w:jc w:val="center"/>
              <w:rPr>
                <w:rFonts w:ascii="宋体" w:hAnsi="宋体"/>
                <w:sz w:val="24"/>
                <w:highlight w:val="none"/>
              </w:rPr>
            </w:pPr>
          </w:p>
        </w:tc>
        <w:tc>
          <w:tcPr>
            <w:tcW w:w="3015" w:type="dxa"/>
            <w:vAlign w:val="center"/>
          </w:tcPr>
          <w:p>
            <w:pPr>
              <w:spacing w:line="400" w:lineRule="exact"/>
              <w:jc w:val="center"/>
              <w:rPr>
                <w:rFonts w:ascii="宋体" w:hAnsi="宋体"/>
                <w:sz w:val="24"/>
                <w:highlight w:val="none"/>
              </w:rPr>
            </w:pPr>
          </w:p>
        </w:tc>
        <w:tc>
          <w:tcPr>
            <w:tcW w:w="2571" w:type="dxa"/>
            <w:vAlign w:val="center"/>
          </w:tcPr>
          <w:p>
            <w:pPr>
              <w:spacing w:line="400" w:lineRule="exact"/>
              <w:jc w:val="center"/>
              <w:rPr>
                <w:rFonts w:ascii="宋体" w:hAnsi="宋体"/>
                <w:sz w:val="24"/>
                <w:highlight w:val="none"/>
              </w:rPr>
            </w:pPr>
          </w:p>
        </w:tc>
        <w:tc>
          <w:tcPr>
            <w:tcW w:w="2265" w:type="dxa"/>
            <w:vAlign w:val="center"/>
          </w:tcPr>
          <w:p>
            <w:pPr>
              <w:spacing w:line="4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194" w:type="dxa"/>
            <w:vAlign w:val="center"/>
          </w:tcPr>
          <w:p>
            <w:pPr>
              <w:spacing w:line="400" w:lineRule="exact"/>
              <w:jc w:val="center"/>
              <w:rPr>
                <w:rFonts w:ascii="宋体" w:hAnsi="宋体"/>
                <w:sz w:val="24"/>
                <w:highlight w:val="none"/>
              </w:rPr>
            </w:pPr>
            <w:r>
              <w:rPr>
                <w:rFonts w:hint="eastAsia" w:ascii="宋体" w:hAnsi="宋体"/>
                <w:sz w:val="24"/>
                <w:highlight w:val="none"/>
              </w:rPr>
              <w:t>...</w:t>
            </w:r>
          </w:p>
        </w:tc>
        <w:tc>
          <w:tcPr>
            <w:tcW w:w="3015" w:type="dxa"/>
            <w:vAlign w:val="center"/>
          </w:tcPr>
          <w:p>
            <w:pPr>
              <w:spacing w:line="400" w:lineRule="exact"/>
              <w:jc w:val="center"/>
              <w:rPr>
                <w:rFonts w:ascii="宋体" w:hAnsi="宋体"/>
                <w:sz w:val="24"/>
                <w:highlight w:val="none"/>
              </w:rPr>
            </w:pPr>
          </w:p>
        </w:tc>
        <w:tc>
          <w:tcPr>
            <w:tcW w:w="2571" w:type="dxa"/>
            <w:vAlign w:val="center"/>
          </w:tcPr>
          <w:p>
            <w:pPr>
              <w:spacing w:line="400" w:lineRule="exact"/>
              <w:jc w:val="center"/>
              <w:rPr>
                <w:rFonts w:ascii="宋体" w:hAnsi="宋体"/>
                <w:sz w:val="24"/>
                <w:highlight w:val="none"/>
              </w:rPr>
            </w:pPr>
          </w:p>
        </w:tc>
        <w:tc>
          <w:tcPr>
            <w:tcW w:w="2265" w:type="dxa"/>
            <w:vAlign w:val="center"/>
          </w:tcPr>
          <w:p>
            <w:pPr>
              <w:spacing w:line="400" w:lineRule="exact"/>
              <w:jc w:val="center"/>
              <w:rPr>
                <w:rFonts w:ascii="宋体" w:hAnsi="宋体"/>
                <w:sz w:val="24"/>
                <w:highlight w:val="none"/>
              </w:rPr>
            </w:pPr>
          </w:p>
        </w:tc>
      </w:tr>
    </w:tbl>
    <w:p>
      <w:pPr>
        <w:widowControl/>
        <w:jc w:val="left"/>
        <w:rPr>
          <w:rFonts w:ascii="宋体" w:hAnsi="宋体"/>
          <w:b/>
          <w:sz w:val="32"/>
          <w:szCs w:val="32"/>
          <w:highlight w:val="none"/>
        </w:rPr>
      </w:pPr>
    </w:p>
    <w:p>
      <w:pPr>
        <w:ind w:firstLine="480" w:firstLineChars="200"/>
        <w:rPr>
          <w:rFonts w:ascii="宋体" w:hAnsi="宋体"/>
          <w:b/>
          <w:sz w:val="24"/>
          <w:highlight w:val="none"/>
        </w:rPr>
      </w:pPr>
      <w:r>
        <w:rPr>
          <w:rFonts w:hint="eastAsia" w:ascii="宋体" w:hAnsi="宋体"/>
          <w:sz w:val="24"/>
          <w:highlight w:val="none"/>
        </w:rPr>
        <w:t>注：供应商必须根据磋商文件要求（磋商文件第五章“项目服务内容及要求”）据实逐条填写，不得虚假响应，虚假响应的，其响应文件无效并按规定追究其相关责任。</w:t>
      </w:r>
    </w:p>
    <w:p>
      <w:pPr>
        <w:widowControl/>
        <w:jc w:val="left"/>
        <w:rPr>
          <w:rFonts w:ascii="宋体" w:hAnsi="宋体"/>
          <w:b/>
          <w:sz w:val="32"/>
          <w:szCs w:val="32"/>
          <w:highlight w:val="none"/>
        </w:rPr>
      </w:pP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hint="eastAsia" w:ascii="宋体" w:hAnsi="宋体"/>
          <w:b/>
          <w:sz w:val="40"/>
          <w:szCs w:val="48"/>
          <w:highlight w:val="none"/>
          <w:u w:val="single"/>
        </w:rPr>
        <w:t xml:space="preserve">      </w:t>
      </w:r>
      <w:r>
        <w:rPr>
          <w:rFonts w:hint="eastAsia" w:ascii="宋体" w:hAnsi="宋体"/>
          <w:sz w:val="24"/>
          <w:highlight w:val="none"/>
        </w:rPr>
        <w:t>（单位公章）。</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日期:</w:t>
      </w:r>
      <w:r>
        <w:rPr>
          <w:rFonts w:hint="eastAsia" w:ascii="宋体" w:hAnsi="宋体"/>
          <w:b/>
          <w:sz w:val="40"/>
          <w:szCs w:val="48"/>
          <w:highlight w:val="none"/>
          <w:u w:val="single"/>
        </w:rPr>
        <w:t xml:space="preserve">      </w:t>
      </w:r>
      <w:r>
        <w:rPr>
          <w:rFonts w:hint="eastAsia" w:ascii="宋体" w:hAnsi="宋体"/>
          <w:sz w:val="24"/>
          <w:highlight w:val="none"/>
        </w:rPr>
        <w:t>。</w:t>
      </w:r>
    </w:p>
    <w:p>
      <w:pPr>
        <w:pStyle w:val="2"/>
        <w:rPr>
          <w:color w:val="auto"/>
          <w:highlight w:val="none"/>
        </w:rPr>
      </w:pPr>
    </w:p>
    <w:p>
      <w:pPr>
        <w:widowControl/>
        <w:jc w:val="left"/>
        <w:rPr>
          <w:rFonts w:ascii="宋体" w:hAnsi="宋体"/>
          <w:b/>
          <w:sz w:val="32"/>
          <w:szCs w:val="32"/>
          <w:highlight w:val="none"/>
        </w:rPr>
      </w:pPr>
      <w:r>
        <w:rPr>
          <w:rFonts w:ascii="宋体" w:hAnsi="宋体"/>
          <w:b/>
          <w:sz w:val="32"/>
          <w:szCs w:val="32"/>
          <w:highlight w:val="none"/>
        </w:rPr>
        <w:br w:type="page"/>
      </w:r>
    </w:p>
    <w:p>
      <w:pPr>
        <w:widowControl/>
        <w:spacing w:line="360" w:lineRule="atLeast"/>
        <w:jc w:val="center"/>
        <w:outlineLvl w:val="1"/>
        <w:rPr>
          <w:rFonts w:ascii="宋体" w:hAnsi="宋体"/>
          <w:b/>
          <w:sz w:val="32"/>
          <w:szCs w:val="32"/>
          <w:highlight w:val="none"/>
        </w:rPr>
      </w:pPr>
      <w:r>
        <w:rPr>
          <w:rFonts w:hint="eastAsia" w:ascii="宋体" w:hAnsi="宋体"/>
          <w:b/>
          <w:sz w:val="32"/>
          <w:szCs w:val="32"/>
          <w:highlight w:val="none"/>
        </w:rPr>
        <w:t>九、商务应答表</w:t>
      </w:r>
    </w:p>
    <w:p>
      <w:pPr>
        <w:spacing w:line="480" w:lineRule="exact"/>
        <w:ind w:firstLine="436" w:firstLineChars="182"/>
        <w:rPr>
          <w:rFonts w:ascii="宋体" w:hAnsi="宋体"/>
          <w:sz w:val="24"/>
          <w:highlight w:val="none"/>
        </w:rPr>
      </w:pPr>
      <w:r>
        <w:rPr>
          <w:rFonts w:hint="eastAsia" w:ascii="宋体" w:hAnsi="宋体"/>
          <w:sz w:val="24"/>
          <w:highlight w:val="none"/>
        </w:rPr>
        <w:t>项目名称：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项目编号：</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tbl>
      <w:tblPr>
        <w:tblStyle w:val="38"/>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942"/>
        <w:gridCol w:w="2941"/>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006" w:type="dxa"/>
            <w:vAlign w:val="center"/>
          </w:tcPr>
          <w:p>
            <w:pPr>
              <w:spacing w:line="400" w:lineRule="exact"/>
              <w:jc w:val="center"/>
              <w:rPr>
                <w:rFonts w:ascii="宋体" w:hAnsi="宋体" w:cs="宋体"/>
                <w:sz w:val="24"/>
                <w:highlight w:val="none"/>
              </w:rPr>
            </w:pPr>
            <w:r>
              <w:rPr>
                <w:rFonts w:hint="eastAsia" w:ascii="宋体" w:hAnsi="宋体" w:cs="宋体"/>
                <w:sz w:val="24"/>
                <w:highlight w:val="none"/>
              </w:rPr>
              <w:t>序号</w:t>
            </w:r>
          </w:p>
        </w:tc>
        <w:tc>
          <w:tcPr>
            <w:tcW w:w="2942" w:type="dxa"/>
            <w:vAlign w:val="center"/>
          </w:tcPr>
          <w:p>
            <w:pPr>
              <w:spacing w:line="400" w:lineRule="exact"/>
              <w:jc w:val="center"/>
              <w:rPr>
                <w:rFonts w:ascii="宋体" w:hAnsi="宋体" w:cs="宋体"/>
                <w:sz w:val="24"/>
                <w:highlight w:val="none"/>
              </w:rPr>
            </w:pPr>
            <w:r>
              <w:rPr>
                <w:rFonts w:hint="eastAsia" w:ascii="宋体" w:hAnsi="宋体" w:cs="宋体"/>
                <w:sz w:val="24"/>
                <w:highlight w:val="none"/>
              </w:rPr>
              <w:t>采购文件要求</w:t>
            </w:r>
          </w:p>
        </w:tc>
        <w:tc>
          <w:tcPr>
            <w:tcW w:w="2941" w:type="dxa"/>
            <w:vAlign w:val="center"/>
          </w:tcPr>
          <w:p>
            <w:pPr>
              <w:spacing w:line="400" w:lineRule="exact"/>
              <w:jc w:val="center"/>
              <w:rPr>
                <w:rFonts w:ascii="宋体" w:hAnsi="宋体" w:cs="宋体"/>
                <w:sz w:val="24"/>
                <w:highlight w:val="none"/>
              </w:rPr>
            </w:pPr>
            <w:r>
              <w:rPr>
                <w:rFonts w:hint="eastAsia" w:ascii="宋体" w:hAnsi="宋体" w:cs="宋体"/>
                <w:sz w:val="24"/>
                <w:highlight w:val="none"/>
              </w:rPr>
              <w:t>响应文件应答</w:t>
            </w:r>
          </w:p>
        </w:tc>
        <w:tc>
          <w:tcPr>
            <w:tcW w:w="2926" w:type="dxa"/>
            <w:vAlign w:val="center"/>
          </w:tcPr>
          <w:p>
            <w:pPr>
              <w:spacing w:line="400" w:lineRule="exact"/>
              <w:jc w:val="center"/>
              <w:rPr>
                <w:rFonts w:ascii="宋体" w:hAnsi="宋体" w:cs="宋体"/>
                <w:sz w:val="24"/>
                <w:highlight w:val="none"/>
              </w:rPr>
            </w:pPr>
            <w:r>
              <w:rPr>
                <w:rFonts w:hint="eastAsia" w:ascii="宋体" w:hAnsi="宋体" w:cs="宋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sz w:val="24"/>
                <w:highlight w:val="none"/>
              </w:rPr>
            </w:pPr>
          </w:p>
        </w:tc>
        <w:tc>
          <w:tcPr>
            <w:tcW w:w="2942" w:type="dxa"/>
            <w:vAlign w:val="center"/>
          </w:tcPr>
          <w:p>
            <w:pPr>
              <w:spacing w:line="400" w:lineRule="exact"/>
              <w:jc w:val="center"/>
              <w:rPr>
                <w:rFonts w:ascii="宋体" w:hAnsi="宋体" w:cs="宋体"/>
                <w:sz w:val="24"/>
                <w:highlight w:val="none"/>
              </w:rPr>
            </w:pPr>
          </w:p>
        </w:tc>
        <w:tc>
          <w:tcPr>
            <w:tcW w:w="2941" w:type="dxa"/>
            <w:vAlign w:val="center"/>
          </w:tcPr>
          <w:p>
            <w:pPr>
              <w:spacing w:line="400" w:lineRule="exact"/>
              <w:jc w:val="center"/>
              <w:rPr>
                <w:rFonts w:ascii="宋体" w:hAnsi="宋体" w:cs="宋体"/>
                <w:sz w:val="24"/>
                <w:highlight w:val="none"/>
              </w:rPr>
            </w:pPr>
          </w:p>
        </w:tc>
        <w:tc>
          <w:tcPr>
            <w:tcW w:w="2926" w:type="dxa"/>
            <w:vAlign w:val="center"/>
          </w:tcPr>
          <w:p>
            <w:pPr>
              <w:spacing w:line="4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sz w:val="24"/>
                <w:highlight w:val="none"/>
              </w:rPr>
            </w:pPr>
          </w:p>
        </w:tc>
        <w:tc>
          <w:tcPr>
            <w:tcW w:w="2942" w:type="dxa"/>
            <w:vAlign w:val="center"/>
          </w:tcPr>
          <w:p>
            <w:pPr>
              <w:spacing w:line="400" w:lineRule="exact"/>
              <w:jc w:val="center"/>
              <w:rPr>
                <w:rFonts w:ascii="宋体" w:hAnsi="宋体" w:cs="宋体"/>
                <w:sz w:val="24"/>
                <w:highlight w:val="none"/>
              </w:rPr>
            </w:pPr>
          </w:p>
        </w:tc>
        <w:tc>
          <w:tcPr>
            <w:tcW w:w="2941" w:type="dxa"/>
            <w:vAlign w:val="center"/>
          </w:tcPr>
          <w:p>
            <w:pPr>
              <w:spacing w:line="400" w:lineRule="exact"/>
              <w:jc w:val="center"/>
              <w:rPr>
                <w:rFonts w:ascii="宋体" w:hAnsi="宋体" w:cs="宋体"/>
                <w:sz w:val="24"/>
                <w:highlight w:val="none"/>
              </w:rPr>
            </w:pPr>
          </w:p>
        </w:tc>
        <w:tc>
          <w:tcPr>
            <w:tcW w:w="2926" w:type="dxa"/>
            <w:vAlign w:val="center"/>
          </w:tcPr>
          <w:p>
            <w:pPr>
              <w:spacing w:line="4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sz w:val="24"/>
                <w:highlight w:val="none"/>
              </w:rPr>
            </w:pPr>
          </w:p>
        </w:tc>
        <w:tc>
          <w:tcPr>
            <w:tcW w:w="2942" w:type="dxa"/>
            <w:vAlign w:val="center"/>
          </w:tcPr>
          <w:p>
            <w:pPr>
              <w:spacing w:line="400" w:lineRule="exact"/>
              <w:jc w:val="center"/>
              <w:rPr>
                <w:rFonts w:ascii="宋体" w:hAnsi="宋体" w:cs="宋体"/>
                <w:sz w:val="24"/>
                <w:highlight w:val="none"/>
              </w:rPr>
            </w:pPr>
          </w:p>
        </w:tc>
        <w:tc>
          <w:tcPr>
            <w:tcW w:w="2941" w:type="dxa"/>
            <w:vAlign w:val="center"/>
          </w:tcPr>
          <w:p>
            <w:pPr>
              <w:spacing w:line="400" w:lineRule="exact"/>
              <w:jc w:val="center"/>
              <w:rPr>
                <w:rFonts w:ascii="宋体" w:hAnsi="宋体" w:cs="宋体"/>
                <w:sz w:val="24"/>
                <w:highlight w:val="none"/>
              </w:rPr>
            </w:pPr>
          </w:p>
        </w:tc>
        <w:tc>
          <w:tcPr>
            <w:tcW w:w="2926" w:type="dxa"/>
            <w:vAlign w:val="center"/>
          </w:tcPr>
          <w:p>
            <w:pPr>
              <w:spacing w:line="4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sz w:val="24"/>
                <w:highlight w:val="none"/>
              </w:rPr>
            </w:pPr>
            <w:r>
              <w:rPr>
                <w:rFonts w:hint="eastAsia" w:ascii="宋体" w:hAnsi="宋体"/>
                <w:sz w:val="24"/>
                <w:highlight w:val="none"/>
              </w:rPr>
              <w:t>...</w:t>
            </w:r>
          </w:p>
        </w:tc>
        <w:tc>
          <w:tcPr>
            <w:tcW w:w="2942" w:type="dxa"/>
            <w:vAlign w:val="center"/>
          </w:tcPr>
          <w:p>
            <w:pPr>
              <w:spacing w:line="400" w:lineRule="exact"/>
              <w:jc w:val="center"/>
              <w:rPr>
                <w:rFonts w:ascii="宋体" w:hAnsi="宋体" w:cs="宋体"/>
                <w:sz w:val="24"/>
                <w:highlight w:val="none"/>
              </w:rPr>
            </w:pPr>
          </w:p>
        </w:tc>
        <w:tc>
          <w:tcPr>
            <w:tcW w:w="2941" w:type="dxa"/>
            <w:vAlign w:val="center"/>
          </w:tcPr>
          <w:p>
            <w:pPr>
              <w:spacing w:line="400" w:lineRule="exact"/>
              <w:jc w:val="center"/>
              <w:rPr>
                <w:rFonts w:ascii="宋体" w:hAnsi="宋体" w:cs="宋体"/>
                <w:sz w:val="24"/>
                <w:highlight w:val="none"/>
              </w:rPr>
            </w:pPr>
          </w:p>
        </w:tc>
        <w:tc>
          <w:tcPr>
            <w:tcW w:w="2926" w:type="dxa"/>
            <w:vAlign w:val="center"/>
          </w:tcPr>
          <w:p>
            <w:pPr>
              <w:spacing w:line="400" w:lineRule="exact"/>
              <w:jc w:val="center"/>
              <w:rPr>
                <w:rFonts w:ascii="宋体" w:hAnsi="宋体" w:cs="宋体"/>
                <w:sz w:val="24"/>
                <w:highlight w:val="none"/>
              </w:rPr>
            </w:pPr>
          </w:p>
        </w:tc>
      </w:tr>
    </w:tbl>
    <w:p>
      <w:pPr>
        <w:spacing w:line="400" w:lineRule="exact"/>
        <w:rPr>
          <w:rFonts w:ascii="宋体" w:hAnsi="宋体"/>
          <w:b/>
          <w:bCs/>
          <w:sz w:val="24"/>
          <w:highlight w:val="none"/>
        </w:rPr>
      </w:pPr>
      <w:r>
        <w:rPr>
          <w:rFonts w:hint="eastAsia" w:ascii="宋体" w:hAnsi="宋体"/>
          <w:sz w:val="24"/>
          <w:highlight w:val="none"/>
        </w:rPr>
        <w:t>注：</w:t>
      </w:r>
      <w:r>
        <w:rPr>
          <w:rFonts w:hint="eastAsia" w:ascii="宋体" w:hAnsi="宋体"/>
          <w:b/>
          <w:bCs/>
          <w:sz w:val="24"/>
          <w:highlight w:val="none"/>
        </w:rPr>
        <w:t>1、本表只填写响应文件中与采购文件有偏离（包括正偏离和负偏离）的内容，若响应文件中商务响应与采购文件要求完全一致的，则无须在此表中应答，视为默认完全响应和接受采购文件相应商务要求，供应商不得以未作应答而拒不接受。</w:t>
      </w:r>
    </w:p>
    <w:p>
      <w:pPr>
        <w:widowControl/>
        <w:spacing w:line="360" w:lineRule="atLeast"/>
        <w:ind w:firstLine="472" w:firstLineChars="196"/>
        <w:jc w:val="left"/>
        <w:outlineLvl w:val="1"/>
        <w:rPr>
          <w:rFonts w:ascii="宋体" w:hAnsi="宋体"/>
          <w:b/>
          <w:bCs/>
          <w:sz w:val="24"/>
          <w:highlight w:val="none"/>
        </w:rPr>
      </w:pPr>
      <w:r>
        <w:rPr>
          <w:rFonts w:hint="eastAsia" w:ascii="宋体" w:hAnsi="宋体"/>
          <w:b/>
          <w:bCs/>
          <w:sz w:val="24"/>
          <w:highlight w:val="none"/>
        </w:rPr>
        <w:t>2、</w:t>
      </w:r>
      <w:bookmarkStart w:id="87" w:name="_Toc2935"/>
      <w:bookmarkStart w:id="88" w:name="_Toc485222414"/>
      <w:bookmarkStart w:id="89" w:name="_Toc21274"/>
      <w:r>
        <w:rPr>
          <w:rFonts w:hint="eastAsia" w:ascii="宋体" w:hAnsi="宋体"/>
          <w:b/>
          <w:bCs/>
          <w:sz w:val="24"/>
          <w:highlight w:val="none"/>
        </w:rPr>
        <w:t>供应商必须据实填写，不得虚假响应，否则将取消其磋商或成交资格，并按有关规定进行处罚。</w:t>
      </w:r>
      <w:bookmarkEnd w:id="87"/>
      <w:bookmarkEnd w:id="88"/>
      <w:bookmarkEnd w:id="89"/>
    </w:p>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hint="eastAsia" w:ascii="宋体" w:hAnsi="宋体"/>
          <w:b/>
          <w:sz w:val="40"/>
          <w:szCs w:val="48"/>
          <w:highlight w:val="none"/>
          <w:u w:val="single"/>
        </w:rPr>
        <w:t xml:space="preserve">      </w:t>
      </w:r>
      <w:r>
        <w:rPr>
          <w:rFonts w:hint="eastAsia" w:ascii="宋体" w:hAnsi="宋体"/>
          <w:sz w:val="24"/>
          <w:highlight w:val="none"/>
        </w:rPr>
        <w:t>（单位公章）。</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日期:</w:t>
      </w:r>
      <w:r>
        <w:rPr>
          <w:rFonts w:hint="eastAsia" w:ascii="宋体" w:hAnsi="宋体"/>
          <w:b/>
          <w:sz w:val="40"/>
          <w:szCs w:val="48"/>
          <w:highlight w:val="none"/>
          <w:u w:val="single"/>
        </w:rPr>
        <w:t xml:space="preserve">      </w:t>
      </w:r>
      <w:r>
        <w:rPr>
          <w:rFonts w:hint="eastAsia" w:ascii="宋体" w:hAnsi="宋体"/>
          <w:sz w:val="24"/>
          <w:highlight w:val="none"/>
        </w:rPr>
        <w:t>。</w:t>
      </w:r>
    </w:p>
    <w:p>
      <w:pPr>
        <w:widowControl/>
        <w:jc w:val="left"/>
        <w:rPr>
          <w:rFonts w:ascii="宋体" w:hAnsi="宋体"/>
          <w:b/>
          <w:sz w:val="32"/>
          <w:szCs w:val="32"/>
          <w:highlight w:val="none"/>
        </w:rPr>
      </w:pPr>
      <w:r>
        <w:rPr>
          <w:rFonts w:ascii="宋体" w:hAnsi="宋体"/>
          <w:b/>
          <w:sz w:val="32"/>
          <w:szCs w:val="32"/>
          <w:highlight w:val="none"/>
        </w:rPr>
        <w:br w:type="page"/>
      </w:r>
    </w:p>
    <w:p>
      <w:pPr>
        <w:widowControl/>
        <w:spacing w:line="360" w:lineRule="atLeast"/>
        <w:jc w:val="center"/>
        <w:outlineLvl w:val="1"/>
        <w:rPr>
          <w:rFonts w:ascii="宋体" w:hAnsi="宋体"/>
          <w:b/>
          <w:sz w:val="32"/>
          <w:szCs w:val="32"/>
          <w:highlight w:val="none"/>
        </w:rPr>
      </w:pPr>
      <w:bookmarkStart w:id="90" w:name="_Toc217446090"/>
      <w:r>
        <w:rPr>
          <w:rFonts w:hint="eastAsia" w:ascii="宋体" w:hAnsi="宋体"/>
          <w:b/>
          <w:sz w:val="32"/>
          <w:szCs w:val="32"/>
          <w:highlight w:val="none"/>
        </w:rPr>
        <w:t>十、供应商类似项目业绩一览表</w:t>
      </w:r>
    </w:p>
    <w:tbl>
      <w:tblPr>
        <w:tblStyle w:val="38"/>
        <w:tblW w:w="910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78"/>
        <w:gridCol w:w="1759"/>
        <w:gridCol w:w="1612"/>
        <w:gridCol w:w="1418"/>
        <w:gridCol w:w="1745"/>
        <w:gridCol w:w="16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tcBorders>
              <w:top w:val="single" w:color="auto" w:sz="4" w:space="0"/>
            </w:tcBorders>
            <w:vAlign w:val="center"/>
          </w:tcPr>
          <w:p>
            <w:pPr>
              <w:spacing w:line="400" w:lineRule="exact"/>
              <w:ind w:firstLine="105" w:firstLineChars="50"/>
              <w:jc w:val="center"/>
              <w:rPr>
                <w:rFonts w:ascii="宋体" w:hAnsi="宋体" w:cs="Arial"/>
                <w:b/>
                <w:highlight w:val="none"/>
              </w:rPr>
            </w:pPr>
            <w:r>
              <w:rPr>
                <w:rFonts w:hint="eastAsia" w:ascii="宋体" w:hAnsi="宋体" w:cs="Arial"/>
                <w:b/>
                <w:highlight w:val="none"/>
              </w:rPr>
              <w:t>年份</w:t>
            </w:r>
          </w:p>
        </w:tc>
        <w:tc>
          <w:tcPr>
            <w:tcW w:w="1759" w:type="dxa"/>
            <w:vAlign w:val="center"/>
          </w:tcPr>
          <w:p>
            <w:pPr>
              <w:spacing w:line="400" w:lineRule="exact"/>
              <w:jc w:val="center"/>
              <w:rPr>
                <w:rFonts w:ascii="宋体" w:hAnsi="宋体" w:cs="Arial"/>
                <w:b/>
                <w:highlight w:val="none"/>
              </w:rPr>
            </w:pPr>
            <w:r>
              <w:rPr>
                <w:rFonts w:hint="eastAsia" w:ascii="宋体" w:hAnsi="宋体" w:cs="Arial"/>
                <w:b/>
                <w:highlight w:val="none"/>
              </w:rPr>
              <w:t>用户名称</w:t>
            </w:r>
          </w:p>
        </w:tc>
        <w:tc>
          <w:tcPr>
            <w:tcW w:w="1612" w:type="dxa"/>
            <w:vAlign w:val="center"/>
          </w:tcPr>
          <w:p>
            <w:pPr>
              <w:spacing w:line="400" w:lineRule="exact"/>
              <w:jc w:val="center"/>
              <w:rPr>
                <w:rFonts w:ascii="宋体" w:hAnsi="宋体" w:cs="Arial"/>
                <w:b/>
                <w:highlight w:val="none"/>
              </w:rPr>
            </w:pPr>
            <w:r>
              <w:rPr>
                <w:rFonts w:ascii="宋体" w:hAnsi="宋体" w:cs="Arial"/>
                <w:b/>
                <w:highlight w:val="none"/>
              </w:rPr>
              <w:t>项目名称</w:t>
            </w:r>
          </w:p>
        </w:tc>
        <w:tc>
          <w:tcPr>
            <w:tcW w:w="1418" w:type="dxa"/>
            <w:vAlign w:val="center"/>
          </w:tcPr>
          <w:p>
            <w:pPr>
              <w:spacing w:line="400" w:lineRule="exact"/>
              <w:jc w:val="center"/>
              <w:rPr>
                <w:rFonts w:ascii="宋体" w:hAnsi="宋体" w:cs="Arial"/>
                <w:b/>
                <w:highlight w:val="none"/>
              </w:rPr>
            </w:pPr>
            <w:r>
              <w:rPr>
                <w:rFonts w:ascii="宋体" w:hAnsi="宋体" w:cs="Arial"/>
                <w:b/>
                <w:highlight w:val="none"/>
              </w:rPr>
              <w:t>完成时间</w:t>
            </w:r>
          </w:p>
        </w:tc>
        <w:tc>
          <w:tcPr>
            <w:tcW w:w="1745" w:type="dxa"/>
            <w:vAlign w:val="center"/>
          </w:tcPr>
          <w:p>
            <w:pPr>
              <w:spacing w:line="400" w:lineRule="exact"/>
              <w:ind w:firstLine="105" w:firstLineChars="50"/>
              <w:jc w:val="center"/>
              <w:rPr>
                <w:rFonts w:ascii="宋体" w:hAnsi="宋体" w:cs="Arial"/>
                <w:b/>
                <w:highlight w:val="none"/>
              </w:rPr>
            </w:pPr>
            <w:r>
              <w:rPr>
                <w:rFonts w:ascii="宋体" w:hAnsi="宋体" w:cs="Arial"/>
                <w:b/>
                <w:highlight w:val="none"/>
              </w:rPr>
              <w:t>合同金额</w:t>
            </w:r>
          </w:p>
        </w:tc>
        <w:tc>
          <w:tcPr>
            <w:tcW w:w="1688" w:type="dxa"/>
            <w:tcBorders>
              <w:left w:val="single" w:color="auto" w:sz="4" w:space="0"/>
            </w:tcBorders>
            <w:vAlign w:val="center"/>
          </w:tcPr>
          <w:p>
            <w:pPr>
              <w:spacing w:line="400" w:lineRule="exact"/>
              <w:jc w:val="center"/>
              <w:rPr>
                <w:rFonts w:ascii="宋体" w:hAnsi="宋体" w:cs="Arial"/>
                <w:b/>
                <w:highlight w:val="none"/>
              </w:rPr>
            </w:pPr>
            <w:r>
              <w:rPr>
                <w:rFonts w:hint="eastAsia" w:ascii="宋体" w:hAnsi="宋体" w:cs="Arial"/>
                <w:b/>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highlight w:val="none"/>
              </w:rPr>
            </w:pPr>
          </w:p>
        </w:tc>
        <w:tc>
          <w:tcPr>
            <w:tcW w:w="1759" w:type="dxa"/>
            <w:vAlign w:val="center"/>
          </w:tcPr>
          <w:p>
            <w:pPr>
              <w:spacing w:line="400" w:lineRule="exact"/>
              <w:jc w:val="center"/>
              <w:rPr>
                <w:rFonts w:ascii="宋体" w:hAnsi="宋体" w:cs="Arial"/>
                <w:highlight w:val="none"/>
              </w:rPr>
            </w:pPr>
          </w:p>
        </w:tc>
        <w:tc>
          <w:tcPr>
            <w:tcW w:w="1612" w:type="dxa"/>
            <w:vAlign w:val="center"/>
          </w:tcPr>
          <w:p>
            <w:pPr>
              <w:spacing w:line="400" w:lineRule="exact"/>
              <w:jc w:val="center"/>
              <w:rPr>
                <w:rFonts w:ascii="宋体" w:hAnsi="宋体" w:cs="Arial"/>
                <w:highlight w:val="none"/>
              </w:rPr>
            </w:pPr>
          </w:p>
        </w:tc>
        <w:tc>
          <w:tcPr>
            <w:tcW w:w="1418" w:type="dxa"/>
            <w:vAlign w:val="center"/>
          </w:tcPr>
          <w:p>
            <w:pPr>
              <w:spacing w:line="400" w:lineRule="exact"/>
              <w:jc w:val="center"/>
              <w:rPr>
                <w:rFonts w:ascii="宋体" w:hAnsi="宋体" w:cs="Arial"/>
                <w:highlight w:val="none"/>
              </w:rPr>
            </w:pPr>
          </w:p>
        </w:tc>
        <w:tc>
          <w:tcPr>
            <w:tcW w:w="1745" w:type="dxa"/>
            <w:vAlign w:val="center"/>
          </w:tcPr>
          <w:p>
            <w:pPr>
              <w:spacing w:line="400" w:lineRule="exact"/>
              <w:jc w:val="center"/>
              <w:rPr>
                <w:rFonts w:ascii="宋体" w:hAnsi="宋体" w:cs="Arial"/>
                <w:highlight w:val="none"/>
              </w:rPr>
            </w:pPr>
          </w:p>
        </w:tc>
        <w:tc>
          <w:tcPr>
            <w:tcW w:w="1688"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highlight w:val="none"/>
              </w:rPr>
            </w:pPr>
          </w:p>
        </w:tc>
        <w:tc>
          <w:tcPr>
            <w:tcW w:w="1759" w:type="dxa"/>
            <w:vAlign w:val="center"/>
          </w:tcPr>
          <w:p>
            <w:pPr>
              <w:spacing w:line="400" w:lineRule="exact"/>
              <w:jc w:val="center"/>
              <w:rPr>
                <w:rFonts w:ascii="宋体" w:hAnsi="宋体" w:cs="Arial"/>
                <w:highlight w:val="none"/>
              </w:rPr>
            </w:pPr>
          </w:p>
        </w:tc>
        <w:tc>
          <w:tcPr>
            <w:tcW w:w="1612" w:type="dxa"/>
            <w:vAlign w:val="center"/>
          </w:tcPr>
          <w:p>
            <w:pPr>
              <w:spacing w:line="400" w:lineRule="exact"/>
              <w:jc w:val="center"/>
              <w:rPr>
                <w:rFonts w:ascii="宋体" w:hAnsi="宋体" w:cs="Arial"/>
                <w:highlight w:val="none"/>
              </w:rPr>
            </w:pPr>
          </w:p>
        </w:tc>
        <w:tc>
          <w:tcPr>
            <w:tcW w:w="1418" w:type="dxa"/>
            <w:vAlign w:val="center"/>
          </w:tcPr>
          <w:p>
            <w:pPr>
              <w:spacing w:line="400" w:lineRule="exact"/>
              <w:jc w:val="center"/>
              <w:rPr>
                <w:rFonts w:ascii="宋体" w:hAnsi="宋体" w:cs="Arial"/>
                <w:highlight w:val="none"/>
              </w:rPr>
            </w:pPr>
          </w:p>
        </w:tc>
        <w:tc>
          <w:tcPr>
            <w:tcW w:w="1745" w:type="dxa"/>
            <w:vAlign w:val="center"/>
          </w:tcPr>
          <w:p>
            <w:pPr>
              <w:spacing w:line="400" w:lineRule="exact"/>
              <w:jc w:val="center"/>
              <w:rPr>
                <w:rFonts w:ascii="宋体" w:hAnsi="宋体" w:cs="Arial"/>
                <w:highlight w:val="none"/>
              </w:rPr>
            </w:pPr>
          </w:p>
        </w:tc>
        <w:tc>
          <w:tcPr>
            <w:tcW w:w="1688"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highlight w:val="none"/>
              </w:rPr>
            </w:pPr>
          </w:p>
        </w:tc>
        <w:tc>
          <w:tcPr>
            <w:tcW w:w="1759" w:type="dxa"/>
            <w:vAlign w:val="center"/>
          </w:tcPr>
          <w:p>
            <w:pPr>
              <w:spacing w:line="400" w:lineRule="exact"/>
              <w:jc w:val="center"/>
              <w:rPr>
                <w:rFonts w:ascii="宋体" w:hAnsi="宋体" w:cs="Arial"/>
                <w:highlight w:val="none"/>
              </w:rPr>
            </w:pPr>
          </w:p>
        </w:tc>
        <w:tc>
          <w:tcPr>
            <w:tcW w:w="1612" w:type="dxa"/>
            <w:vAlign w:val="center"/>
          </w:tcPr>
          <w:p>
            <w:pPr>
              <w:spacing w:line="400" w:lineRule="exact"/>
              <w:jc w:val="center"/>
              <w:rPr>
                <w:rFonts w:ascii="宋体" w:hAnsi="宋体" w:cs="Arial"/>
                <w:highlight w:val="none"/>
              </w:rPr>
            </w:pPr>
          </w:p>
        </w:tc>
        <w:tc>
          <w:tcPr>
            <w:tcW w:w="1418" w:type="dxa"/>
            <w:vAlign w:val="center"/>
          </w:tcPr>
          <w:p>
            <w:pPr>
              <w:spacing w:line="400" w:lineRule="exact"/>
              <w:jc w:val="center"/>
              <w:rPr>
                <w:rFonts w:ascii="宋体" w:hAnsi="宋体" w:cs="Arial"/>
                <w:highlight w:val="none"/>
              </w:rPr>
            </w:pPr>
          </w:p>
        </w:tc>
        <w:tc>
          <w:tcPr>
            <w:tcW w:w="1745" w:type="dxa"/>
            <w:vAlign w:val="center"/>
          </w:tcPr>
          <w:p>
            <w:pPr>
              <w:spacing w:line="400" w:lineRule="exact"/>
              <w:jc w:val="center"/>
              <w:rPr>
                <w:rFonts w:ascii="宋体" w:hAnsi="宋体" w:cs="Arial"/>
                <w:highlight w:val="none"/>
              </w:rPr>
            </w:pPr>
          </w:p>
        </w:tc>
        <w:tc>
          <w:tcPr>
            <w:tcW w:w="1688"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highlight w:val="none"/>
              </w:rPr>
            </w:pPr>
          </w:p>
        </w:tc>
        <w:tc>
          <w:tcPr>
            <w:tcW w:w="1759" w:type="dxa"/>
            <w:tcBorders>
              <w:right w:val="single" w:color="auto" w:sz="4" w:space="0"/>
            </w:tcBorders>
            <w:vAlign w:val="center"/>
          </w:tcPr>
          <w:p>
            <w:pPr>
              <w:spacing w:line="400" w:lineRule="exact"/>
              <w:jc w:val="center"/>
              <w:rPr>
                <w:rFonts w:ascii="宋体" w:hAnsi="宋体" w:cs="Arial"/>
                <w:highlight w:val="none"/>
              </w:rPr>
            </w:pPr>
          </w:p>
        </w:tc>
        <w:tc>
          <w:tcPr>
            <w:tcW w:w="1612" w:type="dxa"/>
            <w:tcBorders>
              <w:left w:val="single" w:color="auto" w:sz="4" w:space="0"/>
            </w:tcBorders>
            <w:vAlign w:val="center"/>
          </w:tcPr>
          <w:p>
            <w:pPr>
              <w:spacing w:line="400" w:lineRule="exact"/>
              <w:jc w:val="center"/>
              <w:rPr>
                <w:rFonts w:ascii="宋体" w:hAnsi="宋体" w:cs="Arial"/>
                <w:highlight w:val="none"/>
              </w:rPr>
            </w:pPr>
          </w:p>
        </w:tc>
        <w:tc>
          <w:tcPr>
            <w:tcW w:w="1418" w:type="dxa"/>
            <w:vAlign w:val="center"/>
          </w:tcPr>
          <w:p>
            <w:pPr>
              <w:spacing w:line="400" w:lineRule="exact"/>
              <w:jc w:val="center"/>
              <w:rPr>
                <w:rFonts w:ascii="宋体" w:hAnsi="宋体" w:cs="Arial"/>
                <w:highlight w:val="none"/>
              </w:rPr>
            </w:pPr>
          </w:p>
        </w:tc>
        <w:tc>
          <w:tcPr>
            <w:tcW w:w="1745" w:type="dxa"/>
            <w:vAlign w:val="center"/>
          </w:tcPr>
          <w:p>
            <w:pPr>
              <w:spacing w:line="400" w:lineRule="exact"/>
              <w:jc w:val="center"/>
              <w:rPr>
                <w:rFonts w:ascii="宋体" w:hAnsi="宋体" w:cs="Arial"/>
                <w:highlight w:val="none"/>
              </w:rPr>
            </w:pPr>
          </w:p>
        </w:tc>
        <w:tc>
          <w:tcPr>
            <w:tcW w:w="1688"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tcBorders>
              <w:right w:val="single" w:color="auto" w:sz="4" w:space="0"/>
            </w:tcBorders>
            <w:vAlign w:val="center"/>
          </w:tcPr>
          <w:p>
            <w:pPr>
              <w:spacing w:line="400" w:lineRule="exact"/>
              <w:jc w:val="center"/>
              <w:rPr>
                <w:rFonts w:ascii="宋体" w:hAnsi="宋体" w:cs="Arial"/>
                <w:highlight w:val="none"/>
              </w:rPr>
            </w:pPr>
          </w:p>
        </w:tc>
        <w:tc>
          <w:tcPr>
            <w:tcW w:w="1759" w:type="dxa"/>
            <w:tcBorders>
              <w:left w:val="single" w:color="auto" w:sz="4" w:space="0"/>
              <w:right w:val="single" w:color="auto" w:sz="4" w:space="0"/>
            </w:tcBorders>
            <w:vAlign w:val="center"/>
          </w:tcPr>
          <w:p>
            <w:pPr>
              <w:spacing w:line="400" w:lineRule="exact"/>
              <w:jc w:val="center"/>
              <w:rPr>
                <w:rFonts w:ascii="宋体" w:hAnsi="宋体" w:cs="Arial"/>
                <w:highlight w:val="none"/>
              </w:rPr>
            </w:pPr>
          </w:p>
        </w:tc>
        <w:tc>
          <w:tcPr>
            <w:tcW w:w="1612" w:type="dxa"/>
            <w:tcBorders>
              <w:left w:val="single" w:color="auto" w:sz="4" w:space="0"/>
              <w:right w:val="single" w:color="auto" w:sz="4" w:space="0"/>
            </w:tcBorders>
            <w:vAlign w:val="center"/>
          </w:tcPr>
          <w:p>
            <w:pPr>
              <w:spacing w:line="400" w:lineRule="exact"/>
              <w:jc w:val="center"/>
              <w:rPr>
                <w:rFonts w:ascii="宋体" w:hAnsi="宋体" w:cs="Arial"/>
                <w:highlight w:val="none"/>
              </w:rPr>
            </w:pPr>
          </w:p>
        </w:tc>
        <w:tc>
          <w:tcPr>
            <w:tcW w:w="1418" w:type="dxa"/>
            <w:tcBorders>
              <w:left w:val="single" w:color="auto" w:sz="4" w:space="0"/>
              <w:right w:val="single" w:color="auto" w:sz="4" w:space="0"/>
            </w:tcBorders>
            <w:vAlign w:val="center"/>
          </w:tcPr>
          <w:p>
            <w:pPr>
              <w:spacing w:line="400" w:lineRule="exact"/>
              <w:jc w:val="center"/>
              <w:rPr>
                <w:rFonts w:ascii="宋体" w:hAnsi="宋体" w:cs="Arial"/>
                <w:highlight w:val="none"/>
              </w:rPr>
            </w:pPr>
          </w:p>
        </w:tc>
        <w:tc>
          <w:tcPr>
            <w:tcW w:w="1745" w:type="dxa"/>
            <w:tcBorders>
              <w:left w:val="single" w:color="auto" w:sz="4" w:space="0"/>
              <w:right w:val="single" w:color="auto" w:sz="4" w:space="0"/>
            </w:tcBorders>
            <w:vAlign w:val="center"/>
          </w:tcPr>
          <w:p>
            <w:pPr>
              <w:spacing w:line="400" w:lineRule="exact"/>
              <w:jc w:val="center"/>
              <w:rPr>
                <w:rFonts w:ascii="宋体" w:hAnsi="宋体" w:cs="Arial"/>
                <w:highlight w:val="none"/>
              </w:rPr>
            </w:pPr>
          </w:p>
        </w:tc>
        <w:tc>
          <w:tcPr>
            <w:tcW w:w="1688"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highlight w:val="none"/>
              </w:rPr>
            </w:pPr>
          </w:p>
        </w:tc>
        <w:tc>
          <w:tcPr>
            <w:tcW w:w="1759" w:type="dxa"/>
            <w:vAlign w:val="center"/>
          </w:tcPr>
          <w:p>
            <w:pPr>
              <w:spacing w:line="400" w:lineRule="exact"/>
              <w:jc w:val="center"/>
              <w:rPr>
                <w:rFonts w:ascii="宋体" w:hAnsi="宋体" w:cs="Arial"/>
                <w:highlight w:val="none"/>
              </w:rPr>
            </w:pPr>
          </w:p>
        </w:tc>
        <w:tc>
          <w:tcPr>
            <w:tcW w:w="1612" w:type="dxa"/>
            <w:vAlign w:val="center"/>
          </w:tcPr>
          <w:p>
            <w:pPr>
              <w:spacing w:line="400" w:lineRule="exact"/>
              <w:jc w:val="center"/>
              <w:rPr>
                <w:rFonts w:ascii="宋体" w:hAnsi="宋体" w:cs="Arial"/>
                <w:highlight w:val="none"/>
              </w:rPr>
            </w:pPr>
          </w:p>
        </w:tc>
        <w:tc>
          <w:tcPr>
            <w:tcW w:w="1418" w:type="dxa"/>
            <w:vAlign w:val="center"/>
          </w:tcPr>
          <w:p>
            <w:pPr>
              <w:spacing w:line="400" w:lineRule="exact"/>
              <w:jc w:val="center"/>
              <w:rPr>
                <w:rFonts w:ascii="宋体" w:hAnsi="宋体" w:cs="Arial"/>
                <w:highlight w:val="none"/>
              </w:rPr>
            </w:pPr>
          </w:p>
        </w:tc>
        <w:tc>
          <w:tcPr>
            <w:tcW w:w="1745" w:type="dxa"/>
            <w:tcBorders>
              <w:right w:val="single" w:color="auto" w:sz="4" w:space="0"/>
            </w:tcBorders>
            <w:vAlign w:val="center"/>
          </w:tcPr>
          <w:p>
            <w:pPr>
              <w:spacing w:line="400" w:lineRule="exact"/>
              <w:jc w:val="center"/>
              <w:rPr>
                <w:rFonts w:ascii="宋体" w:hAnsi="宋体" w:cs="Arial"/>
                <w:highlight w:val="none"/>
              </w:rPr>
            </w:pPr>
          </w:p>
        </w:tc>
        <w:tc>
          <w:tcPr>
            <w:tcW w:w="1688"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highlight w:val="none"/>
              </w:rPr>
            </w:pPr>
          </w:p>
        </w:tc>
        <w:tc>
          <w:tcPr>
            <w:tcW w:w="1759" w:type="dxa"/>
            <w:vAlign w:val="center"/>
          </w:tcPr>
          <w:p>
            <w:pPr>
              <w:spacing w:line="400" w:lineRule="exact"/>
              <w:jc w:val="center"/>
              <w:rPr>
                <w:rFonts w:ascii="宋体" w:hAnsi="宋体" w:cs="Arial"/>
                <w:highlight w:val="none"/>
              </w:rPr>
            </w:pPr>
          </w:p>
        </w:tc>
        <w:tc>
          <w:tcPr>
            <w:tcW w:w="1612" w:type="dxa"/>
            <w:vAlign w:val="center"/>
          </w:tcPr>
          <w:p>
            <w:pPr>
              <w:spacing w:line="400" w:lineRule="exact"/>
              <w:jc w:val="center"/>
              <w:rPr>
                <w:rFonts w:ascii="宋体" w:hAnsi="宋体" w:cs="Arial"/>
                <w:highlight w:val="none"/>
              </w:rPr>
            </w:pPr>
          </w:p>
        </w:tc>
        <w:tc>
          <w:tcPr>
            <w:tcW w:w="1418" w:type="dxa"/>
            <w:vAlign w:val="center"/>
          </w:tcPr>
          <w:p>
            <w:pPr>
              <w:spacing w:line="400" w:lineRule="exact"/>
              <w:jc w:val="center"/>
              <w:rPr>
                <w:rFonts w:ascii="宋体" w:hAnsi="宋体" w:cs="Arial"/>
                <w:highlight w:val="none"/>
              </w:rPr>
            </w:pPr>
          </w:p>
        </w:tc>
        <w:tc>
          <w:tcPr>
            <w:tcW w:w="1745" w:type="dxa"/>
            <w:tcBorders>
              <w:right w:val="single" w:color="auto" w:sz="4" w:space="0"/>
            </w:tcBorders>
            <w:vAlign w:val="center"/>
          </w:tcPr>
          <w:p>
            <w:pPr>
              <w:spacing w:line="400" w:lineRule="exact"/>
              <w:jc w:val="center"/>
              <w:rPr>
                <w:rFonts w:ascii="宋体" w:hAnsi="宋体" w:cs="Arial"/>
                <w:highlight w:val="none"/>
              </w:rPr>
            </w:pPr>
          </w:p>
        </w:tc>
        <w:tc>
          <w:tcPr>
            <w:tcW w:w="1688"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highlight w:val="none"/>
              </w:rPr>
            </w:pPr>
          </w:p>
        </w:tc>
        <w:tc>
          <w:tcPr>
            <w:tcW w:w="1759" w:type="dxa"/>
            <w:vAlign w:val="center"/>
          </w:tcPr>
          <w:p>
            <w:pPr>
              <w:spacing w:line="400" w:lineRule="exact"/>
              <w:jc w:val="center"/>
              <w:rPr>
                <w:rFonts w:ascii="宋体" w:hAnsi="宋体" w:cs="Arial"/>
                <w:highlight w:val="none"/>
              </w:rPr>
            </w:pPr>
          </w:p>
        </w:tc>
        <w:tc>
          <w:tcPr>
            <w:tcW w:w="1612" w:type="dxa"/>
            <w:vAlign w:val="center"/>
          </w:tcPr>
          <w:p>
            <w:pPr>
              <w:spacing w:line="400" w:lineRule="exact"/>
              <w:jc w:val="center"/>
              <w:rPr>
                <w:rFonts w:ascii="宋体" w:hAnsi="宋体" w:cs="Arial"/>
                <w:highlight w:val="none"/>
              </w:rPr>
            </w:pPr>
          </w:p>
        </w:tc>
        <w:tc>
          <w:tcPr>
            <w:tcW w:w="1418" w:type="dxa"/>
            <w:vAlign w:val="center"/>
          </w:tcPr>
          <w:p>
            <w:pPr>
              <w:spacing w:line="400" w:lineRule="exact"/>
              <w:jc w:val="center"/>
              <w:rPr>
                <w:rFonts w:ascii="宋体" w:hAnsi="宋体" w:cs="Arial"/>
                <w:highlight w:val="none"/>
              </w:rPr>
            </w:pPr>
          </w:p>
        </w:tc>
        <w:tc>
          <w:tcPr>
            <w:tcW w:w="1745" w:type="dxa"/>
            <w:tcBorders>
              <w:right w:val="single" w:color="auto" w:sz="4" w:space="0"/>
            </w:tcBorders>
            <w:vAlign w:val="center"/>
          </w:tcPr>
          <w:p>
            <w:pPr>
              <w:spacing w:line="400" w:lineRule="exact"/>
              <w:jc w:val="center"/>
              <w:rPr>
                <w:rFonts w:ascii="宋体" w:hAnsi="宋体" w:cs="Arial"/>
                <w:highlight w:val="none"/>
              </w:rPr>
            </w:pPr>
          </w:p>
        </w:tc>
        <w:tc>
          <w:tcPr>
            <w:tcW w:w="1688"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10" w:hRule="atLeast"/>
          <w:jc w:val="center"/>
        </w:trPr>
        <w:tc>
          <w:tcPr>
            <w:tcW w:w="878" w:type="dxa"/>
            <w:tcBorders>
              <w:bottom w:val="single" w:color="auto" w:sz="4" w:space="0"/>
            </w:tcBorders>
            <w:vAlign w:val="center"/>
          </w:tcPr>
          <w:p>
            <w:pPr>
              <w:spacing w:line="400" w:lineRule="exact"/>
              <w:jc w:val="center"/>
              <w:rPr>
                <w:rFonts w:ascii="宋体" w:hAnsi="宋体" w:cs="Arial"/>
                <w:highlight w:val="none"/>
              </w:rPr>
            </w:pPr>
          </w:p>
        </w:tc>
        <w:tc>
          <w:tcPr>
            <w:tcW w:w="1759" w:type="dxa"/>
            <w:tcBorders>
              <w:bottom w:val="single" w:color="auto" w:sz="4" w:space="0"/>
            </w:tcBorders>
            <w:vAlign w:val="center"/>
          </w:tcPr>
          <w:p>
            <w:pPr>
              <w:spacing w:line="400" w:lineRule="exact"/>
              <w:jc w:val="center"/>
              <w:rPr>
                <w:rFonts w:ascii="宋体" w:hAnsi="宋体" w:cs="Arial"/>
                <w:highlight w:val="none"/>
              </w:rPr>
            </w:pPr>
          </w:p>
        </w:tc>
        <w:tc>
          <w:tcPr>
            <w:tcW w:w="1612" w:type="dxa"/>
            <w:tcBorders>
              <w:bottom w:val="single" w:color="auto" w:sz="4" w:space="0"/>
            </w:tcBorders>
            <w:vAlign w:val="center"/>
          </w:tcPr>
          <w:p>
            <w:pPr>
              <w:spacing w:line="400" w:lineRule="exact"/>
              <w:jc w:val="center"/>
              <w:rPr>
                <w:rFonts w:ascii="宋体" w:hAnsi="宋体" w:cs="Arial"/>
                <w:highlight w:val="none"/>
              </w:rPr>
            </w:pPr>
          </w:p>
        </w:tc>
        <w:tc>
          <w:tcPr>
            <w:tcW w:w="1418" w:type="dxa"/>
            <w:tcBorders>
              <w:bottom w:val="single" w:color="auto" w:sz="4" w:space="0"/>
            </w:tcBorders>
            <w:vAlign w:val="center"/>
          </w:tcPr>
          <w:p>
            <w:pPr>
              <w:spacing w:line="400" w:lineRule="exact"/>
              <w:jc w:val="center"/>
              <w:rPr>
                <w:rFonts w:ascii="宋体" w:hAnsi="宋体" w:cs="Arial"/>
                <w:highlight w:val="none"/>
              </w:rPr>
            </w:pPr>
          </w:p>
        </w:tc>
        <w:tc>
          <w:tcPr>
            <w:tcW w:w="1745" w:type="dxa"/>
            <w:tcBorders>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1688" w:type="dxa"/>
            <w:tcBorders>
              <w:left w:val="single" w:color="auto" w:sz="4" w:space="0"/>
              <w:bottom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878"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759"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612"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418"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74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16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878"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759"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612"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418"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74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16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50" w:hRule="atLeast"/>
          <w:jc w:val="center"/>
        </w:trPr>
        <w:tc>
          <w:tcPr>
            <w:tcW w:w="878"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759"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612"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418"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74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16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35" w:hRule="atLeast"/>
          <w:jc w:val="center"/>
        </w:trPr>
        <w:tc>
          <w:tcPr>
            <w:tcW w:w="878" w:type="dxa"/>
            <w:tcBorders>
              <w:top w:val="single" w:color="auto" w:sz="4" w:space="0"/>
            </w:tcBorders>
            <w:vAlign w:val="center"/>
          </w:tcPr>
          <w:p>
            <w:pPr>
              <w:spacing w:line="400" w:lineRule="exact"/>
              <w:jc w:val="center"/>
              <w:rPr>
                <w:rFonts w:ascii="宋体" w:hAnsi="宋体" w:cs="Arial"/>
                <w:highlight w:val="none"/>
              </w:rPr>
            </w:pPr>
            <w:r>
              <w:rPr>
                <w:rFonts w:hint="eastAsia" w:ascii="宋体" w:hAnsi="宋体" w:cs="Arial"/>
                <w:highlight w:val="none"/>
              </w:rPr>
              <w:t>...</w:t>
            </w:r>
          </w:p>
        </w:tc>
        <w:tc>
          <w:tcPr>
            <w:tcW w:w="1759" w:type="dxa"/>
            <w:tcBorders>
              <w:top w:val="single" w:color="auto" w:sz="4" w:space="0"/>
            </w:tcBorders>
            <w:vAlign w:val="center"/>
          </w:tcPr>
          <w:p>
            <w:pPr>
              <w:spacing w:line="400" w:lineRule="exact"/>
              <w:jc w:val="center"/>
              <w:rPr>
                <w:rFonts w:ascii="宋体" w:hAnsi="宋体" w:cs="Arial"/>
                <w:highlight w:val="none"/>
              </w:rPr>
            </w:pPr>
          </w:p>
        </w:tc>
        <w:tc>
          <w:tcPr>
            <w:tcW w:w="1612" w:type="dxa"/>
            <w:tcBorders>
              <w:top w:val="single" w:color="auto" w:sz="4" w:space="0"/>
            </w:tcBorders>
            <w:vAlign w:val="center"/>
          </w:tcPr>
          <w:p>
            <w:pPr>
              <w:spacing w:line="400" w:lineRule="exact"/>
              <w:jc w:val="center"/>
              <w:rPr>
                <w:rFonts w:ascii="宋体" w:hAnsi="宋体" w:cs="Arial"/>
                <w:highlight w:val="none"/>
              </w:rPr>
            </w:pPr>
          </w:p>
        </w:tc>
        <w:tc>
          <w:tcPr>
            <w:tcW w:w="1418" w:type="dxa"/>
            <w:tcBorders>
              <w:top w:val="single" w:color="auto" w:sz="4" w:space="0"/>
            </w:tcBorders>
            <w:vAlign w:val="center"/>
          </w:tcPr>
          <w:p>
            <w:pPr>
              <w:spacing w:line="400" w:lineRule="exact"/>
              <w:jc w:val="center"/>
              <w:rPr>
                <w:rFonts w:ascii="宋体" w:hAnsi="宋体" w:cs="Arial"/>
                <w:highlight w:val="none"/>
              </w:rPr>
            </w:pPr>
          </w:p>
        </w:tc>
        <w:tc>
          <w:tcPr>
            <w:tcW w:w="1745" w:type="dxa"/>
            <w:tcBorders>
              <w:top w:val="single" w:color="auto" w:sz="4" w:space="0"/>
              <w:right w:val="single" w:color="auto" w:sz="4" w:space="0"/>
            </w:tcBorders>
            <w:vAlign w:val="center"/>
          </w:tcPr>
          <w:p>
            <w:pPr>
              <w:spacing w:line="400" w:lineRule="exact"/>
              <w:jc w:val="center"/>
              <w:rPr>
                <w:rFonts w:ascii="宋体" w:hAnsi="宋体" w:cs="Arial"/>
                <w:highlight w:val="none"/>
              </w:rPr>
            </w:pPr>
          </w:p>
        </w:tc>
        <w:tc>
          <w:tcPr>
            <w:tcW w:w="1688" w:type="dxa"/>
            <w:tcBorders>
              <w:top w:val="single" w:color="auto" w:sz="4" w:space="0"/>
              <w:left w:val="single" w:color="auto" w:sz="4" w:space="0"/>
            </w:tcBorders>
            <w:vAlign w:val="center"/>
          </w:tcPr>
          <w:p>
            <w:pPr>
              <w:spacing w:line="400" w:lineRule="exact"/>
              <w:jc w:val="center"/>
              <w:rPr>
                <w:rFonts w:ascii="宋体" w:hAnsi="宋体" w:cs="Arial"/>
                <w:highlight w:val="none"/>
              </w:rPr>
            </w:pPr>
          </w:p>
        </w:tc>
      </w:tr>
    </w:tbl>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注：以上业绩需提供采购文件要求的有关书面证明材料。</w:t>
      </w:r>
    </w:p>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（单位公章）。</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 xml:space="preserve">日期: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widowControl/>
        <w:spacing w:line="360" w:lineRule="atLeast"/>
        <w:jc w:val="left"/>
        <w:outlineLvl w:val="1"/>
        <w:rPr>
          <w:rFonts w:ascii="宋体" w:hAnsi="宋体"/>
          <w:b/>
          <w:sz w:val="24"/>
          <w:highlight w:val="none"/>
        </w:rPr>
      </w:pPr>
    </w:p>
    <w:p>
      <w:pPr>
        <w:spacing w:line="360" w:lineRule="auto"/>
        <w:rPr>
          <w:rFonts w:ascii="宋体" w:hAnsi="宋体"/>
          <w:b/>
          <w:sz w:val="32"/>
          <w:szCs w:val="32"/>
          <w:highlight w:val="none"/>
        </w:rPr>
      </w:pPr>
      <w:r>
        <w:rPr>
          <w:rFonts w:hint="eastAsia" w:ascii="宋体" w:hAnsi="宋体"/>
          <w:b/>
          <w:sz w:val="32"/>
          <w:szCs w:val="32"/>
          <w:highlight w:val="none"/>
        </w:rPr>
        <w:br w:type="page"/>
      </w:r>
    </w:p>
    <w:bookmarkEnd w:id="90"/>
    <w:p>
      <w:pPr>
        <w:widowControl/>
        <w:spacing w:line="360" w:lineRule="atLeast"/>
        <w:jc w:val="center"/>
        <w:outlineLvl w:val="1"/>
        <w:rPr>
          <w:rFonts w:ascii="宋体" w:hAnsi="宋体"/>
          <w:b/>
          <w:sz w:val="32"/>
          <w:szCs w:val="32"/>
          <w:highlight w:val="none"/>
        </w:rPr>
      </w:pPr>
      <w:r>
        <w:rPr>
          <w:rFonts w:hint="eastAsia" w:ascii="宋体" w:hAnsi="宋体"/>
          <w:b/>
          <w:sz w:val="32"/>
          <w:szCs w:val="32"/>
          <w:highlight w:val="none"/>
        </w:rPr>
        <w:t>十一、供应商本项目管理、技术、服务人员情况表</w:t>
      </w:r>
    </w:p>
    <w:p>
      <w:pPr>
        <w:spacing w:line="480" w:lineRule="exact"/>
        <w:ind w:firstLine="436" w:firstLineChars="182"/>
        <w:rPr>
          <w:rFonts w:ascii="宋体" w:hAnsi="宋体"/>
          <w:sz w:val="24"/>
          <w:highlight w:val="none"/>
        </w:rPr>
      </w:pPr>
      <w:r>
        <w:rPr>
          <w:rFonts w:hint="eastAsia" w:ascii="宋体" w:hAnsi="宋体"/>
          <w:sz w:val="24"/>
          <w:highlight w:val="none"/>
        </w:rPr>
        <w:t>项目名称：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项目编号：</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tbl>
      <w:tblPr>
        <w:tblStyle w:val="38"/>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9"/>
        <w:gridCol w:w="1049"/>
        <w:gridCol w:w="1049"/>
        <w:gridCol w:w="1049"/>
        <w:gridCol w:w="1107"/>
        <w:gridCol w:w="1249"/>
        <w:gridCol w:w="11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vMerge w:val="restart"/>
            <w:vAlign w:val="center"/>
          </w:tcPr>
          <w:p>
            <w:pPr>
              <w:widowControl/>
              <w:spacing w:line="360" w:lineRule="atLeast"/>
              <w:jc w:val="center"/>
              <w:outlineLvl w:val="1"/>
              <w:rPr>
                <w:rFonts w:ascii="宋体" w:hAnsi="宋体"/>
                <w:sz w:val="24"/>
                <w:highlight w:val="none"/>
              </w:rPr>
            </w:pPr>
            <w:r>
              <w:rPr>
                <w:rFonts w:hint="eastAsia" w:ascii="宋体" w:hAnsi="宋体"/>
                <w:sz w:val="24"/>
                <w:highlight w:val="none"/>
              </w:rPr>
              <w:t>序号</w:t>
            </w:r>
          </w:p>
        </w:tc>
        <w:tc>
          <w:tcPr>
            <w:tcW w:w="1049" w:type="dxa"/>
            <w:vMerge w:val="restart"/>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职务</w:t>
            </w:r>
          </w:p>
        </w:tc>
        <w:tc>
          <w:tcPr>
            <w:tcW w:w="1049" w:type="dxa"/>
            <w:vMerge w:val="restart"/>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姓名</w:t>
            </w:r>
          </w:p>
        </w:tc>
        <w:tc>
          <w:tcPr>
            <w:tcW w:w="1049" w:type="dxa"/>
            <w:vMerge w:val="restart"/>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职称</w:t>
            </w:r>
          </w:p>
        </w:tc>
        <w:tc>
          <w:tcPr>
            <w:tcW w:w="1049" w:type="dxa"/>
            <w:vMerge w:val="restart"/>
            <w:vAlign w:val="center"/>
          </w:tcPr>
          <w:p>
            <w:pPr>
              <w:widowControl/>
              <w:spacing w:line="360" w:lineRule="atLeast"/>
              <w:jc w:val="left"/>
              <w:outlineLvl w:val="1"/>
              <w:rPr>
                <w:rFonts w:ascii="宋体" w:hAnsi="宋体"/>
                <w:sz w:val="24"/>
                <w:highlight w:val="none"/>
              </w:rPr>
            </w:pPr>
            <w:r>
              <w:rPr>
                <w:rFonts w:hint="eastAsia" w:ascii="宋体" w:hAnsi="宋体"/>
                <w:sz w:val="24"/>
                <w:highlight w:val="none"/>
              </w:rPr>
              <w:t>常住地</w:t>
            </w:r>
          </w:p>
        </w:tc>
        <w:tc>
          <w:tcPr>
            <w:tcW w:w="4412" w:type="dxa"/>
            <w:gridSpan w:val="4"/>
            <w:vAlign w:val="center"/>
          </w:tcPr>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vMerge w:val="continue"/>
          </w:tcPr>
          <w:p>
            <w:pPr>
              <w:rPr>
                <w:rFonts w:ascii="宋体" w:hAnsi="宋体"/>
                <w:highlight w:val="none"/>
              </w:rPr>
            </w:pPr>
          </w:p>
        </w:tc>
        <w:tc>
          <w:tcPr>
            <w:tcW w:w="1049" w:type="dxa"/>
            <w:vMerge w:val="continue"/>
            <w:vAlign w:val="center"/>
          </w:tcPr>
          <w:p>
            <w:pPr>
              <w:rPr>
                <w:rFonts w:ascii="宋体" w:hAnsi="宋体"/>
                <w:highlight w:val="none"/>
              </w:rPr>
            </w:pPr>
          </w:p>
        </w:tc>
        <w:tc>
          <w:tcPr>
            <w:tcW w:w="1049" w:type="dxa"/>
            <w:vMerge w:val="continue"/>
            <w:vAlign w:val="center"/>
          </w:tcPr>
          <w:p>
            <w:pPr>
              <w:rPr>
                <w:rFonts w:ascii="宋体" w:hAnsi="宋体"/>
                <w:highlight w:val="none"/>
              </w:rPr>
            </w:pPr>
          </w:p>
        </w:tc>
        <w:tc>
          <w:tcPr>
            <w:tcW w:w="1049" w:type="dxa"/>
            <w:vMerge w:val="continue"/>
            <w:vAlign w:val="center"/>
          </w:tcPr>
          <w:p>
            <w:pPr>
              <w:rPr>
                <w:rFonts w:ascii="宋体" w:hAnsi="宋体"/>
                <w:highlight w:val="none"/>
              </w:rPr>
            </w:pPr>
          </w:p>
        </w:tc>
        <w:tc>
          <w:tcPr>
            <w:tcW w:w="1049" w:type="dxa"/>
            <w:vMerge w:val="continue"/>
            <w:vAlign w:val="center"/>
          </w:tcPr>
          <w:p>
            <w:pPr>
              <w:rPr>
                <w:rFonts w:ascii="宋体" w:hAnsi="宋体"/>
                <w:highlight w:val="none"/>
              </w:rPr>
            </w:pPr>
          </w:p>
        </w:tc>
        <w:tc>
          <w:tcPr>
            <w:tcW w:w="1107" w:type="dxa"/>
            <w:vAlign w:val="center"/>
          </w:tcPr>
          <w:p>
            <w:pPr>
              <w:widowControl/>
              <w:spacing w:line="360" w:lineRule="atLeast"/>
              <w:jc w:val="center"/>
              <w:outlineLvl w:val="1"/>
              <w:rPr>
                <w:rFonts w:ascii="宋体" w:hAnsi="宋体"/>
                <w:sz w:val="24"/>
                <w:highlight w:val="none"/>
              </w:rPr>
            </w:pPr>
            <w:r>
              <w:rPr>
                <w:rFonts w:hint="eastAsia" w:ascii="宋体" w:hAnsi="宋体"/>
                <w:sz w:val="24"/>
                <w:highlight w:val="none"/>
              </w:rPr>
              <w:t>证书</w:t>
            </w:r>
          </w:p>
          <w:p>
            <w:pPr>
              <w:widowControl/>
              <w:spacing w:line="360" w:lineRule="atLeast"/>
              <w:jc w:val="center"/>
              <w:outlineLvl w:val="1"/>
              <w:rPr>
                <w:rFonts w:ascii="宋体" w:hAnsi="宋体"/>
                <w:sz w:val="24"/>
                <w:highlight w:val="none"/>
              </w:rPr>
            </w:pPr>
            <w:r>
              <w:rPr>
                <w:rFonts w:hint="eastAsia" w:ascii="宋体" w:hAnsi="宋体"/>
                <w:sz w:val="24"/>
                <w:highlight w:val="none"/>
              </w:rPr>
              <w:t>名称</w:t>
            </w:r>
          </w:p>
        </w:tc>
        <w:tc>
          <w:tcPr>
            <w:tcW w:w="1249" w:type="dxa"/>
            <w:vAlign w:val="center"/>
          </w:tcPr>
          <w:p>
            <w:pPr>
              <w:widowControl/>
              <w:spacing w:line="360" w:lineRule="atLeast"/>
              <w:jc w:val="center"/>
              <w:outlineLvl w:val="1"/>
              <w:rPr>
                <w:rFonts w:ascii="宋体" w:hAnsi="宋体"/>
                <w:sz w:val="24"/>
                <w:highlight w:val="none"/>
              </w:rPr>
            </w:pPr>
            <w:r>
              <w:rPr>
                <w:rFonts w:hint="eastAsia" w:ascii="宋体" w:hAnsi="宋体"/>
                <w:sz w:val="24"/>
                <w:highlight w:val="none"/>
              </w:rPr>
              <w:t>级别</w:t>
            </w:r>
          </w:p>
        </w:tc>
        <w:tc>
          <w:tcPr>
            <w:tcW w:w="1102" w:type="dxa"/>
            <w:vAlign w:val="center"/>
          </w:tcPr>
          <w:p>
            <w:pPr>
              <w:widowControl/>
              <w:spacing w:line="360" w:lineRule="atLeast"/>
              <w:jc w:val="center"/>
              <w:outlineLvl w:val="1"/>
              <w:rPr>
                <w:rFonts w:ascii="宋体" w:hAnsi="宋体"/>
                <w:sz w:val="24"/>
                <w:highlight w:val="none"/>
              </w:rPr>
            </w:pPr>
            <w:r>
              <w:rPr>
                <w:rFonts w:hint="eastAsia" w:ascii="宋体" w:hAnsi="宋体"/>
                <w:sz w:val="24"/>
                <w:highlight w:val="none"/>
              </w:rPr>
              <w:t>证号</w:t>
            </w:r>
          </w:p>
        </w:tc>
        <w:tc>
          <w:tcPr>
            <w:tcW w:w="954" w:type="dxa"/>
            <w:vAlign w:val="center"/>
          </w:tcPr>
          <w:p>
            <w:pPr>
              <w:widowControl/>
              <w:spacing w:line="360" w:lineRule="atLeast"/>
              <w:jc w:val="center"/>
              <w:outlineLvl w:val="1"/>
              <w:rPr>
                <w:rFonts w:ascii="宋体" w:hAnsi="宋体"/>
                <w:sz w:val="24"/>
                <w:highlight w:val="none"/>
              </w:rPr>
            </w:pPr>
            <w:r>
              <w:rPr>
                <w:rFonts w:hint="eastAsia" w:ascii="宋体" w:hAnsi="宋体"/>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107" w:type="dxa"/>
          </w:tcPr>
          <w:p>
            <w:pPr>
              <w:widowControl/>
              <w:spacing w:line="360" w:lineRule="atLeast"/>
              <w:ind w:firstLine="470" w:firstLineChars="196"/>
              <w:jc w:val="left"/>
              <w:outlineLvl w:val="1"/>
              <w:rPr>
                <w:rFonts w:ascii="宋体" w:hAnsi="宋体"/>
                <w:sz w:val="24"/>
                <w:highlight w:val="none"/>
              </w:rPr>
            </w:pPr>
          </w:p>
        </w:tc>
        <w:tc>
          <w:tcPr>
            <w:tcW w:w="1249" w:type="dxa"/>
          </w:tcPr>
          <w:p>
            <w:pPr>
              <w:widowControl/>
              <w:spacing w:line="360" w:lineRule="atLeast"/>
              <w:ind w:firstLine="470" w:firstLineChars="196"/>
              <w:jc w:val="left"/>
              <w:outlineLvl w:val="1"/>
              <w:rPr>
                <w:rFonts w:ascii="宋体" w:hAnsi="宋体"/>
                <w:sz w:val="24"/>
                <w:highlight w:val="none"/>
              </w:rPr>
            </w:pPr>
          </w:p>
        </w:tc>
        <w:tc>
          <w:tcPr>
            <w:tcW w:w="1102" w:type="dxa"/>
          </w:tcPr>
          <w:p>
            <w:pPr>
              <w:widowControl/>
              <w:spacing w:line="360" w:lineRule="atLeast"/>
              <w:ind w:firstLine="470" w:firstLineChars="196"/>
              <w:jc w:val="left"/>
              <w:outlineLvl w:val="1"/>
              <w:rPr>
                <w:rFonts w:ascii="宋体" w:hAnsi="宋体"/>
                <w:sz w:val="24"/>
                <w:highlight w:val="none"/>
              </w:rPr>
            </w:pPr>
          </w:p>
        </w:tc>
        <w:tc>
          <w:tcPr>
            <w:tcW w:w="954" w:type="dxa"/>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107" w:type="dxa"/>
          </w:tcPr>
          <w:p>
            <w:pPr>
              <w:widowControl/>
              <w:spacing w:line="360" w:lineRule="atLeast"/>
              <w:ind w:firstLine="470" w:firstLineChars="196"/>
              <w:jc w:val="left"/>
              <w:outlineLvl w:val="1"/>
              <w:rPr>
                <w:rFonts w:ascii="宋体" w:hAnsi="宋体"/>
                <w:sz w:val="24"/>
                <w:highlight w:val="none"/>
              </w:rPr>
            </w:pPr>
          </w:p>
        </w:tc>
        <w:tc>
          <w:tcPr>
            <w:tcW w:w="1249" w:type="dxa"/>
          </w:tcPr>
          <w:p>
            <w:pPr>
              <w:widowControl/>
              <w:spacing w:line="360" w:lineRule="atLeast"/>
              <w:ind w:firstLine="470" w:firstLineChars="196"/>
              <w:jc w:val="left"/>
              <w:outlineLvl w:val="1"/>
              <w:rPr>
                <w:rFonts w:ascii="宋体" w:hAnsi="宋体"/>
                <w:sz w:val="24"/>
                <w:highlight w:val="none"/>
              </w:rPr>
            </w:pPr>
          </w:p>
        </w:tc>
        <w:tc>
          <w:tcPr>
            <w:tcW w:w="1102" w:type="dxa"/>
          </w:tcPr>
          <w:p>
            <w:pPr>
              <w:widowControl/>
              <w:spacing w:line="360" w:lineRule="atLeast"/>
              <w:ind w:firstLine="470" w:firstLineChars="196"/>
              <w:jc w:val="left"/>
              <w:outlineLvl w:val="1"/>
              <w:rPr>
                <w:rFonts w:ascii="宋体" w:hAnsi="宋体"/>
                <w:sz w:val="24"/>
                <w:highlight w:val="none"/>
              </w:rPr>
            </w:pPr>
          </w:p>
        </w:tc>
        <w:tc>
          <w:tcPr>
            <w:tcW w:w="954" w:type="dxa"/>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107" w:type="dxa"/>
          </w:tcPr>
          <w:p>
            <w:pPr>
              <w:widowControl/>
              <w:spacing w:line="360" w:lineRule="atLeast"/>
              <w:ind w:firstLine="470" w:firstLineChars="196"/>
              <w:jc w:val="left"/>
              <w:outlineLvl w:val="1"/>
              <w:rPr>
                <w:rFonts w:ascii="宋体" w:hAnsi="宋体"/>
                <w:sz w:val="24"/>
                <w:highlight w:val="none"/>
              </w:rPr>
            </w:pPr>
          </w:p>
        </w:tc>
        <w:tc>
          <w:tcPr>
            <w:tcW w:w="1249" w:type="dxa"/>
          </w:tcPr>
          <w:p>
            <w:pPr>
              <w:widowControl/>
              <w:spacing w:line="360" w:lineRule="atLeast"/>
              <w:ind w:firstLine="470" w:firstLineChars="196"/>
              <w:jc w:val="left"/>
              <w:outlineLvl w:val="1"/>
              <w:rPr>
                <w:rFonts w:ascii="宋体" w:hAnsi="宋体"/>
                <w:sz w:val="24"/>
                <w:highlight w:val="none"/>
              </w:rPr>
            </w:pPr>
          </w:p>
        </w:tc>
        <w:tc>
          <w:tcPr>
            <w:tcW w:w="1102" w:type="dxa"/>
          </w:tcPr>
          <w:p>
            <w:pPr>
              <w:widowControl/>
              <w:spacing w:line="360" w:lineRule="atLeast"/>
              <w:ind w:firstLine="470" w:firstLineChars="196"/>
              <w:jc w:val="left"/>
              <w:outlineLvl w:val="1"/>
              <w:rPr>
                <w:rFonts w:ascii="宋体" w:hAnsi="宋体"/>
                <w:sz w:val="24"/>
                <w:highlight w:val="none"/>
              </w:rPr>
            </w:pPr>
          </w:p>
        </w:tc>
        <w:tc>
          <w:tcPr>
            <w:tcW w:w="954" w:type="dxa"/>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107" w:type="dxa"/>
          </w:tcPr>
          <w:p>
            <w:pPr>
              <w:widowControl/>
              <w:spacing w:line="360" w:lineRule="atLeast"/>
              <w:ind w:firstLine="470" w:firstLineChars="196"/>
              <w:jc w:val="left"/>
              <w:outlineLvl w:val="1"/>
              <w:rPr>
                <w:rFonts w:ascii="宋体" w:hAnsi="宋体"/>
                <w:sz w:val="24"/>
                <w:highlight w:val="none"/>
              </w:rPr>
            </w:pPr>
          </w:p>
        </w:tc>
        <w:tc>
          <w:tcPr>
            <w:tcW w:w="1249" w:type="dxa"/>
          </w:tcPr>
          <w:p>
            <w:pPr>
              <w:widowControl/>
              <w:spacing w:line="360" w:lineRule="atLeast"/>
              <w:ind w:firstLine="470" w:firstLineChars="196"/>
              <w:jc w:val="left"/>
              <w:outlineLvl w:val="1"/>
              <w:rPr>
                <w:rFonts w:ascii="宋体" w:hAnsi="宋体"/>
                <w:sz w:val="24"/>
                <w:highlight w:val="none"/>
              </w:rPr>
            </w:pPr>
          </w:p>
        </w:tc>
        <w:tc>
          <w:tcPr>
            <w:tcW w:w="1102" w:type="dxa"/>
          </w:tcPr>
          <w:p>
            <w:pPr>
              <w:widowControl/>
              <w:spacing w:line="360" w:lineRule="atLeast"/>
              <w:ind w:firstLine="470" w:firstLineChars="196"/>
              <w:jc w:val="left"/>
              <w:outlineLvl w:val="1"/>
              <w:rPr>
                <w:rFonts w:ascii="宋体" w:hAnsi="宋体"/>
                <w:sz w:val="24"/>
                <w:highlight w:val="none"/>
              </w:rPr>
            </w:pPr>
          </w:p>
        </w:tc>
        <w:tc>
          <w:tcPr>
            <w:tcW w:w="954" w:type="dxa"/>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107" w:type="dxa"/>
          </w:tcPr>
          <w:p>
            <w:pPr>
              <w:widowControl/>
              <w:spacing w:line="360" w:lineRule="atLeast"/>
              <w:ind w:firstLine="470" w:firstLineChars="196"/>
              <w:jc w:val="left"/>
              <w:outlineLvl w:val="1"/>
              <w:rPr>
                <w:rFonts w:ascii="宋体" w:hAnsi="宋体"/>
                <w:sz w:val="24"/>
                <w:highlight w:val="none"/>
              </w:rPr>
            </w:pPr>
          </w:p>
        </w:tc>
        <w:tc>
          <w:tcPr>
            <w:tcW w:w="1249" w:type="dxa"/>
          </w:tcPr>
          <w:p>
            <w:pPr>
              <w:widowControl/>
              <w:spacing w:line="360" w:lineRule="atLeast"/>
              <w:ind w:firstLine="470" w:firstLineChars="196"/>
              <w:jc w:val="left"/>
              <w:outlineLvl w:val="1"/>
              <w:rPr>
                <w:rFonts w:ascii="宋体" w:hAnsi="宋体"/>
                <w:sz w:val="24"/>
                <w:highlight w:val="none"/>
              </w:rPr>
            </w:pPr>
          </w:p>
        </w:tc>
        <w:tc>
          <w:tcPr>
            <w:tcW w:w="1102" w:type="dxa"/>
          </w:tcPr>
          <w:p>
            <w:pPr>
              <w:widowControl/>
              <w:spacing w:line="360" w:lineRule="atLeast"/>
              <w:ind w:firstLine="470" w:firstLineChars="196"/>
              <w:jc w:val="left"/>
              <w:outlineLvl w:val="1"/>
              <w:rPr>
                <w:rFonts w:ascii="宋体" w:hAnsi="宋体"/>
                <w:sz w:val="24"/>
                <w:highlight w:val="none"/>
              </w:rPr>
            </w:pPr>
          </w:p>
        </w:tc>
        <w:tc>
          <w:tcPr>
            <w:tcW w:w="954" w:type="dxa"/>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107" w:type="dxa"/>
          </w:tcPr>
          <w:p>
            <w:pPr>
              <w:widowControl/>
              <w:spacing w:line="360" w:lineRule="atLeast"/>
              <w:ind w:firstLine="470" w:firstLineChars="196"/>
              <w:jc w:val="left"/>
              <w:outlineLvl w:val="1"/>
              <w:rPr>
                <w:rFonts w:ascii="宋体" w:hAnsi="宋体"/>
                <w:sz w:val="24"/>
                <w:highlight w:val="none"/>
              </w:rPr>
            </w:pPr>
          </w:p>
        </w:tc>
        <w:tc>
          <w:tcPr>
            <w:tcW w:w="1249" w:type="dxa"/>
          </w:tcPr>
          <w:p>
            <w:pPr>
              <w:widowControl/>
              <w:spacing w:line="360" w:lineRule="atLeast"/>
              <w:ind w:firstLine="470" w:firstLineChars="196"/>
              <w:jc w:val="left"/>
              <w:outlineLvl w:val="1"/>
              <w:rPr>
                <w:rFonts w:ascii="宋体" w:hAnsi="宋体"/>
                <w:sz w:val="24"/>
                <w:highlight w:val="none"/>
              </w:rPr>
            </w:pPr>
          </w:p>
        </w:tc>
        <w:tc>
          <w:tcPr>
            <w:tcW w:w="1102" w:type="dxa"/>
          </w:tcPr>
          <w:p>
            <w:pPr>
              <w:widowControl/>
              <w:spacing w:line="360" w:lineRule="atLeast"/>
              <w:ind w:firstLine="470" w:firstLineChars="196"/>
              <w:jc w:val="left"/>
              <w:outlineLvl w:val="1"/>
              <w:rPr>
                <w:rFonts w:ascii="宋体" w:hAnsi="宋体"/>
                <w:sz w:val="24"/>
                <w:highlight w:val="none"/>
              </w:rPr>
            </w:pPr>
          </w:p>
        </w:tc>
        <w:tc>
          <w:tcPr>
            <w:tcW w:w="954" w:type="dxa"/>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107" w:type="dxa"/>
          </w:tcPr>
          <w:p>
            <w:pPr>
              <w:widowControl/>
              <w:spacing w:line="360" w:lineRule="atLeast"/>
              <w:ind w:firstLine="470" w:firstLineChars="196"/>
              <w:jc w:val="left"/>
              <w:outlineLvl w:val="1"/>
              <w:rPr>
                <w:rFonts w:ascii="宋体" w:hAnsi="宋体"/>
                <w:sz w:val="24"/>
                <w:highlight w:val="none"/>
              </w:rPr>
            </w:pPr>
          </w:p>
        </w:tc>
        <w:tc>
          <w:tcPr>
            <w:tcW w:w="1249" w:type="dxa"/>
          </w:tcPr>
          <w:p>
            <w:pPr>
              <w:widowControl/>
              <w:spacing w:line="360" w:lineRule="atLeast"/>
              <w:ind w:firstLine="470" w:firstLineChars="196"/>
              <w:jc w:val="left"/>
              <w:outlineLvl w:val="1"/>
              <w:rPr>
                <w:rFonts w:ascii="宋体" w:hAnsi="宋体"/>
                <w:sz w:val="24"/>
                <w:highlight w:val="none"/>
              </w:rPr>
            </w:pPr>
          </w:p>
        </w:tc>
        <w:tc>
          <w:tcPr>
            <w:tcW w:w="1102" w:type="dxa"/>
          </w:tcPr>
          <w:p>
            <w:pPr>
              <w:widowControl/>
              <w:spacing w:line="360" w:lineRule="atLeast"/>
              <w:ind w:firstLine="470" w:firstLineChars="196"/>
              <w:jc w:val="left"/>
              <w:outlineLvl w:val="1"/>
              <w:rPr>
                <w:rFonts w:ascii="宋体" w:hAnsi="宋体"/>
                <w:sz w:val="24"/>
                <w:highlight w:val="none"/>
              </w:rPr>
            </w:pPr>
          </w:p>
        </w:tc>
        <w:tc>
          <w:tcPr>
            <w:tcW w:w="954" w:type="dxa"/>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highlight w:val="none"/>
              </w:rPr>
            </w:pPr>
          </w:p>
        </w:tc>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049" w:type="dxa"/>
          </w:tcPr>
          <w:p>
            <w:pPr>
              <w:widowControl/>
              <w:spacing w:line="360" w:lineRule="atLeast"/>
              <w:ind w:firstLine="470" w:firstLineChars="196"/>
              <w:jc w:val="left"/>
              <w:outlineLvl w:val="1"/>
              <w:rPr>
                <w:rFonts w:ascii="宋体" w:hAnsi="宋体"/>
                <w:sz w:val="24"/>
                <w:highlight w:val="none"/>
              </w:rPr>
            </w:pPr>
          </w:p>
        </w:tc>
        <w:tc>
          <w:tcPr>
            <w:tcW w:w="1107" w:type="dxa"/>
          </w:tcPr>
          <w:p>
            <w:pPr>
              <w:widowControl/>
              <w:spacing w:line="360" w:lineRule="atLeast"/>
              <w:ind w:firstLine="470" w:firstLineChars="196"/>
              <w:jc w:val="left"/>
              <w:outlineLvl w:val="1"/>
              <w:rPr>
                <w:rFonts w:ascii="宋体" w:hAnsi="宋体"/>
                <w:sz w:val="24"/>
                <w:highlight w:val="none"/>
              </w:rPr>
            </w:pPr>
          </w:p>
        </w:tc>
        <w:tc>
          <w:tcPr>
            <w:tcW w:w="1249" w:type="dxa"/>
          </w:tcPr>
          <w:p>
            <w:pPr>
              <w:widowControl/>
              <w:spacing w:line="360" w:lineRule="atLeast"/>
              <w:ind w:firstLine="470" w:firstLineChars="196"/>
              <w:jc w:val="left"/>
              <w:outlineLvl w:val="1"/>
              <w:rPr>
                <w:rFonts w:ascii="宋体" w:hAnsi="宋体"/>
                <w:sz w:val="24"/>
                <w:highlight w:val="none"/>
              </w:rPr>
            </w:pPr>
          </w:p>
        </w:tc>
        <w:tc>
          <w:tcPr>
            <w:tcW w:w="1102" w:type="dxa"/>
          </w:tcPr>
          <w:p>
            <w:pPr>
              <w:widowControl/>
              <w:spacing w:line="360" w:lineRule="atLeast"/>
              <w:ind w:firstLine="470" w:firstLineChars="196"/>
              <w:jc w:val="left"/>
              <w:outlineLvl w:val="1"/>
              <w:rPr>
                <w:rFonts w:ascii="宋体" w:hAnsi="宋体"/>
                <w:sz w:val="24"/>
                <w:highlight w:val="none"/>
              </w:rPr>
            </w:pPr>
          </w:p>
        </w:tc>
        <w:tc>
          <w:tcPr>
            <w:tcW w:w="954" w:type="dxa"/>
          </w:tcPr>
          <w:p>
            <w:pPr>
              <w:widowControl/>
              <w:spacing w:line="360" w:lineRule="atLeast"/>
              <w:ind w:firstLine="470" w:firstLineChars="196"/>
              <w:jc w:val="left"/>
              <w:outlineLvl w:val="1"/>
              <w:rPr>
                <w:rFonts w:ascii="宋体" w:hAnsi="宋体"/>
                <w:sz w:val="24"/>
                <w:highlight w:val="none"/>
              </w:rPr>
            </w:pPr>
          </w:p>
        </w:tc>
      </w:tr>
    </w:tbl>
    <w:p>
      <w:pPr>
        <w:pStyle w:val="2"/>
        <w:rPr>
          <w:color w:val="auto"/>
          <w:highlight w:val="none"/>
        </w:rPr>
      </w:pPr>
    </w:p>
    <w:p>
      <w:pPr>
        <w:pStyle w:val="2"/>
        <w:rPr>
          <w:color w:val="auto"/>
          <w:highlight w:val="none"/>
        </w:rPr>
      </w:pPr>
    </w:p>
    <w:p>
      <w:pPr>
        <w:pStyle w:val="2"/>
        <w:rPr>
          <w:color w:val="auto"/>
          <w:highlight w:val="none"/>
        </w:rPr>
      </w:pP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（单位公章）。</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日期: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widowControl/>
        <w:spacing w:line="360" w:lineRule="atLeast"/>
        <w:ind w:firstLine="470" w:firstLineChars="196"/>
        <w:jc w:val="left"/>
        <w:outlineLvl w:val="1"/>
        <w:rPr>
          <w:rFonts w:ascii="宋体" w:hAnsi="宋体"/>
          <w:sz w:val="24"/>
          <w:highlight w:val="none"/>
        </w:rPr>
      </w:pPr>
    </w:p>
    <w:p>
      <w:pPr>
        <w:spacing w:line="360" w:lineRule="auto"/>
        <w:rPr>
          <w:rFonts w:ascii="宋体" w:hAnsi="宋体"/>
          <w:b/>
          <w:sz w:val="32"/>
          <w:szCs w:val="32"/>
          <w:highlight w:val="none"/>
        </w:rPr>
      </w:pPr>
      <w:bookmarkStart w:id="91" w:name="_Toc217446091"/>
      <w:r>
        <w:rPr>
          <w:rFonts w:hint="eastAsia" w:ascii="宋体" w:hAnsi="宋体"/>
          <w:b/>
          <w:sz w:val="32"/>
          <w:szCs w:val="32"/>
          <w:highlight w:val="none"/>
        </w:rPr>
        <w:br w:type="page"/>
      </w:r>
    </w:p>
    <w:bookmarkEnd w:id="91"/>
    <w:p>
      <w:pPr>
        <w:widowControl/>
        <w:spacing w:line="360" w:lineRule="atLeast"/>
        <w:jc w:val="center"/>
        <w:outlineLvl w:val="1"/>
        <w:rPr>
          <w:rFonts w:ascii="宋体" w:hAnsi="宋体"/>
          <w:b/>
          <w:sz w:val="32"/>
          <w:szCs w:val="32"/>
          <w:highlight w:val="none"/>
        </w:rPr>
      </w:pPr>
      <w:r>
        <w:rPr>
          <w:rFonts w:hint="eastAsia" w:ascii="宋体" w:hAnsi="宋体"/>
          <w:b/>
          <w:sz w:val="32"/>
          <w:szCs w:val="32"/>
          <w:highlight w:val="none"/>
        </w:rPr>
        <w:t>十二、供应商诚信情况承诺函</w:t>
      </w:r>
    </w:p>
    <w:p>
      <w:pPr>
        <w:spacing w:line="360" w:lineRule="auto"/>
        <w:rPr>
          <w:rFonts w:ascii="宋体" w:hAnsi="宋体"/>
          <w:bCs/>
          <w:sz w:val="24"/>
          <w:highlight w:val="none"/>
        </w:rPr>
      </w:pPr>
    </w:p>
    <w:p>
      <w:pPr>
        <w:spacing w:line="360" w:lineRule="auto"/>
        <w:rPr>
          <w:rFonts w:ascii="宋体" w:hAnsi="宋体"/>
          <w:bCs/>
          <w:sz w:val="24"/>
          <w:highlight w:val="none"/>
        </w:rPr>
      </w:pPr>
      <w:r>
        <w:rPr>
          <w:rFonts w:hint="eastAsia" w:ascii="宋体" w:hAnsi="宋体"/>
          <w:bCs/>
          <w:sz w:val="24"/>
          <w:highlight w:val="none"/>
        </w:rPr>
        <w:t>致</w:t>
      </w:r>
      <w:r>
        <w:rPr>
          <w:rFonts w:hint="eastAsia" w:ascii="宋体" w:hAnsi="宋体"/>
          <w:bCs/>
          <w:sz w:val="24"/>
          <w:highlight w:val="none"/>
          <w:u w:val="single"/>
        </w:rPr>
        <w:t xml:space="preserve">                    </w:t>
      </w:r>
      <w:r>
        <w:rPr>
          <w:rFonts w:hint="eastAsia" w:ascii="宋体" w:hAnsi="宋体"/>
          <w:bCs/>
          <w:sz w:val="24"/>
          <w:highlight w:val="none"/>
        </w:rPr>
        <w:t xml:space="preserve">（采购代理机构）： </w:t>
      </w:r>
    </w:p>
    <w:p>
      <w:pPr>
        <w:spacing w:line="360" w:lineRule="auto"/>
        <w:rPr>
          <w:rFonts w:ascii="宋体" w:hAnsi="宋体"/>
          <w:sz w:val="24"/>
          <w:highlight w:val="none"/>
        </w:rPr>
      </w:pPr>
      <w:r>
        <w:rPr>
          <w:rFonts w:hint="eastAsia" w:ascii="宋体" w:hAnsi="宋体"/>
          <w:bCs/>
          <w:sz w:val="24"/>
          <w:highlight w:val="none"/>
        </w:rPr>
        <w:t xml:space="preserve">    本单位</w:t>
      </w:r>
      <w:r>
        <w:rPr>
          <w:rFonts w:hint="eastAsia" w:ascii="宋体" w:hAnsi="宋体"/>
          <w:bCs/>
          <w:sz w:val="24"/>
          <w:highlight w:val="none"/>
          <w:u w:val="single"/>
        </w:rPr>
        <w:t xml:space="preserve">                   </w:t>
      </w:r>
      <w:r>
        <w:rPr>
          <w:rFonts w:hint="eastAsia" w:ascii="宋体" w:hAnsi="宋体"/>
          <w:bCs/>
          <w:sz w:val="24"/>
          <w:highlight w:val="none"/>
        </w:rPr>
        <w:t>（供应商名称）参加“</w:t>
      </w:r>
      <w:r>
        <w:rPr>
          <w:rFonts w:hint="eastAsia" w:ascii="宋体" w:hAnsi="宋体"/>
          <w:bCs/>
          <w:sz w:val="24"/>
          <w:highlight w:val="none"/>
          <w:u w:val="single"/>
        </w:rPr>
        <w:t xml:space="preserve">                </w:t>
      </w:r>
      <w:r>
        <w:rPr>
          <w:rFonts w:hint="eastAsia" w:ascii="宋体" w:hAnsi="宋体"/>
          <w:bCs/>
          <w:sz w:val="24"/>
          <w:highlight w:val="none"/>
        </w:rPr>
        <w:t>”项目（项目编号：</w:t>
      </w:r>
      <w:r>
        <w:rPr>
          <w:rFonts w:hint="eastAsia" w:ascii="宋体" w:hAnsi="宋体"/>
          <w:bCs/>
          <w:sz w:val="24"/>
          <w:highlight w:val="none"/>
          <w:u w:val="single"/>
        </w:rPr>
        <w:t xml:space="preserve">                </w:t>
      </w:r>
      <w:r>
        <w:rPr>
          <w:rFonts w:hint="eastAsia" w:ascii="宋体" w:hAnsi="宋体"/>
          <w:bCs/>
          <w:sz w:val="24"/>
          <w:highlight w:val="none"/>
        </w:rPr>
        <w:t>）的政府采购活动，</w:t>
      </w:r>
      <w:r>
        <w:rPr>
          <w:rFonts w:hint="eastAsia" w:ascii="宋体" w:hAnsi="宋体"/>
          <w:sz w:val="24"/>
          <w:highlight w:val="none"/>
        </w:rPr>
        <w:t>现根据</w:t>
      </w:r>
      <w:r>
        <w:rPr>
          <w:rFonts w:hint="eastAsia" w:ascii="宋体" w:hAnsi="宋体"/>
          <w:sz w:val="24"/>
          <w:highlight w:val="none"/>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highlight w:val="none"/>
        </w:rPr>
        <w:t>的相关规定，针</w:t>
      </w:r>
      <w:r>
        <w:rPr>
          <w:rFonts w:hint="eastAsia" w:ascii="宋体" w:hAnsi="宋体"/>
          <w:bCs/>
          <w:sz w:val="24"/>
          <w:highlight w:val="none"/>
        </w:rPr>
        <w:t>对本单位的诚信情况作出以下承诺：</w:t>
      </w:r>
    </w:p>
    <w:p>
      <w:pPr>
        <w:spacing w:line="360" w:lineRule="auto"/>
        <w:ind w:firstLine="480" w:firstLineChars="200"/>
        <w:rPr>
          <w:rFonts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我单位具有</w:t>
      </w:r>
      <w:r>
        <w:rPr>
          <w:rFonts w:hint="eastAsia" w:ascii="宋体" w:hAnsi="宋体"/>
          <w:sz w:val="24"/>
          <w:highlight w:val="none"/>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highlight w:val="none"/>
        </w:rPr>
        <w:t>所规定的失信行为</w:t>
      </w:r>
      <w:r>
        <w:rPr>
          <w:rFonts w:hint="eastAsia" w:ascii="宋体" w:hAnsi="宋体"/>
          <w:sz w:val="24"/>
          <w:highlight w:val="none"/>
          <w:u w:val="single"/>
        </w:rPr>
        <w:t xml:space="preserve">      </w:t>
      </w:r>
      <w:r>
        <w:rPr>
          <w:rFonts w:hint="eastAsia" w:ascii="宋体" w:hAnsi="宋体"/>
          <w:sz w:val="24"/>
          <w:highlight w:val="none"/>
        </w:rPr>
        <w:t>次（填写失信行为的次数时，建议使用大写数字，如零、壹、贰、叁、肆等。）；</w:t>
      </w:r>
      <w:r>
        <w:rPr>
          <w:rFonts w:hint="eastAsia" w:ascii="宋体" w:hAnsi="宋体"/>
          <w:bCs/>
          <w:sz w:val="24"/>
          <w:highlight w:val="none"/>
        </w:rPr>
        <w:t>（仅限投标截止当日仍在有效期的次数）</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我</w:t>
      </w:r>
      <w:r>
        <w:rPr>
          <w:rFonts w:hint="eastAsia" w:ascii="宋体" w:hAnsi="宋体"/>
          <w:bCs/>
          <w:sz w:val="24"/>
          <w:highlight w:val="none"/>
        </w:rPr>
        <w:t>单位</w:t>
      </w:r>
      <w:r>
        <w:rPr>
          <w:rFonts w:hint="eastAsia" w:ascii="宋体" w:hAnsi="宋体"/>
          <w:sz w:val="24"/>
          <w:highlight w:val="none"/>
        </w:rPr>
        <w:t>对以上填写信息的真实性负责。如有不实，本</w:t>
      </w:r>
      <w:r>
        <w:rPr>
          <w:rFonts w:hint="eastAsia" w:ascii="宋体" w:hAnsi="宋体"/>
          <w:bCs/>
          <w:sz w:val="24"/>
          <w:highlight w:val="none"/>
        </w:rPr>
        <w:t>单位</w:t>
      </w:r>
      <w:r>
        <w:rPr>
          <w:rFonts w:hint="eastAsia" w:ascii="宋体" w:hAnsi="宋体"/>
          <w:sz w:val="24"/>
          <w:highlight w:val="none"/>
        </w:rPr>
        <w:t>愿承担由此产生的一切法律责任和后果。</w:t>
      </w:r>
    </w:p>
    <w:p>
      <w:pPr>
        <w:spacing w:line="360" w:lineRule="auto"/>
        <w:rPr>
          <w:rFonts w:ascii="宋体" w:hAnsi="宋体"/>
          <w:bCs/>
          <w:sz w:val="24"/>
          <w:highlight w:val="none"/>
        </w:rPr>
      </w:pP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供应商名称：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（单位公章）。</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法定代表人/单位负责人或授权代表（签字或加盖个人印章）：</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widowControl/>
        <w:spacing w:line="360" w:lineRule="atLeast"/>
        <w:ind w:firstLine="470" w:firstLineChars="196"/>
        <w:jc w:val="left"/>
        <w:outlineLvl w:val="1"/>
        <w:rPr>
          <w:rFonts w:ascii="宋体" w:hAnsi="宋体"/>
          <w:sz w:val="24"/>
          <w:highlight w:val="none"/>
        </w:rPr>
      </w:pPr>
      <w:r>
        <w:rPr>
          <w:rFonts w:hint="eastAsia" w:ascii="宋体" w:hAnsi="宋体"/>
          <w:sz w:val="24"/>
          <w:highlight w:val="none"/>
        </w:rPr>
        <w:t xml:space="preserve">日期: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sz w:val="24"/>
          <w:highlight w:val="none"/>
        </w:rPr>
        <w:t>。</w:t>
      </w:r>
    </w:p>
    <w:p>
      <w:pPr>
        <w:spacing w:line="360" w:lineRule="auto"/>
        <w:rPr>
          <w:rFonts w:ascii="宋体" w:hAnsi="宋体"/>
          <w:bCs/>
          <w:sz w:val="24"/>
          <w:highlight w:val="none"/>
        </w:rPr>
      </w:pPr>
    </w:p>
    <w:p>
      <w:pPr>
        <w:spacing w:line="360" w:lineRule="auto"/>
        <w:rPr>
          <w:rFonts w:ascii="宋体" w:hAnsi="宋体"/>
          <w:bCs/>
          <w:sz w:val="24"/>
          <w:highlight w:val="none"/>
        </w:rPr>
      </w:pPr>
      <w:r>
        <w:rPr>
          <w:rFonts w:hint="eastAsia" w:ascii="宋体" w:hAnsi="宋体"/>
          <w:bCs/>
          <w:sz w:val="24"/>
          <w:highlight w:val="none"/>
        </w:rPr>
        <w:t>注：</w:t>
      </w:r>
    </w:p>
    <w:p>
      <w:pPr>
        <w:rPr>
          <w:rFonts w:ascii="宋体" w:hAnsi="宋体"/>
          <w:bCs/>
          <w:sz w:val="24"/>
          <w:highlight w:val="none"/>
        </w:rPr>
      </w:pPr>
      <w:r>
        <w:rPr>
          <w:rFonts w:hint="eastAsia" w:ascii="宋体" w:hAnsi="宋体"/>
          <w:bCs/>
          <w:sz w:val="24"/>
          <w:highlight w:val="none"/>
        </w:rPr>
        <w:t>1、本表格式及内容仅供参考，供应商也可提供自己的格式；</w:t>
      </w:r>
    </w:p>
    <w:p>
      <w:pPr>
        <w:rPr>
          <w:rFonts w:ascii="宋体" w:hAnsi="宋体"/>
          <w:bCs/>
          <w:sz w:val="24"/>
          <w:highlight w:val="none"/>
        </w:rPr>
      </w:pPr>
      <w:r>
        <w:rPr>
          <w:rFonts w:hint="eastAsia" w:ascii="宋体" w:hAnsi="宋体"/>
          <w:bCs/>
          <w:sz w:val="24"/>
          <w:highlight w:val="none"/>
        </w:rPr>
        <w:t>2、供应商存在以上所述失信行为的，将按照</w:t>
      </w:r>
      <w:r>
        <w:rPr>
          <w:rFonts w:hint="eastAsia" w:ascii="宋体" w:hAnsi="宋体"/>
          <w:sz w:val="24"/>
          <w:highlight w:val="none"/>
        </w:rPr>
        <w:t>第二章供应商须知附表的要求进行处理；</w:t>
      </w:r>
    </w:p>
    <w:p>
      <w:pPr>
        <w:rPr>
          <w:rFonts w:ascii="宋体" w:hAnsi="宋体"/>
          <w:kern w:val="0"/>
          <w:sz w:val="24"/>
          <w:highlight w:val="none"/>
        </w:rPr>
      </w:pPr>
      <w:r>
        <w:rPr>
          <w:rFonts w:hint="eastAsia" w:ascii="宋体" w:hAnsi="宋体"/>
          <w:bCs/>
          <w:sz w:val="24"/>
          <w:highlight w:val="none"/>
        </w:rPr>
        <w:t>3、</w:t>
      </w:r>
      <w:r>
        <w:rPr>
          <w:rFonts w:ascii="宋体" w:hAnsi="宋体"/>
          <w:bCs/>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kern w:val="0"/>
          <w:sz w:val="24"/>
          <w:highlight w:val="none"/>
        </w:rPr>
        <w:t>确了有效期的，不再重复计算。</w:t>
      </w:r>
    </w:p>
    <w:p>
      <w:pPr>
        <w:rPr>
          <w:rFonts w:ascii="宋体" w:hAnsi="宋体"/>
          <w:bCs/>
          <w:sz w:val="24"/>
          <w:highlight w:val="none"/>
        </w:rPr>
      </w:pPr>
      <w:r>
        <w:rPr>
          <w:rFonts w:hint="eastAsia" w:ascii="宋体" w:hAnsi="宋体"/>
          <w:kern w:val="0"/>
          <w:sz w:val="24"/>
          <w:highlight w:val="none"/>
        </w:rPr>
        <w:t>4、</w:t>
      </w:r>
      <w:r>
        <w:rPr>
          <w:rFonts w:hint="eastAsia" w:ascii="宋体" w:hAnsi="宋体"/>
          <w:bCs/>
          <w:sz w:val="24"/>
          <w:highlight w:val="none"/>
        </w:rPr>
        <w:t>供应商的失信行为受到行政处罚或司法惩处的，评审时不再对其以价格加成进行惩戒。</w:t>
      </w:r>
    </w:p>
    <w:p>
      <w:pPr>
        <w:spacing w:line="360" w:lineRule="auto"/>
        <w:rPr>
          <w:rFonts w:ascii="宋体" w:hAnsi="宋体"/>
          <w:b/>
          <w:sz w:val="32"/>
          <w:szCs w:val="32"/>
          <w:highlight w:val="none"/>
        </w:rPr>
      </w:pPr>
      <w:r>
        <w:rPr>
          <w:rFonts w:hint="eastAsia" w:ascii="宋体" w:hAnsi="宋体"/>
          <w:bCs/>
          <w:sz w:val="24"/>
          <w:highlight w:val="none"/>
        </w:rPr>
        <w:br w:type="page"/>
      </w:r>
    </w:p>
    <w:p>
      <w:pPr>
        <w:spacing w:line="360" w:lineRule="auto"/>
        <w:jc w:val="center"/>
        <w:rPr>
          <w:rFonts w:ascii="宋体" w:hAnsi="宋体"/>
          <w:b/>
          <w:sz w:val="32"/>
          <w:szCs w:val="32"/>
          <w:highlight w:val="none"/>
        </w:rPr>
      </w:pPr>
      <w:bookmarkStart w:id="92" w:name="_Toc28495"/>
      <w:r>
        <w:rPr>
          <w:rFonts w:hint="eastAsia" w:ascii="宋体" w:hAnsi="宋体"/>
          <w:b/>
          <w:sz w:val="32"/>
          <w:szCs w:val="32"/>
          <w:highlight w:val="none"/>
        </w:rPr>
        <w:t>十三、关于采购代理服务费的支付承诺</w:t>
      </w:r>
    </w:p>
    <w:p>
      <w:pPr>
        <w:widowControl/>
        <w:spacing w:line="360" w:lineRule="auto"/>
        <w:jc w:val="left"/>
        <w:outlineLvl w:val="1"/>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（采购代理机构名称）：</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我公司作为本次采购项目的供应商，参与贵单位组织的“</w:t>
      </w:r>
      <w:r>
        <w:rPr>
          <w:rFonts w:hint="eastAsia" w:ascii="宋体" w:hAnsi="宋体"/>
          <w:sz w:val="24"/>
          <w:highlight w:val="none"/>
          <w:u w:val="single"/>
        </w:rPr>
        <w:t xml:space="preserve">               </w:t>
      </w:r>
      <w:r>
        <w:rPr>
          <w:rFonts w:hint="eastAsia" w:ascii="宋体" w:hAnsi="宋体"/>
          <w:sz w:val="24"/>
          <w:highlight w:val="none"/>
        </w:rPr>
        <w:t>”项目（项目编号：</w:t>
      </w:r>
      <w:r>
        <w:rPr>
          <w:rFonts w:hint="eastAsia" w:ascii="宋体" w:hAnsi="宋体"/>
          <w:sz w:val="24"/>
          <w:highlight w:val="none"/>
          <w:u w:val="single"/>
        </w:rPr>
        <w:t xml:space="preserve">              </w:t>
      </w:r>
      <w:r>
        <w:rPr>
          <w:rFonts w:hint="eastAsia" w:ascii="宋体" w:hAnsi="宋体"/>
          <w:sz w:val="24"/>
          <w:highlight w:val="none"/>
        </w:rPr>
        <w:t>）采购活动，若我公司有幸成交，我公司承诺在领取成交通知书的同时，向贵公司一次性支付竞争性磋商文件规定的采购代理服务费。如因我公司自身原因造成取消成交资格或自愿放弃成交资格的，我公司支付的采购代理服务费不予退还，由此造成的损失由我方自行承担。</w:t>
      </w:r>
    </w:p>
    <w:p>
      <w:pPr>
        <w:spacing w:line="360" w:lineRule="auto"/>
        <w:ind w:firstLine="480" w:firstLineChars="200"/>
        <w:rPr>
          <w:rFonts w:ascii="宋体" w:hAnsi="宋体"/>
          <w:sz w:val="24"/>
          <w:highlight w:val="none"/>
        </w:rPr>
      </w:pPr>
      <w:r>
        <w:rPr>
          <w:rFonts w:hint="eastAsia" w:ascii="宋体" w:hAnsi="宋体"/>
          <w:sz w:val="24"/>
          <w:highlight w:val="none"/>
        </w:rPr>
        <w:t>特此承诺。</w:t>
      </w:r>
    </w:p>
    <w:p>
      <w:pPr>
        <w:spacing w:line="360" w:lineRule="auto"/>
        <w:jc w:val="center"/>
        <w:rPr>
          <w:rFonts w:ascii="宋体" w:hAnsi="宋体"/>
          <w:b/>
          <w:sz w:val="24"/>
          <w:highlight w:val="none"/>
        </w:rPr>
      </w:pPr>
    </w:p>
    <w:p>
      <w:pPr>
        <w:spacing w:line="360" w:lineRule="auto"/>
        <w:ind w:firstLine="480" w:firstLineChars="200"/>
        <w:jc w:val="left"/>
        <w:rPr>
          <w:rFonts w:ascii="宋体" w:hAnsi="宋体"/>
          <w:sz w:val="24"/>
          <w:highlight w:val="none"/>
        </w:rPr>
      </w:pPr>
      <w:r>
        <w:rPr>
          <w:rFonts w:hint="eastAsia" w:ascii="宋体" w:hAnsi="宋体"/>
          <w:sz w:val="24"/>
          <w:highlight w:val="none"/>
        </w:rPr>
        <w:t>供应商名称：</w:t>
      </w:r>
      <w:r>
        <w:rPr>
          <w:rFonts w:hint="eastAsia" w:ascii="宋体" w:hAnsi="宋体" w:cs="宋体"/>
          <w:kern w:val="0"/>
          <w:sz w:val="24"/>
          <w:highlight w:val="none"/>
          <w:u w:val="single"/>
        </w:rPr>
        <w:t xml:space="preserve">                          </w:t>
      </w:r>
      <w:r>
        <w:rPr>
          <w:rFonts w:hint="eastAsia" w:ascii="宋体" w:hAnsi="宋体"/>
          <w:sz w:val="24"/>
          <w:highlight w:val="none"/>
        </w:rPr>
        <w:t>（盖单位公章）</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法定代表人或授权代表（签字或加盖个人印章）：</w:t>
      </w:r>
      <w:r>
        <w:rPr>
          <w:rFonts w:hint="eastAsia" w:ascii="宋体" w:hAnsi="宋体" w:cs="宋体"/>
          <w:kern w:val="0"/>
          <w:sz w:val="24"/>
          <w:highlight w:val="none"/>
          <w:u w:val="single"/>
        </w:rPr>
        <w:t xml:space="preserve">            </w:t>
      </w:r>
      <w:r>
        <w:rPr>
          <w:rFonts w:hint="eastAsia" w:ascii="宋体" w:hAnsi="宋体"/>
          <w:sz w:val="24"/>
          <w:highlight w:val="none"/>
        </w:rPr>
        <w:t>。</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日期:</w:t>
      </w:r>
      <w:r>
        <w:rPr>
          <w:rFonts w:hint="eastAsia" w:ascii="宋体" w:hAnsi="宋体" w:cs="宋体"/>
          <w:kern w:val="0"/>
          <w:sz w:val="24"/>
          <w:highlight w:val="none"/>
          <w:u w:val="single"/>
        </w:rPr>
        <w:t xml:space="preserve">            </w:t>
      </w:r>
      <w:r>
        <w:rPr>
          <w:rFonts w:hint="eastAsia" w:ascii="宋体" w:hAnsi="宋体"/>
          <w:sz w:val="24"/>
          <w:highlight w:val="none"/>
        </w:rPr>
        <w:t>。</w:t>
      </w:r>
    </w:p>
    <w:p>
      <w:pPr>
        <w:spacing w:line="360" w:lineRule="auto"/>
        <w:rPr>
          <w:rFonts w:ascii="宋体" w:hAnsi="宋体"/>
          <w:b/>
          <w:sz w:val="32"/>
          <w:szCs w:val="32"/>
          <w:highlight w:val="none"/>
        </w:rPr>
      </w:pPr>
    </w:p>
    <w:p>
      <w:pPr>
        <w:pStyle w:val="2"/>
        <w:rPr>
          <w:color w:val="auto"/>
          <w:highlight w:val="none"/>
        </w:rPr>
      </w:pPr>
    </w:p>
    <w:p>
      <w:pPr>
        <w:pStyle w:val="2"/>
        <w:rPr>
          <w:color w:val="auto"/>
          <w:highlight w:val="none"/>
        </w:rPr>
      </w:pPr>
      <w:r>
        <w:rPr>
          <w:rFonts w:hint="eastAsia"/>
          <w:color w:val="auto"/>
          <w:highlight w:val="none"/>
        </w:rPr>
        <w:t>注：适用于第二章供应商须知附表中规定采购代理服务费由成交人支付，由采购人支付的，可不提供此承诺。</w:t>
      </w:r>
    </w:p>
    <w:p>
      <w:pPr>
        <w:spacing w:line="360" w:lineRule="auto"/>
        <w:jc w:val="center"/>
        <w:rPr>
          <w:rFonts w:ascii="宋体" w:hAnsi="宋体"/>
          <w:b/>
          <w:sz w:val="32"/>
          <w:szCs w:val="32"/>
          <w:highlight w:val="none"/>
        </w:rPr>
      </w:pPr>
    </w:p>
    <w:p>
      <w:pPr>
        <w:pStyle w:val="2"/>
        <w:rPr>
          <w:rFonts w:hAnsi="宋体"/>
          <w:color w:val="auto"/>
          <w:highlight w:val="none"/>
        </w:rPr>
      </w:pPr>
      <w:r>
        <w:rPr>
          <w:rFonts w:hAnsi="宋体"/>
          <w:color w:val="auto"/>
          <w:highlight w:val="none"/>
        </w:rPr>
        <w:br w:type="page"/>
      </w:r>
    </w:p>
    <w:p>
      <w:pPr>
        <w:spacing w:line="360" w:lineRule="auto"/>
        <w:jc w:val="center"/>
        <w:rPr>
          <w:rFonts w:ascii="宋体" w:hAnsi="宋体"/>
          <w:b/>
          <w:sz w:val="32"/>
          <w:szCs w:val="32"/>
          <w:highlight w:val="none"/>
        </w:rPr>
      </w:pPr>
      <w:r>
        <w:rPr>
          <w:rFonts w:hint="eastAsia" w:ascii="宋体" w:hAnsi="宋体"/>
          <w:b/>
          <w:sz w:val="32"/>
          <w:szCs w:val="32"/>
          <w:highlight w:val="none"/>
        </w:rPr>
        <w:t>十四、其他材料</w:t>
      </w:r>
    </w:p>
    <w:p>
      <w:pPr>
        <w:widowControl/>
        <w:spacing w:line="480" w:lineRule="auto"/>
        <w:ind w:firstLine="470" w:firstLineChars="196"/>
        <w:jc w:val="left"/>
        <w:outlineLvl w:val="1"/>
        <w:rPr>
          <w:rFonts w:ascii="宋体"/>
          <w:sz w:val="24"/>
          <w:highlight w:val="none"/>
        </w:rPr>
      </w:pPr>
    </w:p>
    <w:p>
      <w:pPr>
        <w:widowControl/>
        <w:spacing w:line="480" w:lineRule="auto"/>
        <w:ind w:firstLine="470" w:firstLineChars="196"/>
        <w:jc w:val="left"/>
        <w:outlineLvl w:val="1"/>
        <w:rPr>
          <w:rFonts w:ascii="宋体"/>
          <w:sz w:val="24"/>
          <w:highlight w:val="none"/>
        </w:rPr>
      </w:pPr>
    </w:p>
    <w:p>
      <w:pPr>
        <w:widowControl/>
        <w:spacing w:line="480" w:lineRule="auto"/>
        <w:ind w:firstLine="470" w:firstLineChars="196"/>
        <w:jc w:val="left"/>
        <w:outlineLvl w:val="1"/>
        <w:rPr>
          <w:rFonts w:ascii="宋体"/>
          <w:sz w:val="24"/>
          <w:highlight w:val="none"/>
        </w:rPr>
      </w:pPr>
    </w:p>
    <w:p>
      <w:pPr>
        <w:widowControl/>
        <w:spacing w:line="480" w:lineRule="auto"/>
        <w:ind w:firstLine="470" w:firstLineChars="196"/>
        <w:jc w:val="left"/>
        <w:outlineLvl w:val="1"/>
        <w:rPr>
          <w:rFonts w:ascii="宋体"/>
          <w:sz w:val="24"/>
          <w:highlight w:val="none"/>
        </w:rPr>
      </w:pPr>
    </w:p>
    <w:p>
      <w:pPr>
        <w:widowControl/>
        <w:spacing w:line="480" w:lineRule="auto"/>
        <w:ind w:firstLine="470" w:firstLineChars="196"/>
        <w:jc w:val="left"/>
        <w:outlineLvl w:val="1"/>
        <w:rPr>
          <w:rFonts w:ascii="宋体"/>
          <w:sz w:val="24"/>
          <w:highlight w:val="none"/>
        </w:rPr>
      </w:pPr>
    </w:p>
    <w:p>
      <w:pPr>
        <w:widowControl/>
        <w:spacing w:line="480" w:lineRule="auto"/>
        <w:ind w:firstLine="470" w:firstLineChars="196"/>
        <w:jc w:val="left"/>
        <w:outlineLvl w:val="1"/>
        <w:rPr>
          <w:rFonts w:ascii="宋体"/>
          <w:sz w:val="24"/>
          <w:highlight w:val="none"/>
        </w:rPr>
      </w:pPr>
    </w:p>
    <w:p>
      <w:pPr>
        <w:widowControl/>
        <w:spacing w:line="480" w:lineRule="auto"/>
        <w:ind w:firstLine="470" w:firstLineChars="196"/>
        <w:jc w:val="left"/>
        <w:outlineLvl w:val="1"/>
        <w:rPr>
          <w:rFonts w:ascii="宋体"/>
          <w:sz w:val="24"/>
          <w:highlight w:val="none"/>
        </w:rPr>
      </w:pPr>
    </w:p>
    <w:p>
      <w:pPr>
        <w:widowControl/>
        <w:spacing w:line="480" w:lineRule="auto"/>
        <w:ind w:firstLine="470" w:firstLineChars="196"/>
        <w:jc w:val="left"/>
        <w:outlineLvl w:val="1"/>
        <w:rPr>
          <w:rFonts w:ascii="宋体"/>
          <w:sz w:val="24"/>
          <w:highlight w:val="none"/>
        </w:rPr>
      </w:pPr>
      <w:r>
        <w:rPr>
          <w:rFonts w:hint="eastAsia" w:ascii="宋体"/>
          <w:sz w:val="24"/>
          <w:highlight w:val="none"/>
        </w:rPr>
        <w:t>注：供应商在响应文件中可以提供以上本章格式未列明其他材料。</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jc w:val="left"/>
        <w:rPr>
          <w:highlight w:val="none"/>
        </w:rPr>
      </w:pPr>
    </w:p>
    <w:p>
      <w:pPr>
        <w:spacing w:line="360" w:lineRule="auto"/>
        <w:jc w:val="center"/>
        <w:rPr>
          <w:rFonts w:ascii="宋体" w:hAnsi="宋体"/>
          <w:b/>
          <w:sz w:val="32"/>
          <w:szCs w:val="32"/>
          <w:highlight w:val="none"/>
        </w:rPr>
      </w:pPr>
    </w:p>
    <w:p>
      <w:pPr>
        <w:widowControl/>
        <w:jc w:val="left"/>
        <w:rPr>
          <w:rFonts w:ascii="宋体" w:hAnsi="宋体"/>
          <w:b/>
          <w:sz w:val="32"/>
          <w:szCs w:val="32"/>
          <w:highlight w:val="none"/>
        </w:rPr>
      </w:pPr>
      <w:r>
        <w:rPr>
          <w:rFonts w:ascii="宋体" w:hAnsi="宋体"/>
          <w:b/>
          <w:sz w:val="32"/>
          <w:szCs w:val="32"/>
          <w:highlight w:val="none"/>
        </w:rPr>
        <w:br w:type="page"/>
      </w:r>
    </w:p>
    <w:p>
      <w:pPr>
        <w:spacing w:line="360" w:lineRule="auto"/>
        <w:jc w:val="center"/>
        <w:rPr>
          <w:rFonts w:ascii="宋体" w:hAnsi="宋体"/>
          <w:b/>
          <w:sz w:val="32"/>
          <w:szCs w:val="32"/>
          <w:highlight w:val="none"/>
        </w:rPr>
      </w:pPr>
      <w:r>
        <w:rPr>
          <w:rFonts w:hint="eastAsia" w:ascii="宋体" w:hAnsi="宋体"/>
          <w:b/>
          <w:sz w:val="32"/>
          <w:szCs w:val="32"/>
          <w:highlight w:val="none"/>
        </w:rPr>
        <w:t>十五、最后报价表</w:t>
      </w:r>
    </w:p>
    <w:p>
      <w:pPr>
        <w:pStyle w:val="2"/>
        <w:rPr>
          <w:color w:val="auto"/>
          <w:highlight w:val="none"/>
        </w:rPr>
      </w:pPr>
    </w:p>
    <w:p>
      <w:pPr>
        <w:spacing w:line="480" w:lineRule="exact"/>
        <w:ind w:firstLine="436" w:firstLineChars="182"/>
        <w:rPr>
          <w:rFonts w:ascii="宋体" w:hAnsi="宋体"/>
          <w:sz w:val="24"/>
          <w:highlight w:val="none"/>
        </w:rPr>
      </w:pPr>
      <w:r>
        <w:rPr>
          <w:rFonts w:hint="eastAsia" w:ascii="宋体" w:hAnsi="宋体"/>
          <w:sz w:val="24"/>
          <w:highlight w:val="none"/>
        </w:rPr>
        <w:t>项目名称：</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spacing w:line="480" w:lineRule="exact"/>
        <w:ind w:firstLine="436" w:firstLineChars="182"/>
        <w:rPr>
          <w:rFonts w:ascii="宋体" w:hAnsi="宋体"/>
          <w:b/>
          <w:sz w:val="32"/>
          <w:highlight w:val="none"/>
          <w:u w:val="single"/>
        </w:rPr>
      </w:pPr>
      <w:r>
        <w:rPr>
          <w:rFonts w:hint="eastAsia" w:ascii="宋体" w:hAnsi="宋体"/>
          <w:sz w:val="24"/>
          <w:highlight w:val="none"/>
        </w:rPr>
        <w:t>项目编号：</w:t>
      </w:r>
      <w:r>
        <w:rPr>
          <w:rFonts w:ascii="宋体" w:hAnsi="宋体"/>
          <w:b/>
          <w:sz w:val="32"/>
          <w:highlight w:val="none"/>
          <w:u w:val="single"/>
        </w:rPr>
        <w:t xml:space="preserve">  </w:t>
      </w:r>
      <w:r>
        <w:rPr>
          <w:rFonts w:hint="eastAsia" w:ascii="宋体" w:hAnsi="宋体"/>
          <w:b/>
          <w:sz w:val="32"/>
          <w:highlight w:val="none"/>
          <w:u w:val="single"/>
        </w:rPr>
        <w:t xml:space="preserve">    </w:t>
      </w:r>
      <w:r>
        <w:rPr>
          <w:rFonts w:ascii="宋体" w:hAnsi="宋体"/>
          <w:b/>
          <w:sz w:val="32"/>
          <w:highlight w:val="none"/>
          <w:u w:val="single"/>
        </w:rPr>
        <w:t xml:space="preserve">     </w:t>
      </w:r>
    </w:p>
    <w:p>
      <w:pPr>
        <w:pStyle w:val="2"/>
        <w:rPr>
          <w:color w:val="auto"/>
          <w:highlight w:val="none"/>
        </w:rPr>
      </w:pPr>
    </w:p>
    <w:tbl>
      <w:tblPr>
        <w:tblStyle w:val="39"/>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0"/>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970" w:type="dxa"/>
            <w:vAlign w:val="center"/>
          </w:tcPr>
          <w:p>
            <w:pPr>
              <w:widowControl/>
              <w:spacing w:line="360" w:lineRule="auto"/>
              <w:jc w:val="center"/>
              <w:outlineLvl w:val="1"/>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970" w:type="dxa"/>
            <w:vAlign w:val="center"/>
          </w:tcPr>
          <w:p>
            <w:pPr>
              <w:widowControl/>
              <w:spacing w:line="360" w:lineRule="auto"/>
              <w:jc w:val="center"/>
              <w:outlineLvl w:val="1"/>
              <w:rPr>
                <w:rFonts w:hint="default"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项目名称</w:t>
            </w:r>
          </w:p>
        </w:tc>
        <w:tc>
          <w:tcPr>
            <w:tcW w:w="1971" w:type="dxa"/>
            <w:vAlign w:val="center"/>
          </w:tcPr>
          <w:p>
            <w:pPr>
              <w:widowControl/>
              <w:spacing w:line="360" w:lineRule="auto"/>
              <w:jc w:val="center"/>
              <w:outlineLvl w:val="1"/>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服务期限</w:t>
            </w:r>
          </w:p>
        </w:tc>
        <w:tc>
          <w:tcPr>
            <w:tcW w:w="1971" w:type="dxa"/>
            <w:vAlign w:val="center"/>
          </w:tcPr>
          <w:p>
            <w:pPr>
              <w:widowControl/>
              <w:spacing w:line="360" w:lineRule="auto"/>
              <w:jc w:val="center"/>
              <w:outlineLvl w:val="1"/>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报价</w:t>
            </w:r>
          </w:p>
        </w:tc>
        <w:tc>
          <w:tcPr>
            <w:tcW w:w="1971" w:type="dxa"/>
            <w:vAlign w:val="center"/>
          </w:tcPr>
          <w:p>
            <w:pPr>
              <w:widowControl/>
              <w:spacing w:line="360" w:lineRule="auto"/>
              <w:jc w:val="center"/>
              <w:outlineLvl w:val="1"/>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1970" w:type="dxa"/>
          </w:tcPr>
          <w:p>
            <w:pPr>
              <w:widowControl/>
              <w:spacing w:line="360" w:lineRule="auto"/>
              <w:jc w:val="left"/>
              <w:outlineLvl w:val="1"/>
              <w:rPr>
                <w:rFonts w:ascii="宋体" w:hAnsi="宋体"/>
                <w:sz w:val="24"/>
                <w:highlight w:val="none"/>
                <w:vertAlign w:val="baseline"/>
              </w:rPr>
            </w:pPr>
          </w:p>
        </w:tc>
        <w:tc>
          <w:tcPr>
            <w:tcW w:w="1970" w:type="dxa"/>
          </w:tcPr>
          <w:p>
            <w:pPr>
              <w:widowControl/>
              <w:spacing w:line="360" w:lineRule="auto"/>
              <w:jc w:val="left"/>
              <w:outlineLvl w:val="1"/>
              <w:rPr>
                <w:rFonts w:ascii="宋体" w:hAnsi="宋体"/>
                <w:sz w:val="24"/>
                <w:highlight w:val="none"/>
                <w:vertAlign w:val="baseline"/>
              </w:rPr>
            </w:pPr>
          </w:p>
        </w:tc>
        <w:tc>
          <w:tcPr>
            <w:tcW w:w="1971" w:type="dxa"/>
          </w:tcPr>
          <w:p>
            <w:pPr>
              <w:widowControl/>
              <w:spacing w:line="360" w:lineRule="auto"/>
              <w:jc w:val="left"/>
              <w:outlineLvl w:val="1"/>
              <w:rPr>
                <w:rFonts w:ascii="宋体" w:hAnsi="宋体"/>
                <w:sz w:val="24"/>
                <w:highlight w:val="none"/>
                <w:vertAlign w:val="baseline"/>
              </w:rPr>
            </w:pPr>
          </w:p>
        </w:tc>
        <w:tc>
          <w:tcPr>
            <w:tcW w:w="1971" w:type="dxa"/>
            <w:vAlign w:val="top"/>
          </w:tcPr>
          <w:p>
            <w:pPr>
              <w:widowControl/>
              <w:spacing w:line="360" w:lineRule="auto"/>
              <w:jc w:val="center"/>
              <w:outlineLvl w:val="1"/>
              <w:rPr>
                <w:rFonts w:ascii="宋体" w:hAnsi="宋体"/>
                <w:sz w:val="24"/>
                <w:highlight w:val="none"/>
                <w:vertAlign w:val="baseline"/>
              </w:rPr>
            </w:pPr>
            <w:r>
              <w:rPr>
                <w:rFonts w:hint="eastAsia" w:ascii="宋体" w:hAnsi="宋体"/>
                <w:sz w:val="24"/>
                <w:highlight w:val="none"/>
                <w:u w:val="none"/>
              </w:rPr>
              <w:t>三甲</w:t>
            </w:r>
            <w:r>
              <w:rPr>
                <w:rFonts w:hint="eastAsia" w:ascii="宋体" w:hAnsi="宋体"/>
                <w:sz w:val="24"/>
                <w:highlight w:val="none"/>
                <w:u w:val="none"/>
                <w:lang w:val="en-US" w:eastAsia="zh-CN"/>
              </w:rPr>
              <w:t>医院</w:t>
            </w:r>
            <w:r>
              <w:rPr>
                <w:rFonts w:hint="eastAsia" w:ascii="宋体" w:hAnsi="宋体"/>
                <w:sz w:val="24"/>
                <w:highlight w:val="none"/>
                <w:u w:val="none"/>
              </w:rPr>
              <w:t>收费标准</w:t>
            </w:r>
            <w:r>
              <w:rPr>
                <w:rFonts w:hint="eastAsia" w:ascii="宋体" w:hAnsi="宋体"/>
                <w:sz w:val="24"/>
                <w:highlight w:val="none"/>
                <w:u w:val="none"/>
                <w:lang w:val="en-US" w:eastAsia="zh-CN"/>
              </w:rPr>
              <w:t>的</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w:t>
            </w:r>
          </w:p>
        </w:tc>
        <w:tc>
          <w:tcPr>
            <w:tcW w:w="1971" w:type="dxa"/>
          </w:tcPr>
          <w:p>
            <w:pPr>
              <w:widowControl/>
              <w:spacing w:line="360" w:lineRule="auto"/>
              <w:jc w:val="left"/>
              <w:outlineLvl w:val="1"/>
              <w:rPr>
                <w:rFonts w:ascii="宋体" w:hAnsi="宋体"/>
                <w:sz w:val="24"/>
                <w:highlight w:val="none"/>
                <w:vertAlign w:val="baseline"/>
              </w:rPr>
            </w:pPr>
          </w:p>
        </w:tc>
      </w:tr>
    </w:tbl>
    <w:p>
      <w:pPr>
        <w:pStyle w:val="2"/>
        <w:rPr>
          <w:color w:val="auto"/>
          <w:highlight w:val="none"/>
        </w:rPr>
      </w:pPr>
    </w:p>
    <w:p>
      <w:pPr>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p>
    <w:p>
      <w:pPr>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法定代表人/单位负责人或授权代表（签字）：</w:t>
      </w:r>
      <w:r>
        <w:rPr>
          <w:rFonts w:hint="eastAsia" w:ascii="宋体" w:hAnsi="宋体"/>
          <w:sz w:val="24"/>
          <w:highlight w:val="none"/>
          <w:u w:val="single"/>
        </w:rPr>
        <w:t xml:space="preserve">               </w:t>
      </w:r>
    </w:p>
    <w:p>
      <w:pPr>
        <w:pStyle w:val="13"/>
        <w:spacing w:line="360" w:lineRule="auto"/>
        <w:ind w:firstLine="480"/>
        <w:rPr>
          <w:color w:val="auto"/>
          <w:highlight w:val="none"/>
        </w:rPr>
      </w:pPr>
      <w:r>
        <w:rPr>
          <w:rFonts w:hint="eastAsia" w:ascii="宋体" w:hAnsi="宋体"/>
          <w:sz w:val="24"/>
          <w:highlight w:val="none"/>
        </w:rPr>
        <w:t>日期：</w:t>
      </w:r>
      <w:r>
        <w:rPr>
          <w:rFonts w:hint="eastAsia" w:ascii="宋体" w:hAnsi="宋体"/>
          <w:sz w:val="24"/>
          <w:highlight w:val="none"/>
          <w:u w:val="single"/>
        </w:rPr>
        <w:t xml:space="preserve">                 </w:t>
      </w:r>
    </w:p>
    <w:p>
      <w:pPr>
        <w:spacing w:line="400" w:lineRule="exact"/>
        <w:rPr>
          <w:rFonts w:ascii="宋体" w:hAnsi="宋体" w:cs="宋体"/>
          <w:sz w:val="24"/>
          <w:highlight w:val="none"/>
        </w:rPr>
      </w:pPr>
      <w:r>
        <w:rPr>
          <w:rFonts w:hint="eastAsia" w:ascii="宋体" w:hAnsi="宋体" w:cs="宋体"/>
          <w:sz w:val="24"/>
          <w:highlight w:val="none"/>
        </w:rPr>
        <w:t>注：</w:t>
      </w:r>
    </w:p>
    <w:p>
      <w:pPr>
        <w:spacing w:line="400" w:lineRule="exact"/>
        <w:rPr>
          <w:rFonts w:ascii="宋体" w:hAnsi="宋体" w:cs="宋体"/>
          <w:sz w:val="24"/>
          <w:highlight w:val="none"/>
        </w:rPr>
      </w:pPr>
      <w:r>
        <w:rPr>
          <w:rFonts w:hint="eastAsia" w:ascii="宋体" w:hAnsi="宋体" w:cs="宋体"/>
          <w:sz w:val="24"/>
          <w:highlight w:val="none"/>
        </w:rPr>
        <w:t>1、</w:t>
      </w:r>
      <w:r>
        <w:rPr>
          <w:rFonts w:hint="eastAsia" w:ascii="宋体" w:hAnsi="宋体" w:cs="宋体"/>
          <w:b/>
          <w:sz w:val="24"/>
          <w:highlight w:val="none"/>
        </w:rPr>
        <w:t>最后报价表不需要封装在响应文件中</w:t>
      </w:r>
      <w:r>
        <w:rPr>
          <w:rFonts w:hint="eastAsia" w:ascii="宋体" w:hAnsi="宋体" w:cs="宋体"/>
          <w:sz w:val="24"/>
          <w:highlight w:val="none"/>
        </w:rPr>
        <w:t>；</w:t>
      </w:r>
    </w:p>
    <w:p>
      <w:pPr>
        <w:spacing w:line="400" w:lineRule="exact"/>
        <w:rPr>
          <w:rFonts w:ascii="宋体" w:hAnsi="宋体" w:cs="宋体"/>
          <w:sz w:val="24"/>
          <w:highlight w:val="none"/>
        </w:rPr>
      </w:pPr>
      <w:r>
        <w:rPr>
          <w:rFonts w:hint="eastAsia" w:ascii="宋体" w:hAnsi="宋体" w:cs="宋体"/>
          <w:sz w:val="24"/>
          <w:highlight w:val="none"/>
        </w:rPr>
        <w:t>2、最后报价表是磋商结束后，供应商填写，由法定代表人/单位负责人或授权代表签字后密封递交给采购代理机构工作人员，由其收集齐后集中递交磋商小组；</w:t>
      </w:r>
    </w:p>
    <w:p>
      <w:pPr>
        <w:spacing w:line="400" w:lineRule="exact"/>
        <w:rPr>
          <w:rFonts w:hint="eastAsia" w:ascii="宋体" w:hAnsi="宋体" w:cs="宋体"/>
          <w:sz w:val="24"/>
          <w:highlight w:val="none"/>
        </w:rPr>
      </w:pPr>
      <w:r>
        <w:rPr>
          <w:rFonts w:hint="eastAsia" w:ascii="宋体" w:hAnsi="宋体" w:cs="宋体"/>
          <w:sz w:val="24"/>
          <w:highlight w:val="none"/>
        </w:rPr>
        <w:t>3、最后报价表供应商可在最后报价时手工填写，也可提前填写；</w:t>
      </w:r>
    </w:p>
    <w:p>
      <w:pPr>
        <w:pStyle w:val="17"/>
        <w:rPr>
          <w:rFonts w:hint="eastAsia" w:eastAsia="宋体"/>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kern w:val="2"/>
          <w:sz w:val="24"/>
          <w:szCs w:val="24"/>
          <w:highlight w:val="none"/>
          <w:lang w:val="en-US" w:eastAsia="zh-CN" w:bidi="ar-SA"/>
        </w:rPr>
        <w:t>报价应是最终用户验收合格后的总价，包括培训、税费和采购文件规定的其它费用。不得漏报，否则视为已包含在总报价中不再单独另行报价，不影响响应文件有效性。</w:t>
      </w:r>
    </w:p>
    <w:p>
      <w:pPr>
        <w:spacing w:line="400" w:lineRule="exact"/>
        <w:rPr>
          <w:rFonts w:hint="eastAsia" w:ascii="宋体" w:hAnsi="宋体" w:cs="宋体"/>
          <w:sz w:val="24"/>
          <w:highlight w:val="none"/>
        </w:rPr>
      </w:pPr>
      <w:r>
        <w:rPr>
          <w:rFonts w:hint="eastAsia" w:ascii="宋体" w:hAnsi="宋体" w:cs="宋体"/>
          <w:sz w:val="24"/>
          <w:highlight w:val="none"/>
        </w:rPr>
        <w:t>4、最后报价包括磋商文件规定的全部相应内容的报价，最后报价只报总价的，各分项报价按总价同比下浮计算。</w:t>
      </w:r>
    </w:p>
    <w:bookmarkEnd w:id="92"/>
    <w:p>
      <w:pPr>
        <w:rPr>
          <w:rFonts w:ascii="宋体" w:hAnsi="宋体"/>
          <w:sz w:val="36"/>
          <w:szCs w:val="36"/>
          <w:highlight w:val="none"/>
        </w:rPr>
      </w:pPr>
      <w:bookmarkStart w:id="93" w:name="_Toc24786"/>
      <w:bookmarkStart w:id="94" w:name="_Toc53267589"/>
      <w:r>
        <w:rPr>
          <w:rFonts w:hint="eastAsia" w:ascii="宋体" w:hAnsi="宋体"/>
          <w:sz w:val="36"/>
          <w:szCs w:val="36"/>
          <w:highlight w:val="none"/>
        </w:rPr>
        <w:br w:type="page"/>
      </w:r>
    </w:p>
    <w:p>
      <w:pPr>
        <w:widowControl/>
        <w:jc w:val="center"/>
        <w:rPr>
          <w:rFonts w:ascii="宋体" w:hAnsi="宋体"/>
          <w:b/>
          <w:bCs/>
          <w:sz w:val="36"/>
          <w:szCs w:val="36"/>
          <w:highlight w:val="none"/>
        </w:rPr>
      </w:pPr>
      <w:r>
        <w:rPr>
          <w:rFonts w:hint="eastAsia" w:ascii="宋体" w:hAnsi="宋体"/>
          <w:b/>
          <w:bCs/>
          <w:sz w:val="36"/>
          <w:szCs w:val="36"/>
          <w:highlight w:val="none"/>
        </w:rPr>
        <w:t>第九章  评</w:t>
      </w:r>
      <w:bookmarkEnd w:id="93"/>
      <w:bookmarkStart w:id="95" w:name="_Hlt101846155"/>
      <w:bookmarkEnd w:id="95"/>
      <w:bookmarkStart w:id="96" w:name="_Toc217446097"/>
      <w:bookmarkStart w:id="97" w:name="_Toc208849007"/>
      <w:bookmarkStart w:id="98" w:name="_Toc183582280"/>
      <w:bookmarkStart w:id="99" w:name="_Toc183682415"/>
      <w:r>
        <w:rPr>
          <w:rFonts w:hint="eastAsia" w:ascii="宋体" w:hAnsi="宋体"/>
          <w:b/>
          <w:bCs/>
          <w:sz w:val="36"/>
          <w:szCs w:val="36"/>
          <w:highlight w:val="none"/>
        </w:rPr>
        <w:t>审方法</w:t>
      </w:r>
      <w:bookmarkEnd w:id="94"/>
    </w:p>
    <w:p>
      <w:pPr>
        <w:pStyle w:val="4"/>
        <w:rPr>
          <w:rFonts w:ascii="宋体" w:hAnsi="宋体" w:eastAsia="宋体"/>
          <w:sz w:val="24"/>
          <w:szCs w:val="24"/>
          <w:highlight w:val="none"/>
        </w:rPr>
      </w:pPr>
      <w:r>
        <w:rPr>
          <w:rFonts w:hint="eastAsia" w:ascii="宋体" w:hAnsi="宋体" w:eastAsia="宋体"/>
          <w:sz w:val="24"/>
          <w:szCs w:val="24"/>
          <w:highlight w:val="none"/>
        </w:rPr>
        <w:t>1. 总则</w:t>
      </w:r>
      <w:bookmarkEnd w:id="96"/>
      <w:bookmarkEnd w:id="97"/>
      <w:bookmarkEnd w:id="98"/>
      <w:bookmarkEnd w:id="99"/>
    </w:p>
    <w:p>
      <w:pPr>
        <w:spacing w:line="400" w:lineRule="exact"/>
        <w:ind w:firstLine="480" w:firstLineChars="200"/>
        <w:rPr>
          <w:rFonts w:ascii="宋体" w:hAnsi="宋体"/>
          <w:sz w:val="24"/>
          <w:highlight w:val="none"/>
        </w:rPr>
      </w:pPr>
      <w:r>
        <w:rPr>
          <w:rFonts w:hint="eastAsia" w:ascii="宋体" w:hAnsi="宋体"/>
          <w:sz w:val="24"/>
          <w:highlight w:val="none"/>
        </w:rPr>
        <w:t>1.1 根据《中华人民共和国政府采购法》、《中华人民共和国政府采购法实施条例》、《政府采购竞争性磋商采购方式管理暂行办法》等法律制度，结合本采购项目特点制定本次磋商采购评审方法。</w:t>
      </w:r>
    </w:p>
    <w:p>
      <w:pPr>
        <w:spacing w:line="400" w:lineRule="exact"/>
        <w:ind w:firstLine="480" w:firstLineChars="200"/>
        <w:rPr>
          <w:rFonts w:ascii="宋体" w:hAnsi="宋体"/>
          <w:sz w:val="24"/>
          <w:highlight w:val="none"/>
        </w:rPr>
      </w:pPr>
      <w:r>
        <w:rPr>
          <w:rFonts w:hint="eastAsia" w:ascii="宋体" w:hAnsi="宋体"/>
          <w:sz w:val="24"/>
          <w:highlight w:val="none"/>
        </w:rPr>
        <w:t>1.2 磋商工作由采购代理机构负责组织，具体磋商由采购代理机构依法组建的磋商小组负责。</w:t>
      </w:r>
    </w:p>
    <w:p>
      <w:pPr>
        <w:spacing w:line="400" w:lineRule="exact"/>
        <w:ind w:firstLine="480" w:firstLineChars="200"/>
        <w:rPr>
          <w:rFonts w:ascii="宋体" w:hAnsi="宋体"/>
          <w:sz w:val="24"/>
          <w:highlight w:val="none"/>
        </w:rPr>
      </w:pPr>
      <w:r>
        <w:rPr>
          <w:rFonts w:hint="eastAsia" w:ascii="宋体" w:hAnsi="宋体"/>
          <w:sz w:val="24"/>
          <w:highlight w:val="none"/>
        </w:rPr>
        <w:t>1.3 磋商工作应遵循公平、公正、科学及择优的原则，并以相同的磋商程序和标准对待所有的供应商。</w:t>
      </w:r>
    </w:p>
    <w:p>
      <w:pPr>
        <w:spacing w:line="400" w:lineRule="exact"/>
        <w:ind w:firstLine="480" w:firstLineChars="200"/>
        <w:rPr>
          <w:rFonts w:ascii="宋体" w:hAnsi="宋体"/>
          <w:sz w:val="24"/>
          <w:highlight w:val="none"/>
        </w:rPr>
      </w:pPr>
      <w:bookmarkStart w:id="100" w:name="_Toc217446098"/>
      <w:r>
        <w:rPr>
          <w:rFonts w:hint="eastAsia" w:ascii="宋体" w:hAnsi="宋体"/>
          <w:sz w:val="24"/>
          <w:highlight w:val="none"/>
        </w:rPr>
        <w:t>1.4 磋商小组按照磋商文件规定的磋商程序、评分方法和标准进行评审，并独立履行下列职责：</w:t>
      </w:r>
    </w:p>
    <w:p>
      <w:pPr>
        <w:spacing w:line="400" w:lineRule="exact"/>
        <w:ind w:firstLine="480" w:firstLineChars="200"/>
        <w:rPr>
          <w:rFonts w:ascii="宋体" w:hAnsi="宋体"/>
          <w:sz w:val="24"/>
          <w:highlight w:val="none"/>
        </w:rPr>
      </w:pPr>
      <w:r>
        <w:rPr>
          <w:rFonts w:hint="eastAsia" w:ascii="宋体" w:hAnsi="宋体"/>
          <w:sz w:val="24"/>
          <w:highlight w:val="none"/>
        </w:rPr>
        <w:t>（一）熟悉和理解磋商文件，确定磋商文件内容是否违反国家有关强制性规定或者磋商文件存在歧义、重大缺陷，根据需要书面要求采购人、采购代理机构对磋商文件作出解释；</w:t>
      </w:r>
    </w:p>
    <w:p>
      <w:pPr>
        <w:spacing w:line="400" w:lineRule="exact"/>
        <w:ind w:firstLine="480" w:firstLineChars="200"/>
        <w:rPr>
          <w:rFonts w:ascii="宋体" w:hAnsi="宋体"/>
          <w:sz w:val="24"/>
          <w:highlight w:val="none"/>
        </w:rPr>
      </w:pPr>
      <w:r>
        <w:rPr>
          <w:rFonts w:hint="eastAsia" w:ascii="宋体" w:hAnsi="宋体"/>
          <w:sz w:val="24"/>
          <w:highlight w:val="none"/>
        </w:rPr>
        <w:t>（二）审查供应商响应文件是否满足磋商文件要求，并作出公正评价；</w:t>
      </w:r>
    </w:p>
    <w:p>
      <w:pPr>
        <w:spacing w:line="400" w:lineRule="exact"/>
        <w:ind w:firstLine="480" w:firstLineChars="200"/>
        <w:rPr>
          <w:rFonts w:ascii="宋体" w:hAnsi="宋体"/>
          <w:sz w:val="24"/>
          <w:highlight w:val="none"/>
        </w:rPr>
      </w:pPr>
      <w:r>
        <w:rPr>
          <w:rFonts w:hint="eastAsia" w:ascii="宋体" w:hAnsi="宋体"/>
          <w:sz w:val="24"/>
          <w:highlight w:val="none"/>
        </w:rPr>
        <w:t>（三）根据需要要求供应商对响应文件中含义不明确、同类问题表述不一致或者有明显文字和计算错误的内容等作出必要的澄清、说明或者更正；</w:t>
      </w:r>
    </w:p>
    <w:p>
      <w:pPr>
        <w:spacing w:line="400" w:lineRule="exact"/>
        <w:ind w:firstLine="480" w:firstLineChars="200"/>
        <w:rPr>
          <w:rFonts w:ascii="宋体" w:hAnsi="宋体"/>
          <w:sz w:val="24"/>
          <w:highlight w:val="none"/>
        </w:rPr>
      </w:pPr>
      <w:r>
        <w:rPr>
          <w:rFonts w:hint="eastAsia" w:ascii="宋体" w:hAnsi="宋体"/>
          <w:sz w:val="24"/>
          <w:highlight w:val="none"/>
        </w:rPr>
        <w:t>（四）推荐成交供应商，或者受采购人委托确定成交供应商；</w:t>
      </w:r>
    </w:p>
    <w:p>
      <w:pPr>
        <w:spacing w:line="400" w:lineRule="exact"/>
        <w:ind w:firstLine="480" w:firstLineChars="200"/>
        <w:rPr>
          <w:rFonts w:ascii="宋体" w:hAnsi="宋体"/>
          <w:sz w:val="24"/>
          <w:highlight w:val="none"/>
        </w:rPr>
      </w:pPr>
      <w:r>
        <w:rPr>
          <w:rFonts w:hint="eastAsia" w:ascii="宋体" w:hAnsi="宋体"/>
          <w:sz w:val="24"/>
          <w:highlight w:val="none"/>
        </w:rPr>
        <w:t>（五）起草评审报告并进行签署；</w:t>
      </w:r>
    </w:p>
    <w:p>
      <w:pPr>
        <w:spacing w:line="400" w:lineRule="exact"/>
        <w:ind w:firstLine="480" w:firstLineChars="200"/>
        <w:rPr>
          <w:rFonts w:ascii="宋体" w:hAnsi="宋体"/>
          <w:sz w:val="24"/>
          <w:highlight w:val="none"/>
        </w:rPr>
      </w:pPr>
      <w:r>
        <w:rPr>
          <w:rFonts w:hint="eastAsia" w:ascii="宋体" w:hAnsi="宋体"/>
          <w:sz w:val="24"/>
          <w:highlight w:val="none"/>
        </w:rPr>
        <w:t>（六）向采购人、采购代理机构、财政部门或者其他监督部门报告非法干预评审工作的行为；</w:t>
      </w:r>
    </w:p>
    <w:p>
      <w:pPr>
        <w:spacing w:line="400" w:lineRule="exact"/>
        <w:ind w:firstLine="480" w:firstLineChars="200"/>
        <w:rPr>
          <w:rFonts w:ascii="宋体" w:hAnsi="宋体"/>
          <w:sz w:val="24"/>
          <w:highlight w:val="none"/>
        </w:rPr>
      </w:pPr>
      <w:r>
        <w:rPr>
          <w:rFonts w:hint="eastAsia" w:ascii="宋体" w:hAnsi="宋体"/>
          <w:sz w:val="24"/>
          <w:highlight w:val="none"/>
        </w:rPr>
        <w:t>（七）法律、法规和规章规定的其他职责。</w:t>
      </w:r>
    </w:p>
    <w:p>
      <w:pPr>
        <w:spacing w:line="400" w:lineRule="exact"/>
        <w:ind w:firstLine="480" w:firstLineChars="200"/>
        <w:rPr>
          <w:rFonts w:ascii="宋体" w:hAnsi="宋体"/>
          <w:sz w:val="24"/>
          <w:highlight w:val="none"/>
        </w:rPr>
      </w:pPr>
      <w:r>
        <w:rPr>
          <w:rFonts w:hint="eastAsia" w:ascii="宋体" w:hAnsi="宋体"/>
          <w:sz w:val="24"/>
          <w:highlight w:val="none"/>
        </w:rPr>
        <w:t>1.5磋商过程独立、保密。供应商非法干预磋商过程的，其响应文件作无效处理。</w:t>
      </w:r>
    </w:p>
    <w:p>
      <w:pPr>
        <w:spacing w:line="400" w:lineRule="exact"/>
        <w:ind w:firstLine="480" w:firstLineChars="200"/>
        <w:rPr>
          <w:rFonts w:ascii="宋体" w:hAnsi="宋体"/>
          <w:sz w:val="24"/>
          <w:highlight w:val="none"/>
        </w:rPr>
      </w:pPr>
      <w:r>
        <w:rPr>
          <w:rFonts w:hint="eastAsia" w:ascii="宋体" w:hAnsi="宋体"/>
          <w:sz w:val="24"/>
          <w:highlight w:val="none"/>
        </w:rPr>
        <w:t>1.6 磋商评审响应文件的响应性，除磋商小组要求其澄清、说明或者更正而提供的资料外，仅依据响应文件本身的内容，不寻求其他外部证据。</w:t>
      </w:r>
    </w:p>
    <w:p>
      <w:pPr>
        <w:pStyle w:val="4"/>
        <w:rPr>
          <w:rFonts w:ascii="宋体" w:hAnsi="宋体" w:eastAsia="宋体"/>
          <w:sz w:val="24"/>
          <w:szCs w:val="24"/>
          <w:highlight w:val="none"/>
        </w:rPr>
      </w:pPr>
      <w:r>
        <w:rPr>
          <w:rFonts w:hint="eastAsia" w:ascii="宋体" w:hAnsi="宋体" w:eastAsia="宋体"/>
          <w:sz w:val="24"/>
          <w:szCs w:val="24"/>
          <w:highlight w:val="none"/>
        </w:rPr>
        <w:t>2、</w:t>
      </w:r>
      <w:bookmarkEnd w:id="100"/>
      <w:bookmarkStart w:id="101" w:name="_Toc217446103"/>
      <w:bookmarkStart w:id="102" w:name="_Toc217446099"/>
      <w:r>
        <w:rPr>
          <w:rFonts w:hint="eastAsia" w:ascii="宋体" w:hAnsi="宋体" w:eastAsia="宋体"/>
          <w:sz w:val="24"/>
          <w:szCs w:val="24"/>
          <w:highlight w:val="none"/>
        </w:rPr>
        <w:t>磋商程序</w:t>
      </w:r>
    </w:p>
    <w:p>
      <w:pPr>
        <w:spacing w:line="400" w:lineRule="exact"/>
        <w:ind w:firstLine="480" w:firstLineChars="200"/>
        <w:rPr>
          <w:rFonts w:ascii="宋体" w:hAnsi="宋体"/>
          <w:sz w:val="24"/>
          <w:highlight w:val="none"/>
        </w:rPr>
      </w:pPr>
      <w:r>
        <w:rPr>
          <w:rFonts w:hint="eastAsia" w:ascii="宋体" w:hAnsi="宋体"/>
          <w:sz w:val="24"/>
          <w:highlight w:val="none"/>
        </w:rPr>
        <w:t>2.1审查磋商文件和停止评审。</w:t>
      </w:r>
    </w:p>
    <w:p>
      <w:pPr>
        <w:spacing w:line="400" w:lineRule="exact"/>
        <w:ind w:firstLine="480" w:firstLineChars="200"/>
        <w:rPr>
          <w:rFonts w:ascii="宋体" w:hAnsi="宋体"/>
          <w:sz w:val="24"/>
          <w:highlight w:val="none"/>
        </w:rPr>
      </w:pPr>
      <w:r>
        <w:rPr>
          <w:rFonts w:hint="eastAsia" w:ascii="宋体" w:hAnsi="宋体"/>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00" w:lineRule="exact"/>
        <w:ind w:firstLine="480" w:firstLineChars="200"/>
        <w:rPr>
          <w:rFonts w:ascii="宋体" w:hAnsi="宋体"/>
          <w:sz w:val="24"/>
          <w:highlight w:val="none"/>
        </w:rPr>
      </w:pPr>
      <w:r>
        <w:rPr>
          <w:rFonts w:hint="eastAsia" w:ascii="宋体" w:hAnsi="宋体"/>
          <w:sz w:val="24"/>
          <w:highlight w:val="none"/>
        </w:rPr>
        <w:t>2.1.2 本磋商文件有下列情形之一的，磋商小组应当停止评审：</w:t>
      </w:r>
    </w:p>
    <w:p>
      <w:pPr>
        <w:spacing w:line="400" w:lineRule="exact"/>
        <w:ind w:firstLine="480" w:firstLineChars="200"/>
        <w:rPr>
          <w:rFonts w:ascii="宋体" w:hAnsi="宋体"/>
          <w:sz w:val="24"/>
          <w:highlight w:val="none"/>
        </w:rPr>
      </w:pPr>
      <w:r>
        <w:rPr>
          <w:rFonts w:hint="eastAsia" w:ascii="宋体" w:hAnsi="宋体"/>
          <w:sz w:val="24"/>
          <w:highlight w:val="none"/>
        </w:rPr>
        <w:t>（1）磋商文件的规定存在歧义、重大缺陷，导致评审无法进行的；</w:t>
      </w:r>
    </w:p>
    <w:p>
      <w:pPr>
        <w:spacing w:line="400" w:lineRule="exact"/>
        <w:ind w:firstLine="480" w:firstLineChars="200"/>
        <w:rPr>
          <w:rFonts w:ascii="宋体" w:hAnsi="宋体"/>
          <w:sz w:val="24"/>
          <w:highlight w:val="none"/>
        </w:rPr>
      </w:pPr>
      <w:r>
        <w:rPr>
          <w:rFonts w:hint="eastAsia" w:ascii="宋体" w:hAnsi="宋体"/>
          <w:sz w:val="24"/>
          <w:highlight w:val="none"/>
        </w:rPr>
        <w:t>（2）磋商文件明显以不合理条件对供应商实行差别待遇或者歧视待遇的；</w:t>
      </w:r>
    </w:p>
    <w:p>
      <w:pPr>
        <w:spacing w:line="400" w:lineRule="exact"/>
        <w:ind w:firstLine="480" w:firstLineChars="200"/>
        <w:rPr>
          <w:rFonts w:ascii="宋体" w:hAnsi="宋体"/>
          <w:sz w:val="24"/>
          <w:highlight w:val="none"/>
        </w:rPr>
      </w:pPr>
      <w:r>
        <w:rPr>
          <w:rFonts w:hint="eastAsia" w:ascii="宋体" w:hAnsi="宋体"/>
          <w:sz w:val="24"/>
          <w:highlight w:val="none"/>
        </w:rPr>
        <w:t>（3）采购项目属于国家规定的优先、强制采购范围，但是磋商文件未依法体现优先、强制采购相关规定的；</w:t>
      </w:r>
    </w:p>
    <w:p>
      <w:pPr>
        <w:spacing w:line="400" w:lineRule="exact"/>
        <w:ind w:firstLine="480" w:firstLineChars="200"/>
        <w:rPr>
          <w:rFonts w:ascii="宋体" w:hAnsi="宋体"/>
          <w:sz w:val="24"/>
          <w:highlight w:val="none"/>
        </w:rPr>
      </w:pPr>
      <w:r>
        <w:rPr>
          <w:rFonts w:hint="eastAsia" w:ascii="宋体" w:hAnsi="宋体"/>
          <w:sz w:val="24"/>
          <w:highlight w:val="none"/>
        </w:rPr>
        <w:t>（4）采购项目属于政府采购促进中小企业发展的范围，但是磋商文件未依法体现促进中小企业发展相关规定的；</w:t>
      </w:r>
    </w:p>
    <w:p>
      <w:pPr>
        <w:spacing w:line="400" w:lineRule="exact"/>
        <w:ind w:firstLine="480" w:firstLineChars="200"/>
        <w:rPr>
          <w:rFonts w:ascii="宋体" w:hAnsi="宋体"/>
          <w:sz w:val="24"/>
          <w:highlight w:val="none"/>
        </w:rPr>
      </w:pPr>
      <w:r>
        <w:rPr>
          <w:rFonts w:hint="eastAsia" w:ascii="宋体" w:hAnsi="宋体"/>
          <w:sz w:val="24"/>
          <w:highlight w:val="none"/>
        </w:rPr>
        <w:t>（5）磋商文件将供应商的资格条件列为评分因素的；</w:t>
      </w:r>
    </w:p>
    <w:p>
      <w:pPr>
        <w:spacing w:line="400" w:lineRule="exact"/>
        <w:ind w:firstLine="480" w:firstLineChars="200"/>
        <w:rPr>
          <w:rFonts w:ascii="宋体" w:hAnsi="宋体"/>
          <w:sz w:val="24"/>
          <w:highlight w:val="none"/>
        </w:rPr>
      </w:pPr>
      <w:r>
        <w:rPr>
          <w:rFonts w:hint="eastAsia" w:ascii="宋体" w:hAnsi="宋体"/>
          <w:sz w:val="24"/>
          <w:highlight w:val="none"/>
        </w:rPr>
        <w:t>（6）磋商文件载明的成交原则不合法的；</w:t>
      </w:r>
    </w:p>
    <w:p>
      <w:pPr>
        <w:spacing w:line="400" w:lineRule="exact"/>
        <w:ind w:firstLine="480" w:firstLineChars="200"/>
        <w:rPr>
          <w:rFonts w:ascii="宋体" w:hAnsi="宋体"/>
          <w:sz w:val="24"/>
          <w:highlight w:val="none"/>
        </w:rPr>
      </w:pPr>
      <w:r>
        <w:rPr>
          <w:rFonts w:hint="eastAsia" w:ascii="宋体" w:hAnsi="宋体"/>
          <w:sz w:val="24"/>
          <w:highlight w:val="none"/>
        </w:rPr>
        <w:t>（7）磋商文件有违反国家其他有关强制性规定的情形。</w:t>
      </w:r>
    </w:p>
    <w:p>
      <w:pPr>
        <w:spacing w:line="400" w:lineRule="exact"/>
        <w:ind w:firstLine="480" w:firstLineChars="200"/>
        <w:rPr>
          <w:rFonts w:ascii="宋体" w:hAnsi="宋体"/>
          <w:sz w:val="24"/>
          <w:highlight w:val="none"/>
        </w:rPr>
      </w:pPr>
      <w:r>
        <w:rPr>
          <w:rFonts w:hint="eastAsia" w:ascii="宋体" w:hAnsi="宋体"/>
          <w:sz w:val="24"/>
          <w:highlight w:val="none"/>
        </w:rPr>
        <w:t>2.1.3 出现本条2.1.2规定应当停止评审情形的，磋商小组应当向采购组织单位书面书面说明情况。除2.1.2规定的情形外，磋商小组不得以任何方式和理由停止评审。</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2.2资格性审查。</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本项目需要磋商小组进行资格性检查。</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2.2.1磋商小组应依据法律法规和磋商文件的规定，对响应文件是否按照规定要求提供资格性证明材料、是否属于禁止参加磋商的供应商等进行审查，以确定供应商是否具备磋商资格。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2.2.2资格性审查结束后，磋商小组应当出具资格性审查报告，没有通过资格审查的供应商，磋商小组应当在资格审查报告中说明原因。</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2.2.3磋商小组应依据磋商文件规定的实质性要求，对符合资格的响应文件进行有效性、完整性和响应程度审查，以确定参加磋商的供应商名单。</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2.2.4采购人或者采购代理机构宣布未通过资格性审查的供应商名单时，应当告知供应商未通过审查的原因。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2.3通过资格性审查的供应商不足三家的处理办法</w:t>
      </w:r>
    </w:p>
    <w:p>
      <w:pPr>
        <w:pStyle w:val="4"/>
        <w:keepNext w:val="0"/>
        <w:keepLines w:val="0"/>
        <w:spacing w:before="0" w:after="0" w:line="400" w:lineRule="exac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2.3.1根据《政府采购竞争性磋商采购方式管理暂行办法》财办库[2014]214号的规定：市场竞争不充分的科研项目，以及需要扶持的科技成果转化项目，提交最后报价的供应商可以为2家；根据《财政部关于政府采购竞争性磋商采购方式管理暂行办法有关问题的补充通知》财库[2015]124号的规定：磋商项目为政府购买服务项目（含政府和社会资本合作项目），在采购过程中符合要求的供应商（社会资本）只有2家的，竞争性磋商采购活动可以继续进行。</w:t>
      </w:r>
    </w:p>
    <w:p>
      <w:pPr>
        <w:pStyle w:val="4"/>
        <w:keepNext w:val="0"/>
        <w:keepLines w:val="0"/>
        <w:spacing w:before="0" w:after="0" w:line="400" w:lineRule="exact"/>
        <w:ind w:firstLine="470" w:firstLineChars="196"/>
        <w:rPr>
          <w:highlight w:val="none"/>
        </w:rPr>
      </w:pPr>
      <w:r>
        <w:rPr>
          <w:rFonts w:hint="eastAsia" w:ascii="宋体" w:hAnsi="宋体" w:eastAsia="宋体"/>
          <w:b w:val="0"/>
          <w:sz w:val="24"/>
          <w:szCs w:val="24"/>
          <w:highlight w:val="none"/>
        </w:rPr>
        <w:t>2.3.2通过资格性审查的供应商不足</w:t>
      </w:r>
      <w:r>
        <w:rPr>
          <w:rFonts w:hint="eastAsia" w:ascii="宋体" w:hAnsi="宋体" w:eastAsia="宋体"/>
          <w:b w:val="0"/>
          <w:sz w:val="24"/>
          <w:highlight w:val="none"/>
        </w:rPr>
        <w:t>3</w:t>
      </w:r>
      <w:r>
        <w:rPr>
          <w:rFonts w:hint="eastAsia" w:ascii="宋体" w:hAnsi="宋体" w:eastAsia="宋体"/>
          <w:b w:val="0"/>
          <w:sz w:val="24"/>
          <w:szCs w:val="24"/>
          <w:highlight w:val="none"/>
        </w:rPr>
        <w:t>家的（符合本章2.3.1款规定可以为2家），终止本次采购活动，并发布终止采购活动公告。</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2.4磋商。</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2.4.2每轮磋商开始前，磋商小组应根据磋商文件的规定，并结合各供应商的响应文件拟定磋商内容。</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2.4.4对磋商文件作出的实质性变动是磋商文件的有效组成部分，磋商小组应当及时以书面形式同时通知所有参加磋商的供应商。</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2.4.6磋商过程中，磋商的任何一方不得透露与磋商有关的其他供应商的技术资料、价格和其他信息。</w:t>
      </w:r>
    </w:p>
    <w:p>
      <w:pPr>
        <w:pStyle w:val="4"/>
        <w:keepNext w:val="0"/>
        <w:keepLines w:val="0"/>
        <w:spacing w:before="0" w:after="0" w:line="400" w:lineRule="atLeast"/>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2.4.7磋商过程中，磋商小组发现或者知晓供应商存在违法、违纪行为的，磋商小组应当将该供应商响应文件作无效处理，不允许其提交最后报价。</w:t>
      </w:r>
    </w:p>
    <w:p>
      <w:pPr>
        <w:spacing w:line="400" w:lineRule="exact"/>
        <w:ind w:firstLine="480" w:firstLineChars="200"/>
        <w:rPr>
          <w:rFonts w:ascii="宋体" w:hAnsi="宋体"/>
          <w:sz w:val="24"/>
          <w:highlight w:val="none"/>
        </w:rPr>
      </w:pPr>
      <w:r>
        <w:rPr>
          <w:rFonts w:hint="eastAsia" w:ascii="宋体" w:hAnsi="宋体"/>
          <w:sz w:val="24"/>
          <w:highlight w:val="none"/>
        </w:rPr>
        <w:t>2.4.8磋商完成后，磋商小组应出具磋商情况记录表，磋商情况记录表需包含磋商内容、磋商意见、实质性变动内容等。</w:t>
      </w:r>
    </w:p>
    <w:p>
      <w:pPr>
        <w:spacing w:line="400" w:lineRule="atLeast"/>
        <w:ind w:firstLine="480" w:firstLineChars="200"/>
        <w:rPr>
          <w:rFonts w:ascii="宋体" w:hAnsi="宋体"/>
          <w:sz w:val="24"/>
          <w:highlight w:val="none"/>
        </w:rPr>
      </w:pPr>
      <w:r>
        <w:rPr>
          <w:rFonts w:hint="eastAsia" w:ascii="宋体" w:hAnsi="宋体"/>
          <w:sz w:val="24"/>
          <w:highlight w:val="none"/>
        </w:rPr>
        <w:t>2.5最后报价。</w:t>
      </w:r>
    </w:p>
    <w:p>
      <w:pPr>
        <w:spacing w:line="400" w:lineRule="atLeast"/>
        <w:ind w:firstLine="480" w:firstLineChars="200"/>
        <w:rPr>
          <w:rFonts w:ascii="宋体" w:hAnsi="宋体"/>
          <w:sz w:val="24"/>
          <w:highlight w:val="none"/>
        </w:rPr>
      </w:pPr>
      <w:r>
        <w:rPr>
          <w:rFonts w:hint="eastAsia" w:ascii="宋体" w:hAnsi="宋体"/>
          <w:sz w:val="24"/>
          <w:highlight w:val="none"/>
        </w:rPr>
        <w:t>2.5.1磋商文件能够详细列明采购标的的技术、服务要求的，磋商结束后，磋商小组应当要求所有实质性响应的供应商在规定时间内提交最后报价，提交最后报价的供应商不得少于3家（符合本章2.3.1款规定可以为2家）。或磋商文件不能详细列明采购标的的技术、服务要求，需经磋商由供应商提供最终设计方案或解决方案的，磋商结束后，磋商小组应当按照少数服从多数的原则投票推荐3家（符合本章2.3.1款规定可以为2家）以上供应商的设计方案或者解决方案，并要求其在规定时间内提交最后报价。</w:t>
      </w:r>
    </w:p>
    <w:p>
      <w:pPr>
        <w:spacing w:line="400" w:lineRule="atLeast"/>
        <w:ind w:firstLine="480" w:firstLineChars="200"/>
        <w:rPr>
          <w:rFonts w:ascii="宋体" w:hAnsi="宋体"/>
          <w:sz w:val="24"/>
          <w:highlight w:val="none"/>
        </w:rPr>
      </w:pPr>
      <w:r>
        <w:rPr>
          <w:rFonts w:hint="eastAsia" w:ascii="宋体" w:hAnsi="宋体"/>
          <w:sz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atLeast"/>
        <w:ind w:firstLine="480" w:firstLineChars="200"/>
        <w:rPr>
          <w:rFonts w:ascii="宋体" w:hAnsi="宋体"/>
          <w:sz w:val="24"/>
          <w:highlight w:val="none"/>
        </w:rPr>
      </w:pPr>
      <w:r>
        <w:rPr>
          <w:rFonts w:hint="eastAsia" w:ascii="宋体" w:hAnsi="宋体"/>
          <w:sz w:val="24"/>
          <w:highlight w:val="none"/>
        </w:rPr>
        <w:t>2.5.3供应商最后报价应当由法定代表人或其授权代表签字确认或加盖公章。最后报价是供应商响应文件的有效组成部分。</w:t>
      </w:r>
    </w:p>
    <w:p>
      <w:pPr>
        <w:spacing w:line="400" w:lineRule="atLeast"/>
        <w:ind w:firstLine="480" w:firstLineChars="200"/>
        <w:rPr>
          <w:rFonts w:ascii="宋体" w:hAnsi="宋体"/>
          <w:sz w:val="24"/>
          <w:highlight w:val="none"/>
        </w:rPr>
      </w:pPr>
      <w:r>
        <w:rPr>
          <w:rFonts w:hint="eastAsia" w:ascii="宋体" w:hAnsi="宋体"/>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ascii="宋体" w:hAnsi="宋体"/>
          <w:sz w:val="24"/>
          <w:highlight w:val="none"/>
        </w:rPr>
      </w:pPr>
      <w:r>
        <w:rPr>
          <w:rFonts w:hint="eastAsia" w:ascii="宋体" w:hAnsi="宋体"/>
          <w:sz w:val="24"/>
          <w:highlight w:val="none"/>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宋体" w:hAnsi="宋体"/>
          <w:sz w:val="24"/>
          <w:highlight w:val="none"/>
        </w:rPr>
      </w:pPr>
      <w:r>
        <w:rPr>
          <w:rFonts w:hint="eastAsia" w:ascii="宋体" w:hAnsi="宋体"/>
          <w:sz w:val="24"/>
          <w:highlight w:val="none"/>
        </w:rPr>
        <w:t>2.7推荐成交候选供应商。磋商小组应当根据综合评分情况，按照评审得分由高到低顺序推荐3家（符合本章2.3.1款规定可以为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rPr>
          <w:rFonts w:ascii="宋体" w:hAnsi="宋体"/>
          <w:sz w:val="24"/>
          <w:highlight w:val="none"/>
        </w:rPr>
      </w:pPr>
      <w:r>
        <w:rPr>
          <w:rFonts w:hint="eastAsia" w:ascii="宋体" w:hAnsi="宋体"/>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宋体" w:hAnsi="宋体"/>
          <w:sz w:val="24"/>
          <w:highlight w:val="none"/>
        </w:rPr>
      </w:pPr>
      <w:r>
        <w:rPr>
          <w:rFonts w:hint="eastAsia" w:ascii="宋体" w:hAnsi="宋体"/>
          <w:sz w:val="24"/>
          <w:highlight w:val="none"/>
        </w:rPr>
        <w:t>2.9采购组织单位现场复核评审结果。</w:t>
      </w:r>
    </w:p>
    <w:p>
      <w:pPr>
        <w:spacing w:line="400" w:lineRule="exact"/>
        <w:ind w:firstLine="480" w:firstLineChars="200"/>
        <w:rPr>
          <w:rFonts w:ascii="宋体" w:hAnsi="宋体"/>
          <w:sz w:val="24"/>
          <w:highlight w:val="none"/>
        </w:rPr>
      </w:pPr>
      <w:r>
        <w:rPr>
          <w:rFonts w:hint="eastAsia" w:ascii="宋体" w:hAnsi="宋体"/>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00" w:lineRule="exact"/>
        <w:ind w:firstLine="480" w:firstLineChars="200"/>
        <w:rPr>
          <w:rFonts w:ascii="宋体" w:hAnsi="宋体"/>
          <w:sz w:val="24"/>
          <w:highlight w:val="none"/>
        </w:rPr>
      </w:pPr>
      <w:r>
        <w:rPr>
          <w:rFonts w:hint="eastAsia" w:ascii="宋体" w:hAnsi="宋体"/>
          <w:sz w:val="24"/>
          <w:highlight w:val="none"/>
        </w:rPr>
        <w:t>（1）资格性审查认定错误的；</w:t>
      </w:r>
    </w:p>
    <w:p>
      <w:pPr>
        <w:spacing w:line="400" w:lineRule="exact"/>
        <w:ind w:firstLine="480" w:firstLineChars="200"/>
        <w:rPr>
          <w:rFonts w:ascii="宋体" w:hAnsi="宋体"/>
          <w:sz w:val="24"/>
          <w:highlight w:val="none"/>
        </w:rPr>
      </w:pPr>
      <w:r>
        <w:rPr>
          <w:rFonts w:hint="eastAsia" w:ascii="宋体" w:hAnsi="宋体"/>
          <w:sz w:val="24"/>
          <w:highlight w:val="none"/>
        </w:rPr>
        <w:t>（2）分值汇总计算错误的；</w:t>
      </w:r>
    </w:p>
    <w:p>
      <w:pPr>
        <w:spacing w:line="400" w:lineRule="exact"/>
        <w:ind w:firstLine="480" w:firstLineChars="200"/>
        <w:rPr>
          <w:rFonts w:ascii="宋体" w:hAnsi="宋体"/>
          <w:sz w:val="24"/>
          <w:highlight w:val="none"/>
        </w:rPr>
      </w:pPr>
      <w:r>
        <w:rPr>
          <w:rFonts w:hint="eastAsia" w:ascii="宋体" w:hAnsi="宋体"/>
          <w:sz w:val="24"/>
          <w:highlight w:val="none"/>
        </w:rPr>
        <w:t>（3）分项评分超出评分标准范围的；</w:t>
      </w:r>
    </w:p>
    <w:p>
      <w:pPr>
        <w:spacing w:line="400" w:lineRule="exact"/>
        <w:ind w:firstLine="480" w:firstLineChars="200"/>
        <w:rPr>
          <w:rFonts w:ascii="宋体" w:hAnsi="宋体"/>
          <w:sz w:val="24"/>
          <w:highlight w:val="none"/>
        </w:rPr>
      </w:pPr>
      <w:r>
        <w:rPr>
          <w:rFonts w:hint="eastAsia" w:ascii="宋体" w:hAnsi="宋体"/>
          <w:sz w:val="24"/>
          <w:highlight w:val="none"/>
        </w:rPr>
        <w:t>（4）客观评分不一致的。</w:t>
      </w:r>
    </w:p>
    <w:p>
      <w:pPr>
        <w:spacing w:line="400" w:lineRule="atLeast"/>
        <w:ind w:firstLine="480" w:firstLineChars="200"/>
        <w:rPr>
          <w:rFonts w:ascii="宋体" w:hAnsi="宋体"/>
          <w:sz w:val="24"/>
          <w:highlight w:val="none"/>
        </w:rPr>
      </w:pPr>
      <w:r>
        <w:rPr>
          <w:rFonts w:hint="eastAsia" w:ascii="宋体" w:hAnsi="宋体"/>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atLeast"/>
        <w:ind w:firstLine="480" w:firstLineChars="200"/>
        <w:rPr>
          <w:rFonts w:ascii="宋体" w:hAnsi="宋体"/>
          <w:sz w:val="24"/>
          <w:highlight w:val="none"/>
        </w:rPr>
      </w:pPr>
      <w:r>
        <w:rPr>
          <w:rFonts w:hint="eastAsia" w:ascii="宋体" w:hAnsi="宋体"/>
          <w:sz w:val="24"/>
          <w:highlight w:val="none"/>
        </w:rPr>
        <w:t>采购代理机构复核过程中，磋商小组成员不得离开评审现场。</w:t>
      </w:r>
    </w:p>
    <w:p>
      <w:pPr>
        <w:spacing w:line="400" w:lineRule="atLeast"/>
        <w:ind w:firstLine="480" w:firstLineChars="200"/>
        <w:rPr>
          <w:rFonts w:ascii="宋体" w:hAnsi="宋体"/>
          <w:sz w:val="24"/>
          <w:highlight w:val="none"/>
        </w:rPr>
      </w:pPr>
      <w:r>
        <w:rPr>
          <w:rFonts w:hint="eastAsia" w:ascii="宋体" w:hAnsi="宋体"/>
          <w:sz w:val="24"/>
          <w:highlight w:val="none"/>
        </w:rPr>
        <w:t>2.9.2有下列情形之一的，不得现场修改评审结果：</w:t>
      </w:r>
    </w:p>
    <w:p>
      <w:pPr>
        <w:spacing w:line="400" w:lineRule="atLeast"/>
        <w:ind w:firstLine="480" w:firstLineChars="200"/>
        <w:rPr>
          <w:rFonts w:ascii="宋体" w:hAnsi="宋体"/>
          <w:sz w:val="24"/>
          <w:highlight w:val="none"/>
        </w:rPr>
      </w:pPr>
      <w:r>
        <w:rPr>
          <w:rFonts w:hint="eastAsia" w:ascii="宋体" w:hAnsi="宋体"/>
          <w:sz w:val="24"/>
          <w:highlight w:val="none"/>
        </w:rPr>
        <w:t>（1）磋商小组已经出具磋商报告并且离开评审现场的；</w:t>
      </w:r>
    </w:p>
    <w:p>
      <w:pPr>
        <w:spacing w:line="400" w:lineRule="atLeast"/>
        <w:ind w:firstLine="480" w:firstLineChars="200"/>
        <w:rPr>
          <w:rFonts w:ascii="宋体" w:hAnsi="宋体"/>
          <w:sz w:val="24"/>
          <w:highlight w:val="none"/>
        </w:rPr>
      </w:pPr>
      <w:r>
        <w:rPr>
          <w:rFonts w:hint="eastAsia" w:ascii="宋体" w:hAnsi="宋体"/>
          <w:sz w:val="24"/>
          <w:highlight w:val="none"/>
        </w:rPr>
        <w:t>（2）采购代理机构现场复核时，复核工作人员数量不足的；</w:t>
      </w:r>
    </w:p>
    <w:p>
      <w:pPr>
        <w:spacing w:line="400" w:lineRule="atLeast"/>
        <w:ind w:firstLine="480" w:firstLineChars="200"/>
        <w:rPr>
          <w:rFonts w:ascii="宋体" w:hAnsi="宋体"/>
          <w:sz w:val="24"/>
          <w:highlight w:val="none"/>
        </w:rPr>
      </w:pPr>
      <w:r>
        <w:rPr>
          <w:rFonts w:hint="eastAsia" w:ascii="宋体" w:hAnsi="宋体"/>
          <w:sz w:val="24"/>
          <w:highlight w:val="none"/>
        </w:rPr>
        <w:t>（3）采购代理机构现场复核时，没有采购监督人员现场监督的；</w:t>
      </w:r>
    </w:p>
    <w:p>
      <w:pPr>
        <w:spacing w:line="400" w:lineRule="atLeast"/>
        <w:ind w:firstLine="480" w:firstLineChars="200"/>
        <w:rPr>
          <w:rFonts w:ascii="宋体" w:hAnsi="宋体"/>
          <w:sz w:val="24"/>
          <w:highlight w:val="none"/>
        </w:rPr>
      </w:pPr>
      <w:r>
        <w:rPr>
          <w:rFonts w:hint="eastAsia" w:ascii="宋体" w:hAnsi="宋体"/>
          <w:sz w:val="24"/>
          <w:highlight w:val="none"/>
        </w:rPr>
        <w:t>（4）采购代理机构现场复核内容超出规定范围的；</w:t>
      </w:r>
    </w:p>
    <w:p>
      <w:pPr>
        <w:spacing w:line="400" w:lineRule="atLeast"/>
        <w:ind w:firstLine="480" w:firstLineChars="200"/>
        <w:rPr>
          <w:rFonts w:ascii="宋体" w:hAnsi="宋体"/>
          <w:sz w:val="24"/>
          <w:highlight w:val="none"/>
        </w:rPr>
      </w:pPr>
      <w:r>
        <w:rPr>
          <w:rFonts w:hint="eastAsia" w:ascii="宋体" w:hAnsi="宋体"/>
          <w:sz w:val="24"/>
          <w:highlight w:val="none"/>
        </w:rPr>
        <w:t>（5）采购代理机构未提供书面建议的。</w:t>
      </w:r>
    </w:p>
    <w:p>
      <w:pPr>
        <w:spacing w:line="400" w:lineRule="atLeast"/>
        <w:ind w:firstLine="480" w:firstLineChars="200"/>
        <w:rPr>
          <w:rFonts w:ascii="宋体" w:hAnsi="宋体"/>
          <w:sz w:val="24"/>
          <w:highlight w:val="none"/>
        </w:rPr>
      </w:pPr>
      <w:r>
        <w:rPr>
          <w:rFonts w:hint="eastAsia" w:ascii="宋体" w:hAnsi="宋体"/>
          <w:sz w:val="24"/>
          <w:highlight w:val="none"/>
        </w:rPr>
        <w:t>2.10编写磋商报告。磋商小组推荐成交候选供应商后，应向采购代理机构出具磋商报告。磋商报告应当包括以下主要内容：</w:t>
      </w:r>
    </w:p>
    <w:p>
      <w:pPr>
        <w:spacing w:line="400" w:lineRule="atLeast"/>
        <w:ind w:firstLine="480" w:firstLineChars="200"/>
        <w:rPr>
          <w:rFonts w:ascii="宋体" w:hAnsi="宋体"/>
          <w:sz w:val="24"/>
          <w:highlight w:val="none"/>
        </w:rPr>
      </w:pPr>
      <w:r>
        <w:rPr>
          <w:rFonts w:hint="eastAsia" w:ascii="宋体" w:hAnsi="宋体"/>
          <w:sz w:val="24"/>
          <w:highlight w:val="none"/>
        </w:rPr>
        <w:t>（1）邀请供应商参加采购活动的具体方式和相关情况；</w:t>
      </w:r>
    </w:p>
    <w:p>
      <w:pPr>
        <w:spacing w:line="400" w:lineRule="atLeast"/>
        <w:ind w:firstLine="480" w:firstLineChars="200"/>
        <w:rPr>
          <w:rFonts w:ascii="宋体" w:hAnsi="宋体"/>
          <w:sz w:val="24"/>
          <w:highlight w:val="none"/>
        </w:rPr>
      </w:pPr>
      <w:r>
        <w:rPr>
          <w:rFonts w:hint="eastAsia" w:ascii="宋体" w:hAnsi="宋体"/>
          <w:sz w:val="24"/>
          <w:highlight w:val="none"/>
        </w:rPr>
        <w:t>（2）响应文件开启日期和地点；</w:t>
      </w:r>
    </w:p>
    <w:p>
      <w:pPr>
        <w:spacing w:line="400" w:lineRule="atLeast"/>
        <w:ind w:firstLine="480" w:firstLineChars="200"/>
        <w:rPr>
          <w:rFonts w:ascii="宋体" w:hAnsi="宋体"/>
          <w:sz w:val="24"/>
          <w:highlight w:val="none"/>
        </w:rPr>
      </w:pPr>
      <w:r>
        <w:rPr>
          <w:rFonts w:hint="eastAsia" w:ascii="宋体" w:hAnsi="宋体"/>
          <w:sz w:val="24"/>
          <w:highlight w:val="none"/>
        </w:rPr>
        <w:t>（3）获取磋商文件的供应商名单和磋商小组成员名单；</w:t>
      </w:r>
    </w:p>
    <w:p>
      <w:pPr>
        <w:spacing w:line="400" w:lineRule="atLeast"/>
        <w:ind w:firstLine="480" w:firstLineChars="200"/>
        <w:rPr>
          <w:rFonts w:ascii="宋体" w:hAnsi="宋体"/>
          <w:sz w:val="24"/>
          <w:highlight w:val="none"/>
        </w:rPr>
      </w:pPr>
      <w:r>
        <w:rPr>
          <w:rFonts w:hint="eastAsia" w:ascii="宋体" w:hAnsi="宋体"/>
          <w:sz w:val="24"/>
          <w:highlight w:val="none"/>
        </w:rPr>
        <w:t>（4）评审情况记录和说明，包括对供应商的资格审查情况、供应商响应文件审查情况、磋商情况、报价情况等；</w:t>
      </w:r>
    </w:p>
    <w:p>
      <w:pPr>
        <w:spacing w:line="400" w:lineRule="atLeast"/>
        <w:ind w:firstLine="480" w:firstLineChars="200"/>
        <w:rPr>
          <w:rFonts w:ascii="宋体" w:hAnsi="宋体"/>
          <w:sz w:val="24"/>
          <w:highlight w:val="none"/>
        </w:rPr>
      </w:pPr>
      <w:r>
        <w:rPr>
          <w:rFonts w:hint="eastAsia" w:ascii="宋体" w:hAnsi="宋体"/>
          <w:sz w:val="24"/>
          <w:highlight w:val="none"/>
        </w:rPr>
        <w:t>（5）提出的成交候选供应商的排序名单及理由。</w:t>
      </w:r>
    </w:p>
    <w:p>
      <w:pPr>
        <w:spacing w:line="400" w:lineRule="atLeast"/>
        <w:ind w:firstLine="480" w:firstLineChars="200"/>
        <w:rPr>
          <w:rFonts w:ascii="宋体" w:hAnsi="宋体"/>
          <w:sz w:val="24"/>
          <w:highlight w:val="none"/>
        </w:rPr>
      </w:pPr>
      <w:r>
        <w:rPr>
          <w:rFonts w:hint="eastAsia" w:ascii="宋体" w:hAnsi="宋体"/>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atLeast"/>
        <w:ind w:firstLine="480" w:firstLineChars="200"/>
        <w:rPr>
          <w:rFonts w:ascii="宋体" w:hAnsi="宋体"/>
          <w:sz w:val="24"/>
          <w:highlight w:val="none"/>
        </w:rPr>
      </w:pPr>
      <w:r>
        <w:rPr>
          <w:rFonts w:hint="eastAsia" w:ascii="宋体" w:hAnsi="宋体"/>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atLeast"/>
        <w:ind w:firstLine="480" w:firstLineChars="200"/>
        <w:rPr>
          <w:rFonts w:ascii="宋体" w:hAnsi="宋体"/>
          <w:sz w:val="24"/>
          <w:highlight w:val="none"/>
        </w:rPr>
      </w:pPr>
      <w:r>
        <w:rPr>
          <w:rFonts w:hint="eastAsia" w:ascii="宋体" w:hAnsi="宋体"/>
          <w:sz w:val="24"/>
          <w:highlight w:val="none"/>
        </w:rPr>
        <w:t>2.12供应商澄清、说明</w:t>
      </w:r>
    </w:p>
    <w:p>
      <w:pPr>
        <w:spacing w:line="400" w:lineRule="atLeast"/>
        <w:ind w:firstLine="480" w:firstLineChars="200"/>
        <w:rPr>
          <w:rFonts w:ascii="宋体" w:hAnsi="宋体"/>
          <w:sz w:val="24"/>
          <w:highlight w:val="none"/>
        </w:rPr>
      </w:pPr>
      <w:r>
        <w:rPr>
          <w:rFonts w:hint="eastAsia" w:ascii="宋体" w:hAnsi="宋体"/>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atLeast"/>
        <w:ind w:firstLine="480" w:firstLineChars="200"/>
        <w:rPr>
          <w:rFonts w:ascii="宋体" w:hAnsi="宋体"/>
          <w:sz w:val="24"/>
          <w:highlight w:val="none"/>
        </w:rPr>
      </w:pPr>
      <w:r>
        <w:rPr>
          <w:rFonts w:hint="eastAsia" w:ascii="宋体" w:hAnsi="宋体"/>
          <w:sz w:val="24"/>
          <w:highlight w:val="none"/>
        </w:rPr>
        <w:t>2.12.2磋商小组要求供应商澄清、说明或者更正响应文件应当以书面形式作出。供应商的澄清、说明或者更正应当由法定代表人或其授权代表签字或者加盖公章。</w:t>
      </w:r>
    </w:p>
    <w:p>
      <w:pPr>
        <w:spacing w:line="400" w:lineRule="atLeast"/>
        <w:ind w:firstLine="480" w:firstLineChars="200"/>
        <w:rPr>
          <w:rFonts w:ascii="宋体" w:hAnsi="宋体"/>
          <w:sz w:val="24"/>
          <w:highlight w:val="none"/>
        </w:rPr>
      </w:pPr>
      <w:r>
        <w:rPr>
          <w:rFonts w:hint="eastAsia" w:ascii="宋体" w:hAnsi="宋体"/>
          <w:sz w:val="24"/>
          <w:highlight w:val="none"/>
        </w:rPr>
        <w:t>2.13终止磋商采购活动。</w:t>
      </w:r>
    </w:p>
    <w:p>
      <w:pPr>
        <w:spacing w:line="400" w:lineRule="atLeast"/>
        <w:ind w:firstLine="480" w:firstLineChars="200"/>
        <w:rPr>
          <w:rFonts w:ascii="宋体" w:hAnsi="宋体"/>
          <w:sz w:val="24"/>
          <w:highlight w:val="none"/>
        </w:rPr>
      </w:pPr>
      <w:r>
        <w:rPr>
          <w:rFonts w:hint="eastAsia" w:ascii="宋体" w:hAnsi="宋体"/>
          <w:sz w:val="24"/>
          <w:highlight w:val="none"/>
        </w:rPr>
        <w:t>出现下列情形之一的，采购人或者采购代理机构应当终止竞争性磋商采购活动，发布项目终止公告并说明原因，重新开展采购活动：</w:t>
      </w:r>
    </w:p>
    <w:p>
      <w:pPr>
        <w:spacing w:line="400" w:lineRule="atLeast"/>
        <w:ind w:firstLine="480" w:firstLineChars="200"/>
        <w:rPr>
          <w:rFonts w:ascii="宋体" w:hAnsi="宋体"/>
          <w:sz w:val="24"/>
          <w:highlight w:val="none"/>
        </w:rPr>
      </w:pPr>
      <w:r>
        <w:rPr>
          <w:rFonts w:hint="eastAsia" w:ascii="宋体" w:hAnsi="宋体"/>
          <w:sz w:val="24"/>
          <w:highlight w:val="none"/>
        </w:rPr>
        <w:t>（1）因情况变化，不再符合规定的竞争性磋商采购方式适用情形的；</w:t>
      </w:r>
    </w:p>
    <w:p>
      <w:pPr>
        <w:spacing w:line="400" w:lineRule="atLeast"/>
        <w:ind w:firstLine="480" w:firstLineChars="200"/>
        <w:rPr>
          <w:rFonts w:ascii="宋体" w:hAnsi="宋体"/>
          <w:sz w:val="24"/>
          <w:highlight w:val="none"/>
        </w:rPr>
      </w:pPr>
      <w:r>
        <w:rPr>
          <w:rFonts w:hint="eastAsia" w:ascii="宋体" w:hAnsi="宋体"/>
          <w:sz w:val="24"/>
          <w:highlight w:val="none"/>
        </w:rPr>
        <w:t>（2）出现影响采购公正的违法、违规行为的；</w:t>
      </w:r>
    </w:p>
    <w:p>
      <w:pPr>
        <w:spacing w:line="400" w:lineRule="exact"/>
        <w:ind w:firstLine="480" w:firstLineChars="200"/>
        <w:rPr>
          <w:rFonts w:ascii="宋体" w:hAnsi="宋体"/>
          <w:sz w:val="24"/>
          <w:highlight w:val="none"/>
        </w:rPr>
      </w:pPr>
      <w:r>
        <w:rPr>
          <w:rFonts w:hint="eastAsia" w:ascii="宋体" w:hAnsi="宋体"/>
          <w:sz w:val="24"/>
          <w:highlight w:val="none"/>
        </w:rPr>
        <w:t>（3）在采购过程中符合要求的供应商或者报价未超过采购预算的供应商不足3家（符合本章2.3.1款规定可以为2家）的。</w:t>
      </w:r>
    </w:p>
    <w:p>
      <w:pPr>
        <w:pStyle w:val="4"/>
        <w:rPr>
          <w:rFonts w:ascii="宋体" w:hAnsi="宋体" w:eastAsia="宋体"/>
          <w:sz w:val="24"/>
          <w:szCs w:val="24"/>
          <w:highlight w:val="none"/>
        </w:rPr>
      </w:pPr>
      <w:r>
        <w:rPr>
          <w:rFonts w:hint="eastAsia" w:ascii="宋体" w:hAnsi="宋体" w:eastAsia="宋体"/>
          <w:sz w:val="24"/>
          <w:szCs w:val="24"/>
          <w:highlight w:val="none"/>
        </w:rPr>
        <w:t xml:space="preserve">3. </w:t>
      </w:r>
      <w:bookmarkEnd w:id="101"/>
      <w:r>
        <w:rPr>
          <w:rFonts w:hint="eastAsia" w:ascii="宋体" w:hAnsi="宋体" w:eastAsia="宋体"/>
          <w:sz w:val="24"/>
          <w:szCs w:val="24"/>
          <w:highlight w:val="none"/>
        </w:rPr>
        <w:t>综合评分</w:t>
      </w:r>
    </w:p>
    <w:p>
      <w:pPr>
        <w:pStyle w:val="68"/>
        <w:spacing w:line="400" w:lineRule="exact"/>
        <w:ind w:firstLine="480" w:firstLineChars="200"/>
        <w:jc w:val="both"/>
        <w:rPr>
          <w:highlight w:val="none"/>
        </w:rPr>
      </w:pPr>
      <w:r>
        <w:rPr>
          <w:rFonts w:hint="eastAsia"/>
          <w:highlight w:val="none"/>
        </w:rPr>
        <w:t>3.1 本次综合评分的因素详见综合评分明细表。</w:t>
      </w:r>
    </w:p>
    <w:p>
      <w:pPr>
        <w:pStyle w:val="68"/>
        <w:spacing w:line="400" w:lineRule="exact"/>
        <w:ind w:firstLine="480" w:firstLineChars="200"/>
        <w:jc w:val="both"/>
        <w:rPr>
          <w:highlight w:val="none"/>
        </w:rPr>
      </w:pPr>
      <w:r>
        <w:rPr>
          <w:rFonts w:hint="eastAsia"/>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68"/>
        <w:spacing w:line="400" w:lineRule="exact"/>
        <w:ind w:firstLine="480" w:firstLineChars="200"/>
        <w:jc w:val="both"/>
        <w:rPr>
          <w:highlight w:val="none"/>
        </w:rPr>
      </w:pPr>
      <w:r>
        <w:rPr>
          <w:rFonts w:hint="eastAsia"/>
          <w:highlight w:val="none"/>
        </w:rPr>
        <w:t>3.3综合评分明细表</w:t>
      </w:r>
    </w:p>
    <w:p>
      <w:pPr>
        <w:pStyle w:val="68"/>
        <w:spacing w:line="400" w:lineRule="exact"/>
        <w:ind w:firstLine="480" w:firstLineChars="200"/>
        <w:jc w:val="both"/>
        <w:rPr>
          <w:highlight w:val="none"/>
        </w:rPr>
      </w:pPr>
      <w:r>
        <w:rPr>
          <w:rFonts w:hint="eastAsia"/>
          <w:highlight w:val="none"/>
        </w:rPr>
        <w:t>3.3.1综合评分明细表的制定以科学合理、降低评委会自由裁量权为原则。</w:t>
      </w:r>
    </w:p>
    <w:p>
      <w:pPr>
        <w:pStyle w:val="68"/>
        <w:spacing w:line="400" w:lineRule="exact"/>
        <w:ind w:firstLine="480" w:firstLineChars="200"/>
        <w:jc w:val="both"/>
        <w:rPr>
          <w:highlight w:val="none"/>
        </w:rPr>
      </w:pPr>
      <w:r>
        <w:rPr>
          <w:rFonts w:hint="eastAsia"/>
          <w:highlight w:val="none"/>
        </w:rPr>
        <w:t>3.3.2 综合评分明细表中的报价应先按供应商须知附表中的相关要求进行价格调整，再进行报价评分。</w:t>
      </w:r>
    </w:p>
    <w:p>
      <w:pPr>
        <w:pStyle w:val="68"/>
        <w:spacing w:line="400" w:lineRule="exact"/>
        <w:ind w:firstLine="480" w:firstLineChars="200"/>
        <w:jc w:val="both"/>
        <w:rPr>
          <w:highlight w:val="none"/>
        </w:rPr>
      </w:pPr>
      <w:r>
        <w:rPr>
          <w:rFonts w:hint="eastAsia"/>
          <w:highlight w:val="none"/>
        </w:rPr>
        <w:t>3.3.3综合评分明细表</w:t>
      </w:r>
    </w:p>
    <w:p>
      <w:pPr>
        <w:rPr>
          <w:highlight w:val="none"/>
        </w:rPr>
      </w:pPr>
    </w:p>
    <w:tbl>
      <w:tblPr>
        <w:tblStyle w:val="38"/>
        <w:tblW w:w="10485"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199"/>
        <w:gridCol w:w="836"/>
        <w:gridCol w:w="5577"/>
        <w:gridCol w:w="21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6"/>
              <w:jc w:val="both"/>
              <w:rPr>
                <w:rFonts w:ascii="宋体" w:cs="宋体"/>
                <w:bCs/>
                <w:color w:val="000000"/>
                <w:sz w:val="24"/>
                <w:highlight w:val="none"/>
              </w:rPr>
            </w:pPr>
            <w:r>
              <w:rPr>
                <w:rFonts w:hint="eastAsia" w:ascii="宋体" w:hAnsi="宋体" w:cs="宋体"/>
                <w:bCs/>
                <w:color w:val="000000"/>
                <w:sz w:val="24"/>
                <w:highlight w:val="none"/>
              </w:rPr>
              <w:t>序号</w:t>
            </w:r>
          </w:p>
        </w:tc>
        <w:tc>
          <w:tcPr>
            <w:tcW w:w="1199" w:type="dxa"/>
            <w:tcBorders>
              <w:top w:val="single" w:color="auto" w:sz="18" w:space="0"/>
              <w:left w:val="single" w:color="auto" w:sz="6" w:space="0"/>
              <w:bottom w:val="single" w:color="auto" w:sz="6" w:space="0"/>
              <w:right w:val="single" w:color="auto" w:sz="6" w:space="0"/>
            </w:tcBorders>
            <w:vAlign w:val="center"/>
          </w:tcPr>
          <w:p>
            <w:pPr>
              <w:pStyle w:val="16"/>
              <w:jc w:val="both"/>
              <w:rPr>
                <w:rFonts w:ascii="宋体" w:cs="宋体"/>
                <w:color w:val="000000"/>
                <w:sz w:val="24"/>
                <w:highlight w:val="none"/>
              </w:rPr>
            </w:pPr>
            <w:r>
              <w:rPr>
                <w:rFonts w:hint="eastAsia" w:ascii="宋体" w:hAnsi="宋体" w:cs="宋体"/>
                <w:color w:val="000000"/>
                <w:sz w:val="24"/>
                <w:highlight w:val="none"/>
              </w:rPr>
              <w:t>评分因素</w:t>
            </w:r>
          </w:p>
        </w:tc>
        <w:tc>
          <w:tcPr>
            <w:tcW w:w="836" w:type="dxa"/>
            <w:tcBorders>
              <w:top w:val="single" w:color="auto" w:sz="18" w:space="0"/>
              <w:left w:val="single" w:color="auto" w:sz="6" w:space="0"/>
              <w:bottom w:val="single" w:color="auto" w:sz="6" w:space="0"/>
              <w:right w:val="single" w:color="auto" w:sz="6" w:space="0"/>
            </w:tcBorders>
            <w:vAlign w:val="center"/>
          </w:tcPr>
          <w:p>
            <w:pPr>
              <w:pStyle w:val="16"/>
              <w:jc w:val="both"/>
              <w:rPr>
                <w:rFonts w:ascii="宋体" w:cs="宋体"/>
                <w:color w:val="000000"/>
                <w:sz w:val="24"/>
                <w:highlight w:val="none"/>
              </w:rPr>
            </w:pPr>
            <w:r>
              <w:rPr>
                <w:rFonts w:hint="eastAsia" w:ascii="宋体" w:hAnsi="宋体" w:cs="宋体"/>
                <w:color w:val="000000"/>
                <w:sz w:val="24"/>
                <w:highlight w:val="none"/>
              </w:rPr>
              <w:t>分值</w:t>
            </w:r>
          </w:p>
        </w:tc>
        <w:tc>
          <w:tcPr>
            <w:tcW w:w="5577" w:type="dxa"/>
            <w:tcBorders>
              <w:top w:val="single" w:color="auto" w:sz="18" w:space="0"/>
              <w:left w:val="single" w:color="auto" w:sz="6" w:space="0"/>
              <w:bottom w:val="single" w:color="auto" w:sz="6" w:space="0"/>
              <w:right w:val="single" w:color="auto" w:sz="6" w:space="0"/>
            </w:tcBorders>
            <w:vAlign w:val="center"/>
          </w:tcPr>
          <w:p>
            <w:pPr>
              <w:pStyle w:val="16"/>
              <w:jc w:val="center"/>
              <w:rPr>
                <w:rFonts w:ascii="宋体" w:cs="宋体"/>
                <w:color w:val="000000"/>
                <w:sz w:val="24"/>
                <w:highlight w:val="none"/>
              </w:rPr>
            </w:pPr>
            <w:r>
              <w:rPr>
                <w:rFonts w:hint="eastAsia" w:ascii="宋体" w:hAnsi="宋体" w:cs="宋体"/>
                <w:color w:val="000000"/>
                <w:sz w:val="24"/>
                <w:highlight w:val="none"/>
              </w:rPr>
              <w:t>评分要求</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6"/>
              <w:jc w:val="both"/>
              <w:rPr>
                <w:rFonts w:ascii="宋体" w:cs="宋体"/>
                <w:color w:val="000000"/>
                <w:sz w:val="24"/>
                <w:highlight w:val="none"/>
              </w:rPr>
            </w:pPr>
            <w:r>
              <w:rPr>
                <w:rFonts w:hint="eastAsia" w:ascii="宋体" w:hAnsi="宋体" w:cs="宋体"/>
                <w:color w:val="000000"/>
                <w:sz w:val="24"/>
                <w:highlight w:val="none"/>
              </w:rPr>
              <w:t>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5" w:type="dxa"/>
            <w:tcBorders>
              <w:top w:val="single" w:color="auto" w:sz="6" w:space="0"/>
              <w:left w:val="single" w:color="auto" w:sz="18" w:space="0"/>
              <w:bottom w:val="single" w:color="auto" w:sz="6" w:space="0"/>
              <w:right w:val="single" w:color="auto" w:sz="6" w:space="0"/>
            </w:tcBorders>
            <w:vAlign w:val="center"/>
          </w:tcPr>
          <w:p>
            <w:pPr>
              <w:pStyle w:val="16"/>
              <w:jc w:val="center"/>
              <w:rPr>
                <w:rFonts w:ascii="宋体" w:cs="宋体"/>
                <w:bCs/>
                <w:color w:val="000000"/>
                <w:sz w:val="24"/>
                <w:highlight w:val="none"/>
              </w:rPr>
            </w:pPr>
            <w:r>
              <w:rPr>
                <w:rFonts w:hint="eastAsia" w:ascii="宋体" w:hAnsi="宋体" w:cs="宋体"/>
                <w:bCs/>
                <w:color w:val="000000"/>
                <w:sz w:val="24"/>
                <w:highlight w:val="none"/>
              </w:rPr>
              <w:t>1</w:t>
            </w:r>
          </w:p>
        </w:tc>
        <w:tc>
          <w:tcPr>
            <w:tcW w:w="1199" w:type="dxa"/>
            <w:tcBorders>
              <w:top w:val="single" w:color="auto" w:sz="6" w:space="0"/>
              <w:left w:val="single" w:color="auto" w:sz="6" w:space="0"/>
              <w:bottom w:val="single" w:color="auto" w:sz="6" w:space="0"/>
              <w:right w:val="single" w:color="auto" w:sz="6" w:space="0"/>
            </w:tcBorders>
            <w:vAlign w:val="center"/>
          </w:tcPr>
          <w:p>
            <w:pPr>
              <w:pStyle w:val="16"/>
              <w:jc w:val="center"/>
              <w:rPr>
                <w:rFonts w:ascii="宋体" w:cs="宋体"/>
                <w:bCs/>
                <w:color w:val="000000"/>
                <w:sz w:val="24"/>
                <w:highlight w:val="none"/>
              </w:rPr>
            </w:pPr>
            <w:r>
              <w:rPr>
                <w:rFonts w:hint="eastAsia" w:ascii="宋体" w:hAnsi="宋体" w:cs="宋体"/>
                <w:color w:val="000000"/>
                <w:sz w:val="24"/>
                <w:highlight w:val="none"/>
              </w:rPr>
              <w:t>价格部分</w:t>
            </w:r>
            <w:r>
              <w:rPr>
                <w:rFonts w:hint="eastAsia" w:ascii="宋体" w:hAnsi="宋体" w:cs="宋体"/>
                <w:color w:val="000000"/>
                <w:sz w:val="24"/>
                <w:highlight w:val="none"/>
                <w:lang w:val="en-US" w:eastAsia="zh-CN"/>
              </w:rPr>
              <w:t>30</w:t>
            </w:r>
            <w:r>
              <w:rPr>
                <w:rFonts w:hint="eastAsia" w:ascii="宋体" w:hAnsi="宋体" w:cs="宋体"/>
                <w:color w:val="000000"/>
                <w:sz w:val="24"/>
                <w:highlight w:val="none"/>
              </w:rPr>
              <w:t>%</w:t>
            </w:r>
          </w:p>
        </w:tc>
        <w:tc>
          <w:tcPr>
            <w:tcW w:w="836" w:type="dxa"/>
            <w:tcBorders>
              <w:top w:val="single" w:color="auto" w:sz="6" w:space="0"/>
              <w:left w:val="single" w:color="auto" w:sz="6" w:space="0"/>
              <w:bottom w:val="single" w:color="auto" w:sz="6" w:space="0"/>
              <w:right w:val="single" w:color="auto" w:sz="6" w:space="0"/>
            </w:tcBorders>
            <w:vAlign w:val="center"/>
          </w:tcPr>
          <w:p>
            <w:pPr>
              <w:pStyle w:val="16"/>
              <w:jc w:val="center"/>
              <w:rPr>
                <w:rFonts w:ascii="宋体" w:cs="宋体"/>
                <w:bCs/>
                <w:color w:val="000000"/>
                <w:sz w:val="24"/>
                <w:highlight w:val="none"/>
              </w:rPr>
            </w:pPr>
            <w:r>
              <w:rPr>
                <w:rFonts w:hint="eastAsia" w:ascii="宋体" w:hAnsi="宋体" w:cs="宋体"/>
                <w:bCs/>
                <w:color w:val="000000"/>
                <w:sz w:val="24"/>
                <w:highlight w:val="none"/>
                <w:lang w:val="en-US" w:eastAsia="zh-CN"/>
              </w:rPr>
              <w:t>30</w:t>
            </w:r>
            <w:r>
              <w:rPr>
                <w:rFonts w:hint="eastAsia" w:ascii="宋体" w:hAnsi="宋体" w:cs="宋体"/>
                <w:bCs/>
                <w:color w:val="000000"/>
                <w:sz w:val="24"/>
                <w:highlight w:val="none"/>
              </w:rPr>
              <w:t>分</w:t>
            </w:r>
          </w:p>
        </w:tc>
        <w:tc>
          <w:tcPr>
            <w:tcW w:w="5577" w:type="dxa"/>
            <w:tcBorders>
              <w:top w:val="single" w:color="auto" w:sz="6" w:space="0"/>
              <w:left w:val="single" w:color="auto" w:sz="6" w:space="0"/>
              <w:bottom w:val="single" w:color="auto" w:sz="6" w:space="0"/>
              <w:right w:val="single" w:color="auto" w:sz="6" w:space="0"/>
            </w:tcBorders>
            <w:vAlign w:val="center"/>
          </w:tcPr>
          <w:p>
            <w:pPr>
              <w:rPr>
                <w:rFonts w:ascii="宋体" w:cs="宋体"/>
                <w:color w:val="000000"/>
                <w:highlight w:val="none"/>
              </w:rPr>
            </w:pPr>
            <w:r>
              <w:rPr>
                <w:rFonts w:hint="eastAsia" w:ascii="宋体" w:cs="宋体"/>
                <w:color w:val="000000"/>
                <w:highlight w:val="none"/>
              </w:rPr>
              <w:t>满足磋商文件要求且</w:t>
            </w:r>
            <w:r>
              <w:rPr>
                <w:rFonts w:hint="eastAsia" w:ascii="宋体" w:cs="宋体"/>
                <w:color w:val="000000"/>
                <w:highlight w:val="none"/>
                <w:lang w:val="en-US" w:eastAsia="zh-CN"/>
              </w:rPr>
              <w:t>响应报价</w:t>
            </w:r>
            <w:r>
              <w:rPr>
                <w:rFonts w:hint="eastAsia" w:ascii="宋体" w:cs="宋体"/>
                <w:color w:val="000000"/>
                <w:highlight w:val="none"/>
              </w:rPr>
              <w:t>最低的报价为</w:t>
            </w:r>
            <w:r>
              <w:rPr>
                <w:rFonts w:hint="eastAsia" w:ascii="宋体" w:cs="宋体"/>
                <w:color w:val="000000"/>
                <w:highlight w:val="none"/>
                <w:lang w:val="en-US" w:eastAsia="zh-CN"/>
              </w:rPr>
              <w:t>评审</w:t>
            </w:r>
            <w:r>
              <w:rPr>
                <w:rFonts w:hint="eastAsia" w:ascii="宋体" w:cs="宋体"/>
                <w:color w:val="000000"/>
                <w:highlight w:val="none"/>
              </w:rPr>
              <w:t>基准价，其价格分为满分。其他供应商的价格分统一按照下列公式计算：</w:t>
            </w:r>
          </w:p>
          <w:p>
            <w:pPr>
              <w:rPr>
                <w:rFonts w:ascii="宋体" w:cs="宋体"/>
                <w:color w:val="000000"/>
                <w:highlight w:val="none"/>
              </w:rPr>
            </w:pPr>
            <w:r>
              <w:rPr>
                <w:rFonts w:hint="eastAsia" w:ascii="宋体" w:cs="宋体"/>
                <w:color w:val="000000"/>
                <w:highlight w:val="none"/>
              </w:rPr>
              <w:t>报价得分=（</w:t>
            </w:r>
            <w:r>
              <w:rPr>
                <w:rFonts w:hint="eastAsia" w:ascii="宋体" w:cs="宋体"/>
                <w:color w:val="000000"/>
                <w:highlight w:val="none"/>
                <w:lang w:val="en-US" w:eastAsia="zh-CN"/>
              </w:rPr>
              <w:t>评审</w:t>
            </w:r>
            <w:r>
              <w:rPr>
                <w:rFonts w:hint="eastAsia" w:ascii="宋体" w:cs="宋体"/>
                <w:color w:val="000000"/>
                <w:highlight w:val="none"/>
              </w:rPr>
              <w:t>基准价/</w:t>
            </w:r>
            <w:r>
              <w:rPr>
                <w:rFonts w:hint="eastAsia" w:ascii="宋体" w:cs="宋体"/>
                <w:color w:val="000000"/>
                <w:highlight w:val="none"/>
                <w:lang w:val="en-US" w:eastAsia="zh-CN"/>
              </w:rPr>
              <w:t>响应</w:t>
            </w:r>
            <w:r>
              <w:rPr>
                <w:rFonts w:hint="eastAsia" w:ascii="宋体" w:cs="宋体"/>
                <w:color w:val="000000"/>
                <w:highlight w:val="none"/>
              </w:rPr>
              <w:t>报价）×</w:t>
            </w:r>
            <w:r>
              <w:rPr>
                <w:rFonts w:hint="eastAsia" w:ascii="宋体" w:cs="宋体"/>
                <w:color w:val="000000"/>
                <w:highlight w:val="none"/>
                <w:lang w:val="en-US" w:eastAsia="zh-CN"/>
              </w:rPr>
              <w:t>30</w:t>
            </w:r>
            <w:r>
              <w:rPr>
                <w:rFonts w:hint="eastAsia" w:ascii="宋体" w:cs="宋体"/>
                <w:color w:val="000000"/>
                <w:highlight w:val="none"/>
              </w:rPr>
              <w:t>；</w:t>
            </w:r>
          </w:p>
        </w:tc>
        <w:tc>
          <w:tcPr>
            <w:tcW w:w="2108" w:type="dxa"/>
            <w:tcBorders>
              <w:top w:val="single" w:color="auto" w:sz="6" w:space="0"/>
              <w:left w:val="single" w:color="auto" w:sz="6" w:space="0"/>
              <w:bottom w:val="single" w:color="auto" w:sz="6" w:space="0"/>
              <w:right w:val="single" w:color="auto" w:sz="18" w:space="0"/>
            </w:tcBorders>
            <w:vAlign w:val="center"/>
          </w:tcPr>
          <w:p>
            <w:pPr>
              <w:pStyle w:val="16"/>
              <w:jc w:val="both"/>
              <w:rPr>
                <w:rFonts w:ascii="宋体" w:hAnsi="宋体"/>
                <w:color w:val="000000"/>
                <w:kern w:val="0"/>
                <w:sz w:val="24"/>
                <w:highlight w:val="none"/>
              </w:rPr>
            </w:pPr>
          </w:p>
          <w:p>
            <w:pPr>
              <w:pStyle w:val="16"/>
              <w:jc w:val="center"/>
              <w:rPr>
                <w:rFonts w:ascii="宋体" w:hAnsi="宋体"/>
                <w:color w:val="000000"/>
                <w:kern w:val="0"/>
                <w:sz w:val="24"/>
                <w:highlight w:val="none"/>
              </w:rPr>
            </w:pPr>
            <w:r>
              <w:rPr>
                <w:rFonts w:hint="eastAsia" w:ascii="宋体" w:hAnsi="宋体"/>
                <w:color w:val="000000"/>
                <w:kern w:val="0"/>
                <w:sz w:val="24"/>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65" w:type="dxa"/>
            <w:vMerge w:val="restart"/>
            <w:tcBorders>
              <w:top w:val="single" w:color="auto" w:sz="6" w:space="0"/>
              <w:left w:val="single" w:color="auto" w:sz="18" w:space="0"/>
              <w:bottom w:val="single" w:color="auto" w:sz="6" w:space="0"/>
              <w:right w:val="single" w:color="auto" w:sz="6" w:space="0"/>
            </w:tcBorders>
            <w:vAlign w:val="center"/>
          </w:tcPr>
          <w:p>
            <w:pPr>
              <w:pStyle w:val="16"/>
              <w:jc w:val="center"/>
              <w:rPr>
                <w:rFonts w:ascii="宋体" w:cs="宋体"/>
                <w:bCs/>
                <w:color w:val="000000"/>
                <w:sz w:val="24"/>
                <w:highlight w:val="none"/>
              </w:rPr>
            </w:pPr>
            <w:r>
              <w:rPr>
                <w:rFonts w:hint="eastAsia" w:ascii="宋体" w:hAnsi="宋体" w:cs="宋体"/>
                <w:bCs/>
                <w:color w:val="000000"/>
                <w:sz w:val="24"/>
                <w:highlight w:val="none"/>
              </w:rPr>
              <w:t>2</w:t>
            </w:r>
          </w:p>
        </w:tc>
        <w:tc>
          <w:tcPr>
            <w:tcW w:w="1199" w:type="dxa"/>
            <w:vMerge w:val="restart"/>
            <w:tcBorders>
              <w:top w:val="single" w:color="auto" w:sz="6" w:space="0"/>
              <w:left w:val="single" w:color="auto" w:sz="6" w:space="0"/>
              <w:bottom w:val="single" w:color="auto" w:sz="6" w:space="0"/>
              <w:right w:val="single" w:color="auto" w:sz="6" w:space="0"/>
            </w:tcBorders>
            <w:vAlign w:val="center"/>
          </w:tcPr>
          <w:p>
            <w:pPr>
              <w:pStyle w:val="16"/>
              <w:jc w:val="center"/>
              <w:rPr>
                <w:rFonts w:ascii="宋体" w:cs="宋体"/>
                <w:color w:val="000000"/>
                <w:sz w:val="24"/>
                <w:highlight w:val="none"/>
              </w:rPr>
            </w:pPr>
            <w:r>
              <w:rPr>
                <w:rFonts w:hint="eastAsia" w:ascii="宋体" w:hAnsi="宋体" w:cs="宋体"/>
                <w:color w:val="000000"/>
                <w:sz w:val="24"/>
                <w:highlight w:val="none"/>
              </w:rPr>
              <w:t>实施方案</w:t>
            </w:r>
            <w:r>
              <w:rPr>
                <w:rFonts w:hint="eastAsia" w:ascii="宋体" w:hAnsi="宋体" w:cs="宋体"/>
                <w:color w:val="000000"/>
                <w:sz w:val="24"/>
                <w:highlight w:val="none"/>
                <w:lang w:val="en-US" w:eastAsia="zh-CN"/>
              </w:rPr>
              <w:t>49</w:t>
            </w:r>
            <w:r>
              <w:rPr>
                <w:rFonts w:hint="eastAsia" w:ascii="宋体" w:hAnsi="宋体" w:cs="宋体"/>
                <w:color w:val="000000"/>
                <w:sz w:val="24"/>
                <w:highlight w:val="none"/>
              </w:rPr>
              <w:t>%</w:t>
            </w:r>
          </w:p>
        </w:tc>
        <w:tc>
          <w:tcPr>
            <w:tcW w:w="836" w:type="dxa"/>
            <w:tcBorders>
              <w:top w:val="single" w:color="auto" w:sz="6" w:space="0"/>
              <w:left w:val="single" w:color="auto" w:sz="6" w:space="0"/>
              <w:bottom w:val="single" w:color="auto" w:sz="6" w:space="0"/>
              <w:right w:val="single" w:color="auto" w:sz="4" w:space="0"/>
            </w:tcBorders>
            <w:vAlign w:val="center"/>
          </w:tcPr>
          <w:p>
            <w:pPr>
              <w:pStyle w:val="16"/>
              <w:jc w:val="center"/>
              <w:rPr>
                <w:rFonts w:ascii="宋体" w:cs="宋体"/>
                <w:color w:val="000000"/>
                <w:sz w:val="24"/>
                <w:highlight w:val="none"/>
              </w:rPr>
            </w:pPr>
            <w:r>
              <w:rPr>
                <w:rFonts w:ascii="宋体" w:cs="宋体"/>
                <w:color w:val="000000"/>
                <w:sz w:val="24"/>
                <w:highlight w:val="none"/>
              </w:rPr>
              <w:t>机构设置及管理制度1</w:t>
            </w:r>
            <w:r>
              <w:rPr>
                <w:rFonts w:hint="eastAsia" w:ascii="宋体" w:cs="宋体"/>
                <w:color w:val="000000"/>
                <w:sz w:val="24"/>
                <w:highlight w:val="none"/>
                <w:lang w:val="en-US" w:eastAsia="zh-CN"/>
              </w:rPr>
              <w:t>0</w:t>
            </w:r>
            <w:r>
              <w:rPr>
                <w:rFonts w:hint="eastAsia" w:ascii="宋体" w:cs="宋体"/>
                <w:color w:val="000000"/>
                <w:sz w:val="24"/>
                <w:highlight w:val="none"/>
              </w:rPr>
              <w:t>分</w:t>
            </w:r>
          </w:p>
        </w:tc>
        <w:tc>
          <w:tcPr>
            <w:tcW w:w="5577" w:type="dxa"/>
            <w:tcBorders>
              <w:top w:val="single" w:color="auto" w:sz="6" w:space="0"/>
              <w:left w:val="single" w:color="auto" w:sz="4" w:space="0"/>
              <w:bottom w:val="single" w:color="auto" w:sz="6" w:space="0"/>
              <w:right w:val="single" w:color="auto" w:sz="6" w:space="0"/>
            </w:tcBorders>
            <w:vAlign w:val="center"/>
          </w:tcPr>
          <w:p>
            <w:pPr>
              <w:rPr>
                <w:rFonts w:ascii="宋体" w:cs="宋体"/>
                <w:color w:val="000000"/>
                <w:highlight w:val="none"/>
              </w:rPr>
            </w:pPr>
            <w:r>
              <w:rPr>
                <w:rFonts w:hint="eastAsia" w:ascii="宋体" w:hAnsi="宋体" w:cs="宋体"/>
                <w:color w:val="000000"/>
                <w:spacing w:val="11"/>
                <w:highlight w:val="none"/>
              </w:rPr>
              <w:t>针对本项目提供</w:t>
            </w:r>
            <w:r>
              <w:rPr>
                <w:rFonts w:ascii="宋体" w:cs="宋体"/>
                <w:color w:val="000000"/>
                <w:highlight w:val="none"/>
              </w:rPr>
              <w:t>机构设置及管理制度</w:t>
            </w:r>
            <w:r>
              <w:rPr>
                <w:rFonts w:hint="eastAsia" w:ascii="宋体" w:hAnsi="宋体" w:cs="宋体"/>
                <w:b/>
                <w:color w:val="000000"/>
                <w:spacing w:val="11"/>
                <w:highlight w:val="none"/>
              </w:rPr>
              <w:t>（至少包含：</w:t>
            </w:r>
            <w:r>
              <w:rPr>
                <w:rFonts w:hint="eastAsia" w:ascii="宋体" w:hAnsi="宋体" w:cs="宋体"/>
                <w:b/>
                <w:color w:val="000000"/>
                <w:spacing w:val="11"/>
                <w:highlight w:val="none"/>
                <w:lang w:val="en-US" w:eastAsia="zh-CN"/>
              </w:rPr>
              <w:t>①</w:t>
            </w:r>
            <w:r>
              <w:rPr>
                <w:rFonts w:ascii="宋体" w:hAnsi="宋体" w:cs="宋体"/>
                <w:b/>
                <w:color w:val="000000"/>
                <w:spacing w:val="11"/>
                <w:highlight w:val="none"/>
              </w:rPr>
              <w:t>组织机构</w:t>
            </w:r>
            <w:r>
              <w:rPr>
                <w:rFonts w:hint="eastAsia" w:ascii="宋体" w:hAnsi="宋体" w:cs="宋体"/>
                <w:b/>
                <w:color w:val="000000"/>
                <w:spacing w:val="11"/>
                <w:highlight w:val="none"/>
                <w:lang w:eastAsia="zh-CN"/>
              </w:rPr>
              <w:t>；</w:t>
            </w:r>
            <w:r>
              <w:rPr>
                <w:rFonts w:hint="eastAsia" w:ascii="宋体" w:hAnsi="宋体" w:cs="宋体"/>
                <w:b/>
                <w:color w:val="000000"/>
                <w:spacing w:val="11"/>
                <w:highlight w:val="none"/>
                <w:lang w:val="en-US" w:eastAsia="zh-CN"/>
              </w:rPr>
              <w:t>②</w:t>
            </w:r>
            <w:r>
              <w:rPr>
                <w:rFonts w:ascii="宋体" w:hAnsi="宋体" w:cs="宋体"/>
                <w:b/>
                <w:color w:val="000000"/>
                <w:spacing w:val="11"/>
                <w:highlight w:val="none"/>
              </w:rPr>
              <w:t>项目管理制度</w:t>
            </w:r>
            <w:r>
              <w:rPr>
                <w:rFonts w:hint="eastAsia" w:ascii="宋体" w:hAnsi="宋体" w:cs="宋体"/>
                <w:b/>
                <w:color w:val="000000"/>
                <w:spacing w:val="11"/>
                <w:highlight w:val="none"/>
                <w:lang w:eastAsia="zh-CN"/>
              </w:rPr>
              <w:t>；</w:t>
            </w:r>
            <w:r>
              <w:rPr>
                <w:rFonts w:hint="eastAsia" w:ascii="宋体" w:hAnsi="宋体" w:cs="宋体"/>
                <w:b/>
                <w:color w:val="000000"/>
                <w:spacing w:val="11"/>
                <w:highlight w:val="none"/>
                <w:lang w:val="en-US" w:eastAsia="zh-CN"/>
              </w:rPr>
              <w:t>③</w:t>
            </w:r>
            <w:r>
              <w:rPr>
                <w:rFonts w:ascii="宋体" w:hAnsi="宋体" w:cs="宋体"/>
                <w:b/>
                <w:color w:val="000000"/>
                <w:spacing w:val="11"/>
                <w:highlight w:val="none"/>
              </w:rPr>
              <w:t>公司管理制度等</w:t>
            </w:r>
            <w:r>
              <w:rPr>
                <w:rFonts w:hint="eastAsia" w:ascii="宋体" w:hAnsi="宋体" w:cs="宋体"/>
                <w:b/>
                <w:color w:val="000000"/>
                <w:spacing w:val="-9"/>
                <w:highlight w:val="none"/>
              </w:rPr>
              <w:t>）</w:t>
            </w:r>
            <w:r>
              <w:rPr>
                <w:rFonts w:hint="eastAsia" w:ascii="宋体" w:hAnsi="宋体" w:cs="宋体"/>
                <w:color w:val="000000"/>
                <w:spacing w:val="-3"/>
                <w:highlight w:val="none"/>
              </w:rPr>
              <w:t>，满足以上全部评定方向且切实</w:t>
            </w:r>
            <w:r>
              <w:rPr>
                <w:rFonts w:hint="eastAsia" w:ascii="宋体" w:hAnsi="宋体" w:cs="宋体"/>
                <w:color w:val="000000"/>
                <w:spacing w:val="-4"/>
                <w:highlight w:val="none"/>
              </w:rPr>
              <w:t>可行操作性强的得</w:t>
            </w:r>
            <w:r>
              <w:rPr>
                <w:rFonts w:hint="eastAsia" w:ascii="宋体" w:hAnsi="宋体" w:cs="宋体"/>
                <w:color w:val="000000"/>
                <w:spacing w:val="-3"/>
                <w:highlight w:val="none"/>
              </w:rPr>
              <w:t>基本分</w:t>
            </w:r>
            <w:r>
              <w:rPr>
                <w:rFonts w:hint="eastAsia" w:ascii="宋体" w:hAnsi="宋体" w:cs="宋体"/>
                <w:color w:val="000000"/>
                <w:spacing w:val="-3"/>
                <w:highlight w:val="none"/>
                <w:lang w:val="en-US" w:eastAsia="zh-CN"/>
              </w:rPr>
              <w:t>6</w:t>
            </w:r>
            <w:r>
              <w:rPr>
                <w:rFonts w:hint="eastAsia" w:ascii="宋体" w:hAnsi="宋体" w:cs="宋体"/>
                <w:color w:val="000000"/>
                <w:spacing w:val="-2"/>
                <w:highlight w:val="none"/>
              </w:rPr>
              <w:t>分，</w:t>
            </w:r>
            <w:r>
              <w:rPr>
                <w:rFonts w:hint="eastAsia" w:cs="宋体"/>
                <w:color w:val="000000"/>
                <w:highlight w:val="none"/>
                <w:lang w:val="en-US" w:eastAsia="zh-CN"/>
              </w:rPr>
              <w:t>供应商</w:t>
            </w:r>
            <w:r>
              <w:rPr>
                <w:rFonts w:hint="eastAsia" w:ascii="宋体" w:hAnsi="宋体" w:cs="宋体"/>
                <w:color w:val="000000"/>
                <w:spacing w:val="-3"/>
                <w:highlight w:val="none"/>
              </w:rPr>
              <w:t>每有一项有利于项目实施、具有针对性的加</w:t>
            </w:r>
            <w:r>
              <w:rPr>
                <w:rFonts w:ascii="宋体" w:hAnsi="宋体" w:cs="宋体"/>
                <w:color w:val="000000"/>
                <w:spacing w:val="-3"/>
                <w:highlight w:val="none"/>
              </w:rPr>
              <w:t>2</w:t>
            </w:r>
            <w:r>
              <w:rPr>
                <w:rFonts w:hint="eastAsia" w:ascii="宋体" w:hAnsi="宋体" w:cs="宋体"/>
                <w:color w:val="000000"/>
                <w:spacing w:val="-3"/>
                <w:highlight w:val="none"/>
              </w:rPr>
              <w:t>分，最多加</w:t>
            </w:r>
            <w:r>
              <w:rPr>
                <w:rFonts w:hint="eastAsia" w:ascii="宋体" w:hAnsi="宋体" w:cs="宋体"/>
                <w:color w:val="000000"/>
                <w:spacing w:val="-3"/>
                <w:highlight w:val="none"/>
                <w:lang w:val="en-US" w:eastAsia="zh-CN"/>
              </w:rPr>
              <w:t>4</w:t>
            </w:r>
            <w:r>
              <w:rPr>
                <w:rFonts w:hint="eastAsia" w:ascii="宋体" w:hAnsi="宋体" w:cs="宋体"/>
                <w:color w:val="000000"/>
                <w:spacing w:val="-3"/>
                <w:highlight w:val="none"/>
              </w:rPr>
              <w:t>分；</w:t>
            </w:r>
            <w:r>
              <w:rPr>
                <w:rFonts w:hint="eastAsia" w:ascii="宋体" w:hAnsi="宋体" w:cs="宋体"/>
                <w:color w:val="000000"/>
                <w:spacing w:val="-2"/>
                <w:highlight w:val="none"/>
              </w:rPr>
              <w:t>每出现一处细</w:t>
            </w:r>
            <w:r>
              <w:rPr>
                <w:rFonts w:hint="eastAsia" w:ascii="宋体" w:hAnsi="宋体" w:cs="宋体"/>
                <w:color w:val="000000"/>
                <w:spacing w:val="-9"/>
                <w:highlight w:val="none"/>
              </w:rPr>
              <w:t>微偏差情形在基本分的基础上扣</w:t>
            </w:r>
            <w:r>
              <w:rPr>
                <w:rFonts w:hint="eastAsia" w:ascii="宋体" w:hAnsi="宋体" w:cs="宋体"/>
                <w:color w:val="000000"/>
                <w:spacing w:val="-9"/>
                <w:highlight w:val="none"/>
                <w:lang w:val="en-US" w:eastAsia="zh-CN"/>
              </w:rPr>
              <w:t>2</w:t>
            </w:r>
            <w:r>
              <w:rPr>
                <w:rFonts w:hint="eastAsia" w:ascii="宋体" w:hAnsi="宋体" w:cs="宋体"/>
                <w:color w:val="000000"/>
                <w:spacing w:val="-11"/>
                <w:highlight w:val="none"/>
              </w:rPr>
              <w:t>分，扣完为止，</w:t>
            </w:r>
            <w:r>
              <w:rPr>
                <w:rFonts w:hint="eastAsia" w:ascii="宋体" w:hAnsi="宋体" w:cs="宋体"/>
                <w:color w:val="000000"/>
                <w:highlight w:val="none"/>
              </w:rPr>
              <w:t>不提供的不得分</w:t>
            </w:r>
            <w:r>
              <w:rPr>
                <w:rFonts w:hint="eastAsia" w:ascii="宋体" w:cs="宋体"/>
                <w:color w:val="000000"/>
                <w:highlight w:val="none"/>
              </w:rPr>
              <w:t>。本项最多得</w:t>
            </w:r>
            <w:r>
              <w:rPr>
                <w:rFonts w:ascii="宋体" w:cs="宋体"/>
                <w:color w:val="000000"/>
                <w:highlight w:val="none"/>
              </w:rPr>
              <w:t>1</w:t>
            </w:r>
            <w:r>
              <w:rPr>
                <w:rFonts w:hint="eastAsia" w:ascii="宋体" w:cs="宋体"/>
                <w:color w:val="000000"/>
                <w:highlight w:val="none"/>
                <w:lang w:val="en-US" w:eastAsia="zh-CN"/>
              </w:rPr>
              <w:t>0</w:t>
            </w:r>
            <w:r>
              <w:rPr>
                <w:rFonts w:hint="eastAsia" w:ascii="宋体" w:cs="宋体"/>
                <w:color w:val="000000"/>
                <w:highlight w:val="none"/>
              </w:rPr>
              <w:t>分。</w:t>
            </w:r>
          </w:p>
        </w:tc>
        <w:tc>
          <w:tcPr>
            <w:tcW w:w="2108" w:type="dxa"/>
            <w:tcBorders>
              <w:top w:val="single" w:color="auto" w:sz="6" w:space="0"/>
              <w:left w:val="single" w:color="auto" w:sz="6" w:space="0"/>
              <w:bottom w:val="single" w:color="auto" w:sz="6" w:space="0"/>
              <w:right w:val="single" w:color="auto" w:sz="18" w:space="0"/>
            </w:tcBorders>
            <w:vAlign w:val="center"/>
          </w:tcPr>
          <w:p>
            <w:pPr>
              <w:pStyle w:val="16"/>
              <w:jc w:val="center"/>
              <w:rPr>
                <w:rFonts w:ascii="宋体" w:cs="宋体"/>
                <w:color w:val="000000"/>
                <w:sz w:val="24"/>
                <w:highlight w:val="none"/>
              </w:rPr>
            </w:pPr>
            <w:r>
              <w:rPr>
                <w:rFonts w:hint="eastAsia" w:ascii="宋体" w:cs="宋体"/>
                <w:color w:val="000000"/>
                <w:sz w:val="24"/>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765" w:type="dxa"/>
            <w:vMerge w:val="continue"/>
            <w:tcBorders>
              <w:top w:val="single" w:color="auto" w:sz="6" w:space="0"/>
              <w:left w:val="single" w:color="auto" w:sz="18" w:space="0"/>
              <w:bottom w:val="single" w:color="auto" w:sz="6" w:space="0"/>
              <w:right w:val="single" w:color="auto" w:sz="6" w:space="0"/>
            </w:tcBorders>
            <w:vAlign w:val="center"/>
          </w:tcPr>
          <w:p>
            <w:pPr>
              <w:widowControl/>
              <w:rPr>
                <w:rFonts w:ascii="宋体" w:cs="宋体"/>
                <w:bCs/>
                <w:color w:val="000000"/>
                <w:highlight w:val="none"/>
              </w:rPr>
            </w:pPr>
          </w:p>
        </w:tc>
        <w:tc>
          <w:tcPr>
            <w:tcW w:w="1199"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宋体" w:cs="宋体"/>
                <w:color w:val="000000"/>
                <w:highlight w:val="none"/>
              </w:rPr>
            </w:pPr>
          </w:p>
        </w:tc>
        <w:tc>
          <w:tcPr>
            <w:tcW w:w="836" w:type="dxa"/>
            <w:tcBorders>
              <w:top w:val="single" w:color="auto" w:sz="6" w:space="0"/>
              <w:left w:val="single" w:color="auto" w:sz="6" w:space="0"/>
              <w:bottom w:val="single" w:color="auto" w:sz="6" w:space="0"/>
              <w:right w:val="single" w:color="auto" w:sz="4" w:space="0"/>
            </w:tcBorders>
            <w:vAlign w:val="center"/>
          </w:tcPr>
          <w:p>
            <w:pPr>
              <w:pStyle w:val="16"/>
              <w:jc w:val="center"/>
              <w:rPr>
                <w:rFonts w:ascii="宋体" w:hAnsi="宋体" w:cs="宋体"/>
                <w:color w:val="000000"/>
                <w:sz w:val="24"/>
                <w:highlight w:val="none"/>
              </w:rPr>
            </w:pPr>
            <w:r>
              <w:rPr>
                <w:rFonts w:hint="eastAsia" w:ascii="宋体" w:hAnsi="宋体" w:cs="宋体"/>
                <w:color w:val="000000"/>
                <w:sz w:val="24"/>
                <w:highlight w:val="none"/>
              </w:rPr>
              <w:t>实施方案</w:t>
            </w:r>
          </w:p>
          <w:p>
            <w:pPr>
              <w:pStyle w:val="16"/>
              <w:jc w:val="center"/>
              <w:rPr>
                <w:rFonts w:ascii="宋体" w:cs="宋体"/>
                <w:color w:val="000000"/>
                <w:sz w:val="24"/>
                <w:highlight w:val="none"/>
              </w:rPr>
            </w:pPr>
            <w:r>
              <w:rPr>
                <w:rFonts w:hint="eastAsia" w:ascii="宋体" w:hAnsi="宋体" w:cs="宋体"/>
                <w:color w:val="000000"/>
                <w:sz w:val="24"/>
                <w:highlight w:val="none"/>
                <w:lang w:val="en-US" w:eastAsia="zh-CN"/>
              </w:rPr>
              <w:t>14</w:t>
            </w:r>
            <w:r>
              <w:rPr>
                <w:rFonts w:hint="eastAsia" w:ascii="宋体" w:hAnsi="宋体" w:cs="宋体"/>
                <w:color w:val="000000"/>
                <w:sz w:val="24"/>
                <w:highlight w:val="none"/>
              </w:rPr>
              <w:t>分</w:t>
            </w:r>
          </w:p>
        </w:tc>
        <w:tc>
          <w:tcPr>
            <w:tcW w:w="5577" w:type="dxa"/>
            <w:tcBorders>
              <w:top w:val="single" w:color="auto" w:sz="6" w:space="0"/>
              <w:left w:val="single" w:color="auto" w:sz="4" w:space="0"/>
              <w:bottom w:val="single" w:color="auto" w:sz="6" w:space="0"/>
              <w:right w:val="single" w:color="auto" w:sz="6" w:space="0"/>
            </w:tcBorders>
            <w:vAlign w:val="center"/>
          </w:tcPr>
          <w:p>
            <w:pPr>
              <w:rPr>
                <w:rFonts w:ascii="宋体" w:hAnsi="宋体" w:cs="宋体"/>
                <w:bCs/>
                <w:color w:val="000000"/>
                <w:spacing w:val="11"/>
                <w:highlight w:val="none"/>
              </w:rPr>
            </w:pPr>
            <w:r>
              <w:rPr>
                <w:rFonts w:hint="eastAsia" w:ascii="宋体" w:hAnsi="宋体" w:cs="宋体"/>
                <w:color w:val="000000"/>
                <w:spacing w:val="11"/>
                <w:highlight w:val="none"/>
              </w:rPr>
              <w:t>针对本项目提供</w:t>
            </w:r>
            <w:r>
              <w:rPr>
                <w:rFonts w:hint="eastAsia" w:hAnsi="宋体"/>
                <w:color w:val="000000"/>
                <w:highlight w:val="none"/>
              </w:rPr>
              <w:t>实施方案</w:t>
            </w:r>
            <w:r>
              <w:rPr>
                <w:rFonts w:hint="eastAsia" w:ascii="宋体" w:hAnsi="宋体" w:cs="宋体"/>
                <w:b/>
                <w:color w:val="000000"/>
                <w:spacing w:val="11"/>
                <w:highlight w:val="none"/>
              </w:rPr>
              <w:t>（至少包含：①整体服务流程、②</w:t>
            </w:r>
            <w:r>
              <w:rPr>
                <w:rFonts w:hint="eastAsia" w:ascii="宋体" w:hAnsi="宋体" w:cs="宋体"/>
                <w:b/>
                <w:color w:val="000000"/>
                <w:spacing w:val="11"/>
                <w:highlight w:val="none"/>
                <w:lang w:val="en-US" w:eastAsia="zh-CN"/>
              </w:rPr>
              <w:t>标本</w:t>
            </w:r>
            <w:r>
              <w:rPr>
                <w:rFonts w:hint="eastAsia" w:ascii="宋体" w:hAnsi="宋体" w:cs="宋体"/>
                <w:b/>
                <w:color w:val="000000"/>
                <w:spacing w:val="11"/>
                <w:highlight w:val="none"/>
              </w:rPr>
              <w:t>接收方案（含</w:t>
            </w:r>
            <w:r>
              <w:rPr>
                <w:rFonts w:hint="eastAsia" w:ascii="宋体" w:hAnsi="宋体" w:cs="宋体"/>
                <w:b/>
                <w:color w:val="000000"/>
                <w:spacing w:val="11"/>
                <w:highlight w:val="none"/>
                <w:lang w:val="en-US" w:eastAsia="zh-CN"/>
              </w:rPr>
              <w:t>标</w:t>
            </w:r>
            <w:r>
              <w:rPr>
                <w:rFonts w:hint="eastAsia" w:ascii="宋体" w:hAnsi="宋体" w:cs="宋体"/>
                <w:b/>
                <w:color w:val="000000"/>
                <w:spacing w:val="11"/>
                <w:highlight w:val="none"/>
              </w:rPr>
              <w:t>本采集、标本收取、标本运输）、③</w:t>
            </w:r>
            <w:r>
              <w:rPr>
                <w:rFonts w:hint="eastAsia" w:ascii="宋体" w:hAnsi="宋体" w:cs="宋体"/>
                <w:b/>
                <w:color w:val="000000"/>
                <w:spacing w:val="11"/>
                <w:highlight w:val="none"/>
                <w:lang w:val="en-US" w:eastAsia="zh-CN"/>
              </w:rPr>
              <w:t>标本</w:t>
            </w:r>
            <w:r>
              <w:rPr>
                <w:rFonts w:hint="eastAsia" w:ascii="宋体" w:hAnsi="宋体" w:cs="宋体"/>
                <w:b/>
                <w:color w:val="000000"/>
                <w:spacing w:val="11"/>
                <w:highlight w:val="none"/>
              </w:rPr>
              <w:t>检测</w:t>
            </w:r>
            <w:r>
              <w:rPr>
                <w:rFonts w:hint="eastAsia" w:ascii="宋体" w:hAnsi="宋体" w:cs="宋体"/>
                <w:b/>
                <w:color w:val="000000"/>
                <w:spacing w:val="11"/>
                <w:highlight w:val="none"/>
                <w:lang w:val="en-US" w:eastAsia="zh-CN"/>
              </w:rPr>
              <w:t>方案</w:t>
            </w:r>
            <w:r>
              <w:rPr>
                <w:rFonts w:hint="eastAsia" w:ascii="宋体" w:hAnsi="宋体" w:cs="宋体"/>
                <w:b/>
                <w:color w:val="000000"/>
                <w:spacing w:val="11"/>
                <w:highlight w:val="none"/>
              </w:rPr>
              <w:t>、④人员保障方案、⑤服务质量保障措施</w:t>
            </w:r>
            <w:r>
              <w:rPr>
                <w:rFonts w:hint="eastAsia" w:ascii="宋体" w:hAnsi="宋体" w:cs="宋体"/>
                <w:b/>
                <w:color w:val="000000"/>
                <w:spacing w:val="-9"/>
                <w:highlight w:val="none"/>
              </w:rPr>
              <w:t>）</w:t>
            </w:r>
            <w:r>
              <w:rPr>
                <w:rFonts w:hint="eastAsia" w:ascii="宋体" w:hAnsi="宋体" w:cs="宋体"/>
                <w:b/>
                <w:color w:val="000000"/>
                <w:spacing w:val="-3"/>
                <w:highlight w:val="none"/>
              </w:rPr>
              <w:t>，</w:t>
            </w:r>
            <w:r>
              <w:rPr>
                <w:rFonts w:hint="eastAsia" w:ascii="宋体" w:hAnsi="宋体" w:cs="宋体"/>
                <w:color w:val="000000"/>
                <w:spacing w:val="-3"/>
                <w:highlight w:val="none"/>
              </w:rPr>
              <w:t>满足以上全部评定方向且切实</w:t>
            </w:r>
            <w:r>
              <w:rPr>
                <w:rFonts w:hint="eastAsia" w:ascii="宋体" w:hAnsi="宋体" w:cs="宋体"/>
                <w:color w:val="000000"/>
                <w:spacing w:val="-4"/>
                <w:highlight w:val="none"/>
              </w:rPr>
              <w:t>可行操作性强的得</w:t>
            </w:r>
            <w:r>
              <w:rPr>
                <w:rFonts w:hint="eastAsia" w:ascii="宋体" w:hAnsi="宋体" w:cs="宋体"/>
                <w:color w:val="000000"/>
                <w:spacing w:val="-3"/>
                <w:highlight w:val="none"/>
              </w:rPr>
              <w:t>基本分</w:t>
            </w:r>
            <w:r>
              <w:rPr>
                <w:rFonts w:hint="eastAsia" w:ascii="宋体" w:hAnsi="宋体" w:cs="宋体"/>
                <w:color w:val="000000"/>
                <w:spacing w:val="-3"/>
                <w:highlight w:val="none"/>
                <w:lang w:val="en-US" w:eastAsia="zh-CN"/>
              </w:rPr>
              <w:t>10</w:t>
            </w:r>
            <w:r>
              <w:rPr>
                <w:rFonts w:hint="eastAsia" w:ascii="宋体" w:hAnsi="宋体" w:cs="宋体"/>
                <w:color w:val="000000"/>
                <w:spacing w:val="-2"/>
                <w:highlight w:val="none"/>
              </w:rPr>
              <w:t>分，</w:t>
            </w:r>
            <w:r>
              <w:rPr>
                <w:rFonts w:hint="eastAsia" w:cs="宋体"/>
                <w:color w:val="000000"/>
                <w:highlight w:val="none"/>
                <w:lang w:val="en-US" w:eastAsia="zh-CN"/>
              </w:rPr>
              <w:t>供应商</w:t>
            </w:r>
            <w:r>
              <w:rPr>
                <w:rFonts w:hint="eastAsia" w:ascii="宋体" w:hAnsi="宋体" w:cs="宋体"/>
                <w:color w:val="000000"/>
                <w:spacing w:val="-3"/>
                <w:highlight w:val="none"/>
              </w:rPr>
              <w:t>每有一项有利于项目实施、具有针对性的加</w:t>
            </w:r>
            <w:r>
              <w:rPr>
                <w:rFonts w:hint="eastAsia" w:ascii="宋体" w:hAnsi="宋体" w:cs="宋体"/>
                <w:color w:val="000000"/>
                <w:spacing w:val="-3"/>
                <w:highlight w:val="none"/>
                <w:lang w:val="en-US" w:eastAsia="zh-CN"/>
              </w:rPr>
              <w:t>2</w:t>
            </w:r>
            <w:r>
              <w:rPr>
                <w:rFonts w:hint="eastAsia" w:ascii="宋体" w:hAnsi="宋体" w:cs="宋体"/>
                <w:color w:val="000000"/>
                <w:spacing w:val="-3"/>
                <w:highlight w:val="none"/>
              </w:rPr>
              <w:t>分，最多加</w:t>
            </w:r>
            <w:r>
              <w:rPr>
                <w:rFonts w:hint="eastAsia" w:ascii="宋体" w:hAnsi="宋体" w:cs="宋体"/>
                <w:color w:val="000000"/>
                <w:spacing w:val="-3"/>
                <w:highlight w:val="none"/>
                <w:lang w:val="en-US" w:eastAsia="zh-CN"/>
              </w:rPr>
              <w:t>4</w:t>
            </w:r>
            <w:r>
              <w:rPr>
                <w:rFonts w:hint="eastAsia" w:ascii="宋体" w:hAnsi="宋体" w:cs="宋体"/>
                <w:color w:val="000000"/>
                <w:spacing w:val="-3"/>
                <w:highlight w:val="none"/>
              </w:rPr>
              <w:t>分；</w:t>
            </w:r>
            <w:r>
              <w:rPr>
                <w:rFonts w:hint="eastAsia" w:ascii="宋体" w:hAnsi="宋体" w:cs="宋体"/>
                <w:color w:val="000000"/>
                <w:spacing w:val="-2"/>
                <w:highlight w:val="none"/>
              </w:rPr>
              <w:t>每出现一处细</w:t>
            </w:r>
            <w:r>
              <w:rPr>
                <w:rFonts w:hint="eastAsia" w:ascii="宋体" w:hAnsi="宋体" w:cs="宋体"/>
                <w:color w:val="000000"/>
                <w:spacing w:val="-9"/>
                <w:highlight w:val="none"/>
              </w:rPr>
              <w:t>微偏差情形在基本分的基础上扣</w:t>
            </w:r>
            <w:r>
              <w:rPr>
                <w:rFonts w:hint="eastAsia" w:ascii="宋体" w:hAnsi="宋体" w:cs="宋体"/>
                <w:color w:val="000000"/>
                <w:spacing w:val="-9"/>
                <w:highlight w:val="none"/>
                <w:lang w:val="en-US" w:eastAsia="zh-CN"/>
              </w:rPr>
              <w:t>2</w:t>
            </w:r>
            <w:r>
              <w:rPr>
                <w:rFonts w:hint="eastAsia" w:ascii="宋体" w:hAnsi="宋体" w:cs="宋体"/>
                <w:color w:val="000000"/>
                <w:spacing w:val="-11"/>
                <w:highlight w:val="none"/>
              </w:rPr>
              <w:t>分，扣完为止，</w:t>
            </w:r>
            <w:r>
              <w:rPr>
                <w:rFonts w:hint="eastAsia" w:ascii="宋体" w:hAnsi="宋体" w:cs="宋体"/>
                <w:color w:val="000000"/>
                <w:highlight w:val="none"/>
              </w:rPr>
              <w:t>不提供的不得分</w:t>
            </w:r>
            <w:r>
              <w:rPr>
                <w:rFonts w:hint="eastAsia" w:ascii="宋体" w:cs="宋体"/>
                <w:color w:val="000000"/>
                <w:highlight w:val="none"/>
              </w:rPr>
              <w:t>。本项最多得</w:t>
            </w:r>
            <w:r>
              <w:rPr>
                <w:rFonts w:hint="eastAsia" w:ascii="宋体" w:cs="宋体"/>
                <w:color w:val="000000"/>
                <w:highlight w:val="none"/>
                <w:lang w:val="en-US" w:eastAsia="zh-CN"/>
              </w:rPr>
              <w:t>14</w:t>
            </w:r>
            <w:r>
              <w:rPr>
                <w:rFonts w:hint="eastAsia" w:ascii="宋体" w:cs="宋体"/>
                <w:color w:val="000000"/>
                <w:highlight w:val="none"/>
              </w:rPr>
              <w:t>分。</w:t>
            </w:r>
          </w:p>
        </w:tc>
        <w:tc>
          <w:tcPr>
            <w:tcW w:w="2108" w:type="dxa"/>
            <w:tcBorders>
              <w:top w:val="single" w:color="auto" w:sz="6" w:space="0"/>
              <w:left w:val="single" w:color="auto" w:sz="6" w:space="0"/>
              <w:bottom w:val="single" w:color="auto" w:sz="6" w:space="0"/>
              <w:right w:val="single" w:color="auto" w:sz="18" w:space="0"/>
            </w:tcBorders>
            <w:vAlign w:val="center"/>
          </w:tcPr>
          <w:p>
            <w:pPr>
              <w:jc w:val="center"/>
              <w:rPr>
                <w:rFonts w:ascii="宋体" w:cs="宋体"/>
                <w:color w:val="000000"/>
                <w:highlight w:val="none"/>
              </w:rPr>
            </w:pPr>
            <w:r>
              <w:rPr>
                <w:rFonts w:hint="eastAsia" w:ascii="宋体" w:cs="宋体"/>
                <w:color w:val="000000"/>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601" w:hRule="atLeast"/>
          <w:jc w:val="center"/>
        </w:trPr>
        <w:tc>
          <w:tcPr>
            <w:tcW w:w="765" w:type="dxa"/>
            <w:vMerge w:val="continue"/>
            <w:tcBorders>
              <w:top w:val="single" w:color="auto" w:sz="6" w:space="0"/>
              <w:left w:val="single" w:color="auto" w:sz="18" w:space="0"/>
              <w:bottom w:val="single" w:color="auto" w:sz="6" w:space="0"/>
              <w:right w:val="single" w:color="auto" w:sz="6" w:space="0"/>
            </w:tcBorders>
            <w:vAlign w:val="center"/>
          </w:tcPr>
          <w:p>
            <w:pPr>
              <w:widowControl/>
              <w:rPr>
                <w:rFonts w:ascii="宋体" w:cs="宋体"/>
                <w:bCs/>
                <w:color w:val="000000"/>
                <w:highlight w:val="none"/>
              </w:rPr>
            </w:pPr>
          </w:p>
        </w:tc>
        <w:tc>
          <w:tcPr>
            <w:tcW w:w="1199"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宋体" w:cs="宋体"/>
                <w:color w:val="000000"/>
                <w:highlight w:val="none"/>
              </w:rPr>
            </w:pPr>
          </w:p>
        </w:tc>
        <w:tc>
          <w:tcPr>
            <w:tcW w:w="836" w:type="dxa"/>
            <w:tcBorders>
              <w:top w:val="single" w:color="auto" w:sz="6" w:space="0"/>
              <w:left w:val="single" w:color="auto" w:sz="6" w:space="0"/>
              <w:right w:val="single" w:color="auto" w:sz="4" w:space="0"/>
            </w:tcBorders>
            <w:vAlign w:val="center"/>
          </w:tcPr>
          <w:p>
            <w:pPr>
              <w:pStyle w:val="16"/>
              <w:jc w:val="center"/>
              <w:rPr>
                <w:rFonts w:ascii="宋体" w:cs="宋体"/>
                <w:color w:val="000000"/>
                <w:sz w:val="24"/>
                <w:highlight w:val="none"/>
              </w:rPr>
            </w:pPr>
            <w:r>
              <w:rPr>
                <w:rFonts w:hint="eastAsia" w:ascii="宋体" w:hAnsi="宋体" w:cs="宋体"/>
                <w:color w:val="000000"/>
                <w:sz w:val="24"/>
                <w:highlight w:val="none"/>
              </w:rPr>
              <w:t>应急方案</w:t>
            </w:r>
          </w:p>
          <w:p>
            <w:pPr>
              <w:pStyle w:val="16"/>
              <w:jc w:val="center"/>
              <w:rPr>
                <w:rFonts w:ascii="宋体" w:cs="宋体"/>
                <w:color w:val="000000"/>
                <w:sz w:val="24"/>
                <w:highlight w:val="none"/>
              </w:rPr>
            </w:pPr>
            <w:r>
              <w:rPr>
                <w:rFonts w:hint="eastAsia" w:ascii="宋体" w:hAnsi="宋体" w:cs="宋体"/>
                <w:color w:val="000000"/>
                <w:sz w:val="24"/>
                <w:highlight w:val="none"/>
                <w:lang w:val="en-US" w:eastAsia="zh-CN"/>
              </w:rPr>
              <w:t>14</w:t>
            </w:r>
            <w:r>
              <w:rPr>
                <w:rFonts w:hint="eastAsia" w:ascii="宋体" w:hAnsi="宋体" w:cs="宋体"/>
                <w:color w:val="000000"/>
                <w:sz w:val="24"/>
                <w:highlight w:val="none"/>
              </w:rPr>
              <w:t>分</w:t>
            </w:r>
          </w:p>
        </w:tc>
        <w:tc>
          <w:tcPr>
            <w:tcW w:w="5577" w:type="dxa"/>
            <w:tcBorders>
              <w:top w:val="single" w:color="auto" w:sz="6" w:space="0"/>
              <w:left w:val="single" w:color="auto" w:sz="4" w:space="0"/>
              <w:right w:val="single" w:color="auto" w:sz="6" w:space="0"/>
            </w:tcBorders>
            <w:vAlign w:val="center"/>
          </w:tcPr>
          <w:p>
            <w:pPr>
              <w:rPr>
                <w:rFonts w:ascii="宋体" w:hAnsi="宋体" w:cs="宋体"/>
                <w:bCs/>
                <w:color w:val="000000"/>
                <w:spacing w:val="11"/>
                <w:highlight w:val="none"/>
              </w:rPr>
            </w:pPr>
            <w:r>
              <w:rPr>
                <w:rFonts w:hint="eastAsia" w:ascii="宋体" w:cs="宋体"/>
                <w:color w:val="000000"/>
                <w:highlight w:val="none"/>
              </w:rPr>
              <w:t>针对本项目提供应急方案</w:t>
            </w:r>
            <w:r>
              <w:rPr>
                <w:rFonts w:hint="eastAsia" w:ascii="宋体" w:cs="宋体"/>
                <w:b/>
                <w:color w:val="000000"/>
                <w:highlight w:val="none"/>
              </w:rPr>
              <w:t>（</w:t>
            </w:r>
            <w:r>
              <w:rPr>
                <w:rFonts w:ascii="宋体" w:cs="宋体"/>
                <w:b/>
                <w:color w:val="000000"/>
                <w:highlight w:val="none"/>
              </w:rPr>
              <w:t>至少包含：</w:t>
            </w:r>
            <w:r>
              <w:rPr>
                <w:rFonts w:hint="eastAsia" w:ascii="宋体" w:cs="宋体"/>
                <w:b/>
                <w:color w:val="000000"/>
                <w:highlight w:val="none"/>
                <w:lang w:val="en-US" w:eastAsia="zh-CN"/>
              </w:rPr>
              <w:t>①</w:t>
            </w:r>
            <w:r>
              <w:rPr>
                <w:rFonts w:hint="eastAsia" w:ascii="宋体" w:cs="宋体"/>
                <w:b/>
                <w:color w:val="000000"/>
                <w:highlight w:val="none"/>
              </w:rPr>
              <w:t>结果异议、</w:t>
            </w:r>
            <w:r>
              <w:rPr>
                <w:rFonts w:hint="eastAsia" w:ascii="宋体" w:cs="宋体"/>
                <w:b/>
                <w:color w:val="000000"/>
                <w:highlight w:val="none"/>
                <w:lang w:val="en-US" w:eastAsia="zh-CN"/>
              </w:rPr>
              <w:t>②</w:t>
            </w:r>
            <w:r>
              <w:rPr>
                <w:rFonts w:hint="eastAsia" w:ascii="宋体" w:cs="宋体"/>
                <w:b/>
                <w:color w:val="000000"/>
                <w:highlight w:val="none"/>
              </w:rPr>
              <w:t>报告丢失、</w:t>
            </w:r>
            <w:r>
              <w:rPr>
                <w:rFonts w:hint="eastAsia" w:ascii="宋体" w:cs="宋体"/>
                <w:b/>
                <w:color w:val="000000"/>
                <w:highlight w:val="none"/>
                <w:lang w:val="en-US" w:eastAsia="zh-CN"/>
              </w:rPr>
              <w:t>③</w:t>
            </w:r>
            <w:r>
              <w:rPr>
                <w:rFonts w:hint="eastAsia" w:ascii="宋体" w:cs="宋体"/>
                <w:b/>
                <w:color w:val="000000"/>
                <w:highlight w:val="none"/>
              </w:rPr>
              <w:t>标本丢失、</w:t>
            </w:r>
            <w:r>
              <w:rPr>
                <w:rFonts w:hint="eastAsia" w:ascii="宋体" w:cs="宋体"/>
                <w:b/>
                <w:color w:val="000000"/>
                <w:highlight w:val="none"/>
                <w:lang w:val="en-US" w:eastAsia="zh-CN"/>
              </w:rPr>
              <w:t>④</w:t>
            </w:r>
            <w:r>
              <w:rPr>
                <w:rFonts w:hint="eastAsia" w:ascii="宋体" w:cs="宋体"/>
                <w:b/>
                <w:color w:val="000000"/>
                <w:highlight w:val="none"/>
              </w:rPr>
              <w:t>医院急诊项目服务、</w:t>
            </w:r>
            <w:r>
              <w:rPr>
                <w:rFonts w:hint="eastAsia" w:ascii="宋体" w:cs="宋体"/>
                <w:b/>
                <w:color w:val="000000"/>
                <w:highlight w:val="none"/>
                <w:lang w:val="en-US" w:eastAsia="zh-CN"/>
              </w:rPr>
              <w:t>⑤</w:t>
            </w:r>
            <w:r>
              <w:rPr>
                <w:rFonts w:hint="eastAsia" w:ascii="宋体" w:cs="宋体"/>
                <w:b/>
                <w:color w:val="000000"/>
                <w:highlight w:val="none"/>
              </w:rPr>
              <w:t>提供特急标本优先加急特事特办服务等）</w:t>
            </w:r>
            <w:r>
              <w:rPr>
                <w:rFonts w:hint="eastAsia" w:ascii="宋体" w:cs="宋体"/>
                <w:color w:val="000000"/>
                <w:highlight w:val="none"/>
              </w:rPr>
              <w:t>，满足以上全部评定方向且切实可行操作性强的得基本分</w:t>
            </w:r>
            <w:r>
              <w:rPr>
                <w:rFonts w:hint="eastAsia" w:ascii="宋体" w:cs="宋体"/>
                <w:color w:val="000000"/>
                <w:highlight w:val="none"/>
                <w:lang w:val="en-US" w:eastAsia="zh-CN"/>
              </w:rPr>
              <w:t>10</w:t>
            </w:r>
            <w:r>
              <w:rPr>
                <w:rFonts w:hint="eastAsia" w:ascii="宋体" w:cs="宋体"/>
                <w:color w:val="000000"/>
                <w:highlight w:val="none"/>
              </w:rPr>
              <w:t>分，</w:t>
            </w:r>
            <w:r>
              <w:rPr>
                <w:rFonts w:hint="eastAsia" w:cs="宋体"/>
                <w:color w:val="000000"/>
                <w:highlight w:val="none"/>
                <w:lang w:eastAsia="zh-CN"/>
              </w:rPr>
              <w:t>供应商</w:t>
            </w:r>
            <w:r>
              <w:rPr>
                <w:rFonts w:hint="eastAsia" w:ascii="宋体" w:cs="宋体"/>
                <w:color w:val="000000"/>
                <w:highlight w:val="none"/>
              </w:rPr>
              <w:t>每有一项有利于项目实施、具有针对性的增项的加</w:t>
            </w:r>
            <w:r>
              <w:rPr>
                <w:rFonts w:hint="eastAsia" w:ascii="宋体" w:cs="宋体"/>
                <w:color w:val="000000"/>
                <w:highlight w:val="none"/>
                <w:lang w:val="en-US" w:eastAsia="zh-CN"/>
              </w:rPr>
              <w:t>2</w:t>
            </w:r>
            <w:r>
              <w:rPr>
                <w:rFonts w:hint="eastAsia" w:ascii="宋体" w:cs="宋体"/>
                <w:color w:val="000000"/>
                <w:highlight w:val="none"/>
              </w:rPr>
              <w:t>分，最多加</w:t>
            </w:r>
            <w:r>
              <w:rPr>
                <w:rFonts w:hint="eastAsia" w:ascii="宋体" w:cs="宋体"/>
                <w:color w:val="000000"/>
                <w:highlight w:val="none"/>
                <w:lang w:val="en-US" w:eastAsia="zh-CN"/>
              </w:rPr>
              <w:t>4</w:t>
            </w:r>
            <w:r>
              <w:rPr>
                <w:rFonts w:hint="eastAsia" w:ascii="宋体" w:cs="宋体"/>
                <w:color w:val="000000"/>
                <w:highlight w:val="none"/>
              </w:rPr>
              <w:t>分；每出现一处细微偏差情形在基本分的基础上扣</w:t>
            </w:r>
            <w:r>
              <w:rPr>
                <w:rFonts w:ascii="宋体" w:cs="宋体"/>
                <w:color w:val="000000"/>
                <w:highlight w:val="none"/>
              </w:rPr>
              <w:t>2</w:t>
            </w:r>
            <w:r>
              <w:rPr>
                <w:rFonts w:hint="eastAsia" w:ascii="宋体" w:cs="宋体"/>
                <w:color w:val="000000"/>
                <w:highlight w:val="none"/>
              </w:rPr>
              <w:t>分，扣完为止，不提供的不得分。本项最多得</w:t>
            </w:r>
            <w:r>
              <w:rPr>
                <w:rFonts w:ascii="宋体" w:cs="宋体"/>
                <w:color w:val="000000"/>
                <w:highlight w:val="none"/>
              </w:rPr>
              <w:t>1</w:t>
            </w:r>
            <w:r>
              <w:rPr>
                <w:rFonts w:hint="eastAsia" w:ascii="宋体" w:cs="宋体"/>
                <w:color w:val="000000"/>
                <w:highlight w:val="none"/>
                <w:lang w:val="en-US" w:eastAsia="zh-CN"/>
              </w:rPr>
              <w:t>4</w:t>
            </w:r>
            <w:r>
              <w:rPr>
                <w:rFonts w:hint="eastAsia" w:ascii="宋体" w:cs="宋体"/>
                <w:color w:val="000000"/>
                <w:highlight w:val="none"/>
              </w:rPr>
              <w:t>分。</w:t>
            </w:r>
          </w:p>
        </w:tc>
        <w:tc>
          <w:tcPr>
            <w:tcW w:w="2108" w:type="dxa"/>
            <w:tcBorders>
              <w:top w:val="single" w:color="auto" w:sz="6" w:space="0"/>
              <w:left w:val="single" w:color="auto" w:sz="6" w:space="0"/>
              <w:bottom w:val="single" w:color="auto" w:sz="6" w:space="0"/>
              <w:right w:val="single" w:color="auto" w:sz="18" w:space="0"/>
            </w:tcBorders>
            <w:vAlign w:val="center"/>
          </w:tcPr>
          <w:p>
            <w:pPr>
              <w:jc w:val="center"/>
              <w:rPr>
                <w:rFonts w:ascii="宋体" w:cs="宋体"/>
                <w:color w:val="000000"/>
                <w:highlight w:val="none"/>
              </w:rPr>
            </w:pPr>
            <w:r>
              <w:rPr>
                <w:rFonts w:hint="eastAsia" w:ascii="宋体" w:cs="宋体"/>
                <w:color w:val="000000"/>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984" w:hRule="atLeast"/>
          <w:jc w:val="center"/>
        </w:trPr>
        <w:tc>
          <w:tcPr>
            <w:tcW w:w="765" w:type="dxa"/>
            <w:tcBorders>
              <w:top w:val="single" w:color="auto" w:sz="6" w:space="0"/>
              <w:left w:val="single" w:color="auto" w:sz="18" w:space="0"/>
              <w:bottom w:val="single" w:color="auto" w:sz="6" w:space="0"/>
              <w:right w:val="single" w:color="auto" w:sz="6" w:space="0"/>
            </w:tcBorders>
            <w:vAlign w:val="center"/>
          </w:tcPr>
          <w:p>
            <w:pPr>
              <w:pStyle w:val="16"/>
              <w:jc w:val="center"/>
              <w:rPr>
                <w:rFonts w:ascii="宋体" w:cs="宋体"/>
                <w:bCs/>
                <w:color w:val="000000"/>
                <w:sz w:val="24"/>
                <w:highlight w:val="none"/>
              </w:rPr>
            </w:pPr>
          </w:p>
        </w:tc>
        <w:tc>
          <w:tcPr>
            <w:tcW w:w="1199" w:type="dxa"/>
            <w:tcBorders>
              <w:top w:val="single" w:color="auto" w:sz="6" w:space="0"/>
              <w:left w:val="single" w:color="auto" w:sz="6" w:space="0"/>
              <w:bottom w:val="single" w:color="auto" w:sz="6" w:space="0"/>
              <w:right w:val="single" w:color="auto" w:sz="6" w:space="0"/>
            </w:tcBorders>
            <w:vAlign w:val="center"/>
          </w:tcPr>
          <w:p>
            <w:pPr>
              <w:pStyle w:val="16"/>
              <w:jc w:val="center"/>
              <w:rPr>
                <w:rFonts w:ascii="宋体" w:cs="宋体"/>
                <w:color w:val="000000"/>
                <w:sz w:val="24"/>
                <w:highlight w:val="none"/>
              </w:rPr>
            </w:pPr>
          </w:p>
        </w:tc>
        <w:tc>
          <w:tcPr>
            <w:tcW w:w="836" w:type="dxa"/>
            <w:tcBorders>
              <w:top w:val="single" w:color="auto" w:sz="6" w:space="0"/>
              <w:left w:val="single" w:color="auto" w:sz="6" w:space="0"/>
              <w:bottom w:val="single" w:color="auto" w:sz="6" w:space="0"/>
              <w:right w:val="single" w:color="auto" w:sz="6" w:space="0"/>
            </w:tcBorders>
            <w:vAlign w:val="center"/>
          </w:tcPr>
          <w:p>
            <w:pPr>
              <w:pStyle w:val="16"/>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售后服务方案</w:t>
            </w:r>
          </w:p>
          <w:p>
            <w:pPr>
              <w:pStyle w:val="16"/>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11分</w:t>
            </w:r>
          </w:p>
        </w:tc>
        <w:tc>
          <w:tcPr>
            <w:tcW w:w="5577" w:type="dxa"/>
            <w:tcBorders>
              <w:top w:val="single" w:color="auto" w:sz="6" w:space="0"/>
              <w:left w:val="single" w:color="auto" w:sz="6" w:space="0"/>
              <w:bottom w:val="single" w:color="auto" w:sz="6" w:space="0"/>
              <w:right w:val="single" w:color="auto" w:sz="6" w:space="0"/>
            </w:tcBorders>
            <w:vAlign w:val="center"/>
          </w:tcPr>
          <w:p>
            <w:pPr>
              <w:pStyle w:val="16"/>
              <w:jc w:val="both"/>
              <w:rPr>
                <w:rFonts w:hint="eastAsia" w:ascii="宋体" w:eastAsia="宋体" w:cs="宋体"/>
                <w:color w:val="000000"/>
                <w:sz w:val="24"/>
                <w:highlight w:val="none"/>
                <w:lang w:eastAsia="zh-CN"/>
              </w:rPr>
            </w:pPr>
            <w:r>
              <w:rPr>
                <w:rFonts w:hint="eastAsia" w:ascii="宋体" w:hAnsi="宋体" w:eastAsia="宋体" w:cs="宋体"/>
                <w:sz w:val="24"/>
                <w:szCs w:val="24"/>
                <w:highlight w:val="none"/>
              </w:rPr>
              <w:t>针对本项目提供</w:t>
            </w:r>
            <w:r>
              <w:rPr>
                <w:rFonts w:ascii="宋体" w:hAnsi="宋体" w:eastAsia="宋体" w:cs="宋体"/>
                <w:sz w:val="24"/>
                <w:szCs w:val="24"/>
                <w:highlight w:val="none"/>
              </w:rPr>
              <w:t>售后服务方案</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val="en-US" w:eastAsia="zh-CN"/>
              </w:rPr>
              <w:t>至少包含</w:t>
            </w:r>
            <w:r>
              <w:rPr>
                <w:rFonts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①</w:t>
            </w:r>
            <w:r>
              <w:rPr>
                <w:rFonts w:ascii="宋体" w:hAnsi="宋体" w:eastAsia="宋体" w:cs="宋体"/>
                <w:b/>
                <w:bCs/>
                <w:sz w:val="24"/>
                <w:szCs w:val="24"/>
                <w:highlight w:val="none"/>
              </w:rPr>
              <w:t>现场服务支持能力、</w:t>
            </w:r>
            <w:r>
              <w:rPr>
                <w:rFonts w:hint="eastAsia" w:ascii="宋体" w:hAnsi="宋体" w:eastAsia="宋体" w:cs="宋体"/>
                <w:b/>
                <w:bCs/>
                <w:sz w:val="24"/>
                <w:szCs w:val="24"/>
                <w:highlight w:val="none"/>
                <w:lang w:val="en-US" w:eastAsia="zh-CN"/>
              </w:rPr>
              <w:t>②</w:t>
            </w:r>
            <w:r>
              <w:rPr>
                <w:rFonts w:ascii="宋体" w:hAnsi="宋体" w:eastAsia="宋体" w:cs="宋体"/>
                <w:b/>
                <w:bCs/>
                <w:sz w:val="24"/>
                <w:szCs w:val="24"/>
                <w:highlight w:val="none"/>
              </w:rPr>
              <w:t>服务承诺、</w:t>
            </w:r>
            <w:r>
              <w:rPr>
                <w:rFonts w:hint="eastAsia" w:ascii="宋体" w:hAnsi="宋体" w:eastAsia="宋体" w:cs="宋体"/>
                <w:b/>
                <w:bCs/>
                <w:sz w:val="24"/>
                <w:szCs w:val="24"/>
                <w:highlight w:val="none"/>
                <w:lang w:val="en-US" w:eastAsia="zh-CN"/>
              </w:rPr>
              <w:t>③</w:t>
            </w:r>
            <w:r>
              <w:rPr>
                <w:rFonts w:ascii="宋体" w:hAnsi="宋体" w:eastAsia="宋体" w:cs="宋体"/>
                <w:b/>
                <w:bCs/>
                <w:sz w:val="24"/>
                <w:szCs w:val="24"/>
                <w:highlight w:val="none"/>
              </w:rPr>
              <w:t>培训方案、</w:t>
            </w:r>
            <w:r>
              <w:rPr>
                <w:rFonts w:hint="eastAsia" w:ascii="宋体" w:hAnsi="宋体" w:eastAsia="宋体" w:cs="宋体"/>
                <w:b/>
                <w:bCs/>
                <w:sz w:val="24"/>
                <w:szCs w:val="24"/>
                <w:highlight w:val="none"/>
                <w:lang w:val="en-US" w:eastAsia="zh-CN"/>
              </w:rPr>
              <w:t>④</w:t>
            </w:r>
            <w:r>
              <w:rPr>
                <w:rFonts w:ascii="宋体" w:hAnsi="宋体" w:eastAsia="宋体" w:cs="宋体"/>
                <w:b/>
                <w:bCs/>
                <w:sz w:val="24"/>
                <w:szCs w:val="24"/>
                <w:highlight w:val="none"/>
              </w:rPr>
              <w:t>售后服务管理制度</w:t>
            </w:r>
            <w:r>
              <w:rPr>
                <w:rFonts w:hint="eastAsia" w:ascii="宋体" w:hAnsi="宋体" w:eastAsia="宋体" w:cs="宋体"/>
                <w:b/>
                <w:bCs/>
                <w:sz w:val="24"/>
                <w:szCs w:val="24"/>
                <w:highlight w:val="none"/>
                <w:lang w:eastAsia="zh-CN"/>
              </w:rPr>
              <w:t>）</w:t>
            </w:r>
            <w:r>
              <w:rPr>
                <w:rFonts w:hint="eastAsia" w:ascii="宋体" w:cs="宋体"/>
                <w:color w:val="000000"/>
                <w:highlight w:val="none"/>
              </w:rPr>
              <w:t>满足以上全部评定方向且切实可行操作性强的得基本分</w:t>
            </w:r>
            <w:r>
              <w:rPr>
                <w:rFonts w:hint="eastAsia" w:ascii="宋体" w:cs="宋体"/>
                <w:color w:val="000000"/>
                <w:highlight w:val="none"/>
                <w:lang w:val="en-US" w:eastAsia="zh-CN"/>
              </w:rPr>
              <w:t>8</w:t>
            </w:r>
            <w:r>
              <w:rPr>
                <w:rFonts w:hint="eastAsia" w:ascii="宋体" w:cs="宋体"/>
                <w:color w:val="000000"/>
                <w:highlight w:val="none"/>
              </w:rPr>
              <w:t>分，</w:t>
            </w:r>
            <w:r>
              <w:rPr>
                <w:rFonts w:hint="eastAsia" w:cs="宋体"/>
                <w:color w:val="000000"/>
                <w:highlight w:val="none"/>
                <w:lang w:eastAsia="zh-CN"/>
              </w:rPr>
              <w:t>供应商</w:t>
            </w:r>
            <w:r>
              <w:rPr>
                <w:rFonts w:hint="eastAsia" w:ascii="宋体" w:cs="宋体"/>
                <w:color w:val="000000"/>
                <w:highlight w:val="none"/>
              </w:rPr>
              <w:t>每有一项有利于项目实施、具有针对性的增项的加</w:t>
            </w:r>
            <w:r>
              <w:rPr>
                <w:rFonts w:hint="eastAsia" w:ascii="宋体" w:cs="宋体"/>
                <w:color w:val="000000"/>
                <w:highlight w:val="none"/>
                <w:lang w:val="en-US" w:eastAsia="zh-CN"/>
              </w:rPr>
              <w:t>1.5</w:t>
            </w:r>
            <w:r>
              <w:rPr>
                <w:rFonts w:hint="eastAsia" w:ascii="宋体" w:cs="宋体"/>
                <w:color w:val="000000"/>
                <w:highlight w:val="none"/>
              </w:rPr>
              <w:t>分，最多加</w:t>
            </w:r>
            <w:r>
              <w:rPr>
                <w:rFonts w:hint="eastAsia" w:ascii="宋体" w:cs="宋体"/>
                <w:color w:val="000000"/>
                <w:highlight w:val="none"/>
                <w:lang w:val="en-US" w:eastAsia="zh-CN"/>
              </w:rPr>
              <w:t>3</w:t>
            </w:r>
            <w:r>
              <w:rPr>
                <w:rFonts w:hint="eastAsia" w:ascii="宋体" w:cs="宋体"/>
                <w:color w:val="000000"/>
                <w:highlight w:val="none"/>
              </w:rPr>
              <w:t>分；每出现一处细微偏差情形在基本分的基础上扣</w:t>
            </w:r>
            <w:r>
              <w:rPr>
                <w:rFonts w:ascii="宋体" w:cs="宋体"/>
                <w:color w:val="000000"/>
                <w:highlight w:val="none"/>
              </w:rPr>
              <w:t>2</w:t>
            </w:r>
            <w:r>
              <w:rPr>
                <w:rFonts w:hint="eastAsia" w:ascii="宋体" w:cs="宋体"/>
                <w:color w:val="000000"/>
                <w:highlight w:val="none"/>
              </w:rPr>
              <w:t>分，扣完为止，不提供的不得分。本项最多得</w:t>
            </w:r>
            <w:r>
              <w:rPr>
                <w:rFonts w:hint="eastAsia" w:ascii="宋体" w:cs="宋体"/>
                <w:color w:val="000000"/>
                <w:highlight w:val="none"/>
                <w:lang w:val="en-US" w:eastAsia="zh-CN"/>
              </w:rPr>
              <w:t>11</w:t>
            </w:r>
            <w:r>
              <w:rPr>
                <w:rFonts w:hint="eastAsia" w:ascii="宋体" w:cs="宋体"/>
                <w:color w:val="000000"/>
                <w:highlight w:val="none"/>
              </w:rPr>
              <w:t>分。</w:t>
            </w:r>
          </w:p>
        </w:tc>
        <w:tc>
          <w:tcPr>
            <w:tcW w:w="2108" w:type="dxa"/>
            <w:tcBorders>
              <w:top w:val="single" w:color="auto" w:sz="6" w:space="0"/>
              <w:left w:val="single" w:color="auto" w:sz="6" w:space="0"/>
              <w:bottom w:val="single" w:color="auto" w:sz="6" w:space="0"/>
              <w:right w:val="single" w:color="auto" w:sz="18" w:space="0"/>
            </w:tcBorders>
            <w:vAlign w:val="center"/>
          </w:tcPr>
          <w:p>
            <w:pPr>
              <w:pStyle w:val="16"/>
              <w:jc w:val="center"/>
              <w:rPr>
                <w:rFonts w:cs="宋体"/>
                <w:color w:val="000000"/>
                <w:sz w:val="24"/>
                <w:highlight w:val="none"/>
              </w:rPr>
            </w:pPr>
            <w:r>
              <w:rPr>
                <w:rFonts w:hint="eastAsia" w:ascii="宋体" w:cs="宋体"/>
                <w:color w:val="000000"/>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984" w:hRule="atLeast"/>
          <w:jc w:val="center"/>
        </w:trPr>
        <w:tc>
          <w:tcPr>
            <w:tcW w:w="765" w:type="dxa"/>
            <w:tcBorders>
              <w:top w:val="single" w:color="auto" w:sz="6" w:space="0"/>
              <w:left w:val="single" w:color="auto" w:sz="18" w:space="0"/>
              <w:bottom w:val="single" w:color="auto" w:sz="6" w:space="0"/>
              <w:right w:val="single" w:color="auto" w:sz="6" w:space="0"/>
            </w:tcBorders>
            <w:vAlign w:val="center"/>
          </w:tcPr>
          <w:p>
            <w:pPr>
              <w:pStyle w:val="16"/>
              <w:jc w:val="center"/>
              <w:rPr>
                <w:rFonts w:ascii="宋体" w:cs="宋体"/>
                <w:bCs/>
                <w:color w:val="000000"/>
                <w:sz w:val="24"/>
                <w:highlight w:val="none"/>
              </w:rPr>
            </w:pPr>
            <w:r>
              <w:rPr>
                <w:rFonts w:hint="eastAsia" w:ascii="宋体" w:hAnsi="宋体" w:cs="宋体"/>
                <w:bCs/>
                <w:color w:val="000000"/>
                <w:sz w:val="24"/>
                <w:highlight w:val="none"/>
              </w:rPr>
              <w:t>3</w:t>
            </w:r>
          </w:p>
        </w:tc>
        <w:tc>
          <w:tcPr>
            <w:tcW w:w="1199" w:type="dxa"/>
            <w:tcBorders>
              <w:top w:val="single" w:color="auto" w:sz="6" w:space="0"/>
              <w:left w:val="single" w:color="auto" w:sz="6" w:space="0"/>
              <w:bottom w:val="single" w:color="auto" w:sz="6" w:space="0"/>
              <w:right w:val="single" w:color="auto" w:sz="6" w:space="0"/>
            </w:tcBorders>
            <w:vAlign w:val="center"/>
          </w:tcPr>
          <w:p>
            <w:pPr>
              <w:pStyle w:val="16"/>
              <w:jc w:val="center"/>
              <w:rPr>
                <w:rFonts w:ascii="宋体" w:cs="宋体"/>
                <w:color w:val="000000"/>
                <w:sz w:val="24"/>
                <w:highlight w:val="none"/>
              </w:rPr>
            </w:pPr>
            <w:r>
              <w:rPr>
                <w:rFonts w:hint="eastAsia" w:ascii="宋体" w:hAnsi="宋体" w:cs="宋体"/>
                <w:color w:val="000000"/>
                <w:sz w:val="24"/>
                <w:highlight w:val="none"/>
              </w:rPr>
              <w:t>履约能力1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w:t>
            </w:r>
          </w:p>
        </w:tc>
        <w:tc>
          <w:tcPr>
            <w:tcW w:w="836" w:type="dxa"/>
            <w:tcBorders>
              <w:top w:val="single" w:color="auto" w:sz="6" w:space="0"/>
              <w:left w:val="single" w:color="auto" w:sz="6" w:space="0"/>
              <w:bottom w:val="single" w:color="auto" w:sz="6" w:space="0"/>
              <w:right w:val="single" w:color="auto" w:sz="6" w:space="0"/>
            </w:tcBorders>
            <w:vAlign w:val="center"/>
          </w:tcPr>
          <w:p>
            <w:pPr>
              <w:pStyle w:val="16"/>
              <w:jc w:val="center"/>
              <w:rPr>
                <w:rFonts w:asci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tc>
        <w:tc>
          <w:tcPr>
            <w:tcW w:w="5577" w:type="dxa"/>
            <w:tcBorders>
              <w:top w:val="single" w:color="auto" w:sz="6" w:space="0"/>
              <w:left w:val="single" w:color="auto" w:sz="6" w:space="0"/>
              <w:bottom w:val="single" w:color="auto" w:sz="6" w:space="0"/>
              <w:right w:val="single" w:color="auto" w:sz="6" w:space="0"/>
            </w:tcBorders>
            <w:vAlign w:val="center"/>
          </w:tcPr>
          <w:p>
            <w:pPr>
              <w:pStyle w:val="16"/>
              <w:jc w:val="both"/>
              <w:rPr>
                <w:rFonts w:ascii="宋体" w:cs="宋体"/>
                <w:color w:val="000000"/>
                <w:sz w:val="24"/>
                <w:highlight w:val="none"/>
              </w:rPr>
            </w:pPr>
            <w:r>
              <w:rPr>
                <w:rFonts w:hint="eastAsia" w:ascii="宋体" w:hAnsi="宋体" w:cs="宋体"/>
                <w:color w:val="000000"/>
                <w:sz w:val="24"/>
                <w:highlight w:val="none"/>
              </w:rPr>
              <w:t>201</w:t>
            </w: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年1月1日以来具有</w:t>
            </w:r>
            <w:r>
              <w:rPr>
                <w:rFonts w:hint="eastAsia" w:ascii="宋体" w:hAnsi="宋体" w:cs="宋体"/>
                <w:color w:val="000000"/>
                <w:sz w:val="24"/>
                <w:highlight w:val="none"/>
                <w:lang w:val="en-US" w:eastAsia="zh-CN"/>
              </w:rPr>
              <w:t>一个</w:t>
            </w:r>
            <w:r>
              <w:rPr>
                <w:rFonts w:hint="eastAsia" w:ascii="宋体" w:hAnsi="宋体" w:cs="宋体"/>
                <w:color w:val="000000"/>
                <w:sz w:val="24"/>
                <w:highlight w:val="none"/>
              </w:rPr>
              <w:t>类似项目业绩的</w:t>
            </w:r>
            <w:r>
              <w:rPr>
                <w:rFonts w:hint="eastAsia" w:ascii="宋体" w:hAnsi="宋体" w:cs="宋体"/>
                <w:color w:val="000000"/>
                <w:sz w:val="24"/>
                <w:highlight w:val="none"/>
                <w:lang w:val="en-US" w:eastAsia="zh-CN"/>
              </w:rPr>
              <w:t>得5分</w:t>
            </w:r>
            <w:r>
              <w:rPr>
                <w:rFonts w:hint="eastAsia" w:ascii="宋体" w:hAnsi="宋体" w:cs="宋体"/>
                <w:color w:val="000000"/>
                <w:sz w:val="24"/>
                <w:highlight w:val="none"/>
              </w:rPr>
              <w:t>，每</w:t>
            </w:r>
            <w:r>
              <w:rPr>
                <w:rFonts w:hint="eastAsia" w:ascii="宋体" w:hAnsi="宋体" w:cs="宋体"/>
                <w:color w:val="000000"/>
                <w:sz w:val="24"/>
                <w:highlight w:val="none"/>
                <w:lang w:val="en-US" w:eastAsia="zh-CN"/>
              </w:rPr>
              <w:t>增加</w:t>
            </w:r>
            <w:r>
              <w:rPr>
                <w:rFonts w:hint="eastAsia" w:ascii="宋体" w:hAnsi="宋体" w:cs="宋体"/>
                <w:color w:val="000000"/>
                <w:sz w:val="24"/>
                <w:highlight w:val="none"/>
              </w:rPr>
              <w:t>一个类似项目业绩</w:t>
            </w:r>
            <w:r>
              <w:rPr>
                <w:rFonts w:hint="eastAsia" w:ascii="宋体" w:hAnsi="宋体" w:cs="宋体"/>
                <w:color w:val="000000"/>
                <w:sz w:val="24"/>
                <w:highlight w:val="none"/>
                <w:lang w:val="en-US" w:eastAsia="zh-CN"/>
              </w:rPr>
              <w:t>的加4</w:t>
            </w:r>
            <w:r>
              <w:rPr>
                <w:rFonts w:hint="eastAsia" w:ascii="宋体" w:hAnsi="宋体" w:cs="宋体"/>
                <w:color w:val="000000"/>
                <w:sz w:val="24"/>
                <w:highlight w:val="none"/>
              </w:rPr>
              <w:t>分；最多得</w:t>
            </w:r>
            <w:r>
              <w:rPr>
                <w:rFonts w:hint="eastAsia" w:ascii="宋体" w:hAnsi="宋体" w:cs="宋体"/>
                <w:color w:val="000000"/>
                <w:sz w:val="24"/>
                <w:highlight w:val="none"/>
                <w:lang w:val="en-US" w:eastAsia="zh-CN"/>
              </w:rPr>
              <w:t>13</w:t>
            </w:r>
            <w:r>
              <w:rPr>
                <w:rFonts w:hint="eastAsia" w:ascii="宋体" w:hAnsi="宋体" w:cs="宋体"/>
                <w:color w:val="000000"/>
                <w:sz w:val="24"/>
                <w:highlight w:val="none"/>
              </w:rPr>
              <w:t>分。</w:t>
            </w:r>
          </w:p>
        </w:tc>
        <w:tc>
          <w:tcPr>
            <w:tcW w:w="2108" w:type="dxa"/>
            <w:tcBorders>
              <w:top w:val="single" w:color="auto" w:sz="6" w:space="0"/>
              <w:left w:val="single" w:color="auto" w:sz="6" w:space="0"/>
              <w:bottom w:val="single" w:color="auto" w:sz="6" w:space="0"/>
              <w:right w:val="single" w:color="auto" w:sz="18" w:space="0"/>
            </w:tcBorders>
            <w:vAlign w:val="center"/>
          </w:tcPr>
          <w:p>
            <w:pPr>
              <w:pStyle w:val="16"/>
              <w:jc w:val="both"/>
              <w:rPr>
                <w:rFonts w:cs="宋体"/>
                <w:color w:val="000000"/>
                <w:sz w:val="24"/>
                <w:highlight w:val="none"/>
              </w:rPr>
            </w:pPr>
            <w:r>
              <w:rPr>
                <w:rFonts w:hint="eastAsia" w:cs="宋体"/>
                <w:color w:val="000000"/>
                <w:sz w:val="24"/>
                <w:highlight w:val="none"/>
              </w:rPr>
              <w:t>提供合同复印件或中标（成交）通知书复印件加盖鲜章</w:t>
            </w:r>
          </w:p>
          <w:p>
            <w:pPr>
              <w:pStyle w:val="16"/>
              <w:jc w:val="center"/>
              <w:rPr>
                <w:rFonts w:cs="宋体"/>
                <w:color w:val="000000"/>
                <w:sz w:val="24"/>
                <w:highlight w:val="none"/>
              </w:rPr>
            </w:pPr>
            <w:r>
              <w:rPr>
                <w:rFonts w:hint="eastAsia" w:ascii="宋体" w:cs="宋体"/>
                <w:color w:val="000000"/>
                <w:sz w:val="24"/>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5" w:type="dxa"/>
            <w:tcBorders>
              <w:top w:val="single" w:color="auto" w:sz="6" w:space="0"/>
              <w:left w:val="single" w:color="auto" w:sz="18" w:space="0"/>
              <w:bottom w:val="single" w:color="auto" w:sz="6" w:space="0"/>
              <w:right w:val="single" w:color="auto" w:sz="6" w:space="0"/>
            </w:tcBorders>
            <w:vAlign w:val="center"/>
          </w:tcPr>
          <w:p>
            <w:pPr>
              <w:pStyle w:val="16"/>
              <w:jc w:val="center"/>
              <w:rPr>
                <w:rFonts w:ascii="宋体" w:cs="宋体"/>
                <w:bCs/>
                <w:color w:val="000000"/>
                <w:sz w:val="24"/>
                <w:highlight w:val="none"/>
              </w:rPr>
            </w:pPr>
            <w:r>
              <w:rPr>
                <w:rFonts w:hint="eastAsia" w:ascii="宋体" w:hAnsi="宋体" w:cs="宋体"/>
                <w:bCs/>
                <w:color w:val="000000"/>
                <w:sz w:val="24"/>
                <w:highlight w:val="none"/>
              </w:rPr>
              <w:t>4</w:t>
            </w:r>
          </w:p>
        </w:tc>
        <w:tc>
          <w:tcPr>
            <w:tcW w:w="1199" w:type="dxa"/>
            <w:tcBorders>
              <w:top w:val="single" w:color="auto" w:sz="6" w:space="0"/>
              <w:left w:val="single" w:color="auto" w:sz="6" w:space="0"/>
              <w:bottom w:val="single" w:color="auto" w:sz="6" w:space="0"/>
              <w:right w:val="single" w:color="auto" w:sz="6" w:space="0"/>
            </w:tcBorders>
            <w:vAlign w:val="center"/>
          </w:tcPr>
          <w:p>
            <w:pPr>
              <w:pStyle w:val="16"/>
              <w:jc w:val="center"/>
              <w:rPr>
                <w:rFonts w:ascii="宋体" w:cs="宋体"/>
                <w:color w:val="000000"/>
                <w:sz w:val="24"/>
                <w:highlight w:val="none"/>
              </w:rPr>
            </w:pPr>
            <w:r>
              <w:rPr>
                <w:rFonts w:hint="eastAsia" w:ascii="宋体" w:hAnsi="宋体" w:cs="宋体"/>
                <w:color w:val="000000"/>
                <w:sz w:val="24"/>
                <w:highlight w:val="none"/>
                <w:lang w:val="en-US" w:eastAsia="zh-CN"/>
              </w:rPr>
              <w:t>企业能力8</w:t>
            </w:r>
            <w:r>
              <w:rPr>
                <w:rFonts w:hint="eastAsia" w:ascii="宋体" w:hAnsi="宋体" w:cs="宋体"/>
                <w:color w:val="000000"/>
                <w:sz w:val="24"/>
                <w:highlight w:val="none"/>
              </w:rPr>
              <w:t>%</w:t>
            </w:r>
          </w:p>
        </w:tc>
        <w:tc>
          <w:tcPr>
            <w:tcW w:w="836" w:type="dxa"/>
            <w:tcBorders>
              <w:top w:val="single" w:color="auto" w:sz="6" w:space="0"/>
              <w:left w:val="single" w:color="auto" w:sz="6" w:space="0"/>
              <w:bottom w:val="single" w:color="auto" w:sz="6" w:space="0"/>
              <w:right w:val="single" w:color="auto" w:sz="6" w:space="0"/>
            </w:tcBorders>
            <w:vAlign w:val="center"/>
          </w:tcPr>
          <w:p>
            <w:pPr>
              <w:pStyle w:val="16"/>
              <w:jc w:val="center"/>
              <w:rPr>
                <w:rFonts w:ascii="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分</w:t>
            </w:r>
          </w:p>
        </w:tc>
        <w:tc>
          <w:tcPr>
            <w:tcW w:w="5577" w:type="dxa"/>
            <w:tcBorders>
              <w:top w:val="single" w:color="auto" w:sz="6" w:space="0"/>
              <w:left w:val="single" w:color="auto" w:sz="6" w:space="0"/>
              <w:bottom w:val="single" w:color="auto" w:sz="6" w:space="0"/>
              <w:right w:val="single" w:color="auto" w:sz="6" w:space="0"/>
            </w:tcBorders>
            <w:vAlign w:val="center"/>
          </w:tcPr>
          <w:p>
            <w:pPr>
              <w:pStyle w:val="16"/>
              <w:numPr>
                <w:ilvl w:val="0"/>
                <w:numId w:val="9"/>
              </w:numPr>
              <w:jc w:val="both"/>
              <w:rPr>
                <w:rFonts w:hint="eastAsia" w:ascii="宋体" w:cs="宋体"/>
                <w:color w:val="000000"/>
                <w:sz w:val="24"/>
                <w:highlight w:val="none"/>
              </w:rPr>
            </w:pPr>
            <w:r>
              <w:rPr>
                <w:rFonts w:hint="eastAsia" w:ascii="宋体" w:cs="宋体"/>
                <w:color w:val="000000"/>
                <w:sz w:val="24"/>
                <w:highlight w:val="none"/>
              </w:rPr>
              <w:t>供应商实验室或所属集团内实验室通过CAP质量体系认证的，得</w:t>
            </w:r>
            <w:r>
              <w:rPr>
                <w:rFonts w:hint="eastAsia" w:ascii="宋体" w:cs="宋体"/>
                <w:color w:val="000000"/>
                <w:sz w:val="24"/>
                <w:highlight w:val="none"/>
                <w:lang w:val="en-US" w:eastAsia="zh-CN"/>
              </w:rPr>
              <w:t>3</w:t>
            </w:r>
            <w:r>
              <w:rPr>
                <w:rFonts w:hint="eastAsia" w:ascii="宋体" w:cs="宋体"/>
                <w:color w:val="000000"/>
                <w:sz w:val="24"/>
                <w:highlight w:val="none"/>
              </w:rPr>
              <w:t>分。（提供相关证明材料）</w:t>
            </w:r>
            <w:r>
              <w:rPr>
                <w:rFonts w:hint="eastAsia" w:ascii="宋体" w:cs="宋体"/>
                <w:color w:val="000000"/>
                <w:sz w:val="24"/>
                <w:highlight w:val="none"/>
                <w:lang w:eastAsia="zh-CN"/>
              </w:rPr>
              <w:t>，</w:t>
            </w:r>
            <w:r>
              <w:rPr>
                <w:rFonts w:hint="eastAsia" w:ascii="宋体" w:cs="宋体"/>
                <w:color w:val="000000"/>
                <w:sz w:val="24"/>
                <w:highlight w:val="none"/>
                <w:lang w:val="en-US" w:eastAsia="zh-CN"/>
              </w:rPr>
              <w:t>本项最多得3</w:t>
            </w:r>
            <w:r>
              <w:rPr>
                <w:rFonts w:hint="eastAsia" w:ascii="宋体" w:cs="宋体"/>
                <w:color w:val="000000"/>
                <w:sz w:val="24"/>
                <w:highlight w:val="none"/>
              </w:rPr>
              <w:t>分。</w:t>
            </w:r>
          </w:p>
          <w:p>
            <w:pPr>
              <w:pStyle w:val="16"/>
              <w:numPr>
                <w:ilvl w:val="0"/>
                <w:numId w:val="9"/>
              </w:numPr>
              <w:ind w:left="0" w:leftChars="0" w:firstLine="0" w:firstLineChars="0"/>
              <w:jc w:val="both"/>
              <w:rPr>
                <w:rFonts w:hint="eastAsia" w:ascii="宋体" w:cs="宋体"/>
                <w:color w:val="000000"/>
                <w:sz w:val="24"/>
                <w:highlight w:val="none"/>
              </w:rPr>
            </w:pPr>
            <w:r>
              <w:rPr>
                <w:rFonts w:hint="eastAsia" w:ascii="宋体" w:cs="宋体"/>
                <w:color w:val="000000"/>
                <w:sz w:val="24"/>
                <w:highlight w:val="none"/>
              </w:rPr>
              <w:t>供应商能够提供检验科LIS系统端口免费对接的，得</w:t>
            </w:r>
            <w:r>
              <w:rPr>
                <w:rFonts w:hint="eastAsia" w:ascii="宋体" w:cs="宋体"/>
                <w:color w:val="000000"/>
                <w:sz w:val="24"/>
                <w:highlight w:val="none"/>
                <w:lang w:val="en-US" w:eastAsia="zh-CN"/>
              </w:rPr>
              <w:t>5</w:t>
            </w:r>
            <w:r>
              <w:rPr>
                <w:rFonts w:hint="eastAsia" w:ascii="宋体" w:cs="宋体"/>
                <w:color w:val="000000"/>
                <w:sz w:val="24"/>
                <w:highlight w:val="none"/>
              </w:rPr>
              <w:t>分（提供承诺函）</w:t>
            </w:r>
            <w:r>
              <w:rPr>
                <w:rFonts w:hint="eastAsia" w:ascii="宋体" w:cs="宋体"/>
                <w:color w:val="000000"/>
                <w:sz w:val="24"/>
                <w:highlight w:val="none"/>
                <w:lang w:eastAsia="zh-CN"/>
              </w:rPr>
              <w:t>，</w:t>
            </w:r>
            <w:r>
              <w:rPr>
                <w:rFonts w:hint="eastAsia" w:ascii="宋体" w:cs="宋体"/>
                <w:color w:val="000000"/>
                <w:sz w:val="24"/>
                <w:highlight w:val="none"/>
                <w:lang w:val="en-US" w:eastAsia="zh-CN"/>
              </w:rPr>
              <w:t>本项最多得5</w:t>
            </w:r>
            <w:r>
              <w:rPr>
                <w:rFonts w:hint="eastAsia" w:ascii="宋体" w:cs="宋体"/>
                <w:color w:val="000000"/>
                <w:sz w:val="24"/>
                <w:highlight w:val="none"/>
              </w:rPr>
              <w:t>分。</w:t>
            </w:r>
          </w:p>
        </w:tc>
        <w:tc>
          <w:tcPr>
            <w:tcW w:w="2108" w:type="dxa"/>
            <w:tcBorders>
              <w:top w:val="single" w:color="auto" w:sz="6" w:space="0"/>
              <w:left w:val="single" w:color="auto" w:sz="6" w:space="0"/>
              <w:bottom w:val="single" w:color="auto" w:sz="6" w:space="0"/>
              <w:right w:val="single" w:color="auto" w:sz="18" w:space="0"/>
            </w:tcBorders>
            <w:vAlign w:val="center"/>
          </w:tcPr>
          <w:p>
            <w:pPr>
              <w:pStyle w:val="16"/>
              <w:jc w:val="center"/>
              <w:rPr>
                <w:rFonts w:ascii="宋体" w:hAnsi="宋体" w:cs="宋体"/>
                <w:color w:val="000000"/>
                <w:sz w:val="24"/>
                <w:highlight w:val="none"/>
              </w:rPr>
            </w:pPr>
            <w:r>
              <w:rPr>
                <w:rFonts w:hint="eastAsia" w:ascii="宋体" w:cs="宋体"/>
                <w:color w:val="000000"/>
                <w:sz w:val="24"/>
                <w:highlight w:val="none"/>
              </w:rPr>
              <w:t>共同评分因素</w:t>
            </w:r>
          </w:p>
        </w:tc>
      </w:tr>
    </w:tbl>
    <w:p>
      <w:pPr>
        <w:pStyle w:val="18"/>
        <w:tabs>
          <w:tab w:val="left" w:pos="600"/>
        </w:tabs>
        <w:spacing w:line="400" w:lineRule="exact"/>
        <w:ind w:firstLine="0"/>
        <w:rPr>
          <w:rFonts w:ascii="宋体" w:hAnsi="宋体"/>
          <w:b/>
          <w:sz w:val="24"/>
          <w:szCs w:val="24"/>
          <w:highlight w:val="none"/>
        </w:rPr>
      </w:pPr>
    </w:p>
    <w:p>
      <w:pPr>
        <w:spacing w:line="400" w:lineRule="exact"/>
        <w:rPr>
          <w:rFonts w:ascii="宋体" w:hAnsi="宋体" w:cs="宋体"/>
          <w:sz w:val="24"/>
          <w:highlight w:val="none"/>
        </w:rPr>
      </w:pPr>
      <w:bookmarkStart w:id="103" w:name="_Toc217446060"/>
      <w:r>
        <w:rPr>
          <w:rFonts w:hint="eastAsia" w:ascii="宋体" w:hAnsi="宋体" w:cs="宋体"/>
          <w:sz w:val="24"/>
          <w:highlight w:val="none"/>
        </w:rPr>
        <w:t>注：评分的取值按四舍五入法，保留小数点后两位。</w:t>
      </w:r>
    </w:p>
    <w:p>
      <w:pPr>
        <w:pStyle w:val="2"/>
        <w:rPr>
          <w:rFonts w:hAnsi="宋体"/>
          <w:color w:val="auto"/>
          <w:highlight w:val="none"/>
        </w:rPr>
      </w:pPr>
    </w:p>
    <w:bookmarkEnd w:id="102"/>
    <w:bookmarkEnd w:id="103"/>
    <w:p>
      <w:pPr>
        <w:pStyle w:val="4"/>
        <w:rPr>
          <w:rFonts w:ascii="宋体" w:hAnsi="宋体" w:eastAsia="宋体"/>
          <w:sz w:val="24"/>
          <w:szCs w:val="24"/>
          <w:highlight w:val="none"/>
        </w:rPr>
      </w:pPr>
      <w:bookmarkStart w:id="104" w:name="_Toc23042"/>
      <w:r>
        <w:rPr>
          <w:rFonts w:ascii="宋体" w:hAnsi="宋体" w:eastAsia="宋体"/>
          <w:sz w:val="24"/>
          <w:szCs w:val="24"/>
          <w:highlight w:val="none"/>
        </w:rPr>
        <w:t>4.</w:t>
      </w:r>
      <w:r>
        <w:rPr>
          <w:rFonts w:hint="eastAsia" w:ascii="宋体" w:hAnsi="宋体" w:eastAsia="宋体"/>
          <w:sz w:val="24"/>
          <w:szCs w:val="24"/>
          <w:highlight w:val="none"/>
        </w:rPr>
        <w:t>磋商纪律及注意事项</w:t>
      </w:r>
    </w:p>
    <w:p>
      <w:pPr>
        <w:spacing w:line="400" w:lineRule="exact"/>
        <w:ind w:firstLine="480" w:firstLineChars="200"/>
        <w:rPr>
          <w:rFonts w:ascii="宋体" w:hAnsi="宋体"/>
          <w:sz w:val="24"/>
          <w:highlight w:val="none"/>
        </w:rPr>
      </w:pPr>
      <w:r>
        <w:rPr>
          <w:rFonts w:ascii="宋体" w:hAnsi="宋体"/>
          <w:sz w:val="24"/>
          <w:highlight w:val="none"/>
        </w:rPr>
        <w:t>4.1</w:t>
      </w:r>
      <w:r>
        <w:rPr>
          <w:rFonts w:hint="eastAsia" w:ascii="宋体" w:hAnsi="宋体"/>
          <w:sz w:val="24"/>
          <w:highlight w:val="none"/>
        </w:rPr>
        <w:t>磋商小组内部讨论的情况和意见必须保密，任何人不得以任何形式透露给供应商或与供应商有关的单位或个人。</w:t>
      </w:r>
    </w:p>
    <w:p>
      <w:pPr>
        <w:spacing w:line="400" w:lineRule="exact"/>
        <w:ind w:firstLine="480" w:firstLineChars="200"/>
        <w:rPr>
          <w:rFonts w:ascii="宋体" w:hAnsi="宋体"/>
          <w:sz w:val="24"/>
          <w:highlight w:val="none"/>
        </w:rPr>
      </w:pPr>
      <w:r>
        <w:rPr>
          <w:rFonts w:ascii="宋体" w:hAnsi="宋体"/>
          <w:sz w:val="24"/>
          <w:highlight w:val="none"/>
        </w:rPr>
        <w:t>4.2</w:t>
      </w:r>
      <w:r>
        <w:rPr>
          <w:rFonts w:hint="eastAsia" w:ascii="宋体" w:hAnsi="宋体"/>
          <w:sz w:val="24"/>
          <w:highlight w:val="none"/>
        </w:rPr>
        <w:t>在磋商过程中，供应商不得以任何形式对磋商小组成员进行旨在影响磋商结果的私下接触，否则将取消其参与磋商的资格。</w:t>
      </w:r>
    </w:p>
    <w:p>
      <w:pPr>
        <w:spacing w:line="400" w:lineRule="exact"/>
        <w:ind w:firstLine="480" w:firstLineChars="200"/>
        <w:rPr>
          <w:rFonts w:ascii="宋体" w:hAnsi="宋体"/>
          <w:sz w:val="24"/>
          <w:highlight w:val="none"/>
        </w:rPr>
      </w:pPr>
      <w:r>
        <w:rPr>
          <w:rFonts w:ascii="宋体" w:hAnsi="宋体"/>
          <w:sz w:val="24"/>
          <w:highlight w:val="none"/>
        </w:rPr>
        <w:t>4.3</w:t>
      </w:r>
      <w:r>
        <w:rPr>
          <w:rFonts w:hint="eastAsia" w:ascii="宋体" w:hAnsi="宋体"/>
          <w:sz w:val="24"/>
          <w:highlight w:val="none"/>
        </w:rPr>
        <w:t>对各供应商的商业秘密，磋商小组成员应予以保密，不得泄露给其他供应商。</w:t>
      </w:r>
    </w:p>
    <w:p>
      <w:pPr>
        <w:spacing w:line="400" w:lineRule="exact"/>
        <w:ind w:firstLine="480" w:firstLineChars="200"/>
        <w:rPr>
          <w:rFonts w:ascii="宋体" w:hAnsi="宋体"/>
          <w:sz w:val="24"/>
          <w:highlight w:val="none"/>
        </w:rPr>
      </w:pPr>
      <w:r>
        <w:rPr>
          <w:rFonts w:ascii="宋体" w:hAnsi="宋体"/>
          <w:sz w:val="24"/>
          <w:highlight w:val="none"/>
        </w:rPr>
        <w:t xml:space="preserve">4.4 </w:t>
      </w:r>
      <w:r>
        <w:rPr>
          <w:rFonts w:hint="eastAsia" w:ascii="宋体" w:hAnsi="宋体"/>
          <w:sz w:val="24"/>
          <w:highlight w:val="none"/>
        </w:rPr>
        <w:t>磋商小组独立评判，推荐成交候选人，并写出书面报告。</w:t>
      </w:r>
    </w:p>
    <w:p>
      <w:pPr>
        <w:spacing w:line="400" w:lineRule="exact"/>
        <w:ind w:firstLine="480" w:firstLineChars="200"/>
        <w:rPr>
          <w:rFonts w:ascii="宋体" w:hAnsi="宋体"/>
          <w:sz w:val="24"/>
          <w:highlight w:val="none"/>
        </w:rPr>
      </w:pPr>
      <w:r>
        <w:rPr>
          <w:rFonts w:ascii="宋体" w:hAnsi="宋体"/>
          <w:sz w:val="24"/>
          <w:highlight w:val="none"/>
        </w:rPr>
        <w:t xml:space="preserve">4.5 </w:t>
      </w:r>
      <w:r>
        <w:rPr>
          <w:rFonts w:hint="eastAsia" w:ascii="宋体" w:hAnsi="宋体"/>
          <w:sz w:val="24"/>
          <w:highlight w:val="none"/>
        </w:rPr>
        <w:t>磋商小组可根据需要对供应商进行实地考察。</w:t>
      </w:r>
    </w:p>
    <w:p>
      <w:pPr>
        <w:pStyle w:val="4"/>
        <w:spacing w:line="240" w:lineRule="auto"/>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磋商小组在政府采购活动中承担以下义务：</w:t>
      </w:r>
    </w:p>
    <w:p>
      <w:pPr>
        <w:spacing w:line="400" w:lineRule="exact"/>
        <w:ind w:firstLine="480" w:firstLineChars="200"/>
        <w:rPr>
          <w:rFonts w:ascii="宋体" w:hAnsi="宋体"/>
          <w:sz w:val="24"/>
          <w:highlight w:val="none"/>
        </w:rPr>
      </w:pPr>
      <w:r>
        <w:rPr>
          <w:rFonts w:hint="eastAsia" w:ascii="宋体" w:hAnsi="宋体"/>
          <w:sz w:val="24"/>
          <w:highlight w:val="none"/>
        </w:rPr>
        <w:t>5.1遵守评审工作纪律；</w:t>
      </w:r>
    </w:p>
    <w:p>
      <w:pPr>
        <w:spacing w:line="400" w:lineRule="exact"/>
        <w:ind w:firstLine="480" w:firstLineChars="200"/>
        <w:rPr>
          <w:rFonts w:ascii="宋体" w:hAnsi="宋体"/>
          <w:sz w:val="24"/>
          <w:highlight w:val="none"/>
        </w:rPr>
      </w:pPr>
      <w:r>
        <w:rPr>
          <w:rFonts w:hint="eastAsia" w:ascii="宋体" w:hAnsi="宋体"/>
          <w:sz w:val="24"/>
          <w:highlight w:val="none"/>
        </w:rPr>
        <w:t>5.2按照客观、公正、审慎的原则，根据磋商文件规定的评审程序、评审方法和评审标准进行独立评审；</w:t>
      </w:r>
    </w:p>
    <w:p>
      <w:pPr>
        <w:spacing w:line="400" w:lineRule="exact"/>
        <w:ind w:firstLine="480" w:firstLineChars="200"/>
        <w:rPr>
          <w:rFonts w:ascii="宋体" w:hAnsi="宋体"/>
          <w:sz w:val="24"/>
          <w:highlight w:val="none"/>
        </w:rPr>
      </w:pPr>
      <w:r>
        <w:rPr>
          <w:rFonts w:hint="eastAsia" w:ascii="宋体" w:hAnsi="宋体"/>
          <w:sz w:val="24"/>
          <w:highlight w:val="none"/>
        </w:rPr>
        <w:t>5.3不得泄露评审文件、评审情况和在评审过程中获悉的商业秘密；</w:t>
      </w:r>
    </w:p>
    <w:p>
      <w:pPr>
        <w:spacing w:line="400" w:lineRule="exact"/>
        <w:ind w:firstLine="480" w:firstLineChars="200"/>
        <w:rPr>
          <w:rFonts w:ascii="宋体" w:hAnsi="宋体"/>
          <w:sz w:val="24"/>
          <w:highlight w:val="none"/>
        </w:rPr>
      </w:pPr>
      <w:r>
        <w:rPr>
          <w:rFonts w:hint="eastAsia" w:ascii="宋体" w:hAnsi="宋体"/>
          <w:sz w:val="24"/>
          <w:highlight w:val="none"/>
        </w:rPr>
        <w:t>5.4及时向财政部门报告评审过程中发现的采购人、采购代理机构向评审专家做倾向性、误导性的解释或者说明，以及供应商行贿、提供虚假材料或者串通等违法行为；</w:t>
      </w:r>
    </w:p>
    <w:p>
      <w:pPr>
        <w:spacing w:line="400" w:lineRule="exact"/>
        <w:ind w:firstLine="480" w:firstLineChars="200"/>
        <w:rPr>
          <w:rFonts w:ascii="宋体" w:hAnsi="宋体"/>
          <w:sz w:val="24"/>
          <w:highlight w:val="none"/>
        </w:rPr>
      </w:pPr>
      <w:r>
        <w:rPr>
          <w:rFonts w:hint="eastAsia" w:ascii="宋体" w:hAnsi="宋体"/>
          <w:sz w:val="24"/>
          <w:highlight w:val="none"/>
        </w:rPr>
        <w:t>5.5发现磋商文件内容违反国家有关强制性规定或者磋商文件存在歧义、重大缺陷导致评审工作无法进行时，停止评审并向采购人或者采购代理机构书面说明情况；</w:t>
      </w:r>
    </w:p>
    <w:p>
      <w:pPr>
        <w:spacing w:line="400" w:lineRule="exact"/>
        <w:ind w:firstLine="480" w:firstLineChars="200"/>
        <w:rPr>
          <w:rFonts w:ascii="宋体" w:hAnsi="宋体"/>
          <w:sz w:val="24"/>
          <w:highlight w:val="none"/>
        </w:rPr>
      </w:pPr>
      <w:r>
        <w:rPr>
          <w:rFonts w:hint="eastAsia" w:ascii="宋体" w:hAnsi="宋体"/>
          <w:sz w:val="24"/>
          <w:highlight w:val="none"/>
        </w:rPr>
        <w:t>5.6及时向财政、监察等部门举报在评审过程中受到非法干预的情况；</w:t>
      </w:r>
    </w:p>
    <w:p>
      <w:pPr>
        <w:spacing w:line="400" w:lineRule="exact"/>
        <w:ind w:firstLine="480" w:firstLineChars="200"/>
        <w:rPr>
          <w:rFonts w:ascii="宋体" w:hAnsi="宋体"/>
          <w:sz w:val="24"/>
          <w:highlight w:val="none"/>
        </w:rPr>
      </w:pPr>
      <w:r>
        <w:rPr>
          <w:rFonts w:hint="eastAsia" w:ascii="宋体" w:hAnsi="宋体"/>
          <w:sz w:val="24"/>
          <w:highlight w:val="none"/>
        </w:rPr>
        <w:t>5.7配合答复处理供应商的询问、质疑和投诉等事项；</w:t>
      </w:r>
    </w:p>
    <w:p>
      <w:pPr>
        <w:spacing w:line="400" w:lineRule="exact"/>
        <w:ind w:firstLine="480" w:firstLineChars="200"/>
        <w:rPr>
          <w:rFonts w:ascii="宋体" w:hAnsi="宋体"/>
          <w:sz w:val="24"/>
          <w:highlight w:val="none"/>
        </w:rPr>
      </w:pPr>
      <w:r>
        <w:rPr>
          <w:rFonts w:hint="eastAsia" w:ascii="宋体" w:hAnsi="宋体"/>
          <w:sz w:val="24"/>
          <w:highlight w:val="none"/>
        </w:rPr>
        <w:t>5.8法律、法规和规章规定的其他义务。</w:t>
      </w:r>
    </w:p>
    <w:p>
      <w:pPr>
        <w:pStyle w:val="4"/>
        <w:spacing w:line="240" w:lineRule="auto"/>
        <w:rPr>
          <w:rFonts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评审专家在政府采购活动中应当遵守以下工作纪律：</w:t>
      </w:r>
    </w:p>
    <w:p>
      <w:pPr>
        <w:spacing w:line="400" w:lineRule="exact"/>
        <w:ind w:firstLine="480" w:firstLineChars="200"/>
        <w:rPr>
          <w:rFonts w:ascii="宋体" w:hAnsi="宋体"/>
          <w:sz w:val="24"/>
          <w:highlight w:val="none"/>
        </w:rPr>
      </w:pPr>
      <w:r>
        <w:rPr>
          <w:rFonts w:hint="eastAsia" w:ascii="宋体" w:hAnsi="宋体"/>
          <w:sz w:val="24"/>
          <w:highlight w:val="none"/>
        </w:rPr>
        <w:t>6.1不得参加与自己有《中华人民共和国政府采购法实施条例》第九条规定的利害关系的政府采购项目的评审活动。发现参加了与自己有利害关系的评审活动，须主动提出回避，退出评审；</w:t>
      </w:r>
    </w:p>
    <w:p>
      <w:pPr>
        <w:spacing w:line="400" w:lineRule="exact"/>
        <w:ind w:firstLine="480" w:firstLineChars="200"/>
        <w:rPr>
          <w:rFonts w:ascii="宋体" w:hAnsi="宋体"/>
          <w:sz w:val="24"/>
          <w:highlight w:val="none"/>
        </w:rPr>
      </w:pPr>
      <w:r>
        <w:rPr>
          <w:rFonts w:hint="eastAsia" w:ascii="宋体" w:hAnsi="宋体"/>
          <w:sz w:val="24"/>
          <w:highlight w:val="none"/>
        </w:rPr>
        <w:t>6.2评审前，应当将通讯工具或者相关电子设备交由采购代理机构统一保管；</w:t>
      </w:r>
    </w:p>
    <w:p>
      <w:pPr>
        <w:spacing w:line="400" w:lineRule="exact"/>
        <w:ind w:firstLine="480" w:firstLineChars="200"/>
        <w:rPr>
          <w:rFonts w:ascii="宋体" w:hAnsi="宋体"/>
          <w:sz w:val="24"/>
          <w:highlight w:val="none"/>
        </w:rPr>
      </w:pPr>
      <w:r>
        <w:rPr>
          <w:rFonts w:hint="eastAsia" w:ascii="宋体" w:hAnsi="宋体"/>
          <w:sz w:val="24"/>
          <w:highlight w:val="none"/>
        </w:rPr>
        <w:t>6.3评审过程中，不得与外界联系，因发生不可预见情况，确实需要与外界联系的，应当在监督人员监督之下办理；</w:t>
      </w:r>
    </w:p>
    <w:p>
      <w:pPr>
        <w:spacing w:line="400" w:lineRule="exact"/>
        <w:ind w:firstLine="480" w:firstLineChars="200"/>
        <w:rPr>
          <w:rFonts w:ascii="宋体" w:hAnsi="宋体"/>
          <w:sz w:val="24"/>
          <w:highlight w:val="none"/>
        </w:rPr>
      </w:pPr>
      <w:r>
        <w:rPr>
          <w:rFonts w:hint="eastAsia" w:ascii="宋体" w:hAnsi="宋体"/>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400" w:lineRule="exact"/>
        <w:ind w:firstLine="480" w:firstLineChars="200"/>
        <w:rPr>
          <w:rFonts w:ascii="宋体" w:hAnsi="宋体"/>
          <w:sz w:val="24"/>
          <w:highlight w:val="none"/>
        </w:rPr>
      </w:pPr>
      <w:r>
        <w:rPr>
          <w:rFonts w:hint="eastAsia" w:ascii="宋体" w:hAnsi="宋体"/>
          <w:sz w:val="24"/>
          <w:highlight w:val="none"/>
        </w:rPr>
        <w:t>6.5在评审过程中和评审结束后，不得记录、复制或带走任何评审资料，不得向外界透露评审内容；</w:t>
      </w:r>
    </w:p>
    <w:p>
      <w:pPr>
        <w:spacing w:line="400" w:lineRule="exact"/>
        <w:ind w:firstLine="480" w:firstLineChars="200"/>
        <w:rPr>
          <w:rFonts w:ascii="宋体" w:hAnsi="宋体"/>
          <w:sz w:val="24"/>
          <w:highlight w:val="none"/>
        </w:rPr>
      </w:pPr>
      <w:r>
        <w:rPr>
          <w:rFonts w:hint="eastAsia" w:ascii="宋体" w:hAnsi="宋体"/>
          <w:sz w:val="24"/>
          <w:highlight w:val="none"/>
        </w:rPr>
        <w:t>6.6评审现场服从采购代理机构工作人员的管理，接受现场监督人员的合法监督；</w:t>
      </w:r>
    </w:p>
    <w:p>
      <w:pPr>
        <w:spacing w:line="400" w:lineRule="exact"/>
        <w:ind w:firstLine="480" w:firstLineChars="200"/>
        <w:rPr>
          <w:rFonts w:ascii="宋体" w:hAnsi="宋体"/>
          <w:sz w:val="24"/>
          <w:highlight w:val="none"/>
        </w:rPr>
      </w:pPr>
      <w:r>
        <w:rPr>
          <w:rFonts w:hint="eastAsia" w:ascii="宋体" w:hAnsi="宋体"/>
          <w:sz w:val="24"/>
          <w:highlight w:val="none"/>
        </w:rPr>
        <w:t>6.7遵守有关廉洁自律规定，不得私下接触供应商，不得收受供应商及有关业务单位和个人的财物或好处，不得接受采购代理机构的请托。</w:t>
      </w:r>
    </w:p>
    <w:p>
      <w:pPr>
        <w:pStyle w:val="3"/>
        <w:spacing w:line="400" w:lineRule="exact"/>
        <w:jc w:val="center"/>
        <w:rPr>
          <w:sz w:val="24"/>
          <w:szCs w:val="32"/>
          <w:highlight w:val="none"/>
        </w:rPr>
      </w:pPr>
      <w:r>
        <w:rPr>
          <w:rFonts w:hint="eastAsia" w:ascii="宋体" w:hAnsi="宋体"/>
          <w:sz w:val="36"/>
          <w:szCs w:val="36"/>
          <w:highlight w:val="none"/>
        </w:rPr>
        <w:br w:type="page"/>
      </w:r>
      <w:bookmarkStart w:id="105" w:name="_Toc53267590"/>
      <w:r>
        <w:rPr>
          <w:rFonts w:hint="eastAsia" w:ascii="宋体" w:hAnsi="宋体" w:cs="宋体"/>
          <w:sz w:val="36"/>
          <w:szCs w:val="36"/>
          <w:highlight w:val="none"/>
        </w:rPr>
        <w:t>第十章  政府采购合同</w:t>
      </w:r>
      <w:bookmarkEnd w:id="104"/>
      <w:r>
        <w:rPr>
          <w:rFonts w:hint="eastAsia" w:ascii="宋体" w:hAnsi="宋体" w:cs="宋体"/>
          <w:sz w:val="36"/>
          <w:szCs w:val="36"/>
          <w:highlight w:val="none"/>
        </w:rPr>
        <w:t>（草案）</w:t>
      </w:r>
      <w:bookmarkEnd w:id="105"/>
    </w:p>
    <w:p>
      <w:pPr>
        <w:jc w:val="center"/>
        <w:rPr>
          <w:b/>
          <w:bCs/>
          <w:sz w:val="24"/>
          <w:szCs w:val="32"/>
          <w:highlight w:val="none"/>
        </w:rPr>
      </w:pPr>
      <w:r>
        <w:rPr>
          <w:rFonts w:hint="eastAsia"/>
          <w:b/>
          <w:bCs/>
          <w:sz w:val="24"/>
          <w:szCs w:val="32"/>
          <w:highlight w:val="none"/>
        </w:rPr>
        <w:t>（参考文本，后期具体合同根据具体内容制定）</w:t>
      </w:r>
    </w:p>
    <w:p>
      <w:pPr>
        <w:pStyle w:val="22"/>
        <w:tabs>
          <w:tab w:val="left" w:pos="0"/>
        </w:tabs>
        <w:snapToGrid w:val="0"/>
        <w:spacing w:line="400" w:lineRule="exact"/>
        <w:ind w:firstLine="480" w:firstLineChars="200"/>
        <w:rPr>
          <w:rFonts w:hAnsi="宋体" w:cs="宋体"/>
          <w:sz w:val="24"/>
          <w:highlight w:val="none"/>
        </w:rPr>
      </w:pPr>
      <w:r>
        <w:rPr>
          <w:rFonts w:hint="eastAsia" w:hAnsi="宋体" w:cs="宋体"/>
          <w:sz w:val="24"/>
          <w:highlight w:val="none"/>
        </w:rPr>
        <w:t>合同编号：</w:t>
      </w:r>
      <w:r>
        <w:rPr>
          <w:rFonts w:hint="eastAsia" w:hAnsi="宋体" w:cs="宋体"/>
          <w:sz w:val="24"/>
          <w:highlight w:val="none"/>
          <w:u w:val="single"/>
        </w:rPr>
        <w:t xml:space="preserve">          </w:t>
      </w:r>
    </w:p>
    <w:p>
      <w:pPr>
        <w:pStyle w:val="22"/>
        <w:tabs>
          <w:tab w:val="left" w:pos="0"/>
        </w:tabs>
        <w:snapToGrid w:val="0"/>
        <w:spacing w:line="400" w:lineRule="exact"/>
        <w:ind w:firstLine="480" w:firstLineChars="200"/>
        <w:rPr>
          <w:rFonts w:hAnsi="宋体" w:cs="宋体"/>
          <w:sz w:val="24"/>
          <w:highlight w:val="none"/>
        </w:rPr>
      </w:pPr>
      <w:r>
        <w:rPr>
          <w:rFonts w:hint="eastAsia" w:hAnsi="宋体" w:cs="宋体"/>
          <w:sz w:val="24"/>
          <w:highlight w:val="none"/>
        </w:rPr>
        <w:t>甲方：</w:t>
      </w:r>
      <w:r>
        <w:rPr>
          <w:rFonts w:hint="eastAsia" w:hAnsi="宋体" w:cs="宋体"/>
          <w:sz w:val="24"/>
          <w:highlight w:val="none"/>
          <w:u w:val="single"/>
        </w:rPr>
        <w:t xml:space="preserve">            </w:t>
      </w:r>
      <w:r>
        <w:rPr>
          <w:rFonts w:hint="eastAsia" w:hAnsi="宋体" w:cs="宋体"/>
          <w:sz w:val="24"/>
          <w:highlight w:val="none"/>
        </w:rPr>
        <w:t xml:space="preserve"> </w:t>
      </w:r>
    </w:p>
    <w:p>
      <w:pPr>
        <w:pStyle w:val="22"/>
        <w:tabs>
          <w:tab w:val="left" w:pos="0"/>
        </w:tabs>
        <w:snapToGrid w:val="0"/>
        <w:spacing w:line="400" w:lineRule="exact"/>
        <w:ind w:firstLine="480" w:firstLineChars="200"/>
        <w:rPr>
          <w:rFonts w:hAnsi="宋体" w:cs="宋体"/>
          <w:sz w:val="24"/>
          <w:highlight w:val="none"/>
        </w:rPr>
      </w:pPr>
      <w:r>
        <w:rPr>
          <w:rFonts w:hint="eastAsia" w:hAnsi="宋体" w:cs="宋体"/>
          <w:sz w:val="24"/>
          <w:highlight w:val="none"/>
        </w:rPr>
        <w:t>乙方：</w:t>
      </w:r>
      <w:r>
        <w:rPr>
          <w:rFonts w:hint="eastAsia" w:hAnsi="宋体" w:cs="宋体"/>
          <w:sz w:val="24"/>
          <w:highlight w:val="none"/>
          <w:u w:val="single"/>
        </w:rPr>
        <w:t xml:space="preserve">            </w:t>
      </w:r>
    </w:p>
    <w:p>
      <w:pPr>
        <w:spacing w:line="360" w:lineRule="auto"/>
        <w:ind w:firstLine="480" w:firstLineChars="200"/>
        <w:rPr>
          <w:rFonts w:ascii="宋体" w:hAnsi="宋体"/>
          <w:sz w:val="24"/>
          <w:highlight w:val="none"/>
        </w:rPr>
      </w:pPr>
      <w:r>
        <w:rPr>
          <w:rFonts w:ascii="宋体" w:hAnsi="宋体"/>
          <w:sz w:val="24"/>
          <w:highlight w:val="none"/>
        </w:rPr>
        <w:t>签订地点：</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80" w:firstLineChars="200"/>
        <w:rPr>
          <w:rFonts w:ascii="宋体" w:hAnsi="宋体"/>
          <w:sz w:val="24"/>
          <w:highlight w:val="none"/>
        </w:rPr>
      </w:pPr>
      <w:r>
        <w:rPr>
          <w:rFonts w:ascii="宋体" w:hAnsi="宋体"/>
          <w:sz w:val="24"/>
          <w:highlight w:val="none"/>
        </w:rPr>
        <w:t>签订时间：</w:t>
      </w:r>
      <w:r>
        <w:rPr>
          <w:rFonts w:hint="eastAsia" w:ascii="宋体" w:hAnsi="宋体"/>
          <w:sz w:val="24"/>
          <w:highlight w:val="none"/>
          <w:u w:val="single"/>
        </w:rPr>
        <w:t xml:space="preserve">   </w:t>
      </w:r>
      <w:r>
        <w:rPr>
          <w:rFonts w:ascii="宋体" w:hAnsi="宋体"/>
          <w:sz w:val="24"/>
          <w:highlight w:val="none"/>
        </w:rPr>
        <w:t>年</w:t>
      </w:r>
      <w:r>
        <w:rPr>
          <w:rFonts w:hint="eastAsia" w:ascii="宋体" w:hAnsi="宋体"/>
          <w:szCs w:val="21"/>
          <w:highlight w:val="none"/>
          <w:u w:val="single"/>
        </w:rPr>
        <w:t xml:space="preserve">     </w:t>
      </w:r>
      <w:r>
        <w:rPr>
          <w:rFonts w:ascii="宋体" w:hAnsi="宋体"/>
          <w:sz w:val="24"/>
          <w:highlight w:val="none"/>
        </w:rPr>
        <w:t>月</w:t>
      </w:r>
      <w:r>
        <w:rPr>
          <w:rFonts w:hint="eastAsia" w:ascii="宋体" w:hAnsi="宋体"/>
          <w:szCs w:val="21"/>
          <w:highlight w:val="none"/>
          <w:u w:val="single"/>
        </w:rPr>
        <w:t xml:space="preserve">     </w:t>
      </w:r>
      <w:r>
        <w:rPr>
          <w:rFonts w:ascii="宋体" w:hAnsi="宋体"/>
          <w:sz w:val="24"/>
          <w:highlight w:val="none"/>
        </w:rPr>
        <w:t>日</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采购人（</w:t>
      </w:r>
      <w:r>
        <w:rPr>
          <w:rFonts w:ascii="宋体" w:hAnsi="宋体"/>
          <w:sz w:val="24"/>
          <w:highlight w:val="none"/>
        </w:rPr>
        <w:t>甲方</w:t>
      </w:r>
      <w:r>
        <w:rPr>
          <w:rFonts w:hint="eastAsia" w:ascii="宋体" w:hAnsi="宋体"/>
          <w:sz w:val="24"/>
          <w:highlight w:val="none"/>
        </w:rPr>
        <w:t>）</w:t>
      </w:r>
      <w:r>
        <w:rPr>
          <w:rFonts w:ascii="宋体" w:hAnsi="宋体"/>
          <w:sz w:val="24"/>
          <w:highlight w:val="none"/>
        </w:rPr>
        <w:t>：</w:t>
      </w:r>
      <w:r>
        <w:rPr>
          <w:rFonts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供应商（乙</w:t>
      </w:r>
      <w:r>
        <w:rPr>
          <w:rFonts w:ascii="宋体" w:hAnsi="宋体"/>
          <w:sz w:val="24"/>
          <w:highlight w:val="none"/>
        </w:rPr>
        <w:t>方</w:t>
      </w:r>
      <w:r>
        <w:rPr>
          <w:rFonts w:hint="eastAsia" w:ascii="宋体" w:hAnsi="宋体"/>
          <w:sz w:val="24"/>
          <w:highlight w:val="none"/>
        </w:rPr>
        <w:t>）</w:t>
      </w:r>
      <w:r>
        <w:rPr>
          <w:rFonts w:ascii="宋体" w:hAnsi="宋体"/>
          <w:sz w:val="24"/>
          <w:highlight w:val="none"/>
        </w:rPr>
        <w:t>：</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ascii="宋体" w:hAnsi="宋体"/>
          <w:sz w:val="24"/>
          <w:highlight w:val="none"/>
        </w:rPr>
        <w:t>依据《中华人民共和国</w:t>
      </w:r>
      <w:r>
        <w:rPr>
          <w:rFonts w:hint="eastAsia" w:ascii="宋体" w:hAnsi="宋体"/>
          <w:sz w:val="24"/>
          <w:highlight w:val="none"/>
        </w:rPr>
        <w:t>民法典</w:t>
      </w:r>
      <w:r>
        <w:rPr>
          <w:rFonts w:ascii="宋体" w:hAnsi="宋体"/>
          <w:sz w:val="24"/>
          <w:highlight w:val="none"/>
        </w:rPr>
        <w:t>》、《中华人民共和国政府采购法》</w:t>
      </w:r>
      <w:r>
        <w:rPr>
          <w:rFonts w:hint="eastAsia" w:ascii="宋体" w:hAnsi="宋体"/>
          <w:sz w:val="24"/>
          <w:highlight w:val="none"/>
        </w:rPr>
        <w:t>与项目行业有关的法律法规，以及</w:t>
      </w:r>
      <w:r>
        <w:rPr>
          <w:rFonts w:hint="eastAsia" w:ascii="宋体" w:hAnsi="宋体"/>
          <w:szCs w:val="21"/>
          <w:highlight w:val="none"/>
          <w:u w:val="single"/>
        </w:rPr>
        <w:t xml:space="preserve">      </w:t>
      </w:r>
      <w:r>
        <w:rPr>
          <w:rFonts w:hint="eastAsia" w:ascii="宋体" w:hAnsi="宋体"/>
          <w:sz w:val="24"/>
          <w:highlight w:val="none"/>
        </w:rPr>
        <w:t>项目（采购编号：</w:t>
      </w:r>
      <w:r>
        <w:rPr>
          <w:rFonts w:hint="eastAsia" w:ascii="宋体" w:hAnsi="宋体"/>
          <w:szCs w:val="21"/>
          <w:highlight w:val="none"/>
          <w:u w:val="single"/>
        </w:rPr>
        <w:t xml:space="preserve">       </w:t>
      </w:r>
      <w:r>
        <w:rPr>
          <w:rFonts w:hint="eastAsia" w:ascii="宋体" w:hAnsi="宋体"/>
          <w:sz w:val="24"/>
          <w:highlight w:val="none"/>
        </w:rPr>
        <w:t>）</w:t>
      </w:r>
      <w:r>
        <w:rPr>
          <w:rFonts w:ascii="宋体" w:hAnsi="宋体"/>
          <w:sz w:val="24"/>
          <w:highlight w:val="none"/>
        </w:rPr>
        <w:t>的</w:t>
      </w:r>
      <w:r>
        <w:rPr>
          <w:rFonts w:hint="eastAsia" w:ascii="宋体" w:hAnsi="宋体"/>
          <w:sz w:val="24"/>
          <w:highlight w:val="none"/>
        </w:rPr>
        <w:t>《竞争性磋商文件》</w:t>
      </w:r>
      <w:r>
        <w:rPr>
          <w:rFonts w:ascii="宋体" w:hAnsi="宋体"/>
          <w:sz w:val="24"/>
          <w:highlight w:val="none"/>
        </w:rPr>
        <w:t>，</w:t>
      </w:r>
      <w:r>
        <w:rPr>
          <w:rFonts w:hint="eastAsia" w:ascii="宋体" w:hAnsi="宋体"/>
          <w:sz w:val="24"/>
          <w:highlight w:val="none"/>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Pr>
          <w:rFonts w:ascii="宋体" w:hAnsi="宋体"/>
          <w:sz w:val="24"/>
          <w:highlight w:val="none"/>
        </w:rPr>
        <w:t xml:space="preserve"> </w:t>
      </w:r>
    </w:p>
    <w:p>
      <w:pPr>
        <w:spacing w:line="360" w:lineRule="auto"/>
        <w:rPr>
          <w:rFonts w:ascii="宋体" w:hAnsi="宋体"/>
          <w:b/>
          <w:sz w:val="24"/>
          <w:highlight w:val="none"/>
        </w:rPr>
      </w:pPr>
      <w:r>
        <w:rPr>
          <w:rFonts w:hint="eastAsia" w:ascii="宋体" w:hAnsi="宋体"/>
          <w:b/>
          <w:sz w:val="24"/>
          <w:highlight w:val="none"/>
        </w:rPr>
        <w:t>1.项目基本情况</w:t>
      </w:r>
    </w:p>
    <w:p>
      <w:pPr>
        <w:spacing w:line="360" w:lineRule="auto"/>
        <w:rPr>
          <w:rFonts w:ascii="宋体" w:hAnsi="宋体"/>
          <w:b/>
          <w:sz w:val="24"/>
          <w:highlight w:val="none"/>
        </w:rPr>
      </w:pPr>
      <w:r>
        <w:rPr>
          <w:rFonts w:hint="eastAsia" w:ascii="宋体" w:hAnsi="宋体"/>
          <w:sz w:val="24"/>
          <w:highlight w:val="none"/>
        </w:rPr>
        <w:t xml:space="preserve">   </w:t>
      </w:r>
    </w:p>
    <w:p>
      <w:pPr>
        <w:spacing w:line="360" w:lineRule="auto"/>
        <w:rPr>
          <w:rFonts w:ascii="宋体" w:hAnsi="宋体"/>
          <w:b/>
          <w:sz w:val="24"/>
          <w:highlight w:val="none"/>
        </w:rPr>
      </w:pPr>
      <w:r>
        <w:rPr>
          <w:rFonts w:hint="eastAsia" w:ascii="宋体" w:hAnsi="宋体"/>
          <w:b/>
          <w:sz w:val="24"/>
          <w:highlight w:val="none"/>
        </w:rPr>
        <w:t>2.合同期限</w:t>
      </w:r>
    </w:p>
    <w:p>
      <w:pPr>
        <w:spacing w:line="360" w:lineRule="auto"/>
        <w:ind w:firstLine="480" w:firstLineChars="200"/>
        <w:rPr>
          <w:rFonts w:ascii="宋体" w:hAnsi="宋体"/>
          <w:sz w:val="24"/>
          <w:highlight w:val="none"/>
        </w:rPr>
      </w:pPr>
    </w:p>
    <w:p>
      <w:pPr>
        <w:spacing w:line="360" w:lineRule="auto"/>
        <w:rPr>
          <w:rFonts w:ascii="宋体" w:hAnsi="宋体"/>
          <w:b/>
          <w:sz w:val="24"/>
          <w:highlight w:val="none"/>
        </w:rPr>
      </w:pPr>
      <w:bookmarkStart w:id="106" w:name="_Toc239233914"/>
      <w:bookmarkStart w:id="107" w:name="_Toc225654644"/>
      <w:bookmarkStart w:id="108" w:name="_Toc225244852"/>
      <w:bookmarkStart w:id="109" w:name="_Toc225670751"/>
      <w:bookmarkStart w:id="110" w:name="_Toc286993786"/>
      <w:bookmarkStart w:id="111" w:name="_Toc282696226"/>
      <w:bookmarkStart w:id="112" w:name="_Toc241833903"/>
      <w:bookmarkStart w:id="113" w:name="_Toc247334841"/>
      <w:bookmarkStart w:id="114" w:name="_Toc232492928"/>
      <w:bookmarkStart w:id="115" w:name="_Toc239568418"/>
      <w:bookmarkStart w:id="116" w:name="_Toc211854449"/>
      <w:bookmarkStart w:id="117" w:name="_Toc251768862"/>
      <w:bookmarkStart w:id="118" w:name="_Toc185395249"/>
      <w:bookmarkStart w:id="119" w:name="_Toc283019214"/>
      <w:bookmarkStart w:id="120" w:name="_Toc212019594"/>
      <w:bookmarkStart w:id="121" w:name="_Toc237145406"/>
      <w:bookmarkStart w:id="122" w:name="_Toc211911348"/>
      <w:bookmarkStart w:id="123" w:name="_Toc238984975"/>
      <w:r>
        <w:rPr>
          <w:rFonts w:hint="eastAsia" w:ascii="宋体" w:hAnsi="宋体"/>
          <w:b/>
          <w:sz w:val="24"/>
          <w:highlight w:val="none"/>
        </w:rPr>
        <w:t>3.服务内容与质量标准</w:t>
      </w:r>
    </w:p>
    <w:p>
      <w:pPr>
        <w:spacing w:line="360" w:lineRule="auto"/>
        <w:rPr>
          <w:rFonts w:ascii="宋体" w:hAnsi="宋体"/>
          <w:sz w:val="24"/>
          <w:highlight w:val="none"/>
        </w:rPr>
      </w:pPr>
    </w:p>
    <w:p>
      <w:pPr>
        <w:spacing w:line="360" w:lineRule="auto"/>
        <w:rPr>
          <w:rFonts w:ascii="宋体" w:hAnsi="宋体"/>
          <w:b/>
          <w:sz w:val="24"/>
          <w:highlight w:val="none"/>
        </w:rPr>
      </w:pPr>
      <w:r>
        <w:rPr>
          <w:rFonts w:hint="eastAsia" w:ascii="宋体" w:hAnsi="宋体"/>
          <w:b/>
          <w:sz w:val="24"/>
          <w:highlight w:val="none"/>
        </w:rPr>
        <w:t>4.服务费用及支付方式</w:t>
      </w:r>
    </w:p>
    <w:p>
      <w:pPr>
        <w:numPr>
          <w:ilvl w:val="0"/>
          <w:numId w:val="10"/>
        </w:numPr>
        <w:spacing w:line="360" w:lineRule="auto"/>
        <w:ind w:left="0" w:firstLine="567"/>
        <w:rPr>
          <w:rFonts w:ascii="宋体" w:hAnsi="宋体"/>
          <w:b/>
          <w:sz w:val="24"/>
          <w:highlight w:val="none"/>
        </w:rPr>
      </w:pPr>
      <w:r>
        <w:rPr>
          <w:rFonts w:hint="eastAsia" w:ascii="宋体" w:hAnsi="宋体"/>
          <w:b/>
          <w:sz w:val="24"/>
          <w:highlight w:val="none"/>
        </w:rPr>
        <w:t>本项目服务费用由以下组成：</w:t>
      </w:r>
    </w:p>
    <w:p>
      <w:pPr>
        <w:numPr>
          <w:ilvl w:val="0"/>
          <w:numId w:val="11"/>
        </w:numPr>
        <w:spacing w:line="360" w:lineRule="auto"/>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万元；</w:t>
      </w:r>
    </w:p>
    <w:p>
      <w:pPr>
        <w:numPr>
          <w:ilvl w:val="0"/>
          <w:numId w:val="11"/>
        </w:numPr>
        <w:spacing w:line="360" w:lineRule="auto"/>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万元；</w:t>
      </w:r>
    </w:p>
    <w:p>
      <w:pPr>
        <w:numPr>
          <w:ilvl w:val="0"/>
          <w:numId w:val="11"/>
        </w:numPr>
        <w:spacing w:line="360" w:lineRule="auto"/>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万元。</w:t>
      </w:r>
    </w:p>
    <w:p>
      <w:pPr>
        <w:spacing w:line="360" w:lineRule="auto"/>
        <w:ind w:firstLine="480" w:firstLineChars="200"/>
        <w:rPr>
          <w:rFonts w:ascii="宋体" w:hAnsi="宋体"/>
          <w:sz w:val="24"/>
          <w:highlight w:val="none"/>
        </w:rPr>
      </w:pPr>
      <w:r>
        <w:rPr>
          <w:rFonts w:ascii="宋体" w:hAnsi="宋体"/>
          <w:sz w:val="24"/>
          <w:highlight w:val="none"/>
        </w:rPr>
        <w:t>……</w:t>
      </w:r>
    </w:p>
    <w:p>
      <w:pPr>
        <w:numPr>
          <w:ilvl w:val="0"/>
          <w:numId w:val="10"/>
        </w:numPr>
        <w:tabs>
          <w:tab w:val="left" w:pos="780"/>
        </w:tabs>
        <w:spacing w:line="360" w:lineRule="auto"/>
        <w:ind w:left="0" w:firstLine="567"/>
        <w:rPr>
          <w:rFonts w:ascii="宋体" w:hAnsi="宋体"/>
          <w:b/>
          <w:sz w:val="24"/>
          <w:highlight w:val="none"/>
        </w:rPr>
      </w:pPr>
      <w:r>
        <w:rPr>
          <w:rFonts w:hint="eastAsia" w:ascii="宋体" w:hAnsi="宋体"/>
          <w:b/>
          <w:sz w:val="24"/>
          <w:highlight w:val="none"/>
        </w:rPr>
        <w:t xml:space="preserve">服务费支付方式： </w:t>
      </w:r>
    </w:p>
    <w:p>
      <w:pPr>
        <w:tabs>
          <w:tab w:val="left" w:pos="780"/>
        </w:tabs>
        <w:spacing w:line="360" w:lineRule="auto"/>
        <w:ind w:left="567"/>
        <w:rPr>
          <w:rFonts w:ascii="宋体" w:hAnsi="宋体"/>
          <w:b/>
          <w:sz w:val="24"/>
          <w:highlight w:val="none"/>
        </w:rPr>
      </w:pPr>
    </w:p>
    <w:p>
      <w:pPr>
        <w:spacing w:line="360" w:lineRule="auto"/>
        <w:rPr>
          <w:rFonts w:ascii="宋体" w:hAnsi="宋体"/>
          <w:b/>
          <w:sz w:val="24"/>
          <w:highlight w:val="none"/>
        </w:rPr>
      </w:pPr>
      <w:r>
        <w:rPr>
          <w:rFonts w:hint="eastAsia" w:ascii="宋体" w:hAnsi="宋体"/>
          <w:b/>
          <w:sz w:val="24"/>
          <w:highlight w:val="none"/>
        </w:rPr>
        <w:t>5.知识产权</w:t>
      </w:r>
    </w:p>
    <w:p>
      <w:pPr>
        <w:tabs>
          <w:tab w:val="left" w:pos="1440"/>
        </w:tabs>
        <w:spacing w:line="360" w:lineRule="auto"/>
        <w:ind w:firstLine="480" w:firstLineChars="200"/>
        <w:rPr>
          <w:rFonts w:ascii="宋体" w:hAnsi="宋体"/>
          <w:sz w:val="24"/>
          <w:highlight w:val="none"/>
        </w:rPr>
      </w:pPr>
      <w:r>
        <w:rPr>
          <w:rFonts w:hint="eastAsia" w:ascii="宋体" w:hAnsi="宋体"/>
          <w:sz w:val="24"/>
          <w:highlight w:val="none"/>
        </w:rPr>
        <w:t>乙方应保证所提供的服务或其任何一部分均不会侵犯任何第三方的专利权、商标权或著作权。</w:t>
      </w:r>
    </w:p>
    <w:p>
      <w:pPr>
        <w:spacing w:line="360" w:lineRule="auto"/>
        <w:rPr>
          <w:rFonts w:ascii="宋体" w:hAnsi="宋体"/>
          <w:b/>
          <w:sz w:val="24"/>
          <w:highlight w:val="none"/>
        </w:rPr>
      </w:pPr>
      <w:r>
        <w:rPr>
          <w:rFonts w:hint="eastAsia" w:ascii="宋体" w:hAnsi="宋体"/>
          <w:b/>
          <w:sz w:val="24"/>
          <w:highlight w:val="none"/>
        </w:rPr>
        <w:t>6.无产权瑕疵条款</w:t>
      </w:r>
    </w:p>
    <w:p>
      <w:pPr>
        <w:tabs>
          <w:tab w:val="left" w:pos="1440"/>
        </w:tabs>
        <w:spacing w:line="360" w:lineRule="auto"/>
        <w:ind w:firstLine="480" w:firstLineChars="200"/>
        <w:rPr>
          <w:rFonts w:ascii="宋体" w:hAnsi="宋体"/>
          <w:sz w:val="24"/>
          <w:highlight w:val="none"/>
        </w:rPr>
      </w:pPr>
      <w:r>
        <w:rPr>
          <w:rFonts w:hint="eastAsia" w:ascii="宋体" w:hAnsi="宋体"/>
          <w:sz w:val="24"/>
          <w:highlight w:val="none"/>
        </w:rPr>
        <w:t>乙方保证所提供的服务的所有权完全属于乙方且无任何抵押、查封等产权瑕疵。如有产权瑕疵的，视为乙方违约。乙方应负担由此而产生的一切损失。</w:t>
      </w:r>
    </w:p>
    <w:p>
      <w:pPr>
        <w:spacing w:line="360" w:lineRule="auto"/>
        <w:rPr>
          <w:rFonts w:ascii="宋体" w:hAnsi="宋体"/>
          <w:b/>
          <w:sz w:val="24"/>
          <w:highlight w:val="none"/>
        </w:rPr>
      </w:pPr>
      <w:r>
        <w:rPr>
          <w:rFonts w:hint="eastAsia" w:ascii="宋体" w:hAnsi="宋体"/>
          <w:b/>
          <w:sz w:val="24"/>
          <w:highlight w:val="none"/>
        </w:rPr>
        <w:t>7.履约保证金</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1、乙方交纳人民币</w:t>
      </w:r>
      <w:r>
        <w:rPr>
          <w:rFonts w:hint="eastAsia" w:ascii="宋体" w:hAnsi="宋体"/>
          <w:bCs/>
          <w:sz w:val="24"/>
          <w:highlight w:val="none"/>
          <w:u w:val="single"/>
        </w:rPr>
        <w:t xml:space="preserve">      </w:t>
      </w:r>
      <w:r>
        <w:rPr>
          <w:rFonts w:hint="eastAsia" w:ascii="宋体" w:hAnsi="宋体"/>
          <w:bCs/>
          <w:sz w:val="24"/>
          <w:highlight w:val="none"/>
        </w:rPr>
        <w:t>元作为本合同的履约保证金。</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2、履约保证金作为违约金的一部分及用于补偿甲方因乙方不能履行合同义务而蒙受的损失。</w:t>
      </w:r>
    </w:p>
    <w:p>
      <w:pPr>
        <w:spacing w:line="360" w:lineRule="auto"/>
        <w:rPr>
          <w:rFonts w:ascii="宋体" w:hAnsi="宋体"/>
          <w:b/>
          <w:sz w:val="24"/>
          <w:highlight w:val="none"/>
        </w:rPr>
      </w:pPr>
      <w:r>
        <w:rPr>
          <w:rFonts w:hint="eastAsia" w:ascii="宋体" w:hAnsi="宋体"/>
          <w:b/>
          <w:sz w:val="24"/>
          <w:highlight w:val="none"/>
        </w:rPr>
        <w:t>8.</w:t>
      </w:r>
      <w:r>
        <w:rPr>
          <w:rFonts w:ascii="宋体" w:hAnsi="宋体"/>
          <w:b/>
          <w:sz w:val="24"/>
          <w:highlight w:val="none"/>
        </w:rPr>
        <w:t>甲方的权利和义务</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1、</w:t>
      </w:r>
      <w:r>
        <w:rPr>
          <w:rFonts w:ascii="宋体" w:hAnsi="宋体"/>
          <w:bCs/>
          <w:sz w:val="24"/>
          <w:highlight w:val="none"/>
        </w:rPr>
        <w:t>甲方有权对合同规定范围内</w:t>
      </w:r>
      <w:r>
        <w:rPr>
          <w:rFonts w:hint="eastAsia" w:ascii="宋体" w:hAnsi="宋体"/>
          <w:bCs/>
          <w:sz w:val="24"/>
          <w:highlight w:val="none"/>
        </w:rPr>
        <w:t>乙方的服务行为</w:t>
      </w:r>
      <w:r>
        <w:rPr>
          <w:rFonts w:ascii="宋体" w:hAnsi="宋体"/>
          <w:bCs/>
          <w:sz w:val="24"/>
          <w:highlight w:val="none"/>
        </w:rPr>
        <w:t>进行监督和检查，拥有监管权。有权定期核对乙方提供服务所配备的人员数量。对甲方认为不合理的部分有权</w:t>
      </w:r>
      <w:r>
        <w:rPr>
          <w:rFonts w:hint="eastAsia" w:ascii="宋体" w:hAnsi="宋体"/>
          <w:bCs/>
          <w:sz w:val="24"/>
          <w:highlight w:val="none"/>
        </w:rPr>
        <w:t>下达整改通知书，并</w:t>
      </w:r>
      <w:r>
        <w:rPr>
          <w:rFonts w:ascii="宋体" w:hAnsi="宋体"/>
          <w:bCs/>
          <w:sz w:val="24"/>
          <w:highlight w:val="none"/>
        </w:rPr>
        <w:t>要求乙方</w:t>
      </w:r>
      <w:r>
        <w:rPr>
          <w:rFonts w:hint="eastAsia" w:ascii="宋体" w:hAnsi="宋体"/>
          <w:bCs/>
          <w:sz w:val="24"/>
          <w:highlight w:val="none"/>
        </w:rPr>
        <w:t>限期整改</w:t>
      </w:r>
      <w:r>
        <w:rPr>
          <w:rFonts w:ascii="宋体" w:hAnsi="宋体"/>
          <w:bCs/>
          <w:sz w:val="24"/>
          <w:highlight w:val="none"/>
        </w:rPr>
        <w:t>。</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3、</w:t>
      </w:r>
      <w:r>
        <w:rPr>
          <w:rFonts w:ascii="宋体" w:hAnsi="宋体"/>
          <w:bCs/>
          <w:sz w:val="24"/>
          <w:highlight w:val="none"/>
        </w:rPr>
        <w:t>负责检查监督乙方管理工作的实施及制度的执行情况。</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4、</w:t>
      </w:r>
      <w:r>
        <w:rPr>
          <w:rFonts w:ascii="宋体" w:hAnsi="宋体"/>
          <w:bCs/>
          <w:sz w:val="24"/>
          <w:highlight w:val="none"/>
        </w:rPr>
        <w:t>根据本合同规定，按时向乙方支付应付</w:t>
      </w:r>
      <w:r>
        <w:rPr>
          <w:rFonts w:hint="eastAsia" w:ascii="宋体" w:hAnsi="宋体"/>
          <w:bCs/>
          <w:sz w:val="24"/>
          <w:highlight w:val="none"/>
        </w:rPr>
        <w:t>服务费用</w:t>
      </w:r>
      <w:r>
        <w:rPr>
          <w:rFonts w:ascii="宋体" w:hAnsi="宋体"/>
          <w:bCs/>
          <w:sz w:val="24"/>
          <w:highlight w:val="none"/>
        </w:rPr>
        <w:t>。</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5、</w:t>
      </w:r>
      <w:r>
        <w:rPr>
          <w:rFonts w:ascii="宋体" w:hAnsi="宋体"/>
          <w:bCs/>
          <w:sz w:val="24"/>
          <w:highlight w:val="none"/>
        </w:rPr>
        <w:t>国家法律、法规所规定由甲方承担的其它责任。</w:t>
      </w:r>
    </w:p>
    <w:p>
      <w:pPr>
        <w:spacing w:line="360" w:lineRule="auto"/>
        <w:rPr>
          <w:rFonts w:ascii="宋体" w:hAnsi="宋体"/>
          <w:b/>
          <w:sz w:val="24"/>
          <w:highlight w:val="none"/>
        </w:rPr>
      </w:pPr>
      <w:r>
        <w:rPr>
          <w:rFonts w:hint="eastAsia" w:ascii="宋体" w:hAnsi="宋体"/>
          <w:b/>
          <w:sz w:val="24"/>
          <w:highlight w:val="none"/>
        </w:rPr>
        <w:t>9.</w:t>
      </w:r>
      <w:r>
        <w:rPr>
          <w:rFonts w:ascii="宋体" w:hAnsi="宋体"/>
          <w:b/>
          <w:sz w:val="24"/>
          <w:highlight w:val="none"/>
        </w:rPr>
        <w:t>乙方的权利和义务</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1、</w:t>
      </w:r>
      <w:r>
        <w:rPr>
          <w:rFonts w:ascii="宋体" w:hAnsi="宋体"/>
          <w:bCs/>
          <w:sz w:val="24"/>
          <w:highlight w:val="none"/>
        </w:rPr>
        <w:t>对本合同规定的委托</w:t>
      </w:r>
      <w:r>
        <w:rPr>
          <w:rFonts w:hint="eastAsia" w:ascii="宋体" w:hAnsi="宋体"/>
          <w:bCs/>
          <w:sz w:val="24"/>
          <w:highlight w:val="none"/>
        </w:rPr>
        <w:t>服务</w:t>
      </w:r>
      <w:r>
        <w:rPr>
          <w:rFonts w:ascii="宋体" w:hAnsi="宋体"/>
          <w:bCs/>
          <w:sz w:val="24"/>
          <w:highlight w:val="none"/>
        </w:rPr>
        <w:t>范围内的</w:t>
      </w:r>
      <w:r>
        <w:rPr>
          <w:rFonts w:hint="eastAsia" w:ascii="宋体" w:hAnsi="宋体"/>
          <w:bCs/>
          <w:sz w:val="24"/>
          <w:highlight w:val="none"/>
        </w:rPr>
        <w:t>项目</w:t>
      </w:r>
      <w:r>
        <w:rPr>
          <w:rFonts w:ascii="宋体" w:hAnsi="宋体"/>
          <w:bCs/>
          <w:sz w:val="24"/>
          <w:highlight w:val="none"/>
        </w:rPr>
        <w:t>享有管理权及服务义务。</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2、</w:t>
      </w:r>
      <w:r>
        <w:rPr>
          <w:rFonts w:ascii="宋体" w:hAnsi="宋体"/>
          <w:bCs/>
          <w:sz w:val="24"/>
          <w:highlight w:val="none"/>
        </w:rPr>
        <w:t>根据本合同的规定向甲方收取相关</w:t>
      </w:r>
      <w:r>
        <w:rPr>
          <w:rFonts w:hint="eastAsia" w:ascii="宋体" w:hAnsi="宋体"/>
          <w:bCs/>
          <w:sz w:val="24"/>
          <w:highlight w:val="none"/>
        </w:rPr>
        <w:t>服务</w:t>
      </w:r>
      <w:r>
        <w:rPr>
          <w:rFonts w:ascii="宋体" w:hAnsi="宋体"/>
          <w:bCs/>
          <w:sz w:val="24"/>
          <w:highlight w:val="none"/>
        </w:rPr>
        <w:t>费用，并有权</w:t>
      </w:r>
      <w:r>
        <w:rPr>
          <w:rFonts w:hint="eastAsia" w:ascii="宋体" w:hAnsi="宋体"/>
          <w:bCs/>
          <w:sz w:val="24"/>
          <w:highlight w:val="none"/>
        </w:rPr>
        <w:t>在本项目管理范围内</w:t>
      </w:r>
      <w:r>
        <w:rPr>
          <w:rFonts w:ascii="宋体" w:hAnsi="宋体"/>
          <w:bCs/>
          <w:sz w:val="24"/>
          <w:highlight w:val="none"/>
        </w:rPr>
        <w:t>管理及合理使用。</w:t>
      </w:r>
    </w:p>
    <w:p>
      <w:pPr>
        <w:adjustRightInd w:val="0"/>
        <w:spacing w:line="360" w:lineRule="auto"/>
        <w:ind w:firstLine="480" w:firstLineChars="200"/>
        <w:jc w:val="left"/>
        <w:textAlignment w:val="baseline"/>
        <w:rPr>
          <w:rFonts w:ascii="宋体" w:hAnsi="宋体"/>
          <w:sz w:val="24"/>
          <w:highlight w:val="none"/>
        </w:rPr>
      </w:pPr>
      <w:r>
        <w:rPr>
          <w:rFonts w:hint="eastAsia" w:ascii="宋体" w:hAnsi="宋体"/>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sz w:val="24"/>
          <w:highlight w:val="none"/>
        </w:rPr>
        <w:t>4、</w:t>
      </w:r>
      <w:r>
        <w:rPr>
          <w:rFonts w:ascii="宋体" w:hAnsi="宋体"/>
          <w:bCs/>
          <w:sz w:val="24"/>
          <w:highlight w:val="none"/>
        </w:rPr>
        <w:t>接受</w:t>
      </w:r>
      <w:r>
        <w:rPr>
          <w:rFonts w:hint="eastAsia" w:ascii="宋体" w:hAnsi="宋体"/>
          <w:bCs/>
          <w:sz w:val="24"/>
          <w:highlight w:val="none"/>
        </w:rPr>
        <w:t>项目行</w:t>
      </w:r>
      <w:r>
        <w:rPr>
          <w:rFonts w:ascii="宋体" w:hAnsi="宋体"/>
          <w:bCs/>
          <w:sz w:val="24"/>
          <w:highlight w:val="none"/>
        </w:rPr>
        <w:t>业管理部门及政府有关部门的指导，接受甲方的监督。</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5、</w:t>
      </w:r>
      <w:r>
        <w:rPr>
          <w:rFonts w:ascii="宋体" w:hAnsi="宋体"/>
          <w:bCs/>
          <w:sz w:val="24"/>
          <w:highlight w:val="none"/>
        </w:rPr>
        <w:t>国家法律、法规所规定由乙方承担的其它责任。</w:t>
      </w:r>
    </w:p>
    <w:p>
      <w:pPr>
        <w:spacing w:line="360" w:lineRule="auto"/>
        <w:rPr>
          <w:rFonts w:ascii="宋体" w:hAnsi="宋体"/>
          <w:b/>
          <w:sz w:val="24"/>
          <w:highlight w:val="none"/>
        </w:rPr>
      </w:pPr>
      <w:r>
        <w:rPr>
          <w:rFonts w:hint="eastAsia" w:ascii="宋体" w:hAnsi="宋体"/>
          <w:b/>
          <w:sz w:val="24"/>
          <w:highlight w:val="none"/>
        </w:rPr>
        <w:t>10.</w:t>
      </w:r>
      <w:r>
        <w:rPr>
          <w:rFonts w:ascii="宋体" w:hAnsi="宋体"/>
          <w:b/>
          <w:sz w:val="24"/>
          <w:highlight w:val="none"/>
        </w:rPr>
        <w:t>违约责任</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1、</w:t>
      </w:r>
      <w:r>
        <w:rPr>
          <w:rFonts w:ascii="宋体" w:hAnsi="宋体"/>
          <w:bCs/>
          <w:sz w:val="24"/>
          <w:highlight w:val="none"/>
        </w:rPr>
        <w:t>甲乙双方必须遵守本合同并执行合同中的各项规定，保证</w:t>
      </w:r>
      <w:r>
        <w:rPr>
          <w:rFonts w:hint="eastAsia" w:ascii="宋体" w:hAnsi="宋体"/>
          <w:bCs/>
          <w:sz w:val="24"/>
          <w:highlight w:val="none"/>
        </w:rPr>
        <w:t>本</w:t>
      </w:r>
      <w:r>
        <w:rPr>
          <w:rFonts w:ascii="宋体" w:hAnsi="宋体"/>
          <w:bCs/>
          <w:sz w:val="24"/>
          <w:highlight w:val="none"/>
        </w:rPr>
        <w:t>合同的正常</w:t>
      </w:r>
      <w:r>
        <w:rPr>
          <w:rFonts w:hint="eastAsia" w:ascii="宋体" w:hAnsi="宋体"/>
          <w:bCs/>
          <w:sz w:val="24"/>
          <w:highlight w:val="none"/>
        </w:rPr>
        <w:t>履行</w:t>
      </w:r>
      <w:r>
        <w:rPr>
          <w:rFonts w:ascii="宋体" w:hAnsi="宋体"/>
          <w:bCs/>
          <w:sz w:val="24"/>
          <w:highlight w:val="none"/>
        </w:rPr>
        <w:t>。</w:t>
      </w:r>
    </w:p>
    <w:p>
      <w:pPr>
        <w:adjustRightInd w:val="0"/>
        <w:spacing w:line="360" w:lineRule="auto"/>
        <w:ind w:firstLine="480" w:firstLineChars="200"/>
        <w:jc w:val="left"/>
        <w:textAlignment w:val="baseline"/>
        <w:rPr>
          <w:rFonts w:ascii="宋体" w:hAnsi="宋体"/>
          <w:bCs/>
          <w:sz w:val="24"/>
          <w:highlight w:val="none"/>
        </w:rPr>
      </w:pPr>
      <w:r>
        <w:rPr>
          <w:rFonts w:hint="eastAsia" w:ascii="宋体" w:hAnsi="宋体"/>
          <w:bCs/>
          <w:sz w:val="24"/>
          <w:highlight w:val="none"/>
        </w:rPr>
        <w:t>2、</w:t>
      </w:r>
      <w:r>
        <w:rPr>
          <w:rFonts w:ascii="宋体" w:hAnsi="宋体"/>
          <w:bCs/>
          <w:sz w:val="24"/>
          <w:highlight w:val="none"/>
        </w:rPr>
        <w:t>如因乙方</w:t>
      </w:r>
      <w:r>
        <w:rPr>
          <w:rFonts w:hint="eastAsia" w:ascii="宋体" w:hAnsi="宋体"/>
          <w:bCs/>
          <w:sz w:val="24"/>
          <w:highlight w:val="none"/>
        </w:rPr>
        <w:t>工作人员在履行职务过程中的</w:t>
      </w:r>
      <w:r>
        <w:rPr>
          <w:rFonts w:ascii="宋体" w:hAnsi="宋体"/>
          <w:bCs/>
          <w:sz w:val="24"/>
          <w:highlight w:val="none"/>
        </w:rPr>
        <w:t>的疏忽、失职、过错等</w:t>
      </w:r>
      <w:r>
        <w:rPr>
          <w:rFonts w:hint="eastAsia" w:ascii="宋体" w:hAnsi="宋体"/>
          <w:bCs/>
          <w:sz w:val="24"/>
          <w:highlight w:val="none"/>
        </w:rPr>
        <w:t>故意或者过失</w:t>
      </w:r>
      <w:r>
        <w:rPr>
          <w:rFonts w:ascii="宋体" w:hAnsi="宋体"/>
          <w:bCs/>
          <w:sz w:val="24"/>
          <w:highlight w:val="none"/>
        </w:rPr>
        <w:t>原因给甲方造成损失或侵害，</w:t>
      </w:r>
      <w:r>
        <w:rPr>
          <w:rFonts w:hint="eastAsia" w:ascii="宋体" w:hAnsi="宋体"/>
          <w:bCs/>
          <w:sz w:val="24"/>
          <w:highlight w:val="none"/>
        </w:rPr>
        <w:t>包括但不限于甲方本身的财产损失、由此而导致的甲方对任何第三方的法律责任等，乙方对此均应承担全部的赔偿责任</w:t>
      </w:r>
      <w:r>
        <w:rPr>
          <w:rFonts w:ascii="宋体" w:hAnsi="宋体"/>
          <w:bCs/>
          <w:sz w:val="24"/>
          <w:highlight w:val="none"/>
        </w:rPr>
        <w:t>。</w:t>
      </w:r>
    </w:p>
    <w:p>
      <w:pPr>
        <w:spacing w:line="360" w:lineRule="auto"/>
        <w:rPr>
          <w:rFonts w:ascii="宋体" w:hAnsi="宋体"/>
          <w:b/>
          <w:sz w:val="24"/>
          <w:highlight w:val="none"/>
        </w:rPr>
      </w:pPr>
      <w:r>
        <w:rPr>
          <w:rFonts w:hint="eastAsia" w:ascii="宋体" w:hAnsi="宋体"/>
          <w:b/>
          <w:sz w:val="24"/>
          <w:highlight w:val="none"/>
        </w:rPr>
        <w:t>11.不可抗力事件处理</w:t>
      </w:r>
    </w:p>
    <w:p>
      <w:pPr>
        <w:tabs>
          <w:tab w:val="left" w:pos="0"/>
        </w:tabs>
        <w:spacing w:line="360" w:lineRule="auto"/>
        <w:ind w:firstLine="480" w:firstLineChars="200"/>
        <w:rPr>
          <w:rFonts w:ascii="宋体" w:hAnsi="宋体"/>
          <w:sz w:val="24"/>
          <w:highlight w:val="none"/>
        </w:rPr>
      </w:pPr>
      <w:r>
        <w:rPr>
          <w:rFonts w:hint="eastAsia" w:ascii="宋体" w:hAnsi="宋体"/>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sz w:val="24"/>
          <w:highlight w:val="none"/>
        </w:rPr>
      </w:pPr>
      <w:r>
        <w:rPr>
          <w:rFonts w:hint="eastAsia" w:ascii="宋体" w:hAnsi="宋体"/>
          <w:sz w:val="24"/>
          <w:highlight w:val="none"/>
        </w:rPr>
        <w:t>2、不可抗力事件发生后，应立即通知对方，并寄送有关权威机构出具的证明。</w:t>
      </w:r>
    </w:p>
    <w:p>
      <w:pPr>
        <w:tabs>
          <w:tab w:val="left" w:pos="0"/>
        </w:tabs>
        <w:spacing w:line="360" w:lineRule="auto"/>
        <w:ind w:firstLine="480" w:firstLineChars="200"/>
        <w:rPr>
          <w:rFonts w:ascii="宋体" w:hAnsi="宋体"/>
          <w:sz w:val="24"/>
          <w:highlight w:val="none"/>
        </w:rPr>
      </w:pPr>
      <w:r>
        <w:rPr>
          <w:rFonts w:hint="eastAsia" w:ascii="宋体" w:hAnsi="宋体"/>
          <w:sz w:val="24"/>
          <w:highlight w:val="none"/>
        </w:rPr>
        <w:t>3、不可抗力事件延续</w:t>
      </w:r>
      <w:r>
        <w:rPr>
          <w:rFonts w:hint="eastAsia" w:ascii="宋体" w:hAnsi="宋体"/>
          <w:sz w:val="24"/>
          <w:highlight w:val="none"/>
          <w:u w:val="single"/>
        </w:rPr>
        <w:t>60</w:t>
      </w:r>
      <w:r>
        <w:rPr>
          <w:rFonts w:hint="eastAsia" w:ascii="宋体" w:hAnsi="宋体"/>
          <w:sz w:val="24"/>
          <w:highlight w:val="none"/>
        </w:rPr>
        <w:t>天以上，双方应通过友好协商，确定是否继续履行合同。</w:t>
      </w: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Pr>
        <w:spacing w:line="360" w:lineRule="auto"/>
        <w:rPr>
          <w:rFonts w:ascii="宋体" w:hAnsi="宋体"/>
          <w:b/>
          <w:sz w:val="24"/>
          <w:highlight w:val="none"/>
        </w:rPr>
      </w:pPr>
      <w:bookmarkStart w:id="124" w:name="_Toc239568423"/>
      <w:bookmarkStart w:id="125" w:name="_Toc225244857"/>
      <w:bookmarkStart w:id="126" w:name="_Toc239233919"/>
      <w:bookmarkStart w:id="127" w:name="_Toc212019599"/>
      <w:bookmarkStart w:id="128" w:name="_Toc237145411"/>
      <w:bookmarkStart w:id="129" w:name="_Toc247334846"/>
      <w:bookmarkStart w:id="130" w:name="_Toc232492933"/>
      <w:bookmarkStart w:id="131" w:name="_Toc185395254"/>
      <w:bookmarkStart w:id="132" w:name="_Toc238984980"/>
      <w:bookmarkStart w:id="133" w:name="_Toc251768867"/>
      <w:bookmarkStart w:id="134" w:name="_Toc225654649"/>
      <w:bookmarkStart w:id="135" w:name="_Toc211854454"/>
      <w:bookmarkStart w:id="136" w:name="_Toc225670756"/>
      <w:bookmarkStart w:id="137" w:name="_Toc286993792"/>
      <w:bookmarkStart w:id="138" w:name="_Toc211911353"/>
      <w:bookmarkStart w:id="139" w:name="_Toc241833908"/>
      <w:r>
        <w:rPr>
          <w:rFonts w:hint="eastAsia" w:ascii="宋体" w:hAnsi="宋体"/>
          <w:b/>
          <w:sz w:val="24"/>
          <w:highlight w:val="none"/>
        </w:rPr>
        <w:t>12.解</w:t>
      </w:r>
      <w:r>
        <w:rPr>
          <w:rFonts w:ascii="宋体" w:hAnsi="宋体"/>
          <w:b/>
          <w:sz w:val="24"/>
          <w:highlight w:val="none"/>
        </w:rPr>
        <w:t>决合同纠纷的方式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tabs>
          <w:tab w:val="left" w:pos="0"/>
        </w:tabs>
        <w:spacing w:line="360" w:lineRule="auto"/>
        <w:ind w:firstLine="480" w:firstLineChars="200"/>
        <w:rPr>
          <w:rFonts w:ascii="宋体" w:hAnsi="宋体"/>
          <w:sz w:val="24"/>
          <w:highlight w:val="none"/>
        </w:rPr>
      </w:pPr>
      <w:r>
        <w:rPr>
          <w:rFonts w:ascii="宋体" w:hAnsi="宋体"/>
          <w:sz w:val="24"/>
          <w:highlight w:val="none"/>
        </w:rPr>
        <w:t>在执行本合同中发生的或与本合同有关的争端，双方应通过友好协商解决，经协商在</w:t>
      </w:r>
      <w:r>
        <w:rPr>
          <w:rFonts w:hint="eastAsia" w:ascii="宋体" w:hAnsi="宋体"/>
          <w:szCs w:val="21"/>
          <w:highlight w:val="none"/>
        </w:rPr>
        <w:t>XX</w:t>
      </w:r>
      <w:r>
        <w:rPr>
          <w:rFonts w:ascii="宋体" w:hAnsi="宋体"/>
          <w:sz w:val="24"/>
          <w:highlight w:val="none"/>
        </w:rPr>
        <w:t>天内不能达成协议时，应提交甲方所在地法院进行管辖。</w:t>
      </w:r>
    </w:p>
    <w:p>
      <w:pPr>
        <w:spacing w:line="360" w:lineRule="auto"/>
        <w:rPr>
          <w:rFonts w:ascii="宋体" w:hAnsi="宋体"/>
          <w:b/>
          <w:sz w:val="24"/>
          <w:highlight w:val="none"/>
        </w:rPr>
      </w:pPr>
      <w:bookmarkStart w:id="140" w:name="_Toc225654650"/>
      <w:bookmarkStart w:id="141" w:name="_Toc286993793"/>
      <w:bookmarkStart w:id="142" w:name="_Toc185395255"/>
      <w:bookmarkStart w:id="143" w:name="_Toc239233920"/>
      <w:bookmarkStart w:id="144" w:name="_Toc232492934"/>
      <w:bookmarkStart w:id="145" w:name="_Toc212019600"/>
      <w:bookmarkStart w:id="146" w:name="_Toc237145412"/>
      <w:bookmarkStart w:id="147" w:name="_Toc239568424"/>
      <w:bookmarkStart w:id="148" w:name="_Toc238984981"/>
      <w:bookmarkStart w:id="149" w:name="_Toc225670757"/>
      <w:bookmarkStart w:id="150" w:name="_Toc251768868"/>
      <w:bookmarkStart w:id="151" w:name="_Toc225244858"/>
      <w:bookmarkStart w:id="152" w:name="_Toc211911354"/>
      <w:bookmarkStart w:id="153" w:name="_Toc211854455"/>
      <w:bookmarkStart w:id="154" w:name="_Toc241833909"/>
      <w:bookmarkStart w:id="155" w:name="_Toc283019219"/>
      <w:bookmarkStart w:id="156" w:name="_Toc282696231"/>
      <w:bookmarkStart w:id="157" w:name="_Toc247334847"/>
      <w:r>
        <w:rPr>
          <w:rFonts w:hint="eastAsia" w:ascii="宋体" w:hAnsi="宋体"/>
          <w:b/>
          <w:sz w:val="24"/>
          <w:highlight w:val="none"/>
        </w:rPr>
        <w:t>13.</w:t>
      </w:r>
      <w:r>
        <w:rPr>
          <w:rFonts w:ascii="宋体" w:hAnsi="宋体"/>
          <w:b/>
          <w:sz w:val="24"/>
          <w:highlight w:val="none"/>
        </w:rPr>
        <w:t>合同</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ascii="宋体" w:hAnsi="宋体"/>
          <w:b/>
          <w:sz w:val="24"/>
          <w:highlight w:val="none"/>
        </w:rPr>
        <w:t>生效及其他</w:t>
      </w:r>
    </w:p>
    <w:p>
      <w:pPr>
        <w:pStyle w:val="70"/>
        <w:spacing w:line="360" w:lineRule="auto"/>
        <w:ind w:firstLine="480"/>
        <w:rPr>
          <w:rFonts w:ascii="宋体" w:hAnsi="宋体"/>
          <w:sz w:val="24"/>
          <w:szCs w:val="24"/>
          <w:highlight w:val="none"/>
        </w:rPr>
      </w:pPr>
      <w:r>
        <w:rPr>
          <w:rFonts w:hint="eastAsia" w:ascii="宋体" w:hAnsi="宋体"/>
          <w:sz w:val="24"/>
          <w:szCs w:val="24"/>
          <w:highlight w:val="none"/>
        </w:rPr>
        <w:t>1、合同经双方法定代表人或授权委托代理人签字并加盖单位公章后生效。</w:t>
      </w:r>
    </w:p>
    <w:p>
      <w:pPr>
        <w:pStyle w:val="70"/>
        <w:spacing w:line="360" w:lineRule="auto"/>
        <w:ind w:firstLine="480"/>
        <w:rPr>
          <w:rFonts w:ascii="宋体" w:hAnsi="宋体"/>
          <w:sz w:val="24"/>
          <w:szCs w:val="24"/>
          <w:highlight w:val="none"/>
        </w:rPr>
      </w:pPr>
      <w:r>
        <w:rPr>
          <w:rFonts w:hint="eastAsia" w:ascii="宋体" w:hAnsi="宋体"/>
          <w:sz w:val="24"/>
          <w:szCs w:val="24"/>
          <w:highlight w:val="none"/>
        </w:rPr>
        <w:t>2、合同执行中涉及采购资金和采购内容修改或补充的，须经采购监管部门审批，并签书面补充协议报采购监督管理部门备案，方可作为主合同不可分割的一部分。</w:t>
      </w:r>
    </w:p>
    <w:p>
      <w:pPr>
        <w:pStyle w:val="70"/>
        <w:spacing w:line="360" w:lineRule="auto"/>
        <w:ind w:firstLine="480"/>
        <w:rPr>
          <w:rFonts w:ascii="宋体" w:hAnsi="宋体"/>
          <w:sz w:val="24"/>
          <w:szCs w:val="24"/>
          <w:highlight w:val="none"/>
        </w:rPr>
      </w:pPr>
      <w:r>
        <w:rPr>
          <w:rFonts w:hint="eastAsia" w:ascii="宋体" w:hAnsi="宋体"/>
          <w:sz w:val="24"/>
          <w:szCs w:val="24"/>
          <w:highlight w:val="none"/>
        </w:rPr>
        <w:t>3、本合同一式</w:t>
      </w:r>
      <w:r>
        <w:rPr>
          <w:rFonts w:hint="eastAsia" w:ascii="宋体" w:hAnsi="宋体"/>
          <w:sz w:val="24"/>
          <w:szCs w:val="24"/>
          <w:highlight w:val="none"/>
          <w:u w:val="single"/>
        </w:rPr>
        <w:t xml:space="preserve">     </w:t>
      </w:r>
      <w:r>
        <w:rPr>
          <w:rFonts w:hint="eastAsia" w:ascii="宋体" w:hAnsi="宋体"/>
          <w:sz w:val="24"/>
          <w:szCs w:val="24"/>
          <w:highlight w:val="none"/>
        </w:rPr>
        <w:t>份，自双方签章之日起起效。甲方</w:t>
      </w:r>
      <w:r>
        <w:rPr>
          <w:rFonts w:hint="eastAsia" w:ascii="宋体" w:hAnsi="宋体"/>
          <w:szCs w:val="21"/>
          <w:highlight w:val="none"/>
          <w:u w:val="single"/>
        </w:rPr>
        <w:t xml:space="preserve">      </w:t>
      </w:r>
      <w:r>
        <w:rPr>
          <w:rFonts w:hint="eastAsia" w:ascii="宋体" w:hAnsi="宋体"/>
          <w:sz w:val="24"/>
          <w:szCs w:val="24"/>
          <w:highlight w:val="none"/>
        </w:rPr>
        <w:t>份，乙方</w:t>
      </w:r>
      <w:r>
        <w:rPr>
          <w:rFonts w:hint="eastAsia" w:ascii="宋体" w:hAnsi="宋体"/>
          <w:szCs w:val="21"/>
          <w:highlight w:val="none"/>
          <w:u w:val="single"/>
        </w:rPr>
        <w:t xml:space="preserve">      </w:t>
      </w:r>
      <w:r>
        <w:rPr>
          <w:rFonts w:hint="eastAsia" w:ascii="宋体" w:hAnsi="宋体"/>
          <w:sz w:val="24"/>
          <w:szCs w:val="24"/>
          <w:highlight w:val="none"/>
        </w:rPr>
        <w:t>份，采购代理机构</w:t>
      </w:r>
      <w:r>
        <w:rPr>
          <w:rFonts w:hint="eastAsia" w:ascii="宋体" w:hAnsi="宋体"/>
          <w:sz w:val="24"/>
          <w:szCs w:val="24"/>
          <w:highlight w:val="none"/>
          <w:u w:val="single"/>
        </w:rPr>
        <w:t xml:space="preserve">      </w:t>
      </w:r>
      <w:r>
        <w:rPr>
          <w:rFonts w:hint="eastAsia" w:ascii="宋体" w:hAnsi="宋体"/>
          <w:sz w:val="24"/>
          <w:szCs w:val="24"/>
          <w:highlight w:val="none"/>
        </w:rPr>
        <w:t>份，同级财政部门备案</w:t>
      </w:r>
      <w:r>
        <w:rPr>
          <w:rFonts w:hint="eastAsia" w:ascii="宋体" w:hAnsi="宋体"/>
          <w:sz w:val="24"/>
          <w:szCs w:val="24"/>
          <w:highlight w:val="none"/>
          <w:u w:val="single"/>
        </w:rPr>
        <w:t xml:space="preserve">      </w:t>
      </w:r>
      <w:r>
        <w:rPr>
          <w:rFonts w:hint="eastAsia" w:ascii="宋体" w:hAnsi="宋体"/>
          <w:sz w:val="24"/>
          <w:szCs w:val="24"/>
          <w:highlight w:val="none"/>
        </w:rPr>
        <w:t>份，具有同等法律效力。</w:t>
      </w:r>
    </w:p>
    <w:p>
      <w:pPr>
        <w:spacing w:line="360" w:lineRule="auto"/>
        <w:rPr>
          <w:rFonts w:ascii="宋体" w:hAnsi="宋体"/>
          <w:b/>
          <w:sz w:val="24"/>
          <w:highlight w:val="none"/>
        </w:rPr>
      </w:pPr>
      <w:r>
        <w:rPr>
          <w:rFonts w:hint="eastAsia" w:ascii="宋体" w:hAnsi="宋体"/>
          <w:b/>
          <w:sz w:val="24"/>
          <w:highlight w:val="none"/>
        </w:rPr>
        <w:t>14.附件</w:t>
      </w:r>
    </w:p>
    <w:p>
      <w:pPr>
        <w:spacing w:line="360" w:lineRule="auto"/>
        <w:rPr>
          <w:rFonts w:ascii="宋体" w:hAnsi="宋体"/>
          <w:sz w:val="24"/>
          <w:highlight w:val="none"/>
        </w:rPr>
      </w:pPr>
    </w:p>
    <w:p>
      <w:pPr>
        <w:spacing w:line="400" w:lineRule="exact"/>
        <w:ind w:firstLine="480" w:firstLineChars="200"/>
        <w:rPr>
          <w:rFonts w:ascii="宋体" w:hAnsi="宋体"/>
          <w:sz w:val="24"/>
          <w:highlight w:val="none"/>
        </w:rPr>
      </w:pPr>
      <w:r>
        <w:rPr>
          <w:rFonts w:hint="eastAsia" w:ascii="宋体" w:hAnsi="宋体"/>
          <w:sz w:val="24"/>
          <w:highlight w:val="none"/>
        </w:rPr>
        <w:t>甲方：   （盖章）</w:t>
      </w:r>
      <w:r>
        <w:rPr>
          <w:rFonts w:ascii="宋体" w:hAnsi="宋体"/>
          <w:sz w:val="24"/>
          <w:highlight w:val="none"/>
        </w:rPr>
        <w:t xml:space="preserve">   </w:t>
      </w:r>
      <w:r>
        <w:rPr>
          <w:rFonts w:ascii="宋体" w:hAnsi="宋体"/>
          <w:sz w:val="24"/>
          <w:highlight w:val="none"/>
        </w:rPr>
        <w:tab/>
      </w:r>
      <w:r>
        <w:rPr>
          <w:rFonts w:ascii="宋体" w:hAnsi="宋体"/>
          <w:sz w:val="24"/>
          <w:highlight w:val="none"/>
        </w:rPr>
        <w:tab/>
      </w:r>
      <w:r>
        <w:rPr>
          <w:rFonts w:ascii="宋体" w:hAnsi="宋体"/>
          <w:sz w:val="24"/>
          <w:highlight w:val="none"/>
        </w:rPr>
        <w:tab/>
      </w:r>
      <w:r>
        <w:rPr>
          <w:rFonts w:ascii="宋体" w:hAnsi="宋体"/>
          <w:sz w:val="24"/>
          <w:highlight w:val="none"/>
        </w:rPr>
        <w:t xml:space="preserve">    </w:t>
      </w:r>
      <w:r>
        <w:rPr>
          <w:rFonts w:hint="eastAsia" w:ascii="宋体" w:hAnsi="宋体"/>
          <w:sz w:val="24"/>
          <w:highlight w:val="none"/>
        </w:rPr>
        <w:t xml:space="preserve">   乙方：</w:t>
      </w:r>
      <w:r>
        <w:rPr>
          <w:rFonts w:ascii="宋体" w:hAnsi="宋体"/>
          <w:sz w:val="24"/>
          <w:highlight w:val="none"/>
        </w:rPr>
        <w:t xml:space="preserve">   </w:t>
      </w:r>
      <w:r>
        <w:rPr>
          <w:rFonts w:hint="eastAsia" w:ascii="宋体" w:hAnsi="宋体"/>
          <w:sz w:val="24"/>
          <w:highlight w:val="none"/>
        </w:rPr>
        <w:t>（盖章）</w:t>
      </w:r>
    </w:p>
    <w:p>
      <w:pPr>
        <w:spacing w:line="400" w:lineRule="exact"/>
        <w:ind w:firstLine="480" w:firstLineChars="200"/>
        <w:rPr>
          <w:rFonts w:ascii="宋体" w:hAnsi="宋体"/>
          <w:sz w:val="24"/>
          <w:highlight w:val="none"/>
        </w:rPr>
      </w:pPr>
      <w:r>
        <w:rPr>
          <w:rFonts w:hint="eastAsia" w:ascii="宋体" w:hAnsi="宋体"/>
          <w:sz w:val="24"/>
          <w:highlight w:val="none"/>
        </w:rPr>
        <w:t>法定代表人（授权代表）：</w:t>
      </w:r>
      <w:r>
        <w:rPr>
          <w:rFonts w:ascii="宋体" w:hAnsi="宋体"/>
          <w:sz w:val="24"/>
          <w:highlight w:val="none"/>
        </w:rPr>
        <w:t xml:space="preserve">            </w:t>
      </w:r>
      <w:r>
        <w:rPr>
          <w:rFonts w:hint="eastAsia" w:ascii="宋体" w:hAnsi="宋体"/>
          <w:sz w:val="24"/>
          <w:highlight w:val="none"/>
        </w:rPr>
        <w:t>法定代表人（授权代表）：</w:t>
      </w:r>
    </w:p>
    <w:p>
      <w:pPr>
        <w:spacing w:line="400" w:lineRule="exact"/>
        <w:ind w:firstLine="480" w:firstLineChars="200"/>
        <w:rPr>
          <w:rFonts w:ascii="宋体" w:hAnsi="宋体"/>
          <w:sz w:val="24"/>
          <w:highlight w:val="none"/>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ascii="宋体" w:hAnsi="宋体"/>
          <w:sz w:val="24"/>
          <w:highlight w:val="none"/>
        </w:rPr>
        <w:t xml:space="preserve">                         </w:t>
      </w: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p>
    <w:p>
      <w:pPr>
        <w:spacing w:line="400" w:lineRule="exact"/>
        <w:ind w:firstLine="480" w:firstLineChars="200"/>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pacing w:line="400" w:lineRule="exact"/>
        <w:ind w:firstLine="480" w:firstLineChars="200"/>
        <w:rPr>
          <w:rFonts w:ascii="宋体" w:hAnsi="宋体"/>
          <w:sz w:val="24"/>
          <w:highlight w:val="none"/>
        </w:rPr>
      </w:pPr>
      <w:r>
        <w:rPr>
          <w:rFonts w:hint="eastAsia" w:ascii="宋体" w:hAnsi="宋体"/>
          <w:sz w:val="24"/>
          <w:highlight w:val="none"/>
        </w:rPr>
        <w:t>账号：</w:t>
      </w:r>
      <w:r>
        <w:rPr>
          <w:rFonts w:ascii="宋体" w:hAnsi="宋体"/>
          <w:sz w:val="24"/>
          <w:highlight w:val="none"/>
        </w:rPr>
        <w:t xml:space="preserve">                             </w:t>
      </w:r>
      <w:r>
        <w:rPr>
          <w:rFonts w:hint="eastAsia" w:ascii="宋体" w:hAnsi="宋体"/>
          <w:sz w:val="24"/>
          <w:highlight w:val="none"/>
        </w:rPr>
        <w:t>账号：</w:t>
      </w:r>
    </w:p>
    <w:p>
      <w:pPr>
        <w:spacing w:line="400" w:lineRule="exact"/>
        <w:ind w:firstLine="480" w:firstLineChars="200"/>
        <w:rPr>
          <w:rFonts w:ascii="宋体" w:hAnsi="宋体"/>
          <w:sz w:val="24"/>
          <w:highlight w:val="none"/>
        </w:rPr>
      </w:pPr>
      <w:r>
        <w:rPr>
          <w:rFonts w:hint="eastAsia" w:ascii="宋体" w:hAnsi="宋体"/>
          <w:sz w:val="24"/>
          <w:highlight w:val="none"/>
        </w:rPr>
        <w:t>电</w:t>
      </w:r>
      <w:r>
        <w:rPr>
          <w:rFonts w:ascii="宋体" w:hAnsi="宋体"/>
          <w:sz w:val="24"/>
          <w:highlight w:val="none"/>
        </w:rPr>
        <w:t xml:space="preserve">    </w:t>
      </w:r>
      <w:r>
        <w:rPr>
          <w:rFonts w:hint="eastAsia" w:ascii="宋体" w:hAnsi="宋体"/>
          <w:sz w:val="24"/>
          <w:highlight w:val="none"/>
        </w:rPr>
        <w:t>话：</w:t>
      </w:r>
      <w:r>
        <w:rPr>
          <w:rFonts w:ascii="宋体" w:hAnsi="宋体"/>
          <w:sz w:val="24"/>
          <w:highlight w:val="none"/>
        </w:rPr>
        <w:t xml:space="preserve">                         </w:t>
      </w:r>
      <w:r>
        <w:rPr>
          <w:rFonts w:hint="eastAsia" w:ascii="宋体" w:hAnsi="宋体"/>
          <w:sz w:val="24"/>
          <w:highlight w:val="none"/>
        </w:rPr>
        <w:t>电</w:t>
      </w:r>
      <w:r>
        <w:rPr>
          <w:rFonts w:ascii="宋体" w:hAnsi="宋体"/>
          <w:sz w:val="24"/>
          <w:highlight w:val="none"/>
        </w:rPr>
        <w:t xml:space="preserve">    </w:t>
      </w:r>
      <w:r>
        <w:rPr>
          <w:rFonts w:hint="eastAsia" w:ascii="宋体" w:hAnsi="宋体"/>
          <w:sz w:val="24"/>
          <w:highlight w:val="none"/>
        </w:rPr>
        <w:t>话：</w:t>
      </w:r>
    </w:p>
    <w:p>
      <w:pPr>
        <w:spacing w:line="400" w:lineRule="exact"/>
        <w:ind w:firstLine="480" w:firstLineChars="200"/>
        <w:rPr>
          <w:rFonts w:ascii="宋体" w:hAnsi="宋体"/>
          <w:sz w:val="24"/>
          <w:highlight w:val="none"/>
        </w:rPr>
      </w:pPr>
      <w:r>
        <w:rPr>
          <w:rFonts w:hint="eastAsia" w:ascii="宋体" w:hAnsi="宋体"/>
          <w:sz w:val="24"/>
          <w:highlight w:val="none"/>
        </w:rPr>
        <w:t>传</w:t>
      </w:r>
      <w:r>
        <w:rPr>
          <w:rFonts w:ascii="宋体" w:hAnsi="宋体"/>
          <w:sz w:val="24"/>
          <w:highlight w:val="none"/>
        </w:rPr>
        <w:t xml:space="preserve">    </w:t>
      </w:r>
      <w:r>
        <w:rPr>
          <w:rFonts w:hint="eastAsia" w:ascii="宋体" w:hAnsi="宋体"/>
          <w:sz w:val="24"/>
          <w:highlight w:val="none"/>
        </w:rPr>
        <w:t>真：</w:t>
      </w:r>
      <w:r>
        <w:rPr>
          <w:rFonts w:ascii="宋体" w:hAnsi="宋体"/>
          <w:sz w:val="24"/>
          <w:highlight w:val="none"/>
        </w:rPr>
        <w:t xml:space="preserve">                         </w:t>
      </w:r>
      <w:r>
        <w:rPr>
          <w:rFonts w:hint="eastAsia" w:ascii="宋体" w:hAnsi="宋体"/>
          <w:sz w:val="24"/>
          <w:highlight w:val="none"/>
        </w:rPr>
        <w:t>传</w:t>
      </w:r>
      <w:r>
        <w:rPr>
          <w:rFonts w:ascii="宋体" w:hAnsi="宋体"/>
          <w:sz w:val="24"/>
          <w:highlight w:val="none"/>
        </w:rPr>
        <w:t xml:space="preserve">    </w:t>
      </w:r>
      <w:r>
        <w:rPr>
          <w:rFonts w:hint="eastAsia" w:ascii="宋体" w:hAnsi="宋体"/>
          <w:sz w:val="24"/>
          <w:highlight w:val="none"/>
        </w:rPr>
        <w:t>真：</w:t>
      </w:r>
    </w:p>
    <w:p>
      <w:pPr>
        <w:spacing w:line="400" w:lineRule="exact"/>
        <w:ind w:firstLine="480" w:firstLineChars="200"/>
        <w:rPr>
          <w:rFonts w:ascii="宋体" w:hAnsi="宋体"/>
          <w:sz w:val="24"/>
          <w:highlight w:val="none"/>
        </w:rPr>
      </w:pPr>
      <w:r>
        <w:rPr>
          <w:rFonts w:hint="eastAsia" w:ascii="宋体" w:hAnsi="宋体"/>
          <w:sz w:val="24"/>
          <w:highlight w:val="none"/>
        </w:rPr>
        <w:t>签约日期：2021年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t xml:space="preserve"> </w:t>
      </w:r>
      <w:r>
        <w:rPr>
          <w:rFonts w:ascii="宋体" w:hAnsi="宋体"/>
          <w:sz w:val="24"/>
          <w:highlight w:val="none"/>
        </w:rPr>
        <w:tab/>
      </w:r>
      <w:r>
        <w:rPr>
          <w:rFonts w:ascii="宋体" w:hAnsi="宋体"/>
          <w:sz w:val="24"/>
          <w:highlight w:val="none"/>
        </w:rPr>
        <w:tab/>
      </w:r>
      <w:r>
        <w:rPr>
          <w:rFonts w:hint="eastAsia" w:ascii="宋体" w:hAnsi="宋体"/>
          <w:sz w:val="24"/>
          <w:highlight w:val="none"/>
        </w:rPr>
        <w:t>签约日期：2021年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tabs>
          <w:tab w:val="left" w:pos="3180"/>
        </w:tabs>
        <w:jc w:val="center"/>
        <w:rPr>
          <w:rFonts w:ascii="宋体" w:hAnsi="宋体" w:cs="宋体"/>
          <w:szCs w:val="21"/>
          <w:highlight w:val="none"/>
        </w:rPr>
      </w:pPr>
    </w:p>
    <w:p>
      <w:pPr>
        <w:rPr>
          <w:rFonts w:ascii="宋体" w:hAnsi="宋体"/>
          <w:szCs w:val="21"/>
          <w:highlight w:val="none"/>
        </w:rPr>
      </w:pPr>
    </w:p>
    <w:sectPr>
      <w:headerReference r:id="rId12" w:type="default"/>
      <w:footerReference r:id="rId13"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ʩ">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 xml:space="preserve"> </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2</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drawing>
        <wp:anchor distT="0" distB="0" distL="114300" distR="114300" simplePos="0" relativeHeight="251659264" behindDoc="0" locked="0" layoutInCell="1" allowOverlap="1">
          <wp:simplePos x="0" y="0"/>
          <wp:positionH relativeFrom="margin">
            <wp:posOffset>-20320</wp:posOffset>
          </wp:positionH>
          <wp:positionV relativeFrom="paragraph">
            <wp:posOffset>3175</wp:posOffset>
          </wp:positionV>
          <wp:extent cx="2726055" cy="288290"/>
          <wp:effectExtent l="0" t="0" r="0" b="0"/>
          <wp:wrapNone/>
          <wp:docPr id="9" name="图片 2" descr="未命名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未命名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26269" cy="288000"/>
                  </a:xfrm>
                  <a:prstGeom prst="rect">
                    <a:avLst/>
                  </a:prstGeom>
                  <a:noFill/>
                  <a:ln>
                    <a:noFill/>
                  </a:ln>
                  <a:effectLst/>
                </pic:spPr>
              </pic:pic>
            </a:graphicData>
          </a:graphic>
        </wp:anchor>
      </w:drawing>
    </w:r>
  </w:p>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四川省工商行政管理局数据中心建设项目政府采购—竞争性磋商文件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drawing>
        <wp:anchor distT="0" distB="0" distL="114300" distR="114300" simplePos="0" relativeHeight="251663360" behindDoc="0" locked="0" layoutInCell="1" allowOverlap="1">
          <wp:simplePos x="0" y="0"/>
          <wp:positionH relativeFrom="column">
            <wp:posOffset>74930</wp:posOffset>
          </wp:positionH>
          <wp:positionV relativeFrom="paragraph">
            <wp:posOffset>-136525</wp:posOffset>
          </wp:positionV>
          <wp:extent cx="2726055" cy="288290"/>
          <wp:effectExtent l="0" t="0" r="0" b="0"/>
          <wp:wrapNone/>
          <wp:docPr id="1" name="图片 2" descr="未命名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命名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26270" cy="288000"/>
                  </a:xfrm>
                  <a:prstGeom prst="rect">
                    <a:avLst/>
                  </a:prstGeom>
                  <a:noFill/>
                  <a:ln>
                    <a:noFill/>
                  </a:ln>
                  <a:effectLst/>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drawing>
        <wp:anchor distT="0" distB="0" distL="114300" distR="114300" simplePos="0" relativeHeight="251660288" behindDoc="0" locked="0" layoutInCell="1" allowOverlap="1">
          <wp:simplePos x="0" y="0"/>
          <wp:positionH relativeFrom="margin">
            <wp:posOffset>104775</wp:posOffset>
          </wp:positionH>
          <wp:positionV relativeFrom="paragraph">
            <wp:posOffset>78740</wp:posOffset>
          </wp:positionV>
          <wp:extent cx="2726055" cy="287655"/>
          <wp:effectExtent l="0" t="0" r="0" b="0"/>
          <wp:wrapNone/>
          <wp:docPr id="2" name="图片 2" descr="未命名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26055" cy="287655"/>
                  </a:xfrm>
                  <a:prstGeom prst="rect">
                    <a:avLst/>
                  </a:prstGeom>
                  <a:noFill/>
                  <a:ln>
                    <a:noFill/>
                  </a:ln>
                </pic:spPr>
              </pic:pic>
            </a:graphicData>
          </a:graphic>
        </wp:anchor>
      </w:drawing>
    </w:r>
  </w:p>
  <w:p>
    <w:pPr>
      <w:pStyle w:val="27"/>
      <w:jc w:val="both"/>
    </w:pPr>
  </w:p>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F4280"/>
    <w:multiLevelType w:val="singleLevel"/>
    <w:tmpl w:val="9A5F4280"/>
    <w:lvl w:ilvl="0" w:tentative="0">
      <w:start w:val="1"/>
      <w:numFmt w:val="decimal"/>
      <w:suff w:val="space"/>
      <w:lvlText w:val="%1、"/>
      <w:lvlJc w:val="left"/>
    </w:lvl>
  </w:abstractNum>
  <w:abstractNum w:abstractNumId="1">
    <w:nsid w:val="EB5F27EF"/>
    <w:multiLevelType w:val="singleLevel"/>
    <w:tmpl w:val="EB5F27EF"/>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FD87484"/>
    <w:multiLevelType w:val="singleLevel"/>
    <w:tmpl w:val="0FD87484"/>
    <w:lvl w:ilvl="0" w:tentative="0">
      <w:start w:val="1"/>
      <w:numFmt w:val="chineseCounting"/>
      <w:suff w:val="nothing"/>
      <w:lvlText w:val="（%1）"/>
      <w:lvlJc w:val="left"/>
      <w:rPr>
        <w:rFonts w:hint="eastAsia"/>
      </w:rPr>
    </w:lvl>
  </w:abstractNum>
  <w:abstractNum w:abstractNumId="4">
    <w:nsid w:val="1BA72A22"/>
    <w:multiLevelType w:val="singleLevel"/>
    <w:tmpl w:val="1BA72A22"/>
    <w:lvl w:ilvl="0" w:tentative="0">
      <w:start w:val="2"/>
      <w:numFmt w:val="decimal"/>
      <w:lvlText w:val="%1."/>
      <w:lvlJc w:val="left"/>
      <w:pPr>
        <w:tabs>
          <w:tab w:val="left" w:pos="312"/>
        </w:tabs>
      </w:pPr>
    </w:lvl>
  </w:abstractNum>
  <w:abstractNum w:abstractNumId="5">
    <w:nsid w:val="2DD9F617"/>
    <w:multiLevelType w:val="singleLevel"/>
    <w:tmpl w:val="2DD9F617"/>
    <w:lvl w:ilvl="0" w:tentative="0">
      <w:start w:val="2"/>
      <w:numFmt w:val="chineseCounting"/>
      <w:suff w:val="nothing"/>
      <w:lvlText w:val="%1、"/>
      <w:lvlJc w:val="left"/>
      <w:rPr>
        <w:rFonts w:hint="eastAsia"/>
      </w:rPr>
    </w:lvl>
  </w:abstractNum>
  <w:abstractNum w:abstractNumId="6">
    <w:nsid w:val="326DD496"/>
    <w:multiLevelType w:val="singleLevel"/>
    <w:tmpl w:val="326DD496"/>
    <w:lvl w:ilvl="0" w:tentative="0">
      <w:start w:val="6"/>
      <w:numFmt w:val="decimal"/>
      <w:lvlText w:val="%1."/>
      <w:lvlJc w:val="left"/>
      <w:pPr>
        <w:tabs>
          <w:tab w:val="left" w:pos="312"/>
        </w:tabs>
      </w:pPr>
    </w:lvl>
  </w:abstractNum>
  <w:abstractNum w:abstractNumId="7">
    <w:nsid w:val="41690CEB"/>
    <w:multiLevelType w:val="multilevel"/>
    <w:tmpl w:val="41690CEB"/>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9C07086"/>
    <w:multiLevelType w:val="singleLevel"/>
    <w:tmpl w:val="59C07086"/>
    <w:lvl w:ilvl="0" w:tentative="0">
      <w:start w:val="1"/>
      <w:numFmt w:val="decimal"/>
      <w:suff w:val="nothing"/>
      <w:lvlText w:val="%1、"/>
      <w:lvlJc w:val="left"/>
    </w:lvl>
  </w:abstractNum>
  <w:abstractNum w:abstractNumId="9">
    <w:nsid w:val="780CA7D9"/>
    <w:multiLevelType w:val="singleLevel"/>
    <w:tmpl w:val="780CA7D9"/>
    <w:lvl w:ilvl="0" w:tentative="0">
      <w:start w:val="2"/>
      <w:numFmt w:val="chineseCounting"/>
      <w:suff w:val="nothing"/>
      <w:lvlText w:val="（%1）"/>
      <w:lvlJc w:val="left"/>
      <w:rPr>
        <w:rFonts w:hint="eastAsia"/>
      </w:rPr>
    </w:lvl>
  </w:abstractNum>
  <w:abstractNum w:abstractNumId="10">
    <w:nsid w:val="7CAED573"/>
    <w:multiLevelType w:val="singleLevel"/>
    <w:tmpl w:val="7CAED573"/>
    <w:lvl w:ilvl="0" w:tentative="0">
      <w:start w:val="5"/>
      <w:numFmt w:val="chineseCounting"/>
      <w:suff w:val="nothing"/>
      <w:lvlText w:val="%1、"/>
      <w:lvlJc w:val="left"/>
      <w:rPr>
        <w:rFonts w:hint="eastAsia"/>
      </w:rPr>
    </w:lvl>
  </w:abstractNum>
  <w:num w:numId="1">
    <w:abstractNumId w:val="6"/>
  </w:num>
  <w:num w:numId="2">
    <w:abstractNumId w:val="9"/>
  </w:num>
  <w:num w:numId="3">
    <w:abstractNumId w:val="7"/>
  </w:num>
  <w:num w:numId="4">
    <w:abstractNumId w:val="5"/>
  </w:num>
  <w:num w:numId="5">
    <w:abstractNumId w:val="3"/>
  </w:num>
  <w:num w:numId="6">
    <w:abstractNumId w:val="10"/>
  </w:num>
  <w:num w:numId="7">
    <w:abstractNumId w:val="4"/>
  </w:num>
  <w:num w:numId="8">
    <w:abstractNumId w:val="8"/>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4CC7"/>
    <w:rsid w:val="00007ABB"/>
    <w:rsid w:val="00010C32"/>
    <w:rsid w:val="00010F41"/>
    <w:rsid w:val="000145ED"/>
    <w:rsid w:val="00022E65"/>
    <w:rsid w:val="00022F9F"/>
    <w:rsid w:val="000235D9"/>
    <w:rsid w:val="00023E85"/>
    <w:rsid w:val="0003038F"/>
    <w:rsid w:val="00036EEF"/>
    <w:rsid w:val="000558A5"/>
    <w:rsid w:val="00057868"/>
    <w:rsid w:val="000625C3"/>
    <w:rsid w:val="000673FA"/>
    <w:rsid w:val="00071EA3"/>
    <w:rsid w:val="00071EB9"/>
    <w:rsid w:val="00073D90"/>
    <w:rsid w:val="000760D5"/>
    <w:rsid w:val="000762DA"/>
    <w:rsid w:val="000764BE"/>
    <w:rsid w:val="00080C12"/>
    <w:rsid w:val="00085894"/>
    <w:rsid w:val="00090533"/>
    <w:rsid w:val="0009110A"/>
    <w:rsid w:val="0009409E"/>
    <w:rsid w:val="00097766"/>
    <w:rsid w:val="000A1CE4"/>
    <w:rsid w:val="000A246A"/>
    <w:rsid w:val="000A2AE8"/>
    <w:rsid w:val="000A4F09"/>
    <w:rsid w:val="000A4F29"/>
    <w:rsid w:val="000A70F2"/>
    <w:rsid w:val="000B37D8"/>
    <w:rsid w:val="000B4562"/>
    <w:rsid w:val="000B511F"/>
    <w:rsid w:val="000C297C"/>
    <w:rsid w:val="000C680E"/>
    <w:rsid w:val="000C6F04"/>
    <w:rsid w:val="000C6FE5"/>
    <w:rsid w:val="000D1497"/>
    <w:rsid w:val="000D22E0"/>
    <w:rsid w:val="000D3392"/>
    <w:rsid w:val="000D717B"/>
    <w:rsid w:val="000E1E47"/>
    <w:rsid w:val="000E7A71"/>
    <w:rsid w:val="000F084F"/>
    <w:rsid w:val="000F1109"/>
    <w:rsid w:val="000F60E1"/>
    <w:rsid w:val="000F7AB1"/>
    <w:rsid w:val="00103355"/>
    <w:rsid w:val="0010430B"/>
    <w:rsid w:val="00106289"/>
    <w:rsid w:val="001068FD"/>
    <w:rsid w:val="00112A3E"/>
    <w:rsid w:val="00114138"/>
    <w:rsid w:val="00120FCD"/>
    <w:rsid w:val="0012155C"/>
    <w:rsid w:val="00123F35"/>
    <w:rsid w:val="00124924"/>
    <w:rsid w:val="001261FC"/>
    <w:rsid w:val="001300AD"/>
    <w:rsid w:val="00132312"/>
    <w:rsid w:val="001324D0"/>
    <w:rsid w:val="001331E5"/>
    <w:rsid w:val="00136345"/>
    <w:rsid w:val="00140786"/>
    <w:rsid w:val="00150776"/>
    <w:rsid w:val="00162F0D"/>
    <w:rsid w:val="00164861"/>
    <w:rsid w:val="00167218"/>
    <w:rsid w:val="00170661"/>
    <w:rsid w:val="00176E9A"/>
    <w:rsid w:val="001774BE"/>
    <w:rsid w:val="001808A0"/>
    <w:rsid w:val="00181A38"/>
    <w:rsid w:val="00185382"/>
    <w:rsid w:val="0018580B"/>
    <w:rsid w:val="00186892"/>
    <w:rsid w:val="0019389F"/>
    <w:rsid w:val="001A34F3"/>
    <w:rsid w:val="001A6131"/>
    <w:rsid w:val="001B0555"/>
    <w:rsid w:val="001B1735"/>
    <w:rsid w:val="001C03A0"/>
    <w:rsid w:val="001C186E"/>
    <w:rsid w:val="001C4B70"/>
    <w:rsid w:val="001C6ECA"/>
    <w:rsid w:val="001D1F59"/>
    <w:rsid w:val="001D777B"/>
    <w:rsid w:val="001E2945"/>
    <w:rsid w:val="001E7DDD"/>
    <w:rsid w:val="001F108C"/>
    <w:rsid w:val="001F150C"/>
    <w:rsid w:val="001F425D"/>
    <w:rsid w:val="001F5E62"/>
    <w:rsid w:val="00200661"/>
    <w:rsid w:val="00210A75"/>
    <w:rsid w:val="00210B3A"/>
    <w:rsid w:val="002120E1"/>
    <w:rsid w:val="002129B6"/>
    <w:rsid w:val="00214848"/>
    <w:rsid w:val="00221861"/>
    <w:rsid w:val="00236D8E"/>
    <w:rsid w:val="00236DF7"/>
    <w:rsid w:val="0024028B"/>
    <w:rsid w:val="00242CA9"/>
    <w:rsid w:val="002519C7"/>
    <w:rsid w:val="002636ED"/>
    <w:rsid w:val="00266EE9"/>
    <w:rsid w:val="002703ED"/>
    <w:rsid w:val="00275921"/>
    <w:rsid w:val="00275F06"/>
    <w:rsid w:val="00286FBA"/>
    <w:rsid w:val="00290C5C"/>
    <w:rsid w:val="00292726"/>
    <w:rsid w:val="00293D65"/>
    <w:rsid w:val="00295033"/>
    <w:rsid w:val="002A1E4E"/>
    <w:rsid w:val="002A4343"/>
    <w:rsid w:val="002A6316"/>
    <w:rsid w:val="002B2553"/>
    <w:rsid w:val="002B2897"/>
    <w:rsid w:val="002B3F90"/>
    <w:rsid w:val="002B734E"/>
    <w:rsid w:val="002C2D29"/>
    <w:rsid w:val="002D01CE"/>
    <w:rsid w:val="002D0544"/>
    <w:rsid w:val="002D2BF7"/>
    <w:rsid w:val="002D36E2"/>
    <w:rsid w:val="002E0062"/>
    <w:rsid w:val="002E10C5"/>
    <w:rsid w:val="002E12DD"/>
    <w:rsid w:val="002E1C90"/>
    <w:rsid w:val="002E6155"/>
    <w:rsid w:val="002F2EF2"/>
    <w:rsid w:val="002F4F34"/>
    <w:rsid w:val="002F5CF1"/>
    <w:rsid w:val="002F7942"/>
    <w:rsid w:val="00312FF9"/>
    <w:rsid w:val="00314A71"/>
    <w:rsid w:val="00320045"/>
    <w:rsid w:val="003234FC"/>
    <w:rsid w:val="0033202F"/>
    <w:rsid w:val="00332E01"/>
    <w:rsid w:val="00337591"/>
    <w:rsid w:val="00340727"/>
    <w:rsid w:val="00340C44"/>
    <w:rsid w:val="00343237"/>
    <w:rsid w:val="00344992"/>
    <w:rsid w:val="0035550A"/>
    <w:rsid w:val="0036303D"/>
    <w:rsid w:val="00363398"/>
    <w:rsid w:val="003651A1"/>
    <w:rsid w:val="0036590B"/>
    <w:rsid w:val="00373575"/>
    <w:rsid w:val="003738E0"/>
    <w:rsid w:val="00380DF1"/>
    <w:rsid w:val="003818A3"/>
    <w:rsid w:val="003820C8"/>
    <w:rsid w:val="00386493"/>
    <w:rsid w:val="0038784E"/>
    <w:rsid w:val="00390F76"/>
    <w:rsid w:val="003922E7"/>
    <w:rsid w:val="003947D1"/>
    <w:rsid w:val="003A64D0"/>
    <w:rsid w:val="003B0DCF"/>
    <w:rsid w:val="003B6215"/>
    <w:rsid w:val="003C0D86"/>
    <w:rsid w:val="003C43A1"/>
    <w:rsid w:val="003C6554"/>
    <w:rsid w:val="003C6641"/>
    <w:rsid w:val="003C6D0D"/>
    <w:rsid w:val="003D29B2"/>
    <w:rsid w:val="003D2AE1"/>
    <w:rsid w:val="003E1ABC"/>
    <w:rsid w:val="003E1AD8"/>
    <w:rsid w:val="003E635F"/>
    <w:rsid w:val="003F66DA"/>
    <w:rsid w:val="003F6E34"/>
    <w:rsid w:val="00402ECE"/>
    <w:rsid w:val="00412178"/>
    <w:rsid w:val="00421BDA"/>
    <w:rsid w:val="00423A04"/>
    <w:rsid w:val="00423CDA"/>
    <w:rsid w:val="00425834"/>
    <w:rsid w:val="0042787B"/>
    <w:rsid w:val="00433CE3"/>
    <w:rsid w:val="00433E2A"/>
    <w:rsid w:val="0043432B"/>
    <w:rsid w:val="004343A7"/>
    <w:rsid w:val="00441BDA"/>
    <w:rsid w:val="0044394E"/>
    <w:rsid w:val="00445B5C"/>
    <w:rsid w:val="00445E84"/>
    <w:rsid w:val="00453EC9"/>
    <w:rsid w:val="00457357"/>
    <w:rsid w:val="00460537"/>
    <w:rsid w:val="004631E4"/>
    <w:rsid w:val="004642F2"/>
    <w:rsid w:val="004669DF"/>
    <w:rsid w:val="00471824"/>
    <w:rsid w:val="00472841"/>
    <w:rsid w:val="00481E73"/>
    <w:rsid w:val="00486E43"/>
    <w:rsid w:val="004A0CFC"/>
    <w:rsid w:val="004A50B5"/>
    <w:rsid w:val="004B0037"/>
    <w:rsid w:val="004B1CDA"/>
    <w:rsid w:val="004B6029"/>
    <w:rsid w:val="004B65C9"/>
    <w:rsid w:val="004C247E"/>
    <w:rsid w:val="004C3276"/>
    <w:rsid w:val="004C42A4"/>
    <w:rsid w:val="004C5F3E"/>
    <w:rsid w:val="004C645B"/>
    <w:rsid w:val="004D0AA0"/>
    <w:rsid w:val="004D1906"/>
    <w:rsid w:val="004E01C2"/>
    <w:rsid w:val="004F1FAC"/>
    <w:rsid w:val="004F28A6"/>
    <w:rsid w:val="004F456A"/>
    <w:rsid w:val="004F60C8"/>
    <w:rsid w:val="00504988"/>
    <w:rsid w:val="00510798"/>
    <w:rsid w:val="005205EF"/>
    <w:rsid w:val="005237F0"/>
    <w:rsid w:val="005248EF"/>
    <w:rsid w:val="00535504"/>
    <w:rsid w:val="00544EAF"/>
    <w:rsid w:val="00547030"/>
    <w:rsid w:val="00550AED"/>
    <w:rsid w:val="00561799"/>
    <w:rsid w:val="005714EB"/>
    <w:rsid w:val="005717CE"/>
    <w:rsid w:val="0057204A"/>
    <w:rsid w:val="00577986"/>
    <w:rsid w:val="005830BA"/>
    <w:rsid w:val="00585300"/>
    <w:rsid w:val="005853E3"/>
    <w:rsid w:val="00585478"/>
    <w:rsid w:val="005923F9"/>
    <w:rsid w:val="0059366C"/>
    <w:rsid w:val="00593882"/>
    <w:rsid w:val="005A0445"/>
    <w:rsid w:val="005A3B30"/>
    <w:rsid w:val="005A3FC6"/>
    <w:rsid w:val="005A463A"/>
    <w:rsid w:val="005A56ED"/>
    <w:rsid w:val="005B0CDD"/>
    <w:rsid w:val="005B2B27"/>
    <w:rsid w:val="005C184D"/>
    <w:rsid w:val="005C5F85"/>
    <w:rsid w:val="005D07E6"/>
    <w:rsid w:val="005D5289"/>
    <w:rsid w:val="005E25D0"/>
    <w:rsid w:val="005E53F5"/>
    <w:rsid w:val="005E67F4"/>
    <w:rsid w:val="005F3845"/>
    <w:rsid w:val="005F6D08"/>
    <w:rsid w:val="006007C4"/>
    <w:rsid w:val="006028A4"/>
    <w:rsid w:val="00612059"/>
    <w:rsid w:val="006128A7"/>
    <w:rsid w:val="00614B58"/>
    <w:rsid w:val="00620341"/>
    <w:rsid w:val="006243C6"/>
    <w:rsid w:val="006263B8"/>
    <w:rsid w:val="0062658D"/>
    <w:rsid w:val="00630280"/>
    <w:rsid w:val="00631EF8"/>
    <w:rsid w:val="0063491D"/>
    <w:rsid w:val="00636F16"/>
    <w:rsid w:val="00643F3D"/>
    <w:rsid w:val="00645529"/>
    <w:rsid w:val="006470C8"/>
    <w:rsid w:val="0066052F"/>
    <w:rsid w:val="00661E76"/>
    <w:rsid w:val="00662392"/>
    <w:rsid w:val="0066755A"/>
    <w:rsid w:val="006702AD"/>
    <w:rsid w:val="006720E6"/>
    <w:rsid w:val="0067309C"/>
    <w:rsid w:val="006738D3"/>
    <w:rsid w:val="00673F6D"/>
    <w:rsid w:val="00682D43"/>
    <w:rsid w:val="006853DD"/>
    <w:rsid w:val="00690DF4"/>
    <w:rsid w:val="006A05AB"/>
    <w:rsid w:val="006A3394"/>
    <w:rsid w:val="006A3B09"/>
    <w:rsid w:val="006B6D27"/>
    <w:rsid w:val="006B7071"/>
    <w:rsid w:val="006C01D6"/>
    <w:rsid w:val="006C07CC"/>
    <w:rsid w:val="006C1A43"/>
    <w:rsid w:val="006C20FE"/>
    <w:rsid w:val="006C2E70"/>
    <w:rsid w:val="006C6FA1"/>
    <w:rsid w:val="006C7557"/>
    <w:rsid w:val="006D4FA7"/>
    <w:rsid w:val="006E15FB"/>
    <w:rsid w:val="006E3E03"/>
    <w:rsid w:val="006F1ACB"/>
    <w:rsid w:val="006F2FC8"/>
    <w:rsid w:val="006F38F5"/>
    <w:rsid w:val="0070013F"/>
    <w:rsid w:val="007014F1"/>
    <w:rsid w:val="00701DD9"/>
    <w:rsid w:val="00703843"/>
    <w:rsid w:val="00707412"/>
    <w:rsid w:val="00715BE2"/>
    <w:rsid w:val="0072361E"/>
    <w:rsid w:val="00723896"/>
    <w:rsid w:val="00723C4D"/>
    <w:rsid w:val="00731BCA"/>
    <w:rsid w:val="0073433C"/>
    <w:rsid w:val="00734518"/>
    <w:rsid w:val="007374C0"/>
    <w:rsid w:val="00741857"/>
    <w:rsid w:val="00750034"/>
    <w:rsid w:val="0075249C"/>
    <w:rsid w:val="00761209"/>
    <w:rsid w:val="00765B55"/>
    <w:rsid w:val="00770D65"/>
    <w:rsid w:val="00772FD3"/>
    <w:rsid w:val="007831F4"/>
    <w:rsid w:val="00790F3B"/>
    <w:rsid w:val="007A093C"/>
    <w:rsid w:val="007A2CAB"/>
    <w:rsid w:val="007A2DB0"/>
    <w:rsid w:val="007A503A"/>
    <w:rsid w:val="007A683D"/>
    <w:rsid w:val="007A6B90"/>
    <w:rsid w:val="007B37D1"/>
    <w:rsid w:val="007C05FA"/>
    <w:rsid w:val="007C40FE"/>
    <w:rsid w:val="007C7A0C"/>
    <w:rsid w:val="007D1567"/>
    <w:rsid w:val="007E4F69"/>
    <w:rsid w:val="007E6831"/>
    <w:rsid w:val="00801EF7"/>
    <w:rsid w:val="008038FB"/>
    <w:rsid w:val="008120D6"/>
    <w:rsid w:val="00814FCC"/>
    <w:rsid w:val="00815963"/>
    <w:rsid w:val="008169E0"/>
    <w:rsid w:val="00827C4C"/>
    <w:rsid w:val="00834A2F"/>
    <w:rsid w:val="00835F45"/>
    <w:rsid w:val="008409EF"/>
    <w:rsid w:val="00842237"/>
    <w:rsid w:val="00851C26"/>
    <w:rsid w:val="008609BC"/>
    <w:rsid w:val="00862246"/>
    <w:rsid w:val="00862748"/>
    <w:rsid w:val="00870D97"/>
    <w:rsid w:val="008715A0"/>
    <w:rsid w:val="0087620D"/>
    <w:rsid w:val="0088578D"/>
    <w:rsid w:val="0088728B"/>
    <w:rsid w:val="00893DAE"/>
    <w:rsid w:val="00894053"/>
    <w:rsid w:val="00895121"/>
    <w:rsid w:val="008A4AC1"/>
    <w:rsid w:val="008B396A"/>
    <w:rsid w:val="008B46F2"/>
    <w:rsid w:val="008D19EC"/>
    <w:rsid w:val="008D3A4E"/>
    <w:rsid w:val="008D4F4C"/>
    <w:rsid w:val="008D6B34"/>
    <w:rsid w:val="008E2FF6"/>
    <w:rsid w:val="008E3C7F"/>
    <w:rsid w:val="008F686E"/>
    <w:rsid w:val="009006C9"/>
    <w:rsid w:val="009014CB"/>
    <w:rsid w:val="0090419B"/>
    <w:rsid w:val="00904A04"/>
    <w:rsid w:val="00905761"/>
    <w:rsid w:val="009069BA"/>
    <w:rsid w:val="00906E67"/>
    <w:rsid w:val="0090791B"/>
    <w:rsid w:val="00907E27"/>
    <w:rsid w:val="009145E7"/>
    <w:rsid w:val="009168D9"/>
    <w:rsid w:val="00916F97"/>
    <w:rsid w:val="00924F00"/>
    <w:rsid w:val="00926BD5"/>
    <w:rsid w:val="00943652"/>
    <w:rsid w:val="009439C9"/>
    <w:rsid w:val="00953246"/>
    <w:rsid w:val="00963A8C"/>
    <w:rsid w:val="00972699"/>
    <w:rsid w:val="0097416A"/>
    <w:rsid w:val="00974C36"/>
    <w:rsid w:val="00985909"/>
    <w:rsid w:val="00992DFA"/>
    <w:rsid w:val="00993667"/>
    <w:rsid w:val="009939D5"/>
    <w:rsid w:val="00993C97"/>
    <w:rsid w:val="00996F31"/>
    <w:rsid w:val="009979FD"/>
    <w:rsid w:val="009A321F"/>
    <w:rsid w:val="009A3284"/>
    <w:rsid w:val="009B2D9E"/>
    <w:rsid w:val="009B7A85"/>
    <w:rsid w:val="009C31CC"/>
    <w:rsid w:val="009C33A2"/>
    <w:rsid w:val="009D1026"/>
    <w:rsid w:val="009D5790"/>
    <w:rsid w:val="009D67ED"/>
    <w:rsid w:val="009E257F"/>
    <w:rsid w:val="009E3E09"/>
    <w:rsid w:val="009E5A18"/>
    <w:rsid w:val="009F4374"/>
    <w:rsid w:val="009F4F1C"/>
    <w:rsid w:val="00A11C28"/>
    <w:rsid w:val="00A1432F"/>
    <w:rsid w:val="00A144EB"/>
    <w:rsid w:val="00A2514C"/>
    <w:rsid w:val="00A309F0"/>
    <w:rsid w:val="00A41F44"/>
    <w:rsid w:val="00A44B42"/>
    <w:rsid w:val="00A45770"/>
    <w:rsid w:val="00A541BD"/>
    <w:rsid w:val="00A54521"/>
    <w:rsid w:val="00A559E4"/>
    <w:rsid w:val="00A55DB4"/>
    <w:rsid w:val="00A63261"/>
    <w:rsid w:val="00A7160E"/>
    <w:rsid w:val="00A74305"/>
    <w:rsid w:val="00A83AC1"/>
    <w:rsid w:val="00A9028D"/>
    <w:rsid w:val="00A9702A"/>
    <w:rsid w:val="00AA0052"/>
    <w:rsid w:val="00AA01E4"/>
    <w:rsid w:val="00AA036B"/>
    <w:rsid w:val="00AC0B1F"/>
    <w:rsid w:val="00AC36A5"/>
    <w:rsid w:val="00AC4408"/>
    <w:rsid w:val="00AC56BD"/>
    <w:rsid w:val="00AD0272"/>
    <w:rsid w:val="00AD0386"/>
    <w:rsid w:val="00AD2B92"/>
    <w:rsid w:val="00AE1F5C"/>
    <w:rsid w:val="00AE3521"/>
    <w:rsid w:val="00AE3F8F"/>
    <w:rsid w:val="00AF002B"/>
    <w:rsid w:val="00AF15BA"/>
    <w:rsid w:val="00AF1CF8"/>
    <w:rsid w:val="00AF2603"/>
    <w:rsid w:val="00AF6FFC"/>
    <w:rsid w:val="00B2007F"/>
    <w:rsid w:val="00B21B61"/>
    <w:rsid w:val="00B26197"/>
    <w:rsid w:val="00B27E55"/>
    <w:rsid w:val="00B339F2"/>
    <w:rsid w:val="00B35D1A"/>
    <w:rsid w:val="00B35FC4"/>
    <w:rsid w:val="00B36E76"/>
    <w:rsid w:val="00B40A73"/>
    <w:rsid w:val="00B40ACA"/>
    <w:rsid w:val="00B41A55"/>
    <w:rsid w:val="00B519CC"/>
    <w:rsid w:val="00B5518B"/>
    <w:rsid w:val="00B6160B"/>
    <w:rsid w:val="00B645FA"/>
    <w:rsid w:val="00B6763A"/>
    <w:rsid w:val="00B714C3"/>
    <w:rsid w:val="00B729C7"/>
    <w:rsid w:val="00B8011F"/>
    <w:rsid w:val="00B80536"/>
    <w:rsid w:val="00B80581"/>
    <w:rsid w:val="00B87A9D"/>
    <w:rsid w:val="00B90035"/>
    <w:rsid w:val="00B90B32"/>
    <w:rsid w:val="00B95326"/>
    <w:rsid w:val="00B956EE"/>
    <w:rsid w:val="00B969D5"/>
    <w:rsid w:val="00B97136"/>
    <w:rsid w:val="00BA279A"/>
    <w:rsid w:val="00BB0FF7"/>
    <w:rsid w:val="00BB1D55"/>
    <w:rsid w:val="00BC1700"/>
    <w:rsid w:val="00BC1B01"/>
    <w:rsid w:val="00BD19A0"/>
    <w:rsid w:val="00BD1CE2"/>
    <w:rsid w:val="00BD66F0"/>
    <w:rsid w:val="00BE04A8"/>
    <w:rsid w:val="00BE4957"/>
    <w:rsid w:val="00BF20FF"/>
    <w:rsid w:val="00BF5F29"/>
    <w:rsid w:val="00C0042D"/>
    <w:rsid w:val="00C049EB"/>
    <w:rsid w:val="00C04CB9"/>
    <w:rsid w:val="00C06829"/>
    <w:rsid w:val="00C100C3"/>
    <w:rsid w:val="00C121F3"/>
    <w:rsid w:val="00C20CDD"/>
    <w:rsid w:val="00C25F4C"/>
    <w:rsid w:val="00C26BD3"/>
    <w:rsid w:val="00C3052E"/>
    <w:rsid w:val="00C31AD8"/>
    <w:rsid w:val="00C421B6"/>
    <w:rsid w:val="00C508C1"/>
    <w:rsid w:val="00C54267"/>
    <w:rsid w:val="00C57F54"/>
    <w:rsid w:val="00C6026C"/>
    <w:rsid w:val="00C605E3"/>
    <w:rsid w:val="00C63B15"/>
    <w:rsid w:val="00C64B57"/>
    <w:rsid w:val="00C67FBB"/>
    <w:rsid w:val="00C70D49"/>
    <w:rsid w:val="00C75A71"/>
    <w:rsid w:val="00C83476"/>
    <w:rsid w:val="00C85C70"/>
    <w:rsid w:val="00C90668"/>
    <w:rsid w:val="00C90B88"/>
    <w:rsid w:val="00C941C9"/>
    <w:rsid w:val="00C9775B"/>
    <w:rsid w:val="00CA0A3A"/>
    <w:rsid w:val="00CA25C0"/>
    <w:rsid w:val="00CA7A38"/>
    <w:rsid w:val="00CB3126"/>
    <w:rsid w:val="00CB5635"/>
    <w:rsid w:val="00CC5538"/>
    <w:rsid w:val="00CC71E6"/>
    <w:rsid w:val="00CD07C3"/>
    <w:rsid w:val="00CD15A7"/>
    <w:rsid w:val="00CE4310"/>
    <w:rsid w:val="00CE4557"/>
    <w:rsid w:val="00CE4D93"/>
    <w:rsid w:val="00CE6E46"/>
    <w:rsid w:val="00CF27A1"/>
    <w:rsid w:val="00CF2A59"/>
    <w:rsid w:val="00D012B9"/>
    <w:rsid w:val="00D02615"/>
    <w:rsid w:val="00D05321"/>
    <w:rsid w:val="00D0642E"/>
    <w:rsid w:val="00D06D26"/>
    <w:rsid w:val="00D23187"/>
    <w:rsid w:val="00D2322C"/>
    <w:rsid w:val="00D247A1"/>
    <w:rsid w:val="00D30059"/>
    <w:rsid w:val="00D3466C"/>
    <w:rsid w:val="00D356BF"/>
    <w:rsid w:val="00D37C31"/>
    <w:rsid w:val="00D4171E"/>
    <w:rsid w:val="00D453B3"/>
    <w:rsid w:val="00D4641E"/>
    <w:rsid w:val="00D574E5"/>
    <w:rsid w:val="00D627CF"/>
    <w:rsid w:val="00D63D55"/>
    <w:rsid w:val="00D67157"/>
    <w:rsid w:val="00D7091B"/>
    <w:rsid w:val="00D71B0E"/>
    <w:rsid w:val="00D7323B"/>
    <w:rsid w:val="00D73B4C"/>
    <w:rsid w:val="00D7441E"/>
    <w:rsid w:val="00D805D4"/>
    <w:rsid w:val="00D858AA"/>
    <w:rsid w:val="00D95B10"/>
    <w:rsid w:val="00DA18CC"/>
    <w:rsid w:val="00DA4A29"/>
    <w:rsid w:val="00DA51BA"/>
    <w:rsid w:val="00DA571D"/>
    <w:rsid w:val="00DB1EFB"/>
    <w:rsid w:val="00DC17C2"/>
    <w:rsid w:val="00DC1A76"/>
    <w:rsid w:val="00DC2F1D"/>
    <w:rsid w:val="00DC50ED"/>
    <w:rsid w:val="00DD2332"/>
    <w:rsid w:val="00DD4C4F"/>
    <w:rsid w:val="00DD6F44"/>
    <w:rsid w:val="00DE1931"/>
    <w:rsid w:val="00DE2522"/>
    <w:rsid w:val="00DE674C"/>
    <w:rsid w:val="00DE7E08"/>
    <w:rsid w:val="00DE7FC5"/>
    <w:rsid w:val="00DF41C2"/>
    <w:rsid w:val="00E005B1"/>
    <w:rsid w:val="00E01326"/>
    <w:rsid w:val="00E049AE"/>
    <w:rsid w:val="00E06C92"/>
    <w:rsid w:val="00E07B32"/>
    <w:rsid w:val="00E148FF"/>
    <w:rsid w:val="00E15594"/>
    <w:rsid w:val="00E30582"/>
    <w:rsid w:val="00E30D2A"/>
    <w:rsid w:val="00E31BB6"/>
    <w:rsid w:val="00E3338C"/>
    <w:rsid w:val="00E41B01"/>
    <w:rsid w:val="00E457B0"/>
    <w:rsid w:val="00E46283"/>
    <w:rsid w:val="00E545C8"/>
    <w:rsid w:val="00E55CA7"/>
    <w:rsid w:val="00E56B0E"/>
    <w:rsid w:val="00E62C64"/>
    <w:rsid w:val="00E64D34"/>
    <w:rsid w:val="00E64F68"/>
    <w:rsid w:val="00E66EBB"/>
    <w:rsid w:val="00E70E3E"/>
    <w:rsid w:val="00E742F8"/>
    <w:rsid w:val="00E83AF9"/>
    <w:rsid w:val="00E83FD3"/>
    <w:rsid w:val="00E8533C"/>
    <w:rsid w:val="00E943CE"/>
    <w:rsid w:val="00EA30CA"/>
    <w:rsid w:val="00EA54BF"/>
    <w:rsid w:val="00EB2EA9"/>
    <w:rsid w:val="00EB6A49"/>
    <w:rsid w:val="00EC29CB"/>
    <w:rsid w:val="00EC430B"/>
    <w:rsid w:val="00ED5B2C"/>
    <w:rsid w:val="00ED652A"/>
    <w:rsid w:val="00EE0180"/>
    <w:rsid w:val="00EE38CD"/>
    <w:rsid w:val="00EF1C2B"/>
    <w:rsid w:val="00EF39C5"/>
    <w:rsid w:val="00EF4CBF"/>
    <w:rsid w:val="00F028A6"/>
    <w:rsid w:val="00F13954"/>
    <w:rsid w:val="00F17C21"/>
    <w:rsid w:val="00F23E3D"/>
    <w:rsid w:val="00F267F3"/>
    <w:rsid w:val="00F26FBC"/>
    <w:rsid w:val="00F333DB"/>
    <w:rsid w:val="00F34E0A"/>
    <w:rsid w:val="00F37C2A"/>
    <w:rsid w:val="00F42F63"/>
    <w:rsid w:val="00F53A67"/>
    <w:rsid w:val="00F61041"/>
    <w:rsid w:val="00F61964"/>
    <w:rsid w:val="00F62F67"/>
    <w:rsid w:val="00F63562"/>
    <w:rsid w:val="00F6475D"/>
    <w:rsid w:val="00F65043"/>
    <w:rsid w:val="00F67E3B"/>
    <w:rsid w:val="00F71605"/>
    <w:rsid w:val="00F75689"/>
    <w:rsid w:val="00F75B12"/>
    <w:rsid w:val="00F80E7B"/>
    <w:rsid w:val="00F85109"/>
    <w:rsid w:val="00F853FC"/>
    <w:rsid w:val="00F937A2"/>
    <w:rsid w:val="00F94AC2"/>
    <w:rsid w:val="00FA12F0"/>
    <w:rsid w:val="00FB40C7"/>
    <w:rsid w:val="00FC05E2"/>
    <w:rsid w:val="00FC07C9"/>
    <w:rsid w:val="00FC5AC5"/>
    <w:rsid w:val="00FD0AEF"/>
    <w:rsid w:val="00FD5E91"/>
    <w:rsid w:val="00FE1280"/>
    <w:rsid w:val="00FE31E8"/>
    <w:rsid w:val="00FE6375"/>
    <w:rsid w:val="00FF0D21"/>
    <w:rsid w:val="00FF1A99"/>
    <w:rsid w:val="00FF3D18"/>
    <w:rsid w:val="01066C74"/>
    <w:rsid w:val="010F74EB"/>
    <w:rsid w:val="0115248C"/>
    <w:rsid w:val="01256538"/>
    <w:rsid w:val="01523D76"/>
    <w:rsid w:val="015B26ED"/>
    <w:rsid w:val="016B3CA6"/>
    <w:rsid w:val="016C535C"/>
    <w:rsid w:val="01B94A7A"/>
    <w:rsid w:val="01C7521F"/>
    <w:rsid w:val="01CD7511"/>
    <w:rsid w:val="01D35EEB"/>
    <w:rsid w:val="01EC0F88"/>
    <w:rsid w:val="02110A40"/>
    <w:rsid w:val="02121DFA"/>
    <w:rsid w:val="02430B2B"/>
    <w:rsid w:val="024618BD"/>
    <w:rsid w:val="026417F7"/>
    <w:rsid w:val="02853EEE"/>
    <w:rsid w:val="0295576A"/>
    <w:rsid w:val="029F517E"/>
    <w:rsid w:val="02FF5B60"/>
    <w:rsid w:val="030377D1"/>
    <w:rsid w:val="0306313E"/>
    <w:rsid w:val="03386882"/>
    <w:rsid w:val="033A2569"/>
    <w:rsid w:val="033E33A5"/>
    <w:rsid w:val="0353603F"/>
    <w:rsid w:val="03786FBA"/>
    <w:rsid w:val="03974857"/>
    <w:rsid w:val="03CF276F"/>
    <w:rsid w:val="03DB72A5"/>
    <w:rsid w:val="04127805"/>
    <w:rsid w:val="04412F2A"/>
    <w:rsid w:val="04597C9C"/>
    <w:rsid w:val="049324C5"/>
    <w:rsid w:val="04B3335A"/>
    <w:rsid w:val="04C6620F"/>
    <w:rsid w:val="05052E25"/>
    <w:rsid w:val="051D4BE3"/>
    <w:rsid w:val="05450B69"/>
    <w:rsid w:val="054A4CFA"/>
    <w:rsid w:val="054F19F5"/>
    <w:rsid w:val="055541C5"/>
    <w:rsid w:val="05610639"/>
    <w:rsid w:val="05636D1C"/>
    <w:rsid w:val="05700E9F"/>
    <w:rsid w:val="059A110D"/>
    <w:rsid w:val="05AA440D"/>
    <w:rsid w:val="05BE5633"/>
    <w:rsid w:val="061D1F2C"/>
    <w:rsid w:val="0662250D"/>
    <w:rsid w:val="067A2983"/>
    <w:rsid w:val="068C74DE"/>
    <w:rsid w:val="069756C9"/>
    <w:rsid w:val="06AF72DC"/>
    <w:rsid w:val="06C31C43"/>
    <w:rsid w:val="06EA41D2"/>
    <w:rsid w:val="06EE315E"/>
    <w:rsid w:val="06F82B78"/>
    <w:rsid w:val="071A250C"/>
    <w:rsid w:val="072E42E3"/>
    <w:rsid w:val="07415693"/>
    <w:rsid w:val="0763489E"/>
    <w:rsid w:val="0784507A"/>
    <w:rsid w:val="079E10FD"/>
    <w:rsid w:val="07AB5904"/>
    <w:rsid w:val="07BB1807"/>
    <w:rsid w:val="07C03E5B"/>
    <w:rsid w:val="07CA3DD7"/>
    <w:rsid w:val="07CC3EDC"/>
    <w:rsid w:val="07CF2345"/>
    <w:rsid w:val="07F9114E"/>
    <w:rsid w:val="08017EB9"/>
    <w:rsid w:val="082A5341"/>
    <w:rsid w:val="08324898"/>
    <w:rsid w:val="086118B3"/>
    <w:rsid w:val="086E7284"/>
    <w:rsid w:val="087636AB"/>
    <w:rsid w:val="08AC7366"/>
    <w:rsid w:val="08D3679E"/>
    <w:rsid w:val="091115D3"/>
    <w:rsid w:val="09193840"/>
    <w:rsid w:val="0968446C"/>
    <w:rsid w:val="09694410"/>
    <w:rsid w:val="09741458"/>
    <w:rsid w:val="09880AD8"/>
    <w:rsid w:val="098E3F81"/>
    <w:rsid w:val="09F44295"/>
    <w:rsid w:val="09F64FD5"/>
    <w:rsid w:val="0A1E1BEA"/>
    <w:rsid w:val="0A1F691F"/>
    <w:rsid w:val="0A6C5468"/>
    <w:rsid w:val="0A6F6C81"/>
    <w:rsid w:val="0A9B0A35"/>
    <w:rsid w:val="0AA5328F"/>
    <w:rsid w:val="0ABE6E53"/>
    <w:rsid w:val="0ADA2A40"/>
    <w:rsid w:val="0AE12F18"/>
    <w:rsid w:val="0AEB1B75"/>
    <w:rsid w:val="0AFC0B6F"/>
    <w:rsid w:val="0B134589"/>
    <w:rsid w:val="0B13750A"/>
    <w:rsid w:val="0B185E9C"/>
    <w:rsid w:val="0B5205DB"/>
    <w:rsid w:val="0B561DCB"/>
    <w:rsid w:val="0B5C78CC"/>
    <w:rsid w:val="0B7E48FD"/>
    <w:rsid w:val="0B9D4258"/>
    <w:rsid w:val="0BA311EC"/>
    <w:rsid w:val="0BDB58DC"/>
    <w:rsid w:val="0BDB7829"/>
    <w:rsid w:val="0BEB7F35"/>
    <w:rsid w:val="0BF877A0"/>
    <w:rsid w:val="0BFB0153"/>
    <w:rsid w:val="0C4A1EDF"/>
    <w:rsid w:val="0C7E6863"/>
    <w:rsid w:val="0CB6308D"/>
    <w:rsid w:val="0CE61108"/>
    <w:rsid w:val="0CF720AC"/>
    <w:rsid w:val="0CF92C66"/>
    <w:rsid w:val="0CFC2EE8"/>
    <w:rsid w:val="0D0C0497"/>
    <w:rsid w:val="0D20616C"/>
    <w:rsid w:val="0D417D41"/>
    <w:rsid w:val="0D4B1670"/>
    <w:rsid w:val="0D4E538B"/>
    <w:rsid w:val="0DB2478D"/>
    <w:rsid w:val="0DCA1312"/>
    <w:rsid w:val="0DF6550C"/>
    <w:rsid w:val="0DFF4E13"/>
    <w:rsid w:val="0E043F9C"/>
    <w:rsid w:val="0E044AD0"/>
    <w:rsid w:val="0E277A46"/>
    <w:rsid w:val="0E4750EF"/>
    <w:rsid w:val="0E534105"/>
    <w:rsid w:val="0E545AFA"/>
    <w:rsid w:val="0E934C03"/>
    <w:rsid w:val="0EAE3126"/>
    <w:rsid w:val="0EB86912"/>
    <w:rsid w:val="0EBC73AB"/>
    <w:rsid w:val="0EBF632C"/>
    <w:rsid w:val="0F0F783B"/>
    <w:rsid w:val="0F4628FA"/>
    <w:rsid w:val="0F594D76"/>
    <w:rsid w:val="0F8D0163"/>
    <w:rsid w:val="0FA44575"/>
    <w:rsid w:val="0FB34829"/>
    <w:rsid w:val="0FC34AB7"/>
    <w:rsid w:val="10224F7E"/>
    <w:rsid w:val="104B16F0"/>
    <w:rsid w:val="105B51DC"/>
    <w:rsid w:val="106D12DC"/>
    <w:rsid w:val="109431D7"/>
    <w:rsid w:val="10B02E63"/>
    <w:rsid w:val="10B065D7"/>
    <w:rsid w:val="10B17BB9"/>
    <w:rsid w:val="10C14D02"/>
    <w:rsid w:val="10C27E59"/>
    <w:rsid w:val="10F778EE"/>
    <w:rsid w:val="113032E2"/>
    <w:rsid w:val="114A7046"/>
    <w:rsid w:val="115C78ED"/>
    <w:rsid w:val="11641D11"/>
    <w:rsid w:val="1168606F"/>
    <w:rsid w:val="11743EA8"/>
    <w:rsid w:val="11913432"/>
    <w:rsid w:val="11B15F2D"/>
    <w:rsid w:val="11B45402"/>
    <w:rsid w:val="11C22947"/>
    <w:rsid w:val="11C23756"/>
    <w:rsid w:val="11C96F3F"/>
    <w:rsid w:val="11D5140C"/>
    <w:rsid w:val="11E3559C"/>
    <w:rsid w:val="12322363"/>
    <w:rsid w:val="125B6B53"/>
    <w:rsid w:val="1299678C"/>
    <w:rsid w:val="12CD13A2"/>
    <w:rsid w:val="12D828D4"/>
    <w:rsid w:val="1308440F"/>
    <w:rsid w:val="13404493"/>
    <w:rsid w:val="134B0ACA"/>
    <w:rsid w:val="135607B7"/>
    <w:rsid w:val="136A2A63"/>
    <w:rsid w:val="13780EB1"/>
    <w:rsid w:val="13815915"/>
    <w:rsid w:val="139B21B7"/>
    <w:rsid w:val="13B664F1"/>
    <w:rsid w:val="14137F4D"/>
    <w:rsid w:val="14145639"/>
    <w:rsid w:val="14241ABA"/>
    <w:rsid w:val="14537884"/>
    <w:rsid w:val="14593BBF"/>
    <w:rsid w:val="146D40F9"/>
    <w:rsid w:val="148A48C7"/>
    <w:rsid w:val="148E1CCD"/>
    <w:rsid w:val="149712DD"/>
    <w:rsid w:val="14D56C28"/>
    <w:rsid w:val="151C338A"/>
    <w:rsid w:val="152D3690"/>
    <w:rsid w:val="152D77B0"/>
    <w:rsid w:val="155462A4"/>
    <w:rsid w:val="155D7AA8"/>
    <w:rsid w:val="156304DC"/>
    <w:rsid w:val="1565002B"/>
    <w:rsid w:val="15855B9E"/>
    <w:rsid w:val="158A0C7A"/>
    <w:rsid w:val="159025CF"/>
    <w:rsid w:val="15BF3A53"/>
    <w:rsid w:val="160A75B0"/>
    <w:rsid w:val="163710EC"/>
    <w:rsid w:val="16490B40"/>
    <w:rsid w:val="164973BC"/>
    <w:rsid w:val="1686757C"/>
    <w:rsid w:val="169D1842"/>
    <w:rsid w:val="16B95467"/>
    <w:rsid w:val="173D66F2"/>
    <w:rsid w:val="17430389"/>
    <w:rsid w:val="175C0959"/>
    <w:rsid w:val="177941D0"/>
    <w:rsid w:val="178D2C0E"/>
    <w:rsid w:val="17AA1EB6"/>
    <w:rsid w:val="17DC532F"/>
    <w:rsid w:val="1820406A"/>
    <w:rsid w:val="184C7796"/>
    <w:rsid w:val="18800267"/>
    <w:rsid w:val="18A8438C"/>
    <w:rsid w:val="18AB21F5"/>
    <w:rsid w:val="18B6787F"/>
    <w:rsid w:val="18BF5A03"/>
    <w:rsid w:val="18CF70BD"/>
    <w:rsid w:val="192761BC"/>
    <w:rsid w:val="1943171E"/>
    <w:rsid w:val="194A3B96"/>
    <w:rsid w:val="19731B79"/>
    <w:rsid w:val="19A25C00"/>
    <w:rsid w:val="19A830EA"/>
    <w:rsid w:val="19B44EA6"/>
    <w:rsid w:val="19BA2013"/>
    <w:rsid w:val="1A024AC4"/>
    <w:rsid w:val="1A3B34F7"/>
    <w:rsid w:val="1A7702D7"/>
    <w:rsid w:val="1AA57B5F"/>
    <w:rsid w:val="1AEA5C84"/>
    <w:rsid w:val="1AF023DE"/>
    <w:rsid w:val="1AF92E08"/>
    <w:rsid w:val="1B112FC2"/>
    <w:rsid w:val="1B226E81"/>
    <w:rsid w:val="1B260840"/>
    <w:rsid w:val="1B497AD8"/>
    <w:rsid w:val="1B573E09"/>
    <w:rsid w:val="1B5D418C"/>
    <w:rsid w:val="1B74772E"/>
    <w:rsid w:val="1BE10255"/>
    <w:rsid w:val="1C057357"/>
    <w:rsid w:val="1C2407D2"/>
    <w:rsid w:val="1C2C271B"/>
    <w:rsid w:val="1C392717"/>
    <w:rsid w:val="1C4432D7"/>
    <w:rsid w:val="1C635603"/>
    <w:rsid w:val="1C771C32"/>
    <w:rsid w:val="1C9C7C6A"/>
    <w:rsid w:val="1CD16D78"/>
    <w:rsid w:val="1CE426A6"/>
    <w:rsid w:val="1D2F6BBA"/>
    <w:rsid w:val="1D314742"/>
    <w:rsid w:val="1D425256"/>
    <w:rsid w:val="1D5F6F38"/>
    <w:rsid w:val="1DB16F63"/>
    <w:rsid w:val="1DCB1722"/>
    <w:rsid w:val="1DD875A1"/>
    <w:rsid w:val="1DDE54C7"/>
    <w:rsid w:val="1E337D65"/>
    <w:rsid w:val="1E3F4487"/>
    <w:rsid w:val="1E437295"/>
    <w:rsid w:val="1E5006DD"/>
    <w:rsid w:val="1E5B4328"/>
    <w:rsid w:val="1E626810"/>
    <w:rsid w:val="1E7844D8"/>
    <w:rsid w:val="1E7A0EAF"/>
    <w:rsid w:val="1E7C1444"/>
    <w:rsid w:val="1E803E86"/>
    <w:rsid w:val="1EA40187"/>
    <w:rsid w:val="1EB0140F"/>
    <w:rsid w:val="1EB112F0"/>
    <w:rsid w:val="1EE44777"/>
    <w:rsid w:val="1EE755B5"/>
    <w:rsid w:val="1EEA659D"/>
    <w:rsid w:val="1F241830"/>
    <w:rsid w:val="1F3A1F0D"/>
    <w:rsid w:val="1F515A41"/>
    <w:rsid w:val="1F572D0F"/>
    <w:rsid w:val="1F7B47C2"/>
    <w:rsid w:val="1F953961"/>
    <w:rsid w:val="1FC15473"/>
    <w:rsid w:val="1FCA085F"/>
    <w:rsid w:val="1FF1266D"/>
    <w:rsid w:val="20027FB6"/>
    <w:rsid w:val="20050D8A"/>
    <w:rsid w:val="203946A1"/>
    <w:rsid w:val="204512E9"/>
    <w:rsid w:val="20484BD5"/>
    <w:rsid w:val="20A66D92"/>
    <w:rsid w:val="20AF33C5"/>
    <w:rsid w:val="20F84369"/>
    <w:rsid w:val="21432F64"/>
    <w:rsid w:val="21510C38"/>
    <w:rsid w:val="21631CA7"/>
    <w:rsid w:val="21CF6749"/>
    <w:rsid w:val="21D218F6"/>
    <w:rsid w:val="21D23128"/>
    <w:rsid w:val="21EB58B3"/>
    <w:rsid w:val="21EC4FEE"/>
    <w:rsid w:val="21EE38EF"/>
    <w:rsid w:val="2247458C"/>
    <w:rsid w:val="224A72AF"/>
    <w:rsid w:val="224B1401"/>
    <w:rsid w:val="22547760"/>
    <w:rsid w:val="22723839"/>
    <w:rsid w:val="228A26F5"/>
    <w:rsid w:val="2291014B"/>
    <w:rsid w:val="22A601EC"/>
    <w:rsid w:val="22B76ECA"/>
    <w:rsid w:val="22C33878"/>
    <w:rsid w:val="22D713AB"/>
    <w:rsid w:val="22E917FB"/>
    <w:rsid w:val="22EC6832"/>
    <w:rsid w:val="231A49B2"/>
    <w:rsid w:val="232A2225"/>
    <w:rsid w:val="23446B5A"/>
    <w:rsid w:val="2374040F"/>
    <w:rsid w:val="239C52BE"/>
    <w:rsid w:val="23C823BC"/>
    <w:rsid w:val="23EB1F02"/>
    <w:rsid w:val="24057464"/>
    <w:rsid w:val="2421560E"/>
    <w:rsid w:val="242E12C3"/>
    <w:rsid w:val="24386F5D"/>
    <w:rsid w:val="249A41D0"/>
    <w:rsid w:val="24A42D4D"/>
    <w:rsid w:val="24CC4700"/>
    <w:rsid w:val="24D47B55"/>
    <w:rsid w:val="24D51B31"/>
    <w:rsid w:val="24F46692"/>
    <w:rsid w:val="24F96510"/>
    <w:rsid w:val="2527425E"/>
    <w:rsid w:val="25551083"/>
    <w:rsid w:val="255A6FCD"/>
    <w:rsid w:val="25866D4C"/>
    <w:rsid w:val="25B53FE5"/>
    <w:rsid w:val="25D46221"/>
    <w:rsid w:val="25E5760B"/>
    <w:rsid w:val="2685583A"/>
    <w:rsid w:val="269752A7"/>
    <w:rsid w:val="26B7171B"/>
    <w:rsid w:val="26D60601"/>
    <w:rsid w:val="26E51EF5"/>
    <w:rsid w:val="26E57FF4"/>
    <w:rsid w:val="26FE01DA"/>
    <w:rsid w:val="27057443"/>
    <w:rsid w:val="274021AE"/>
    <w:rsid w:val="277179C4"/>
    <w:rsid w:val="2782130A"/>
    <w:rsid w:val="27A06269"/>
    <w:rsid w:val="27C65D97"/>
    <w:rsid w:val="27C80BA2"/>
    <w:rsid w:val="27CA36DB"/>
    <w:rsid w:val="27E81944"/>
    <w:rsid w:val="27FB0E00"/>
    <w:rsid w:val="28012834"/>
    <w:rsid w:val="28017784"/>
    <w:rsid w:val="282A7305"/>
    <w:rsid w:val="282E7330"/>
    <w:rsid w:val="28311997"/>
    <w:rsid w:val="287F157E"/>
    <w:rsid w:val="28982384"/>
    <w:rsid w:val="28B27B2F"/>
    <w:rsid w:val="28DD78F7"/>
    <w:rsid w:val="28E13AEA"/>
    <w:rsid w:val="28F8660C"/>
    <w:rsid w:val="28FA079E"/>
    <w:rsid w:val="29111D14"/>
    <w:rsid w:val="292C2AB7"/>
    <w:rsid w:val="293C7085"/>
    <w:rsid w:val="295F1F03"/>
    <w:rsid w:val="2972512E"/>
    <w:rsid w:val="29874879"/>
    <w:rsid w:val="29B72260"/>
    <w:rsid w:val="29D515FE"/>
    <w:rsid w:val="29D671BF"/>
    <w:rsid w:val="29E20608"/>
    <w:rsid w:val="29F41CCD"/>
    <w:rsid w:val="2AB800BF"/>
    <w:rsid w:val="2AC46C46"/>
    <w:rsid w:val="2AE33EE5"/>
    <w:rsid w:val="2AE42113"/>
    <w:rsid w:val="2AEB1CDD"/>
    <w:rsid w:val="2AF3254C"/>
    <w:rsid w:val="2B0D1964"/>
    <w:rsid w:val="2B170837"/>
    <w:rsid w:val="2B187CEF"/>
    <w:rsid w:val="2B243D1C"/>
    <w:rsid w:val="2B4F6388"/>
    <w:rsid w:val="2B5F64D2"/>
    <w:rsid w:val="2B7A199A"/>
    <w:rsid w:val="2B7E43E9"/>
    <w:rsid w:val="2BB97180"/>
    <w:rsid w:val="2BE17728"/>
    <w:rsid w:val="2BFC4647"/>
    <w:rsid w:val="2C0425E2"/>
    <w:rsid w:val="2C0A7EF8"/>
    <w:rsid w:val="2C2726A2"/>
    <w:rsid w:val="2C5258B1"/>
    <w:rsid w:val="2C5300D5"/>
    <w:rsid w:val="2C551116"/>
    <w:rsid w:val="2C6F59A4"/>
    <w:rsid w:val="2CAB29B3"/>
    <w:rsid w:val="2CBD5FA7"/>
    <w:rsid w:val="2CC3590B"/>
    <w:rsid w:val="2CCE49E8"/>
    <w:rsid w:val="2CE97927"/>
    <w:rsid w:val="2CF040BC"/>
    <w:rsid w:val="2D2864D4"/>
    <w:rsid w:val="2D3A13A6"/>
    <w:rsid w:val="2D5405C8"/>
    <w:rsid w:val="2D5621E9"/>
    <w:rsid w:val="2D5E4AE2"/>
    <w:rsid w:val="2D6405B3"/>
    <w:rsid w:val="2D7B53E4"/>
    <w:rsid w:val="2D872A43"/>
    <w:rsid w:val="2D974640"/>
    <w:rsid w:val="2D982CB3"/>
    <w:rsid w:val="2D9975D8"/>
    <w:rsid w:val="2DAA40C0"/>
    <w:rsid w:val="2DB41655"/>
    <w:rsid w:val="2DBD51DB"/>
    <w:rsid w:val="2DBF023A"/>
    <w:rsid w:val="2DCC3E54"/>
    <w:rsid w:val="2DD32383"/>
    <w:rsid w:val="2DE50909"/>
    <w:rsid w:val="2E2023E0"/>
    <w:rsid w:val="2E267284"/>
    <w:rsid w:val="2E8A18A9"/>
    <w:rsid w:val="2EB1759E"/>
    <w:rsid w:val="2EDC4259"/>
    <w:rsid w:val="2EE72320"/>
    <w:rsid w:val="2EE8455C"/>
    <w:rsid w:val="2EEE11D0"/>
    <w:rsid w:val="2EEF344A"/>
    <w:rsid w:val="2F037EB2"/>
    <w:rsid w:val="2F077651"/>
    <w:rsid w:val="2F0A3A24"/>
    <w:rsid w:val="2F2C48A3"/>
    <w:rsid w:val="2F3643F2"/>
    <w:rsid w:val="2F41171A"/>
    <w:rsid w:val="2F555E12"/>
    <w:rsid w:val="2F663419"/>
    <w:rsid w:val="2F9F52FB"/>
    <w:rsid w:val="2FC414F3"/>
    <w:rsid w:val="2FDD3282"/>
    <w:rsid w:val="2FE60929"/>
    <w:rsid w:val="2FFD2C87"/>
    <w:rsid w:val="300D318E"/>
    <w:rsid w:val="30715D36"/>
    <w:rsid w:val="307B0389"/>
    <w:rsid w:val="30806E1F"/>
    <w:rsid w:val="308F3DB5"/>
    <w:rsid w:val="30A359F4"/>
    <w:rsid w:val="30CA43A1"/>
    <w:rsid w:val="30D70117"/>
    <w:rsid w:val="30E75086"/>
    <w:rsid w:val="310D6C4C"/>
    <w:rsid w:val="31274B61"/>
    <w:rsid w:val="3137141B"/>
    <w:rsid w:val="314B29C9"/>
    <w:rsid w:val="314B3404"/>
    <w:rsid w:val="31595B7B"/>
    <w:rsid w:val="317F14E7"/>
    <w:rsid w:val="31831265"/>
    <w:rsid w:val="31925F6C"/>
    <w:rsid w:val="31EF5475"/>
    <w:rsid w:val="31FB0DB2"/>
    <w:rsid w:val="320A6D70"/>
    <w:rsid w:val="3220320B"/>
    <w:rsid w:val="32395DAD"/>
    <w:rsid w:val="323E4472"/>
    <w:rsid w:val="325F06F3"/>
    <w:rsid w:val="3283141F"/>
    <w:rsid w:val="32875347"/>
    <w:rsid w:val="3295124C"/>
    <w:rsid w:val="32A658AF"/>
    <w:rsid w:val="32A81084"/>
    <w:rsid w:val="32D70991"/>
    <w:rsid w:val="32DF0FB6"/>
    <w:rsid w:val="330655CD"/>
    <w:rsid w:val="332F0342"/>
    <w:rsid w:val="33390117"/>
    <w:rsid w:val="335918A1"/>
    <w:rsid w:val="33706986"/>
    <w:rsid w:val="339248CC"/>
    <w:rsid w:val="33DC14FA"/>
    <w:rsid w:val="33E47CF9"/>
    <w:rsid w:val="33E9219F"/>
    <w:rsid w:val="33EF06B2"/>
    <w:rsid w:val="33FF0870"/>
    <w:rsid w:val="34281544"/>
    <w:rsid w:val="34476171"/>
    <w:rsid w:val="344A78B9"/>
    <w:rsid w:val="347053C6"/>
    <w:rsid w:val="347E1042"/>
    <w:rsid w:val="348D0BB9"/>
    <w:rsid w:val="34926C58"/>
    <w:rsid w:val="3494364D"/>
    <w:rsid w:val="34C9249A"/>
    <w:rsid w:val="34F34C56"/>
    <w:rsid w:val="350172ED"/>
    <w:rsid w:val="350E60F3"/>
    <w:rsid w:val="35123632"/>
    <w:rsid w:val="35154ADA"/>
    <w:rsid w:val="35450550"/>
    <w:rsid w:val="354C2DDD"/>
    <w:rsid w:val="354E4A1C"/>
    <w:rsid w:val="3574189F"/>
    <w:rsid w:val="357A5788"/>
    <w:rsid w:val="35B64728"/>
    <w:rsid w:val="35C91817"/>
    <w:rsid w:val="362F1867"/>
    <w:rsid w:val="36530971"/>
    <w:rsid w:val="36561BAE"/>
    <w:rsid w:val="36610C56"/>
    <w:rsid w:val="366B24CA"/>
    <w:rsid w:val="36C3563F"/>
    <w:rsid w:val="36E0480F"/>
    <w:rsid w:val="36EF28AF"/>
    <w:rsid w:val="370B4F43"/>
    <w:rsid w:val="371A14B5"/>
    <w:rsid w:val="371B0264"/>
    <w:rsid w:val="371E4610"/>
    <w:rsid w:val="372743A5"/>
    <w:rsid w:val="372D54F8"/>
    <w:rsid w:val="37594B1B"/>
    <w:rsid w:val="375A1678"/>
    <w:rsid w:val="376916D4"/>
    <w:rsid w:val="37730E27"/>
    <w:rsid w:val="37766793"/>
    <w:rsid w:val="379B2738"/>
    <w:rsid w:val="37E71D06"/>
    <w:rsid w:val="37EA6CC1"/>
    <w:rsid w:val="38095396"/>
    <w:rsid w:val="381469F3"/>
    <w:rsid w:val="383171FD"/>
    <w:rsid w:val="385666E5"/>
    <w:rsid w:val="3857384A"/>
    <w:rsid w:val="38A73EEE"/>
    <w:rsid w:val="38AA0B3F"/>
    <w:rsid w:val="38C106DF"/>
    <w:rsid w:val="38CD422C"/>
    <w:rsid w:val="38DB70E7"/>
    <w:rsid w:val="38DE2841"/>
    <w:rsid w:val="38E42D35"/>
    <w:rsid w:val="38E454D2"/>
    <w:rsid w:val="38F42118"/>
    <w:rsid w:val="391151AB"/>
    <w:rsid w:val="391D0506"/>
    <w:rsid w:val="39313C67"/>
    <w:rsid w:val="393314C1"/>
    <w:rsid w:val="3A7F2AA4"/>
    <w:rsid w:val="3A842BBE"/>
    <w:rsid w:val="3AC14448"/>
    <w:rsid w:val="3AD16F1E"/>
    <w:rsid w:val="3AE30CE5"/>
    <w:rsid w:val="3AE71B87"/>
    <w:rsid w:val="3B192EFF"/>
    <w:rsid w:val="3B385153"/>
    <w:rsid w:val="3B5019A8"/>
    <w:rsid w:val="3B8C7FFC"/>
    <w:rsid w:val="3B994652"/>
    <w:rsid w:val="3BAF545D"/>
    <w:rsid w:val="3BB63565"/>
    <w:rsid w:val="3BC9585D"/>
    <w:rsid w:val="3BCE25E6"/>
    <w:rsid w:val="3BCE3BB9"/>
    <w:rsid w:val="3C0237A1"/>
    <w:rsid w:val="3C0D7E71"/>
    <w:rsid w:val="3C1B106D"/>
    <w:rsid w:val="3C204535"/>
    <w:rsid w:val="3C2E0143"/>
    <w:rsid w:val="3C44519D"/>
    <w:rsid w:val="3C516736"/>
    <w:rsid w:val="3C68364E"/>
    <w:rsid w:val="3CA44A18"/>
    <w:rsid w:val="3CBD05D0"/>
    <w:rsid w:val="3CEA2ACF"/>
    <w:rsid w:val="3D0C77C5"/>
    <w:rsid w:val="3D1A781B"/>
    <w:rsid w:val="3D2A012D"/>
    <w:rsid w:val="3D3D169B"/>
    <w:rsid w:val="3D6C7CCF"/>
    <w:rsid w:val="3DBE02DD"/>
    <w:rsid w:val="3DEF6F6D"/>
    <w:rsid w:val="3DFD05B0"/>
    <w:rsid w:val="3E240D28"/>
    <w:rsid w:val="3E8034DB"/>
    <w:rsid w:val="3EA7753D"/>
    <w:rsid w:val="3F006C63"/>
    <w:rsid w:val="3F0C0848"/>
    <w:rsid w:val="3F3618F0"/>
    <w:rsid w:val="3F496BBF"/>
    <w:rsid w:val="3F522E9C"/>
    <w:rsid w:val="3F663CE1"/>
    <w:rsid w:val="3F8409E8"/>
    <w:rsid w:val="3FC14E74"/>
    <w:rsid w:val="3FE41460"/>
    <w:rsid w:val="3FFE2F23"/>
    <w:rsid w:val="40031C3A"/>
    <w:rsid w:val="40082F11"/>
    <w:rsid w:val="401C4AEF"/>
    <w:rsid w:val="40275E65"/>
    <w:rsid w:val="404A6865"/>
    <w:rsid w:val="407A13A9"/>
    <w:rsid w:val="407C166F"/>
    <w:rsid w:val="40BD25B1"/>
    <w:rsid w:val="40D8324C"/>
    <w:rsid w:val="40DA73A3"/>
    <w:rsid w:val="41055E69"/>
    <w:rsid w:val="410F4912"/>
    <w:rsid w:val="412542A0"/>
    <w:rsid w:val="414E6745"/>
    <w:rsid w:val="419A4D4D"/>
    <w:rsid w:val="41A221FD"/>
    <w:rsid w:val="41A706E7"/>
    <w:rsid w:val="41BC1F10"/>
    <w:rsid w:val="41CC7778"/>
    <w:rsid w:val="42080603"/>
    <w:rsid w:val="42483799"/>
    <w:rsid w:val="424B3AFB"/>
    <w:rsid w:val="42534367"/>
    <w:rsid w:val="42555F6E"/>
    <w:rsid w:val="42A637CB"/>
    <w:rsid w:val="42A750D9"/>
    <w:rsid w:val="42E250CC"/>
    <w:rsid w:val="42FF733D"/>
    <w:rsid w:val="431E7C90"/>
    <w:rsid w:val="43395734"/>
    <w:rsid w:val="43535B87"/>
    <w:rsid w:val="43555ED3"/>
    <w:rsid w:val="43765341"/>
    <w:rsid w:val="437D60FF"/>
    <w:rsid w:val="43AC0596"/>
    <w:rsid w:val="43AE4585"/>
    <w:rsid w:val="443F2A3F"/>
    <w:rsid w:val="447569EB"/>
    <w:rsid w:val="44B12F62"/>
    <w:rsid w:val="44EC369D"/>
    <w:rsid w:val="451B0620"/>
    <w:rsid w:val="453243B7"/>
    <w:rsid w:val="453B48ED"/>
    <w:rsid w:val="45610D56"/>
    <w:rsid w:val="4596640E"/>
    <w:rsid w:val="459C1BDD"/>
    <w:rsid w:val="459F1C48"/>
    <w:rsid w:val="45AE1F2A"/>
    <w:rsid w:val="45BA00F0"/>
    <w:rsid w:val="45CE1CF1"/>
    <w:rsid w:val="45E60474"/>
    <w:rsid w:val="46724F27"/>
    <w:rsid w:val="46886E13"/>
    <w:rsid w:val="46A91F25"/>
    <w:rsid w:val="46B47CFF"/>
    <w:rsid w:val="46CC25D3"/>
    <w:rsid w:val="46CE0949"/>
    <w:rsid w:val="46DF220C"/>
    <w:rsid w:val="471E350F"/>
    <w:rsid w:val="47202EC6"/>
    <w:rsid w:val="474D5582"/>
    <w:rsid w:val="4755342F"/>
    <w:rsid w:val="47660A2B"/>
    <w:rsid w:val="476756F9"/>
    <w:rsid w:val="47756B56"/>
    <w:rsid w:val="478F3EA7"/>
    <w:rsid w:val="47997CE8"/>
    <w:rsid w:val="47CF403A"/>
    <w:rsid w:val="47FC2668"/>
    <w:rsid w:val="48002404"/>
    <w:rsid w:val="482B5C12"/>
    <w:rsid w:val="48885AA6"/>
    <w:rsid w:val="4894307D"/>
    <w:rsid w:val="48B63C31"/>
    <w:rsid w:val="48B9129A"/>
    <w:rsid w:val="48CF5749"/>
    <w:rsid w:val="48FD3D7D"/>
    <w:rsid w:val="491250EA"/>
    <w:rsid w:val="49250032"/>
    <w:rsid w:val="492C3528"/>
    <w:rsid w:val="492D2565"/>
    <w:rsid w:val="493057F2"/>
    <w:rsid w:val="49322E03"/>
    <w:rsid w:val="49351816"/>
    <w:rsid w:val="4972010E"/>
    <w:rsid w:val="49A82A2F"/>
    <w:rsid w:val="49B4651F"/>
    <w:rsid w:val="49BB31EC"/>
    <w:rsid w:val="49D01507"/>
    <w:rsid w:val="49E329B9"/>
    <w:rsid w:val="49E4497D"/>
    <w:rsid w:val="49FD4E17"/>
    <w:rsid w:val="4A2C2FEF"/>
    <w:rsid w:val="4A5A0CB0"/>
    <w:rsid w:val="4A875E18"/>
    <w:rsid w:val="4A9C1DE8"/>
    <w:rsid w:val="4AAF644F"/>
    <w:rsid w:val="4AAF700B"/>
    <w:rsid w:val="4ACE582E"/>
    <w:rsid w:val="4ADB50D3"/>
    <w:rsid w:val="4AE234B8"/>
    <w:rsid w:val="4B744488"/>
    <w:rsid w:val="4B9D3228"/>
    <w:rsid w:val="4BB32845"/>
    <w:rsid w:val="4C046795"/>
    <w:rsid w:val="4C182369"/>
    <w:rsid w:val="4C2D67C8"/>
    <w:rsid w:val="4C2E3098"/>
    <w:rsid w:val="4C4B5F75"/>
    <w:rsid w:val="4CBF20CA"/>
    <w:rsid w:val="4CDD3134"/>
    <w:rsid w:val="4CE6400E"/>
    <w:rsid w:val="4CEB4158"/>
    <w:rsid w:val="4CF21F8A"/>
    <w:rsid w:val="4CF906E8"/>
    <w:rsid w:val="4D044DD4"/>
    <w:rsid w:val="4D560049"/>
    <w:rsid w:val="4D564D75"/>
    <w:rsid w:val="4D5670A7"/>
    <w:rsid w:val="4D5D1F52"/>
    <w:rsid w:val="4D6339A2"/>
    <w:rsid w:val="4D6F2697"/>
    <w:rsid w:val="4DAB1BB2"/>
    <w:rsid w:val="4DAE660F"/>
    <w:rsid w:val="4DEA115D"/>
    <w:rsid w:val="4DEA7B4A"/>
    <w:rsid w:val="4E054810"/>
    <w:rsid w:val="4E057A27"/>
    <w:rsid w:val="4E540763"/>
    <w:rsid w:val="4EAA1EB0"/>
    <w:rsid w:val="4EB0364A"/>
    <w:rsid w:val="4F136E89"/>
    <w:rsid w:val="4F2204BE"/>
    <w:rsid w:val="4F3F34E0"/>
    <w:rsid w:val="4F4B517B"/>
    <w:rsid w:val="4F565C52"/>
    <w:rsid w:val="4F5D7111"/>
    <w:rsid w:val="4F613F84"/>
    <w:rsid w:val="4F8E36B5"/>
    <w:rsid w:val="4FA45F82"/>
    <w:rsid w:val="4FC0588E"/>
    <w:rsid w:val="4FC20AA7"/>
    <w:rsid w:val="4FD340E6"/>
    <w:rsid w:val="4FE80B78"/>
    <w:rsid w:val="4FF27A3A"/>
    <w:rsid w:val="502520F5"/>
    <w:rsid w:val="504160A0"/>
    <w:rsid w:val="50465590"/>
    <w:rsid w:val="505F1EFD"/>
    <w:rsid w:val="507018BF"/>
    <w:rsid w:val="5082464B"/>
    <w:rsid w:val="50B70587"/>
    <w:rsid w:val="50D23D03"/>
    <w:rsid w:val="50DE5774"/>
    <w:rsid w:val="510369B1"/>
    <w:rsid w:val="511320A8"/>
    <w:rsid w:val="513D1102"/>
    <w:rsid w:val="515D3A2F"/>
    <w:rsid w:val="51633B00"/>
    <w:rsid w:val="517B63F8"/>
    <w:rsid w:val="517D149B"/>
    <w:rsid w:val="51903384"/>
    <w:rsid w:val="51903945"/>
    <w:rsid w:val="519A03E7"/>
    <w:rsid w:val="51B24766"/>
    <w:rsid w:val="51E720EB"/>
    <w:rsid w:val="522B24BC"/>
    <w:rsid w:val="523978C1"/>
    <w:rsid w:val="524E6B1F"/>
    <w:rsid w:val="525221EE"/>
    <w:rsid w:val="52996D73"/>
    <w:rsid w:val="52BF56C4"/>
    <w:rsid w:val="52CC710D"/>
    <w:rsid w:val="52EC7E76"/>
    <w:rsid w:val="53027C20"/>
    <w:rsid w:val="531F3AA4"/>
    <w:rsid w:val="533622C7"/>
    <w:rsid w:val="53B034DF"/>
    <w:rsid w:val="53C44356"/>
    <w:rsid w:val="541F52B9"/>
    <w:rsid w:val="544943B3"/>
    <w:rsid w:val="546537F0"/>
    <w:rsid w:val="54987609"/>
    <w:rsid w:val="54A21C39"/>
    <w:rsid w:val="54DE0F4F"/>
    <w:rsid w:val="54E53259"/>
    <w:rsid w:val="54EB09CE"/>
    <w:rsid w:val="553E3CBB"/>
    <w:rsid w:val="55777819"/>
    <w:rsid w:val="558D175E"/>
    <w:rsid w:val="55A4677D"/>
    <w:rsid w:val="55B769EE"/>
    <w:rsid w:val="560B1770"/>
    <w:rsid w:val="56386067"/>
    <w:rsid w:val="56387EBE"/>
    <w:rsid w:val="563D07A6"/>
    <w:rsid w:val="56710076"/>
    <w:rsid w:val="567A73D2"/>
    <w:rsid w:val="56887261"/>
    <w:rsid w:val="568C7313"/>
    <w:rsid w:val="56996BF6"/>
    <w:rsid w:val="56B57F62"/>
    <w:rsid w:val="56B656F7"/>
    <w:rsid w:val="56BA1584"/>
    <w:rsid w:val="57112A14"/>
    <w:rsid w:val="5713526F"/>
    <w:rsid w:val="573674E7"/>
    <w:rsid w:val="573E02EA"/>
    <w:rsid w:val="573E0A30"/>
    <w:rsid w:val="575E3A97"/>
    <w:rsid w:val="57770792"/>
    <w:rsid w:val="57787D9B"/>
    <w:rsid w:val="577C1E80"/>
    <w:rsid w:val="57A50B7A"/>
    <w:rsid w:val="57B15B5E"/>
    <w:rsid w:val="57B25A05"/>
    <w:rsid w:val="57B33763"/>
    <w:rsid w:val="57C13DB6"/>
    <w:rsid w:val="57C14EA6"/>
    <w:rsid w:val="57F42888"/>
    <w:rsid w:val="57FA6209"/>
    <w:rsid w:val="581811DB"/>
    <w:rsid w:val="58237198"/>
    <w:rsid w:val="5849475A"/>
    <w:rsid w:val="585A02D0"/>
    <w:rsid w:val="58601041"/>
    <w:rsid w:val="58645568"/>
    <w:rsid w:val="58820951"/>
    <w:rsid w:val="58904907"/>
    <w:rsid w:val="58AC28B5"/>
    <w:rsid w:val="58C72A77"/>
    <w:rsid w:val="58C900BF"/>
    <w:rsid w:val="58F05AD9"/>
    <w:rsid w:val="59033E5D"/>
    <w:rsid w:val="590A43A2"/>
    <w:rsid w:val="592B4B02"/>
    <w:rsid w:val="592C170C"/>
    <w:rsid w:val="59350BFC"/>
    <w:rsid w:val="59554E2D"/>
    <w:rsid w:val="595A5658"/>
    <w:rsid w:val="59600CB3"/>
    <w:rsid w:val="596E355B"/>
    <w:rsid w:val="59750617"/>
    <w:rsid w:val="59BA7E85"/>
    <w:rsid w:val="59C336CD"/>
    <w:rsid w:val="59C9168E"/>
    <w:rsid w:val="59D61476"/>
    <w:rsid w:val="5A102E11"/>
    <w:rsid w:val="5A14168F"/>
    <w:rsid w:val="5A1D6977"/>
    <w:rsid w:val="5A3A38E6"/>
    <w:rsid w:val="5A63770C"/>
    <w:rsid w:val="5A812E59"/>
    <w:rsid w:val="5A8401EC"/>
    <w:rsid w:val="5ABA7460"/>
    <w:rsid w:val="5AED0A3D"/>
    <w:rsid w:val="5AF779F8"/>
    <w:rsid w:val="5B2867A1"/>
    <w:rsid w:val="5B3E2AC4"/>
    <w:rsid w:val="5B423DE4"/>
    <w:rsid w:val="5B660D75"/>
    <w:rsid w:val="5B9B3477"/>
    <w:rsid w:val="5B9C24F1"/>
    <w:rsid w:val="5B9E7046"/>
    <w:rsid w:val="5BB46CAC"/>
    <w:rsid w:val="5BC73D7B"/>
    <w:rsid w:val="5BD52D52"/>
    <w:rsid w:val="5BE07D32"/>
    <w:rsid w:val="5BE236B6"/>
    <w:rsid w:val="5C2D0C7C"/>
    <w:rsid w:val="5C6701B5"/>
    <w:rsid w:val="5C945C18"/>
    <w:rsid w:val="5C9603DF"/>
    <w:rsid w:val="5C9B6DA4"/>
    <w:rsid w:val="5CB72C3E"/>
    <w:rsid w:val="5CBA2C8D"/>
    <w:rsid w:val="5CD033D7"/>
    <w:rsid w:val="5CF461B0"/>
    <w:rsid w:val="5CFA1CEF"/>
    <w:rsid w:val="5D03209D"/>
    <w:rsid w:val="5D2C49EA"/>
    <w:rsid w:val="5D3903CB"/>
    <w:rsid w:val="5D4067D9"/>
    <w:rsid w:val="5D8E58AC"/>
    <w:rsid w:val="5D951207"/>
    <w:rsid w:val="5D997C80"/>
    <w:rsid w:val="5D9E6C51"/>
    <w:rsid w:val="5DA04BE0"/>
    <w:rsid w:val="5DAD0138"/>
    <w:rsid w:val="5DB617A0"/>
    <w:rsid w:val="5DB73653"/>
    <w:rsid w:val="5DD17173"/>
    <w:rsid w:val="5DD86408"/>
    <w:rsid w:val="5DE44F8E"/>
    <w:rsid w:val="5E0F7C71"/>
    <w:rsid w:val="5E17184E"/>
    <w:rsid w:val="5E1E0FE7"/>
    <w:rsid w:val="5E241359"/>
    <w:rsid w:val="5E2F576D"/>
    <w:rsid w:val="5E37017C"/>
    <w:rsid w:val="5E4274C8"/>
    <w:rsid w:val="5E66527D"/>
    <w:rsid w:val="5E9F2768"/>
    <w:rsid w:val="5EA61FBA"/>
    <w:rsid w:val="5EAA40BC"/>
    <w:rsid w:val="5ED612E4"/>
    <w:rsid w:val="5ED97B6F"/>
    <w:rsid w:val="5EE77E9A"/>
    <w:rsid w:val="5F0A2FAF"/>
    <w:rsid w:val="5F111906"/>
    <w:rsid w:val="5F230F76"/>
    <w:rsid w:val="5F2447E2"/>
    <w:rsid w:val="5F284907"/>
    <w:rsid w:val="5F9F3551"/>
    <w:rsid w:val="5FEF3238"/>
    <w:rsid w:val="5FFD723B"/>
    <w:rsid w:val="602A170A"/>
    <w:rsid w:val="60467199"/>
    <w:rsid w:val="605A28BD"/>
    <w:rsid w:val="6084726A"/>
    <w:rsid w:val="60AC153A"/>
    <w:rsid w:val="60B10868"/>
    <w:rsid w:val="610B183C"/>
    <w:rsid w:val="615A2788"/>
    <w:rsid w:val="61613AC5"/>
    <w:rsid w:val="61673B39"/>
    <w:rsid w:val="61946FF9"/>
    <w:rsid w:val="61A71260"/>
    <w:rsid w:val="61C07CB7"/>
    <w:rsid w:val="61D640C8"/>
    <w:rsid w:val="61E273B7"/>
    <w:rsid w:val="61EE387F"/>
    <w:rsid w:val="620815C2"/>
    <w:rsid w:val="621D5FD0"/>
    <w:rsid w:val="6225580F"/>
    <w:rsid w:val="622D73B9"/>
    <w:rsid w:val="62553A9B"/>
    <w:rsid w:val="6262635A"/>
    <w:rsid w:val="62A954D2"/>
    <w:rsid w:val="62C855B8"/>
    <w:rsid w:val="62CC2B56"/>
    <w:rsid w:val="62DD138D"/>
    <w:rsid w:val="62EA4B34"/>
    <w:rsid w:val="63671C2E"/>
    <w:rsid w:val="638510EF"/>
    <w:rsid w:val="63CC4F62"/>
    <w:rsid w:val="63ED78D0"/>
    <w:rsid w:val="641B57B0"/>
    <w:rsid w:val="642523DE"/>
    <w:rsid w:val="6445786C"/>
    <w:rsid w:val="644E3D34"/>
    <w:rsid w:val="64625F41"/>
    <w:rsid w:val="64747599"/>
    <w:rsid w:val="64781F00"/>
    <w:rsid w:val="64947761"/>
    <w:rsid w:val="64961A25"/>
    <w:rsid w:val="64A617DA"/>
    <w:rsid w:val="64CB159F"/>
    <w:rsid w:val="64D24CAC"/>
    <w:rsid w:val="65105B84"/>
    <w:rsid w:val="65306782"/>
    <w:rsid w:val="654A3277"/>
    <w:rsid w:val="654A7EE8"/>
    <w:rsid w:val="655A4EA1"/>
    <w:rsid w:val="655C299A"/>
    <w:rsid w:val="65A7106E"/>
    <w:rsid w:val="65C02314"/>
    <w:rsid w:val="65EB43FC"/>
    <w:rsid w:val="660966BD"/>
    <w:rsid w:val="663F2988"/>
    <w:rsid w:val="666519A1"/>
    <w:rsid w:val="667164EF"/>
    <w:rsid w:val="667E1BE5"/>
    <w:rsid w:val="6694184A"/>
    <w:rsid w:val="66A21D59"/>
    <w:rsid w:val="66C35AED"/>
    <w:rsid w:val="66C91E19"/>
    <w:rsid w:val="66FF0C61"/>
    <w:rsid w:val="670351D9"/>
    <w:rsid w:val="67090590"/>
    <w:rsid w:val="671C4E6E"/>
    <w:rsid w:val="6737768F"/>
    <w:rsid w:val="673A4D90"/>
    <w:rsid w:val="675763AA"/>
    <w:rsid w:val="675F1945"/>
    <w:rsid w:val="677966F2"/>
    <w:rsid w:val="67876973"/>
    <w:rsid w:val="6792517F"/>
    <w:rsid w:val="67993B01"/>
    <w:rsid w:val="67AC14B0"/>
    <w:rsid w:val="67D92C18"/>
    <w:rsid w:val="67EF65DE"/>
    <w:rsid w:val="68332CFF"/>
    <w:rsid w:val="68567627"/>
    <w:rsid w:val="686557E1"/>
    <w:rsid w:val="68816526"/>
    <w:rsid w:val="68997A2F"/>
    <w:rsid w:val="689D6E30"/>
    <w:rsid w:val="68A63B2D"/>
    <w:rsid w:val="68AE4213"/>
    <w:rsid w:val="68C54EE3"/>
    <w:rsid w:val="68C836FA"/>
    <w:rsid w:val="68C839B4"/>
    <w:rsid w:val="68DD2AE7"/>
    <w:rsid w:val="68EC059E"/>
    <w:rsid w:val="68F22024"/>
    <w:rsid w:val="69247457"/>
    <w:rsid w:val="694D5514"/>
    <w:rsid w:val="69524A6B"/>
    <w:rsid w:val="695A61C8"/>
    <w:rsid w:val="698A4060"/>
    <w:rsid w:val="69C566EB"/>
    <w:rsid w:val="69C570DF"/>
    <w:rsid w:val="69D32674"/>
    <w:rsid w:val="69E14866"/>
    <w:rsid w:val="69EE0690"/>
    <w:rsid w:val="6A2066D8"/>
    <w:rsid w:val="6A4A7A2B"/>
    <w:rsid w:val="6A5E5447"/>
    <w:rsid w:val="6A800C6D"/>
    <w:rsid w:val="6A8D75D8"/>
    <w:rsid w:val="6AC45D4A"/>
    <w:rsid w:val="6ACE6B08"/>
    <w:rsid w:val="6ADA27C6"/>
    <w:rsid w:val="6ADF3622"/>
    <w:rsid w:val="6AF13AFD"/>
    <w:rsid w:val="6AF671C0"/>
    <w:rsid w:val="6B2308C8"/>
    <w:rsid w:val="6B31380E"/>
    <w:rsid w:val="6B342B86"/>
    <w:rsid w:val="6B5325B9"/>
    <w:rsid w:val="6B89487A"/>
    <w:rsid w:val="6B9114FC"/>
    <w:rsid w:val="6BA90006"/>
    <w:rsid w:val="6BB043A7"/>
    <w:rsid w:val="6BB82D8E"/>
    <w:rsid w:val="6BBA79D8"/>
    <w:rsid w:val="6BCD06CD"/>
    <w:rsid w:val="6BCF537E"/>
    <w:rsid w:val="6BDD5E75"/>
    <w:rsid w:val="6C007EDD"/>
    <w:rsid w:val="6C161E18"/>
    <w:rsid w:val="6C2461AE"/>
    <w:rsid w:val="6C4561D5"/>
    <w:rsid w:val="6C5C3F00"/>
    <w:rsid w:val="6C762132"/>
    <w:rsid w:val="6C8118A1"/>
    <w:rsid w:val="6C874FB8"/>
    <w:rsid w:val="6CAC537A"/>
    <w:rsid w:val="6CB62A2C"/>
    <w:rsid w:val="6CBB08C6"/>
    <w:rsid w:val="6CFC4AAF"/>
    <w:rsid w:val="6D0D5534"/>
    <w:rsid w:val="6D19350D"/>
    <w:rsid w:val="6D21627D"/>
    <w:rsid w:val="6D2A351D"/>
    <w:rsid w:val="6D2C5AA6"/>
    <w:rsid w:val="6D3F228E"/>
    <w:rsid w:val="6D5E11A9"/>
    <w:rsid w:val="6D9900DD"/>
    <w:rsid w:val="6DA036B3"/>
    <w:rsid w:val="6DB50080"/>
    <w:rsid w:val="6DD918E9"/>
    <w:rsid w:val="6DDC56BE"/>
    <w:rsid w:val="6E1F3F28"/>
    <w:rsid w:val="6E22181C"/>
    <w:rsid w:val="6E2E0B6D"/>
    <w:rsid w:val="6E3431D3"/>
    <w:rsid w:val="6E345F04"/>
    <w:rsid w:val="6E47777F"/>
    <w:rsid w:val="6E5E38CD"/>
    <w:rsid w:val="6E815E20"/>
    <w:rsid w:val="6EF917AF"/>
    <w:rsid w:val="6F164D76"/>
    <w:rsid w:val="6F2152B7"/>
    <w:rsid w:val="6F452AEE"/>
    <w:rsid w:val="6F713D07"/>
    <w:rsid w:val="6F751C81"/>
    <w:rsid w:val="6F827E1F"/>
    <w:rsid w:val="6F931F1C"/>
    <w:rsid w:val="6F9A141B"/>
    <w:rsid w:val="6FAA466E"/>
    <w:rsid w:val="6FBE33DD"/>
    <w:rsid w:val="6FD8482A"/>
    <w:rsid w:val="6FFB5616"/>
    <w:rsid w:val="70123065"/>
    <w:rsid w:val="70400288"/>
    <w:rsid w:val="704F0094"/>
    <w:rsid w:val="705E7D0D"/>
    <w:rsid w:val="70695629"/>
    <w:rsid w:val="707E27D0"/>
    <w:rsid w:val="709E2C66"/>
    <w:rsid w:val="70CA19B4"/>
    <w:rsid w:val="70F47BF4"/>
    <w:rsid w:val="710975D4"/>
    <w:rsid w:val="711F6669"/>
    <w:rsid w:val="712F7876"/>
    <w:rsid w:val="715071FC"/>
    <w:rsid w:val="71701551"/>
    <w:rsid w:val="71725D39"/>
    <w:rsid w:val="718004DD"/>
    <w:rsid w:val="71C871B4"/>
    <w:rsid w:val="71C9438B"/>
    <w:rsid w:val="71D86971"/>
    <w:rsid w:val="71E963AD"/>
    <w:rsid w:val="71EB232F"/>
    <w:rsid w:val="71F22395"/>
    <w:rsid w:val="721E10FC"/>
    <w:rsid w:val="722149B2"/>
    <w:rsid w:val="72226DEF"/>
    <w:rsid w:val="723E0A1C"/>
    <w:rsid w:val="725D5C1D"/>
    <w:rsid w:val="726D6756"/>
    <w:rsid w:val="729A0485"/>
    <w:rsid w:val="72CA4D77"/>
    <w:rsid w:val="72CE317A"/>
    <w:rsid w:val="72D90666"/>
    <w:rsid w:val="72F724CA"/>
    <w:rsid w:val="730C517B"/>
    <w:rsid w:val="73113CCB"/>
    <w:rsid w:val="7321107D"/>
    <w:rsid w:val="732672E0"/>
    <w:rsid w:val="732F3A9D"/>
    <w:rsid w:val="73521971"/>
    <w:rsid w:val="735E79C5"/>
    <w:rsid w:val="736E713E"/>
    <w:rsid w:val="73821076"/>
    <w:rsid w:val="738B6A61"/>
    <w:rsid w:val="73AA2969"/>
    <w:rsid w:val="73B0761F"/>
    <w:rsid w:val="73B22405"/>
    <w:rsid w:val="73CF1F2D"/>
    <w:rsid w:val="73F74B9E"/>
    <w:rsid w:val="73FC1BEE"/>
    <w:rsid w:val="742B79CE"/>
    <w:rsid w:val="74822716"/>
    <w:rsid w:val="749E5105"/>
    <w:rsid w:val="74A77D79"/>
    <w:rsid w:val="74AD4DF4"/>
    <w:rsid w:val="74BB2C8C"/>
    <w:rsid w:val="74ED4377"/>
    <w:rsid w:val="74EE2280"/>
    <w:rsid w:val="750D3D28"/>
    <w:rsid w:val="75596138"/>
    <w:rsid w:val="756176A1"/>
    <w:rsid w:val="75A00D53"/>
    <w:rsid w:val="75BE2116"/>
    <w:rsid w:val="75C51622"/>
    <w:rsid w:val="75D824C9"/>
    <w:rsid w:val="75D97900"/>
    <w:rsid w:val="76171E96"/>
    <w:rsid w:val="761C5162"/>
    <w:rsid w:val="76266A26"/>
    <w:rsid w:val="76276C73"/>
    <w:rsid w:val="76551817"/>
    <w:rsid w:val="76551F32"/>
    <w:rsid w:val="769D08A0"/>
    <w:rsid w:val="76D45B66"/>
    <w:rsid w:val="76E8509D"/>
    <w:rsid w:val="76FE2417"/>
    <w:rsid w:val="770C776D"/>
    <w:rsid w:val="771E653D"/>
    <w:rsid w:val="7733791D"/>
    <w:rsid w:val="774B3CD5"/>
    <w:rsid w:val="776828A6"/>
    <w:rsid w:val="779C62EC"/>
    <w:rsid w:val="77B64B67"/>
    <w:rsid w:val="77D579AB"/>
    <w:rsid w:val="78010A1C"/>
    <w:rsid w:val="78151880"/>
    <w:rsid w:val="783010E1"/>
    <w:rsid w:val="7840735D"/>
    <w:rsid w:val="78494A04"/>
    <w:rsid w:val="784B6D67"/>
    <w:rsid w:val="787871D0"/>
    <w:rsid w:val="788E700F"/>
    <w:rsid w:val="78B34E88"/>
    <w:rsid w:val="78CA3032"/>
    <w:rsid w:val="78F942B3"/>
    <w:rsid w:val="78FC491C"/>
    <w:rsid w:val="790F12C9"/>
    <w:rsid w:val="79244273"/>
    <w:rsid w:val="79437CF0"/>
    <w:rsid w:val="79471084"/>
    <w:rsid w:val="7949154B"/>
    <w:rsid w:val="794B0B2B"/>
    <w:rsid w:val="795E2E91"/>
    <w:rsid w:val="797A2F0A"/>
    <w:rsid w:val="797C2CB8"/>
    <w:rsid w:val="797F653E"/>
    <w:rsid w:val="798F7A47"/>
    <w:rsid w:val="799B6B82"/>
    <w:rsid w:val="79A13F57"/>
    <w:rsid w:val="79D85CE8"/>
    <w:rsid w:val="79E23CAE"/>
    <w:rsid w:val="7A1E0BB7"/>
    <w:rsid w:val="7A322C02"/>
    <w:rsid w:val="7A607C30"/>
    <w:rsid w:val="7A6374EA"/>
    <w:rsid w:val="7A93661F"/>
    <w:rsid w:val="7ABF130B"/>
    <w:rsid w:val="7AD313AE"/>
    <w:rsid w:val="7AE176C6"/>
    <w:rsid w:val="7AF401C7"/>
    <w:rsid w:val="7AF65F04"/>
    <w:rsid w:val="7AF718A9"/>
    <w:rsid w:val="7B025D61"/>
    <w:rsid w:val="7B072853"/>
    <w:rsid w:val="7B3A7672"/>
    <w:rsid w:val="7B440DC9"/>
    <w:rsid w:val="7B706966"/>
    <w:rsid w:val="7B775460"/>
    <w:rsid w:val="7B846009"/>
    <w:rsid w:val="7B8B6678"/>
    <w:rsid w:val="7BA10F88"/>
    <w:rsid w:val="7BC46440"/>
    <w:rsid w:val="7C094F7A"/>
    <w:rsid w:val="7C234C24"/>
    <w:rsid w:val="7C24657B"/>
    <w:rsid w:val="7C264F17"/>
    <w:rsid w:val="7C713304"/>
    <w:rsid w:val="7CA44252"/>
    <w:rsid w:val="7CDC53BF"/>
    <w:rsid w:val="7CF16CF5"/>
    <w:rsid w:val="7D2846D4"/>
    <w:rsid w:val="7D33690E"/>
    <w:rsid w:val="7D4877D4"/>
    <w:rsid w:val="7D9C737B"/>
    <w:rsid w:val="7DB06B11"/>
    <w:rsid w:val="7DB479EE"/>
    <w:rsid w:val="7DBF3AC5"/>
    <w:rsid w:val="7DCD6635"/>
    <w:rsid w:val="7DDA7E8A"/>
    <w:rsid w:val="7DF360AF"/>
    <w:rsid w:val="7E68370C"/>
    <w:rsid w:val="7E697322"/>
    <w:rsid w:val="7E7E160A"/>
    <w:rsid w:val="7ED74E54"/>
    <w:rsid w:val="7EE36967"/>
    <w:rsid w:val="7EF51A51"/>
    <w:rsid w:val="7F307B11"/>
    <w:rsid w:val="7F32759C"/>
    <w:rsid w:val="7F4108E0"/>
    <w:rsid w:val="7F5B396B"/>
    <w:rsid w:val="7F7F5914"/>
    <w:rsid w:val="7F8217AA"/>
    <w:rsid w:val="7F8C0DB2"/>
    <w:rsid w:val="7F9663C3"/>
    <w:rsid w:val="7F9B7262"/>
    <w:rsid w:val="7FA345E5"/>
    <w:rsid w:val="7FA77056"/>
    <w:rsid w:val="7FB14569"/>
    <w:rsid w:val="7FBB3233"/>
    <w:rsid w:val="7FBE0FFC"/>
    <w:rsid w:val="7FDD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20" w:after="320" w:line="579" w:lineRule="auto"/>
      <w:outlineLvl w:val="0"/>
    </w:pPr>
    <w:rPr>
      <w:b/>
      <w:bCs/>
      <w:kern w:val="44"/>
      <w:sz w:val="44"/>
      <w:szCs w:val="44"/>
    </w:rPr>
  </w:style>
  <w:style w:type="paragraph" w:styleId="4">
    <w:name w:val="heading 2"/>
    <w:basedOn w:val="1"/>
    <w:next w:val="1"/>
    <w:link w:val="10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06"/>
    <w:qFormat/>
    <w:uiPriority w:val="0"/>
    <w:pPr>
      <w:keepNext/>
      <w:keepLines/>
      <w:spacing w:before="260" w:after="260" w:line="415" w:lineRule="auto"/>
      <w:outlineLvl w:val="2"/>
    </w:pPr>
    <w:rPr>
      <w:b/>
      <w:bCs/>
      <w:sz w:val="32"/>
      <w:szCs w:val="32"/>
    </w:rPr>
  </w:style>
  <w:style w:type="paragraph" w:styleId="6">
    <w:name w:val="heading 4"/>
    <w:basedOn w:val="1"/>
    <w:next w:val="1"/>
    <w:link w:val="7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80"/>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81"/>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82"/>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83"/>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84"/>
    <w:qFormat/>
    <w:uiPriority w:val="0"/>
    <w:pPr>
      <w:keepNext/>
      <w:keepLines/>
      <w:spacing w:before="240" w:after="64" w:line="317" w:lineRule="auto"/>
      <w:outlineLvl w:val="8"/>
    </w:pPr>
    <w:rPr>
      <w:rFonts w:ascii="Cambria" w:hAnsi="Cambria"/>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Normal Indent"/>
    <w:basedOn w:val="1"/>
    <w:link w:val="61"/>
    <w:qFormat/>
    <w:uiPriority w:val="0"/>
    <w:pPr>
      <w:ind w:firstLine="200" w:firstLineChars="200"/>
    </w:pPr>
  </w:style>
  <w:style w:type="paragraph" w:styleId="14">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15">
    <w:name w:val="Document Map"/>
    <w:basedOn w:val="1"/>
    <w:link w:val="53"/>
    <w:qFormat/>
    <w:uiPriority w:val="0"/>
    <w:rPr>
      <w:rFonts w:ascii="宋体"/>
      <w:sz w:val="18"/>
      <w:szCs w:val="18"/>
    </w:rPr>
  </w:style>
  <w:style w:type="paragraph" w:styleId="16">
    <w:name w:val="annotation text"/>
    <w:basedOn w:val="1"/>
    <w:link w:val="54"/>
    <w:qFormat/>
    <w:uiPriority w:val="0"/>
    <w:pPr>
      <w:jc w:val="left"/>
    </w:pPr>
  </w:style>
  <w:style w:type="paragraph" w:styleId="17">
    <w:name w:val="Body Text"/>
    <w:basedOn w:val="1"/>
    <w:next w:val="1"/>
    <w:link w:val="99"/>
    <w:qFormat/>
    <w:uiPriority w:val="0"/>
    <w:pPr>
      <w:spacing w:after="120"/>
    </w:pPr>
  </w:style>
  <w:style w:type="paragraph" w:styleId="18">
    <w:name w:val="Body Text Indent"/>
    <w:basedOn w:val="1"/>
    <w:link w:val="56"/>
    <w:qFormat/>
    <w:uiPriority w:val="0"/>
    <w:pPr>
      <w:ind w:firstLine="630"/>
    </w:pPr>
    <w:rPr>
      <w:sz w:val="32"/>
      <w:szCs w:val="20"/>
    </w:rPr>
  </w:style>
  <w:style w:type="paragraph" w:styleId="19">
    <w:name w:val="index 4"/>
    <w:basedOn w:val="1"/>
    <w:next w:val="1"/>
    <w:qFormat/>
    <w:uiPriority w:val="0"/>
    <w:pPr>
      <w:ind w:left="600" w:leftChars="60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link w:val="75"/>
    <w:qFormat/>
    <w:uiPriority w:val="0"/>
    <w:rPr>
      <w:rFonts w:ascii="宋体" w:hAnsi="Courier New"/>
    </w:rPr>
  </w:style>
  <w:style w:type="paragraph" w:styleId="23">
    <w:name w:val="toc 8"/>
    <w:basedOn w:val="1"/>
    <w:next w:val="1"/>
    <w:qFormat/>
    <w:uiPriority w:val="0"/>
    <w:pPr>
      <w:ind w:left="2940" w:leftChars="1400"/>
    </w:pPr>
  </w:style>
  <w:style w:type="paragraph" w:styleId="24">
    <w:name w:val="Date"/>
    <w:basedOn w:val="1"/>
    <w:next w:val="1"/>
    <w:link w:val="92"/>
    <w:qFormat/>
    <w:uiPriority w:val="0"/>
    <w:pPr>
      <w:ind w:left="100" w:leftChars="2500"/>
    </w:pPr>
    <w:rPr>
      <w:rFonts w:ascii="宋体"/>
      <w:kern w:val="0"/>
      <w:sz w:val="28"/>
      <w:szCs w:val="20"/>
    </w:rPr>
  </w:style>
  <w:style w:type="paragraph" w:styleId="25">
    <w:name w:val="Balloon Text"/>
    <w:basedOn w:val="1"/>
    <w:link w:val="58"/>
    <w:qFormat/>
    <w:uiPriority w:val="0"/>
    <w:rPr>
      <w:sz w:val="18"/>
      <w:szCs w:val="18"/>
    </w:rPr>
  </w:style>
  <w:style w:type="paragraph" w:styleId="26">
    <w:name w:val="footer"/>
    <w:basedOn w:val="1"/>
    <w:link w:val="73"/>
    <w:qFormat/>
    <w:uiPriority w:val="99"/>
    <w:pPr>
      <w:tabs>
        <w:tab w:val="center" w:pos="4153"/>
        <w:tab w:val="right" w:pos="8306"/>
      </w:tabs>
      <w:snapToGrid w:val="0"/>
      <w:jc w:val="left"/>
    </w:pPr>
    <w:rPr>
      <w:sz w:val="18"/>
      <w:szCs w:val="20"/>
    </w:rPr>
  </w:style>
  <w:style w:type="paragraph" w:styleId="27">
    <w:name w:val="header"/>
    <w:basedOn w:val="1"/>
    <w:link w:val="95"/>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qFormat/>
    <w:uiPriority w:val="39"/>
  </w:style>
  <w:style w:type="paragraph" w:styleId="29">
    <w:name w:val="toc 4"/>
    <w:basedOn w:val="1"/>
    <w:next w:val="1"/>
    <w:qFormat/>
    <w:uiPriority w:val="0"/>
    <w:pPr>
      <w:ind w:left="1260" w:leftChars="600"/>
    </w:pPr>
  </w:style>
  <w:style w:type="paragraph" w:styleId="30">
    <w:name w:val="Subtitle"/>
    <w:basedOn w:val="1"/>
    <w:next w:val="1"/>
    <w:link w:val="108"/>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0"/>
    <w:pPr>
      <w:ind w:left="2100" w:leftChars="1000"/>
    </w:pPr>
  </w:style>
  <w:style w:type="paragraph" w:styleId="32">
    <w:name w:val="toc 2"/>
    <w:basedOn w:val="1"/>
    <w:next w:val="1"/>
    <w:qFormat/>
    <w:uiPriority w:val="0"/>
    <w:pPr>
      <w:ind w:left="420" w:leftChars="200"/>
    </w:pPr>
  </w:style>
  <w:style w:type="paragraph" w:styleId="33">
    <w:name w:val="toc 9"/>
    <w:basedOn w:val="1"/>
    <w:next w:val="1"/>
    <w:qFormat/>
    <w:uiPriority w:val="0"/>
    <w:pPr>
      <w:ind w:left="3360" w:leftChars="1600"/>
    </w:pPr>
  </w:style>
  <w:style w:type="paragraph" w:styleId="34">
    <w:name w:val="Normal (Web)"/>
    <w:basedOn w:val="1"/>
    <w:qFormat/>
    <w:uiPriority w:val="0"/>
    <w:pPr>
      <w:widowControl/>
      <w:spacing w:before="100" w:beforeAutospacing="1" w:after="100" w:afterAutospacing="1"/>
      <w:jc w:val="left"/>
    </w:pPr>
    <w:rPr>
      <w:rFonts w:ascii="宋体"/>
      <w:kern w:val="0"/>
      <w:sz w:val="18"/>
      <w:szCs w:val="18"/>
    </w:rPr>
  </w:style>
  <w:style w:type="paragraph" w:styleId="35">
    <w:name w:val="Title"/>
    <w:basedOn w:val="1"/>
    <w:next w:val="1"/>
    <w:link w:val="107"/>
    <w:qFormat/>
    <w:uiPriority w:val="0"/>
    <w:pPr>
      <w:spacing w:before="240" w:after="60"/>
      <w:jc w:val="center"/>
      <w:outlineLvl w:val="0"/>
    </w:pPr>
    <w:rPr>
      <w:rFonts w:ascii="Cambria" w:hAnsi="Cambria"/>
      <w:b/>
      <w:bCs/>
      <w:sz w:val="32"/>
      <w:szCs w:val="32"/>
    </w:rPr>
  </w:style>
  <w:style w:type="paragraph" w:styleId="36">
    <w:name w:val="annotation subject"/>
    <w:basedOn w:val="16"/>
    <w:next w:val="16"/>
    <w:link w:val="59"/>
    <w:qFormat/>
    <w:uiPriority w:val="0"/>
    <w:rPr>
      <w:b/>
      <w:bCs/>
    </w:rPr>
  </w:style>
  <w:style w:type="paragraph" w:styleId="37">
    <w:name w:val="Body Text First Indent"/>
    <w:basedOn w:val="17"/>
    <w:unhideWhenUsed/>
    <w:qFormat/>
    <w:uiPriority w:val="99"/>
    <w:pPr>
      <w:ind w:firstLine="420" w:firstLineChars="1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1">
    <w:name w:val="Strong"/>
    <w:qFormat/>
    <w:uiPriority w:val="0"/>
    <w:rPr>
      <w:b/>
    </w:rPr>
  </w:style>
  <w:style w:type="character" w:styleId="42">
    <w:name w:val="page number"/>
    <w:qFormat/>
    <w:uiPriority w:val="0"/>
  </w:style>
  <w:style w:type="character" w:styleId="43">
    <w:name w:val="FollowedHyperlink"/>
    <w:qFormat/>
    <w:uiPriority w:val="0"/>
    <w:rPr>
      <w:color w:val="333333"/>
      <w:u w:val="none"/>
    </w:rPr>
  </w:style>
  <w:style w:type="character" w:styleId="44">
    <w:name w:val="Emphasis"/>
    <w:qFormat/>
    <w:uiPriority w:val="0"/>
  </w:style>
  <w:style w:type="character" w:styleId="45">
    <w:name w:val="HTML Definition"/>
    <w:qFormat/>
    <w:uiPriority w:val="0"/>
  </w:style>
  <w:style w:type="character" w:styleId="46">
    <w:name w:val="HTML Variable"/>
    <w:qFormat/>
    <w:uiPriority w:val="0"/>
  </w:style>
  <w:style w:type="character" w:styleId="47">
    <w:name w:val="Hyperlink"/>
    <w:qFormat/>
    <w:uiPriority w:val="99"/>
    <w:rPr>
      <w:color w:val="333333"/>
      <w:u w:val="none"/>
    </w:rPr>
  </w:style>
  <w:style w:type="character" w:styleId="48">
    <w:name w:val="HTML Code"/>
    <w:qFormat/>
    <w:uiPriority w:val="0"/>
    <w:rPr>
      <w:rFonts w:ascii="Courier New" w:hAnsi="Courier New"/>
      <w:sz w:val="20"/>
    </w:rPr>
  </w:style>
  <w:style w:type="character" w:styleId="49">
    <w:name w:val="annotation reference"/>
    <w:qFormat/>
    <w:uiPriority w:val="0"/>
    <w:rPr>
      <w:sz w:val="21"/>
      <w:szCs w:val="21"/>
    </w:rPr>
  </w:style>
  <w:style w:type="character" w:styleId="50">
    <w:name w:val="HTML Cite"/>
    <w:qFormat/>
    <w:uiPriority w:val="0"/>
  </w:style>
  <w:style w:type="paragraph" w:styleId="51">
    <w:name w:val="Quote"/>
    <w:basedOn w:val="1"/>
    <w:next w:val="1"/>
    <w:link w:val="97"/>
    <w:qFormat/>
    <w:uiPriority w:val="0"/>
    <w:rPr>
      <w:i/>
      <w:iCs/>
      <w:color w:val="000000"/>
      <w:szCs w:val="22"/>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文档结构图 Char"/>
    <w:link w:val="15"/>
    <w:qFormat/>
    <w:uiPriority w:val="0"/>
    <w:rPr>
      <w:rFonts w:ascii="宋体"/>
      <w:kern w:val="2"/>
      <w:sz w:val="18"/>
      <w:szCs w:val="18"/>
    </w:rPr>
  </w:style>
  <w:style w:type="character" w:customStyle="1" w:styleId="54">
    <w:name w:val="批注文字 Char"/>
    <w:link w:val="16"/>
    <w:qFormat/>
    <w:uiPriority w:val="0"/>
    <w:rPr>
      <w:kern w:val="2"/>
      <w:sz w:val="21"/>
      <w:szCs w:val="24"/>
    </w:rPr>
  </w:style>
  <w:style w:type="character" w:customStyle="1" w:styleId="55">
    <w:name w:val="font91"/>
    <w:qFormat/>
    <w:uiPriority w:val="0"/>
    <w:rPr>
      <w:rFonts w:hint="eastAsia" w:ascii="宋体" w:hAnsi="宋体" w:eastAsia="宋体" w:cs="宋体"/>
      <w:color w:val="FF0000"/>
      <w:sz w:val="21"/>
      <w:szCs w:val="21"/>
      <w:u w:val="single"/>
    </w:rPr>
  </w:style>
  <w:style w:type="character" w:customStyle="1" w:styleId="56">
    <w:name w:val="正文文本缩进 Char"/>
    <w:link w:val="18"/>
    <w:qFormat/>
    <w:uiPriority w:val="0"/>
    <w:rPr>
      <w:kern w:val="2"/>
      <w:sz w:val="32"/>
    </w:rPr>
  </w:style>
  <w:style w:type="character" w:customStyle="1" w:styleId="57">
    <w:name w:val="font111"/>
    <w:qFormat/>
    <w:uiPriority w:val="0"/>
    <w:rPr>
      <w:rFonts w:hint="default" w:ascii="Eʩ" w:hAnsi="Eʩ" w:eastAsia="Eʩ" w:cs="Eʩ"/>
      <w:color w:val="000000"/>
      <w:sz w:val="21"/>
      <w:szCs w:val="21"/>
      <w:u w:val="single"/>
    </w:rPr>
  </w:style>
  <w:style w:type="character" w:customStyle="1" w:styleId="58">
    <w:name w:val="批注框文本 Char"/>
    <w:link w:val="25"/>
    <w:qFormat/>
    <w:uiPriority w:val="0"/>
    <w:rPr>
      <w:kern w:val="2"/>
      <w:sz w:val="18"/>
      <w:szCs w:val="18"/>
    </w:rPr>
  </w:style>
  <w:style w:type="character" w:customStyle="1" w:styleId="59">
    <w:name w:val="批注主题 Char"/>
    <w:link w:val="36"/>
    <w:qFormat/>
    <w:uiPriority w:val="0"/>
    <w:rPr>
      <w:b/>
      <w:bCs/>
      <w:kern w:val="2"/>
      <w:sz w:val="21"/>
      <w:szCs w:val="24"/>
    </w:rPr>
  </w:style>
  <w:style w:type="character" w:customStyle="1" w:styleId="60">
    <w:name w:val="标题 1 Char"/>
    <w:link w:val="3"/>
    <w:qFormat/>
    <w:uiPriority w:val="0"/>
    <w:rPr>
      <w:rFonts w:ascii="Times New Roman" w:hAnsi="Times New Roman" w:eastAsia="宋体"/>
      <w:b/>
      <w:bCs/>
      <w:kern w:val="44"/>
      <w:sz w:val="44"/>
      <w:szCs w:val="44"/>
    </w:rPr>
  </w:style>
  <w:style w:type="character" w:customStyle="1" w:styleId="61">
    <w:name w:val="正文缩进 Char"/>
    <w:link w:val="13"/>
    <w:qFormat/>
    <w:uiPriority w:val="0"/>
    <w:rPr>
      <w:kern w:val="2"/>
      <w:sz w:val="21"/>
      <w:szCs w:val="24"/>
    </w:rPr>
  </w:style>
  <w:style w:type="character" w:customStyle="1" w:styleId="62">
    <w:name w:val="font31"/>
    <w:qFormat/>
    <w:uiPriority w:val="0"/>
    <w:rPr>
      <w:rFonts w:hint="eastAsia" w:ascii="宋体" w:hAnsi="宋体" w:eastAsia="宋体" w:cs="宋体"/>
      <w:color w:val="000000"/>
      <w:sz w:val="21"/>
      <w:szCs w:val="21"/>
      <w:u w:val="none"/>
    </w:rPr>
  </w:style>
  <w:style w:type="character" w:customStyle="1" w:styleId="63">
    <w:name w:val="label"/>
    <w:qFormat/>
    <w:uiPriority w:val="0"/>
    <w:rPr>
      <w:color w:val="555555"/>
    </w:rPr>
  </w:style>
  <w:style w:type="character" w:customStyle="1" w:styleId="64">
    <w:name w:val="modifier"/>
    <w:qFormat/>
    <w:uiPriority w:val="0"/>
    <w:rPr>
      <w:color w:val="FF0000"/>
    </w:rPr>
  </w:style>
  <w:style w:type="paragraph" w:customStyle="1" w:styleId="65">
    <w:name w:val="正文首行缩进两字符"/>
    <w:basedOn w:val="1"/>
    <w:qFormat/>
    <w:uiPriority w:val="0"/>
    <w:pPr>
      <w:spacing w:line="360" w:lineRule="auto"/>
      <w:ind w:firstLine="200" w:firstLineChars="200"/>
    </w:pPr>
  </w:style>
  <w:style w:type="paragraph" w:customStyle="1" w:styleId="66">
    <w:name w:val="样式 首行缩进:  2 字符"/>
    <w:basedOn w:val="1"/>
    <w:qFormat/>
    <w:uiPriority w:val="99"/>
    <w:pPr>
      <w:spacing w:line="400" w:lineRule="exact"/>
      <w:ind w:firstLine="200" w:firstLineChars="200"/>
    </w:pPr>
    <w:rPr>
      <w:rFonts w:cs="宋体"/>
      <w:sz w:val="24"/>
    </w:rPr>
  </w:style>
  <w:style w:type="paragraph" w:styleId="67">
    <w:name w:val="List Paragraph"/>
    <w:basedOn w:val="1"/>
    <w:link w:val="77"/>
    <w:qFormat/>
    <w:uiPriority w:val="0"/>
    <w:pPr>
      <w:spacing w:line="360" w:lineRule="auto"/>
      <w:jc w:val="left"/>
    </w:pPr>
    <w:rPr>
      <w:rFonts w:ascii="宋体" w:hAnsi="宋体"/>
      <w:sz w:val="24"/>
    </w:rPr>
  </w:style>
  <w:style w:type="paragraph" w:customStyle="1" w:styleId="6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正文1"/>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0">
    <w:name w:val="_Style 2"/>
    <w:basedOn w:val="1"/>
    <w:qFormat/>
    <w:uiPriority w:val="0"/>
    <w:pPr>
      <w:ind w:firstLine="420" w:firstLineChars="200"/>
    </w:pPr>
    <w:rPr>
      <w:sz w:val="18"/>
      <w:szCs w:val="18"/>
    </w:rPr>
  </w:style>
  <w:style w:type="paragraph" w:customStyle="1" w:styleId="71">
    <w:name w:val="样式2"/>
    <w:basedOn w:val="1"/>
    <w:qFormat/>
    <w:uiPriority w:val="0"/>
    <w:pPr>
      <w:spacing w:line="560" w:lineRule="exact"/>
      <w:ind w:firstLine="200" w:firstLineChars="200"/>
      <w:jc w:val="left"/>
    </w:pPr>
    <w:rPr>
      <w:rFonts w:eastAsia="仿宋_GB2312"/>
      <w:sz w:val="28"/>
      <w:szCs w:val="20"/>
    </w:rPr>
  </w:style>
  <w:style w:type="paragraph" w:customStyle="1" w:styleId="72">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73">
    <w:name w:val="页脚 Char"/>
    <w:link w:val="26"/>
    <w:qFormat/>
    <w:uiPriority w:val="99"/>
    <w:rPr>
      <w:kern w:val="2"/>
      <w:sz w:val="18"/>
    </w:rPr>
  </w:style>
  <w:style w:type="paragraph" w:customStyle="1" w:styleId="74">
    <w:name w:val="msolistparagraph"/>
    <w:basedOn w:val="1"/>
    <w:qFormat/>
    <w:uiPriority w:val="0"/>
    <w:pPr>
      <w:ind w:firstLine="420" w:firstLineChars="200"/>
    </w:pPr>
    <w:rPr>
      <w:szCs w:val="22"/>
    </w:rPr>
  </w:style>
  <w:style w:type="character" w:customStyle="1" w:styleId="75">
    <w:name w:val="纯文本 Char"/>
    <w:basedOn w:val="40"/>
    <w:link w:val="22"/>
    <w:qFormat/>
    <w:uiPriority w:val="0"/>
    <w:rPr>
      <w:rFonts w:ascii="宋体" w:hAnsi="Courier New"/>
      <w:kern w:val="2"/>
      <w:sz w:val="21"/>
      <w:szCs w:val="24"/>
    </w:rPr>
  </w:style>
  <w:style w:type="character" w:customStyle="1" w:styleId="76">
    <w:name w:val="正文缩进 Char1"/>
    <w:qFormat/>
    <w:uiPriority w:val="0"/>
    <w:rPr>
      <w:kern w:val="2"/>
      <w:sz w:val="21"/>
      <w:szCs w:val="24"/>
    </w:rPr>
  </w:style>
  <w:style w:type="character" w:customStyle="1" w:styleId="77">
    <w:name w:val="列出段落 Char"/>
    <w:link w:val="67"/>
    <w:qFormat/>
    <w:locked/>
    <w:uiPriority w:val="99"/>
    <w:rPr>
      <w:rFonts w:ascii="宋体" w:hAnsi="宋体"/>
      <w:kern w:val="2"/>
      <w:sz w:val="24"/>
      <w:szCs w:val="24"/>
    </w:rPr>
  </w:style>
  <w:style w:type="paragraph" w:customStyle="1" w:styleId="78">
    <w:name w:val="Plain Text1"/>
    <w:basedOn w:val="1"/>
    <w:qFormat/>
    <w:uiPriority w:val="99"/>
    <w:pPr>
      <w:adjustRightInd w:val="0"/>
      <w:jc w:val="left"/>
      <w:textAlignment w:val="baseline"/>
    </w:pPr>
    <w:rPr>
      <w:rFonts w:ascii="宋体" w:hAnsi="Courier New" w:cs="宋体"/>
      <w:sz w:val="24"/>
    </w:rPr>
  </w:style>
  <w:style w:type="character" w:customStyle="1" w:styleId="79">
    <w:name w:val="标题 4 Char"/>
    <w:basedOn w:val="40"/>
    <w:link w:val="6"/>
    <w:qFormat/>
    <w:uiPriority w:val="0"/>
    <w:rPr>
      <w:rFonts w:asciiTheme="majorHAnsi" w:hAnsiTheme="majorHAnsi" w:eastAsiaTheme="majorEastAsia" w:cstheme="majorBidi"/>
      <w:b/>
      <w:bCs/>
      <w:kern w:val="2"/>
      <w:sz w:val="28"/>
      <w:szCs w:val="28"/>
    </w:rPr>
  </w:style>
  <w:style w:type="character" w:customStyle="1" w:styleId="80">
    <w:name w:val="标题 5 Char"/>
    <w:basedOn w:val="40"/>
    <w:link w:val="7"/>
    <w:qFormat/>
    <w:uiPriority w:val="0"/>
    <w:rPr>
      <w:rFonts w:ascii="Calibri" w:hAnsi="Calibri"/>
      <w:b/>
      <w:bCs/>
      <w:kern w:val="2"/>
      <w:sz w:val="28"/>
      <w:szCs w:val="28"/>
    </w:rPr>
  </w:style>
  <w:style w:type="character" w:customStyle="1" w:styleId="81">
    <w:name w:val="标题 6 Char"/>
    <w:basedOn w:val="40"/>
    <w:link w:val="8"/>
    <w:qFormat/>
    <w:uiPriority w:val="0"/>
    <w:rPr>
      <w:rFonts w:ascii="Cambria" w:hAnsi="Cambria"/>
      <w:b/>
      <w:bCs/>
      <w:kern w:val="2"/>
      <w:sz w:val="24"/>
      <w:szCs w:val="24"/>
    </w:rPr>
  </w:style>
  <w:style w:type="character" w:customStyle="1" w:styleId="82">
    <w:name w:val="标题 7 Char"/>
    <w:basedOn w:val="40"/>
    <w:link w:val="9"/>
    <w:qFormat/>
    <w:uiPriority w:val="0"/>
    <w:rPr>
      <w:rFonts w:ascii="Calibri" w:hAnsi="Calibri"/>
      <w:b/>
      <w:bCs/>
      <w:kern w:val="2"/>
      <w:sz w:val="24"/>
      <w:szCs w:val="24"/>
    </w:rPr>
  </w:style>
  <w:style w:type="character" w:customStyle="1" w:styleId="83">
    <w:name w:val="标题 8 Char"/>
    <w:basedOn w:val="40"/>
    <w:link w:val="10"/>
    <w:qFormat/>
    <w:uiPriority w:val="0"/>
    <w:rPr>
      <w:rFonts w:ascii="Cambria" w:hAnsi="Cambria"/>
      <w:kern w:val="2"/>
      <w:sz w:val="24"/>
      <w:szCs w:val="24"/>
    </w:rPr>
  </w:style>
  <w:style w:type="character" w:customStyle="1" w:styleId="84">
    <w:name w:val="标题 9 Char"/>
    <w:basedOn w:val="40"/>
    <w:link w:val="11"/>
    <w:qFormat/>
    <w:uiPriority w:val="0"/>
    <w:rPr>
      <w:rFonts w:ascii="Cambria" w:hAnsi="Cambria"/>
      <w:kern w:val="2"/>
      <w:sz w:val="21"/>
      <w:szCs w:val="21"/>
    </w:rPr>
  </w:style>
  <w:style w:type="character" w:customStyle="1" w:styleId="85">
    <w:name w:val="正文文本 Char1"/>
    <w:qFormat/>
    <w:uiPriority w:val="0"/>
    <w:rPr>
      <w:kern w:val="2"/>
      <w:sz w:val="21"/>
      <w:szCs w:val="22"/>
    </w:rPr>
  </w:style>
  <w:style w:type="character" w:customStyle="1" w:styleId="86">
    <w:name w:val="明显引用 Char"/>
    <w:link w:val="87"/>
    <w:qFormat/>
    <w:uiPriority w:val="0"/>
    <w:rPr>
      <w:b/>
      <w:bCs/>
      <w:i/>
      <w:iCs/>
      <w:color w:val="4F81BD"/>
      <w:kern w:val="2"/>
      <w:sz w:val="21"/>
      <w:szCs w:val="22"/>
    </w:rPr>
  </w:style>
  <w:style w:type="paragraph" w:styleId="87">
    <w:name w:val="Intense Quote"/>
    <w:basedOn w:val="1"/>
    <w:next w:val="1"/>
    <w:link w:val="86"/>
    <w:qFormat/>
    <w:uiPriority w:val="0"/>
    <w:pPr>
      <w:pBdr>
        <w:bottom w:val="single" w:color="4F81BD" w:sz="4" w:space="4"/>
      </w:pBdr>
      <w:spacing w:before="200" w:after="280"/>
      <w:ind w:left="936" w:right="936"/>
    </w:pPr>
    <w:rPr>
      <w:b/>
      <w:bCs/>
      <w:i/>
      <w:iCs/>
      <w:color w:val="4F81BD"/>
      <w:szCs w:val="22"/>
    </w:rPr>
  </w:style>
  <w:style w:type="character" w:customStyle="1" w:styleId="88">
    <w:name w:val="不明显强调1"/>
    <w:qFormat/>
    <w:uiPriority w:val="0"/>
    <w:rPr>
      <w:i/>
      <w:iCs/>
      <w:color w:val="808080"/>
    </w:rPr>
  </w:style>
  <w:style w:type="character" w:customStyle="1" w:styleId="89">
    <w:name w:val="标题4 Char Char"/>
    <w:qFormat/>
    <w:uiPriority w:val="0"/>
    <w:rPr>
      <w:rFonts w:ascii="Arial" w:hAnsi="Arial"/>
      <w:b/>
      <w:bCs/>
      <w:sz w:val="24"/>
      <w:szCs w:val="32"/>
    </w:rPr>
  </w:style>
  <w:style w:type="character" w:customStyle="1" w:styleId="90">
    <w:name w:val="标题5 Char Char"/>
    <w:link w:val="91"/>
    <w:qFormat/>
    <w:uiPriority w:val="0"/>
    <w:rPr>
      <w:rFonts w:ascii="Arial" w:hAnsi="Arial"/>
      <w:b/>
      <w:bCs/>
      <w:sz w:val="24"/>
      <w:szCs w:val="32"/>
    </w:rPr>
  </w:style>
  <w:style w:type="paragraph" w:customStyle="1" w:styleId="91">
    <w:name w:val="标题5"/>
    <w:basedOn w:val="5"/>
    <w:link w:val="90"/>
    <w:qFormat/>
    <w:uiPriority w:val="0"/>
    <w:pPr>
      <w:spacing w:line="413" w:lineRule="auto"/>
    </w:pPr>
    <w:rPr>
      <w:rFonts w:ascii="Arial" w:hAnsi="Arial"/>
      <w:kern w:val="0"/>
      <w:sz w:val="24"/>
    </w:rPr>
  </w:style>
  <w:style w:type="character" w:customStyle="1" w:styleId="92">
    <w:name w:val="日期 Char"/>
    <w:link w:val="24"/>
    <w:qFormat/>
    <w:uiPriority w:val="0"/>
    <w:rPr>
      <w:rFonts w:ascii="宋体"/>
      <w:sz w:val="28"/>
    </w:rPr>
  </w:style>
  <w:style w:type="character" w:customStyle="1" w:styleId="93">
    <w:name w:val="明显参考1"/>
    <w:qFormat/>
    <w:uiPriority w:val="0"/>
    <w:rPr>
      <w:b/>
      <w:bCs/>
      <w:smallCaps/>
      <w:color w:val="C0504D"/>
      <w:spacing w:val="5"/>
      <w:u w:val="single"/>
    </w:rPr>
  </w:style>
  <w:style w:type="character" w:customStyle="1" w:styleId="94">
    <w:name w:val="书籍标题1"/>
    <w:qFormat/>
    <w:uiPriority w:val="0"/>
    <w:rPr>
      <w:b/>
      <w:bCs/>
      <w:smallCaps/>
      <w:spacing w:val="5"/>
    </w:rPr>
  </w:style>
  <w:style w:type="character" w:customStyle="1" w:styleId="95">
    <w:name w:val="页眉 Char"/>
    <w:link w:val="27"/>
    <w:qFormat/>
    <w:uiPriority w:val="0"/>
    <w:rPr>
      <w:kern w:val="2"/>
      <w:sz w:val="18"/>
    </w:rPr>
  </w:style>
  <w:style w:type="character" w:customStyle="1" w:styleId="96">
    <w:name w:val="批注框文本 Char1"/>
    <w:qFormat/>
    <w:uiPriority w:val="0"/>
    <w:rPr>
      <w:kern w:val="2"/>
      <w:sz w:val="18"/>
      <w:szCs w:val="18"/>
    </w:rPr>
  </w:style>
  <w:style w:type="character" w:customStyle="1" w:styleId="97">
    <w:name w:val="引用 Char"/>
    <w:link w:val="51"/>
    <w:qFormat/>
    <w:uiPriority w:val="0"/>
    <w:rPr>
      <w:i/>
      <w:iCs/>
      <w:color w:val="000000"/>
      <w:kern w:val="2"/>
      <w:sz w:val="21"/>
      <w:szCs w:val="22"/>
    </w:rPr>
  </w:style>
  <w:style w:type="character" w:customStyle="1" w:styleId="98">
    <w:name w:val="批注主题 Char1"/>
    <w:qFormat/>
    <w:uiPriority w:val="0"/>
    <w:rPr>
      <w:b/>
      <w:bCs/>
      <w:kern w:val="2"/>
      <w:sz w:val="21"/>
      <w:szCs w:val="22"/>
    </w:rPr>
  </w:style>
  <w:style w:type="character" w:customStyle="1" w:styleId="99">
    <w:name w:val="正文文本 Char"/>
    <w:link w:val="17"/>
    <w:qFormat/>
    <w:uiPriority w:val="0"/>
    <w:rPr>
      <w:kern w:val="2"/>
      <w:sz w:val="21"/>
      <w:szCs w:val="24"/>
    </w:rPr>
  </w:style>
  <w:style w:type="character" w:customStyle="1" w:styleId="100">
    <w:name w:val="日期 Char1"/>
    <w:qFormat/>
    <w:uiPriority w:val="0"/>
    <w:rPr>
      <w:kern w:val="2"/>
      <w:sz w:val="21"/>
      <w:szCs w:val="22"/>
    </w:rPr>
  </w:style>
  <w:style w:type="character" w:customStyle="1" w:styleId="101">
    <w:name w:val="明显强调1"/>
    <w:qFormat/>
    <w:uiPriority w:val="0"/>
    <w:rPr>
      <w:b/>
      <w:bCs/>
      <w:i/>
      <w:iCs/>
      <w:color w:val="4F81BD"/>
    </w:rPr>
  </w:style>
  <w:style w:type="character" w:customStyle="1" w:styleId="102">
    <w:name w:val="textcontents"/>
    <w:qFormat/>
    <w:uiPriority w:val="0"/>
    <w:rPr>
      <w:rFonts w:cs="Times New Roman"/>
    </w:rPr>
  </w:style>
  <w:style w:type="character" w:customStyle="1" w:styleId="103">
    <w:name w:val="不明显参考1"/>
    <w:qFormat/>
    <w:uiPriority w:val="0"/>
    <w:rPr>
      <w:smallCaps/>
      <w:color w:val="C0504D"/>
      <w:u w:val="single"/>
    </w:rPr>
  </w:style>
  <w:style w:type="character" w:customStyle="1" w:styleId="104">
    <w:name w:val="批注文字 Char Char"/>
    <w:qFormat/>
    <w:uiPriority w:val="0"/>
    <w:rPr>
      <w:rFonts w:ascii="宋体" w:hAnsi="Times New Roman" w:eastAsia="宋体" w:cs="Times New Roman"/>
      <w:sz w:val="28"/>
      <w:szCs w:val="20"/>
    </w:rPr>
  </w:style>
  <w:style w:type="character" w:customStyle="1" w:styleId="105">
    <w:name w:val="标题 2 Char"/>
    <w:link w:val="4"/>
    <w:qFormat/>
    <w:uiPriority w:val="0"/>
    <w:rPr>
      <w:rFonts w:ascii="Arial" w:hAnsi="Arial" w:eastAsia="黑体"/>
      <w:b/>
      <w:bCs/>
      <w:kern w:val="2"/>
      <w:sz w:val="32"/>
      <w:szCs w:val="32"/>
    </w:rPr>
  </w:style>
  <w:style w:type="character" w:customStyle="1" w:styleId="106">
    <w:name w:val="标题 3 Char"/>
    <w:link w:val="5"/>
    <w:qFormat/>
    <w:uiPriority w:val="0"/>
    <w:rPr>
      <w:b/>
      <w:bCs/>
      <w:kern w:val="2"/>
      <w:sz w:val="32"/>
      <w:szCs w:val="32"/>
    </w:rPr>
  </w:style>
  <w:style w:type="character" w:customStyle="1" w:styleId="107">
    <w:name w:val="标题 Char"/>
    <w:link w:val="35"/>
    <w:qFormat/>
    <w:uiPriority w:val="0"/>
    <w:rPr>
      <w:rFonts w:ascii="Cambria" w:hAnsi="Cambria"/>
      <w:b/>
      <w:bCs/>
      <w:kern w:val="2"/>
      <w:sz w:val="32"/>
      <w:szCs w:val="32"/>
    </w:rPr>
  </w:style>
  <w:style w:type="character" w:customStyle="1" w:styleId="108">
    <w:name w:val="副标题 Char"/>
    <w:link w:val="30"/>
    <w:qFormat/>
    <w:uiPriority w:val="0"/>
    <w:rPr>
      <w:rFonts w:ascii="Cambria" w:hAnsi="Cambria"/>
      <w:b/>
      <w:bCs/>
      <w:kern w:val="28"/>
      <w:sz w:val="32"/>
      <w:szCs w:val="32"/>
    </w:rPr>
  </w:style>
  <w:style w:type="character" w:customStyle="1" w:styleId="109">
    <w:name w:val="文档结构图 Char1"/>
    <w:qFormat/>
    <w:uiPriority w:val="0"/>
    <w:rPr>
      <w:rFonts w:ascii="宋体"/>
      <w:kern w:val="2"/>
      <w:sz w:val="18"/>
      <w:szCs w:val="18"/>
    </w:rPr>
  </w:style>
  <w:style w:type="paragraph" w:customStyle="1" w:styleId="110">
    <w:name w:val="修订1"/>
    <w:qFormat/>
    <w:uiPriority w:val="0"/>
    <w:rPr>
      <w:rFonts w:ascii="Times New Roman" w:hAnsi="Times New Roman" w:eastAsia="宋体" w:cs="Times New Roman"/>
      <w:kern w:val="2"/>
      <w:sz w:val="21"/>
      <w:szCs w:val="24"/>
      <w:lang w:val="en-US" w:eastAsia="zh-CN" w:bidi="ar-SA"/>
    </w:rPr>
  </w:style>
  <w:style w:type="paragraph" w:customStyle="1" w:styleId="11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12">
    <w:name w:val="日期 Char2"/>
    <w:basedOn w:val="40"/>
    <w:qFormat/>
    <w:uiPriority w:val="0"/>
    <w:rPr>
      <w:kern w:val="2"/>
      <w:sz w:val="21"/>
      <w:szCs w:val="24"/>
    </w:rPr>
  </w:style>
  <w:style w:type="character" w:customStyle="1" w:styleId="113">
    <w:name w:val="标题 Char1"/>
    <w:basedOn w:val="40"/>
    <w:qFormat/>
    <w:uiPriority w:val="0"/>
    <w:rPr>
      <w:rFonts w:asciiTheme="majorHAnsi" w:hAnsiTheme="majorHAnsi" w:cstheme="majorBidi"/>
      <w:b/>
      <w:bCs/>
      <w:kern w:val="2"/>
      <w:sz w:val="32"/>
      <w:szCs w:val="32"/>
    </w:rPr>
  </w:style>
  <w:style w:type="paragraph" w:customStyle="1" w:styleId="114">
    <w:name w:val="TOC 标题1"/>
    <w:basedOn w:val="3"/>
    <w:next w:val="1"/>
    <w:qFormat/>
    <w:uiPriority w:val="0"/>
    <w:pPr>
      <w:spacing w:before="340" w:after="330" w:line="576" w:lineRule="auto"/>
      <w:outlineLvl w:val="9"/>
    </w:pPr>
    <w:rPr>
      <w:rFonts w:ascii="Calibri" w:hAnsi="Calibri"/>
    </w:rPr>
  </w:style>
  <w:style w:type="character" w:customStyle="1" w:styleId="115">
    <w:name w:val="副标题 Char1"/>
    <w:basedOn w:val="40"/>
    <w:qFormat/>
    <w:uiPriority w:val="0"/>
    <w:rPr>
      <w:rFonts w:asciiTheme="majorHAnsi" w:hAnsiTheme="majorHAnsi" w:cstheme="majorBidi"/>
      <w:b/>
      <w:bCs/>
      <w:kern w:val="28"/>
      <w:sz w:val="32"/>
      <w:szCs w:val="32"/>
    </w:rPr>
  </w:style>
  <w:style w:type="character" w:customStyle="1" w:styleId="116">
    <w:name w:val="明显引用 Char1"/>
    <w:basedOn w:val="40"/>
    <w:semiHidden/>
    <w:qFormat/>
    <w:uiPriority w:val="99"/>
    <w:rPr>
      <w:b/>
      <w:bCs/>
      <w:i/>
      <w:iCs/>
      <w:color w:val="4472C4" w:themeColor="accent1"/>
      <w:kern w:val="2"/>
      <w:sz w:val="21"/>
      <w:szCs w:val="24"/>
      <w14:textFill>
        <w14:solidFill>
          <w14:schemeClr w14:val="accent1"/>
        </w14:solidFill>
      </w14:textFill>
    </w:rPr>
  </w:style>
  <w:style w:type="paragraph" w:customStyle="1" w:styleId="1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11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引用 Char1"/>
    <w:basedOn w:val="40"/>
    <w:semiHidden/>
    <w:qFormat/>
    <w:uiPriority w:val="99"/>
    <w:rPr>
      <w:i/>
      <w:iCs/>
      <w:color w:val="000000" w:themeColor="text1"/>
      <w:kern w:val="2"/>
      <w:sz w:val="21"/>
      <w:szCs w:val="24"/>
      <w14:textFill>
        <w14:solidFill>
          <w14:schemeClr w14:val="tx1"/>
        </w14:solidFill>
      </w14:textFill>
    </w:rPr>
  </w:style>
  <w:style w:type="paragraph" w:customStyle="1" w:styleId="12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22">
    <w:name w:val="纯文本 Char1"/>
    <w:basedOn w:val="40"/>
    <w:qFormat/>
    <w:locked/>
    <w:uiPriority w:val="99"/>
    <w:rPr>
      <w:rFonts w:ascii="宋体" w:hAnsi="Courier New" w:eastAsia="宋体" w:cs="宋体"/>
      <w:sz w:val="21"/>
      <w:szCs w:val="21"/>
    </w:rPr>
  </w:style>
  <w:style w:type="paragraph" w:customStyle="1" w:styleId="12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4">
    <w:name w:val="_Style 1"/>
    <w:basedOn w:val="1"/>
    <w:qFormat/>
    <w:uiPriority w:val="0"/>
    <w:pPr>
      <w:ind w:firstLine="420" w:firstLineChars="200"/>
    </w:pPr>
    <w:rPr>
      <w:rFonts w:ascii="Calibri" w:hAnsi="Calibri"/>
      <w:szCs w:val="22"/>
    </w:rPr>
  </w:style>
  <w:style w:type="paragraph" w:customStyle="1" w:styleId="125">
    <w:name w:val="Table Paragraph"/>
    <w:basedOn w:val="1"/>
    <w:qFormat/>
    <w:uiPriority w:val="1"/>
    <w:rPr>
      <w:rFonts w:ascii="宋体" w:hAnsi="宋体" w:cs="宋体"/>
    </w:rPr>
  </w:style>
  <w:style w:type="character" w:customStyle="1" w:styleId="126">
    <w:name w:val="font61"/>
    <w:basedOn w:val="40"/>
    <w:qFormat/>
    <w:uiPriority w:val="0"/>
    <w:rPr>
      <w:rFonts w:hint="eastAsia" w:ascii="宋体" w:hAnsi="宋体" w:eastAsia="宋体" w:cs="宋体"/>
      <w:color w:val="000000"/>
      <w:sz w:val="20"/>
      <w:szCs w:val="20"/>
      <w:u w:val="none"/>
    </w:rPr>
  </w:style>
  <w:style w:type="character" w:customStyle="1" w:styleId="127">
    <w:name w:val="font71"/>
    <w:basedOn w:val="40"/>
    <w:qFormat/>
    <w:uiPriority w:val="0"/>
    <w:rPr>
      <w:rFonts w:hint="default" w:ascii="Arial" w:hAnsi="Arial" w:cs="Arial"/>
      <w:color w:val="000000"/>
      <w:sz w:val="20"/>
      <w:szCs w:val="20"/>
      <w:u w:val="none"/>
    </w:rPr>
  </w:style>
  <w:style w:type="character" w:customStyle="1" w:styleId="128">
    <w:name w:val="font01"/>
    <w:basedOn w:val="40"/>
    <w:qFormat/>
    <w:uiPriority w:val="0"/>
    <w:rPr>
      <w:rFonts w:hint="default" w:ascii="Arial" w:hAnsi="Arial" w:cs="Arial"/>
      <w:color w:val="FF0000"/>
      <w:sz w:val="20"/>
      <w:szCs w:val="20"/>
      <w:u w:val="none"/>
    </w:rPr>
  </w:style>
  <w:style w:type="character" w:customStyle="1" w:styleId="129">
    <w:name w:val="font11"/>
    <w:basedOn w:val="4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F5619-9F7D-475A-8F1D-59D0A9A4AF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32197</Words>
  <Characters>34656</Characters>
  <Lines>281</Lines>
  <Paragraphs>79</Paragraphs>
  <TotalTime>24</TotalTime>
  <ScaleCrop>false</ScaleCrop>
  <LinksUpToDate>false</LinksUpToDate>
  <CharactersWithSpaces>36869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成都一问</dc:creator>
  <cp:lastModifiedBy>001</cp:lastModifiedBy>
  <cp:lastPrinted>2018-05-10T07:30:00Z</cp:lastPrinted>
  <dcterms:modified xsi:type="dcterms:W3CDTF">2021-12-29T06:56:46Z</dcterms:modified>
  <dc:title>成都一问范本</dc:title>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B4DF863654BD440E80AB19FB74F02DA3</vt:lpwstr>
  </property>
</Properties>
</file>