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28"/>
        </w:rPr>
        <w:t>一、服务内容及要求</w:t>
      </w:r>
    </w:p>
    <w:p>
      <w:pPr>
        <w:pStyle w:val="2"/>
        <w:spacing w:after="0" w:line="480" w:lineRule="exact"/>
        <w:ind w:firstLine="482" w:firstLineChars="200"/>
        <w:outlineLvl w:val="1"/>
        <w:rPr>
          <w:rFonts w:ascii="Times New Roman"/>
          <w:b/>
          <w:bCs/>
          <w:sz w:val="24"/>
          <w:szCs w:val="24"/>
        </w:rPr>
      </w:pPr>
      <w:r>
        <w:rPr>
          <w:rFonts w:hint="eastAsia" w:ascii="Times New Roman"/>
          <w:b/>
          <w:bCs/>
          <w:sz w:val="24"/>
          <w:szCs w:val="24"/>
        </w:rPr>
        <w:t>1、</w:t>
      </w:r>
      <w:r>
        <w:rPr>
          <w:rFonts w:ascii="Times New Roman"/>
          <w:b/>
          <w:bCs/>
          <w:sz w:val="24"/>
          <w:szCs w:val="24"/>
        </w:rPr>
        <w:t>项目概况</w:t>
      </w:r>
    </w:p>
    <w:p>
      <w:pPr>
        <w:pStyle w:val="2"/>
        <w:spacing w:after="0" w:line="480" w:lineRule="exact"/>
        <w:ind w:firstLine="480" w:firstLineChars="200"/>
        <w:outlineLvl w:val="1"/>
        <w:rPr>
          <w:rFonts w:hAnsi="宋体" w:cs="宋体"/>
          <w:sz w:val="24"/>
        </w:rPr>
      </w:pPr>
      <w:r>
        <w:rPr>
          <w:rFonts w:hAnsi="宋体" w:cs="宋体"/>
          <w:sz w:val="24"/>
          <w:szCs w:val="24"/>
        </w:rPr>
        <w:t>根据</w:t>
      </w:r>
      <w:r>
        <w:rPr>
          <w:rFonts w:hint="eastAsia" w:hAnsi="宋体" w:cs="宋体"/>
          <w:sz w:val="24"/>
          <w:szCs w:val="24"/>
        </w:rPr>
        <w:t>《成都市规划和自然资源局关于下放部分行政审批权力事项的通知》（成自然资发〔2020</w:t>
      </w:r>
      <w:r>
        <w:rPr>
          <w:rFonts w:hAnsi="宋体" w:cs="宋体"/>
          <w:sz w:val="24"/>
          <w:szCs w:val="24"/>
        </w:rPr>
        <w:t>〕</w:t>
      </w:r>
      <w:r>
        <w:rPr>
          <w:rFonts w:hint="eastAsia" w:hAnsi="宋体" w:cs="宋体"/>
          <w:sz w:val="24"/>
          <w:szCs w:val="24"/>
        </w:rPr>
        <w:t xml:space="preserve"> 38号</w:t>
      </w:r>
      <w:r>
        <w:rPr>
          <w:rFonts w:hint="eastAsia" w:hAnsi="宋体" w:cs="宋体"/>
          <w:sz w:val="24"/>
        </w:rPr>
        <w:t>）和《成都市规划和自然资源局关于进一步规范</w:t>
      </w:r>
      <w:r>
        <w:rPr>
          <w:rFonts w:hAnsi="宋体" w:cs="宋体"/>
          <w:sz w:val="24"/>
        </w:rPr>
        <w:t>建筑项目规划报建方案证后抽查及指标复核工作的通知</w:t>
      </w:r>
      <w:r>
        <w:rPr>
          <w:rFonts w:hint="eastAsia" w:hAnsi="宋体" w:cs="宋体"/>
          <w:sz w:val="24"/>
        </w:rPr>
        <w:t>》（成自然资函〔2020</w:t>
      </w:r>
      <w:r>
        <w:rPr>
          <w:rFonts w:hAnsi="宋体" w:cs="宋体"/>
          <w:sz w:val="24"/>
        </w:rPr>
        <w:t>〕173</w:t>
      </w:r>
      <w:r>
        <w:rPr>
          <w:rFonts w:hint="eastAsia" w:hAnsi="宋体" w:cs="宋体"/>
          <w:sz w:val="24"/>
        </w:rPr>
        <w:t>号）</w:t>
      </w:r>
      <w:r>
        <w:rPr>
          <w:rFonts w:hAnsi="宋体" w:cs="宋体"/>
          <w:sz w:val="24"/>
        </w:rPr>
        <w:t>的要求，</w:t>
      </w:r>
      <w:r>
        <w:rPr>
          <w:rFonts w:hint="eastAsia" w:hAnsi="宋体" w:cs="宋体"/>
          <w:sz w:val="24"/>
        </w:rPr>
        <w:t>成华区范围</w:t>
      </w:r>
      <w:r>
        <w:rPr>
          <w:rFonts w:hAnsi="宋体" w:cs="宋体"/>
          <w:sz w:val="24"/>
        </w:rPr>
        <w:t>内</w:t>
      </w:r>
      <w:r>
        <w:rPr>
          <w:rFonts w:hint="eastAsia" w:hAnsi="宋体" w:cs="宋体"/>
          <w:sz w:val="24"/>
        </w:rPr>
        <w:t>建筑</w:t>
      </w:r>
      <w:r>
        <w:rPr>
          <w:rFonts w:hAnsi="宋体" w:cs="宋体"/>
          <w:sz w:val="24"/>
        </w:rPr>
        <w:t>项目规划报建方案证后抽查指标复核工作，</w:t>
      </w:r>
      <w:r>
        <w:rPr>
          <w:rFonts w:hint="eastAsia" w:hAnsi="宋体" w:cs="宋体"/>
          <w:sz w:val="24"/>
        </w:rPr>
        <w:t>由</w:t>
      </w:r>
      <w:r>
        <w:rPr>
          <w:rFonts w:hAnsi="宋体" w:cs="宋体"/>
          <w:sz w:val="24"/>
        </w:rPr>
        <w:t>依法确定</w:t>
      </w:r>
      <w:r>
        <w:rPr>
          <w:rFonts w:hint="eastAsia" w:hAnsi="宋体" w:cs="宋体"/>
          <w:sz w:val="24"/>
        </w:rPr>
        <w:t>的</w:t>
      </w:r>
      <w:r>
        <w:rPr>
          <w:rFonts w:hAnsi="宋体" w:cs="宋体"/>
          <w:sz w:val="24"/>
        </w:rPr>
        <w:t>第三方机构对</w:t>
      </w:r>
      <w:r>
        <w:rPr>
          <w:rFonts w:hint="eastAsia" w:hAnsi="宋体" w:cs="宋体"/>
          <w:sz w:val="24"/>
          <w:highlight w:val="none"/>
          <w:lang w:eastAsia="zh-CN"/>
        </w:rPr>
        <w:t>成都市成华区范围内</w:t>
      </w:r>
      <w:r>
        <w:rPr>
          <w:rFonts w:hAnsi="宋体" w:cs="宋体"/>
          <w:sz w:val="24"/>
        </w:rPr>
        <w:t>抽中的报建方案</w:t>
      </w:r>
      <w:r>
        <w:rPr>
          <w:rFonts w:hint="eastAsia" w:hAnsi="宋体" w:cs="宋体"/>
          <w:sz w:val="24"/>
        </w:rPr>
        <w:t>或成华区规划和自然</w:t>
      </w:r>
      <w:r>
        <w:rPr>
          <w:rFonts w:hAnsi="宋体" w:cs="宋体"/>
          <w:sz w:val="24"/>
        </w:rPr>
        <w:t>资源局</w:t>
      </w:r>
      <w:r>
        <w:rPr>
          <w:rFonts w:hint="eastAsia" w:hAnsi="宋体" w:cs="宋体"/>
          <w:sz w:val="24"/>
        </w:rPr>
        <w:t>书面下达的技术复核项目</w:t>
      </w:r>
      <w:r>
        <w:rPr>
          <w:rFonts w:hAnsi="宋体" w:cs="宋体"/>
          <w:sz w:val="24"/>
        </w:rPr>
        <w:t>进行技术复核，并出具正式复核报告。</w:t>
      </w:r>
    </w:p>
    <w:p>
      <w:pPr>
        <w:widowControl/>
        <w:spacing w:line="360" w:lineRule="auto"/>
        <w:ind w:firstLine="482" w:firstLineChars="200"/>
        <w:jc w:val="left"/>
        <w:rPr>
          <w:rFonts w:hAnsi="宋体" w:cs="宋体"/>
          <w:sz w:val="24"/>
          <w:szCs w:val="24"/>
        </w:rPr>
      </w:pPr>
      <w:r>
        <w:rPr>
          <w:rFonts w:hint="eastAsia" w:ascii="Times New Roman"/>
          <w:b/>
          <w:bCs/>
          <w:sz w:val="24"/>
          <w:szCs w:val="24"/>
        </w:rPr>
        <w:t>2、复核内容</w:t>
      </w:r>
      <w:r>
        <w:rPr>
          <w:rFonts w:hAnsi="宋体" w:cs="宋体"/>
          <w:sz w:val="24"/>
          <w:szCs w:val="24"/>
        </w:rPr>
        <w:t> </w:t>
      </w:r>
    </w:p>
    <w:p>
      <w:pPr>
        <w:widowControl/>
        <w:spacing w:line="360" w:lineRule="auto"/>
        <w:ind w:firstLine="480" w:firstLineChars="200"/>
        <w:jc w:val="left"/>
        <w:rPr>
          <w:rFonts w:hAnsi="宋体" w:cs="宋体"/>
          <w:sz w:val="24"/>
          <w:szCs w:val="24"/>
        </w:rPr>
      </w:pPr>
      <w:r>
        <w:rPr>
          <w:rFonts w:hAnsi="宋体" w:cs="宋体"/>
          <w:sz w:val="24"/>
          <w:szCs w:val="24"/>
        </w:rPr>
        <w:t>（1）综合技术经济指标表里的各项内容是否符合规划条件和《成都市规划管理技术规定》。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（2）总平面图和建设工程设计方案（含平、立、剖面图）是否一致。</w:t>
      </w:r>
      <w:r>
        <w:rPr>
          <w:rFonts w:hAnsi="宋体" w:cs="宋体"/>
          <w:sz w:val="24"/>
          <w:szCs w:val="24"/>
        </w:rPr>
        <w:br w:type="textWrapping"/>
      </w:r>
      <w:r>
        <w:rPr>
          <w:rFonts w:hint="eastAsia" w:hAnsi="宋体" w:cs="宋体"/>
          <w:sz w:val="24"/>
          <w:szCs w:val="24"/>
        </w:rPr>
        <w:t xml:space="preserve">    </w:t>
      </w:r>
      <w:r>
        <w:rPr>
          <w:rFonts w:hAnsi="宋体" w:cs="宋体"/>
          <w:sz w:val="24"/>
          <w:szCs w:val="24"/>
        </w:rPr>
        <w:t>（3）建筑性质是否符合控制性详细规划和《成都市规划管理技术规定》。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（4）建筑间距是否符合《成都市规划管理技术规定》。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（5）建筑退界（包括后退用地红线、规划道路红线、绿线、蓝线、紫线等色线及建筑控制线）是否符合控制性详细规划和《成都市规划管理技术规定》。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（6）日照分析结论是否真实且符合《成都市规划管理技术规定》。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（7）建筑高度是否符合控制性详细规划、规划条件及航空限高。</w:t>
      </w:r>
      <w:r>
        <w:rPr>
          <w:rFonts w:hAnsi="宋体" w:cs="宋体"/>
          <w:sz w:val="24"/>
          <w:szCs w:val="24"/>
        </w:rPr>
        <w:br w:type="textWrapping"/>
      </w:r>
      <w:r>
        <w:rPr>
          <w:rFonts w:hint="eastAsia" w:hAnsi="宋体" w:cs="宋体"/>
          <w:sz w:val="24"/>
          <w:szCs w:val="24"/>
        </w:rPr>
        <w:t xml:space="preserve">    </w:t>
      </w:r>
      <w:r>
        <w:rPr>
          <w:rFonts w:hAnsi="宋体" w:cs="宋体"/>
          <w:sz w:val="24"/>
          <w:szCs w:val="24"/>
        </w:rPr>
        <w:t>（8）公建配套设施的位置是否符合规划条件及《成都市规划管理技术规定》。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（9）项目配套设施的位置是否符合规划条件及《成都市规划管理技术规定》。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（10）建筑密度等相关经济技术指标是否符合规划条件和《成都市规划管理技术规定》。</w:t>
      </w:r>
      <w:r>
        <w:rPr>
          <w:rFonts w:hAnsi="宋体" w:cs="宋体"/>
          <w:sz w:val="24"/>
          <w:szCs w:val="24"/>
        </w:rPr>
        <w:br w:type="textWrapping"/>
      </w:r>
      <w:r>
        <w:rPr>
          <w:rFonts w:hint="eastAsia" w:hAnsi="宋体" w:cs="宋体"/>
          <w:sz w:val="24"/>
          <w:szCs w:val="24"/>
        </w:rPr>
        <w:t xml:space="preserve">    </w:t>
      </w:r>
      <w:r>
        <w:rPr>
          <w:rFonts w:hAnsi="宋体" w:cs="宋体"/>
          <w:sz w:val="24"/>
          <w:szCs w:val="24"/>
        </w:rPr>
        <w:t>（11）建筑项目审批处室需要复核的其它内容。</w:t>
      </w:r>
      <w:r>
        <w:rPr>
          <w:rFonts w:hAnsi="宋体" w:cs="宋体"/>
          <w:sz w:val="24"/>
          <w:szCs w:val="24"/>
        </w:rPr>
        <w:br w:type="textWrapping"/>
      </w:r>
      <w:r>
        <w:rPr>
          <w:rFonts w:hint="eastAsia" w:hAnsi="宋体" w:cs="宋体"/>
          <w:sz w:val="24"/>
          <w:szCs w:val="24"/>
        </w:rPr>
        <w:t xml:space="preserve">   </w:t>
      </w:r>
      <w:r>
        <w:rPr>
          <w:rFonts w:hint="eastAsia" w:hAnsi="宋体" w:cs="宋体"/>
          <w:b/>
          <w:bCs/>
          <w:sz w:val="24"/>
          <w:szCs w:val="24"/>
        </w:rPr>
        <w:t xml:space="preserve"> 3、</w:t>
      </w:r>
      <w:r>
        <w:rPr>
          <w:rFonts w:hAnsi="宋体" w:cs="宋体"/>
          <w:b/>
          <w:bCs/>
          <w:sz w:val="24"/>
          <w:szCs w:val="24"/>
        </w:rPr>
        <w:t>抽查比例</w:t>
      </w:r>
      <w:r>
        <w:rPr>
          <w:rFonts w:hAnsi="宋体" w:cs="宋体"/>
          <w:sz w:val="24"/>
          <w:szCs w:val="24"/>
        </w:rPr>
        <w:br w:type="textWrapping"/>
      </w:r>
      <w:r>
        <w:rPr>
          <w:rFonts w:hint="eastAsia" w:hAnsi="宋体" w:cs="宋体"/>
          <w:sz w:val="24"/>
          <w:szCs w:val="24"/>
        </w:rPr>
        <w:t xml:space="preserve">    </w:t>
      </w:r>
      <w:r>
        <w:rPr>
          <w:rFonts w:hAnsi="宋体" w:cs="宋体"/>
          <w:sz w:val="24"/>
          <w:szCs w:val="24"/>
        </w:rPr>
        <w:t>根据《2016年第13次分局协调例会会议纪要》（成规阅〔2016〕193号），确定随机抽查比例为10%。</w:t>
      </w:r>
    </w:p>
    <w:p>
      <w:pPr>
        <w:widowControl/>
        <w:spacing w:line="360" w:lineRule="auto"/>
        <w:ind w:firstLine="480" w:firstLineChars="200"/>
        <w:jc w:val="left"/>
        <w:rPr>
          <w:rFonts w:hAnsi="宋体" w:cs="宋体"/>
          <w:sz w:val="24"/>
          <w:szCs w:val="24"/>
        </w:rPr>
      </w:pPr>
      <w:r>
        <w:rPr>
          <w:rFonts w:hAnsi="宋体" w:cs="宋体"/>
          <w:sz w:val="24"/>
          <w:szCs w:val="24"/>
        </w:rPr>
        <w:t>根据《2017年第1次分局协调例会会议纪要》（成规阅〔2017〕6号），为落实市委市政府《成都市加快推进社会信用体系建设的工作方案》（成委厅〔2016〕17号）等有关文件要求，市级部门应在行政管理事项中使用相关市场主体的信用信息。</w:t>
      </w:r>
      <w:r>
        <w:rPr>
          <w:rFonts w:hint="eastAsia" w:hAnsi="宋体" w:cs="宋体"/>
          <w:sz w:val="24"/>
          <w:szCs w:val="24"/>
        </w:rPr>
        <w:t>采购人</w:t>
      </w:r>
      <w:r>
        <w:rPr>
          <w:rFonts w:hAnsi="宋体" w:cs="宋体"/>
          <w:sz w:val="24"/>
          <w:szCs w:val="24"/>
        </w:rPr>
        <w:t>在行政管理中使用信用信息，将受到过规划行政处罚的单位（或个人）的随机抽查比例由10%提升为20%。</w:t>
      </w:r>
    </w:p>
    <w:p>
      <w:pPr>
        <w:widowControl/>
        <w:spacing w:line="360" w:lineRule="auto"/>
        <w:ind w:firstLine="482" w:firstLineChars="200"/>
        <w:jc w:val="left"/>
        <w:rPr>
          <w:rFonts w:hAnsi="宋体" w:cs="宋体"/>
          <w:b/>
          <w:bCs/>
          <w:sz w:val="24"/>
          <w:szCs w:val="24"/>
        </w:rPr>
      </w:pPr>
      <w:r>
        <w:rPr>
          <w:rFonts w:hint="eastAsia" w:hAnsi="宋体" w:cs="宋体"/>
          <w:b/>
          <w:bCs/>
          <w:sz w:val="24"/>
          <w:szCs w:val="24"/>
        </w:rPr>
        <w:t>4、项目构成</w:t>
      </w:r>
    </w:p>
    <w:p>
      <w:pPr>
        <w:widowControl/>
        <w:spacing w:line="360" w:lineRule="auto"/>
        <w:ind w:firstLine="480" w:firstLineChars="200"/>
        <w:jc w:val="left"/>
        <w:rPr>
          <w:rFonts w:hAnsi="宋体" w:cs="宋体"/>
          <w:sz w:val="24"/>
          <w:szCs w:val="24"/>
        </w:rPr>
      </w:pPr>
      <w:r>
        <w:rPr>
          <w:rFonts w:hint="eastAsia" w:hAnsi="宋体" w:cs="宋体"/>
          <w:sz w:val="24"/>
          <w:szCs w:val="24"/>
        </w:rPr>
        <w:t>（1）成华区在成都市</w:t>
      </w:r>
      <w:r>
        <w:rPr>
          <w:rFonts w:hint="eastAsia" w:hAnsi="宋体" w:cs="宋体"/>
          <w:sz w:val="24"/>
          <w:szCs w:val="24"/>
          <w:lang w:eastAsia="zh-CN"/>
        </w:rPr>
        <w:t>规划和自然资源局电子政务办公云平台</w:t>
      </w:r>
      <w:r>
        <w:rPr>
          <w:rFonts w:hint="eastAsia" w:hAnsi="宋体" w:cs="宋体"/>
          <w:sz w:val="24"/>
          <w:szCs w:val="24"/>
        </w:rPr>
        <w:t>抽中的建筑方案证后</w:t>
      </w:r>
      <w:r>
        <w:rPr>
          <w:rFonts w:hint="eastAsia" w:hAnsi="宋体" w:cs="宋体"/>
          <w:sz w:val="24"/>
          <w:szCs w:val="24"/>
          <w:lang w:eastAsia="zh-CN"/>
        </w:rPr>
        <w:t>抽查</w:t>
      </w:r>
      <w:r>
        <w:rPr>
          <w:rFonts w:hint="eastAsia" w:hAnsi="宋体" w:cs="宋体"/>
          <w:sz w:val="24"/>
          <w:szCs w:val="24"/>
        </w:rPr>
        <w:t>项目。</w:t>
      </w:r>
    </w:p>
    <w:p>
      <w:pPr>
        <w:widowControl/>
        <w:spacing w:line="360" w:lineRule="auto"/>
        <w:ind w:firstLine="480" w:firstLineChars="200"/>
        <w:jc w:val="left"/>
        <w:rPr>
          <w:rFonts w:hAnsi="宋体" w:cs="宋体"/>
          <w:sz w:val="24"/>
          <w:szCs w:val="24"/>
        </w:rPr>
      </w:pPr>
      <w:r>
        <w:rPr>
          <w:rFonts w:hint="eastAsia" w:hAnsi="宋体" w:cs="宋体"/>
          <w:sz w:val="24"/>
          <w:szCs w:val="24"/>
        </w:rPr>
        <w:t>（2）采购人书面下达的技术复核项目。</w:t>
      </w:r>
    </w:p>
    <w:p>
      <w:pPr>
        <w:pStyle w:val="2"/>
        <w:spacing w:line="360" w:lineRule="auto"/>
        <w:ind w:left="476" w:leftChars="140"/>
      </w:pPr>
      <w:r>
        <w:rPr>
          <w:rFonts w:hint="eastAsia" w:hAnsi="宋体" w:cs="宋体"/>
          <w:b/>
          <w:bCs/>
          <w:sz w:val="24"/>
          <w:szCs w:val="24"/>
        </w:rPr>
        <w:t>5、项目要求</w:t>
      </w:r>
      <w:r>
        <w:rPr>
          <w:rFonts w:hAnsi="宋体" w:cs="宋体"/>
          <w:sz w:val="24"/>
          <w:szCs w:val="24"/>
        </w:rPr>
        <w:br w:type="textWrapping"/>
      </w:r>
      <w:r>
        <w:rPr>
          <w:rFonts w:hAnsi="宋体" w:cs="宋体"/>
          <w:sz w:val="24"/>
          <w:szCs w:val="24"/>
        </w:rPr>
        <w:t>（1）</w:t>
      </w:r>
      <w:r>
        <w:rPr>
          <w:rFonts w:hint="eastAsia" w:hAnsi="宋体" w:cs="宋体"/>
          <w:sz w:val="24"/>
          <w:szCs w:val="24"/>
        </w:rPr>
        <w:t>单个复核</w:t>
      </w:r>
      <w:r>
        <w:rPr>
          <w:rFonts w:hAnsi="宋体" w:cs="宋体"/>
          <w:sz w:val="24"/>
          <w:szCs w:val="24"/>
        </w:rPr>
        <w:t>项目应在28个工作日内完成复核，并出具正式报告。</w:t>
      </w:r>
      <w:r>
        <w:rPr>
          <w:rFonts w:hAnsi="宋体" w:cs="宋体"/>
          <w:sz w:val="24"/>
          <w:szCs w:val="24"/>
        </w:rPr>
        <w:br w:type="textWrapping"/>
      </w:r>
      <w:r>
        <w:rPr>
          <w:rFonts w:hAnsi="宋体" w:cs="宋体"/>
          <w:sz w:val="24"/>
          <w:szCs w:val="24"/>
        </w:rPr>
        <w:t>（2）严格按照规划条件和《成都市规划管理技术规定》的要求进行技术复核。</w:t>
      </w:r>
      <w:r>
        <w:rPr>
          <w:rFonts w:hAnsi="宋体" w:cs="宋体"/>
          <w:sz w:val="24"/>
          <w:szCs w:val="24"/>
        </w:rPr>
        <w:br w:type="textWrapping"/>
      </w:r>
      <w:r>
        <w:rPr>
          <w:rFonts w:hAnsi="宋体" w:cs="宋体"/>
          <w:sz w:val="24"/>
          <w:szCs w:val="24"/>
        </w:rPr>
        <w:t>（3）重新建模复核日照分析结论。</w:t>
      </w:r>
      <w:r>
        <w:rPr>
          <w:rFonts w:hAnsi="宋体" w:cs="宋体"/>
          <w:sz w:val="24"/>
          <w:szCs w:val="24"/>
        </w:rPr>
        <w:br w:type="textWrapping"/>
      </w:r>
      <w:r>
        <w:rPr>
          <w:rFonts w:hAnsi="宋体" w:cs="宋体"/>
          <w:sz w:val="24"/>
          <w:szCs w:val="24"/>
        </w:rPr>
        <w:t>（4）对出具复核报告的真实性、准确性负责。</w:t>
      </w:r>
      <w:r>
        <w:rPr>
          <w:rFonts w:hAnsi="宋体" w:cs="宋体"/>
          <w:sz w:val="24"/>
          <w:szCs w:val="24"/>
        </w:rPr>
        <w:br w:type="textWrapping"/>
      </w:r>
    </w:p>
    <w:p>
      <w:pPr>
        <w:pStyle w:val="2"/>
        <w:jc w:val="center"/>
      </w:pPr>
      <w:r>
        <w:rPr>
          <w:rFonts w:hint="eastAsia" w:ascii="Times New Roman"/>
          <w:b/>
          <w:color w:val="000000"/>
          <w:sz w:val="28"/>
          <w:szCs w:val="28"/>
        </w:rPr>
        <w:t>二、商务要求</w:t>
      </w:r>
    </w:p>
    <w:p>
      <w:pPr>
        <w:widowControl/>
        <w:spacing w:line="360" w:lineRule="auto"/>
        <w:ind w:firstLine="482" w:firstLineChars="200"/>
        <w:jc w:val="left"/>
        <w:rPr>
          <w:rFonts w:hAnsi="宋体" w:cs="宋体"/>
          <w:b/>
          <w:bCs/>
          <w:sz w:val="24"/>
          <w:szCs w:val="24"/>
        </w:rPr>
      </w:pPr>
      <w:r>
        <w:rPr>
          <w:rFonts w:hint="eastAsia" w:hAnsi="宋体" w:cs="宋体"/>
          <w:b/>
          <w:bCs/>
          <w:sz w:val="24"/>
          <w:szCs w:val="24"/>
        </w:rPr>
        <w:t>1、</w:t>
      </w:r>
      <w:r>
        <w:rPr>
          <w:rFonts w:hAnsi="宋体" w:cs="宋体"/>
          <w:b/>
          <w:bCs/>
          <w:sz w:val="24"/>
          <w:szCs w:val="24"/>
        </w:rPr>
        <w:t>服务期限</w:t>
      </w:r>
    </w:p>
    <w:p>
      <w:pPr>
        <w:widowControl/>
        <w:spacing w:line="360" w:lineRule="auto"/>
        <w:ind w:left="476" w:leftChars="140"/>
        <w:jc w:val="left"/>
        <w:rPr>
          <w:rFonts w:hAnsi="宋体" w:cs="宋体"/>
          <w:sz w:val="24"/>
          <w:szCs w:val="24"/>
        </w:rPr>
      </w:pPr>
      <w:r>
        <w:rPr>
          <w:rFonts w:hint="eastAsia" w:hAnsi="宋体" w:cs="宋体"/>
          <w:sz w:val="24"/>
          <w:szCs w:val="24"/>
        </w:rPr>
        <w:t>服务期限为一年，具体起止时间在合同中约定</w:t>
      </w:r>
      <w:r>
        <w:rPr>
          <w:rFonts w:hAnsi="宋体" w:cs="宋体"/>
          <w:sz w:val="24"/>
          <w:szCs w:val="24"/>
        </w:rPr>
        <w:t>。</w:t>
      </w:r>
      <w:r>
        <w:rPr>
          <w:rFonts w:hAnsi="宋体" w:cs="宋体"/>
          <w:sz w:val="24"/>
          <w:szCs w:val="24"/>
        </w:rPr>
        <w:br w:type="textWrapping"/>
      </w:r>
      <w:r>
        <w:rPr>
          <w:rFonts w:hint="eastAsia" w:hAnsi="宋体" w:cs="宋体"/>
          <w:b/>
          <w:bCs/>
          <w:sz w:val="24"/>
          <w:szCs w:val="24"/>
        </w:rPr>
        <w:t>2、</w:t>
      </w:r>
      <w:r>
        <w:rPr>
          <w:rFonts w:hAnsi="宋体" w:cs="宋体"/>
          <w:b/>
          <w:bCs/>
          <w:sz w:val="24"/>
          <w:szCs w:val="24"/>
        </w:rPr>
        <w:t>付款方式</w:t>
      </w:r>
    </w:p>
    <w:p>
      <w:pPr>
        <w:widowControl/>
        <w:spacing w:line="360" w:lineRule="auto"/>
        <w:ind w:left="476" w:leftChars="140"/>
        <w:jc w:val="left"/>
        <w:rPr>
          <w:rFonts w:hAnsi="宋体" w:cs="宋体"/>
          <w:sz w:val="24"/>
          <w:szCs w:val="24"/>
        </w:rPr>
      </w:pPr>
      <w:r>
        <w:rPr>
          <w:rFonts w:hint="eastAsia" w:hAnsi="宋体" w:cs="宋体"/>
          <w:sz w:val="24"/>
          <w:szCs w:val="24"/>
        </w:rPr>
        <w:t>合同款项</w:t>
      </w:r>
      <w:r>
        <w:rPr>
          <w:rFonts w:hAnsi="宋体" w:cs="宋体"/>
          <w:sz w:val="24"/>
          <w:szCs w:val="24"/>
        </w:rPr>
        <w:t>按</w:t>
      </w:r>
      <w:r>
        <w:rPr>
          <w:rFonts w:hint="eastAsia" w:hAnsi="宋体" w:cs="宋体"/>
          <w:sz w:val="24"/>
          <w:szCs w:val="24"/>
        </w:rPr>
        <w:t>两</w:t>
      </w:r>
      <w:r>
        <w:rPr>
          <w:rFonts w:hAnsi="宋体" w:cs="宋体"/>
          <w:sz w:val="24"/>
          <w:szCs w:val="24"/>
        </w:rPr>
        <w:t xml:space="preserve">个阶段进行支付：  </w:t>
      </w:r>
    </w:p>
    <w:p>
      <w:pPr>
        <w:widowControl/>
        <w:spacing w:line="360" w:lineRule="auto"/>
        <w:ind w:firstLine="480" w:firstLineChars="200"/>
        <w:jc w:val="left"/>
        <w:rPr>
          <w:rFonts w:hAnsi="宋体" w:cs="宋体"/>
          <w:sz w:val="24"/>
          <w:szCs w:val="24"/>
        </w:rPr>
      </w:pPr>
      <w:r>
        <w:rPr>
          <w:rFonts w:hint="eastAsia" w:hAnsi="宋体" w:cs="宋体"/>
          <w:sz w:val="24"/>
          <w:szCs w:val="24"/>
        </w:rPr>
        <w:t>（1）《成都市财政局中国人民银成都分行营业管理部关于印发成都市政府采购应对新冠肺炎疫情促进中小企业发展实施细则的通知》（成财制[2020] 2号）的规定，</w:t>
      </w:r>
      <w:r>
        <w:rPr>
          <w:rFonts w:hAnsi="宋体" w:cs="宋体"/>
          <w:sz w:val="24"/>
          <w:szCs w:val="24"/>
        </w:rPr>
        <w:t>合同签订后</w:t>
      </w:r>
      <w:r>
        <w:rPr>
          <w:rFonts w:hint="eastAsia" w:hAnsi="宋体" w:cs="宋体"/>
          <w:sz w:val="24"/>
          <w:szCs w:val="24"/>
        </w:rPr>
        <w:t>十五个工作日内，甲方（采购人）</w:t>
      </w:r>
      <w:r>
        <w:rPr>
          <w:rFonts w:hAnsi="宋体" w:cs="宋体"/>
          <w:sz w:val="24"/>
          <w:szCs w:val="24"/>
        </w:rPr>
        <w:t>按</w:t>
      </w:r>
      <w:r>
        <w:rPr>
          <w:rFonts w:hint="eastAsia" w:hAnsi="宋体" w:cs="宋体"/>
          <w:sz w:val="24"/>
          <w:szCs w:val="24"/>
        </w:rPr>
        <w:t>采购预算</w:t>
      </w:r>
      <w:r>
        <w:rPr>
          <w:rFonts w:hAnsi="宋体" w:cs="宋体"/>
          <w:sz w:val="24"/>
          <w:szCs w:val="24"/>
        </w:rPr>
        <w:t>的</w:t>
      </w:r>
      <w:r>
        <w:rPr>
          <w:rFonts w:hint="eastAsia" w:hAnsi="宋体" w:cs="宋体"/>
          <w:sz w:val="24"/>
          <w:szCs w:val="24"/>
        </w:rPr>
        <w:t>5</w:t>
      </w:r>
      <w:r>
        <w:rPr>
          <w:rFonts w:hAnsi="宋体" w:cs="宋体"/>
          <w:sz w:val="24"/>
          <w:szCs w:val="24"/>
        </w:rPr>
        <w:t>0%</w:t>
      </w:r>
      <w:r>
        <w:rPr>
          <w:rFonts w:hint="eastAsia" w:hAnsi="宋体" w:cs="宋体"/>
          <w:sz w:val="24"/>
          <w:szCs w:val="24"/>
        </w:rPr>
        <w:t>向乙方（成交供应商）</w:t>
      </w:r>
      <w:r>
        <w:rPr>
          <w:rFonts w:hAnsi="宋体" w:cs="宋体"/>
          <w:sz w:val="24"/>
          <w:szCs w:val="24"/>
        </w:rPr>
        <w:t>支付首付款。</w:t>
      </w:r>
    </w:p>
    <w:p>
      <w:pPr>
        <w:widowControl/>
        <w:spacing w:line="360" w:lineRule="auto"/>
        <w:ind w:firstLine="480" w:firstLineChars="200"/>
        <w:jc w:val="left"/>
        <w:rPr>
          <w:rFonts w:hAnsi="宋体" w:cs="宋体"/>
          <w:sz w:val="24"/>
          <w:szCs w:val="24"/>
        </w:rPr>
      </w:pPr>
      <w:r>
        <w:rPr>
          <w:rFonts w:hint="eastAsia" w:hAnsi="宋体" w:cs="宋体"/>
          <w:sz w:val="24"/>
          <w:szCs w:val="24"/>
        </w:rPr>
        <w:t>（2）</w:t>
      </w:r>
      <w:r>
        <w:rPr>
          <w:rFonts w:hAnsi="宋体" w:cs="宋体"/>
          <w:sz w:val="24"/>
          <w:szCs w:val="24"/>
        </w:rPr>
        <w:t>合同期满</w:t>
      </w:r>
      <w:r>
        <w:rPr>
          <w:rFonts w:hint="eastAsia" w:hAnsi="宋体" w:cs="宋体"/>
          <w:sz w:val="24"/>
          <w:szCs w:val="24"/>
        </w:rPr>
        <w:t>，经验收合格后，按</w:t>
      </w:r>
      <w:r>
        <w:rPr>
          <w:rFonts w:hAnsi="宋体" w:cs="宋体"/>
          <w:sz w:val="24"/>
          <w:szCs w:val="24"/>
        </w:rPr>
        <w:t>完成的实际工作量进行结算，</w:t>
      </w:r>
      <w:r>
        <w:rPr>
          <w:rFonts w:hint="eastAsia" w:hAnsi="宋体" w:cs="宋体"/>
          <w:sz w:val="24"/>
          <w:szCs w:val="24"/>
        </w:rPr>
        <w:t>按完成的实际工作量乘以合同单价进行结算支付尾款。若结算总价低于采购预算的，则按实际工作量结算支付；若结算总价高于采购预算的，则按照采购预算支付。</w:t>
      </w:r>
    </w:p>
    <w:p>
      <w:pPr>
        <w:widowControl/>
        <w:spacing w:line="360" w:lineRule="auto"/>
        <w:ind w:firstLine="482" w:firstLineChars="200"/>
        <w:jc w:val="left"/>
        <w:rPr>
          <w:rFonts w:hAnsi="宋体" w:cs="宋体"/>
          <w:b/>
          <w:bCs/>
          <w:sz w:val="24"/>
          <w:szCs w:val="24"/>
        </w:rPr>
      </w:pPr>
      <w:r>
        <w:rPr>
          <w:rFonts w:hint="eastAsia" w:hAnsi="宋体" w:cs="宋体"/>
          <w:b/>
          <w:bCs/>
          <w:sz w:val="24"/>
          <w:szCs w:val="24"/>
        </w:rPr>
        <w:t>3、</w:t>
      </w:r>
      <w:r>
        <w:rPr>
          <w:rFonts w:hAnsi="宋体" w:cs="宋体"/>
          <w:b/>
          <w:bCs/>
          <w:sz w:val="24"/>
          <w:szCs w:val="24"/>
        </w:rPr>
        <w:t>验收要求</w:t>
      </w:r>
    </w:p>
    <w:p>
      <w:pPr>
        <w:widowControl/>
        <w:spacing w:line="360" w:lineRule="auto"/>
        <w:ind w:firstLine="480" w:firstLineChars="200"/>
        <w:jc w:val="left"/>
        <w:rPr>
          <w:rFonts w:hAnsi="宋体" w:cs="宋体"/>
          <w:sz w:val="24"/>
          <w:szCs w:val="24"/>
        </w:rPr>
      </w:pPr>
      <w:r>
        <w:rPr>
          <w:rFonts w:hAnsi="宋体" w:cs="宋体"/>
          <w:sz w:val="24"/>
          <w:szCs w:val="24"/>
        </w:rPr>
        <w:t>服务期结束后10个工作日内,</w:t>
      </w:r>
      <w:r>
        <w:rPr>
          <w:rFonts w:hint="eastAsia" w:hAnsi="宋体" w:cs="宋体"/>
          <w:sz w:val="24"/>
          <w:szCs w:val="24"/>
        </w:rPr>
        <w:t>成交</w:t>
      </w:r>
      <w:r>
        <w:rPr>
          <w:rFonts w:hAnsi="宋体" w:cs="宋体"/>
          <w:sz w:val="24"/>
          <w:szCs w:val="24"/>
        </w:rPr>
        <w:t>供应商以书面形式向采购</w:t>
      </w:r>
      <w:r>
        <w:rPr>
          <w:rFonts w:hint="eastAsia" w:hAnsi="宋体" w:cs="宋体"/>
          <w:sz w:val="24"/>
          <w:szCs w:val="24"/>
        </w:rPr>
        <w:t>人</w:t>
      </w:r>
      <w:r>
        <w:rPr>
          <w:rFonts w:hAnsi="宋体" w:cs="宋体"/>
          <w:sz w:val="24"/>
          <w:szCs w:val="24"/>
        </w:rPr>
        <w:t>提交年度服务报告和服务考核申请,采购</w:t>
      </w:r>
      <w:r>
        <w:rPr>
          <w:rFonts w:hint="eastAsia" w:hAnsi="宋体" w:cs="宋体"/>
          <w:sz w:val="24"/>
          <w:szCs w:val="24"/>
        </w:rPr>
        <w:t>人</w:t>
      </w:r>
      <w:r>
        <w:rPr>
          <w:rFonts w:hAnsi="宋体" w:cs="宋体"/>
          <w:sz w:val="24"/>
          <w:szCs w:val="24"/>
        </w:rPr>
        <w:t>在项目所在地(即成都市)严格按照政府采购相关法律法规以及</w:t>
      </w:r>
      <w:r>
        <w:rPr>
          <w:rFonts w:hint="eastAsia" w:hAnsi="宋体" w:cs="宋体"/>
          <w:sz w:val="24"/>
          <w:szCs w:val="24"/>
        </w:rPr>
        <w:t>《财政部关于进一步加强政府采购需求和履约验收管理的指导意见》(财库〔2016〕205 号)</w:t>
      </w:r>
      <w:r>
        <w:rPr>
          <w:rFonts w:hAnsi="宋体" w:cs="宋体"/>
          <w:sz w:val="24"/>
          <w:szCs w:val="24"/>
        </w:rPr>
        <w:t>的要求进行验收。</w:t>
      </w:r>
      <w:r>
        <w:rPr>
          <w:rFonts w:hint="eastAsia" w:hAnsi="宋体" w:cs="宋体"/>
          <w:sz w:val="24"/>
          <w:szCs w:val="24"/>
        </w:rPr>
        <w:t xml:space="preserve"> </w:t>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14831"/>
    <w:rsid w:val="5121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eastAsia="宋体"/>
      <w:b/>
      <w:bCs/>
      <w:kern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2021-05-17T06:01:00Z</dcterms:created>
  <dc:creator>坦子</dc:creator>
  <cp:lastModifiedBy>坦子</cp:lastModifiedBy>
  <dcterms:modified xsi:type="dcterms:W3CDTF">2021-05-17T06:02:16Z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D8B73FBBE68C4384AF7938D717394BA8</vt:lpwstr>
  </property>
</Properties>
</file>