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仿宋" w:hAnsi="仿宋" w:eastAsia="仿宋" w:cs="Times New Roman"/>
          <w:highlight w:val="none"/>
        </w:rPr>
      </w:pPr>
      <w:bookmarkStart w:id="0" w:name="_Toc509579144"/>
      <w:bookmarkStart w:id="1" w:name="_Toc66778163"/>
      <w:r>
        <w:rPr>
          <w:rFonts w:hint="eastAsia" w:ascii="仿宋" w:hAnsi="仿宋" w:eastAsia="仿宋" w:cs="仿宋"/>
          <w:highlight w:val="none"/>
        </w:rPr>
        <w:t>采购项目技术、服务、政府采购合同内容条款及其他商务要</w:t>
      </w:r>
      <w:r>
        <w:rPr>
          <w:rFonts w:hint="eastAsia" w:ascii="仿宋" w:hAnsi="仿宋" w:eastAsia="仿宋" w:cs="仿宋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highlight w:val="none"/>
        </w:rPr>
        <w:t>求</w:t>
      </w:r>
      <w:bookmarkEnd w:id="0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一、项目基本情况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材料名称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沥青混凝土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 w:cs="仿宋"/>
          <w:sz w:val="32"/>
          <w:szCs w:val="32"/>
        </w:rPr>
        <w:t>单位：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成都市郫都区公路养护所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92" w:firstLineChars="18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到货</w:t>
      </w:r>
      <w:r>
        <w:rPr>
          <w:rFonts w:hint="eastAsia" w:ascii="仿宋" w:hAnsi="仿宋" w:eastAsia="仿宋" w:cs="仿宋"/>
          <w:sz w:val="32"/>
          <w:szCs w:val="32"/>
        </w:rPr>
        <w:t>地点：成都市郫都区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供应商供货周期为三年，不同规格型号的沥青混凝土预计一年采购量均为408m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，最终以实际需求采购量为准。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二、服务、标准要求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center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1、产品质量必须满足国家相关标准，产品参数必须满足合同规定；                                                     </w:t>
      </w:r>
    </w:p>
    <w:p>
      <w:pPr>
        <w:pStyle w:val="2"/>
        <w:ind w:firstLine="641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2、供应商提供各种型号的配合比，到场材料必须满足配合比，采购人不定期进行材料抽检，对不满足配合比的材料按照合同相应条款处罚；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3、时效性：供应商应按照采购人通知的时间送货，保证送货及时，因供应商原因延迟送货的，按照合同相应条款进行处罚。</w:t>
      </w:r>
      <w:bookmarkStart w:id="2" w:name="_GoBack"/>
      <w:bookmarkEnd w:id="2"/>
    </w:p>
    <w:p>
      <w:pPr>
        <w:ind w:firstLine="641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C5517"/>
    <w:rsid w:val="269C5517"/>
    <w:rsid w:val="39352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2021-08-26T03:33:00Z</dcterms:created>
  <dc:creator>HP</dc:creator>
  <cp:lastModifiedBy>HP</cp:lastModifiedBy>
  <dcterms:modified xsi:type="dcterms:W3CDTF">2021-08-26T03:55:36Z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41FEEF633A0644D887ADB8C249D4EA93</vt:lpwstr>
  </property>
</Properties>
</file>