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Toc217446093"/>
      <w:bookmarkStart w:id="1" w:name="_Toc417658967"/>
      <w:r>
        <w:rPr>
          <w:rFonts w:hint="eastAsia"/>
          <w:sz w:val="36"/>
          <w:szCs w:val="36"/>
          <w:lang w:eastAsia="zh-CN"/>
        </w:rPr>
        <w:t>产品</w:t>
      </w:r>
      <w:r>
        <w:rPr>
          <w:rFonts w:hint="eastAsia"/>
          <w:sz w:val="36"/>
          <w:szCs w:val="36"/>
        </w:rPr>
        <w:t>商务及技术要求</w:t>
      </w:r>
      <w:bookmarkEnd w:id="0"/>
      <w:bookmarkEnd w:id="1"/>
      <w:r>
        <w:rPr>
          <w:rFonts w:hint="eastAsia"/>
          <w:sz w:val="36"/>
          <w:szCs w:val="36"/>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一、项目名称</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 w:val="24"/>
        </w:rPr>
      </w:pPr>
      <w:r>
        <w:rPr>
          <w:rFonts w:hint="eastAsia" w:ascii="宋体" w:hAnsi="宋体"/>
          <w:sz w:val="24"/>
          <w:lang w:eastAsia="zh-CN"/>
        </w:rPr>
        <w:t>成都市郫都区第二人民医院中药饮片采购项目</w:t>
      </w:r>
      <w:r>
        <w:rPr>
          <w:rFonts w:hint="eastAsia" w:ascii="宋体" w:hAnsi="宋体"/>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sz w:val="24"/>
          <w:lang w:eastAsia="zh-CN"/>
        </w:rPr>
      </w:pPr>
      <w:r>
        <w:rPr>
          <w:rFonts w:hint="eastAsia" w:ascii="宋体" w:hAnsi="宋体"/>
          <w:sz w:val="24"/>
          <w:lang w:eastAsia="zh-CN"/>
        </w:rPr>
        <w:t>技术要求：</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微软雅黑" w:hAnsi="微软雅黑" w:cs="Arial"/>
          <w:sz w:val="24"/>
          <w:szCs w:val="24"/>
        </w:rPr>
      </w:pPr>
      <w:r>
        <w:rPr>
          <w:rFonts w:hint="eastAsia" w:ascii="微软雅黑" w:hAnsi="微软雅黑" w:cs="Arial"/>
          <w:sz w:val="24"/>
          <w:szCs w:val="24"/>
        </w:rPr>
        <w:t>概述：</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微软雅黑" w:hAnsi="微软雅黑" w:cs="Arial"/>
          <w:sz w:val="24"/>
          <w:szCs w:val="24"/>
          <w:lang w:val="en-US" w:eastAsia="zh-CN"/>
        </w:rPr>
      </w:pPr>
      <w:r>
        <w:rPr>
          <w:rFonts w:hint="eastAsia" w:ascii="微软雅黑" w:hAnsi="微软雅黑" w:cs="Arial"/>
          <w:sz w:val="24"/>
          <w:szCs w:val="24"/>
          <w:lang w:eastAsia="zh-CN"/>
        </w:rPr>
        <w:t>成都市郫都区第二人民医院拟采购中药饮片一批，共</w:t>
      </w:r>
      <w:r>
        <w:rPr>
          <w:rFonts w:hint="eastAsia" w:ascii="微软雅黑" w:hAnsi="微软雅黑" w:cs="Arial"/>
          <w:sz w:val="24"/>
          <w:szCs w:val="24"/>
          <w:lang w:val="en-US" w:eastAsia="zh-CN"/>
        </w:rPr>
        <w:t>1个包。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项目要求</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质量要求: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1、供应商须严格按照《中华人民共和国药典》(2015年版)、《四川省中药材标准》(2010年版)、《中华人民共和国药典临床用药须知(中药饮片卷) ) (2015年版) 及《四川省中药饮片炮制规范》(2015 年版)标准执行。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药饮片符合国家相关文件要求，符合医院用药习惯和招标要求执行；中药饮片不得出现霉变、走油、变色、虫蛀、酸败等现象。有效成分、含水量、杂质、灰分、非药用部位、辅料、重金属含量、农药残留量等应符合标准要求；饮片外观整洁，不得出现碎颗粒太多的情况；中药饮片必须包装严密，包装袋(箱)应干净、结实、无破损、封口严密，方便储存、运输和使用，包装上须注明:品名、规格、数量(装量)、产地、供应单位(生产企业)、批号、生产日期、执行标准、质量合格标志等。</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每批次中药饮片都须提供质量检测报告。</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成交后成交供应商提供中药饮片样品备查1年。 成交供应商必须交付与样品相同的中药饮片，入库验收时如发现与成交留样不相符的，按退货处理并终止合同（若涉及）。</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供应商或中药饮片生产厂家需具有保障中药饮片质量安全的仓储条件、有标本室或留样室，质检设施完备(需提供质量管理制度及记录)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（二）、验收要求:</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成交供应商在指定的时间和地点交付产地、质量、包装、有效期等均符合条件的中药饮片。</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采购人组建中药饮片质量监督组，负贵对中药饮片进行全面质量检查，重点抽查易霉变、虫蛙、结串、走油的品种，对质量不符合(中华人民共和国药典》(2015年版)、 (四川省中药材标准》(2010年版) 、(中华人民共和国药典临床用药须知(中药饮片卷) )(2015年版)及(四川省中药饮片炮制规范》(2015 年版)要求的，采购人有权拒绝接收，并要求对产品立即退、换、补，成交供应商应在3天内进行更换、补充、并不得影响采购人的临床用药。发现相同饮片品种不符合要求达三次，采购人有权对成交供应商所供品种进行调整，否则，采购人有权终止合同并要求成交供应商对其所造成的损失进行赔偿。</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果采购人在临床使用中发现中药饮片不符合质量要求(含出现严重的临床反应时)，需要进行中药饮片质量检验，应及时以书面形式把质量检验要求通知成交供应商。如果检验证明中药饮片存在质量问题，则检验费用由成交供应商承担，成交供应商应在3天内进行更换、补充、并不得影响采购人的临床用药。否则，采购人有权终止合同，并要求成交供应商对其所造成的损失进行赔偿。中药饮片质量检验在采购人所在地药检部门进行。</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药饮片出现质量问题(包装、标签、等级、内在质量问题)，成交供应商必须收回并更换合格中药饮片；由于药检部门抽检出现中药饮片不合格的，成交供应商必领付经济和法律责任；如因中药饮片质量问题引起药政管理方面的问题，由成交供应商负连带责任；由于中药饮片质量引起医疗纠纷，成交供应商必须负连带责任。</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成交后将按采购人要求保留部分样品、多人验收、 定期抽查等措施以确保饮片质量的稳定。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（三）、配送服务要求: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所有中药饮片配送必须实行专车专人定点配送，按规定送到采购人指定的库房，并按存放要求堆放整齐。</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车辆配置要求: 供应商需提供至少1辆车辆对中药饮片进行配送(需提供有效的行驶证复印件及车辆管理制度，非供应商自有车辆还需提供车辆租赁协议)。</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人员配置要求: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3.1针对本项目至少配备2名配送人员(不含售后服务人员)(需提供人员身份证复印件、有效的驾驶证复印件及本单位劳动合同复印件)备注:配送人员至少包含1名驾驶员。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3.2提供配送人员三年内无犯罪、吸毒史的承诺书。</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配送时间要求:供应商应配备足够数量的中药饮片，按医院下达计划，提供中药饮片品种、规格和数量，务必在48小时内运至医院指定地点，急需中药饮片原则上须在8小时内送达，节假日照常配送，如未及时供货对采购方造成的经济损失等，将追究成交供应商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（四）、服务方案要求:</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配送方案要求:</w:t>
      </w:r>
    </w:p>
    <w:p>
      <w:pPr>
        <w:keepNext w:val="0"/>
        <w:keepLines w:val="0"/>
        <w:pageBreakBefore w:val="0"/>
        <w:widowControl w:val="0"/>
        <w:numPr>
          <w:ilvl w:val="1"/>
          <w:numId w:val="8"/>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具有规范、安全的采购流程</w:t>
      </w:r>
    </w:p>
    <w:p>
      <w:pPr>
        <w:keepNext w:val="0"/>
        <w:keepLines w:val="0"/>
        <w:pageBreakBefore w:val="0"/>
        <w:widowControl w:val="0"/>
        <w:numPr>
          <w:ilvl w:val="1"/>
          <w:numId w:val="8"/>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具有规范的出入库管理制度</w:t>
      </w:r>
    </w:p>
    <w:p>
      <w:pPr>
        <w:keepNext w:val="0"/>
        <w:keepLines w:val="0"/>
        <w:pageBreakBefore w:val="0"/>
        <w:widowControl w:val="0"/>
        <w:numPr>
          <w:ilvl w:val="1"/>
          <w:numId w:val="8"/>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具有完整的配送流程</w:t>
      </w:r>
    </w:p>
    <w:p>
      <w:pPr>
        <w:keepNext w:val="0"/>
        <w:keepLines w:val="0"/>
        <w:pageBreakBefore w:val="0"/>
        <w:widowControl w:val="0"/>
        <w:numPr>
          <w:ilvl w:val="1"/>
          <w:numId w:val="8"/>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具有明确的配送人员的分工职责</w:t>
      </w:r>
    </w:p>
    <w:p>
      <w:pPr>
        <w:keepNext w:val="0"/>
        <w:keepLines w:val="0"/>
        <w:pageBreakBefore w:val="0"/>
        <w:widowControl w:val="0"/>
        <w:numPr>
          <w:ilvl w:val="1"/>
          <w:numId w:val="8"/>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具有完善的沟通机制，能保证在项目实施过程中与采购人沟通顺畅</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应急措施要求:</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1、运输中的突发应急措施(包含:对运输途中突发状况的描述及对发生突发状况的处理方案)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2.2、因问题产品引发的医疗事故应急措施(包含:因问题产品引发的医疗事故的处理方案及保障措施)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 临时配送的应急措施(如何保证采购人临时配送要求的应急方案，方案中至少包含能保证本项目临时配送要求的配送网点的地点及产品库存的数量等)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2.4、其他应急措施(供应商提出其他具有前瞻性的应急措施)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质量保障要求: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1、对本项目相关的政策法规的描述(包含:中华人民共和国药典》(2015版)、 《四川省中药材标准》(2010年版) 、《中华人民共和国药典临床用药须知(中药饮片卷)》(2015年版)及《四川省中药饮片炮制规范》(2015 版)等相关政策法规，同时针对本项目的相关法律标准列表说明本项目所投包号所有中药饮片的质量标准)。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3.2、检验检测保障(包含检验检测制度或委托第三方检验的相关制度)。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3.3、生产及炮制工艺(包含:产品炮制工艺并列表说明所投包号产品的炮制方法。如:蒸制、切制、盐炙、净制等)。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3.4、中药饮片仓储保障: (具有完善的仓储保障制度及仓储条件:提供仓储场地平面图)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3.5、中药饮片退换方案: (针对本项目所制定的中药饮片退换货方案)。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3.6、质量保障制度:提供供应商内部的质量保障制度。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3.7、供应商或中药饮片生产厂家需具有保障中药饮片质量安全的仓储条件、有标本室或留样室，质检设施完备(需提供质量管理制度及记录)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（五）、商务要求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1.交货期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1.1、签订合同后按合同和磋商文件约定的要求和标准进行交货验收。交货期为每批次中药饮片接到用户通知后48小时内。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1.2、由于供应商的原因未能按时交货的，每迟一天罚合同总额的0.5%；如超过供货期30天，将终止合同并通过法律程序对供应商进行索赔。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1.3、交货地点：成都市郫都区第二人民医院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2.付款方式: 当批次中药饮片全部到指定地点交付并验收合格及提供全额发票后90天内支付当批次中药饮片全额款项。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3.售后服务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稳定的售后服务点。如中药饮片出现质量问题，成交供应商须在接到采购人通知后及时响应，并在12小时内到达现场进行更换和相关的技术服务，并对由此引起的医疗或法律纠纷完全负责，并全额赔偿由此引起的经济赔偿。</w:t>
      </w: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（六）其它要求</w:t>
      </w:r>
    </w:p>
    <w:p>
      <w:pPr>
        <w:pStyle w:val="2"/>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1、本次采购数量为1年使用量（合同签订之日起1年），采购人有权根据实际使用情况对所需品种或数量进行调整。</w:t>
      </w:r>
    </w:p>
    <w:p>
      <w:pPr>
        <w:pStyle w:val="2"/>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2、本项目列明的采购数量为预估数量，结算以单价作为依据，根据各投标单价和实际使用数量进行财务结算。</w:t>
      </w:r>
    </w:p>
    <w:p>
      <w:pPr>
        <w:pStyle w:val="2"/>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3、成交供应商在服务期内，因自身原因造成采购合同终止，产生的所有经济损失由成交供应商自行承担，如给采购人造成经济损失，采购方将依法追究其法律责任。</w:t>
      </w:r>
    </w:p>
    <w:p>
      <w:pPr>
        <w:pStyle w:val="2"/>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4、成交供应商必须严格执行中药的有关物价政策，因不符合国家相关价格政策造成的后果由成交供应商自行承担。若遇国家重大政策调整影响合同执行的情况，双方共同友好解决。</w:t>
      </w:r>
    </w:p>
    <w:p>
      <w:pPr>
        <w:pStyle w:val="2"/>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成交供应商应承诺能够按照配送服务合同及采购人需求的中药饮片品种、质量、价格及时供货，如成交后不能满足采购人需求，直接影响采购方人工作，对采购人造成直接或间接经济损失及负面影响，成交供应商按照相关法律法规承担赔偿责任，采购人有权终止合同。</w:t>
      </w:r>
    </w:p>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ascii="微软雅黑" w:hAnsi="微软雅黑" w:cs="Arial"/>
          <w:b/>
          <w:bCs/>
          <w:sz w:val="24"/>
          <w:szCs w:val="24"/>
        </w:rPr>
      </w:pPr>
      <w:r>
        <w:rPr>
          <w:rFonts w:hint="eastAsia" w:ascii="微软雅黑" w:hAnsi="微软雅黑" w:cs="Arial"/>
          <w:b/>
          <w:bCs/>
          <w:sz w:val="24"/>
          <w:szCs w:val="24"/>
          <w:lang w:eastAsia="zh-CN"/>
        </w:rPr>
        <w:t>三、</w:t>
      </w:r>
      <w:r>
        <w:rPr>
          <w:rFonts w:hint="eastAsia" w:ascii="微软雅黑" w:hAnsi="微软雅黑" w:cs="Arial"/>
          <w:b/>
          <w:bCs/>
          <w:sz w:val="24"/>
          <w:szCs w:val="24"/>
        </w:rPr>
        <w:t>技术规格及要求：</w:t>
      </w:r>
    </w:p>
    <w:p>
      <w:pPr>
        <w:pStyle w:val="3"/>
        <w:tabs>
          <w:tab w:val="left" w:pos="600"/>
        </w:tabs>
        <w:spacing w:line="400" w:lineRule="exact"/>
        <w:ind w:left="0" w:leftChars="0" w:firstLine="0" w:firstLineChars="0"/>
        <w:jc w:val="both"/>
        <w:rPr>
          <w:rFonts w:hint="eastAsia" w:ascii="宋体"/>
          <w:color w:val="auto"/>
          <w:sz w:val="24"/>
          <w:szCs w:val="24"/>
          <w:highlight w:val="none"/>
          <w:lang w:val="en-US" w:eastAsia="zh-CN"/>
        </w:rPr>
      </w:pPr>
    </w:p>
    <w:tbl>
      <w:tblPr>
        <w:tblStyle w:val="4"/>
        <w:tblW w:w="4999" w:type="pct"/>
        <w:tblInd w:w="0" w:type="dxa"/>
        <w:tblLayout w:type="autofit"/>
        <w:tblCellMar>
          <w:top w:w="0" w:type="dxa"/>
          <w:left w:w="108" w:type="dxa"/>
          <w:bottom w:w="0" w:type="dxa"/>
          <w:right w:w="108" w:type="dxa"/>
        </w:tblCellMar>
      </w:tblPr>
      <w:tblGrid>
        <w:gridCol w:w="1825"/>
        <w:gridCol w:w="1826"/>
        <w:gridCol w:w="1826"/>
        <w:gridCol w:w="3043"/>
      </w:tblGrid>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bookmarkStart w:id="2" w:name="_GoBack"/>
            <w:r>
              <w:rPr>
                <w:rFonts w:hint="eastAsia" w:ascii="宋体" w:hAnsi="宋体" w:eastAsia="宋体" w:cs="宋体"/>
                <w:i w:val="0"/>
                <w:iCs w:val="0"/>
                <w:color w:val="auto"/>
                <w:kern w:val="0"/>
                <w:sz w:val="18"/>
                <w:szCs w:val="18"/>
                <w:u w:val="none"/>
                <w:lang w:val="en-US" w:eastAsia="zh-CN" w:bidi="ar"/>
              </w:rPr>
              <w:t>序号</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品名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采购数量</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人参片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红参片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川贝母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  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  七</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三七粉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川明参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西洋参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隔山撬</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竹节参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  楼</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醋延胡索</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  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何首乌</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制何首乌</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麻黄根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徐长卿</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法半夏</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酒肉苁蓉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甘草片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炙甘草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  芪</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炙黄芪</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山药片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桂  枝</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烫狗脊</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姜  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薤  白</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桔  梗</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  风</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酒黄连</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酒黄芩</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板蓝根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  胆</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北沙参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南沙参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秦  艽</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  芷</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粉  葛</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  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藁本片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  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胡黄连</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羌  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独  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  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盐泽泻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麦  冬</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  冬</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酒黄精</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赤  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  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当  归</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酒川芎</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麸炒苍术</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  术</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麸炒白术</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天花粉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玉  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酒丹参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党参片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太子参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酒川牛膝</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  膝</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生地黄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玄  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  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莪  术</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干石斛</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醋香附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郁  金</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烫骨碎补</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金荞麦</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威灵仙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  胡</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  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高良姜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土茯苓</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盐知母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酒续断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北柴胡</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醋北柴胡</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油松节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  及</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桑  枝</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皂角刺</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新疆紫草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芦  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虎  杖</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藕  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白头翁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灯心草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  辛</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白茅根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过山龙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茜草炭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千年健</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浙贝母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  合</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射  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石菖蒲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山豆根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苦  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地榆炭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绵马贯众炭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萆  薢</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  部</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蜜百部</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炮  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蜜白前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蜜紫菀</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制远志</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黑顺片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白附片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制川乌</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制川乌</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制天南星</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制白附子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  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酒大黄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川射干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盐益智仁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楮实子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炒楮实子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肉桂子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青葙子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桑  椹</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燀苦杏仁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浮小麦</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炒蔓荆子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麸炒枳壳</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炒牛蒡子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炒蒺藜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炒酸枣仁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柏子仁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  翘</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佛  手</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麸炒陈皮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  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盐荔枝核</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盐橘核</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山萸肉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炒紫苏子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炒芥子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炒莱菔子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炒葶苈子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赤小豆</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炒白扁豆</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炒冬瓜子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稻  芽</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炒稻芽</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麦  芽</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炒麦芽</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净山楂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焦山楂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槟  榔</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瓜蒌子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蜜瓜蒌皮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  枣</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  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西青果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薏苡仁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燀桃仁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盐车前子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芡  实</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酒女贞子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炒决明子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路路通</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石榴皮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炒苍耳子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栀  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炒栀子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焦栀子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大腹皮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蜜槐角</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地肤子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木蝴蝶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蛇床子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豆  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麸炒枳实</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炒川楝子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炒火麻仁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郁李仁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草豆蔻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红豆蔻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冬葵果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茺蔚子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制吴茱萸</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盐小茴香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炒白果仁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炒王不留行</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草果仁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盐菟丝子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盐补骨脂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麸煨肉豆蔻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覆盆子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诃  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乌  梅</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金樱子肉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枸杞子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醋五味子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  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盐韭菜子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夏枯草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丝瓜络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密蒙花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  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谷精草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寻骨风</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炒辛夷</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炙淫羊藿</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  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淡竹叶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大青叶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金银花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紫苏叶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桑  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菊  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  韦</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蜜枇杷叶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炒槐花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番泻叶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蜜旋复花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蒲  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蒲黄炭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蜜款冬花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  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侧柏炭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丁  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野菊花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秦  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海桐皮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合欢皮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牡丹皮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地骨皮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盐杜仲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  柏</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盐黄柏</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白鲜皮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蜜桑白皮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肉  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紫荆皮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姜厚朴</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红毛五加皮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  木</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鸡血藤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茯神木</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首乌藤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桑寄生</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灵仙藤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大血藤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川木通</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鸡矢藤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忍冬藤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石南藤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钩  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络石藤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  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墨旱莲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千里光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鹿衔草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茵  陈</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金钱草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荆  芥</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藿  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干鱼腥草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蒲公英</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瞿  麦</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  蒿</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泽  兰</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薄  荷</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萹  蓄</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干益母草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紫花地丁</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草红藤</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白花蛇舌草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夏枯全草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香  薷</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佩  兰</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  蓟</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大蓟炭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伸筋草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舒筋草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小蓟炭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马鞭草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  贼</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豨签草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败酱草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蜜麻绒</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马齿苋</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矮地茶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鹿  角</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  蝎</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蜈  蚣</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烫水蛭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酒乌梢蛇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炒僵蚕</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  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水牛角</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桑螵蛸</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海螵蛸</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煅牡蛎</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  骨</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炒鸡内金</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蝉  蜕</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醋五灵脂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蚕  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血余炭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煅石决明</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煅瓦楞子</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煅珍珠母</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  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龟甲胶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鹿角胶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鹿角霜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蜂  房</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醋鳖甲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醋龟甲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土鳖虫</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金钱白花蛇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美洲大蠊</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龙血竭</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醋乳香</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醋没药</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浮  石</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赤石脂</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  矾</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枯  矾</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煅赭石</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煅磁石</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琥  珀</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段自然铜</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343</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南寒水石</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生石膏</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煅石膏</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滑  石</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茯  苓</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猪  苓</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灵  芝</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茯苓皮</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  藻</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  布</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354</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川西马勃</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355</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胆南星</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356</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淡豆豉</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357</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大豆黄卷</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358</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炒建曲</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359</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芦  荟</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  茶</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361</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  片</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362</w:t>
            </w:r>
          </w:p>
        </w:tc>
        <w:tc>
          <w:tcPr>
            <w:tcW w:w="10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  黛</w:t>
            </w:r>
          </w:p>
        </w:tc>
        <w:tc>
          <w:tcPr>
            <w:tcW w:w="10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r>
      <w:tr>
        <w:tblPrEx>
          <w:tblCellMar>
            <w:top w:w="0" w:type="dxa"/>
            <w:left w:w="108" w:type="dxa"/>
            <w:bottom w:w="0" w:type="dxa"/>
            <w:right w:w="108" w:type="dxa"/>
          </w:tblCellMar>
        </w:tblPrEx>
        <w:trPr>
          <w:trHeight w:val="499" w:hRule="atLeast"/>
        </w:trPr>
        <w:tc>
          <w:tcPr>
            <w:tcW w:w="1071"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107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  马</w:t>
            </w:r>
          </w:p>
        </w:tc>
        <w:tc>
          <w:tcPr>
            <w:tcW w:w="1071"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785"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w:t>
            </w:r>
          </w:p>
        </w:tc>
      </w:tr>
      <w:bookmarkEnd w:id="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2C2C4"/>
    <w:multiLevelType w:val="singleLevel"/>
    <w:tmpl w:val="9942C2C4"/>
    <w:lvl w:ilvl="0" w:tentative="0">
      <w:start w:val="1"/>
      <w:numFmt w:val="decimal"/>
      <w:lvlText w:val="%1."/>
      <w:lvlJc w:val="left"/>
      <w:pPr>
        <w:tabs>
          <w:tab w:val="left" w:pos="312"/>
        </w:tabs>
      </w:pPr>
    </w:lvl>
  </w:abstractNum>
  <w:abstractNum w:abstractNumId="1">
    <w:nsid w:val="B316B1D2"/>
    <w:multiLevelType w:val="singleLevel"/>
    <w:tmpl w:val="B316B1D2"/>
    <w:lvl w:ilvl="0" w:tentative="0">
      <w:start w:val="2"/>
      <w:numFmt w:val="chineseCounting"/>
      <w:suff w:val="nothing"/>
      <w:lvlText w:val="%1、"/>
      <w:lvlJc w:val="left"/>
      <w:rPr>
        <w:rFonts w:hint="eastAsia"/>
      </w:rPr>
    </w:lvl>
  </w:abstractNum>
  <w:abstractNum w:abstractNumId="2">
    <w:nsid w:val="B4DA9AE1"/>
    <w:multiLevelType w:val="singleLevel"/>
    <w:tmpl w:val="B4DA9AE1"/>
    <w:lvl w:ilvl="0" w:tentative="0">
      <w:start w:val="1"/>
      <w:numFmt w:val="chineseCounting"/>
      <w:suff w:val="nothing"/>
      <w:lvlText w:val="（%1）"/>
      <w:lvlJc w:val="left"/>
      <w:rPr>
        <w:rFonts w:hint="eastAsia"/>
      </w:rPr>
    </w:lvl>
  </w:abstractNum>
  <w:abstractNum w:abstractNumId="3">
    <w:nsid w:val="06F69049"/>
    <w:multiLevelType w:val="multilevel"/>
    <w:tmpl w:val="06F69049"/>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192B30A2"/>
    <w:multiLevelType w:val="singleLevel"/>
    <w:tmpl w:val="192B30A2"/>
    <w:lvl w:ilvl="0" w:tentative="0">
      <w:start w:val="1"/>
      <w:numFmt w:val="decimal"/>
      <w:suff w:val="nothing"/>
      <w:lvlText w:val="%1、"/>
      <w:lvlJc w:val="left"/>
    </w:lvl>
  </w:abstractNum>
  <w:abstractNum w:abstractNumId="5">
    <w:nsid w:val="35779454"/>
    <w:multiLevelType w:val="singleLevel"/>
    <w:tmpl w:val="35779454"/>
    <w:lvl w:ilvl="0" w:tentative="0">
      <w:start w:val="4"/>
      <w:numFmt w:val="decimal"/>
      <w:suff w:val="nothing"/>
      <w:lvlText w:val="%1、"/>
      <w:lvlJc w:val="left"/>
    </w:lvl>
  </w:abstractNum>
  <w:abstractNum w:abstractNumId="6">
    <w:nsid w:val="46493869"/>
    <w:multiLevelType w:val="singleLevel"/>
    <w:tmpl w:val="46493869"/>
    <w:lvl w:ilvl="0" w:tentative="0">
      <w:start w:val="1"/>
      <w:numFmt w:val="decimal"/>
      <w:lvlText w:val="%1."/>
      <w:lvlJc w:val="left"/>
      <w:pPr>
        <w:tabs>
          <w:tab w:val="left" w:pos="312"/>
        </w:tabs>
      </w:pPr>
    </w:lvl>
  </w:abstractNum>
  <w:abstractNum w:abstractNumId="7">
    <w:nsid w:val="7EAB4100"/>
    <w:multiLevelType w:val="singleLevel"/>
    <w:tmpl w:val="7EAB4100"/>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21E1B"/>
    <w:rsid w:val="5CB2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rFonts w:ascii="Calibri" w:hAnsi="Calibri" w:eastAsia="黑体"/>
      <w:b/>
      <w:bCs/>
      <w:kern w:val="0"/>
      <w:sz w:val="32"/>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630"/>
    </w:pPr>
    <w:rPr>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2021-05-27T06:24:00Z</dcterms:created>
  <dc:creator>Administrator</dc:creator>
  <cp:lastModifiedBy>Administrator</cp:lastModifiedBy>
  <dcterms:modified xsi:type="dcterms:W3CDTF">2021-05-27T06:27:14Z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378F019A65CC4AE08CBCD2E02CF55762</vt:lpwstr>
  </property>
</Properties>
</file>