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hint="eastAsia" w:ascii="仿宋" w:hAnsi="仿宋" w:eastAsia="仿宋" w:cs="仿宋"/>
          <w:color w:val="auto"/>
        </w:rPr>
      </w:pPr>
      <w:bookmarkStart w:id="0" w:name="_Toc30528"/>
      <w:bookmarkStart w:id="1" w:name="_Toc14906"/>
      <w:r>
        <w:rPr>
          <w:rFonts w:hint="eastAsia" w:ascii="仿宋" w:hAnsi="仿宋" w:eastAsia="仿宋" w:cs="仿宋"/>
          <w:color w:val="auto"/>
        </w:rPr>
        <w:t>第三章 项目技术、服务、政府采购合同内容条款及其他商务要求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本项目为中国共产主义青年团成都市青白江区委员会202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年专职青少年事务社工劳务管理服务采购，预算金额：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65万元。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标的名称及所属行业：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7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  <w:t>标的名称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20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  <w:t>2021年专职青少年事务社工劳务管理服务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/>
              </w:rPr>
              <w:t>租赁和商务服务业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二、服务内容及要求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（一）负责社保、住房公积金缴纳，薪酬（日常工资、考核奖金等）发放，税务办理，劳务纠纷处理，业务培训等工作；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（二）全年社工人数上限为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12人，期间如遇离职或辞退等情况，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按共青团成都市青白江区委员会实际工作安排协助开展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补录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补录招聘人员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条件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具有大专以上学历，年龄一般不超过35周岁；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具有一年以上青少年事务社会工作相关经验；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一般应取得助理社会工作师（含）以上社会工作者职业水平证书。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工作能力突出者，资格证考取时限可予以放宽。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2、社工招聘流程及要求：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（1）由供应商按要求统一发布招募信息；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（2）人员面试共分为两轮，第一轮由供应商组织应聘者开展面试，方式不限；第二轮由采购人按需要开展面试；</w:t>
      </w: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（3）供应商需配合开展应聘信息发布、人员入职手续办理、入职培训等。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岗位职责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：青少年事务社工由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委派，在镇（街道）团（工）委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或管委会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具体指导下，配合做好以下工作：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基础团务工作。按照《团章》及团内相关制度规定要求，配合镇（街道）团（工）委负责人做好辖区团情统计、团费收缴、团组织关系转接、“智慧团建”数据录入等基础工作；督促指导镇（街道）直属基层团组织规范团员发展、教育、管理，严格落实“三会两制一课”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城乡区域化团建工作。配合镇（街道）团（工）委负责人开展“青年工作共建委员会”日常工作，推动辖区内组织共建、资源共享、阵地共用、工作联动；加强辖区内非公有制经济组织和社会组织团建工作，不断扩大团的组织和工作覆盖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）基层阵地建设。线下负责所在镇（街道）“青年之家”综合服务平台运营管理；线上负责所在镇（街道）“青年像素计划”工作的统筹推进；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）直接联系青年。经常性开展走访调研，深入社区、楼宇、院落、园区，主动联系青年，重点掌握区域内团组织建设情况和团员青年实际情况，宣传推介共青团品牌工作，收集听取青年意见建议；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）通过“蓉青社工”信息管理平台报送工作信息及专项工作推进情况；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）完成上级团组织交办的其他工作任务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其他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根据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社工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实际需求开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入职、离职、收入等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相关工作证明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182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其他未尽事宜按照国家、省、市有关法律法规和政策规定执行。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9" w:firstLineChars="182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注：“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”为实质性要求，不用作评分，如有负偏离视为无效响应。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三、商务要求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1、服务时间：合同签订之日起一年。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2、服务地点：采购人指定地点。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3、支付方式：签订合同时约定。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4、履约保证金：交款金额、交款方式、交款时间、收款单位、开户行、银行账号签订合同时同采购人约定。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5、验收方法和标准：采购人与供应商应严格按照四川省财政厅《财政部关于进一步加强政府采购需求和履约验收管理的指导意见》（财库〔2016〕205号）相关要求组织验收。</w:t>
      </w:r>
    </w:p>
    <w:p>
      <w:pPr>
        <w:ind w:firstLine="562" w:firstLineChars="200"/>
      </w:pPr>
      <w:bookmarkStart w:id="2" w:name="_Toc1012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四、其他未尽事宜按双方合同约定。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D651A"/>
    <w:rsid w:val="3AC8793D"/>
    <w:rsid w:val="6CA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Calibri" w:hAnsi="Calibri" w:cs="Times New Roman"/>
      <w:b/>
      <w:sz w:val="32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/>
      <w:b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5"/>
      </w:tabs>
      <w:jc w:val="left"/>
    </w:pPr>
    <w:rPr>
      <w:rFonts w:ascii="Calibri" w:hAnsi="Calibri" w:cs="Times New Roman"/>
      <w:kern w:val="1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rFonts w:ascii="Calibri" w:hAnsi="Calibri" w:cs="Times New Roman"/>
      <w:kern w:val="1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2021-06-17T07:26:00Z</dcterms:created>
  <dc:creator>郑</dc:creator>
  <cp:lastModifiedBy>郑</cp:lastModifiedBy>
  <dcterms:modified xsi:type="dcterms:W3CDTF">2021-06-17T08:29:49Z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