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spacing w:after="0" w:line="360" w:lineRule="auto"/>
        <w:jc w:val="center"/>
        <w:rPr>
          <w:rFonts w:hint="eastAsia" w:ascii="仿宋" w:hAnsi="仿宋" w:eastAsia="仿宋" w:cs="仿宋"/>
          <w:b/>
          <w:color w:val="auto"/>
          <w:sz w:val="48"/>
          <w:szCs w:val="48"/>
          <w:highlight w:val="none"/>
          <w:lang w:val="zh-CN"/>
        </w:rPr>
      </w:pPr>
    </w:p>
    <w:p>
      <w:pPr>
        <w:spacing w:line="360" w:lineRule="auto"/>
        <w:jc w:val="center"/>
        <w:rPr>
          <w:rFonts w:hint="eastAsia" w:ascii="仿宋" w:hAnsi="仿宋" w:eastAsia="仿宋" w:cs="仿宋"/>
          <w:b/>
          <w:bCs/>
          <w:color w:val="auto"/>
          <w:sz w:val="52"/>
          <w:szCs w:val="52"/>
          <w:highlight w:val="none"/>
        </w:rPr>
      </w:pPr>
      <w:r>
        <w:rPr>
          <w:rFonts w:hint="eastAsia" w:ascii="仿宋" w:hAnsi="仿宋" w:eastAsia="仿宋" w:cs="仿宋"/>
          <w:color w:val="auto"/>
          <w:highlight w:val="none"/>
          <w:lang w:val="en-US" w:eastAsia="zh-CN"/>
        </w:rPr>
        <w:t xml:space="preserve"> </w:t>
      </w:r>
    </w:p>
    <w:p>
      <w:pPr>
        <w:jc w:val="center"/>
        <w:rPr>
          <w:rFonts w:hint="eastAsia" w:ascii="仿宋" w:hAnsi="仿宋" w:eastAsia="仿宋" w:cs="仿宋"/>
          <w:color w:val="auto"/>
          <w:lang w:val="en-US"/>
        </w:rPr>
      </w:pPr>
      <w:r>
        <w:rPr>
          <w:rFonts w:hint="eastAsia" w:ascii="仿宋" w:hAnsi="仿宋" w:eastAsia="仿宋" w:cs="仿宋"/>
          <w:b/>
          <w:bCs/>
          <w:color w:val="auto"/>
          <w:sz w:val="52"/>
          <w:szCs w:val="52"/>
          <w:highlight w:val="none"/>
          <w:lang w:eastAsia="zh-CN"/>
        </w:rPr>
        <w:t>成都市双流区中医医院其他货物</w:t>
      </w:r>
      <w:r>
        <w:rPr>
          <w:rFonts w:hint="eastAsia" w:ascii="仿宋" w:hAnsi="仿宋" w:eastAsia="仿宋" w:cs="仿宋"/>
          <w:b/>
          <w:bCs/>
          <w:color w:val="auto"/>
          <w:sz w:val="52"/>
          <w:szCs w:val="52"/>
          <w:highlight w:val="none"/>
          <w:lang w:val="en-US" w:eastAsia="zh-CN"/>
        </w:rPr>
        <w:t>采购项目</w:t>
      </w:r>
    </w:p>
    <w:p>
      <w:pPr>
        <w:spacing w:line="360" w:lineRule="auto"/>
        <w:jc w:val="center"/>
        <w:rPr>
          <w:rFonts w:hint="eastAsia" w:ascii="仿宋" w:hAnsi="仿宋" w:eastAsia="仿宋" w:cs="仿宋"/>
          <w:b/>
          <w:bCs/>
          <w:color w:val="auto"/>
          <w:sz w:val="36"/>
          <w:szCs w:val="36"/>
          <w:highlight w:val="none"/>
        </w:rPr>
      </w:pPr>
    </w:p>
    <w:p>
      <w:pPr>
        <w:spacing w:line="360" w:lineRule="auto"/>
        <w:jc w:val="center"/>
        <w:rPr>
          <w:rFonts w:hint="eastAsia" w:ascii="仿宋" w:hAnsi="仿宋" w:eastAsia="仿宋" w:cs="仿宋"/>
          <w:b/>
          <w:bCs/>
          <w:color w:val="auto"/>
          <w:sz w:val="72"/>
          <w:szCs w:val="72"/>
          <w:highlight w:val="none"/>
          <w:lang w:eastAsia="zh-CN"/>
        </w:rPr>
      </w:pPr>
      <w:r>
        <w:rPr>
          <w:rFonts w:hint="eastAsia" w:ascii="仿宋" w:hAnsi="仿宋" w:eastAsia="仿宋" w:cs="仿宋"/>
          <w:b/>
          <w:bCs/>
          <w:color w:val="auto"/>
          <w:sz w:val="36"/>
          <w:szCs w:val="36"/>
          <w:highlight w:val="none"/>
        </w:rPr>
        <w:t>采购编号：</w:t>
      </w:r>
      <w:r>
        <w:rPr>
          <w:rFonts w:hint="eastAsia" w:ascii="仿宋" w:hAnsi="仿宋" w:eastAsia="仿宋" w:cs="仿宋"/>
          <w:b/>
          <w:bCs/>
          <w:color w:val="auto"/>
          <w:sz w:val="36"/>
          <w:szCs w:val="36"/>
          <w:highlight w:val="none"/>
          <w:lang w:eastAsia="zh-CN"/>
        </w:rPr>
        <w:t>510122202100522</w:t>
      </w:r>
    </w:p>
    <w:p>
      <w:pPr>
        <w:rPr>
          <w:rFonts w:hint="eastAsia" w:ascii="仿宋" w:hAnsi="仿宋" w:eastAsia="仿宋" w:cs="仿宋"/>
          <w:b/>
          <w:bCs/>
          <w:color w:val="auto"/>
          <w:sz w:val="52"/>
          <w:szCs w:val="52"/>
          <w:highlight w:val="none"/>
        </w:rPr>
      </w:pPr>
    </w:p>
    <w:p>
      <w:pPr>
        <w:pStyle w:val="9"/>
        <w:rPr>
          <w:rFonts w:hint="eastAsia" w:ascii="仿宋" w:hAnsi="仿宋" w:eastAsia="仿宋" w:cs="仿宋"/>
          <w:b/>
          <w:bCs/>
          <w:color w:val="auto"/>
          <w:sz w:val="52"/>
          <w:szCs w:val="52"/>
          <w:highlight w:val="none"/>
        </w:rPr>
      </w:pPr>
    </w:p>
    <w:p>
      <w:pPr>
        <w:rPr>
          <w:rFonts w:hint="eastAsia" w:ascii="仿宋" w:hAnsi="仿宋" w:eastAsia="仿宋" w:cs="仿宋"/>
          <w:b/>
          <w:bCs/>
          <w:color w:val="auto"/>
          <w:sz w:val="52"/>
          <w:szCs w:val="52"/>
          <w:highlight w:val="none"/>
        </w:rPr>
      </w:pPr>
    </w:p>
    <w:p>
      <w:pPr>
        <w:pStyle w:val="9"/>
        <w:rPr>
          <w:rFonts w:hint="eastAsia" w:ascii="仿宋" w:hAnsi="仿宋" w:eastAsia="仿宋" w:cs="仿宋"/>
          <w:color w:val="auto"/>
        </w:rPr>
      </w:pPr>
    </w:p>
    <w:p>
      <w:pPr>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rPr>
        <w:t>竞争性</w:t>
      </w:r>
      <w:r>
        <w:rPr>
          <w:rFonts w:hint="eastAsia" w:ascii="仿宋" w:hAnsi="仿宋" w:eastAsia="仿宋" w:cs="仿宋"/>
          <w:b/>
          <w:bCs/>
          <w:color w:val="auto"/>
          <w:sz w:val="56"/>
          <w:szCs w:val="56"/>
          <w:highlight w:val="none"/>
          <w:lang w:val="en-US" w:eastAsia="zh-CN"/>
        </w:rPr>
        <w:t>谈判</w:t>
      </w:r>
      <w:r>
        <w:rPr>
          <w:rFonts w:hint="eastAsia" w:ascii="仿宋" w:hAnsi="仿宋" w:eastAsia="仿宋" w:cs="仿宋"/>
          <w:b/>
          <w:bCs/>
          <w:color w:val="auto"/>
          <w:sz w:val="56"/>
          <w:szCs w:val="56"/>
          <w:highlight w:val="none"/>
          <w:lang w:eastAsia="zh-CN"/>
        </w:rPr>
        <w:t>文件</w:t>
      </w:r>
    </w:p>
    <w:p>
      <w:pPr>
        <w:rPr>
          <w:rFonts w:hint="eastAsia" w:ascii="仿宋" w:hAnsi="仿宋" w:eastAsia="仿宋" w:cs="仿宋"/>
          <w:color w:val="auto"/>
          <w:highlight w:val="none"/>
        </w:rPr>
      </w:pPr>
    </w:p>
    <w:p>
      <w:pPr>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highlight w:val="none"/>
        </w:rPr>
      </w:pPr>
    </w:p>
    <w:tbl>
      <w:tblPr>
        <w:tblStyle w:val="2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336"/>
        <w:gridCol w:w="18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232" w:type="dxa"/>
            <w:gridSpan w:val="2"/>
            <w:noWrap w:val="0"/>
            <w:vAlign w:val="top"/>
          </w:tcPr>
          <w:p>
            <w:pPr>
              <w:pStyle w:val="9"/>
              <w:spacing w:after="0" w:line="360" w:lineRule="auto"/>
              <w:jc w:val="center"/>
              <w:rPr>
                <w:rFonts w:hint="eastAsia" w:ascii="仿宋" w:hAnsi="仿宋" w:eastAsia="仿宋" w:cs="仿宋"/>
                <w:b/>
                <w:color w:val="auto"/>
                <w:sz w:val="32"/>
                <w:szCs w:val="32"/>
                <w:highlight w:val="none"/>
                <w:vertAlign w:val="baseline"/>
              </w:rPr>
            </w:pPr>
            <w:r>
              <w:rPr>
                <w:rFonts w:hint="eastAsia" w:ascii="仿宋" w:hAnsi="仿宋" w:eastAsia="仿宋" w:cs="仿宋"/>
                <w:b/>
                <w:color w:val="auto"/>
                <w:sz w:val="32"/>
                <w:szCs w:val="32"/>
                <w:highlight w:val="none"/>
              </w:rPr>
              <w:t>中国·四川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336" w:type="dxa"/>
            <w:noWrap w:val="0"/>
            <w:vAlign w:val="top"/>
          </w:tcPr>
          <w:p>
            <w:pPr>
              <w:pStyle w:val="9"/>
              <w:spacing w:after="0" w:line="360" w:lineRule="auto"/>
              <w:jc w:val="center"/>
              <w:rPr>
                <w:rFonts w:hint="eastAsia" w:ascii="仿宋" w:hAnsi="仿宋" w:eastAsia="仿宋" w:cs="仿宋"/>
                <w:b/>
                <w:color w:val="auto"/>
                <w:sz w:val="32"/>
                <w:szCs w:val="32"/>
                <w:highlight w:val="none"/>
                <w:vertAlign w:val="baseline"/>
                <w:lang w:eastAsia="zh-CN"/>
              </w:rPr>
            </w:pPr>
            <w:r>
              <w:rPr>
                <w:rFonts w:hint="eastAsia" w:ascii="仿宋" w:hAnsi="仿宋" w:eastAsia="仿宋" w:cs="仿宋"/>
                <w:b/>
                <w:color w:val="auto"/>
                <w:sz w:val="32"/>
                <w:szCs w:val="32"/>
                <w:highlight w:val="none"/>
                <w:vertAlign w:val="baseline"/>
                <w:lang w:eastAsia="zh-CN"/>
              </w:rPr>
              <w:t>成都市双流区中医医院</w:t>
            </w:r>
          </w:p>
        </w:tc>
        <w:tc>
          <w:tcPr>
            <w:tcW w:w="1896" w:type="dxa"/>
            <w:vMerge w:val="restart"/>
            <w:noWrap w:val="0"/>
            <w:vAlign w:val="center"/>
          </w:tcPr>
          <w:p>
            <w:pPr>
              <w:pStyle w:val="9"/>
              <w:spacing w:after="0" w:line="360" w:lineRule="auto"/>
              <w:jc w:val="center"/>
              <w:rPr>
                <w:rFonts w:hint="eastAsia" w:ascii="仿宋" w:hAnsi="仿宋" w:eastAsia="仿宋" w:cs="仿宋"/>
                <w:b/>
                <w:color w:val="auto"/>
                <w:sz w:val="32"/>
                <w:szCs w:val="32"/>
                <w:highlight w:val="none"/>
                <w:vertAlign w:val="baseline"/>
              </w:rPr>
            </w:pPr>
            <w:r>
              <w:rPr>
                <w:rFonts w:hint="eastAsia" w:ascii="仿宋" w:hAnsi="仿宋" w:eastAsia="仿宋" w:cs="仿宋"/>
                <w:b/>
                <w:color w:val="auto"/>
                <w:sz w:val="32"/>
                <w:szCs w:val="32"/>
                <w:highlight w:val="none"/>
              </w:rPr>
              <w:t>共同编制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336" w:type="dxa"/>
            <w:noWrap w:val="0"/>
            <w:vAlign w:val="top"/>
          </w:tcPr>
          <w:p>
            <w:pPr>
              <w:pStyle w:val="9"/>
              <w:spacing w:after="0" w:line="360" w:lineRule="auto"/>
              <w:jc w:val="center"/>
              <w:rPr>
                <w:rFonts w:hint="eastAsia" w:ascii="仿宋" w:hAnsi="仿宋" w:eastAsia="仿宋" w:cs="仿宋"/>
                <w:b/>
                <w:color w:val="auto"/>
                <w:sz w:val="32"/>
                <w:szCs w:val="32"/>
                <w:highlight w:val="none"/>
                <w:vertAlign w:val="baseline"/>
              </w:rPr>
            </w:pPr>
            <w:r>
              <w:rPr>
                <w:rFonts w:hint="eastAsia" w:ascii="仿宋" w:hAnsi="仿宋" w:eastAsia="仿宋" w:cs="仿宋"/>
                <w:b/>
                <w:color w:val="auto"/>
                <w:sz w:val="32"/>
                <w:szCs w:val="32"/>
                <w:highlight w:val="none"/>
              </w:rPr>
              <w:t>利阳致诚国际项目管理有限公司</w:t>
            </w:r>
          </w:p>
        </w:tc>
        <w:tc>
          <w:tcPr>
            <w:tcW w:w="1896" w:type="dxa"/>
            <w:vMerge w:val="continue"/>
            <w:noWrap w:val="0"/>
            <w:vAlign w:val="top"/>
          </w:tcPr>
          <w:p>
            <w:pPr>
              <w:pStyle w:val="9"/>
              <w:spacing w:after="0" w:line="360" w:lineRule="auto"/>
              <w:jc w:val="center"/>
              <w:rPr>
                <w:rFonts w:hint="eastAsia" w:ascii="仿宋" w:hAnsi="仿宋" w:eastAsia="仿宋" w:cs="仿宋"/>
                <w:b/>
                <w:color w:val="auto"/>
                <w:sz w:val="32"/>
                <w:szCs w:val="32"/>
                <w:highlight w:val="none"/>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7232" w:type="dxa"/>
            <w:gridSpan w:val="2"/>
            <w:noWrap w:val="0"/>
            <w:vAlign w:val="top"/>
          </w:tcPr>
          <w:p>
            <w:pPr>
              <w:pStyle w:val="9"/>
              <w:spacing w:after="0" w:line="360" w:lineRule="auto"/>
              <w:jc w:val="center"/>
              <w:rPr>
                <w:rFonts w:hint="eastAsia" w:ascii="仿宋" w:hAnsi="仿宋" w:eastAsia="仿宋" w:cs="仿宋"/>
                <w:b/>
                <w:color w:val="auto"/>
                <w:sz w:val="32"/>
                <w:szCs w:val="32"/>
                <w:highlight w:val="none"/>
                <w:vertAlign w:val="baseline"/>
              </w:rPr>
            </w:pPr>
            <w:r>
              <w:rPr>
                <w:rFonts w:hint="eastAsia" w:ascii="仿宋" w:hAnsi="仿宋" w:eastAsia="仿宋" w:cs="仿宋"/>
                <w:b/>
                <w:color w:val="auto"/>
                <w:sz w:val="32"/>
                <w:szCs w:val="32"/>
                <w:highlight w:val="none"/>
              </w:rPr>
              <w:t>2021年</w:t>
            </w:r>
            <w:r>
              <w:rPr>
                <w:rFonts w:hint="eastAsia" w:ascii="仿宋" w:hAnsi="仿宋" w:eastAsia="仿宋" w:cs="仿宋"/>
                <w:b/>
                <w:color w:val="auto"/>
                <w:sz w:val="32"/>
                <w:szCs w:val="32"/>
                <w:highlight w:val="none"/>
                <w:lang w:val="en-US" w:eastAsia="zh-CN"/>
              </w:rPr>
              <w:t>11</w:t>
            </w:r>
            <w:r>
              <w:rPr>
                <w:rFonts w:hint="eastAsia" w:ascii="仿宋" w:hAnsi="仿宋" w:eastAsia="仿宋" w:cs="仿宋"/>
                <w:b/>
                <w:color w:val="auto"/>
                <w:sz w:val="32"/>
                <w:szCs w:val="32"/>
                <w:highlight w:val="none"/>
              </w:rPr>
              <w:t>月</w:t>
            </w:r>
          </w:p>
        </w:tc>
      </w:tr>
    </w:tbl>
    <w:p>
      <w:pPr>
        <w:rPr>
          <w:rFonts w:hint="eastAsia" w:ascii="仿宋" w:hAnsi="仿宋" w:eastAsia="仿宋" w:cs="仿宋"/>
          <w:color w:val="auto"/>
          <w:highlight w:val="none"/>
        </w:rPr>
      </w:pPr>
      <w:bookmarkStart w:id="0" w:name="_Toc31963"/>
      <w:r>
        <w:rPr>
          <w:rFonts w:hint="eastAsia" w:ascii="仿宋" w:hAnsi="仿宋" w:eastAsia="仿宋" w:cs="仿宋"/>
          <w:color w:val="auto"/>
          <w:highlight w:val="none"/>
        </w:rPr>
        <w:br w:type="page"/>
      </w:r>
    </w:p>
    <w:p>
      <w:pPr>
        <w:spacing w:line="360" w:lineRule="auto"/>
        <w:jc w:val="center"/>
        <w:rPr>
          <w:rFonts w:hint="eastAsia" w:ascii="仿宋" w:hAnsi="仿宋" w:eastAsia="仿宋" w:cs="仿宋"/>
          <w:color w:val="auto"/>
          <w:sz w:val="44"/>
          <w:szCs w:val="44"/>
          <w:highlight w:val="none"/>
        </w:rPr>
      </w:pPr>
      <w:r>
        <w:rPr>
          <w:rFonts w:hint="eastAsia" w:ascii="仿宋" w:hAnsi="仿宋" w:eastAsia="仿宋" w:cs="仿宋"/>
          <w:color w:val="auto"/>
          <w:sz w:val="44"/>
          <w:szCs w:val="44"/>
          <w:highlight w:val="none"/>
        </w:rPr>
        <w:t>政府采购廉洁承诺书</w:t>
      </w:r>
      <w:bookmarkEnd w:id="0"/>
    </w:p>
    <w:p>
      <w:pPr>
        <w:spacing w:after="0" w:line="360" w:lineRule="auto"/>
        <w:ind w:firstLine="480" w:firstLineChars="200"/>
        <w:jc w:val="left"/>
        <w:rPr>
          <w:rFonts w:hint="eastAsia" w:ascii="仿宋" w:hAnsi="仿宋" w:eastAsia="仿宋" w:cs="仿宋"/>
          <w:color w:val="auto"/>
          <w:sz w:val="24"/>
          <w:szCs w:val="32"/>
          <w:highlight w:val="none"/>
          <w:lang w:val="zh-CN"/>
        </w:rPr>
      </w:pPr>
      <w:r>
        <w:rPr>
          <w:rFonts w:hint="eastAsia" w:ascii="仿宋" w:hAnsi="仿宋" w:eastAsia="仿宋" w:cs="仿宋"/>
          <w:color w:val="auto"/>
          <w:sz w:val="24"/>
          <w:szCs w:val="32"/>
          <w:highlight w:val="none"/>
          <w:lang w:val="zh-CN"/>
        </w:rPr>
        <w:t>为加强招标投标活动中的廉政建设，坚决维护国家利益和社会公共利益，进一步规范招标投标市场，宣扬公平竞争的风气，努力提供优质、细心、专业的服务，为采购人创造价值，防止发生违法违纪行为，落实公开、公平、公正的原则，根据国家有关法律、法规和廉政建设责任制的规定，本招标代理机构作如下承诺：</w:t>
      </w:r>
    </w:p>
    <w:p>
      <w:pPr>
        <w:spacing w:after="0" w:line="360" w:lineRule="auto"/>
        <w:ind w:firstLine="480" w:firstLineChars="200"/>
        <w:jc w:val="left"/>
        <w:rPr>
          <w:rFonts w:hint="eastAsia" w:ascii="仿宋" w:hAnsi="仿宋" w:eastAsia="仿宋" w:cs="仿宋"/>
          <w:color w:val="auto"/>
          <w:sz w:val="24"/>
          <w:szCs w:val="32"/>
          <w:highlight w:val="none"/>
          <w:lang w:val="zh-CN"/>
        </w:rPr>
      </w:pPr>
      <w:r>
        <w:rPr>
          <w:rFonts w:hint="eastAsia" w:ascii="仿宋" w:hAnsi="仿宋" w:eastAsia="仿宋" w:cs="仿宋"/>
          <w:color w:val="auto"/>
          <w:sz w:val="24"/>
          <w:szCs w:val="32"/>
          <w:highlight w:val="none"/>
          <w:lang w:val="zh-CN"/>
        </w:rPr>
        <w:t>1、不与他人串通，</w:t>
      </w:r>
      <w:r>
        <w:rPr>
          <w:rFonts w:hint="eastAsia" w:ascii="仿宋" w:hAnsi="仿宋" w:eastAsia="仿宋" w:cs="仿宋"/>
          <w:color w:val="auto"/>
          <w:sz w:val="24"/>
          <w:szCs w:val="32"/>
          <w:highlight w:val="none"/>
        </w:rPr>
        <w:t>泄露</w:t>
      </w:r>
      <w:r>
        <w:rPr>
          <w:rFonts w:hint="eastAsia" w:ascii="仿宋" w:hAnsi="仿宋" w:eastAsia="仿宋" w:cs="仿宋"/>
          <w:color w:val="auto"/>
          <w:sz w:val="24"/>
          <w:szCs w:val="32"/>
          <w:highlight w:val="none"/>
          <w:lang w:val="zh-CN"/>
        </w:rPr>
        <w:t>招标投标机密。</w:t>
      </w:r>
    </w:p>
    <w:p>
      <w:pPr>
        <w:spacing w:after="0" w:line="360" w:lineRule="auto"/>
        <w:ind w:firstLine="480" w:firstLineChars="200"/>
        <w:jc w:val="left"/>
        <w:rPr>
          <w:rFonts w:hint="eastAsia" w:ascii="仿宋" w:hAnsi="仿宋" w:eastAsia="仿宋" w:cs="仿宋"/>
          <w:color w:val="auto"/>
          <w:sz w:val="24"/>
          <w:szCs w:val="32"/>
          <w:highlight w:val="none"/>
          <w:lang w:val="zh-CN"/>
        </w:rPr>
      </w:pPr>
      <w:r>
        <w:rPr>
          <w:rFonts w:hint="eastAsia" w:ascii="仿宋" w:hAnsi="仿宋" w:eastAsia="仿宋" w:cs="仿宋"/>
          <w:color w:val="auto"/>
          <w:sz w:val="24"/>
          <w:szCs w:val="32"/>
          <w:highlight w:val="none"/>
          <w:lang w:val="zh-CN"/>
        </w:rPr>
        <w:t>2、不与采购人、供应商串通投标。</w:t>
      </w:r>
    </w:p>
    <w:p>
      <w:pPr>
        <w:spacing w:after="0" w:line="360" w:lineRule="auto"/>
        <w:ind w:firstLine="480" w:firstLineChars="200"/>
        <w:jc w:val="left"/>
        <w:rPr>
          <w:rFonts w:hint="eastAsia" w:ascii="仿宋" w:hAnsi="仿宋" w:eastAsia="仿宋" w:cs="仿宋"/>
          <w:color w:val="auto"/>
          <w:sz w:val="24"/>
          <w:szCs w:val="32"/>
          <w:highlight w:val="none"/>
          <w:lang w:val="zh-CN"/>
        </w:rPr>
      </w:pPr>
      <w:r>
        <w:rPr>
          <w:rFonts w:hint="eastAsia" w:ascii="仿宋" w:hAnsi="仿宋" w:eastAsia="仿宋" w:cs="仿宋"/>
          <w:color w:val="auto"/>
          <w:sz w:val="24"/>
          <w:szCs w:val="32"/>
          <w:highlight w:val="none"/>
          <w:lang w:val="zh-CN"/>
        </w:rPr>
        <w:t>3、不向评标专家支付合理报酬以外的</w:t>
      </w:r>
      <w:r>
        <w:rPr>
          <w:rFonts w:hint="eastAsia" w:ascii="仿宋" w:hAnsi="仿宋" w:eastAsia="仿宋" w:cs="仿宋"/>
          <w:color w:val="auto"/>
          <w:sz w:val="24"/>
          <w:szCs w:val="32"/>
          <w:highlight w:val="none"/>
        </w:rPr>
        <w:t>费用，包括并不限于</w:t>
      </w:r>
      <w:r>
        <w:rPr>
          <w:rFonts w:hint="eastAsia" w:ascii="仿宋" w:hAnsi="仿宋" w:eastAsia="仿宋" w:cs="仿宋"/>
          <w:color w:val="auto"/>
          <w:sz w:val="24"/>
          <w:szCs w:val="32"/>
          <w:highlight w:val="none"/>
          <w:lang w:val="zh-CN"/>
        </w:rPr>
        <w:t>现金、购物卡、礼品、实物等，</w:t>
      </w:r>
      <w:r>
        <w:rPr>
          <w:rFonts w:hint="eastAsia" w:ascii="仿宋" w:hAnsi="仿宋" w:eastAsia="仿宋" w:cs="仿宋"/>
          <w:color w:val="auto"/>
          <w:sz w:val="24"/>
          <w:szCs w:val="32"/>
          <w:highlight w:val="none"/>
        </w:rPr>
        <w:t>不进行</w:t>
      </w:r>
      <w:r>
        <w:rPr>
          <w:rFonts w:hint="eastAsia" w:ascii="仿宋" w:hAnsi="仿宋" w:eastAsia="仿宋" w:cs="仿宋"/>
          <w:color w:val="auto"/>
          <w:sz w:val="24"/>
          <w:szCs w:val="32"/>
          <w:highlight w:val="none"/>
          <w:lang w:val="zh-CN"/>
        </w:rPr>
        <w:t>其他可能影响客观公正评审的活动。</w:t>
      </w:r>
    </w:p>
    <w:p>
      <w:pPr>
        <w:spacing w:after="0" w:line="360" w:lineRule="auto"/>
        <w:ind w:firstLine="480" w:firstLineChars="200"/>
        <w:jc w:val="left"/>
        <w:rPr>
          <w:rFonts w:hint="eastAsia" w:ascii="仿宋" w:hAnsi="仿宋" w:eastAsia="仿宋" w:cs="仿宋"/>
          <w:color w:val="auto"/>
          <w:sz w:val="24"/>
          <w:szCs w:val="32"/>
          <w:highlight w:val="none"/>
          <w:lang w:val="zh-CN"/>
        </w:rPr>
      </w:pPr>
      <w:r>
        <w:rPr>
          <w:rFonts w:hint="eastAsia" w:ascii="仿宋" w:hAnsi="仿宋" w:eastAsia="仿宋" w:cs="仿宋"/>
          <w:color w:val="auto"/>
          <w:sz w:val="24"/>
          <w:szCs w:val="32"/>
          <w:highlight w:val="none"/>
          <w:lang w:val="zh-CN"/>
        </w:rPr>
        <w:t>4、不向招标投标监督人员或机构请客、送礼及组织其它有可能影响客观公正监督的活动。</w:t>
      </w:r>
    </w:p>
    <w:p>
      <w:pPr>
        <w:spacing w:after="0" w:line="360" w:lineRule="auto"/>
        <w:ind w:firstLine="480" w:firstLineChars="200"/>
        <w:jc w:val="left"/>
        <w:rPr>
          <w:rFonts w:hint="eastAsia" w:ascii="仿宋" w:hAnsi="仿宋" w:eastAsia="仿宋" w:cs="仿宋"/>
          <w:color w:val="auto"/>
          <w:sz w:val="24"/>
          <w:szCs w:val="32"/>
          <w:highlight w:val="none"/>
          <w:lang w:val="zh-CN"/>
        </w:rPr>
      </w:pPr>
      <w:r>
        <w:rPr>
          <w:rFonts w:hint="eastAsia" w:ascii="仿宋" w:hAnsi="仿宋" w:eastAsia="仿宋" w:cs="仿宋"/>
          <w:color w:val="auto"/>
          <w:sz w:val="24"/>
          <w:szCs w:val="32"/>
          <w:highlight w:val="none"/>
        </w:rPr>
        <w:t>5、</w:t>
      </w:r>
      <w:r>
        <w:rPr>
          <w:rFonts w:hint="eastAsia" w:ascii="仿宋" w:hAnsi="仿宋" w:eastAsia="仿宋" w:cs="仿宋"/>
          <w:color w:val="auto"/>
          <w:sz w:val="24"/>
          <w:szCs w:val="32"/>
          <w:highlight w:val="none"/>
          <w:lang w:val="zh-CN"/>
        </w:rPr>
        <w:t>不向采购人提供任何不正当利益的方式谋求合作关系。</w:t>
      </w:r>
    </w:p>
    <w:p>
      <w:pPr>
        <w:spacing w:after="0" w:line="360" w:lineRule="auto"/>
        <w:ind w:firstLine="480" w:firstLineChars="200"/>
        <w:jc w:val="left"/>
        <w:rPr>
          <w:rFonts w:hint="eastAsia" w:ascii="仿宋" w:hAnsi="仿宋" w:eastAsia="仿宋" w:cs="仿宋"/>
          <w:color w:val="auto"/>
          <w:sz w:val="24"/>
          <w:szCs w:val="32"/>
          <w:highlight w:val="none"/>
          <w:lang w:val="zh-CN"/>
        </w:rPr>
      </w:pPr>
      <w:r>
        <w:rPr>
          <w:rFonts w:hint="eastAsia" w:ascii="仿宋" w:hAnsi="仿宋" w:eastAsia="仿宋" w:cs="仿宋"/>
          <w:color w:val="auto"/>
          <w:sz w:val="24"/>
          <w:szCs w:val="32"/>
          <w:highlight w:val="none"/>
        </w:rPr>
        <w:t>6、</w:t>
      </w:r>
      <w:r>
        <w:rPr>
          <w:rFonts w:hint="eastAsia" w:ascii="仿宋" w:hAnsi="仿宋" w:eastAsia="仿宋" w:cs="仿宋"/>
          <w:color w:val="auto"/>
          <w:sz w:val="24"/>
          <w:szCs w:val="32"/>
          <w:highlight w:val="none"/>
          <w:lang w:val="zh-CN"/>
        </w:rPr>
        <w:t>不采取恶性竞争等不正当手段竞争业务。</w:t>
      </w:r>
    </w:p>
    <w:p>
      <w:pPr>
        <w:spacing w:after="0" w:line="360" w:lineRule="auto"/>
        <w:ind w:firstLine="480" w:firstLineChars="200"/>
        <w:jc w:val="left"/>
        <w:rPr>
          <w:rFonts w:hint="eastAsia" w:ascii="仿宋" w:hAnsi="仿宋" w:eastAsia="仿宋" w:cs="仿宋"/>
          <w:color w:val="auto"/>
          <w:sz w:val="24"/>
          <w:szCs w:val="32"/>
          <w:highlight w:val="none"/>
          <w:lang w:val="zh-CN"/>
        </w:rPr>
      </w:pPr>
      <w:r>
        <w:rPr>
          <w:rFonts w:hint="eastAsia" w:ascii="仿宋" w:hAnsi="仿宋" w:eastAsia="仿宋" w:cs="仿宋"/>
          <w:color w:val="auto"/>
          <w:sz w:val="24"/>
          <w:szCs w:val="32"/>
          <w:highlight w:val="none"/>
        </w:rPr>
        <w:t>7、禁止一切</w:t>
      </w:r>
      <w:r>
        <w:rPr>
          <w:rFonts w:hint="eastAsia" w:ascii="仿宋" w:hAnsi="仿宋" w:eastAsia="仿宋" w:cs="仿宋"/>
          <w:color w:val="auto"/>
          <w:sz w:val="24"/>
          <w:szCs w:val="32"/>
          <w:highlight w:val="none"/>
          <w:lang w:val="zh-CN"/>
        </w:rPr>
        <w:t>行贿倾向、建议等行为。</w:t>
      </w:r>
    </w:p>
    <w:p>
      <w:pPr>
        <w:spacing w:after="0" w:line="360" w:lineRule="auto"/>
        <w:ind w:firstLine="480" w:firstLineChars="200"/>
        <w:jc w:val="left"/>
        <w:rPr>
          <w:rFonts w:hint="eastAsia" w:ascii="仿宋" w:hAnsi="仿宋" w:eastAsia="仿宋" w:cs="仿宋"/>
          <w:color w:val="auto"/>
          <w:sz w:val="24"/>
          <w:szCs w:val="32"/>
          <w:highlight w:val="none"/>
          <w:lang w:val="zh-CN"/>
        </w:rPr>
      </w:pPr>
      <w:r>
        <w:rPr>
          <w:rFonts w:hint="eastAsia" w:ascii="仿宋" w:hAnsi="仿宋" w:eastAsia="仿宋" w:cs="仿宋"/>
          <w:color w:val="auto"/>
          <w:sz w:val="24"/>
          <w:szCs w:val="32"/>
          <w:highlight w:val="none"/>
        </w:rPr>
        <w:t>8、</w:t>
      </w:r>
      <w:r>
        <w:rPr>
          <w:rFonts w:hint="eastAsia" w:ascii="仿宋" w:hAnsi="仿宋" w:eastAsia="仿宋" w:cs="仿宋"/>
          <w:color w:val="auto"/>
          <w:sz w:val="24"/>
          <w:szCs w:val="32"/>
          <w:highlight w:val="none"/>
          <w:lang w:val="zh-CN"/>
        </w:rPr>
        <w:t>禁止员工有索贿、受贿等行为。</w:t>
      </w:r>
    </w:p>
    <w:p>
      <w:pPr>
        <w:spacing w:after="0" w:line="360" w:lineRule="auto"/>
        <w:ind w:firstLine="480" w:firstLineChars="200"/>
        <w:jc w:val="left"/>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rPr>
        <w:t>9、严格遵守国家和省、市、区以及监管部门关于加强党风廉政建设的各项规定，加强对员工的廉政监督，积极开展廉政教育和职业道德教育，杜绝员工违纪违法行为的发生。</w:t>
      </w:r>
    </w:p>
    <w:p>
      <w:pPr>
        <w:spacing w:after="0" w:line="360" w:lineRule="auto"/>
        <w:ind w:firstLine="480" w:firstLineChars="200"/>
        <w:jc w:val="left"/>
        <w:rPr>
          <w:rFonts w:hint="eastAsia" w:ascii="仿宋" w:hAnsi="仿宋" w:eastAsia="仿宋" w:cs="仿宋"/>
          <w:color w:val="auto"/>
          <w:sz w:val="24"/>
          <w:szCs w:val="32"/>
          <w:highlight w:val="none"/>
        </w:rPr>
      </w:pPr>
      <w:r>
        <w:rPr>
          <w:rFonts w:hint="eastAsia" w:ascii="仿宋" w:hAnsi="仿宋" w:eastAsia="仿宋" w:cs="仿宋"/>
          <w:color w:val="auto"/>
          <w:sz w:val="24"/>
          <w:szCs w:val="32"/>
          <w:highlight w:val="none"/>
          <w:lang w:val="zh-CN"/>
        </w:rPr>
        <w:t>本承诺书由承诺人盖章签字生效，如出现上述行为，</w:t>
      </w:r>
      <w:r>
        <w:rPr>
          <w:rFonts w:hint="eastAsia" w:ascii="仿宋" w:hAnsi="仿宋" w:eastAsia="仿宋" w:cs="仿宋"/>
          <w:color w:val="auto"/>
          <w:sz w:val="24"/>
          <w:szCs w:val="32"/>
          <w:highlight w:val="none"/>
        </w:rPr>
        <w:t>承诺人</w:t>
      </w:r>
      <w:r>
        <w:rPr>
          <w:rFonts w:hint="eastAsia" w:ascii="仿宋" w:hAnsi="仿宋" w:eastAsia="仿宋" w:cs="仿宋"/>
          <w:color w:val="auto"/>
          <w:sz w:val="24"/>
          <w:szCs w:val="32"/>
          <w:highlight w:val="none"/>
          <w:lang w:val="zh-CN"/>
        </w:rPr>
        <w:t>自愿承担相关责任，接受招标投标监督管理部门、纪检监察机关或司法机关调查处理。如发现本单位员工个人出现违反廉洁纪律的行为，各方均有权提醒并督促其纠正，或直接向我公司投诉、举报，经核查属实的，</w:t>
      </w:r>
      <w:r>
        <w:rPr>
          <w:rFonts w:hint="eastAsia" w:ascii="仿宋" w:hAnsi="仿宋" w:eastAsia="仿宋" w:cs="仿宋"/>
          <w:color w:val="auto"/>
          <w:sz w:val="24"/>
          <w:szCs w:val="32"/>
          <w:highlight w:val="none"/>
        </w:rPr>
        <w:t>将</w:t>
      </w:r>
      <w:r>
        <w:rPr>
          <w:rFonts w:hint="eastAsia" w:ascii="仿宋" w:hAnsi="仿宋" w:eastAsia="仿宋" w:cs="仿宋"/>
          <w:color w:val="auto"/>
          <w:sz w:val="24"/>
          <w:szCs w:val="32"/>
          <w:highlight w:val="none"/>
          <w:lang w:val="zh-CN"/>
        </w:rPr>
        <w:t>严格按照公司规定处理，涉及违法违纪的将追究相关法律责任。</w:t>
      </w:r>
    </w:p>
    <w:p>
      <w:pPr>
        <w:spacing w:after="0" w:line="360" w:lineRule="auto"/>
        <w:ind w:firstLine="480" w:firstLineChars="200"/>
        <w:jc w:val="left"/>
        <w:rPr>
          <w:rFonts w:hint="eastAsia" w:ascii="仿宋" w:hAnsi="仿宋" w:eastAsia="仿宋" w:cs="仿宋"/>
          <w:color w:val="auto"/>
          <w:sz w:val="24"/>
          <w:szCs w:val="32"/>
          <w:highlight w:val="none"/>
          <w:lang w:val="zh-CN"/>
        </w:rPr>
      </w:pPr>
      <w:r>
        <w:rPr>
          <w:rFonts w:hint="eastAsia" w:ascii="仿宋" w:hAnsi="仿宋" w:eastAsia="仿宋" w:cs="仿宋"/>
          <w:color w:val="auto"/>
          <w:sz w:val="24"/>
          <w:szCs w:val="32"/>
          <w:highlight w:val="none"/>
          <w:lang w:val="zh-CN"/>
        </w:rPr>
        <w:t>请各采购人及供应商监督！</w:t>
      </w:r>
    </w:p>
    <w:p>
      <w:pPr>
        <w:pStyle w:val="9"/>
        <w:spacing w:after="0" w:line="360" w:lineRule="auto"/>
        <w:rPr>
          <w:rFonts w:hint="eastAsia" w:ascii="仿宋" w:hAnsi="仿宋" w:eastAsia="仿宋" w:cs="仿宋"/>
          <w:color w:val="auto"/>
          <w:highlight w:val="none"/>
        </w:rPr>
      </w:pPr>
    </w:p>
    <w:p>
      <w:pPr>
        <w:spacing w:after="0" w:line="360" w:lineRule="auto"/>
        <w:jc w:val="right"/>
        <w:rPr>
          <w:rFonts w:hint="eastAsia" w:ascii="仿宋" w:hAnsi="仿宋" w:eastAsia="仿宋" w:cs="仿宋"/>
          <w:color w:val="auto"/>
          <w:sz w:val="24"/>
          <w:szCs w:val="32"/>
          <w:highlight w:val="none"/>
          <w:lang w:val="zh-CN"/>
        </w:rPr>
      </w:pPr>
      <w:r>
        <w:rPr>
          <w:rFonts w:hint="eastAsia" w:ascii="仿宋" w:hAnsi="仿宋" w:eastAsia="仿宋" w:cs="仿宋"/>
          <w:color w:val="auto"/>
          <w:sz w:val="24"/>
          <w:szCs w:val="32"/>
          <w:highlight w:val="none"/>
          <w:lang w:val="zh-CN"/>
        </w:rPr>
        <w:t>招标代理机构：利阳致诚国际项目管理有限公司</w:t>
      </w:r>
    </w:p>
    <w:p>
      <w:pPr>
        <w:spacing w:after="0" w:line="360" w:lineRule="auto"/>
        <w:jc w:val="center"/>
        <w:rPr>
          <w:rFonts w:hint="eastAsia" w:ascii="仿宋" w:hAnsi="仿宋" w:eastAsia="仿宋" w:cs="仿宋"/>
          <w:b/>
          <w:bCs/>
          <w:color w:val="auto"/>
          <w:sz w:val="28"/>
          <w:szCs w:val="28"/>
          <w:highlight w:val="none"/>
        </w:rPr>
      </w:pPr>
      <w:bookmarkStart w:id="1" w:name="_Hlt101233737"/>
      <w:bookmarkEnd w:id="1"/>
      <w:bookmarkStart w:id="2" w:name="_Hlt101843627"/>
      <w:bookmarkEnd w:id="2"/>
      <w:r>
        <w:rPr>
          <w:rFonts w:hint="eastAsia" w:ascii="仿宋" w:hAnsi="仿宋" w:eastAsia="仿宋" w:cs="仿宋"/>
          <w:color w:val="auto"/>
          <w:highlight w:val="none"/>
          <w:lang w:val="zh-CN"/>
        </w:rPr>
        <w:br w:type="page"/>
      </w:r>
      <w:r>
        <w:rPr>
          <w:rFonts w:hint="eastAsia" w:ascii="仿宋" w:hAnsi="仿宋" w:eastAsia="仿宋" w:cs="仿宋"/>
          <w:b/>
          <w:bCs/>
          <w:color w:val="auto"/>
          <w:sz w:val="28"/>
          <w:szCs w:val="28"/>
          <w:highlight w:val="none"/>
        </w:rPr>
        <w:t>交通指引</w:t>
      </w:r>
    </w:p>
    <w:p>
      <w:pPr>
        <w:spacing w:after="0" w:line="360" w:lineRule="auto"/>
        <w:ind w:firstLine="480" w:firstLineChars="200"/>
        <w:rPr>
          <w:rFonts w:hint="eastAsia" w:ascii="仿宋" w:hAnsi="仿宋" w:eastAsia="仿宋" w:cs="仿宋"/>
          <w:color w:val="auto"/>
          <w:sz w:val="24"/>
          <w:highlight w:val="none"/>
        </w:rPr>
      </w:pP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利阳致诚国际项目管理有限公司</w:t>
      </w:r>
      <w:r>
        <w:rPr>
          <w:rFonts w:hint="eastAsia" w:ascii="仿宋" w:hAnsi="仿宋" w:eastAsia="仿宋" w:cs="仿宋"/>
          <w:color w:val="auto"/>
          <w:sz w:val="24"/>
          <w:highlight w:val="none"/>
        </w:rPr>
        <w:t>位于成都市锦江区三色路163号银海芯座1栋1单元14层，可采用以下交通方式：</w:t>
      </w:r>
    </w:p>
    <w:p>
      <w:pPr>
        <w:numPr>
          <w:ilvl w:val="0"/>
          <w:numId w:val="2"/>
        </w:numPr>
        <w:spacing w:after="0"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地铁：地铁6号线金石路地铁站B出口，沿金石路步行210米，再沿墨香路步行350米即可到达。（如下图）</w:t>
      </w:r>
    </w:p>
    <w:p>
      <w:pPr>
        <w:spacing w:after="0" w:line="360" w:lineRule="auto"/>
        <w:ind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drawing>
          <wp:anchor distT="0" distB="0" distL="114300" distR="114300" simplePos="0" relativeHeight="251660288" behindDoc="0" locked="0" layoutInCell="1" allowOverlap="1">
            <wp:simplePos x="0" y="0"/>
            <wp:positionH relativeFrom="column">
              <wp:posOffset>-160020</wp:posOffset>
            </wp:positionH>
            <wp:positionV relativeFrom="paragraph">
              <wp:posOffset>203200</wp:posOffset>
            </wp:positionV>
            <wp:extent cx="5612130" cy="3507740"/>
            <wp:effectExtent l="0" t="0" r="7620" b="6985"/>
            <wp:wrapSquare wrapText="bothSides"/>
            <wp:docPr id="1" name="图片 1" descr="利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利阳"/>
                    <pic:cNvPicPr>
                      <a:picLocks noChangeAspect="1"/>
                    </pic:cNvPicPr>
                  </pic:nvPicPr>
                  <pic:blipFill>
                    <a:blip r:embed="rId15"/>
                    <a:stretch>
                      <a:fillRect/>
                    </a:stretch>
                  </pic:blipFill>
                  <pic:spPr>
                    <a:xfrm>
                      <a:off x="0" y="0"/>
                      <a:ext cx="5612130" cy="3507740"/>
                    </a:xfrm>
                    <a:prstGeom prst="rect">
                      <a:avLst/>
                    </a:prstGeom>
                    <a:noFill/>
                    <a:ln>
                      <a:noFill/>
                    </a:ln>
                  </pic:spPr>
                </pic:pic>
              </a:graphicData>
            </a:graphic>
          </wp:anchor>
        </w:drawing>
      </w:r>
    </w:p>
    <w:p>
      <w:pPr>
        <w:spacing w:after="0" w:line="360" w:lineRule="auto"/>
        <w:ind w:firstLine="480" w:firstLineChars="200"/>
        <w:rPr>
          <w:rFonts w:hint="eastAsia" w:ascii="仿宋" w:hAnsi="仿宋" w:eastAsia="仿宋" w:cs="仿宋"/>
          <w:color w:val="auto"/>
          <w:sz w:val="24"/>
          <w:highlight w:val="none"/>
        </w:rPr>
      </w:pP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2.自驾：导航输入“银海芯座”，由停车场入口进入，再乘坐A栋电梯到达目的地。</w:t>
      </w:r>
    </w:p>
    <w:p>
      <w:pPr>
        <w:spacing w:after="0" w:line="360" w:lineRule="auto"/>
        <w:jc w:val="center"/>
        <w:rPr>
          <w:rFonts w:hint="eastAsia" w:ascii="仿宋" w:hAnsi="仿宋" w:eastAsia="仿宋" w:cs="仿宋"/>
          <w:b/>
          <w:bCs/>
          <w:color w:val="auto"/>
          <w:sz w:val="28"/>
          <w:szCs w:val="28"/>
          <w:highlight w:val="none"/>
        </w:rPr>
      </w:pPr>
      <w:r>
        <w:rPr>
          <w:rFonts w:hint="eastAsia" w:ascii="仿宋" w:hAnsi="仿宋" w:eastAsia="仿宋" w:cs="仿宋"/>
          <w:color w:val="auto"/>
          <w:sz w:val="24"/>
          <w:highlight w:val="none"/>
        </w:rPr>
        <w:br w:type="page"/>
      </w:r>
      <w:r>
        <w:rPr>
          <w:rFonts w:hint="eastAsia" w:ascii="仿宋" w:hAnsi="仿宋" w:eastAsia="仿宋" w:cs="仿宋"/>
          <w:b/>
          <w:bCs/>
          <w:color w:val="auto"/>
          <w:sz w:val="28"/>
          <w:szCs w:val="28"/>
          <w:highlight w:val="none"/>
        </w:rPr>
        <w:t>温馨提示</w:t>
      </w:r>
    </w:p>
    <w:p>
      <w:pPr>
        <w:spacing w:after="0"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各供应商：</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欢迎参与本次采购活动，为优化政府采购营商环境，减少供应商参加政府采购活动成本，温馨提示如下：</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一、报名：注意报名的截止时间、报名的方式以及需要提供的资料，任何一项不满足的将拒绝接收。</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保证金：如项目收取保证金，供应商应在规定截止时间前足额交纳，以到账时间为准。未中标（成交）供应商的保证金将在结果公告后5个工作日内原路径退还，中标（成交）供应商应凭借采购合同复印件办理保证金退还，我司将在5个工作日内原路径退还。</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三、制作投标（响应）文件：注意采购文件中的资格要求和实质性要求，任何一条不满足的将作无效处理。注意采购文件中的评分要求，未按要求提供证明材料的将不予认可。</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四、投标（响应）：注意投标（响应）截止时间和递交文件的地点，未按要求密封或逾期送达的将拒绝接收。</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五、结果查询：结果公告将在发布采购公告的同一网站进行公布，供应商应自行关注，任何询问项目评审情况和中标（成交）情况的行为都将被拒绝。</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六、服务费：中标（成交）结果公布后，中标（成交）人应及时足额缴纳服务费，我司在收到服务费后才可开具发票。</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七、中标（成交）通知书：我司工作人员将在项目结果公告发布时通知中标（成交）的供应商领取中标（成交）通知书，中标（成交）人应携带单位介绍信原件及领取人身份证复印件（原件备查）前往我司办理领手续。</w:t>
      </w:r>
    </w:p>
    <w:p>
      <w:pPr>
        <w:spacing w:after="0"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八、采购合同：中标（成交）人应在</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规定的期限内凭中标（成交）通知书与采购人签订采购合同。</w:t>
      </w:r>
    </w:p>
    <w:p>
      <w:pPr>
        <w:spacing w:line="360" w:lineRule="auto"/>
        <w:jc w:val="center"/>
        <w:rPr>
          <w:rFonts w:hint="eastAsia" w:ascii="仿宋" w:hAnsi="仿宋" w:eastAsia="仿宋" w:cs="仿宋"/>
          <w:b/>
          <w:bCs/>
          <w:color w:val="auto"/>
          <w:sz w:val="36"/>
          <w:szCs w:val="36"/>
          <w:highlight w:val="none"/>
        </w:rPr>
        <w:sectPr>
          <w:headerReference r:id="rId4" w:type="first"/>
          <w:footerReference r:id="rId6" w:type="first"/>
          <w:headerReference r:id="rId3" w:type="default"/>
          <w:footerReference r:id="rId5" w:type="default"/>
          <w:pgSz w:w="11850" w:h="16783"/>
          <w:pgMar w:top="1440" w:right="1650" w:bottom="1440" w:left="1800" w:header="851" w:footer="992" w:gutter="0"/>
          <w:pgNumType w:start="1"/>
          <w:cols w:space="720" w:num="1"/>
          <w:titlePg/>
          <w:docGrid w:linePitch="312" w:charSpace="0"/>
        </w:sectPr>
      </w:pPr>
      <w:r>
        <w:rPr>
          <w:rFonts w:hint="eastAsia" w:ascii="仿宋" w:hAnsi="仿宋" w:eastAsia="仿宋" w:cs="仿宋"/>
          <w:color w:val="auto"/>
          <w:highlight w:val="none"/>
          <w:lang w:val="zh-CN"/>
        </w:rPr>
        <w:br w:type="page"/>
      </w:r>
    </w:p>
    <w:p>
      <w:pPr>
        <w:spacing w:line="360" w:lineRule="auto"/>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目录</w:t>
      </w:r>
    </w:p>
    <w:p>
      <w:pPr>
        <w:pStyle w:val="18"/>
        <w:tabs>
          <w:tab w:val="right" w:leader="dot" w:pos="8400"/>
          <w:tab w:val="clear" w:pos="9345"/>
        </w:tabs>
        <w:spacing w:line="720" w:lineRule="auto"/>
        <w:rPr>
          <w:rFonts w:hint="eastAsia" w:ascii="仿宋" w:hAnsi="仿宋" w:eastAsia="仿宋" w:cs="仿宋"/>
          <w:color w:val="auto"/>
          <w:sz w:val="24"/>
          <w:szCs w:val="24"/>
          <w:highlight w:val="none"/>
        </w:rPr>
      </w:pPr>
      <w:bookmarkStart w:id="3" w:name="_Toc3926"/>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TOC \o "1-1" \h \u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2"/>
          <w:szCs w:val="22"/>
          <w:highlight w:val="none"/>
        </w:rPr>
        <w:fldChar w:fldCharType="begin"/>
      </w:r>
      <w:r>
        <w:rPr>
          <w:rFonts w:hint="eastAsia" w:ascii="仿宋" w:hAnsi="仿宋" w:eastAsia="仿宋" w:cs="仿宋"/>
          <w:color w:val="auto"/>
          <w:sz w:val="22"/>
          <w:szCs w:val="22"/>
          <w:highlight w:val="none"/>
        </w:rPr>
        <w:instrText xml:space="preserve"> HYPERLINK \l "_Toc17590" </w:instrText>
      </w:r>
      <w:r>
        <w:rPr>
          <w:rFonts w:hint="eastAsia" w:ascii="仿宋" w:hAnsi="仿宋" w:eastAsia="仿宋" w:cs="仿宋"/>
          <w:color w:val="auto"/>
          <w:sz w:val="22"/>
          <w:szCs w:val="22"/>
          <w:highlight w:val="none"/>
        </w:rPr>
        <w:fldChar w:fldCharType="separate"/>
      </w:r>
      <w:r>
        <w:rPr>
          <w:rFonts w:hint="eastAsia" w:ascii="仿宋" w:hAnsi="仿宋" w:eastAsia="仿宋" w:cs="仿宋"/>
          <w:color w:val="auto"/>
          <w:sz w:val="24"/>
          <w:szCs w:val="24"/>
          <w:highlight w:val="none"/>
        </w:rPr>
        <w:t>第一章  谈判邀请</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PAGEREF _Toc17590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fldChar w:fldCharType="end"/>
      </w:r>
    </w:p>
    <w:p>
      <w:pPr>
        <w:pStyle w:val="18"/>
        <w:tabs>
          <w:tab w:val="right" w:leader="dot" w:pos="8400"/>
          <w:tab w:val="clear" w:pos="9345"/>
        </w:tabs>
        <w:spacing w:line="720" w:lineRule="auto"/>
        <w:rPr>
          <w:rFonts w:hint="eastAsia" w:ascii="仿宋" w:hAnsi="仿宋" w:eastAsia="仿宋" w:cs="仿宋"/>
          <w:color w:val="auto"/>
          <w:sz w:val="24"/>
          <w:szCs w:val="24"/>
          <w:highlight w:val="none"/>
        </w:rPr>
      </w:pPr>
      <w:r>
        <w:rPr>
          <w:rFonts w:hint="eastAsia" w:ascii="仿宋" w:hAnsi="仿宋" w:eastAsia="仿宋" w:cs="仿宋"/>
          <w:color w:val="auto"/>
          <w:sz w:val="22"/>
          <w:szCs w:val="22"/>
          <w:highlight w:val="none"/>
        </w:rPr>
        <w:fldChar w:fldCharType="begin"/>
      </w:r>
      <w:r>
        <w:rPr>
          <w:rFonts w:hint="eastAsia" w:ascii="仿宋" w:hAnsi="仿宋" w:eastAsia="仿宋" w:cs="仿宋"/>
          <w:color w:val="auto"/>
          <w:sz w:val="22"/>
          <w:szCs w:val="22"/>
          <w:highlight w:val="none"/>
        </w:rPr>
        <w:instrText xml:space="preserve"> HYPERLINK \l "_Toc11787" </w:instrText>
      </w:r>
      <w:r>
        <w:rPr>
          <w:rFonts w:hint="eastAsia" w:ascii="仿宋" w:hAnsi="仿宋" w:eastAsia="仿宋" w:cs="仿宋"/>
          <w:color w:val="auto"/>
          <w:sz w:val="22"/>
          <w:szCs w:val="22"/>
          <w:highlight w:val="none"/>
        </w:rPr>
        <w:fldChar w:fldCharType="separate"/>
      </w:r>
      <w:r>
        <w:rPr>
          <w:rFonts w:hint="eastAsia" w:ascii="仿宋" w:hAnsi="仿宋" w:eastAsia="仿宋" w:cs="仿宋"/>
          <w:color w:val="auto"/>
          <w:sz w:val="24"/>
          <w:szCs w:val="24"/>
          <w:highlight w:val="none"/>
        </w:rPr>
        <w:t>第二章  谈判须知</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PAGEREF _Toc11787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fldChar w:fldCharType="end"/>
      </w:r>
    </w:p>
    <w:p>
      <w:pPr>
        <w:pStyle w:val="18"/>
        <w:tabs>
          <w:tab w:val="right" w:leader="dot" w:pos="8400"/>
          <w:tab w:val="clear" w:pos="9345"/>
        </w:tabs>
        <w:spacing w:line="720" w:lineRule="auto"/>
        <w:rPr>
          <w:rFonts w:hint="eastAsia" w:ascii="仿宋" w:hAnsi="仿宋" w:eastAsia="仿宋" w:cs="仿宋"/>
          <w:color w:val="auto"/>
          <w:sz w:val="24"/>
          <w:szCs w:val="24"/>
          <w:highlight w:val="none"/>
        </w:rPr>
      </w:pPr>
      <w:r>
        <w:rPr>
          <w:rFonts w:hint="eastAsia" w:ascii="仿宋" w:hAnsi="仿宋" w:eastAsia="仿宋" w:cs="仿宋"/>
          <w:color w:val="auto"/>
          <w:sz w:val="22"/>
          <w:szCs w:val="22"/>
          <w:highlight w:val="none"/>
        </w:rPr>
        <w:fldChar w:fldCharType="begin"/>
      </w:r>
      <w:r>
        <w:rPr>
          <w:rFonts w:hint="eastAsia" w:ascii="仿宋" w:hAnsi="仿宋" w:eastAsia="仿宋" w:cs="仿宋"/>
          <w:color w:val="auto"/>
          <w:sz w:val="22"/>
          <w:szCs w:val="22"/>
          <w:highlight w:val="none"/>
        </w:rPr>
        <w:instrText xml:space="preserve"> HYPERLINK \l "_Toc14494" </w:instrText>
      </w:r>
      <w:r>
        <w:rPr>
          <w:rFonts w:hint="eastAsia" w:ascii="仿宋" w:hAnsi="仿宋" w:eastAsia="仿宋" w:cs="仿宋"/>
          <w:color w:val="auto"/>
          <w:sz w:val="22"/>
          <w:szCs w:val="22"/>
          <w:highlight w:val="none"/>
        </w:rPr>
        <w:fldChar w:fldCharType="separate"/>
      </w:r>
      <w:r>
        <w:rPr>
          <w:rFonts w:hint="eastAsia" w:ascii="仿宋" w:hAnsi="仿宋" w:eastAsia="仿宋" w:cs="仿宋"/>
          <w:color w:val="auto"/>
          <w:sz w:val="24"/>
          <w:szCs w:val="24"/>
          <w:highlight w:val="none"/>
        </w:rPr>
        <w:t>第三章  供应商资格条件要求</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PAGEREF _Toc14494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26</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fldChar w:fldCharType="end"/>
      </w:r>
    </w:p>
    <w:p>
      <w:pPr>
        <w:pStyle w:val="18"/>
        <w:tabs>
          <w:tab w:val="right" w:leader="dot" w:pos="8400"/>
          <w:tab w:val="clear" w:pos="9345"/>
        </w:tabs>
        <w:spacing w:line="720" w:lineRule="auto"/>
        <w:rPr>
          <w:rFonts w:hint="eastAsia" w:ascii="仿宋" w:hAnsi="仿宋" w:eastAsia="仿宋" w:cs="仿宋"/>
          <w:color w:val="auto"/>
          <w:sz w:val="24"/>
          <w:szCs w:val="24"/>
          <w:highlight w:val="none"/>
        </w:rPr>
      </w:pPr>
      <w:r>
        <w:rPr>
          <w:rFonts w:hint="eastAsia" w:ascii="仿宋" w:hAnsi="仿宋" w:eastAsia="仿宋" w:cs="仿宋"/>
          <w:color w:val="auto"/>
          <w:sz w:val="22"/>
          <w:szCs w:val="22"/>
          <w:highlight w:val="none"/>
        </w:rPr>
        <w:fldChar w:fldCharType="begin"/>
      </w:r>
      <w:r>
        <w:rPr>
          <w:rFonts w:hint="eastAsia" w:ascii="仿宋" w:hAnsi="仿宋" w:eastAsia="仿宋" w:cs="仿宋"/>
          <w:color w:val="auto"/>
          <w:sz w:val="22"/>
          <w:szCs w:val="22"/>
          <w:highlight w:val="none"/>
        </w:rPr>
        <w:instrText xml:space="preserve"> HYPERLINK \l "_Toc20067" </w:instrText>
      </w:r>
      <w:r>
        <w:rPr>
          <w:rFonts w:hint="eastAsia" w:ascii="仿宋" w:hAnsi="仿宋" w:eastAsia="仿宋" w:cs="仿宋"/>
          <w:color w:val="auto"/>
          <w:sz w:val="22"/>
          <w:szCs w:val="22"/>
          <w:highlight w:val="none"/>
        </w:rPr>
        <w:fldChar w:fldCharType="separate"/>
      </w:r>
      <w:r>
        <w:rPr>
          <w:rFonts w:hint="eastAsia" w:ascii="仿宋" w:hAnsi="仿宋" w:eastAsia="仿宋" w:cs="仿宋"/>
          <w:color w:val="auto"/>
          <w:sz w:val="24"/>
          <w:szCs w:val="24"/>
          <w:highlight w:val="none"/>
        </w:rPr>
        <w:t>第四章  供应商资格证明材料</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PAGEREF _Toc20067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27</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fldChar w:fldCharType="end"/>
      </w:r>
    </w:p>
    <w:p>
      <w:pPr>
        <w:pStyle w:val="18"/>
        <w:tabs>
          <w:tab w:val="right" w:leader="dot" w:pos="8400"/>
          <w:tab w:val="clear" w:pos="9345"/>
        </w:tabs>
        <w:spacing w:line="720" w:lineRule="auto"/>
        <w:rPr>
          <w:rFonts w:hint="eastAsia" w:ascii="仿宋" w:hAnsi="仿宋" w:eastAsia="仿宋" w:cs="仿宋"/>
          <w:color w:val="auto"/>
          <w:sz w:val="24"/>
          <w:szCs w:val="24"/>
          <w:highlight w:val="none"/>
        </w:rPr>
      </w:pPr>
      <w:r>
        <w:rPr>
          <w:rFonts w:hint="eastAsia" w:ascii="仿宋" w:hAnsi="仿宋" w:eastAsia="仿宋" w:cs="仿宋"/>
          <w:color w:val="auto"/>
          <w:sz w:val="22"/>
          <w:szCs w:val="22"/>
          <w:highlight w:val="none"/>
        </w:rPr>
        <w:fldChar w:fldCharType="begin"/>
      </w:r>
      <w:r>
        <w:rPr>
          <w:rFonts w:hint="eastAsia" w:ascii="仿宋" w:hAnsi="仿宋" w:eastAsia="仿宋" w:cs="仿宋"/>
          <w:color w:val="auto"/>
          <w:sz w:val="22"/>
          <w:szCs w:val="22"/>
          <w:highlight w:val="none"/>
        </w:rPr>
        <w:instrText xml:space="preserve"> HYPERLINK \l "_Toc4361" </w:instrText>
      </w:r>
      <w:r>
        <w:rPr>
          <w:rFonts w:hint="eastAsia" w:ascii="仿宋" w:hAnsi="仿宋" w:eastAsia="仿宋" w:cs="仿宋"/>
          <w:color w:val="auto"/>
          <w:sz w:val="22"/>
          <w:szCs w:val="22"/>
          <w:highlight w:val="none"/>
        </w:rPr>
        <w:fldChar w:fldCharType="separate"/>
      </w:r>
      <w:r>
        <w:rPr>
          <w:rFonts w:hint="eastAsia" w:ascii="仿宋" w:hAnsi="仿宋" w:eastAsia="仿宋" w:cs="仿宋"/>
          <w:color w:val="auto"/>
          <w:sz w:val="24"/>
          <w:szCs w:val="24"/>
          <w:highlight w:val="none"/>
        </w:rPr>
        <w:t>第五章  采购项目技术、服务、合同内容重要条款及其他商务要求</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PAGEREF _Toc4361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29</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fldChar w:fldCharType="end"/>
      </w:r>
    </w:p>
    <w:p>
      <w:pPr>
        <w:pStyle w:val="18"/>
        <w:tabs>
          <w:tab w:val="right" w:leader="dot" w:pos="8400"/>
          <w:tab w:val="clear" w:pos="9345"/>
        </w:tabs>
        <w:spacing w:line="720" w:lineRule="auto"/>
        <w:rPr>
          <w:rFonts w:hint="eastAsia" w:ascii="仿宋" w:hAnsi="仿宋" w:eastAsia="仿宋" w:cs="仿宋"/>
          <w:color w:val="auto"/>
          <w:sz w:val="24"/>
          <w:szCs w:val="24"/>
          <w:highlight w:val="none"/>
        </w:rPr>
      </w:pPr>
      <w:r>
        <w:rPr>
          <w:rFonts w:hint="eastAsia" w:ascii="仿宋" w:hAnsi="仿宋" w:eastAsia="仿宋" w:cs="仿宋"/>
          <w:color w:val="auto"/>
          <w:sz w:val="22"/>
          <w:szCs w:val="22"/>
          <w:highlight w:val="none"/>
        </w:rPr>
        <w:fldChar w:fldCharType="begin"/>
      </w:r>
      <w:r>
        <w:rPr>
          <w:rFonts w:hint="eastAsia" w:ascii="仿宋" w:hAnsi="仿宋" w:eastAsia="仿宋" w:cs="仿宋"/>
          <w:color w:val="auto"/>
          <w:sz w:val="22"/>
          <w:szCs w:val="22"/>
          <w:highlight w:val="none"/>
        </w:rPr>
        <w:instrText xml:space="preserve"> HYPERLINK \l "_Toc4071" </w:instrText>
      </w:r>
      <w:r>
        <w:rPr>
          <w:rFonts w:hint="eastAsia" w:ascii="仿宋" w:hAnsi="仿宋" w:eastAsia="仿宋" w:cs="仿宋"/>
          <w:color w:val="auto"/>
          <w:sz w:val="22"/>
          <w:szCs w:val="22"/>
          <w:highlight w:val="none"/>
        </w:rPr>
        <w:fldChar w:fldCharType="separate"/>
      </w:r>
      <w:r>
        <w:rPr>
          <w:rFonts w:hint="eastAsia" w:ascii="仿宋" w:hAnsi="仿宋" w:eastAsia="仿宋" w:cs="仿宋"/>
          <w:color w:val="auto"/>
          <w:sz w:val="24"/>
          <w:szCs w:val="24"/>
          <w:highlight w:val="none"/>
        </w:rPr>
        <w:t>第六章  采购项目实质性要求</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PAGEREF _Toc4071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50</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fldChar w:fldCharType="end"/>
      </w:r>
    </w:p>
    <w:p>
      <w:pPr>
        <w:pStyle w:val="18"/>
        <w:tabs>
          <w:tab w:val="right" w:leader="dot" w:pos="8400"/>
          <w:tab w:val="clear" w:pos="9345"/>
        </w:tabs>
        <w:spacing w:line="720" w:lineRule="auto"/>
        <w:rPr>
          <w:rFonts w:hint="eastAsia" w:ascii="仿宋" w:hAnsi="仿宋" w:eastAsia="仿宋" w:cs="仿宋"/>
          <w:color w:val="auto"/>
          <w:sz w:val="24"/>
          <w:szCs w:val="24"/>
          <w:highlight w:val="none"/>
        </w:rPr>
      </w:pPr>
      <w:r>
        <w:rPr>
          <w:rFonts w:hint="eastAsia" w:ascii="仿宋" w:hAnsi="仿宋" w:eastAsia="仿宋" w:cs="仿宋"/>
          <w:color w:val="auto"/>
          <w:sz w:val="22"/>
          <w:szCs w:val="22"/>
          <w:highlight w:val="none"/>
        </w:rPr>
        <w:fldChar w:fldCharType="begin"/>
      </w:r>
      <w:r>
        <w:rPr>
          <w:rFonts w:hint="eastAsia" w:ascii="仿宋" w:hAnsi="仿宋" w:eastAsia="仿宋" w:cs="仿宋"/>
          <w:color w:val="auto"/>
          <w:sz w:val="22"/>
          <w:szCs w:val="22"/>
          <w:highlight w:val="none"/>
        </w:rPr>
        <w:instrText xml:space="preserve"> HYPERLINK \l "_Toc1739" </w:instrText>
      </w:r>
      <w:r>
        <w:rPr>
          <w:rFonts w:hint="eastAsia" w:ascii="仿宋" w:hAnsi="仿宋" w:eastAsia="仿宋" w:cs="仿宋"/>
          <w:color w:val="auto"/>
          <w:sz w:val="22"/>
          <w:szCs w:val="22"/>
          <w:highlight w:val="none"/>
        </w:rPr>
        <w:fldChar w:fldCharType="separate"/>
      </w:r>
      <w:r>
        <w:rPr>
          <w:rFonts w:hint="eastAsia" w:ascii="仿宋" w:hAnsi="仿宋" w:eastAsia="仿宋" w:cs="仿宋"/>
          <w:color w:val="auto"/>
          <w:sz w:val="24"/>
          <w:szCs w:val="24"/>
          <w:highlight w:val="none"/>
        </w:rPr>
        <w:t>第七章  谈判内容、谈判过程中可能实质性变动的内容</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PAGEREF _Toc1739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51</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fldChar w:fldCharType="end"/>
      </w:r>
    </w:p>
    <w:p>
      <w:pPr>
        <w:pStyle w:val="18"/>
        <w:tabs>
          <w:tab w:val="right" w:leader="dot" w:pos="8400"/>
          <w:tab w:val="clear" w:pos="9345"/>
        </w:tabs>
        <w:spacing w:line="720" w:lineRule="auto"/>
        <w:rPr>
          <w:rFonts w:hint="eastAsia" w:ascii="仿宋" w:hAnsi="仿宋" w:eastAsia="仿宋" w:cs="仿宋"/>
          <w:color w:val="auto"/>
          <w:sz w:val="24"/>
          <w:szCs w:val="24"/>
          <w:highlight w:val="none"/>
        </w:rPr>
      </w:pPr>
      <w:r>
        <w:rPr>
          <w:rFonts w:hint="eastAsia" w:ascii="仿宋" w:hAnsi="仿宋" w:eastAsia="仿宋" w:cs="仿宋"/>
          <w:color w:val="auto"/>
          <w:sz w:val="22"/>
          <w:szCs w:val="22"/>
          <w:highlight w:val="none"/>
        </w:rPr>
        <w:fldChar w:fldCharType="begin"/>
      </w:r>
      <w:r>
        <w:rPr>
          <w:rFonts w:hint="eastAsia" w:ascii="仿宋" w:hAnsi="仿宋" w:eastAsia="仿宋" w:cs="仿宋"/>
          <w:color w:val="auto"/>
          <w:sz w:val="22"/>
          <w:szCs w:val="22"/>
          <w:highlight w:val="none"/>
        </w:rPr>
        <w:instrText xml:space="preserve"> HYPERLINK \l "_Toc12248" </w:instrText>
      </w:r>
      <w:r>
        <w:rPr>
          <w:rFonts w:hint="eastAsia" w:ascii="仿宋" w:hAnsi="仿宋" w:eastAsia="仿宋" w:cs="仿宋"/>
          <w:color w:val="auto"/>
          <w:sz w:val="22"/>
          <w:szCs w:val="22"/>
          <w:highlight w:val="none"/>
        </w:rPr>
        <w:fldChar w:fldCharType="separate"/>
      </w:r>
      <w:r>
        <w:rPr>
          <w:rFonts w:hint="eastAsia" w:ascii="仿宋" w:hAnsi="仿宋" w:eastAsia="仿宋" w:cs="仿宋"/>
          <w:color w:val="auto"/>
          <w:sz w:val="24"/>
          <w:szCs w:val="24"/>
          <w:highlight w:val="none"/>
        </w:rPr>
        <w:t xml:space="preserve">第八章  </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格式</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PAGEREF _Toc12248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52</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fldChar w:fldCharType="end"/>
      </w:r>
    </w:p>
    <w:p>
      <w:pPr>
        <w:pStyle w:val="18"/>
        <w:tabs>
          <w:tab w:val="right" w:leader="dot" w:pos="8400"/>
          <w:tab w:val="clear" w:pos="9345"/>
        </w:tabs>
        <w:spacing w:line="720" w:lineRule="auto"/>
        <w:rPr>
          <w:rFonts w:hint="eastAsia" w:ascii="仿宋" w:hAnsi="仿宋" w:eastAsia="仿宋" w:cs="仿宋"/>
          <w:color w:val="auto"/>
          <w:sz w:val="24"/>
          <w:szCs w:val="24"/>
          <w:highlight w:val="none"/>
        </w:rPr>
      </w:pPr>
      <w:r>
        <w:rPr>
          <w:rFonts w:hint="eastAsia" w:ascii="仿宋" w:hAnsi="仿宋" w:eastAsia="仿宋" w:cs="仿宋"/>
          <w:color w:val="auto"/>
          <w:sz w:val="22"/>
          <w:szCs w:val="22"/>
          <w:highlight w:val="none"/>
        </w:rPr>
        <w:fldChar w:fldCharType="begin"/>
      </w:r>
      <w:r>
        <w:rPr>
          <w:rFonts w:hint="eastAsia" w:ascii="仿宋" w:hAnsi="仿宋" w:eastAsia="仿宋" w:cs="仿宋"/>
          <w:color w:val="auto"/>
          <w:sz w:val="22"/>
          <w:szCs w:val="22"/>
          <w:highlight w:val="none"/>
        </w:rPr>
        <w:instrText xml:space="preserve"> HYPERLINK \l "_Toc4847" </w:instrText>
      </w:r>
      <w:r>
        <w:rPr>
          <w:rFonts w:hint="eastAsia" w:ascii="仿宋" w:hAnsi="仿宋" w:eastAsia="仿宋" w:cs="仿宋"/>
          <w:color w:val="auto"/>
          <w:sz w:val="22"/>
          <w:szCs w:val="22"/>
          <w:highlight w:val="none"/>
        </w:rPr>
        <w:fldChar w:fldCharType="separate"/>
      </w:r>
      <w:r>
        <w:rPr>
          <w:rFonts w:hint="eastAsia" w:ascii="仿宋" w:hAnsi="仿宋" w:eastAsia="仿宋" w:cs="仿宋"/>
          <w:color w:val="auto"/>
          <w:sz w:val="24"/>
          <w:szCs w:val="24"/>
          <w:highlight w:val="none"/>
        </w:rPr>
        <w:t>第九章  评审方法</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PAGEREF _Toc4847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75</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fldChar w:fldCharType="end"/>
      </w:r>
    </w:p>
    <w:p>
      <w:pPr>
        <w:pStyle w:val="18"/>
        <w:tabs>
          <w:tab w:val="right" w:leader="dot" w:pos="8400"/>
          <w:tab w:val="clear" w:pos="9345"/>
        </w:tabs>
        <w:spacing w:line="720" w:lineRule="auto"/>
        <w:rPr>
          <w:rFonts w:hint="eastAsia" w:ascii="仿宋" w:hAnsi="仿宋" w:eastAsia="仿宋" w:cs="仿宋"/>
          <w:color w:val="auto"/>
          <w:sz w:val="24"/>
          <w:szCs w:val="24"/>
          <w:highlight w:val="none"/>
        </w:rPr>
      </w:pPr>
      <w:r>
        <w:rPr>
          <w:rFonts w:hint="eastAsia" w:ascii="仿宋" w:hAnsi="仿宋" w:eastAsia="仿宋" w:cs="仿宋"/>
          <w:color w:val="auto"/>
          <w:sz w:val="22"/>
          <w:szCs w:val="22"/>
          <w:highlight w:val="none"/>
        </w:rPr>
        <w:fldChar w:fldCharType="begin"/>
      </w:r>
      <w:r>
        <w:rPr>
          <w:rFonts w:hint="eastAsia" w:ascii="仿宋" w:hAnsi="仿宋" w:eastAsia="仿宋" w:cs="仿宋"/>
          <w:color w:val="auto"/>
          <w:sz w:val="22"/>
          <w:szCs w:val="22"/>
          <w:highlight w:val="none"/>
        </w:rPr>
        <w:instrText xml:space="preserve"> HYPERLINK \l "_Toc30879" </w:instrText>
      </w:r>
      <w:r>
        <w:rPr>
          <w:rFonts w:hint="eastAsia" w:ascii="仿宋" w:hAnsi="仿宋" w:eastAsia="仿宋" w:cs="仿宋"/>
          <w:color w:val="auto"/>
          <w:sz w:val="22"/>
          <w:szCs w:val="22"/>
          <w:highlight w:val="none"/>
        </w:rPr>
        <w:fldChar w:fldCharType="separate"/>
      </w:r>
      <w:r>
        <w:rPr>
          <w:rFonts w:hint="eastAsia" w:ascii="仿宋" w:hAnsi="仿宋" w:eastAsia="仿宋" w:cs="仿宋"/>
          <w:color w:val="auto"/>
          <w:sz w:val="24"/>
          <w:szCs w:val="24"/>
          <w:highlight w:val="none"/>
        </w:rPr>
        <w:t>第十章  政府采购合同（参考文本）</w:t>
      </w:r>
      <w:r>
        <w:rPr>
          <w:rFonts w:hint="eastAsia" w:ascii="仿宋" w:hAnsi="仿宋" w:eastAsia="仿宋" w:cs="仿宋"/>
          <w:color w:val="auto"/>
          <w:sz w:val="24"/>
          <w:szCs w:val="24"/>
          <w:highlight w:val="none"/>
        </w:rPr>
        <w:tab/>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PAGEREF _Toc30879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83</w: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fldChar w:fldCharType="end"/>
      </w:r>
    </w:p>
    <w:p>
      <w:pPr>
        <w:spacing w:line="72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fldChar w:fldCharType="end"/>
      </w:r>
    </w:p>
    <w:p>
      <w:pPr>
        <w:pStyle w:val="3"/>
        <w:keepNext w:val="0"/>
        <w:keepLines w:val="0"/>
        <w:spacing w:before="0" w:after="0" w:line="360" w:lineRule="auto"/>
        <w:ind w:right="473" w:rightChars="225"/>
        <w:jc w:val="center"/>
        <w:rPr>
          <w:rFonts w:hint="eastAsia" w:ascii="仿宋" w:hAnsi="仿宋" w:eastAsia="仿宋" w:cs="仿宋"/>
          <w:color w:val="auto"/>
          <w:sz w:val="36"/>
          <w:szCs w:val="36"/>
          <w:highlight w:val="none"/>
        </w:rPr>
        <w:sectPr>
          <w:pgSz w:w="11850" w:h="16783"/>
          <w:pgMar w:top="1440" w:right="1650" w:bottom="1440" w:left="1800" w:header="851" w:footer="992" w:gutter="0"/>
          <w:pgNumType w:start="1"/>
          <w:cols w:space="720" w:num="1"/>
          <w:titlePg/>
          <w:docGrid w:linePitch="312" w:charSpace="0"/>
        </w:sectPr>
      </w:pPr>
      <w:bookmarkStart w:id="4" w:name="_Toc17590"/>
    </w:p>
    <w:p>
      <w:pPr>
        <w:pStyle w:val="3"/>
        <w:keepNext w:val="0"/>
        <w:keepLines w:val="0"/>
        <w:spacing w:before="0" w:after="0" w:line="360" w:lineRule="auto"/>
        <w:ind w:right="473" w:rightChars="225"/>
        <w:jc w:val="center"/>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rPr>
        <w:t>第一章谈判邀请</w:t>
      </w:r>
      <w:bookmarkEnd w:id="3"/>
      <w:bookmarkEnd w:id="4"/>
    </w:p>
    <w:p>
      <w:pPr>
        <w:spacing w:line="360" w:lineRule="auto"/>
        <w:ind w:firstLine="240" w:firstLineChars="1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利阳致诚国际项目管理有限公司</w:t>
      </w:r>
      <w:r>
        <w:rPr>
          <w:rFonts w:hint="eastAsia" w:ascii="仿宋" w:hAnsi="仿宋" w:eastAsia="仿宋" w:cs="仿宋"/>
          <w:color w:val="auto"/>
          <w:sz w:val="24"/>
          <w:highlight w:val="none"/>
        </w:rPr>
        <w:t>受</w:t>
      </w:r>
      <w:r>
        <w:rPr>
          <w:rFonts w:hint="eastAsia" w:ascii="仿宋" w:hAnsi="仿宋" w:eastAsia="仿宋" w:cs="仿宋"/>
          <w:color w:val="auto"/>
          <w:sz w:val="24"/>
          <w:highlight w:val="none"/>
          <w:lang w:eastAsia="zh-CN"/>
        </w:rPr>
        <w:t>成都市双流区中医医院</w:t>
      </w:r>
      <w:r>
        <w:rPr>
          <w:rFonts w:hint="eastAsia" w:ascii="仿宋" w:hAnsi="仿宋" w:eastAsia="仿宋" w:cs="仿宋"/>
          <w:color w:val="auto"/>
          <w:sz w:val="24"/>
          <w:highlight w:val="none"/>
        </w:rPr>
        <w:t>委托，拟对</w:t>
      </w:r>
      <w:bookmarkStart w:id="5" w:name="PO_默认文件内容_4"/>
      <w:r>
        <w:rPr>
          <w:rFonts w:hint="eastAsia" w:ascii="仿宋" w:hAnsi="仿宋" w:eastAsia="仿宋" w:cs="仿宋"/>
          <w:bCs/>
          <w:color w:val="auto"/>
          <w:sz w:val="24"/>
          <w:highlight w:val="none"/>
          <w:lang w:eastAsia="zh-CN"/>
        </w:rPr>
        <w:t>成都市双流区中医医院其他货物</w:t>
      </w:r>
      <w:r>
        <w:rPr>
          <w:rFonts w:hint="eastAsia" w:ascii="仿宋" w:hAnsi="仿宋" w:eastAsia="仿宋" w:cs="仿宋"/>
          <w:bCs/>
          <w:color w:val="auto"/>
          <w:sz w:val="24"/>
          <w:highlight w:val="none"/>
          <w:lang w:val="en-US" w:eastAsia="zh-CN"/>
        </w:rPr>
        <w:t>采购项目拟</w:t>
      </w:r>
      <w:r>
        <w:rPr>
          <w:rFonts w:hint="eastAsia" w:ascii="仿宋" w:hAnsi="仿宋" w:eastAsia="仿宋" w:cs="仿宋"/>
          <w:color w:val="auto"/>
          <w:sz w:val="24"/>
          <w:highlight w:val="none"/>
        </w:rPr>
        <w:t>进行</w:t>
      </w:r>
      <w:r>
        <w:rPr>
          <w:rFonts w:hint="eastAsia" w:ascii="仿宋" w:hAnsi="仿宋" w:eastAsia="仿宋" w:cs="仿宋"/>
          <w:color w:val="auto"/>
          <w:sz w:val="24"/>
          <w:highlight w:val="none"/>
          <w:lang w:val="en-US" w:eastAsia="zh-CN"/>
        </w:rPr>
        <w:t>竞争性谈判采购</w:t>
      </w:r>
      <w:r>
        <w:rPr>
          <w:rFonts w:hint="eastAsia" w:ascii="仿宋" w:hAnsi="仿宋" w:eastAsia="仿宋" w:cs="仿宋"/>
          <w:color w:val="auto"/>
          <w:sz w:val="24"/>
          <w:highlight w:val="none"/>
        </w:rPr>
        <w:t>，</w:t>
      </w:r>
      <w:bookmarkEnd w:id="5"/>
      <w:r>
        <w:rPr>
          <w:rFonts w:hint="eastAsia" w:ascii="仿宋" w:hAnsi="仿宋" w:eastAsia="仿宋" w:cs="仿宋"/>
          <w:color w:val="auto"/>
          <w:sz w:val="24"/>
          <w:highlight w:val="none"/>
        </w:rPr>
        <w:t>特邀请符合本次采购要求的供应商参加本项目的竞争性</w:t>
      </w:r>
      <w:r>
        <w:rPr>
          <w:rFonts w:hint="eastAsia" w:ascii="仿宋" w:hAnsi="仿宋" w:eastAsia="仿宋" w:cs="仿宋"/>
          <w:color w:val="auto"/>
          <w:sz w:val="24"/>
          <w:highlight w:val="none"/>
          <w:lang w:val="en-US" w:eastAsia="zh-CN"/>
        </w:rPr>
        <w:t>谈判</w:t>
      </w:r>
      <w:r>
        <w:rPr>
          <w:rFonts w:hint="eastAsia" w:ascii="仿宋" w:hAnsi="仿宋" w:eastAsia="仿宋" w:cs="仿宋"/>
          <w:color w:val="auto"/>
          <w:sz w:val="24"/>
          <w:highlight w:val="none"/>
        </w:rPr>
        <w:t>。</w:t>
      </w:r>
    </w:p>
    <w:p>
      <w:pPr>
        <w:spacing w:line="360" w:lineRule="auto"/>
        <w:ind w:firstLine="241" w:firstLineChars="1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一、项目基本情况</w:t>
      </w:r>
    </w:p>
    <w:p>
      <w:pPr>
        <w:spacing w:line="360" w:lineRule="auto"/>
        <w:ind w:firstLine="338" w:firstLineChars="141"/>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（一）项目编号：</w:t>
      </w:r>
      <w:r>
        <w:rPr>
          <w:rFonts w:hint="eastAsia" w:ascii="仿宋" w:hAnsi="仿宋" w:eastAsia="仿宋" w:cs="仿宋"/>
          <w:bCs/>
          <w:color w:val="auto"/>
          <w:sz w:val="24"/>
          <w:highlight w:val="none"/>
          <w:lang w:val="en-US" w:eastAsia="zh-CN"/>
        </w:rPr>
        <w:t>510122202100522</w:t>
      </w:r>
      <w:r>
        <w:rPr>
          <w:rFonts w:hint="eastAsia" w:ascii="仿宋" w:hAnsi="仿宋" w:eastAsia="仿宋" w:cs="仿宋"/>
          <w:bCs/>
          <w:color w:val="auto"/>
          <w:sz w:val="24"/>
          <w:highlight w:val="none"/>
        </w:rPr>
        <w:t>；</w:t>
      </w:r>
    </w:p>
    <w:p>
      <w:pPr>
        <w:spacing w:line="360" w:lineRule="auto"/>
        <w:ind w:right="-332" w:rightChars="-158" w:firstLine="338" w:firstLineChars="141"/>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（二）项目名称：</w:t>
      </w:r>
      <w:r>
        <w:rPr>
          <w:rFonts w:hint="eastAsia" w:ascii="仿宋" w:hAnsi="仿宋" w:eastAsia="仿宋" w:cs="仿宋"/>
          <w:bCs/>
          <w:color w:val="auto"/>
          <w:sz w:val="24"/>
          <w:highlight w:val="none"/>
          <w:lang w:eastAsia="zh-CN"/>
        </w:rPr>
        <w:t>成都市双流区中医医院其他货物采购项目</w:t>
      </w:r>
      <w:r>
        <w:rPr>
          <w:rFonts w:hint="eastAsia" w:ascii="仿宋" w:hAnsi="仿宋" w:eastAsia="仿宋" w:cs="仿宋"/>
          <w:bCs/>
          <w:color w:val="auto"/>
          <w:sz w:val="24"/>
          <w:highlight w:val="none"/>
        </w:rPr>
        <w:t>；</w:t>
      </w:r>
    </w:p>
    <w:p>
      <w:pPr>
        <w:spacing w:line="360" w:lineRule="auto"/>
        <w:ind w:firstLine="338" w:firstLineChars="141"/>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（三）采购方式：竞争性谈判；</w:t>
      </w:r>
    </w:p>
    <w:p>
      <w:pPr>
        <w:spacing w:line="360" w:lineRule="auto"/>
        <w:ind w:firstLine="338" w:firstLineChars="141"/>
        <w:rPr>
          <w:rFonts w:hint="eastAsia" w:ascii="仿宋" w:hAnsi="仿宋" w:eastAsia="仿宋" w:cs="仿宋"/>
          <w:b w:val="0"/>
          <w:bCs/>
          <w:color w:val="auto"/>
          <w:sz w:val="24"/>
          <w:highlight w:val="none"/>
          <w:lang w:eastAsia="zh-CN"/>
        </w:rPr>
      </w:pPr>
      <w:r>
        <w:rPr>
          <w:rFonts w:hint="eastAsia" w:ascii="仿宋" w:hAnsi="仿宋" w:eastAsia="仿宋" w:cs="仿宋"/>
          <w:bCs/>
          <w:color w:val="auto"/>
          <w:sz w:val="24"/>
          <w:highlight w:val="none"/>
        </w:rPr>
        <w:t>（四）预算金额：</w:t>
      </w:r>
      <w:r>
        <w:rPr>
          <w:rFonts w:hint="eastAsia" w:ascii="仿宋" w:hAnsi="仿宋" w:eastAsia="仿宋" w:cs="仿宋"/>
          <w:b w:val="0"/>
          <w:bCs/>
          <w:color w:val="auto"/>
          <w:sz w:val="24"/>
          <w:highlight w:val="none"/>
          <w:lang w:val="en-US" w:eastAsia="zh-CN"/>
        </w:rPr>
        <w:t>人民币877778.33元</w:t>
      </w:r>
      <w:r>
        <w:rPr>
          <w:rFonts w:hint="eastAsia" w:ascii="仿宋" w:hAnsi="仿宋" w:eastAsia="仿宋" w:cs="仿宋"/>
          <w:b w:val="0"/>
          <w:bCs/>
          <w:color w:val="auto"/>
          <w:sz w:val="24"/>
          <w:highlight w:val="none"/>
        </w:rPr>
        <w:t>（01包</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lang w:val="en-US" w:eastAsia="zh-CN"/>
        </w:rPr>
        <w:t>人民币657495.00元</w:t>
      </w:r>
      <w:r>
        <w:rPr>
          <w:rFonts w:hint="eastAsia" w:ascii="仿宋" w:hAnsi="仿宋" w:eastAsia="仿宋" w:cs="仿宋"/>
          <w:b w:val="0"/>
          <w:bCs/>
          <w:color w:val="auto"/>
          <w:sz w:val="24"/>
          <w:highlight w:val="none"/>
        </w:rPr>
        <w:t>，02包</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lang w:val="en-US" w:eastAsia="zh-CN"/>
        </w:rPr>
        <w:t>人民币185770.00元</w:t>
      </w:r>
      <w:r>
        <w:rPr>
          <w:rFonts w:hint="eastAsia" w:ascii="仿宋" w:hAnsi="仿宋" w:eastAsia="仿宋" w:cs="仿宋"/>
          <w:b w:val="0"/>
          <w:bCs/>
          <w:color w:val="auto"/>
          <w:sz w:val="24"/>
          <w:highlight w:val="none"/>
        </w:rPr>
        <w:t>，03包</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lang w:val="en-US" w:eastAsia="zh-CN"/>
        </w:rPr>
        <w:t>人民币34513.33元</w:t>
      </w:r>
      <w:r>
        <w:rPr>
          <w:rFonts w:hint="eastAsia" w:ascii="仿宋" w:hAnsi="仿宋" w:eastAsia="仿宋" w:cs="仿宋"/>
          <w:b w:val="0"/>
          <w:bCs/>
          <w:color w:val="auto"/>
          <w:sz w:val="24"/>
          <w:highlight w:val="none"/>
          <w:lang w:eastAsia="zh-CN"/>
        </w:rPr>
        <w:t>）；</w:t>
      </w:r>
    </w:p>
    <w:p>
      <w:pPr>
        <w:adjustRightInd w:val="0"/>
        <w:snapToGrid w:val="0"/>
        <w:spacing w:after="0" w:line="360" w:lineRule="auto"/>
        <w:ind w:firstLine="458" w:firstLineChars="191"/>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（五）最高限价：</w:t>
      </w:r>
      <w:r>
        <w:rPr>
          <w:rFonts w:hint="eastAsia" w:ascii="仿宋" w:hAnsi="仿宋" w:eastAsia="仿宋" w:cs="仿宋"/>
          <w:b w:val="0"/>
          <w:bCs/>
          <w:color w:val="auto"/>
          <w:sz w:val="24"/>
          <w:highlight w:val="none"/>
          <w:lang w:val="en-US" w:eastAsia="zh-CN"/>
        </w:rPr>
        <w:t>人民币877778.33元</w:t>
      </w:r>
      <w:r>
        <w:rPr>
          <w:rFonts w:hint="eastAsia" w:ascii="仿宋" w:hAnsi="仿宋" w:eastAsia="仿宋" w:cs="仿宋"/>
          <w:b w:val="0"/>
          <w:bCs/>
          <w:color w:val="auto"/>
          <w:sz w:val="24"/>
          <w:highlight w:val="none"/>
        </w:rPr>
        <w:t>（01包</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lang w:val="en-US" w:eastAsia="zh-CN"/>
        </w:rPr>
        <w:t>人民币657495.00元</w:t>
      </w:r>
      <w:r>
        <w:rPr>
          <w:rFonts w:hint="eastAsia" w:ascii="仿宋" w:hAnsi="仿宋" w:eastAsia="仿宋" w:cs="仿宋"/>
          <w:b w:val="0"/>
          <w:bCs/>
          <w:color w:val="auto"/>
          <w:sz w:val="24"/>
          <w:highlight w:val="none"/>
        </w:rPr>
        <w:t>，02包</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lang w:val="en-US" w:eastAsia="zh-CN"/>
        </w:rPr>
        <w:t>人民币185770.00元</w:t>
      </w:r>
      <w:r>
        <w:rPr>
          <w:rFonts w:hint="eastAsia" w:ascii="仿宋" w:hAnsi="仿宋" w:eastAsia="仿宋" w:cs="仿宋"/>
          <w:b w:val="0"/>
          <w:bCs/>
          <w:color w:val="auto"/>
          <w:sz w:val="24"/>
          <w:highlight w:val="none"/>
        </w:rPr>
        <w:t>，03包</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lang w:val="en-US" w:eastAsia="zh-CN"/>
        </w:rPr>
        <w:t>人民币34512.30元</w:t>
      </w:r>
      <w:r>
        <w:rPr>
          <w:rFonts w:hint="eastAsia" w:ascii="仿宋" w:hAnsi="仿宋" w:eastAsia="仿宋" w:cs="仿宋"/>
          <w:b w:val="0"/>
          <w:bCs/>
          <w:color w:val="auto"/>
          <w:sz w:val="24"/>
          <w:highlight w:val="none"/>
          <w:lang w:eastAsia="zh-CN"/>
        </w:rPr>
        <w:t>）</w:t>
      </w:r>
      <w:r>
        <w:rPr>
          <w:rFonts w:hint="eastAsia" w:ascii="仿宋" w:hAnsi="仿宋" w:eastAsia="仿宋" w:cs="仿宋"/>
          <w:bCs/>
          <w:color w:val="auto"/>
          <w:sz w:val="24"/>
          <w:highlight w:val="none"/>
        </w:rPr>
        <w:t>，最高限价详见</w:t>
      </w:r>
      <w:r>
        <w:rPr>
          <w:rFonts w:hint="eastAsia" w:ascii="仿宋" w:hAnsi="仿宋" w:eastAsia="仿宋" w:cs="仿宋"/>
          <w:bCs/>
          <w:color w:val="auto"/>
          <w:sz w:val="24"/>
          <w:highlight w:val="none"/>
          <w:lang w:val="en-US" w:eastAsia="zh-CN"/>
        </w:rPr>
        <w:t>谈判文件</w:t>
      </w:r>
      <w:r>
        <w:rPr>
          <w:rFonts w:hint="eastAsia" w:ascii="仿宋" w:hAnsi="仿宋" w:eastAsia="仿宋" w:cs="仿宋"/>
          <w:bCs/>
          <w:color w:val="auto"/>
          <w:sz w:val="24"/>
          <w:highlight w:val="none"/>
        </w:rPr>
        <w:t>第</w:t>
      </w:r>
      <w:r>
        <w:rPr>
          <w:rFonts w:hint="eastAsia" w:ascii="仿宋" w:hAnsi="仿宋" w:eastAsia="仿宋" w:cs="仿宋"/>
          <w:bCs/>
          <w:color w:val="auto"/>
          <w:sz w:val="24"/>
          <w:highlight w:val="none"/>
          <w:lang w:val="en-US" w:eastAsia="zh-CN"/>
        </w:rPr>
        <w:t>五</w:t>
      </w:r>
      <w:r>
        <w:rPr>
          <w:rFonts w:hint="eastAsia" w:ascii="仿宋" w:hAnsi="仿宋" w:eastAsia="仿宋" w:cs="仿宋"/>
          <w:bCs/>
          <w:color w:val="auto"/>
          <w:sz w:val="24"/>
          <w:highlight w:val="none"/>
        </w:rPr>
        <w:t>章</w:t>
      </w:r>
      <w:r>
        <w:rPr>
          <w:rFonts w:hint="eastAsia" w:ascii="仿宋" w:hAnsi="仿宋" w:eastAsia="仿宋" w:cs="仿宋"/>
          <w:color w:val="auto"/>
          <w:sz w:val="24"/>
          <w:szCs w:val="24"/>
          <w:highlight w:val="none"/>
        </w:rPr>
        <w:t>；</w:t>
      </w:r>
    </w:p>
    <w:p>
      <w:pPr>
        <w:spacing w:line="360" w:lineRule="auto"/>
        <w:ind w:firstLine="338" w:firstLineChars="141"/>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（六）</w:t>
      </w:r>
      <w:r>
        <w:rPr>
          <w:rFonts w:hint="eastAsia" w:ascii="仿宋" w:hAnsi="仿宋" w:eastAsia="仿宋" w:cs="仿宋"/>
          <w:bCs/>
          <w:color w:val="auto"/>
          <w:sz w:val="24"/>
          <w:highlight w:val="none"/>
          <w:lang w:val="en-US" w:eastAsia="zh-CN"/>
        </w:rPr>
        <w:t>采购</w:t>
      </w:r>
      <w:r>
        <w:rPr>
          <w:rFonts w:hint="eastAsia" w:ascii="仿宋" w:hAnsi="仿宋" w:eastAsia="仿宋" w:cs="仿宋"/>
          <w:bCs/>
          <w:color w:val="auto"/>
          <w:sz w:val="24"/>
          <w:highlight w:val="none"/>
        </w:rPr>
        <w:t>项目简介：本次项目共分</w:t>
      </w:r>
      <w:r>
        <w:rPr>
          <w:rFonts w:hint="eastAsia" w:ascii="仿宋" w:hAnsi="仿宋" w:eastAsia="仿宋" w:cs="仿宋"/>
          <w:bCs/>
          <w:color w:val="auto"/>
          <w:sz w:val="24"/>
          <w:highlight w:val="none"/>
          <w:lang w:val="en-US" w:eastAsia="zh-CN"/>
        </w:rPr>
        <w:t>3</w:t>
      </w:r>
      <w:r>
        <w:rPr>
          <w:rFonts w:hint="eastAsia" w:ascii="仿宋" w:hAnsi="仿宋" w:eastAsia="仿宋" w:cs="仿宋"/>
          <w:bCs/>
          <w:color w:val="auto"/>
          <w:sz w:val="24"/>
          <w:highlight w:val="none"/>
        </w:rPr>
        <w:t>个包段</w:t>
      </w:r>
      <w:r>
        <w:rPr>
          <w:rFonts w:hint="eastAsia" w:ascii="仿宋" w:hAnsi="仿宋" w:eastAsia="仿宋" w:cs="仿宋"/>
          <w:bCs/>
          <w:color w:val="auto"/>
          <w:sz w:val="24"/>
          <w:highlight w:val="none"/>
          <w:lang w:eastAsia="zh-CN"/>
        </w:rPr>
        <w:t>，成都市双流区中医医院其他货物采购项目，</w:t>
      </w:r>
      <w:r>
        <w:rPr>
          <w:rFonts w:hint="eastAsia" w:ascii="仿宋" w:hAnsi="仿宋" w:eastAsia="仿宋" w:cs="仿宋"/>
          <w:bCs/>
          <w:color w:val="auto"/>
          <w:sz w:val="24"/>
          <w:highlight w:val="none"/>
          <w:lang w:val="en-US" w:eastAsia="zh-CN"/>
        </w:rPr>
        <w:t>具体详见谈判文件第五章。</w:t>
      </w:r>
    </w:p>
    <w:p>
      <w:pPr>
        <w:spacing w:line="360" w:lineRule="auto"/>
        <w:ind w:firstLine="340" w:firstLineChars="141"/>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二、申请人的资格要求</w:t>
      </w:r>
    </w:p>
    <w:p>
      <w:pPr>
        <w:spacing w:line="360" w:lineRule="auto"/>
        <w:ind w:firstLine="338" w:firstLineChars="141"/>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（一）满足《中华人民共和国政府采购法》第二十二条规定</w:t>
      </w:r>
    </w:p>
    <w:p>
      <w:pPr>
        <w:spacing w:line="360" w:lineRule="auto"/>
        <w:ind w:firstLine="338" w:firstLineChars="141"/>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1.具有独立承担民事责任的能力；</w:t>
      </w:r>
    </w:p>
    <w:p>
      <w:pPr>
        <w:spacing w:line="360" w:lineRule="auto"/>
        <w:ind w:firstLine="338" w:firstLineChars="141"/>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2.具有良好的商业信誉和健全的财务会计制度；</w:t>
      </w:r>
    </w:p>
    <w:p>
      <w:pPr>
        <w:spacing w:line="360" w:lineRule="auto"/>
        <w:ind w:firstLine="338" w:firstLineChars="141"/>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3.具有履行合同所必需的设备和专业技术能力；</w:t>
      </w:r>
    </w:p>
    <w:p>
      <w:pPr>
        <w:spacing w:line="360" w:lineRule="auto"/>
        <w:ind w:firstLine="338" w:firstLineChars="141"/>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4.有依法缴纳税收和社会保障资金的良好记录；</w:t>
      </w:r>
    </w:p>
    <w:p>
      <w:pPr>
        <w:spacing w:line="360" w:lineRule="auto"/>
        <w:ind w:firstLine="338" w:firstLineChars="141"/>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5.参加政府采购活动前三年内，在经营活动中没有重大违法记录；</w:t>
      </w:r>
    </w:p>
    <w:p>
      <w:pPr>
        <w:spacing w:line="360" w:lineRule="auto"/>
        <w:ind w:firstLine="338" w:firstLineChars="141"/>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6.法律、行政法规规定的其他条件；</w:t>
      </w:r>
    </w:p>
    <w:p>
      <w:pPr>
        <w:spacing w:line="360" w:lineRule="auto"/>
        <w:ind w:firstLine="338" w:firstLineChars="141"/>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（二）落实政府采购政策需满足的资格要求：</w:t>
      </w:r>
      <w:r>
        <w:rPr>
          <w:rFonts w:hint="eastAsia" w:ascii="仿宋" w:hAnsi="仿宋" w:eastAsia="仿宋" w:cs="仿宋"/>
          <w:bCs/>
          <w:color w:val="auto"/>
          <w:sz w:val="24"/>
          <w:highlight w:val="none"/>
          <w:lang w:val="en-US" w:eastAsia="zh-CN"/>
        </w:rPr>
        <w:t>02包、03包：专门面向中小企业采购的项目,供应商应为中小微企业、监狱企业、残疾人福利性单位。</w:t>
      </w:r>
      <w:r>
        <w:rPr>
          <w:rFonts w:hint="eastAsia" w:ascii="仿宋" w:hAnsi="仿宋" w:eastAsia="仿宋" w:cs="仿宋"/>
          <w:bCs/>
          <w:color w:val="auto"/>
          <w:sz w:val="24"/>
          <w:highlight w:val="none"/>
        </w:rPr>
        <w:t>。</w:t>
      </w:r>
    </w:p>
    <w:p>
      <w:pPr>
        <w:spacing w:line="360" w:lineRule="auto"/>
        <w:ind w:firstLine="338" w:firstLineChars="141"/>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rPr>
        <w:t>（三）本项目的特定资格要求：</w:t>
      </w:r>
      <w:r>
        <w:rPr>
          <w:rFonts w:hint="eastAsia" w:ascii="仿宋" w:hAnsi="仿宋" w:eastAsia="仿宋" w:cs="仿宋"/>
          <w:bCs/>
          <w:color w:val="auto"/>
          <w:sz w:val="24"/>
          <w:highlight w:val="none"/>
          <w:lang w:val="en-US" w:eastAsia="zh-CN"/>
        </w:rPr>
        <w:t>无。</w:t>
      </w:r>
    </w:p>
    <w:p>
      <w:pPr>
        <w:spacing w:line="360" w:lineRule="auto"/>
        <w:ind w:firstLine="338" w:firstLineChars="141"/>
        <w:rPr>
          <w:rFonts w:hint="eastAsia" w:ascii="仿宋" w:hAnsi="仿宋" w:eastAsia="仿宋" w:cs="仿宋"/>
          <w:bCs/>
          <w:color w:val="auto"/>
          <w:kern w:val="2"/>
          <w:sz w:val="24"/>
          <w:szCs w:val="21"/>
          <w:highlight w:val="none"/>
          <w:lang w:val="en-US" w:eastAsia="zh-CN" w:bidi="ar-SA"/>
        </w:rPr>
      </w:pPr>
      <w:r>
        <w:rPr>
          <w:rFonts w:hint="eastAsia" w:ascii="仿宋" w:hAnsi="仿宋" w:eastAsia="仿宋" w:cs="仿宋"/>
          <w:bCs/>
          <w:color w:val="auto"/>
          <w:kern w:val="2"/>
          <w:sz w:val="24"/>
          <w:szCs w:val="21"/>
          <w:highlight w:val="none"/>
          <w:lang w:val="en-US" w:eastAsia="zh-CN" w:bidi="ar-SA"/>
        </w:rPr>
        <w:t>（四）本项目不接受联合体参加。</w:t>
      </w:r>
    </w:p>
    <w:p>
      <w:pPr>
        <w:pStyle w:val="9"/>
        <w:rPr>
          <w:rFonts w:hint="eastAsia" w:ascii="仿宋" w:hAnsi="仿宋" w:eastAsia="仿宋" w:cs="仿宋"/>
          <w:color w:val="auto"/>
          <w:lang w:val="en-US" w:eastAsia="zh-CN"/>
        </w:rPr>
      </w:pPr>
    </w:p>
    <w:p>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三、获取</w:t>
      </w:r>
      <w:r>
        <w:rPr>
          <w:rFonts w:hint="eastAsia" w:ascii="仿宋" w:hAnsi="仿宋" w:eastAsia="仿宋" w:cs="仿宋"/>
          <w:b/>
          <w:bCs/>
          <w:color w:val="auto"/>
          <w:sz w:val="24"/>
          <w:highlight w:val="none"/>
          <w:lang w:val="en-US" w:eastAsia="zh-CN"/>
        </w:rPr>
        <w:t>谈判文件</w:t>
      </w:r>
      <w:r>
        <w:rPr>
          <w:rFonts w:hint="eastAsia" w:ascii="仿宋" w:hAnsi="仿宋" w:eastAsia="仿宋" w:cs="仿宋"/>
          <w:b/>
          <w:bCs/>
          <w:color w:val="auto"/>
          <w:sz w:val="24"/>
          <w:highlight w:val="none"/>
        </w:rPr>
        <w:t>时间期限、地点、方式以及采购文件售价</w:t>
      </w:r>
    </w:p>
    <w:p>
      <w:pPr>
        <w:spacing w:after="0"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bCs/>
          <w:color w:val="auto"/>
          <w:sz w:val="24"/>
          <w:highlight w:val="none"/>
          <w:lang w:val="en-US" w:eastAsia="zh-CN"/>
        </w:rPr>
        <w:t>谈判</w:t>
      </w:r>
      <w:r>
        <w:rPr>
          <w:rFonts w:hint="eastAsia" w:ascii="仿宋" w:hAnsi="仿宋" w:eastAsia="仿宋" w:cs="仿宋"/>
          <w:b/>
          <w:bCs/>
          <w:color w:val="auto"/>
          <w:sz w:val="24"/>
          <w:highlight w:val="none"/>
        </w:rPr>
        <w:t>文件获取时间：2021年</w:t>
      </w:r>
      <w:r>
        <w:rPr>
          <w:rFonts w:hint="eastAsia" w:ascii="仿宋" w:hAnsi="仿宋" w:eastAsia="仿宋" w:cs="仿宋"/>
          <w:b/>
          <w:bCs/>
          <w:color w:val="auto"/>
          <w:sz w:val="24"/>
          <w:highlight w:val="none"/>
          <w:lang w:val="en-US" w:eastAsia="zh-CN"/>
        </w:rPr>
        <w:t>11</w:t>
      </w:r>
      <w:r>
        <w:rPr>
          <w:rFonts w:hint="eastAsia" w:ascii="仿宋" w:hAnsi="仿宋" w:eastAsia="仿宋" w:cs="仿宋"/>
          <w:b/>
          <w:bCs/>
          <w:color w:val="auto"/>
          <w:sz w:val="24"/>
          <w:highlight w:val="none"/>
        </w:rPr>
        <w:t>月</w:t>
      </w:r>
      <w:r>
        <w:rPr>
          <w:rFonts w:hint="eastAsia" w:ascii="仿宋" w:hAnsi="仿宋" w:eastAsia="仿宋" w:cs="仿宋"/>
          <w:b/>
          <w:bCs/>
          <w:color w:val="auto"/>
          <w:sz w:val="24"/>
          <w:highlight w:val="none"/>
          <w:lang w:val="en-US" w:eastAsia="zh-CN"/>
        </w:rPr>
        <w:t>11</w:t>
      </w:r>
      <w:r>
        <w:rPr>
          <w:rFonts w:hint="eastAsia" w:ascii="仿宋" w:hAnsi="仿宋" w:eastAsia="仿宋" w:cs="仿宋"/>
          <w:b/>
          <w:bCs/>
          <w:color w:val="auto"/>
          <w:sz w:val="24"/>
          <w:highlight w:val="none"/>
        </w:rPr>
        <w:t>日至2021年</w:t>
      </w:r>
      <w:r>
        <w:rPr>
          <w:rFonts w:hint="eastAsia" w:ascii="仿宋" w:hAnsi="仿宋" w:eastAsia="仿宋" w:cs="仿宋"/>
          <w:b/>
          <w:bCs/>
          <w:color w:val="auto"/>
          <w:sz w:val="24"/>
          <w:highlight w:val="none"/>
          <w:lang w:val="en-US" w:eastAsia="zh-CN"/>
        </w:rPr>
        <w:t>11</w:t>
      </w:r>
      <w:r>
        <w:rPr>
          <w:rFonts w:hint="eastAsia" w:ascii="仿宋" w:hAnsi="仿宋" w:eastAsia="仿宋" w:cs="仿宋"/>
          <w:b/>
          <w:bCs/>
          <w:color w:val="auto"/>
          <w:sz w:val="24"/>
          <w:highlight w:val="none"/>
        </w:rPr>
        <w:t>月</w:t>
      </w:r>
      <w:r>
        <w:rPr>
          <w:rFonts w:hint="eastAsia" w:ascii="仿宋" w:hAnsi="仿宋" w:eastAsia="仿宋" w:cs="仿宋"/>
          <w:b/>
          <w:bCs/>
          <w:color w:val="auto"/>
          <w:sz w:val="24"/>
          <w:highlight w:val="none"/>
          <w:lang w:val="en-US" w:eastAsia="zh-CN"/>
        </w:rPr>
        <w:t>15</w:t>
      </w:r>
      <w:r>
        <w:rPr>
          <w:rFonts w:hint="eastAsia" w:ascii="仿宋" w:hAnsi="仿宋" w:eastAsia="仿宋" w:cs="仿宋"/>
          <w:b/>
          <w:bCs/>
          <w:color w:val="auto"/>
          <w:sz w:val="24"/>
          <w:highlight w:val="none"/>
        </w:rPr>
        <w:t>日</w:t>
      </w:r>
      <w:r>
        <w:rPr>
          <w:rFonts w:hint="eastAsia" w:ascii="仿宋" w:hAnsi="仿宋" w:eastAsia="仿宋" w:cs="仿宋"/>
          <w:color w:val="auto"/>
          <w:sz w:val="24"/>
          <w:highlight w:val="none"/>
        </w:rPr>
        <w:t>（北京时间，节假日除外）。</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谈判</w:t>
      </w:r>
      <w:r>
        <w:rPr>
          <w:rFonts w:hint="eastAsia" w:ascii="仿宋" w:hAnsi="仿宋" w:eastAsia="仿宋" w:cs="仿宋"/>
          <w:color w:val="auto"/>
          <w:sz w:val="24"/>
          <w:highlight w:val="none"/>
          <w:lang w:eastAsia="zh-CN"/>
        </w:rPr>
        <w:t>文件</w:t>
      </w:r>
      <w:r>
        <w:rPr>
          <w:rFonts w:hint="eastAsia" w:ascii="仿宋" w:hAnsi="仿宋" w:eastAsia="仿宋" w:cs="仿宋"/>
          <w:color w:val="auto"/>
          <w:sz w:val="24"/>
          <w:highlight w:val="none"/>
        </w:rPr>
        <w:t>获取地点：政府采购云平台（https://www.zcygov.cn/）。</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谈判</w:t>
      </w:r>
      <w:r>
        <w:rPr>
          <w:rFonts w:hint="eastAsia" w:ascii="仿宋" w:hAnsi="仿宋" w:eastAsia="仿宋" w:cs="仿宋"/>
          <w:color w:val="auto"/>
          <w:sz w:val="24"/>
          <w:highlight w:val="none"/>
          <w:lang w:eastAsia="zh-CN"/>
        </w:rPr>
        <w:t>文件</w:t>
      </w:r>
      <w:r>
        <w:rPr>
          <w:rFonts w:hint="eastAsia" w:ascii="仿宋" w:hAnsi="仿宋" w:eastAsia="仿宋" w:cs="仿宋"/>
          <w:color w:val="auto"/>
          <w:sz w:val="24"/>
          <w:highlight w:val="none"/>
        </w:rPr>
        <w:t>获取方式：凡有意参加本项目者，在本项目</w:t>
      </w:r>
      <w:r>
        <w:rPr>
          <w:rFonts w:hint="eastAsia" w:ascii="仿宋" w:hAnsi="仿宋" w:eastAsia="仿宋" w:cs="仿宋"/>
          <w:color w:val="auto"/>
          <w:sz w:val="24"/>
          <w:highlight w:val="none"/>
          <w:lang w:val="en-US" w:eastAsia="zh-CN"/>
        </w:rPr>
        <w:t>谈判</w:t>
      </w:r>
      <w:r>
        <w:rPr>
          <w:rFonts w:hint="eastAsia" w:ascii="仿宋" w:hAnsi="仿宋" w:eastAsia="仿宋" w:cs="仿宋"/>
          <w:color w:val="auto"/>
          <w:sz w:val="24"/>
          <w:highlight w:val="none"/>
          <w:lang w:eastAsia="zh-CN"/>
        </w:rPr>
        <w:t>文件</w:t>
      </w:r>
      <w:r>
        <w:rPr>
          <w:rFonts w:hint="eastAsia" w:ascii="仿宋" w:hAnsi="仿宋" w:eastAsia="仿宋" w:cs="仿宋"/>
          <w:color w:val="auto"/>
          <w:sz w:val="24"/>
          <w:highlight w:val="none"/>
        </w:rPr>
        <w:t>获取时间期限内，登录政府采购云平台（https://www.zcygov.cn/）获取，操作步骤：登录政府采购云平台—我的工作台—项目采购—获取采购文件—申请获取采购文件。 提示：（1）本项目</w:t>
      </w:r>
      <w:r>
        <w:rPr>
          <w:rFonts w:hint="eastAsia" w:ascii="仿宋" w:hAnsi="仿宋" w:eastAsia="仿宋" w:cs="仿宋"/>
          <w:color w:val="auto"/>
          <w:sz w:val="24"/>
          <w:highlight w:val="none"/>
          <w:lang w:val="en-US" w:eastAsia="zh-CN"/>
        </w:rPr>
        <w:t>谈判</w:t>
      </w:r>
      <w:r>
        <w:rPr>
          <w:rFonts w:hint="eastAsia" w:ascii="仿宋" w:hAnsi="仿宋" w:eastAsia="仿宋" w:cs="仿宋"/>
          <w:color w:val="auto"/>
          <w:sz w:val="24"/>
          <w:highlight w:val="none"/>
          <w:lang w:eastAsia="zh-CN"/>
        </w:rPr>
        <w:t>文件</w:t>
      </w:r>
      <w:r>
        <w:rPr>
          <w:rFonts w:hint="eastAsia" w:ascii="仿宋" w:hAnsi="仿宋" w:eastAsia="仿宋" w:cs="仿宋"/>
          <w:color w:val="auto"/>
          <w:sz w:val="24"/>
          <w:highlight w:val="none"/>
        </w:rPr>
        <w:t>免费获取。（2）</w:t>
      </w:r>
      <w:r>
        <w:rPr>
          <w:rFonts w:hint="eastAsia" w:ascii="仿宋" w:hAnsi="仿宋" w:eastAsia="仿宋" w:cs="仿宋"/>
          <w:color w:val="auto"/>
          <w:sz w:val="24"/>
          <w:highlight w:val="none"/>
          <w:lang w:val="en-US" w:eastAsia="zh-CN"/>
        </w:rPr>
        <w:t>供应商</w:t>
      </w:r>
      <w:r>
        <w:rPr>
          <w:rFonts w:hint="eastAsia" w:ascii="仿宋" w:hAnsi="仿宋" w:eastAsia="仿宋" w:cs="仿宋"/>
          <w:color w:val="auto"/>
          <w:sz w:val="24"/>
          <w:highlight w:val="none"/>
        </w:rPr>
        <w:t>只有在“政府采购云平台”完成获取</w:t>
      </w:r>
      <w:r>
        <w:rPr>
          <w:rFonts w:hint="eastAsia" w:ascii="仿宋" w:hAnsi="仿宋" w:eastAsia="仿宋" w:cs="仿宋"/>
          <w:color w:val="auto"/>
          <w:sz w:val="24"/>
          <w:highlight w:val="none"/>
          <w:lang w:val="en-US" w:eastAsia="zh-CN"/>
        </w:rPr>
        <w:t>谈判</w:t>
      </w:r>
      <w:r>
        <w:rPr>
          <w:rFonts w:hint="eastAsia" w:ascii="仿宋" w:hAnsi="仿宋" w:eastAsia="仿宋" w:cs="仿宋"/>
          <w:color w:val="auto"/>
          <w:sz w:val="24"/>
          <w:highlight w:val="none"/>
          <w:lang w:eastAsia="zh-CN"/>
        </w:rPr>
        <w:t>文件</w:t>
      </w:r>
      <w:r>
        <w:rPr>
          <w:rFonts w:hint="eastAsia" w:ascii="仿宋" w:hAnsi="仿宋" w:eastAsia="仿宋" w:cs="仿宋"/>
          <w:color w:val="auto"/>
          <w:sz w:val="24"/>
          <w:highlight w:val="none"/>
        </w:rPr>
        <w:t>申请并下载</w:t>
      </w:r>
      <w:r>
        <w:rPr>
          <w:rFonts w:hint="eastAsia" w:ascii="仿宋" w:hAnsi="仿宋" w:eastAsia="仿宋" w:cs="仿宋"/>
          <w:color w:val="auto"/>
          <w:sz w:val="24"/>
          <w:highlight w:val="none"/>
          <w:lang w:val="en-US" w:eastAsia="zh-CN"/>
        </w:rPr>
        <w:t>谈判</w:t>
      </w:r>
      <w:r>
        <w:rPr>
          <w:rFonts w:hint="eastAsia" w:ascii="仿宋" w:hAnsi="仿宋" w:eastAsia="仿宋" w:cs="仿宋"/>
          <w:color w:val="auto"/>
          <w:sz w:val="24"/>
          <w:highlight w:val="none"/>
          <w:lang w:eastAsia="zh-CN"/>
        </w:rPr>
        <w:t>文件</w:t>
      </w:r>
      <w:r>
        <w:rPr>
          <w:rFonts w:hint="eastAsia" w:ascii="仿宋" w:hAnsi="仿宋" w:eastAsia="仿宋" w:cs="仿宋"/>
          <w:color w:val="auto"/>
          <w:sz w:val="24"/>
          <w:highlight w:val="none"/>
        </w:rPr>
        <w:t>后才视作依法参与本项目。如未在“政府采购云平台”内完成相关流程，引起的投标无效责任自负。</w:t>
      </w:r>
    </w:p>
    <w:p>
      <w:pPr>
        <w:spacing w:line="360" w:lineRule="auto"/>
        <w:ind w:firstLine="340" w:firstLineChars="141"/>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四、</w:t>
      </w:r>
      <w:r>
        <w:rPr>
          <w:rFonts w:hint="eastAsia" w:ascii="仿宋" w:hAnsi="仿宋" w:eastAsia="仿宋" w:cs="仿宋"/>
          <w:b/>
          <w:bCs/>
          <w:color w:val="auto"/>
          <w:sz w:val="24"/>
          <w:highlight w:val="none"/>
          <w:lang w:eastAsia="zh-CN"/>
        </w:rPr>
        <w:t>谈判文件</w:t>
      </w:r>
      <w:r>
        <w:rPr>
          <w:rFonts w:hint="eastAsia" w:ascii="仿宋" w:hAnsi="仿宋" w:eastAsia="仿宋" w:cs="仿宋"/>
          <w:b/>
          <w:bCs/>
          <w:color w:val="auto"/>
          <w:sz w:val="24"/>
          <w:highlight w:val="none"/>
          <w:lang w:val="en-US" w:eastAsia="zh-CN"/>
        </w:rPr>
        <w:t>递交</w:t>
      </w:r>
      <w:r>
        <w:rPr>
          <w:rFonts w:hint="eastAsia" w:ascii="仿宋" w:hAnsi="仿宋" w:eastAsia="仿宋" w:cs="仿宋"/>
          <w:b/>
          <w:bCs/>
          <w:color w:val="auto"/>
          <w:sz w:val="24"/>
          <w:highlight w:val="none"/>
        </w:rPr>
        <w:t>截止时间及地点</w:t>
      </w:r>
    </w:p>
    <w:p>
      <w:pPr>
        <w:spacing w:line="360" w:lineRule="auto"/>
        <w:ind w:firstLine="338" w:firstLineChars="141"/>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w:t>
      </w:r>
      <w:r>
        <w:rPr>
          <w:rFonts w:hint="eastAsia" w:ascii="仿宋" w:hAnsi="仿宋" w:eastAsia="仿宋" w:cs="仿宋"/>
          <w:b/>
          <w:bCs/>
          <w:color w:val="auto"/>
          <w:sz w:val="24"/>
          <w:highlight w:val="none"/>
          <w:lang w:eastAsia="zh-CN"/>
        </w:rPr>
        <w:t>谈判文件</w:t>
      </w:r>
      <w:r>
        <w:rPr>
          <w:rFonts w:hint="eastAsia" w:ascii="仿宋" w:hAnsi="仿宋" w:eastAsia="仿宋" w:cs="仿宋"/>
          <w:b/>
          <w:bCs/>
          <w:color w:val="auto"/>
          <w:sz w:val="24"/>
          <w:highlight w:val="none"/>
          <w:lang w:val="en-US" w:eastAsia="zh-CN"/>
        </w:rPr>
        <w:t>递交</w:t>
      </w:r>
      <w:r>
        <w:rPr>
          <w:rFonts w:hint="eastAsia" w:ascii="仿宋" w:hAnsi="仿宋" w:eastAsia="仿宋" w:cs="仿宋"/>
          <w:b/>
          <w:bCs/>
          <w:color w:val="auto"/>
          <w:sz w:val="24"/>
          <w:highlight w:val="none"/>
        </w:rPr>
        <w:t>截止时间：</w:t>
      </w:r>
      <w:r>
        <w:rPr>
          <w:rFonts w:hint="eastAsia" w:ascii="仿宋" w:hAnsi="仿宋" w:eastAsia="仿宋" w:cs="仿宋"/>
          <w:bCs/>
          <w:color w:val="auto"/>
          <w:sz w:val="24"/>
          <w:highlight w:val="none"/>
        </w:rPr>
        <w:t>2021年</w:t>
      </w:r>
      <w:r>
        <w:rPr>
          <w:rFonts w:hint="eastAsia" w:ascii="仿宋" w:hAnsi="仿宋" w:eastAsia="仿宋" w:cs="仿宋"/>
          <w:bCs/>
          <w:color w:val="auto"/>
          <w:sz w:val="24"/>
          <w:highlight w:val="none"/>
          <w:lang w:val="en-US" w:eastAsia="zh-CN"/>
        </w:rPr>
        <w:t>11</w:t>
      </w:r>
      <w:r>
        <w:rPr>
          <w:rFonts w:hint="eastAsia" w:ascii="仿宋" w:hAnsi="仿宋" w:eastAsia="仿宋" w:cs="仿宋"/>
          <w:bCs/>
          <w:color w:val="auto"/>
          <w:sz w:val="24"/>
          <w:highlight w:val="none"/>
        </w:rPr>
        <w:t>月</w:t>
      </w:r>
      <w:r>
        <w:rPr>
          <w:rFonts w:hint="eastAsia" w:ascii="仿宋" w:hAnsi="仿宋" w:eastAsia="仿宋" w:cs="仿宋"/>
          <w:bCs/>
          <w:color w:val="auto"/>
          <w:sz w:val="24"/>
          <w:highlight w:val="none"/>
          <w:lang w:val="en-US" w:eastAsia="zh-CN"/>
        </w:rPr>
        <w:t>19</w:t>
      </w:r>
      <w:r>
        <w:rPr>
          <w:rFonts w:hint="eastAsia" w:ascii="仿宋" w:hAnsi="仿宋" w:eastAsia="仿宋" w:cs="仿宋"/>
          <w:bCs/>
          <w:color w:val="auto"/>
          <w:sz w:val="24"/>
          <w:highlight w:val="none"/>
        </w:rPr>
        <w:t>日</w:t>
      </w:r>
      <w:r>
        <w:rPr>
          <w:rFonts w:hint="eastAsia" w:ascii="仿宋" w:hAnsi="仿宋" w:eastAsia="仿宋" w:cs="仿宋"/>
          <w:bCs/>
          <w:color w:val="auto"/>
          <w:sz w:val="24"/>
          <w:highlight w:val="none"/>
          <w:lang w:val="en-US" w:eastAsia="zh-CN"/>
        </w:rPr>
        <w:t>11</w:t>
      </w:r>
      <w:r>
        <w:rPr>
          <w:rFonts w:hint="eastAsia" w:ascii="仿宋" w:hAnsi="仿宋" w:eastAsia="仿宋" w:cs="仿宋"/>
          <w:bCs/>
          <w:color w:val="auto"/>
          <w:sz w:val="24"/>
          <w:highlight w:val="none"/>
        </w:rPr>
        <w:t>点</w:t>
      </w:r>
      <w:r>
        <w:rPr>
          <w:rFonts w:hint="eastAsia" w:ascii="仿宋" w:hAnsi="仿宋" w:eastAsia="仿宋" w:cs="仿宋"/>
          <w:bCs/>
          <w:color w:val="auto"/>
          <w:sz w:val="24"/>
          <w:highlight w:val="none"/>
          <w:lang w:val="en-US" w:eastAsia="zh-CN"/>
        </w:rPr>
        <w:t>0</w:t>
      </w:r>
      <w:r>
        <w:rPr>
          <w:rFonts w:hint="eastAsia" w:ascii="仿宋" w:hAnsi="仿宋" w:eastAsia="仿宋" w:cs="仿宋"/>
          <w:bCs/>
          <w:color w:val="auto"/>
          <w:sz w:val="24"/>
          <w:highlight w:val="none"/>
        </w:rPr>
        <w:t>0分(北京时间)</w:t>
      </w:r>
    </w:p>
    <w:p>
      <w:pPr>
        <w:spacing w:line="360" w:lineRule="auto"/>
        <w:ind w:firstLine="338" w:firstLineChars="141"/>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w:t>
      </w:r>
      <w:r>
        <w:rPr>
          <w:rFonts w:hint="eastAsia" w:ascii="仿宋" w:hAnsi="仿宋" w:eastAsia="仿宋" w:cs="仿宋"/>
          <w:b/>
          <w:bCs/>
          <w:color w:val="auto"/>
          <w:sz w:val="24"/>
          <w:highlight w:val="none"/>
          <w:lang w:eastAsia="zh-CN"/>
        </w:rPr>
        <w:t>谈判文件</w:t>
      </w:r>
      <w:r>
        <w:rPr>
          <w:rFonts w:hint="eastAsia" w:ascii="仿宋" w:hAnsi="仿宋" w:eastAsia="仿宋" w:cs="仿宋"/>
          <w:b/>
          <w:bCs/>
          <w:color w:val="auto"/>
          <w:sz w:val="24"/>
          <w:highlight w:val="none"/>
          <w:lang w:val="en-US" w:eastAsia="zh-CN"/>
        </w:rPr>
        <w:t>递交</w:t>
      </w:r>
      <w:r>
        <w:rPr>
          <w:rFonts w:hint="eastAsia" w:ascii="仿宋" w:hAnsi="仿宋" w:eastAsia="仿宋" w:cs="仿宋"/>
          <w:b/>
          <w:bCs/>
          <w:color w:val="auto"/>
          <w:sz w:val="24"/>
          <w:highlight w:val="none"/>
        </w:rPr>
        <w:t>地点：</w:t>
      </w:r>
      <w:r>
        <w:rPr>
          <w:rFonts w:hint="eastAsia" w:ascii="仿宋" w:hAnsi="仿宋" w:eastAsia="仿宋" w:cs="仿宋"/>
          <w:bCs/>
          <w:color w:val="auto"/>
          <w:sz w:val="24"/>
          <w:highlight w:val="none"/>
        </w:rPr>
        <w:t>利阳致诚国际项目管理有限公司（</w:t>
      </w:r>
      <w:r>
        <w:rPr>
          <w:rFonts w:hint="eastAsia" w:ascii="仿宋" w:hAnsi="仿宋" w:eastAsia="仿宋" w:cs="仿宋"/>
          <w:bCs/>
          <w:color w:val="auto"/>
          <w:sz w:val="24"/>
          <w:highlight w:val="none"/>
          <w:lang w:eastAsia="zh-CN"/>
        </w:rPr>
        <w:t>成都市锦江区三色路163号A栋1单元14层04号</w:t>
      </w:r>
      <w:r>
        <w:rPr>
          <w:rFonts w:hint="eastAsia" w:ascii="仿宋" w:hAnsi="仿宋" w:eastAsia="仿宋" w:cs="仿宋"/>
          <w:bCs/>
          <w:color w:val="auto"/>
          <w:sz w:val="24"/>
          <w:highlight w:val="none"/>
        </w:rPr>
        <w:t>）</w:t>
      </w:r>
    </w:p>
    <w:p>
      <w:pPr>
        <w:spacing w:line="360" w:lineRule="auto"/>
        <w:ind w:firstLine="241" w:firstLineChars="100"/>
        <w:rPr>
          <w:rFonts w:hint="eastAsia" w:ascii="仿宋" w:hAnsi="仿宋" w:eastAsia="仿宋" w:cs="仿宋"/>
          <w:b/>
          <w:bCs/>
          <w:color w:val="auto"/>
          <w:sz w:val="24"/>
          <w:highlight w:val="none"/>
        </w:rPr>
      </w:pPr>
    </w:p>
    <w:p>
      <w:pPr>
        <w:spacing w:line="360" w:lineRule="auto"/>
        <w:ind w:firstLine="241" w:firstLineChars="1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五、</w:t>
      </w:r>
      <w:r>
        <w:rPr>
          <w:rFonts w:hint="eastAsia" w:ascii="仿宋" w:hAnsi="仿宋" w:eastAsia="仿宋" w:cs="仿宋"/>
          <w:b/>
          <w:bCs/>
          <w:color w:val="auto"/>
          <w:sz w:val="24"/>
          <w:highlight w:val="none"/>
          <w:lang w:eastAsia="zh-CN"/>
        </w:rPr>
        <w:t>谈判文件</w:t>
      </w:r>
      <w:r>
        <w:rPr>
          <w:rFonts w:hint="eastAsia" w:ascii="仿宋" w:hAnsi="仿宋" w:eastAsia="仿宋" w:cs="仿宋"/>
          <w:b/>
          <w:bCs/>
          <w:color w:val="auto"/>
          <w:sz w:val="24"/>
          <w:highlight w:val="none"/>
        </w:rPr>
        <w:t>开启时间及地点</w:t>
      </w:r>
    </w:p>
    <w:p>
      <w:pPr>
        <w:spacing w:line="360" w:lineRule="auto"/>
        <w:ind w:firstLine="338" w:firstLineChars="141"/>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w:t>
      </w:r>
      <w:r>
        <w:rPr>
          <w:rFonts w:hint="eastAsia" w:ascii="仿宋" w:hAnsi="仿宋" w:eastAsia="仿宋" w:cs="仿宋"/>
          <w:b/>
          <w:bCs/>
          <w:color w:val="auto"/>
          <w:sz w:val="24"/>
          <w:highlight w:val="none"/>
          <w:lang w:eastAsia="zh-CN"/>
        </w:rPr>
        <w:t>谈判文件</w:t>
      </w:r>
      <w:r>
        <w:rPr>
          <w:rFonts w:hint="eastAsia" w:ascii="仿宋" w:hAnsi="仿宋" w:eastAsia="仿宋" w:cs="仿宋"/>
          <w:b/>
          <w:bCs/>
          <w:color w:val="auto"/>
          <w:sz w:val="24"/>
          <w:highlight w:val="none"/>
        </w:rPr>
        <w:t>开启时间：</w:t>
      </w:r>
      <w:r>
        <w:rPr>
          <w:rFonts w:hint="eastAsia" w:ascii="仿宋" w:hAnsi="仿宋" w:eastAsia="仿宋" w:cs="仿宋"/>
          <w:bCs/>
          <w:color w:val="auto"/>
          <w:sz w:val="24"/>
          <w:highlight w:val="none"/>
        </w:rPr>
        <w:t>2021年</w:t>
      </w:r>
      <w:r>
        <w:rPr>
          <w:rFonts w:hint="eastAsia" w:ascii="仿宋" w:hAnsi="仿宋" w:eastAsia="仿宋" w:cs="仿宋"/>
          <w:bCs/>
          <w:color w:val="auto"/>
          <w:sz w:val="24"/>
          <w:highlight w:val="none"/>
          <w:lang w:val="en-US" w:eastAsia="zh-CN"/>
        </w:rPr>
        <w:t>11</w:t>
      </w:r>
      <w:r>
        <w:rPr>
          <w:rFonts w:hint="eastAsia" w:ascii="仿宋" w:hAnsi="仿宋" w:eastAsia="仿宋" w:cs="仿宋"/>
          <w:bCs/>
          <w:color w:val="auto"/>
          <w:sz w:val="24"/>
          <w:highlight w:val="none"/>
        </w:rPr>
        <w:t>月</w:t>
      </w:r>
      <w:r>
        <w:rPr>
          <w:rFonts w:hint="eastAsia" w:ascii="仿宋" w:hAnsi="仿宋" w:eastAsia="仿宋" w:cs="仿宋"/>
          <w:bCs/>
          <w:color w:val="auto"/>
          <w:sz w:val="24"/>
          <w:highlight w:val="none"/>
          <w:lang w:val="en-US" w:eastAsia="zh-CN"/>
        </w:rPr>
        <w:t>19</w:t>
      </w:r>
      <w:bookmarkStart w:id="131" w:name="_GoBack"/>
      <w:bookmarkEnd w:id="131"/>
      <w:r>
        <w:rPr>
          <w:rFonts w:hint="eastAsia" w:ascii="仿宋" w:hAnsi="仿宋" w:eastAsia="仿宋" w:cs="仿宋"/>
          <w:bCs/>
          <w:color w:val="auto"/>
          <w:sz w:val="24"/>
          <w:highlight w:val="none"/>
        </w:rPr>
        <w:t>日</w:t>
      </w:r>
      <w:r>
        <w:rPr>
          <w:rFonts w:hint="eastAsia" w:ascii="仿宋" w:hAnsi="仿宋" w:eastAsia="仿宋" w:cs="仿宋"/>
          <w:bCs/>
          <w:color w:val="auto"/>
          <w:sz w:val="24"/>
          <w:highlight w:val="none"/>
          <w:lang w:val="en-US" w:eastAsia="zh-CN"/>
        </w:rPr>
        <w:t>11</w:t>
      </w:r>
      <w:r>
        <w:rPr>
          <w:rFonts w:hint="eastAsia" w:ascii="仿宋" w:hAnsi="仿宋" w:eastAsia="仿宋" w:cs="仿宋"/>
          <w:bCs/>
          <w:color w:val="auto"/>
          <w:sz w:val="24"/>
          <w:highlight w:val="none"/>
        </w:rPr>
        <w:t>点</w:t>
      </w:r>
      <w:r>
        <w:rPr>
          <w:rFonts w:hint="eastAsia" w:ascii="仿宋" w:hAnsi="仿宋" w:eastAsia="仿宋" w:cs="仿宋"/>
          <w:bCs/>
          <w:color w:val="auto"/>
          <w:sz w:val="24"/>
          <w:highlight w:val="none"/>
          <w:lang w:val="en-US" w:eastAsia="zh-CN"/>
        </w:rPr>
        <w:t>0</w:t>
      </w:r>
      <w:r>
        <w:rPr>
          <w:rFonts w:hint="eastAsia" w:ascii="仿宋" w:hAnsi="仿宋" w:eastAsia="仿宋" w:cs="仿宋"/>
          <w:bCs/>
          <w:color w:val="auto"/>
          <w:sz w:val="24"/>
          <w:highlight w:val="none"/>
        </w:rPr>
        <w:t>0分(北京时间)谈判小组组建后立即开启。</w:t>
      </w:r>
    </w:p>
    <w:p>
      <w:pPr>
        <w:spacing w:line="360" w:lineRule="auto"/>
        <w:ind w:firstLine="338" w:firstLineChars="141"/>
        <w:rPr>
          <w:rFonts w:hint="eastAsia" w:ascii="仿宋" w:hAnsi="仿宋" w:eastAsia="仿宋" w:cs="仿宋"/>
          <w:b/>
          <w:bCs/>
          <w:color w:val="auto"/>
          <w:sz w:val="24"/>
          <w:highlight w:val="none"/>
        </w:rPr>
      </w:pPr>
      <w:r>
        <w:rPr>
          <w:rFonts w:hint="eastAsia" w:ascii="仿宋" w:hAnsi="仿宋" w:eastAsia="仿宋" w:cs="仿宋"/>
          <w:bCs/>
          <w:color w:val="auto"/>
          <w:sz w:val="24"/>
          <w:highlight w:val="none"/>
        </w:rPr>
        <w:t>（二）</w:t>
      </w:r>
      <w:r>
        <w:rPr>
          <w:rFonts w:hint="eastAsia" w:ascii="仿宋" w:hAnsi="仿宋" w:eastAsia="仿宋" w:cs="仿宋"/>
          <w:b/>
          <w:bCs/>
          <w:color w:val="auto"/>
          <w:sz w:val="24"/>
          <w:highlight w:val="none"/>
          <w:lang w:eastAsia="zh-CN"/>
        </w:rPr>
        <w:t>谈判文件</w:t>
      </w:r>
      <w:r>
        <w:rPr>
          <w:rFonts w:hint="eastAsia" w:ascii="仿宋" w:hAnsi="仿宋" w:eastAsia="仿宋" w:cs="仿宋"/>
          <w:b/>
          <w:bCs/>
          <w:color w:val="auto"/>
          <w:sz w:val="24"/>
          <w:highlight w:val="none"/>
        </w:rPr>
        <w:t>开启地点：</w:t>
      </w:r>
      <w:r>
        <w:rPr>
          <w:rFonts w:hint="eastAsia" w:ascii="仿宋" w:hAnsi="仿宋" w:eastAsia="仿宋" w:cs="仿宋"/>
          <w:bCs/>
          <w:color w:val="auto"/>
          <w:sz w:val="24"/>
          <w:highlight w:val="none"/>
        </w:rPr>
        <w:t>利阳致诚国际项目管理有限公司（</w:t>
      </w:r>
      <w:r>
        <w:rPr>
          <w:rFonts w:hint="eastAsia" w:ascii="仿宋" w:hAnsi="仿宋" w:eastAsia="仿宋" w:cs="仿宋"/>
          <w:bCs/>
          <w:color w:val="auto"/>
          <w:sz w:val="24"/>
          <w:highlight w:val="none"/>
          <w:lang w:eastAsia="zh-CN"/>
        </w:rPr>
        <w:t>成都市锦江区三色路163号A栋1单元14层04号</w:t>
      </w:r>
      <w:r>
        <w:rPr>
          <w:rFonts w:hint="eastAsia" w:ascii="仿宋" w:hAnsi="仿宋" w:eastAsia="仿宋" w:cs="仿宋"/>
          <w:bCs/>
          <w:color w:val="auto"/>
          <w:sz w:val="24"/>
          <w:highlight w:val="none"/>
        </w:rPr>
        <w:t>）。</w:t>
      </w:r>
    </w:p>
    <w:p>
      <w:pPr>
        <w:spacing w:line="360" w:lineRule="auto"/>
        <w:ind w:firstLine="340" w:firstLineChars="141"/>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六</w:t>
      </w:r>
      <w:r>
        <w:rPr>
          <w:rFonts w:hint="eastAsia" w:ascii="仿宋" w:hAnsi="仿宋" w:eastAsia="仿宋" w:cs="仿宋"/>
          <w:b/>
          <w:bCs/>
          <w:color w:val="auto"/>
          <w:sz w:val="24"/>
          <w:highlight w:val="none"/>
        </w:rPr>
        <w:t>、本</w:t>
      </w:r>
      <w:r>
        <w:rPr>
          <w:rFonts w:hint="eastAsia" w:ascii="仿宋" w:hAnsi="仿宋" w:eastAsia="仿宋" w:cs="仿宋"/>
          <w:b/>
          <w:bCs/>
          <w:color w:val="auto"/>
          <w:sz w:val="24"/>
          <w:highlight w:val="none"/>
          <w:lang w:val="en-US" w:eastAsia="zh-CN"/>
        </w:rPr>
        <w:t>谈判</w:t>
      </w:r>
      <w:r>
        <w:rPr>
          <w:rFonts w:hint="eastAsia" w:ascii="仿宋" w:hAnsi="仿宋" w:eastAsia="仿宋" w:cs="仿宋"/>
          <w:b/>
          <w:bCs/>
          <w:color w:val="auto"/>
          <w:sz w:val="24"/>
          <w:highlight w:val="none"/>
        </w:rPr>
        <w:t>邀请在</w:t>
      </w:r>
      <w:r>
        <w:rPr>
          <w:rFonts w:hint="eastAsia" w:ascii="仿宋" w:hAnsi="仿宋" w:eastAsia="仿宋" w:cs="仿宋"/>
          <w:b/>
          <w:bCs/>
          <w:color w:val="auto"/>
          <w:sz w:val="24"/>
          <w:highlight w:val="none"/>
          <w:u w:val="single"/>
        </w:rPr>
        <w:t>四川政府采购网上</w:t>
      </w:r>
      <w:r>
        <w:rPr>
          <w:rFonts w:hint="eastAsia" w:ascii="仿宋" w:hAnsi="仿宋" w:eastAsia="仿宋" w:cs="仿宋"/>
          <w:b/>
          <w:bCs/>
          <w:color w:val="auto"/>
          <w:sz w:val="24"/>
          <w:highlight w:val="none"/>
        </w:rPr>
        <w:t>以公告形式发布。</w:t>
      </w:r>
    </w:p>
    <w:p>
      <w:pPr>
        <w:spacing w:line="360" w:lineRule="auto"/>
        <w:ind w:firstLine="340" w:firstLineChars="141"/>
        <w:rPr>
          <w:rFonts w:hint="eastAsia" w:ascii="仿宋" w:hAnsi="仿宋" w:eastAsia="仿宋" w:cs="仿宋"/>
          <w:b/>
          <w:bCs/>
          <w:color w:val="auto"/>
          <w:sz w:val="24"/>
          <w:highlight w:val="none"/>
        </w:rPr>
      </w:pPr>
    </w:p>
    <w:p>
      <w:pPr>
        <w:spacing w:line="360" w:lineRule="auto"/>
        <w:ind w:firstLine="340" w:firstLineChars="141"/>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七</w:t>
      </w:r>
      <w:r>
        <w:rPr>
          <w:rFonts w:hint="eastAsia" w:ascii="仿宋" w:hAnsi="仿宋" w:eastAsia="仿宋" w:cs="仿宋"/>
          <w:b/>
          <w:bCs/>
          <w:color w:val="auto"/>
          <w:sz w:val="24"/>
          <w:highlight w:val="none"/>
        </w:rPr>
        <w:t>、公告期限</w:t>
      </w:r>
    </w:p>
    <w:p>
      <w:pPr>
        <w:spacing w:line="360" w:lineRule="auto"/>
        <w:ind w:firstLine="338" w:firstLineChars="141"/>
        <w:rPr>
          <w:rFonts w:hint="eastAsia" w:ascii="仿宋" w:hAnsi="仿宋" w:eastAsia="仿宋" w:cs="仿宋"/>
          <w:b/>
          <w:bCs/>
          <w:color w:val="auto"/>
          <w:sz w:val="24"/>
          <w:highlight w:val="none"/>
        </w:rPr>
      </w:pPr>
      <w:r>
        <w:rPr>
          <w:rFonts w:hint="eastAsia" w:ascii="仿宋" w:hAnsi="仿宋" w:eastAsia="仿宋" w:cs="仿宋"/>
          <w:bCs/>
          <w:color w:val="auto"/>
          <w:sz w:val="24"/>
          <w:highlight w:val="none"/>
        </w:rPr>
        <w:t>自本公告发布之日起3个工作日</w:t>
      </w:r>
      <w:r>
        <w:rPr>
          <w:rFonts w:hint="eastAsia" w:ascii="仿宋" w:hAnsi="仿宋" w:eastAsia="仿宋" w:cs="仿宋"/>
          <w:bCs/>
          <w:color w:val="auto"/>
          <w:sz w:val="24"/>
          <w:highlight w:val="none"/>
          <w:lang w:eastAsia="zh-CN"/>
        </w:rPr>
        <w:t>。</w:t>
      </w:r>
    </w:p>
    <w:p>
      <w:pPr>
        <w:spacing w:line="360" w:lineRule="auto"/>
        <w:ind w:firstLine="241" w:firstLineChars="100"/>
        <w:rPr>
          <w:rFonts w:hint="eastAsia" w:ascii="仿宋" w:hAnsi="仿宋" w:eastAsia="仿宋" w:cs="仿宋"/>
          <w:b/>
          <w:bCs/>
          <w:color w:val="auto"/>
          <w:sz w:val="24"/>
          <w:highlight w:val="none"/>
        </w:rPr>
      </w:pPr>
    </w:p>
    <w:p>
      <w:pPr>
        <w:spacing w:line="360" w:lineRule="auto"/>
        <w:ind w:firstLine="241" w:firstLineChars="100"/>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八</w:t>
      </w:r>
      <w:r>
        <w:rPr>
          <w:rFonts w:hint="eastAsia" w:ascii="仿宋" w:hAnsi="仿宋" w:eastAsia="仿宋" w:cs="仿宋"/>
          <w:b/>
          <w:bCs/>
          <w:color w:val="auto"/>
          <w:sz w:val="24"/>
          <w:highlight w:val="none"/>
        </w:rPr>
        <w:t>、其它补充事宜</w:t>
      </w:r>
    </w:p>
    <w:p>
      <w:pPr>
        <w:spacing w:line="360" w:lineRule="auto"/>
        <w:ind w:firstLine="340" w:firstLineChars="141"/>
        <w:rPr>
          <w:rFonts w:hint="eastAsia" w:ascii="仿宋" w:hAnsi="仿宋" w:eastAsia="仿宋" w:cs="仿宋"/>
          <w:b/>
          <w:color w:val="auto"/>
          <w:sz w:val="24"/>
          <w:highlight w:val="none"/>
        </w:rPr>
      </w:pPr>
      <w:r>
        <w:rPr>
          <w:rFonts w:hint="eastAsia" w:ascii="仿宋" w:hAnsi="仿宋" w:eastAsia="仿宋" w:cs="仿宋"/>
          <w:b/>
          <w:bCs/>
          <w:color w:val="auto"/>
          <w:sz w:val="24"/>
          <w:highlight w:val="none"/>
        </w:rPr>
        <w:t>（一）</w:t>
      </w:r>
      <w:r>
        <w:rPr>
          <w:rFonts w:hint="eastAsia" w:ascii="仿宋" w:hAnsi="仿宋" w:eastAsia="仿宋" w:cs="仿宋"/>
          <w:b/>
          <w:color w:val="auto"/>
          <w:sz w:val="24"/>
          <w:highlight w:val="none"/>
        </w:rPr>
        <w:t>严禁参加本次采购活动的供应商</w:t>
      </w:r>
    </w:p>
    <w:p>
      <w:pPr>
        <w:spacing w:line="360" w:lineRule="auto"/>
        <w:ind w:firstLine="338" w:firstLineChars="141"/>
        <w:rPr>
          <w:rFonts w:hint="eastAsia" w:ascii="仿宋" w:hAnsi="仿宋" w:eastAsia="仿宋" w:cs="仿宋"/>
          <w:color w:val="auto"/>
          <w:sz w:val="24"/>
          <w:highlight w:val="none"/>
        </w:rPr>
      </w:pPr>
      <w:r>
        <w:rPr>
          <w:rFonts w:hint="eastAsia" w:ascii="仿宋" w:hAnsi="仿宋" w:eastAsia="仿宋" w:cs="仿宋"/>
          <w:color w:val="auto"/>
          <w:sz w:val="24"/>
          <w:highlight w:val="none"/>
        </w:rPr>
        <w:t>1.根据《关于在政府采购活动中查询及使用信用记录有关问题的通知》（财库〔2016〕125号）的要求，采购人或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pPr>
        <w:spacing w:line="360" w:lineRule="auto"/>
        <w:ind w:firstLine="338" w:firstLineChars="141"/>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2.为采购项目提供整体设计、规范编制或者项目管理、监理、检测等服务的供应商，不得参加本采购项目。供应商为采购人、采购代理机构在确定采购需求、编制</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过程中提供咨询论证，其提供的咨询论证意见成为</w:t>
      </w:r>
      <w:r>
        <w:rPr>
          <w:rFonts w:hint="eastAsia" w:ascii="仿宋" w:hAnsi="仿宋" w:eastAsia="仿宋" w:cs="仿宋"/>
          <w:color w:val="auto"/>
          <w:sz w:val="24"/>
          <w:highlight w:val="none"/>
          <w:lang w:eastAsia="zh-CN"/>
        </w:rPr>
        <w:t>谈判文件</w:t>
      </w:r>
      <w:r>
        <w:rPr>
          <w:rFonts w:hint="eastAsia" w:ascii="仿宋" w:hAnsi="仿宋" w:eastAsia="仿宋" w:cs="仿宋"/>
          <w:color w:val="auto"/>
          <w:sz w:val="24"/>
          <w:highlight w:val="none"/>
        </w:rPr>
        <w:t>中规定的供应商资格条件、技术服务商务要求、评审因素和标准、政府采购合同等实质性内容条款的，视同为采购项目提供规范编制。</w:t>
      </w:r>
    </w:p>
    <w:p>
      <w:pPr>
        <w:spacing w:line="360" w:lineRule="auto"/>
        <w:ind w:firstLine="338" w:firstLineChars="141"/>
        <w:rPr>
          <w:rFonts w:hint="eastAsia" w:ascii="仿宋" w:hAnsi="仿宋" w:eastAsia="仿宋" w:cs="仿宋"/>
          <w:color w:val="auto"/>
          <w:sz w:val="24"/>
          <w:highlight w:val="none"/>
        </w:rPr>
      </w:pPr>
      <w:r>
        <w:rPr>
          <w:rFonts w:hint="eastAsia" w:ascii="仿宋" w:hAnsi="仿宋" w:eastAsia="仿宋" w:cs="仿宋"/>
          <w:color w:val="auto"/>
          <w:sz w:val="24"/>
          <w:highlight w:val="none"/>
        </w:rPr>
        <w:t>3.其他法律法规规定的禁止参加本次采购活动的情形。</w:t>
      </w:r>
    </w:p>
    <w:p>
      <w:pPr>
        <w:spacing w:line="360" w:lineRule="auto"/>
        <w:ind w:firstLine="340" w:firstLineChars="141"/>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（二）供应商信用融资：</w:t>
      </w:r>
    </w:p>
    <w:p>
      <w:pPr>
        <w:spacing w:line="360" w:lineRule="auto"/>
        <w:ind w:firstLine="338" w:firstLineChars="141"/>
        <w:rPr>
          <w:rFonts w:hint="eastAsia" w:ascii="仿宋" w:hAnsi="仿宋" w:eastAsia="仿宋" w:cs="仿宋"/>
          <w:color w:val="auto"/>
          <w:sz w:val="24"/>
          <w:highlight w:val="none"/>
        </w:rPr>
      </w:pPr>
      <w:r>
        <w:rPr>
          <w:rFonts w:hint="eastAsia" w:ascii="仿宋" w:hAnsi="仿宋" w:eastAsia="仿宋" w:cs="仿宋"/>
          <w:color w:val="auto"/>
          <w:sz w:val="24"/>
          <w:highlight w:val="none"/>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川财采[2018]123号”）。</w:t>
      </w:r>
    </w:p>
    <w:p>
      <w:pPr>
        <w:spacing w:line="360" w:lineRule="auto"/>
        <w:ind w:firstLine="338" w:firstLineChars="141"/>
        <w:rPr>
          <w:rFonts w:hint="eastAsia" w:ascii="仿宋" w:hAnsi="仿宋" w:eastAsia="仿宋" w:cs="仿宋"/>
          <w:bCs/>
          <w:color w:val="auto"/>
          <w:sz w:val="24"/>
          <w:highlight w:val="none"/>
        </w:rPr>
      </w:pPr>
      <w:r>
        <w:rPr>
          <w:rFonts w:hint="eastAsia" w:ascii="仿宋" w:hAnsi="仿宋" w:eastAsia="仿宋" w:cs="仿宋"/>
          <w:color w:val="auto"/>
          <w:sz w:val="24"/>
          <w:highlight w:val="none"/>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成财采[2019]17号”）</w:t>
      </w:r>
      <w:r>
        <w:rPr>
          <w:rFonts w:hint="eastAsia" w:ascii="仿宋" w:hAnsi="仿宋" w:eastAsia="仿宋" w:cs="仿宋"/>
          <w:bCs/>
          <w:color w:val="auto"/>
          <w:sz w:val="24"/>
          <w:highlight w:val="none"/>
        </w:rPr>
        <w:t>。</w:t>
      </w:r>
    </w:p>
    <w:p>
      <w:pPr>
        <w:spacing w:line="360" w:lineRule="auto"/>
        <w:ind w:firstLine="340" w:firstLineChars="141"/>
        <w:rPr>
          <w:rFonts w:hint="eastAsia" w:ascii="仿宋" w:hAnsi="仿宋" w:eastAsia="仿宋" w:cs="仿宋"/>
          <w:b/>
          <w:bCs/>
          <w:color w:val="auto"/>
          <w:sz w:val="24"/>
          <w:highlight w:val="none"/>
        </w:rPr>
      </w:pPr>
    </w:p>
    <w:p>
      <w:pPr>
        <w:spacing w:line="360" w:lineRule="auto"/>
        <w:ind w:firstLine="340" w:firstLineChars="141"/>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九</w:t>
      </w:r>
      <w:r>
        <w:rPr>
          <w:rFonts w:hint="eastAsia" w:ascii="仿宋" w:hAnsi="仿宋" w:eastAsia="仿宋" w:cs="仿宋"/>
          <w:b/>
          <w:bCs/>
          <w:color w:val="auto"/>
          <w:sz w:val="24"/>
          <w:highlight w:val="none"/>
        </w:rPr>
        <w:t>、凡对本次采购提出询问，请按以下方式联系。</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（一）采购人信息：</w:t>
      </w:r>
    </w:p>
    <w:p>
      <w:pPr>
        <w:spacing w:line="360" w:lineRule="auto"/>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名称：</w:t>
      </w:r>
      <w:r>
        <w:rPr>
          <w:rFonts w:hint="eastAsia" w:ascii="仿宋" w:hAnsi="仿宋" w:eastAsia="仿宋" w:cs="仿宋"/>
          <w:color w:val="auto"/>
          <w:sz w:val="24"/>
          <w:szCs w:val="24"/>
          <w:highlight w:val="none"/>
          <w:lang w:eastAsia="zh-CN"/>
        </w:rPr>
        <w:t>成都市双流区中医医院；</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sz w:val="24"/>
          <w:szCs w:val="24"/>
          <w:highlight w:val="none"/>
          <w:lang w:eastAsia="zh-CN"/>
        </w:rPr>
        <w:t>成都市双流区东升街道花园路二段300号</w:t>
      </w:r>
      <w:r>
        <w:rPr>
          <w:rFonts w:hint="eastAsia" w:ascii="仿宋" w:hAnsi="仿宋" w:eastAsia="仿宋" w:cs="仿宋"/>
          <w:color w:val="auto"/>
          <w:sz w:val="24"/>
          <w:szCs w:val="24"/>
          <w:highlight w:val="none"/>
        </w:rPr>
        <w:t>；</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联系人：</w:t>
      </w:r>
      <w:r>
        <w:rPr>
          <w:rFonts w:hint="eastAsia" w:ascii="仿宋" w:hAnsi="仿宋" w:eastAsia="仿宋" w:cs="仿宋"/>
          <w:color w:val="auto"/>
          <w:sz w:val="24"/>
          <w:szCs w:val="24"/>
          <w:highlight w:val="none"/>
          <w:lang w:val="en-US" w:eastAsia="zh-CN"/>
        </w:rPr>
        <w:t>王</w:t>
      </w:r>
      <w:r>
        <w:rPr>
          <w:rFonts w:hint="eastAsia" w:ascii="仿宋" w:hAnsi="仿宋" w:eastAsia="仿宋" w:cs="仿宋"/>
          <w:color w:val="auto"/>
          <w:sz w:val="24"/>
          <w:szCs w:val="24"/>
          <w:highlight w:val="none"/>
        </w:rPr>
        <w:t>老师；</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r>
        <w:rPr>
          <w:rFonts w:hint="eastAsia" w:ascii="仿宋" w:hAnsi="仿宋" w:eastAsia="仿宋" w:cs="仿宋"/>
          <w:color w:val="auto"/>
          <w:sz w:val="24"/>
          <w:szCs w:val="24"/>
          <w:highlight w:val="none"/>
          <w:lang w:eastAsia="zh-CN"/>
        </w:rPr>
        <w:t>028-69803260</w:t>
      </w:r>
      <w:r>
        <w:rPr>
          <w:rFonts w:hint="eastAsia" w:ascii="仿宋" w:hAnsi="仿宋" w:eastAsia="仿宋" w:cs="仿宋"/>
          <w:color w:val="auto"/>
          <w:sz w:val="24"/>
          <w:szCs w:val="24"/>
          <w:highlight w:val="none"/>
        </w:rPr>
        <w:t>。</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（二）采购代理机构信息：</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w:t>
      </w:r>
      <w:r>
        <w:rPr>
          <w:rFonts w:hint="eastAsia" w:ascii="仿宋" w:hAnsi="仿宋" w:eastAsia="仿宋" w:cs="仿宋"/>
          <w:color w:val="auto"/>
          <w:sz w:val="24"/>
          <w:szCs w:val="24"/>
          <w:highlight w:val="none"/>
          <w:lang w:eastAsia="zh-CN"/>
        </w:rPr>
        <w:t>利阳致诚国际项目管理有限公司</w:t>
      </w:r>
      <w:r>
        <w:rPr>
          <w:rFonts w:hint="eastAsia" w:ascii="仿宋" w:hAnsi="仿宋" w:eastAsia="仿宋" w:cs="仿宋"/>
          <w:color w:val="auto"/>
          <w:sz w:val="24"/>
          <w:szCs w:val="24"/>
          <w:highlight w:val="none"/>
        </w:rPr>
        <w:t>；</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地址:成都市锦江区三色路163号银海芯座1栋1单元14层</w:t>
      </w:r>
      <w:r>
        <w:rPr>
          <w:rFonts w:hint="eastAsia" w:ascii="仿宋" w:hAnsi="仿宋" w:eastAsia="仿宋" w:cs="仿宋"/>
          <w:color w:val="auto"/>
          <w:sz w:val="24"/>
          <w:szCs w:val="24"/>
          <w:highlight w:val="none"/>
          <w:lang w:val="en-US" w:eastAsia="zh-CN"/>
        </w:rPr>
        <w:t>04号</w:t>
      </w:r>
      <w:r>
        <w:rPr>
          <w:rFonts w:hint="eastAsia" w:ascii="仿宋" w:hAnsi="仿宋" w:eastAsia="仿宋" w:cs="仿宋"/>
          <w:color w:val="auto"/>
          <w:sz w:val="24"/>
          <w:szCs w:val="24"/>
          <w:highlight w:val="none"/>
        </w:rPr>
        <w:t>；</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联系方式:028-62013599</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（三）项目联系方式:</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项目联系人:</w:t>
      </w:r>
      <w:r>
        <w:rPr>
          <w:rFonts w:hint="eastAsia" w:ascii="仿宋" w:hAnsi="仿宋" w:eastAsia="仿宋" w:cs="仿宋"/>
          <w:color w:val="auto"/>
          <w:sz w:val="24"/>
          <w:szCs w:val="24"/>
          <w:highlight w:val="none"/>
          <w:lang w:val="en-US" w:eastAsia="zh-CN"/>
        </w:rPr>
        <w:t>彭</w:t>
      </w:r>
      <w:r>
        <w:rPr>
          <w:rFonts w:hint="eastAsia" w:ascii="仿宋" w:hAnsi="仿宋" w:eastAsia="仿宋" w:cs="仿宋"/>
          <w:color w:val="auto"/>
          <w:sz w:val="24"/>
          <w:szCs w:val="24"/>
          <w:highlight w:val="none"/>
        </w:rPr>
        <w:t>女士；</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电话:028-62013599</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标书售卖：</w:t>
      </w:r>
      <w:r>
        <w:rPr>
          <w:rFonts w:hint="eastAsia" w:ascii="仿宋" w:hAnsi="仿宋" w:eastAsia="仿宋" w:cs="仿宋"/>
          <w:color w:val="auto"/>
          <w:sz w:val="24"/>
          <w:szCs w:val="24"/>
          <w:highlight w:val="none"/>
          <w:lang w:val="en-US" w:eastAsia="zh-CN"/>
        </w:rPr>
        <w:t>卿</w:t>
      </w:r>
      <w:r>
        <w:rPr>
          <w:rFonts w:hint="eastAsia" w:ascii="仿宋" w:hAnsi="仿宋" w:eastAsia="仿宋" w:cs="仿宋"/>
          <w:color w:val="auto"/>
          <w:sz w:val="24"/>
          <w:szCs w:val="24"/>
          <w:highlight w:val="none"/>
        </w:rPr>
        <w:t>女士；</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联系电话：028-83377199。</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电子邮件：</w:t>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HYPERLINK "mailto:396791662@qq.com"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sz w:val="24"/>
          <w:szCs w:val="24"/>
          <w:highlight w:val="none"/>
        </w:rPr>
        <w:t>3423463562@qq.com</w:t>
      </w:r>
      <w:r>
        <w:rPr>
          <w:rFonts w:hint="eastAsia" w:ascii="仿宋" w:hAnsi="仿宋" w:eastAsia="仿宋" w:cs="仿宋"/>
          <w:color w:val="auto"/>
          <w:sz w:val="24"/>
          <w:szCs w:val="24"/>
          <w:highlight w:val="none"/>
        </w:rPr>
        <w:fldChar w:fldCharType="end"/>
      </w:r>
    </w:p>
    <w:p>
      <w:pPr>
        <w:spacing w:line="360" w:lineRule="auto"/>
        <w:ind w:firstLine="480" w:firstLineChars="200"/>
        <w:jc w:val="left"/>
        <w:rPr>
          <w:rFonts w:hint="eastAsia" w:ascii="仿宋" w:hAnsi="仿宋" w:eastAsia="仿宋" w:cs="仿宋"/>
          <w:color w:val="auto"/>
          <w:sz w:val="24"/>
          <w:szCs w:val="24"/>
          <w:highlight w:val="none"/>
        </w:rPr>
      </w:pPr>
    </w:p>
    <w:p>
      <w:pPr>
        <w:pStyle w:val="22"/>
        <w:spacing w:before="0" w:beforeAutospacing="0" w:after="0" w:afterAutospacing="0" w:line="360" w:lineRule="auto"/>
        <w:ind w:firstLine="5880" w:firstLineChars="2450"/>
        <w:jc w:val="right"/>
        <w:rPr>
          <w:rFonts w:hint="eastAsia" w:ascii="仿宋" w:hAnsi="仿宋" w:eastAsia="仿宋" w:cs="仿宋"/>
          <w:color w:val="auto"/>
          <w:sz w:val="24"/>
          <w:szCs w:val="24"/>
          <w:highlight w:val="none"/>
        </w:rPr>
      </w:pPr>
    </w:p>
    <w:p>
      <w:pPr>
        <w:rPr>
          <w:rFonts w:hint="eastAsia" w:ascii="仿宋" w:hAnsi="仿宋" w:eastAsia="仿宋" w:cs="仿宋"/>
          <w:color w:val="auto"/>
          <w:sz w:val="36"/>
          <w:szCs w:val="36"/>
          <w:highlight w:val="none"/>
        </w:rPr>
      </w:pPr>
      <w:bookmarkStart w:id="6" w:name="_Toc217446031"/>
      <w:bookmarkStart w:id="7" w:name="_Toc213396945"/>
      <w:bookmarkStart w:id="8" w:name="_Toc213397009"/>
      <w:bookmarkStart w:id="9" w:name="_Toc213496267"/>
      <w:bookmarkStart w:id="10" w:name="_Toc11787"/>
      <w:bookmarkStart w:id="11" w:name="_Toc13770"/>
      <w:bookmarkStart w:id="12" w:name="_Toc213396759"/>
      <w:r>
        <w:rPr>
          <w:rFonts w:hint="eastAsia" w:ascii="仿宋" w:hAnsi="仿宋" w:eastAsia="仿宋" w:cs="仿宋"/>
          <w:color w:val="auto"/>
          <w:sz w:val="36"/>
          <w:szCs w:val="36"/>
          <w:highlight w:val="none"/>
        </w:rPr>
        <w:br w:type="page"/>
      </w:r>
    </w:p>
    <w:p>
      <w:pPr>
        <w:pStyle w:val="3"/>
        <w:keepNext w:val="0"/>
        <w:keepLines w:val="0"/>
        <w:spacing w:before="0" w:after="0" w:line="360" w:lineRule="auto"/>
        <w:jc w:val="center"/>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rPr>
        <w:t>第二章</w:t>
      </w:r>
      <w:r>
        <w:rPr>
          <w:rFonts w:hint="eastAsia" w:ascii="仿宋" w:hAnsi="仿宋" w:eastAsia="仿宋" w:cs="仿宋"/>
          <w:color w:val="auto"/>
          <w:sz w:val="36"/>
          <w:szCs w:val="36"/>
          <w:highlight w:val="none"/>
          <w:lang w:val="en-US" w:eastAsia="zh-CN"/>
        </w:rPr>
        <w:t xml:space="preserve"> </w:t>
      </w:r>
      <w:r>
        <w:rPr>
          <w:rFonts w:hint="eastAsia" w:ascii="仿宋" w:hAnsi="仿宋" w:eastAsia="仿宋" w:cs="仿宋"/>
          <w:color w:val="auto"/>
          <w:sz w:val="36"/>
          <w:szCs w:val="36"/>
          <w:highlight w:val="none"/>
        </w:rPr>
        <w:t>谈判须知</w:t>
      </w:r>
      <w:bookmarkEnd w:id="6"/>
      <w:bookmarkEnd w:id="7"/>
      <w:bookmarkEnd w:id="8"/>
      <w:bookmarkEnd w:id="9"/>
      <w:bookmarkEnd w:id="10"/>
      <w:bookmarkEnd w:id="11"/>
      <w:bookmarkEnd w:id="12"/>
    </w:p>
    <w:p>
      <w:pPr>
        <w:pStyle w:val="2"/>
        <w:keepNext w:val="0"/>
        <w:keepLines w:val="0"/>
        <w:spacing w:before="0" w:after="0"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一、供应商须知附表</w:t>
      </w:r>
    </w:p>
    <w:tbl>
      <w:tblPr>
        <w:tblStyle w:val="25"/>
        <w:tblW w:w="9686" w:type="dxa"/>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0" w:type="dxa"/>
          <w:bottom w:w="0" w:type="dxa"/>
          <w:right w:w="0" w:type="dxa"/>
        </w:tblCellMar>
      </w:tblPr>
      <w:tblGrid>
        <w:gridCol w:w="787"/>
        <w:gridCol w:w="2516"/>
        <w:gridCol w:w="6383"/>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70" w:hRule="exact"/>
          <w:tblHeader/>
          <w:jc w:val="center"/>
        </w:trPr>
        <w:tc>
          <w:tcPr>
            <w:tcW w:w="787" w:type="dxa"/>
            <w:tcBorders>
              <w:tl2br w:val="nil"/>
              <w:tr2bl w:val="nil"/>
            </w:tcBorders>
            <w:noWrap w:val="0"/>
            <w:vAlign w:val="center"/>
          </w:tcPr>
          <w:p>
            <w:pPr>
              <w:spacing w:line="360" w:lineRule="auto"/>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序号</w:t>
            </w:r>
          </w:p>
        </w:tc>
        <w:tc>
          <w:tcPr>
            <w:tcW w:w="2516" w:type="dxa"/>
            <w:tcBorders>
              <w:tl2br w:val="nil"/>
              <w:tr2bl w:val="nil"/>
            </w:tcBorders>
            <w:noWrap w:val="0"/>
            <w:vAlign w:val="center"/>
          </w:tcPr>
          <w:p>
            <w:pPr>
              <w:spacing w:line="360" w:lineRule="auto"/>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应知事项</w:t>
            </w:r>
          </w:p>
        </w:tc>
        <w:tc>
          <w:tcPr>
            <w:tcW w:w="6383" w:type="dxa"/>
            <w:tcBorders>
              <w:tl2br w:val="nil"/>
              <w:tr2bl w:val="nil"/>
            </w:tcBorders>
            <w:noWrap w:val="0"/>
            <w:vAlign w:val="center"/>
          </w:tcPr>
          <w:p>
            <w:pPr>
              <w:spacing w:line="360" w:lineRule="auto"/>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1383" w:hRule="exact"/>
          <w:jc w:val="center"/>
        </w:trPr>
        <w:tc>
          <w:tcPr>
            <w:tcW w:w="787" w:type="dxa"/>
            <w:tcBorders>
              <w:tl2br w:val="nil"/>
              <w:tr2bl w:val="nil"/>
            </w:tcBorders>
            <w:noWrap w:val="0"/>
            <w:vAlign w:val="center"/>
          </w:tcPr>
          <w:p>
            <w:pPr>
              <w:spacing w:line="360" w:lineRule="auto"/>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1</w:t>
            </w:r>
          </w:p>
        </w:tc>
        <w:tc>
          <w:tcPr>
            <w:tcW w:w="2516" w:type="dxa"/>
            <w:tcBorders>
              <w:tl2br w:val="nil"/>
              <w:tr2bl w:val="nil"/>
            </w:tcBorders>
            <w:noWrap w:val="0"/>
            <w:vAlign w:val="center"/>
          </w:tcPr>
          <w:p>
            <w:pPr>
              <w:spacing w:line="360"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采购预算（实质性要求）</w:t>
            </w:r>
          </w:p>
        </w:tc>
        <w:tc>
          <w:tcPr>
            <w:tcW w:w="6383" w:type="dxa"/>
            <w:tcBorders>
              <w:tl2br w:val="nil"/>
              <w:tr2bl w:val="nil"/>
            </w:tcBorders>
            <w:noWrap w:val="0"/>
            <w:vAlign w:val="center"/>
          </w:tcPr>
          <w:p>
            <w:pPr>
              <w:spacing w:line="360" w:lineRule="auto"/>
              <w:rPr>
                <w:rFonts w:hint="eastAsia" w:ascii="仿宋" w:hAnsi="仿宋" w:eastAsia="仿宋" w:cs="仿宋"/>
                <w:color w:val="auto"/>
                <w:highlight w:val="none"/>
                <w:lang w:val="zh-CN"/>
              </w:rPr>
            </w:pPr>
            <w:r>
              <w:rPr>
                <w:rFonts w:hint="eastAsia" w:ascii="仿宋" w:hAnsi="仿宋" w:eastAsia="仿宋" w:cs="仿宋"/>
                <w:color w:val="auto"/>
                <w:highlight w:val="none"/>
              </w:rPr>
              <w:t>本项目</w:t>
            </w:r>
            <w:r>
              <w:rPr>
                <w:rFonts w:hint="eastAsia" w:ascii="仿宋" w:hAnsi="仿宋" w:eastAsia="仿宋" w:cs="仿宋"/>
                <w:color w:val="auto"/>
                <w:highlight w:val="none"/>
                <w:lang w:val="en-US" w:eastAsia="zh-CN"/>
              </w:rPr>
              <w:t>采购预算：人民币877778.33元（01包：人民币657495.00元，02包：人民币185770.00元，03包：人民币34513.33元）</w:t>
            </w:r>
            <w:r>
              <w:rPr>
                <w:rFonts w:hint="eastAsia" w:ascii="仿宋" w:hAnsi="仿宋" w:eastAsia="仿宋" w:cs="仿宋"/>
                <w:color w:val="auto"/>
                <w:highlight w:val="none"/>
              </w:rPr>
              <w:t xml:space="preserve">；                                                                                                                                              </w:t>
            </w:r>
          </w:p>
          <w:p>
            <w:pPr>
              <w:spacing w:line="360" w:lineRule="auto"/>
              <w:rPr>
                <w:rFonts w:hint="eastAsia" w:ascii="仿宋" w:hAnsi="仿宋" w:eastAsia="仿宋" w:cs="仿宋"/>
                <w:color w:val="auto"/>
                <w:highlight w:val="none"/>
                <w:lang w:val="en-US"/>
              </w:rPr>
            </w:pPr>
            <w:r>
              <w:rPr>
                <w:rFonts w:hint="eastAsia" w:ascii="仿宋" w:hAnsi="仿宋" w:eastAsia="仿宋" w:cs="仿宋"/>
                <w:color w:val="auto"/>
                <w:kern w:val="2"/>
                <w:sz w:val="21"/>
                <w:szCs w:val="21"/>
                <w:highlight w:val="none"/>
              </w:rPr>
              <w:t>超过</w:t>
            </w:r>
            <w:r>
              <w:rPr>
                <w:rFonts w:hint="eastAsia" w:ascii="仿宋" w:hAnsi="仿宋" w:eastAsia="仿宋" w:cs="仿宋"/>
                <w:color w:val="auto"/>
                <w:kern w:val="2"/>
                <w:sz w:val="21"/>
                <w:szCs w:val="21"/>
                <w:highlight w:val="none"/>
                <w:lang w:val="en-US" w:eastAsia="zh-CN"/>
              </w:rPr>
              <w:t>采购预算</w:t>
            </w:r>
            <w:r>
              <w:rPr>
                <w:rFonts w:hint="eastAsia" w:ascii="仿宋" w:hAnsi="仿宋" w:eastAsia="仿宋" w:cs="仿宋"/>
                <w:color w:val="auto"/>
                <w:kern w:val="2"/>
                <w:sz w:val="21"/>
                <w:szCs w:val="21"/>
                <w:highlight w:val="none"/>
              </w:rPr>
              <w:t>金额的投标为无效投标</w:t>
            </w:r>
            <w:r>
              <w:rPr>
                <w:rFonts w:hint="eastAsia" w:ascii="仿宋" w:hAnsi="仿宋" w:eastAsia="仿宋" w:cs="仿宋"/>
                <w:color w:val="auto"/>
                <w:kern w:val="2"/>
                <w:sz w:val="21"/>
                <w:szCs w:val="21"/>
                <w:highlight w:val="none"/>
                <w:lang w:eastAsia="zh-CN"/>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206" w:hRule="exact"/>
          <w:jc w:val="center"/>
        </w:trPr>
        <w:tc>
          <w:tcPr>
            <w:tcW w:w="787" w:type="dxa"/>
            <w:tcBorders>
              <w:tl2br w:val="nil"/>
              <w:tr2bl w:val="nil"/>
            </w:tcBorders>
            <w:noWrap w:val="0"/>
            <w:vAlign w:val="center"/>
          </w:tcPr>
          <w:p>
            <w:pPr>
              <w:spacing w:line="360"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w:t>
            </w:r>
          </w:p>
        </w:tc>
        <w:tc>
          <w:tcPr>
            <w:tcW w:w="2516" w:type="dxa"/>
            <w:tcBorders>
              <w:tl2br w:val="nil"/>
              <w:tr2bl w:val="nil"/>
            </w:tcBorders>
            <w:noWrap w:val="0"/>
            <w:vAlign w:val="center"/>
          </w:tcPr>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最高限价</w:t>
            </w:r>
            <w:r>
              <w:rPr>
                <w:rFonts w:hint="eastAsia" w:ascii="仿宋" w:hAnsi="仿宋" w:eastAsia="仿宋" w:cs="仿宋"/>
                <w:color w:val="auto"/>
                <w:highlight w:val="none"/>
                <w:lang w:val="en-US" w:eastAsia="zh-CN"/>
              </w:rPr>
              <w:t>（实质性要求）</w:t>
            </w:r>
          </w:p>
        </w:tc>
        <w:tc>
          <w:tcPr>
            <w:tcW w:w="6383" w:type="dxa"/>
            <w:tcBorders>
              <w:tl2br w:val="nil"/>
              <w:tr2bl w:val="nil"/>
            </w:tcBorders>
            <w:noWrap w:val="0"/>
            <w:vAlign w:val="center"/>
          </w:tcPr>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本项目</w:t>
            </w:r>
            <w:r>
              <w:rPr>
                <w:rFonts w:hint="eastAsia" w:ascii="仿宋" w:hAnsi="仿宋" w:eastAsia="仿宋" w:cs="仿宋"/>
                <w:color w:val="auto"/>
                <w:highlight w:val="none"/>
                <w:lang w:val="zh-CN"/>
              </w:rPr>
              <w:t>最高限价：</w:t>
            </w:r>
            <w:r>
              <w:rPr>
                <w:rFonts w:hint="eastAsia" w:ascii="仿宋" w:hAnsi="仿宋" w:eastAsia="仿宋" w:cs="仿宋"/>
                <w:color w:val="auto"/>
                <w:highlight w:val="none"/>
                <w:lang w:val="zh-CN" w:eastAsia="zh-CN"/>
              </w:rPr>
              <w:t>人民币877778.33元</w:t>
            </w:r>
            <w:r>
              <w:rPr>
                <w:rFonts w:hint="eastAsia" w:ascii="仿宋" w:hAnsi="仿宋" w:eastAsia="仿宋" w:cs="仿宋"/>
                <w:color w:val="auto"/>
                <w:highlight w:val="none"/>
                <w:lang w:val="zh-CN"/>
              </w:rPr>
              <w:t>（01包</w:t>
            </w:r>
            <w:r>
              <w:rPr>
                <w:rFonts w:hint="eastAsia" w:ascii="仿宋" w:hAnsi="仿宋" w:eastAsia="仿宋" w:cs="仿宋"/>
                <w:color w:val="auto"/>
                <w:highlight w:val="none"/>
                <w:lang w:val="zh-CN" w:eastAsia="zh-CN"/>
              </w:rPr>
              <w:t>：人民币657495.00元</w:t>
            </w:r>
            <w:r>
              <w:rPr>
                <w:rFonts w:hint="eastAsia" w:ascii="仿宋" w:hAnsi="仿宋" w:eastAsia="仿宋" w:cs="仿宋"/>
                <w:color w:val="auto"/>
                <w:highlight w:val="none"/>
                <w:lang w:val="zh-CN"/>
              </w:rPr>
              <w:t>，02包</w:t>
            </w:r>
            <w:r>
              <w:rPr>
                <w:rFonts w:hint="eastAsia" w:ascii="仿宋" w:hAnsi="仿宋" w:eastAsia="仿宋" w:cs="仿宋"/>
                <w:color w:val="auto"/>
                <w:highlight w:val="none"/>
                <w:lang w:val="zh-CN" w:eastAsia="zh-CN"/>
              </w:rPr>
              <w:t>：人民币185770.00元</w:t>
            </w:r>
            <w:r>
              <w:rPr>
                <w:rFonts w:hint="eastAsia" w:ascii="仿宋" w:hAnsi="仿宋" w:eastAsia="仿宋" w:cs="仿宋"/>
                <w:color w:val="auto"/>
                <w:highlight w:val="none"/>
                <w:lang w:val="zh-CN"/>
              </w:rPr>
              <w:t>，03包</w:t>
            </w:r>
            <w:r>
              <w:rPr>
                <w:rFonts w:hint="eastAsia" w:ascii="仿宋" w:hAnsi="仿宋" w:eastAsia="仿宋" w:cs="仿宋"/>
                <w:color w:val="auto"/>
                <w:highlight w:val="none"/>
                <w:lang w:val="zh-CN" w:eastAsia="zh-CN"/>
              </w:rPr>
              <w:t>：人民币34512.30元）</w:t>
            </w:r>
            <w:r>
              <w:rPr>
                <w:rFonts w:hint="eastAsia" w:ascii="仿宋" w:hAnsi="仿宋" w:eastAsia="仿宋" w:cs="仿宋"/>
                <w:color w:val="auto"/>
                <w:highlight w:val="none"/>
              </w:rPr>
              <w:t xml:space="preserve">；  </w:t>
            </w:r>
          </w:p>
          <w:p>
            <w:pPr>
              <w:pStyle w:val="96"/>
              <w:snapToGrid w:val="0"/>
              <w:spacing w:after="0" w:line="360" w:lineRule="auto"/>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超过最高限价的投标为无效投标。</w:t>
            </w:r>
          </w:p>
          <w:p>
            <w:pPr>
              <w:pStyle w:val="96"/>
              <w:snapToGrid w:val="0"/>
              <w:spacing w:after="0" w:line="360" w:lineRule="auto"/>
              <w:rPr>
                <w:rFonts w:hint="eastAsia" w:ascii="仿宋" w:hAnsi="仿宋" w:eastAsia="仿宋" w:cs="仿宋"/>
                <w:color w:val="auto"/>
                <w:kern w:val="2"/>
                <w:sz w:val="21"/>
                <w:szCs w:val="21"/>
                <w:highlight w:val="none"/>
                <w:lang w:val="en-US" w:eastAsia="zh-CN"/>
              </w:rPr>
            </w:pPr>
            <w:r>
              <w:rPr>
                <w:rFonts w:hint="eastAsia" w:ascii="仿宋" w:hAnsi="仿宋" w:eastAsia="仿宋" w:cs="仿宋"/>
                <w:color w:val="auto"/>
                <w:kern w:val="2"/>
                <w:sz w:val="21"/>
                <w:szCs w:val="21"/>
                <w:highlight w:val="none"/>
              </w:rPr>
              <w:t>最高</w:t>
            </w:r>
            <w:r>
              <w:rPr>
                <w:rFonts w:hint="eastAsia" w:ascii="仿宋" w:hAnsi="仿宋" w:eastAsia="仿宋" w:cs="仿宋"/>
                <w:color w:val="auto"/>
                <w:kern w:val="2"/>
                <w:sz w:val="21"/>
                <w:szCs w:val="21"/>
                <w:highlight w:val="none"/>
                <w:lang w:val="en-US" w:eastAsia="zh-CN"/>
              </w:rPr>
              <w:t>单价</w:t>
            </w:r>
            <w:r>
              <w:rPr>
                <w:rFonts w:hint="eastAsia" w:ascii="仿宋" w:hAnsi="仿宋" w:eastAsia="仿宋" w:cs="仿宋"/>
                <w:color w:val="auto"/>
                <w:kern w:val="2"/>
                <w:sz w:val="21"/>
                <w:szCs w:val="21"/>
                <w:highlight w:val="none"/>
              </w:rPr>
              <w:t>限价</w:t>
            </w:r>
            <w:r>
              <w:rPr>
                <w:rFonts w:hint="eastAsia" w:ascii="仿宋" w:hAnsi="仿宋" w:eastAsia="仿宋" w:cs="仿宋"/>
                <w:color w:val="auto"/>
                <w:kern w:val="2"/>
                <w:sz w:val="21"/>
                <w:szCs w:val="21"/>
                <w:highlight w:val="none"/>
                <w:lang w:val="en-US" w:eastAsia="zh-CN"/>
              </w:rPr>
              <w:t>详见第五章。</w:t>
            </w:r>
          </w:p>
          <w:p>
            <w:pPr>
              <w:spacing w:line="360" w:lineRule="auto"/>
              <w:rPr>
                <w:rFonts w:hint="eastAsia" w:ascii="仿宋" w:hAnsi="仿宋" w:eastAsia="仿宋" w:cs="仿宋"/>
                <w:color w:val="auto"/>
                <w:highlight w:val="none"/>
                <w:lang w:val="zh-CN"/>
              </w:rPr>
            </w:pPr>
            <w:r>
              <w:rPr>
                <w:rFonts w:hint="eastAsia" w:ascii="仿宋" w:hAnsi="仿宋" w:eastAsia="仿宋" w:cs="仿宋"/>
                <w:color w:val="auto"/>
                <w:kern w:val="2"/>
                <w:sz w:val="21"/>
                <w:szCs w:val="21"/>
                <w:highlight w:val="none"/>
              </w:rPr>
              <w:t>超过最高</w:t>
            </w:r>
            <w:r>
              <w:rPr>
                <w:rFonts w:hint="eastAsia" w:ascii="仿宋" w:hAnsi="仿宋" w:eastAsia="仿宋" w:cs="仿宋"/>
                <w:color w:val="auto"/>
                <w:kern w:val="2"/>
                <w:sz w:val="21"/>
                <w:szCs w:val="21"/>
                <w:highlight w:val="none"/>
                <w:lang w:val="en-US" w:eastAsia="zh-CN"/>
              </w:rPr>
              <w:t>单价</w:t>
            </w:r>
            <w:r>
              <w:rPr>
                <w:rFonts w:hint="eastAsia" w:ascii="仿宋" w:hAnsi="仿宋" w:eastAsia="仿宋" w:cs="仿宋"/>
                <w:color w:val="auto"/>
                <w:kern w:val="2"/>
                <w:sz w:val="21"/>
                <w:szCs w:val="21"/>
                <w:highlight w:val="none"/>
              </w:rPr>
              <w:t>限价的投标为无效投标。</w:t>
            </w:r>
            <w:r>
              <w:rPr>
                <w:rFonts w:hint="eastAsia" w:ascii="仿宋" w:hAnsi="仿宋" w:eastAsia="仿宋" w:cs="仿宋"/>
                <w:color w:val="auto"/>
                <w:highlight w:val="none"/>
              </w:rPr>
              <w:t xml:space="preserve">                                                                                                                                </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62" w:hRule="exact"/>
          <w:jc w:val="center"/>
        </w:trPr>
        <w:tc>
          <w:tcPr>
            <w:tcW w:w="787" w:type="dxa"/>
            <w:tcBorders>
              <w:tl2br w:val="nil"/>
              <w:tr2bl w:val="nil"/>
            </w:tcBorders>
            <w:noWrap w:val="0"/>
            <w:vAlign w:val="center"/>
          </w:tcPr>
          <w:p>
            <w:pPr>
              <w:spacing w:line="360" w:lineRule="auto"/>
              <w:rPr>
                <w:rFonts w:hint="eastAsia" w:ascii="仿宋" w:hAnsi="仿宋" w:eastAsia="仿宋" w:cs="仿宋"/>
                <w:color w:val="auto"/>
                <w:highlight w:val="none"/>
                <w:lang w:val="zh-CN" w:eastAsia="zh-CN"/>
              </w:rPr>
            </w:pPr>
            <w:r>
              <w:rPr>
                <w:rFonts w:hint="eastAsia" w:ascii="仿宋" w:hAnsi="仿宋" w:eastAsia="仿宋" w:cs="仿宋"/>
                <w:color w:val="auto"/>
                <w:highlight w:val="none"/>
                <w:lang w:val="en-US" w:eastAsia="zh-CN"/>
              </w:rPr>
              <w:t>3</w:t>
            </w:r>
          </w:p>
        </w:tc>
        <w:tc>
          <w:tcPr>
            <w:tcW w:w="2516" w:type="dxa"/>
            <w:tcBorders>
              <w:tl2br w:val="nil"/>
              <w:tr2bl w:val="nil"/>
            </w:tcBorders>
            <w:noWrap w:val="0"/>
            <w:vAlign w:val="center"/>
          </w:tcPr>
          <w:p>
            <w:pPr>
              <w:spacing w:line="360" w:lineRule="auto"/>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采购方式</w:t>
            </w:r>
          </w:p>
        </w:tc>
        <w:tc>
          <w:tcPr>
            <w:tcW w:w="6383" w:type="dxa"/>
            <w:tcBorders>
              <w:tl2br w:val="nil"/>
              <w:tr2bl w:val="nil"/>
            </w:tcBorders>
            <w:noWrap w:val="0"/>
            <w:vAlign w:val="center"/>
          </w:tcPr>
          <w:p>
            <w:pPr>
              <w:spacing w:line="360"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竞争性谈判</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75" w:hRule="atLeast"/>
          <w:jc w:val="center"/>
        </w:trPr>
        <w:tc>
          <w:tcPr>
            <w:tcW w:w="787" w:type="dxa"/>
            <w:tcBorders>
              <w:tl2br w:val="nil"/>
              <w:tr2bl w:val="nil"/>
            </w:tcBorders>
            <w:noWrap w:val="0"/>
            <w:vAlign w:val="center"/>
          </w:tcPr>
          <w:p>
            <w:pPr>
              <w:spacing w:line="360" w:lineRule="auto"/>
              <w:rPr>
                <w:rFonts w:hint="eastAsia" w:ascii="仿宋" w:hAnsi="仿宋" w:eastAsia="仿宋" w:cs="仿宋"/>
                <w:color w:val="auto"/>
                <w:highlight w:val="none"/>
                <w:lang w:val="zh-CN" w:eastAsia="zh-CN"/>
              </w:rPr>
            </w:pPr>
            <w:r>
              <w:rPr>
                <w:rFonts w:hint="eastAsia" w:ascii="仿宋" w:hAnsi="仿宋" w:eastAsia="仿宋" w:cs="仿宋"/>
                <w:color w:val="auto"/>
                <w:highlight w:val="none"/>
                <w:lang w:val="en-US" w:eastAsia="zh-CN"/>
              </w:rPr>
              <w:t>4</w:t>
            </w:r>
          </w:p>
        </w:tc>
        <w:tc>
          <w:tcPr>
            <w:tcW w:w="2516" w:type="dxa"/>
            <w:tcBorders>
              <w:tl2br w:val="nil"/>
              <w:tr2bl w:val="nil"/>
            </w:tcBorders>
            <w:noWrap w:val="0"/>
            <w:vAlign w:val="center"/>
          </w:tcPr>
          <w:p>
            <w:pPr>
              <w:spacing w:line="360" w:lineRule="auto"/>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评</w:t>
            </w:r>
            <w:r>
              <w:rPr>
                <w:rFonts w:hint="eastAsia" w:ascii="仿宋" w:hAnsi="仿宋" w:eastAsia="仿宋" w:cs="仿宋"/>
                <w:color w:val="auto"/>
                <w:highlight w:val="none"/>
                <w:lang w:val="en-US" w:eastAsia="zh-CN"/>
              </w:rPr>
              <w:t>审</w:t>
            </w:r>
            <w:r>
              <w:rPr>
                <w:rFonts w:hint="eastAsia" w:ascii="仿宋" w:hAnsi="仿宋" w:eastAsia="仿宋" w:cs="仿宋"/>
                <w:color w:val="auto"/>
                <w:highlight w:val="none"/>
                <w:lang w:val="zh-CN"/>
              </w:rPr>
              <w:t>方法</w:t>
            </w:r>
          </w:p>
        </w:tc>
        <w:tc>
          <w:tcPr>
            <w:tcW w:w="6383" w:type="dxa"/>
            <w:tcBorders>
              <w:tl2br w:val="nil"/>
              <w:tr2bl w:val="nil"/>
            </w:tcBorders>
            <w:noWrap w:val="0"/>
            <w:vAlign w:val="center"/>
          </w:tcPr>
          <w:p>
            <w:pPr>
              <w:spacing w:line="360"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最低评标价法</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75" w:hRule="atLeast"/>
          <w:jc w:val="center"/>
        </w:trPr>
        <w:tc>
          <w:tcPr>
            <w:tcW w:w="787" w:type="dxa"/>
            <w:tcBorders>
              <w:tl2br w:val="nil"/>
              <w:tr2bl w:val="nil"/>
            </w:tcBorders>
            <w:noWrap w:val="0"/>
            <w:vAlign w:val="center"/>
          </w:tcPr>
          <w:p>
            <w:pPr>
              <w:spacing w:line="360"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5</w:t>
            </w:r>
          </w:p>
        </w:tc>
        <w:tc>
          <w:tcPr>
            <w:tcW w:w="2516" w:type="dxa"/>
            <w:tcBorders>
              <w:tl2br w:val="nil"/>
              <w:tr2bl w:val="nil"/>
            </w:tcBorders>
            <w:noWrap w:val="0"/>
            <w:vAlign w:val="center"/>
          </w:tcPr>
          <w:p>
            <w:pPr>
              <w:spacing w:line="360"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所属行业</w:t>
            </w:r>
          </w:p>
        </w:tc>
        <w:tc>
          <w:tcPr>
            <w:tcW w:w="6383" w:type="dxa"/>
            <w:tcBorders>
              <w:tl2br w:val="nil"/>
              <w:tr2bl w:val="nil"/>
            </w:tcBorders>
            <w:noWrap w:val="0"/>
            <w:vAlign w:val="center"/>
          </w:tcPr>
          <w:p>
            <w:pPr>
              <w:spacing w:line="360"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工业</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2466" w:hRule="atLeast"/>
          <w:jc w:val="center"/>
        </w:trPr>
        <w:tc>
          <w:tcPr>
            <w:tcW w:w="787" w:type="dxa"/>
            <w:tcBorders>
              <w:tl2br w:val="nil"/>
              <w:tr2bl w:val="nil"/>
            </w:tcBorders>
            <w:noWrap w:val="0"/>
            <w:vAlign w:val="center"/>
          </w:tcPr>
          <w:p>
            <w:pPr>
              <w:spacing w:line="360"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6</w:t>
            </w:r>
          </w:p>
        </w:tc>
        <w:tc>
          <w:tcPr>
            <w:tcW w:w="2516" w:type="dxa"/>
            <w:tcBorders>
              <w:tl2br w:val="nil"/>
              <w:tr2bl w:val="nil"/>
            </w:tcBorders>
            <w:noWrap w:val="0"/>
            <w:vAlign w:val="center"/>
          </w:tcPr>
          <w:p>
            <w:pPr>
              <w:spacing w:line="360"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进口产品（实质性要求）</w:t>
            </w:r>
          </w:p>
        </w:tc>
        <w:tc>
          <w:tcPr>
            <w:tcW w:w="6383" w:type="dxa"/>
            <w:tcBorders>
              <w:tl2br w:val="nil"/>
              <w:tr2bl w:val="nil"/>
            </w:tcBorders>
            <w:noWrap w:val="0"/>
            <w:vAlign w:val="center"/>
          </w:tcPr>
          <w:p>
            <w:pPr>
              <w:spacing w:line="360"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本项目不允许采购进口产品。</w:t>
            </w:r>
          </w:p>
          <w:p>
            <w:pPr>
              <w:spacing w:line="360"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注：本项目采购文件中未载明“允许采购进口产品”的产品，视</w:t>
            </w:r>
          </w:p>
          <w:p>
            <w:pPr>
              <w:spacing w:line="360"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为拒绝进口产品参与竞争，供应商以进口产品进行响应时，将在有效性、完整性及响应程度审查时按无效响应进行处理。</w:t>
            </w:r>
          </w:p>
          <w:p>
            <w:pPr>
              <w:spacing w:line="360"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本项目采购文件中载明“允许采购进口产品”的产品，不限制国产产品参与竞争。</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75" w:hRule="atLeast"/>
          <w:jc w:val="center"/>
        </w:trPr>
        <w:tc>
          <w:tcPr>
            <w:tcW w:w="787" w:type="dxa"/>
            <w:tcBorders>
              <w:tl2br w:val="nil"/>
              <w:tr2bl w:val="nil"/>
            </w:tcBorders>
            <w:noWrap w:val="0"/>
            <w:vAlign w:val="center"/>
          </w:tcPr>
          <w:p>
            <w:pPr>
              <w:spacing w:line="360"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7</w:t>
            </w:r>
          </w:p>
        </w:tc>
        <w:tc>
          <w:tcPr>
            <w:tcW w:w="2516" w:type="dxa"/>
            <w:tcBorders>
              <w:tl2br w:val="nil"/>
              <w:tr2bl w:val="nil"/>
            </w:tcBorders>
            <w:noWrap w:val="0"/>
            <w:vAlign w:val="center"/>
          </w:tcPr>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低于成本价不正当</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竞争预防措施</w:t>
            </w:r>
          </w:p>
          <w:p>
            <w:pPr>
              <w:spacing w:line="360"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rPr>
              <w:t>（实质性要求）</w:t>
            </w:r>
          </w:p>
        </w:tc>
        <w:tc>
          <w:tcPr>
            <w:tcW w:w="6383" w:type="dxa"/>
            <w:tcBorders>
              <w:tl2br w:val="nil"/>
              <w:tr2bl w:val="nil"/>
            </w:tcBorders>
            <w:noWrap w:val="0"/>
            <w:vAlign w:val="center"/>
          </w:tcPr>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在评</w:t>
            </w:r>
            <w:r>
              <w:rPr>
                <w:rFonts w:hint="eastAsia" w:ascii="仿宋" w:hAnsi="仿宋" w:eastAsia="仿宋" w:cs="仿宋"/>
                <w:color w:val="auto"/>
                <w:highlight w:val="none"/>
                <w:lang w:val="en-US" w:eastAsia="zh-CN"/>
              </w:rPr>
              <w:t>审</w:t>
            </w:r>
            <w:r>
              <w:rPr>
                <w:rFonts w:hint="eastAsia" w:ascii="仿宋" w:hAnsi="仿宋" w:eastAsia="仿宋" w:cs="仿宋"/>
                <w:color w:val="auto"/>
                <w:highlight w:val="none"/>
              </w:rPr>
              <w:t>过程中，评</w:t>
            </w:r>
            <w:r>
              <w:rPr>
                <w:rFonts w:hint="eastAsia" w:ascii="仿宋" w:hAnsi="仿宋" w:eastAsia="仿宋" w:cs="仿宋"/>
                <w:color w:val="auto"/>
                <w:highlight w:val="none"/>
                <w:lang w:val="en-US" w:eastAsia="zh-CN"/>
              </w:rPr>
              <w:t>审</w:t>
            </w:r>
            <w:r>
              <w:rPr>
                <w:rFonts w:hint="eastAsia" w:ascii="仿宋" w:hAnsi="仿宋" w:eastAsia="仿宋" w:cs="仿宋"/>
                <w:color w:val="auto"/>
                <w:highlight w:val="none"/>
              </w:rPr>
              <w:t>委员会认为</w:t>
            </w:r>
            <w:r>
              <w:rPr>
                <w:rFonts w:hint="eastAsia" w:ascii="仿宋" w:hAnsi="仿宋" w:eastAsia="仿宋" w:cs="仿宋"/>
                <w:color w:val="auto"/>
                <w:highlight w:val="none"/>
                <w:lang w:val="en-US" w:eastAsia="zh-CN"/>
              </w:rPr>
              <w:t>供应商</w:t>
            </w:r>
            <w:r>
              <w:rPr>
                <w:rFonts w:hint="eastAsia" w:ascii="仿宋" w:hAnsi="仿宋" w:eastAsia="仿宋" w:cs="仿宋"/>
                <w:color w:val="auto"/>
                <w:highlight w:val="none"/>
              </w:rPr>
              <w:t>的报价明显低于其他通过</w:t>
            </w:r>
            <w:r>
              <w:rPr>
                <w:rFonts w:hint="eastAsia" w:ascii="仿宋" w:hAnsi="仿宋" w:eastAsia="仿宋" w:cs="仿宋"/>
                <w:color w:val="auto"/>
                <w:highlight w:val="none"/>
                <w:lang w:val="en-US" w:eastAsia="zh-CN"/>
              </w:rPr>
              <w:t>有效性、完整性及响应程度</w:t>
            </w:r>
            <w:r>
              <w:rPr>
                <w:rFonts w:hint="eastAsia" w:ascii="仿宋" w:hAnsi="仿宋" w:eastAsia="仿宋" w:cs="仿宋"/>
                <w:color w:val="auto"/>
                <w:highlight w:val="none"/>
              </w:rPr>
              <w:t>审查</w:t>
            </w:r>
            <w:r>
              <w:rPr>
                <w:rFonts w:hint="eastAsia" w:ascii="仿宋" w:hAnsi="仿宋" w:eastAsia="仿宋" w:cs="仿宋"/>
                <w:color w:val="auto"/>
                <w:highlight w:val="none"/>
                <w:lang w:val="en-US" w:eastAsia="zh-CN"/>
              </w:rPr>
              <w:t>供应商</w:t>
            </w:r>
            <w:r>
              <w:rPr>
                <w:rFonts w:hint="eastAsia" w:ascii="仿宋" w:hAnsi="仿宋" w:eastAsia="仿宋" w:cs="仿宋"/>
                <w:color w:val="auto"/>
                <w:highlight w:val="none"/>
              </w:rPr>
              <w:t>的报价，有可能影响产品质量或者不能诚信履约的，</w:t>
            </w:r>
            <w:r>
              <w:rPr>
                <w:rFonts w:hint="eastAsia" w:ascii="仿宋" w:hAnsi="仿宋" w:eastAsia="仿宋" w:cs="仿宋"/>
                <w:color w:val="auto"/>
                <w:highlight w:val="none"/>
                <w:lang w:eastAsia="zh-CN"/>
              </w:rPr>
              <w:t>评审委员会</w:t>
            </w:r>
            <w:r>
              <w:rPr>
                <w:rFonts w:hint="eastAsia" w:ascii="仿宋" w:hAnsi="仿宋" w:eastAsia="仿宋" w:cs="仿宋"/>
                <w:color w:val="auto"/>
                <w:highlight w:val="none"/>
              </w:rPr>
              <w:t>应当要求其在评</w:t>
            </w:r>
            <w:r>
              <w:rPr>
                <w:rFonts w:hint="eastAsia" w:ascii="仿宋" w:hAnsi="仿宋" w:eastAsia="仿宋" w:cs="仿宋"/>
                <w:color w:val="auto"/>
                <w:highlight w:val="none"/>
                <w:lang w:val="en-US" w:eastAsia="zh-CN"/>
              </w:rPr>
              <w:t>审</w:t>
            </w:r>
            <w:r>
              <w:rPr>
                <w:rFonts w:hint="eastAsia" w:ascii="仿宋" w:hAnsi="仿宋" w:eastAsia="仿宋" w:cs="仿宋"/>
                <w:color w:val="auto"/>
                <w:highlight w:val="none"/>
              </w:rPr>
              <w:t>现场合理的时间内提供成本构成书面说明，并提交相关证明材料。</w:t>
            </w:r>
            <w:r>
              <w:rPr>
                <w:rFonts w:hint="eastAsia" w:ascii="仿宋" w:hAnsi="仿宋" w:eastAsia="仿宋" w:cs="仿宋"/>
                <w:color w:val="auto"/>
                <w:highlight w:val="none"/>
                <w:lang w:val="en-US" w:eastAsia="zh-CN"/>
              </w:rPr>
              <w:t>供应商</w:t>
            </w:r>
            <w:r>
              <w:rPr>
                <w:rFonts w:hint="eastAsia" w:ascii="仿宋" w:hAnsi="仿宋" w:eastAsia="仿宋" w:cs="仿宋"/>
                <w:color w:val="auto"/>
                <w:highlight w:val="none"/>
              </w:rPr>
              <w:t>书面说明应当按照国家财务会计制度的规定要求，逐项就</w:t>
            </w:r>
            <w:r>
              <w:rPr>
                <w:rFonts w:hint="eastAsia" w:ascii="仿宋" w:hAnsi="仿宋" w:eastAsia="仿宋" w:cs="仿宋"/>
                <w:color w:val="auto"/>
                <w:highlight w:val="none"/>
                <w:lang w:val="en-US" w:eastAsia="zh-CN"/>
              </w:rPr>
              <w:t>供应商</w:t>
            </w:r>
            <w:r>
              <w:rPr>
                <w:rFonts w:hint="eastAsia" w:ascii="仿宋" w:hAnsi="仿宋" w:eastAsia="仿宋" w:cs="仿宋"/>
                <w:color w:val="auto"/>
                <w:highlight w:val="none"/>
              </w:rPr>
              <w:t>提供的货物、工程和服务的主营业务成本（应根据</w:t>
            </w:r>
            <w:r>
              <w:rPr>
                <w:rFonts w:hint="eastAsia" w:ascii="仿宋" w:hAnsi="仿宋" w:eastAsia="仿宋" w:cs="仿宋"/>
                <w:color w:val="auto"/>
                <w:highlight w:val="none"/>
                <w:lang w:val="en-US" w:eastAsia="zh-CN"/>
              </w:rPr>
              <w:t>供应商</w:t>
            </w:r>
            <w:r>
              <w:rPr>
                <w:rFonts w:hint="eastAsia" w:ascii="仿宋" w:hAnsi="仿宋" w:eastAsia="仿宋" w:cs="仿宋"/>
                <w:color w:val="auto"/>
                <w:highlight w:val="none"/>
              </w:rPr>
              <w:t>企业类型予以区别）、税金及附加、销售费用、管理费用、财务费用等成本构成事项详细陈述。</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供应商</w:t>
            </w:r>
            <w:r>
              <w:rPr>
                <w:rFonts w:hint="eastAsia" w:ascii="仿宋" w:hAnsi="仿宋" w:eastAsia="仿宋" w:cs="仿宋"/>
                <w:color w:val="auto"/>
                <w:highlight w:val="none"/>
              </w:rPr>
              <w:t>书面说明应当签字确认或者加盖公章，否则无效。书面说明的签字确认，</w:t>
            </w:r>
            <w:r>
              <w:rPr>
                <w:rFonts w:hint="eastAsia" w:ascii="仿宋" w:hAnsi="仿宋" w:eastAsia="仿宋" w:cs="仿宋"/>
                <w:color w:val="auto"/>
                <w:highlight w:val="none"/>
                <w:lang w:val="en-US" w:eastAsia="zh-CN"/>
              </w:rPr>
              <w:t>供应商</w:t>
            </w:r>
            <w:r>
              <w:rPr>
                <w:rFonts w:hint="eastAsia" w:ascii="仿宋" w:hAnsi="仿宋" w:eastAsia="仿宋" w:cs="仿宋"/>
                <w:color w:val="auto"/>
                <w:highlight w:val="none"/>
              </w:rPr>
              <w:t>为法人的，由其法定代表人/单位负责人或者代理人签字确认；</w:t>
            </w:r>
            <w:r>
              <w:rPr>
                <w:rFonts w:hint="eastAsia" w:ascii="仿宋" w:hAnsi="仿宋" w:eastAsia="仿宋" w:cs="仿宋"/>
                <w:color w:val="auto"/>
                <w:highlight w:val="none"/>
                <w:lang w:val="en-US" w:eastAsia="zh-CN"/>
              </w:rPr>
              <w:t>供应商</w:t>
            </w:r>
            <w:r>
              <w:rPr>
                <w:rFonts w:hint="eastAsia" w:ascii="仿宋" w:hAnsi="仿宋" w:eastAsia="仿宋" w:cs="仿宋"/>
                <w:color w:val="auto"/>
                <w:highlight w:val="none"/>
              </w:rPr>
              <w:t>为其他组织的，由其主要负责人或者代理人签字确认；</w:t>
            </w:r>
            <w:r>
              <w:rPr>
                <w:rFonts w:hint="eastAsia" w:ascii="仿宋" w:hAnsi="仿宋" w:eastAsia="仿宋" w:cs="仿宋"/>
                <w:color w:val="auto"/>
                <w:highlight w:val="none"/>
                <w:lang w:val="en-US" w:eastAsia="zh-CN"/>
              </w:rPr>
              <w:t>供应商</w:t>
            </w:r>
            <w:r>
              <w:rPr>
                <w:rFonts w:hint="eastAsia" w:ascii="仿宋" w:hAnsi="仿宋" w:eastAsia="仿宋" w:cs="仿宋"/>
                <w:color w:val="auto"/>
                <w:highlight w:val="none"/>
              </w:rPr>
              <w:t>为自然人的，由其本人或者代理人签字确认。</w:t>
            </w:r>
          </w:p>
          <w:p>
            <w:pPr>
              <w:spacing w:line="360"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供应商</w:t>
            </w:r>
            <w:r>
              <w:rPr>
                <w:rFonts w:hint="eastAsia" w:ascii="仿宋" w:hAnsi="仿宋" w:eastAsia="仿宋" w:cs="仿宋"/>
                <w:color w:val="auto"/>
                <w:highlight w:val="none"/>
              </w:rPr>
              <w:t>提供书面说明后，</w:t>
            </w:r>
            <w:r>
              <w:rPr>
                <w:rFonts w:hint="eastAsia" w:ascii="仿宋" w:hAnsi="仿宋" w:eastAsia="仿宋" w:cs="仿宋"/>
                <w:color w:val="auto"/>
                <w:highlight w:val="none"/>
                <w:lang w:eastAsia="zh-CN"/>
              </w:rPr>
              <w:t>评审委员会</w:t>
            </w:r>
            <w:r>
              <w:rPr>
                <w:rFonts w:hint="eastAsia" w:ascii="仿宋" w:hAnsi="仿宋" w:eastAsia="仿宋" w:cs="仿宋"/>
                <w:color w:val="auto"/>
                <w:highlight w:val="none"/>
              </w:rPr>
              <w:t>应当结合采购项目采购需求、专业实际情况、</w:t>
            </w:r>
            <w:r>
              <w:rPr>
                <w:rFonts w:hint="eastAsia" w:ascii="仿宋" w:hAnsi="仿宋" w:eastAsia="仿宋" w:cs="仿宋"/>
                <w:color w:val="auto"/>
                <w:highlight w:val="none"/>
                <w:lang w:val="en-US" w:eastAsia="zh-CN"/>
              </w:rPr>
              <w:t>供应商</w:t>
            </w:r>
            <w:r>
              <w:rPr>
                <w:rFonts w:hint="eastAsia" w:ascii="仿宋" w:hAnsi="仿宋" w:eastAsia="仿宋" w:cs="仿宋"/>
                <w:color w:val="auto"/>
                <w:highlight w:val="none"/>
              </w:rPr>
              <w:t>财务状况报告、与其他</w:t>
            </w:r>
            <w:r>
              <w:rPr>
                <w:rFonts w:hint="eastAsia" w:ascii="仿宋" w:hAnsi="仿宋" w:eastAsia="仿宋" w:cs="仿宋"/>
                <w:color w:val="auto"/>
                <w:highlight w:val="none"/>
                <w:lang w:val="en-US" w:eastAsia="zh-CN"/>
              </w:rPr>
              <w:t>供应商</w:t>
            </w:r>
            <w:r>
              <w:rPr>
                <w:rFonts w:hint="eastAsia" w:ascii="仿宋" w:hAnsi="仿宋" w:eastAsia="仿宋" w:cs="仿宋"/>
                <w:color w:val="auto"/>
                <w:highlight w:val="none"/>
              </w:rPr>
              <w:t>比较情况等就</w:t>
            </w:r>
            <w:r>
              <w:rPr>
                <w:rFonts w:hint="eastAsia" w:ascii="仿宋" w:hAnsi="仿宋" w:eastAsia="仿宋" w:cs="仿宋"/>
                <w:color w:val="auto"/>
                <w:highlight w:val="none"/>
                <w:lang w:val="en-US" w:eastAsia="zh-CN"/>
              </w:rPr>
              <w:t>供应商</w:t>
            </w:r>
            <w:r>
              <w:rPr>
                <w:rFonts w:hint="eastAsia" w:ascii="仿宋" w:hAnsi="仿宋" w:eastAsia="仿宋" w:cs="仿宋"/>
                <w:color w:val="auto"/>
                <w:highlight w:val="none"/>
              </w:rPr>
              <w:t>书面说明进行审查评价。</w:t>
            </w:r>
            <w:r>
              <w:rPr>
                <w:rFonts w:hint="eastAsia" w:ascii="仿宋" w:hAnsi="仿宋" w:eastAsia="仿宋" w:cs="仿宋"/>
                <w:color w:val="auto"/>
                <w:highlight w:val="none"/>
                <w:lang w:val="en-US" w:eastAsia="zh-CN"/>
              </w:rPr>
              <w:t>供应商</w:t>
            </w:r>
            <w:r>
              <w:rPr>
                <w:rFonts w:hint="eastAsia" w:ascii="仿宋" w:hAnsi="仿宋" w:eastAsia="仿宋" w:cs="仿宋"/>
                <w:color w:val="auto"/>
                <w:highlight w:val="none"/>
              </w:rPr>
              <w:t>拒绝或者变相拒绝提供有效书面说明或者书面说明不能证明其报价合理性的，</w:t>
            </w:r>
            <w:r>
              <w:rPr>
                <w:rFonts w:hint="eastAsia" w:ascii="仿宋" w:hAnsi="仿宋" w:eastAsia="仿宋" w:cs="仿宋"/>
                <w:color w:val="auto"/>
                <w:highlight w:val="none"/>
                <w:lang w:eastAsia="zh-CN"/>
              </w:rPr>
              <w:t>评审委员会</w:t>
            </w:r>
            <w:r>
              <w:rPr>
                <w:rFonts w:hint="eastAsia" w:ascii="仿宋" w:hAnsi="仿宋" w:eastAsia="仿宋" w:cs="仿宋"/>
                <w:color w:val="auto"/>
                <w:highlight w:val="none"/>
              </w:rPr>
              <w:t>应当将其</w:t>
            </w:r>
            <w:r>
              <w:rPr>
                <w:rFonts w:hint="eastAsia" w:ascii="仿宋" w:hAnsi="仿宋" w:eastAsia="仿宋" w:cs="仿宋"/>
                <w:color w:val="auto"/>
                <w:highlight w:val="none"/>
                <w:lang w:eastAsia="zh-CN"/>
              </w:rPr>
              <w:t>谈判文件</w:t>
            </w:r>
            <w:r>
              <w:rPr>
                <w:rFonts w:hint="eastAsia" w:ascii="仿宋" w:hAnsi="仿宋" w:eastAsia="仿宋" w:cs="仿宋"/>
                <w:color w:val="auto"/>
                <w:highlight w:val="none"/>
              </w:rPr>
              <w:t>作为无效处理。</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1390" w:hRule="atLeast"/>
          <w:jc w:val="center"/>
        </w:trPr>
        <w:tc>
          <w:tcPr>
            <w:tcW w:w="787" w:type="dxa"/>
            <w:tcBorders>
              <w:tl2br w:val="nil"/>
              <w:tr2bl w:val="nil"/>
            </w:tcBorders>
            <w:noWrap w:val="0"/>
            <w:vAlign w:val="center"/>
          </w:tcPr>
          <w:p>
            <w:pPr>
              <w:spacing w:line="360"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8</w:t>
            </w:r>
          </w:p>
        </w:tc>
        <w:tc>
          <w:tcPr>
            <w:tcW w:w="2516" w:type="dxa"/>
            <w:tcBorders>
              <w:tl2br w:val="nil"/>
              <w:tr2bl w:val="nil"/>
            </w:tcBorders>
            <w:noWrap w:val="0"/>
            <w:vAlign w:val="center"/>
          </w:tcPr>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小微企业（监狱企业、残疾人福利性单位视同小微企业）价格扣除</w:t>
            </w:r>
          </w:p>
        </w:tc>
        <w:tc>
          <w:tcPr>
            <w:tcW w:w="6383" w:type="dxa"/>
            <w:tcBorders>
              <w:tl2br w:val="nil"/>
              <w:tr2bl w:val="nil"/>
            </w:tcBorders>
            <w:noWrap w:val="0"/>
            <w:vAlign w:val="center"/>
          </w:tcPr>
          <w:p>
            <w:pPr>
              <w:spacing w:line="360" w:lineRule="auto"/>
              <w:rPr>
                <w:rFonts w:hint="eastAsia" w:ascii="仿宋" w:hAnsi="仿宋" w:eastAsia="仿宋" w:cs="仿宋"/>
                <w:color w:val="FF0000"/>
                <w:highlight w:val="none"/>
                <w:lang w:val="en-US" w:eastAsia="zh-CN"/>
              </w:rPr>
            </w:pPr>
            <w:r>
              <w:rPr>
                <w:rFonts w:hint="eastAsia" w:ascii="仿宋" w:hAnsi="仿宋" w:eastAsia="仿宋" w:cs="仿宋"/>
                <w:color w:val="FF0000"/>
                <w:highlight w:val="none"/>
                <w:lang w:val="en-US" w:eastAsia="zh-CN"/>
              </w:rPr>
              <w:t>小微企业（监狱企业、残疾人福利性单位视同小微企业）价格扣除：</w:t>
            </w:r>
          </w:p>
          <w:p>
            <w:pPr>
              <w:spacing w:line="360" w:lineRule="auto"/>
              <w:rPr>
                <w:rFonts w:hint="eastAsia" w:ascii="仿宋" w:hAnsi="仿宋" w:eastAsia="仿宋" w:cs="仿宋"/>
                <w:color w:val="FF0000"/>
                <w:highlight w:val="none"/>
                <w:lang w:val="en-US" w:eastAsia="zh-CN"/>
              </w:rPr>
            </w:pPr>
            <w:r>
              <w:rPr>
                <w:rFonts w:hint="eastAsia" w:ascii="仿宋" w:hAnsi="仿宋" w:eastAsia="仿宋" w:cs="仿宋"/>
                <w:color w:val="FF0000"/>
                <w:highlight w:val="none"/>
                <w:lang w:val="en-US" w:eastAsia="zh-CN"/>
              </w:rPr>
              <w:t>本项目02包、03包为专门面向中小企业采购的项目，不再进行小微企业的价格扣除。</w:t>
            </w:r>
          </w:p>
          <w:p>
            <w:pPr>
              <w:spacing w:line="360" w:lineRule="auto"/>
              <w:rPr>
                <w:rFonts w:hint="eastAsia" w:ascii="仿宋" w:hAnsi="仿宋" w:eastAsia="仿宋" w:cs="仿宋"/>
                <w:color w:val="FF0000"/>
                <w:highlight w:val="none"/>
              </w:rPr>
            </w:pPr>
            <w:bookmarkStart w:id="13" w:name="PO_默认文件内容_13"/>
            <w:r>
              <w:rPr>
                <w:rFonts w:hint="eastAsia" w:ascii="仿宋" w:hAnsi="仿宋" w:eastAsia="仿宋" w:cs="仿宋"/>
                <w:color w:val="FF0000"/>
                <w:highlight w:val="none"/>
              </w:rPr>
              <w:t>一、小微企业（监狱企业、残疾人福利单位视同小微企业）价格扣除</w:t>
            </w:r>
          </w:p>
          <w:p>
            <w:pPr>
              <w:spacing w:line="360" w:lineRule="auto"/>
              <w:rPr>
                <w:rFonts w:hint="eastAsia" w:ascii="仿宋" w:hAnsi="仿宋" w:eastAsia="仿宋" w:cs="仿宋"/>
                <w:color w:val="FF0000"/>
                <w:highlight w:val="none"/>
              </w:rPr>
            </w:pPr>
            <w:r>
              <w:rPr>
                <w:rFonts w:hint="eastAsia" w:ascii="仿宋" w:hAnsi="仿宋" w:eastAsia="仿宋" w:cs="仿宋"/>
                <w:color w:val="FF0000"/>
                <w:highlight w:val="none"/>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pPr>
              <w:spacing w:line="360" w:lineRule="auto"/>
              <w:rPr>
                <w:rFonts w:hint="eastAsia" w:ascii="仿宋" w:hAnsi="仿宋" w:eastAsia="仿宋" w:cs="仿宋"/>
                <w:color w:val="FF0000"/>
                <w:highlight w:val="none"/>
              </w:rPr>
            </w:pPr>
            <w:r>
              <w:rPr>
                <w:rFonts w:hint="eastAsia" w:ascii="仿宋" w:hAnsi="仿宋" w:eastAsia="仿宋" w:cs="仿宋"/>
                <w:color w:val="FF0000"/>
                <w:highlight w:val="none"/>
              </w:rPr>
              <w:t>2、参加政府采购活动的中小企业提供《中小企业声明函》原件，未提供的，视为放弃享受小微企业价格扣除优惠政策。</w:t>
            </w:r>
          </w:p>
          <w:p>
            <w:pPr>
              <w:spacing w:line="360" w:lineRule="auto"/>
              <w:rPr>
                <w:rFonts w:hint="eastAsia" w:ascii="仿宋" w:hAnsi="仿宋" w:eastAsia="仿宋" w:cs="仿宋"/>
                <w:color w:val="FF0000"/>
                <w:highlight w:val="none"/>
              </w:rPr>
            </w:pPr>
            <w:r>
              <w:rPr>
                <w:rFonts w:hint="eastAsia" w:ascii="仿宋" w:hAnsi="仿宋" w:eastAsia="仿宋" w:cs="仿宋"/>
                <w:color w:val="FF0000"/>
                <w:highlight w:val="none"/>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pPr>
              <w:spacing w:line="360" w:lineRule="auto"/>
              <w:rPr>
                <w:rFonts w:hint="eastAsia" w:ascii="仿宋" w:hAnsi="仿宋" w:eastAsia="仿宋" w:cs="仿宋"/>
                <w:color w:val="FF0000"/>
                <w:highlight w:val="none"/>
              </w:rPr>
            </w:pPr>
            <w:r>
              <w:rPr>
                <w:rFonts w:hint="eastAsia" w:ascii="仿宋" w:hAnsi="仿宋" w:eastAsia="仿宋" w:cs="仿宋"/>
                <w:color w:val="FF0000"/>
                <w:highlight w:val="none"/>
              </w:rPr>
              <w:t>联合体各方均为小型、微型企业的，联合体视同为小型、微型企业享受规定的扶持政策。组成联合体的大中型企业和其他自然人、法人或者其他组织，与小型、微型企业之间不得存在投资关系。</w:t>
            </w:r>
          </w:p>
          <w:p>
            <w:pPr>
              <w:spacing w:line="360" w:lineRule="auto"/>
              <w:rPr>
                <w:rFonts w:hint="eastAsia" w:ascii="仿宋" w:hAnsi="仿宋" w:eastAsia="仿宋" w:cs="仿宋"/>
                <w:color w:val="FF0000"/>
                <w:highlight w:val="none"/>
              </w:rPr>
            </w:pPr>
            <w:r>
              <w:rPr>
                <w:rFonts w:hint="eastAsia" w:ascii="仿宋" w:hAnsi="仿宋" w:eastAsia="仿宋" w:cs="仿宋"/>
                <w:color w:val="FF0000"/>
                <w:highlight w:val="none"/>
              </w:rPr>
              <w:t>4、参加政府采购活动的残疾人福利性单位应当提供《残疾人福利性单位声明函》原件，未提供的，视为放弃享受小微企业价格扣除优惠政策。</w:t>
            </w:r>
          </w:p>
          <w:p>
            <w:pPr>
              <w:spacing w:line="360" w:lineRule="auto"/>
              <w:rPr>
                <w:rFonts w:hint="eastAsia" w:ascii="仿宋" w:hAnsi="仿宋" w:eastAsia="仿宋" w:cs="仿宋"/>
                <w:color w:val="FF0000"/>
                <w:highlight w:val="none"/>
              </w:rPr>
            </w:pPr>
            <w:r>
              <w:rPr>
                <w:rFonts w:hint="eastAsia" w:ascii="仿宋" w:hAnsi="仿宋" w:eastAsia="仿宋" w:cs="仿宋"/>
                <w:color w:val="FF0000"/>
                <w:highlight w:val="none"/>
              </w:rPr>
              <w:t>5、参加政府采购活动的监狱企业提供由省级以上监狱管理局、戒毒管理局(含新疆生产建设兵团)出具的属于监狱企业的证明文件，未提供的，视为放弃享受小微企业价格扣除优惠政策。</w:t>
            </w:r>
          </w:p>
          <w:p>
            <w:pPr>
              <w:spacing w:line="360" w:lineRule="auto"/>
              <w:rPr>
                <w:rFonts w:hint="eastAsia" w:ascii="仿宋" w:hAnsi="仿宋" w:eastAsia="仿宋" w:cs="仿宋"/>
                <w:color w:val="FF0000"/>
                <w:lang w:val="en-US" w:eastAsia="zh-CN"/>
              </w:rPr>
            </w:pPr>
            <w:r>
              <w:rPr>
                <w:rFonts w:hint="eastAsia" w:ascii="仿宋" w:hAnsi="仿宋" w:eastAsia="仿宋" w:cs="仿宋"/>
                <w:color w:val="FF0000"/>
                <w:highlight w:val="none"/>
              </w:rPr>
              <w:t>6、符合中小企业划分标准的个体工商户，在政府采购活动中视同中小企业。</w:t>
            </w:r>
            <w:bookmarkEnd w:id="13"/>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1015" w:hRule="atLeast"/>
          <w:jc w:val="center"/>
        </w:trPr>
        <w:tc>
          <w:tcPr>
            <w:tcW w:w="787" w:type="dxa"/>
            <w:tcBorders>
              <w:tl2br w:val="nil"/>
              <w:tr2bl w:val="nil"/>
            </w:tcBorders>
            <w:noWrap w:val="0"/>
            <w:vAlign w:val="center"/>
          </w:tcPr>
          <w:p>
            <w:pPr>
              <w:spacing w:line="360"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9</w:t>
            </w:r>
          </w:p>
        </w:tc>
        <w:tc>
          <w:tcPr>
            <w:tcW w:w="2516" w:type="dxa"/>
            <w:tcBorders>
              <w:tl2br w:val="nil"/>
              <w:tr2bl w:val="nil"/>
            </w:tcBorders>
            <w:noWrap w:val="0"/>
            <w:vAlign w:val="center"/>
          </w:tcPr>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扶持不发达地区和少数民族地区政策</w:t>
            </w:r>
          </w:p>
        </w:tc>
        <w:tc>
          <w:tcPr>
            <w:tcW w:w="6383" w:type="dxa"/>
            <w:tcBorders>
              <w:tl2br w:val="nil"/>
              <w:tr2bl w:val="nil"/>
            </w:tcBorders>
            <w:noWrap w:val="0"/>
            <w:vAlign w:val="center"/>
          </w:tcPr>
          <w:p>
            <w:pPr>
              <w:spacing w:line="360" w:lineRule="auto"/>
              <w:rPr>
                <w:rFonts w:hint="eastAsia" w:ascii="仿宋" w:hAnsi="仿宋" w:eastAsia="仿宋" w:cs="仿宋"/>
                <w:color w:val="FF0000"/>
                <w:highlight w:val="none"/>
                <w:lang w:val="en-US" w:eastAsia="zh-CN"/>
              </w:rPr>
            </w:pPr>
            <w:r>
              <w:rPr>
                <w:rFonts w:hint="eastAsia" w:ascii="仿宋" w:hAnsi="仿宋" w:eastAsia="仿宋" w:cs="仿宋"/>
                <w:color w:val="FF0000"/>
                <w:highlight w:val="none"/>
              </w:rPr>
              <w:t>符合扶持不发达地区和少数民族地区政策条件的，在同等条件下享有优先采购的机会。</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75" w:hRule="atLeast"/>
          <w:jc w:val="center"/>
        </w:trPr>
        <w:tc>
          <w:tcPr>
            <w:tcW w:w="787" w:type="dxa"/>
            <w:tcBorders>
              <w:tl2br w:val="nil"/>
              <w:tr2bl w:val="nil"/>
            </w:tcBorders>
            <w:noWrap w:val="0"/>
            <w:vAlign w:val="center"/>
          </w:tcPr>
          <w:p>
            <w:pPr>
              <w:spacing w:line="360"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10</w:t>
            </w:r>
          </w:p>
        </w:tc>
        <w:tc>
          <w:tcPr>
            <w:tcW w:w="2516" w:type="dxa"/>
            <w:tcBorders>
              <w:tl2br w:val="nil"/>
              <w:tr2bl w:val="nil"/>
            </w:tcBorders>
            <w:noWrap w:val="0"/>
            <w:vAlign w:val="center"/>
          </w:tcPr>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节能产品或者政府采购环境标志产品或者无线局域网产品的价格扣除（如涉及）</w:t>
            </w:r>
          </w:p>
        </w:tc>
        <w:tc>
          <w:tcPr>
            <w:tcW w:w="6383" w:type="dxa"/>
            <w:tcBorders>
              <w:tl2br w:val="nil"/>
              <w:tr2bl w:val="nil"/>
            </w:tcBorders>
            <w:noWrap w:val="0"/>
            <w:vAlign w:val="center"/>
          </w:tcPr>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1、根据《财政部</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发展改革委</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生态环境部</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2、本项目采购的产品属于品目清单范围内强制采购的，供应商应按上述要求提供产品认证证书复印件并加盖供应商单位公章（鲜章），否则投标无效。（实质性要求）</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3、本项目采购的产品属于品目清单范围内优先采购的或者属于中国政府采购网公布的《无线局域网认证产品政府采购清单》的，</w:t>
            </w:r>
            <w:r>
              <w:rPr>
                <w:rFonts w:hint="eastAsia" w:ascii="仿宋" w:hAnsi="仿宋" w:eastAsia="仿宋" w:cs="仿宋"/>
                <w:color w:val="auto"/>
                <w:highlight w:val="none"/>
                <w:lang w:val="en-US" w:eastAsia="zh-CN"/>
              </w:rPr>
              <w:t>其</w:t>
            </w:r>
            <w:r>
              <w:rPr>
                <w:rFonts w:hint="eastAsia" w:ascii="仿宋" w:hAnsi="仿宋" w:eastAsia="仿宋" w:cs="仿宋"/>
                <w:color w:val="auto"/>
                <w:highlight w:val="none"/>
                <w:lang w:val="zh-CN"/>
              </w:rPr>
              <w:t>报价给予2%的价格扣除</w:t>
            </w:r>
            <w:r>
              <w:rPr>
                <w:rFonts w:hint="eastAsia" w:ascii="仿宋" w:hAnsi="仿宋" w:eastAsia="仿宋" w:cs="仿宋"/>
                <w:color w:val="auto"/>
                <w:highlight w:val="none"/>
              </w:rPr>
              <w:t>。</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注：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76" w:hRule="atLeast"/>
          <w:jc w:val="center"/>
        </w:trPr>
        <w:tc>
          <w:tcPr>
            <w:tcW w:w="787" w:type="dxa"/>
            <w:tcBorders>
              <w:tl2br w:val="nil"/>
              <w:tr2bl w:val="nil"/>
            </w:tcBorders>
            <w:noWrap w:val="0"/>
            <w:vAlign w:val="center"/>
          </w:tcPr>
          <w:p>
            <w:pPr>
              <w:spacing w:line="360"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11</w:t>
            </w:r>
          </w:p>
        </w:tc>
        <w:tc>
          <w:tcPr>
            <w:tcW w:w="2516" w:type="dxa"/>
            <w:tcBorders>
              <w:tl2br w:val="nil"/>
              <w:tr2bl w:val="nil"/>
            </w:tcBorders>
            <w:noWrap w:val="0"/>
            <w:vAlign w:val="center"/>
          </w:tcPr>
          <w:p>
            <w:pPr>
              <w:spacing w:line="360" w:lineRule="auto"/>
              <w:rPr>
                <w:rFonts w:hint="eastAsia" w:ascii="仿宋" w:hAnsi="仿宋" w:eastAsia="仿宋" w:cs="仿宋"/>
                <w:color w:val="auto"/>
                <w:highlight w:val="none"/>
                <w:lang w:val="zh-CN"/>
              </w:rPr>
            </w:pPr>
            <w:r>
              <w:rPr>
                <w:rFonts w:hint="eastAsia" w:ascii="仿宋" w:hAnsi="仿宋" w:eastAsia="仿宋" w:cs="仿宋"/>
                <w:color w:val="auto"/>
                <w:highlight w:val="none"/>
                <w:lang w:val="en-US" w:eastAsia="zh-CN"/>
              </w:rPr>
              <w:t>谈判</w:t>
            </w:r>
            <w:r>
              <w:rPr>
                <w:rFonts w:hint="eastAsia" w:ascii="仿宋" w:hAnsi="仿宋" w:eastAsia="仿宋" w:cs="仿宋"/>
                <w:color w:val="auto"/>
                <w:highlight w:val="none"/>
                <w:lang w:val="zh-CN"/>
              </w:rPr>
              <w:t>保证金</w:t>
            </w:r>
          </w:p>
        </w:tc>
        <w:tc>
          <w:tcPr>
            <w:tcW w:w="6383" w:type="dxa"/>
            <w:tcBorders>
              <w:tl2br w:val="nil"/>
              <w:tr2bl w:val="nil"/>
            </w:tcBorders>
            <w:noWrap w:val="0"/>
            <w:vAlign w:val="center"/>
          </w:tcPr>
          <w:p>
            <w:pPr>
              <w:spacing w:line="360"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本项目不收取谈判保证金</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98" w:hRule="atLeast"/>
          <w:jc w:val="center"/>
        </w:trPr>
        <w:tc>
          <w:tcPr>
            <w:tcW w:w="787" w:type="dxa"/>
            <w:tcBorders>
              <w:tl2br w:val="nil"/>
              <w:tr2bl w:val="nil"/>
            </w:tcBorders>
            <w:noWrap w:val="0"/>
            <w:vAlign w:val="center"/>
          </w:tcPr>
          <w:p>
            <w:pPr>
              <w:spacing w:line="360"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12</w:t>
            </w:r>
          </w:p>
        </w:tc>
        <w:tc>
          <w:tcPr>
            <w:tcW w:w="2516" w:type="dxa"/>
            <w:tcBorders>
              <w:tl2br w:val="nil"/>
              <w:tr2bl w:val="nil"/>
            </w:tcBorders>
            <w:noWrap w:val="0"/>
            <w:vAlign w:val="center"/>
          </w:tcPr>
          <w:p>
            <w:pPr>
              <w:spacing w:line="360" w:lineRule="auto"/>
              <w:rPr>
                <w:rFonts w:hint="eastAsia" w:ascii="仿宋" w:hAnsi="仿宋" w:eastAsia="仿宋" w:cs="仿宋"/>
                <w:color w:val="auto"/>
                <w:highlight w:val="none"/>
                <w:lang w:val="zh-CN"/>
              </w:rPr>
            </w:pPr>
            <w:r>
              <w:rPr>
                <w:rFonts w:hint="eastAsia" w:ascii="仿宋" w:hAnsi="仿宋" w:eastAsia="仿宋" w:cs="仿宋"/>
                <w:color w:val="auto"/>
                <w:highlight w:val="none"/>
                <w:lang w:val="en-US" w:eastAsia="zh-CN"/>
              </w:rPr>
              <w:t>谈判文件</w:t>
            </w:r>
            <w:r>
              <w:rPr>
                <w:rFonts w:hint="eastAsia" w:ascii="仿宋" w:hAnsi="仿宋" w:eastAsia="仿宋" w:cs="仿宋"/>
                <w:color w:val="auto"/>
                <w:highlight w:val="none"/>
                <w:lang w:val="zh-CN"/>
              </w:rPr>
              <w:t>有效期</w:t>
            </w:r>
          </w:p>
          <w:p>
            <w:pPr>
              <w:spacing w:line="360"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zh-CN"/>
              </w:rPr>
              <w:t>（</w:t>
            </w:r>
            <w:r>
              <w:rPr>
                <w:rFonts w:hint="eastAsia" w:ascii="仿宋" w:hAnsi="仿宋" w:eastAsia="仿宋" w:cs="仿宋"/>
                <w:color w:val="auto"/>
                <w:highlight w:val="none"/>
                <w:lang w:val="en-US" w:eastAsia="zh-CN"/>
              </w:rPr>
              <w:t>实质性要求）</w:t>
            </w:r>
          </w:p>
        </w:tc>
        <w:tc>
          <w:tcPr>
            <w:tcW w:w="6383" w:type="dxa"/>
            <w:tcBorders>
              <w:tl2br w:val="nil"/>
              <w:tr2bl w:val="nil"/>
            </w:tcBorders>
            <w:noWrap w:val="0"/>
            <w:vAlign w:val="center"/>
          </w:tcPr>
          <w:p>
            <w:pPr>
              <w:spacing w:line="360" w:lineRule="auto"/>
              <w:rPr>
                <w:rFonts w:hint="eastAsia" w:ascii="仿宋" w:hAnsi="仿宋" w:eastAsia="仿宋" w:cs="仿宋"/>
                <w:color w:val="auto"/>
                <w:highlight w:val="none"/>
                <w:lang w:val="zh-CN"/>
              </w:rPr>
            </w:pPr>
            <w:r>
              <w:rPr>
                <w:rFonts w:hint="eastAsia" w:ascii="仿宋" w:hAnsi="仿宋" w:eastAsia="仿宋" w:cs="仿宋"/>
                <w:color w:val="auto"/>
                <w:highlight w:val="none"/>
                <w:lang w:val="en-US" w:eastAsia="zh-CN"/>
              </w:rPr>
              <w:t>递交谈判文件</w:t>
            </w:r>
            <w:r>
              <w:rPr>
                <w:rFonts w:hint="eastAsia" w:ascii="仿宋" w:hAnsi="仿宋" w:eastAsia="仿宋" w:cs="仿宋"/>
                <w:color w:val="auto"/>
                <w:highlight w:val="none"/>
              </w:rPr>
              <w:t>截止时间起90日历天。</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616" w:hRule="atLeast"/>
          <w:jc w:val="center"/>
        </w:trPr>
        <w:tc>
          <w:tcPr>
            <w:tcW w:w="787" w:type="dxa"/>
            <w:tcBorders>
              <w:tl2br w:val="nil"/>
              <w:tr2bl w:val="nil"/>
            </w:tcBorders>
            <w:noWrap w:val="0"/>
            <w:vAlign w:val="center"/>
          </w:tcPr>
          <w:p>
            <w:pPr>
              <w:spacing w:line="360"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13</w:t>
            </w:r>
          </w:p>
        </w:tc>
        <w:tc>
          <w:tcPr>
            <w:tcW w:w="2516" w:type="dxa"/>
            <w:tcBorders>
              <w:tl2br w:val="nil"/>
              <w:tr2bl w:val="nil"/>
            </w:tcBorders>
            <w:noWrap w:val="0"/>
            <w:vAlign w:val="center"/>
          </w:tcPr>
          <w:p>
            <w:pPr>
              <w:spacing w:line="360" w:lineRule="auto"/>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履约保证金</w:t>
            </w:r>
          </w:p>
        </w:tc>
        <w:tc>
          <w:tcPr>
            <w:tcW w:w="6383" w:type="dxa"/>
            <w:tcBorders>
              <w:tl2br w:val="nil"/>
              <w:tr2bl w:val="nil"/>
            </w:tcBorders>
            <w:noWrap w:val="0"/>
            <w:vAlign w:val="center"/>
          </w:tcPr>
          <w:p>
            <w:pPr>
              <w:spacing w:line="360"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本项目不要求提交履约保证金。</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616" w:hRule="atLeast"/>
          <w:jc w:val="center"/>
        </w:trPr>
        <w:tc>
          <w:tcPr>
            <w:tcW w:w="787" w:type="dxa"/>
            <w:tcBorders>
              <w:tl2br w:val="nil"/>
              <w:tr2bl w:val="nil"/>
            </w:tcBorders>
            <w:noWrap w:val="0"/>
            <w:vAlign w:val="center"/>
          </w:tcPr>
          <w:p>
            <w:pPr>
              <w:spacing w:line="360"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14</w:t>
            </w:r>
          </w:p>
        </w:tc>
        <w:tc>
          <w:tcPr>
            <w:tcW w:w="2516" w:type="dxa"/>
            <w:tcBorders>
              <w:tl2br w:val="nil"/>
              <w:tr2bl w:val="nil"/>
            </w:tcBorders>
            <w:noWrap w:val="0"/>
            <w:vAlign w:val="center"/>
          </w:tcPr>
          <w:p>
            <w:pPr>
              <w:spacing w:line="360" w:lineRule="auto"/>
              <w:rPr>
                <w:rFonts w:hint="eastAsia" w:ascii="仿宋" w:hAnsi="仿宋" w:eastAsia="仿宋" w:cs="仿宋"/>
                <w:color w:val="auto"/>
                <w:highlight w:val="none"/>
                <w:lang w:val="zh-CN" w:eastAsia="zh-CN"/>
              </w:rPr>
            </w:pPr>
            <w:r>
              <w:rPr>
                <w:rFonts w:hint="eastAsia" w:ascii="仿宋" w:hAnsi="仿宋" w:eastAsia="仿宋" w:cs="仿宋"/>
                <w:color w:val="auto"/>
                <w:highlight w:val="none"/>
                <w:lang w:val="zh-CN" w:eastAsia="zh-CN"/>
              </w:rPr>
              <w:t>评审情况公告</w:t>
            </w:r>
          </w:p>
        </w:tc>
        <w:tc>
          <w:tcPr>
            <w:tcW w:w="6383" w:type="dxa"/>
            <w:tcBorders>
              <w:tl2br w:val="nil"/>
              <w:tr2bl w:val="nil"/>
            </w:tcBorders>
            <w:noWrap w:val="0"/>
            <w:vAlign w:val="center"/>
          </w:tcPr>
          <w:p>
            <w:pPr>
              <w:spacing w:line="360" w:lineRule="auto"/>
              <w:rPr>
                <w:rFonts w:hint="eastAsia" w:ascii="仿宋" w:hAnsi="仿宋" w:eastAsia="仿宋" w:cs="仿宋"/>
                <w:color w:val="auto"/>
                <w:highlight w:val="none"/>
                <w:lang w:val="zh-CN" w:eastAsia="zh-CN"/>
              </w:rPr>
            </w:pPr>
            <w:r>
              <w:rPr>
                <w:rFonts w:hint="eastAsia" w:ascii="仿宋" w:hAnsi="仿宋" w:eastAsia="仿宋" w:cs="仿宋"/>
                <w:color w:val="auto"/>
                <w:highlight w:val="none"/>
                <w:lang w:val="zh-CN" w:eastAsia="zh-CN"/>
              </w:rPr>
              <w:t>供应商资格审查情况、谈判情况、报价情况、谈判结果等在四川政府采购网上采购结果公告栏中予以公告。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616" w:hRule="atLeast"/>
          <w:jc w:val="center"/>
        </w:trPr>
        <w:tc>
          <w:tcPr>
            <w:tcW w:w="787" w:type="dxa"/>
            <w:tcBorders>
              <w:tl2br w:val="nil"/>
              <w:tr2bl w:val="nil"/>
            </w:tcBorders>
            <w:noWrap w:val="0"/>
            <w:vAlign w:val="center"/>
          </w:tcPr>
          <w:p>
            <w:pPr>
              <w:spacing w:line="360"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15</w:t>
            </w:r>
          </w:p>
        </w:tc>
        <w:tc>
          <w:tcPr>
            <w:tcW w:w="2516" w:type="dxa"/>
            <w:tcBorders>
              <w:tl2br w:val="nil"/>
              <w:tr2bl w:val="nil"/>
            </w:tcBorders>
            <w:noWrap w:val="0"/>
            <w:vAlign w:val="center"/>
          </w:tcPr>
          <w:p>
            <w:pPr>
              <w:spacing w:line="360" w:lineRule="auto"/>
              <w:rPr>
                <w:rFonts w:hint="eastAsia" w:ascii="仿宋" w:hAnsi="仿宋" w:eastAsia="仿宋" w:cs="仿宋"/>
                <w:color w:val="auto"/>
                <w:highlight w:val="none"/>
                <w:lang w:val="zh-CN" w:eastAsia="zh-CN"/>
              </w:rPr>
            </w:pPr>
            <w:r>
              <w:rPr>
                <w:rFonts w:hint="eastAsia" w:ascii="仿宋" w:hAnsi="仿宋" w:eastAsia="仿宋" w:cs="仿宋"/>
                <w:color w:val="auto"/>
                <w:highlight w:val="none"/>
                <w:lang w:val="en-US" w:eastAsia="zh-CN"/>
              </w:rPr>
              <w:t>成交</w:t>
            </w:r>
            <w:r>
              <w:rPr>
                <w:rFonts w:hint="eastAsia" w:ascii="仿宋" w:hAnsi="仿宋" w:eastAsia="仿宋" w:cs="仿宋"/>
                <w:color w:val="auto"/>
                <w:highlight w:val="none"/>
              </w:rPr>
              <w:t>通知书领取</w:t>
            </w:r>
          </w:p>
        </w:tc>
        <w:tc>
          <w:tcPr>
            <w:tcW w:w="6383" w:type="dxa"/>
            <w:tcBorders>
              <w:tl2br w:val="nil"/>
              <w:tr2bl w:val="nil"/>
            </w:tcBorders>
            <w:noWrap w:val="0"/>
            <w:vAlign w:val="center"/>
          </w:tcPr>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成交结果</w:t>
            </w:r>
            <w:r>
              <w:rPr>
                <w:rFonts w:hint="eastAsia" w:ascii="仿宋" w:hAnsi="仿宋" w:eastAsia="仿宋" w:cs="仿宋"/>
                <w:color w:val="auto"/>
                <w:highlight w:val="none"/>
              </w:rPr>
              <w:t>公告在四川政府采购网上公告后，请</w:t>
            </w:r>
            <w:r>
              <w:rPr>
                <w:rFonts w:hint="eastAsia" w:ascii="仿宋" w:hAnsi="仿宋" w:eastAsia="仿宋" w:cs="仿宋"/>
                <w:color w:val="auto"/>
                <w:highlight w:val="none"/>
                <w:lang w:val="en-US" w:eastAsia="zh-CN"/>
              </w:rPr>
              <w:t>成交</w:t>
            </w:r>
            <w:r>
              <w:rPr>
                <w:rFonts w:hint="eastAsia" w:ascii="仿宋" w:hAnsi="仿宋" w:eastAsia="仿宋" w:cs="仿宋"/>
                <w:color w:val="auto"/>
                <w:highlight w:val="none"/>
              </w:rPr>
              <w:t>人凭有效身份证明证件到</w:t>
            </w:r>
            <w:r>
              <w:rPr>
                <w:rFonts w:hint="eastAsia" w:ascii="仿宋" w:hAnsi="仿宋" w:eastAsia="仿宋" w:cs="仿宋"/>
                <w:color w:val="auto"/>
                <w:highlight w:val="none"/>
                <w:lang w:val="en-US" w:eastAsia="zh-CN"/>
              </w:rPr>
              <w:t>采购</w:t>
            </w:r>
            <w:r>
              <w:rPr>
                <w:rFonts w:hint="eastAsia" w:ascii="仿宋" w:hAnsi="仿宋" w:eastAsia="仿宋" w:cs="仿宋"/>
                <w:color w:val="auto"/>
                <w:highlight w:val="none"/>
                <w:lang w:val="zh-CN"/>
              </w:rPr>
              <w:t>代理机构</w:t>
            </w:r>
            <w:r>
              <w:rPr>
                <w:rFonts w:hint="eastAsia" w:ascii="仿宋" w:hAnsi="仿宋" w:eastAsia="仿宋" w:cs="仿宋"/>
                <w:color w:val="auto"/>
                <w:highlight w:val="none"/>
              </w:rPr>
              <w:t>领取</w:t>
            </w:r>
            <w:r>
              <w:rPr>
                <w:rFonts w:hint="eastAsia" w:ascii="仿宋" w:hAnsi="仿宋" w:eastAsia="仿宋" w:cs="仿宋"/>
                <w:color w:val="auto"/>
                <w:highlight w:val="none"/>
                <w:lang w:val="en-US" w:eastAsia="zh-CN"/>
              </w:rPr>
              <w:t>成交</w:t>
            </w:r>
            <w:r>
              <w:rPr>
                <w:rFonts w:hint="eastAsia" w:ascii="仿宋" w:hAnsi="仿宋" w:eastAsia="仿宋" w:cs="仿宋"/>
                <w:color w:val="auto"/>
                <w:highlight w:val="none"/>
              </w:rPr>
              <w:t>通知书。</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联系人：</w:t>
            </w:r>
            <w:r>
              <w:rPr>
                <w:rFonts w:hint="eastAsia" w:ascii="仿宋" w:hAnsi="仿宋" w:eastAsia="仿宋" w:cs="仿宋"/>
                <w:color w:val="auto"/>
                <w:highlight w:val="none"/>
                <w:lang w:val="en-US" w:eastAsia="zh-CN"/>
              </w:rPr>
              <w:t>卿</w:t>
            </w:r>
            <w:r>
              <w:rPr>
                <w:rFonts w:hint="eastAsia" w:ascii="仿宋" w:hAnsi="仿宋" w:eastAsia="仿宋" w:cs="仿宋"/>
                <w:color w:val="auto"/>
                <w:highlight w:val="none"/>
                <w:lang w:val="zh-CN"/>
              </w:rPr>
              <w:t>女士</w:t>
            </w:r>
          </w:p>
          <w:p>
            <w:pPr>
              <w:spacing w:line="360" w:lineRule="auto"/>
              <w:rPr>
                <w:rFonts w:hint="eastAsia" w:ascii="仿宋" w:hAnsi="仿宋" w:eastAsia="仿宋" w:cs="仿宋"/>
                <w:color w:val="auto"/>
                <w:highlight w:val="none"/>
                <w:lang w:val="zh-CN" w:eastAsia="zh-CN"/>
              </w:rPr>
            </w:pPr>
            <w:r>
              <w:rPr>
                <w:rFonts w:hint="eastAsia" w:ascii="仿宋" w:hAnsi="仿宋" w:eastAsia="仿宋" w:cs="仿宋"/>
                <w:color w:val="auto"/>
                <w:highlight w:val="none"/>
              </w:rPr>
              <w:t>联系电话：</w:t>
            </w:r>
            <w:r>
              <w:rPr>
                <w:rFonts w:hint="eastAsia" w:ascii="仿宋" w:hAnsi="仿宋" w:eastAsia="仿宋" w:cs="仿宋"/>
                <w:color w:val="auto"/>
                <w:highlight w:val="none"/>
                <w:lang w:eastAsia="zh-CN"/>
              </w:rPr>
              <w:t>028-83377199</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616" w:hRule="atLeast"/>
          <w:jc w:val="center"/>
        </w:trPr>
        <w:tc>
          <w:tcPr>
            <w:tcW w:w="787" w:type="dxa"/>
            <w:tcBorders>
              <w:tl2br w:val="nil"/>
              <w:tr2bl w:val="nil"/>
            </w:tcBorders>
            <w:noWrap w:val="0"/>
            <w:vAlign w:val="center"/>
          </w:tcPr>
          <w:p>
            <w:pPr>
              <w:spacing w:line="360"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16</w:t>
            </w:r>
          </w:p>
        </w:tc>
        <w:tc>
          <w:tcPr>
            <w:tcW w:w="2516" w:type="dxa"/>
            <w:tcBorders>
              <w:tl2br w:val="nil"/>
              <w:tr2bl w:val="nil"/>
            </w:tcBorders>
            <w:noWrap w:val="0"/>
            <w:vAlign w:val="center"/>
          </w:tcPr>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采购项目具体事项/采购文件内容咨询</w:t>
            </w:r>
          </w:p>
        </w:tc>
        <w:tc>
          <w:tcPr>
            <w:tcW w:w="6383" w:type="dxa"/>
            <w:tcBorders>
              <w:tl2br w:val="nil"/>
              <w:tr2bl w:val="nil"/>
            </w:tcBorders>
            <w:noWrap w:val="0"/>
            <w:vAlign w:val="center"/>
          </w:tcPr>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联系人：</w:t>
            </w:r>
            <w:r>
              <w:rPr>
                <w:rFonts w:hint="eastAsia" w:ascii="仿宋" w:hAnsi="仿宋" w:eastAsia="仿宋" w:cs="仿宋"/>
                <w:color w:val="auto"/>
                <w:highlight w:val="none"/>
                <w:lang w:val="en-US" w:eastAsia="zh-CN"/>
              </w:rPr>
              <w:t>彭女士</w:t>
            </w:r>
            <w:r>
              <w:rPr>
                <w:rFonts w:hint="eastAsia" w:ascii="仿宋" w:hAnsi="仿宋" w:eastAsia="仿宋" w:cs="仿宋"/>
                <w:color w:val="auto"/>
                <w:highlight w:val="none"/>
              </w:rPr>
              <w:t xml:space="preserve">。 </w:t>
            </w:r>
          </w:p>
          <w:p>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rPr>
              <w:t>联系电话：</w:t>
            </w:r>
            <w:r>
              <w:rPr>
                <w:rFonts w:hint="eastAsia" w:ascii="仿宋" w:hAnsi="仿宋" w:eastAsia="仿宋" w:cs="仿宋"/>
                <w:color w:val="auto"/>
                <w:szCs w:val="21"/>
                <w:highlight w:val="none"/>
                <w:lang w:val="zh-CN" w:eastAsia="zh-TW"/>
              </w:rPr>
              <w:t>028-62013599</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616" w:hRule="atLeast"/>
          <w:jc w:val="center"/>
        </w:trPr>
        <w:tc>
          <w:tcPr>
            <w:tcW w:w="787" w:type="dxa"/>
            <w:tcBorders>
              <w:tl2br w:val="nil"/>
              <w:tr2bl w:val="nil"/>
            </w:tcBorders>
            <w:noWrap w:val="0"/>
            <w:vAlign w:val="center"/>
          </w:tcPr>
          <w:p>
            <w:pPr>
              <w:spacing w:line="360"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17</w:t>
            </w:r>
          </w:p>
        </w:tc>
        <w:tc>
          <w:tcPr>
            <w:tcW w:w="2516" w:type="dxa"/>
            <w:tcBorders>
              <w:tl2br w:val="nil"/>
              <w:tr2bl w:val="nil"/>
            </w:tcBorders>
            <w:noWrap w:val="0"/>
            <w:vAlign w:val="center"/>
          </w:tcPr>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谈判</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评审</w:t>
            </w:r>
            <w:r>
              <w:rPr>
                <w:rFonts w:hint="eastAsia" w:ascii="仿宋" w:hAnsi="仿宋" w:eastAsia="仿宋" w:cs="仿宋"/>
                <w:color w:val="auto"/>
                <w:highlight w:val="none"/>
              </w:rPr>
              <w:t>工作咨询</w:t>
            </w:r>
          </w:p>
        </w:tc>
        <w:tc>
          <w:tcPr>
            <w:tcW w:w="6383" w:type="dxa"/>
            <w:tcBorders>
              <w:tl2br w:val="nil"/>
              <w:tr2bl w:val="nil"/>
            </w:tcBorders>
            <w:noWrap w:val="0"/>
            <w:vAlign w:val="center"/>
          </w:tcPr>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联系人：</w:t>
            </w:r>
            <w:r>
              <w:rPr>
                <w:rFonts w:hint="eastAsia" w:ascii="仿宋" w:hAnsi="仿宋" w:eastAsia="仿宋" w:cs="仿宋"/>
                <w:color w:val="auto"/>
                <w:highlight w:val="none"/>
                <w:lang w:val="en-US" w:eastAsia="zh-CN"/>
              </w:rPr>
              <w:t>彭女士</w:t>
            </w:r>
            <w:r>
              <w:rPr>
                <w:rFonts w:hint="eastAsia" w:ascii="仿宋" w:hAnsi="仿宋" w:eastAsia="仿宋" w:cs="仿宋"/>
                <w:color w:val="auto"/>
                <w:highlight w:val="none"/>
              </w:rPr>
              <w:t xml:space="preserve">。 </w:t>
            </w:r>
          </w:p>
          <w:p>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rPr>
              <w:t>联系电话：</w:t>
            </w:r>
            <w:r>
              <w:rPr>
                <w:rFonts w:hint="eastAsia" w:ascii="仿宋" w:hAnsi="仿宋" w:eastAsia="仿宋" w:cs="仿宋"/>
                <w:color w:val="auto"/>
                <w:szCs w:val="21"/>
                <w:highlight w:val="none"/>
                <w:lang w:val="zh-CN" w:eastAsia="zh-TW"/>
              </w:rPr>
              <w:t>028-62013599</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616" w:hRule="atLeast"/>
          <w:jc w:val="center"/>
        </w:trPr>
        <w:tc>
          <w:tcPr>
            <w:tcW w:w="787" w:type="dxa"/>
            <w:tcBorders>
              <w:tl2br w:val="nil"/>
              <w:tr2bl w:val="nil"/>
            </w:tcBorders>
            <w:noWrap w:val="0"/>
            <w:vAlign w:val="center"/>
          </w:tcPr>
          <w:p>
            <w:pPr>
              <w:spacing w:line="360"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18</w:t>
            </w:r>
          </w:p>
        </w:tc>
        <w:tc>
          <w:tcPr>
            <w:tcW w:w="2516" w:type="dxa"/>
            <w:tcBorders>
              <w:tl2br w:val="nil"/>
              <w:tr2bl w:val="nil"/>
            </w:tcBorders>
            <w:noWrap w:val="0"/>
            <w:vAlign w:val="center"/>
          </w:tcPr>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供应商</w:t>
            </w:r>
            <w:r>
              <w:rPr>
                <w:rFonts w:hint="eastAsia" w:ascii="仿宋" w:hAnsi="仿宋" w:eastAsia="仿宋" w:cs="仿宋"/>
                <w:color w:val="auto"/>
                <w:highlight w:val="none"/>
              </w:rPr>
              <w:t>询问</w:t>
            </w:r>
          </w:p>
        </w:tc>
        <w:tc>
          <w:tcPr>
            <w:tcW w:w="6383" w:type="dxa"/>
            <w:tcBorders>
              <w:tl2br w:val="nil"/>
              <w:tr2bl w:val="nil"/>
            </w:tcBorders>
            <w:noWrap w:val="0"/>
            <w:vAlign w:val="center"/>
          </w:tcPr>
          <w:p>
            <w:pPr>
              <w:spacing w:line="360" w:lineRule="auto"/>
              <w:rPr>
                <w:rFonts w:hint="eastAsia" w:ascii="仿宋" w:hAnsi="仿宋" w:eastAsia="仿宋" w:cs="仿宋"/>
                <w:color w:val="auto"/>
                <w:highlight w:val="none"/>
                <w:lang w:val="zh-CN"/>
              </w:rPr>
            </w:pPr>
            <w:r>
              <w:rPr>
                <w:rFonts w:hint="eastAsia" w:ascii="仿宋" w:hAnsi="仿宋" w:eastAsia="仿宋" w:cs="仿宋"/>
                <w:color w:val="auto"/>
                <w:highlight w:val="none"/>
              </w:rPr>
              <w:t>根据委托代理协议约定，</w:t>
            </w:r>
            <w:r>
              <w:rPr>
                <w:rFonts w:hint="eastAsia" w:ascii="仿宋" w:hAnsi="仿宋" w:eastAsia="仿宋" w:cs="仿宋"/>
                <w:color w:val="auto"/>
                <w:highlight w:val="none"/>
                <w:lang w:val="en-US" w:eastAsia="zh-CN"/>
              </w:rPr>
              <w:t>供应商</w:t>
            </w:r>
            <w:r>
              <w:rPr>
                <w:rFonts w:hint="eastAsia" w:ascii="仿宋" w:hAnsi="仿宋" w:eastAsia="仿宋" w:cs="仿宋"/>
                <w:color w:val="auto"/>
                <w:highlight w:val="none"/>
              </w:rPr>
              <w:t>询问由</w:t>
            </w:r>
            <w:r>
              <w:rPr>
                <w:rFonts w:hint="eastAsia" w:ascii="仿宋" w:hAnsi="仿宋" w:eastAsia="仿宋" w:cs="仿宋"/>
                <w:color w:val="auto"/>
                <w:highlight w:val="none"/>
                <w:lang w:val="en-US" w:eastAsia="zh-CN"/>
              </w:rPr>
              <w:t>采购</w:t>
            </w:r>
            <w:r>
              <w:rPr>
                <w:rFonts w:hint="eastAsia" w:ascii="仿宋" w:hAnsi="仿宋" w:eastAsia="仿宋" w:cs="仿宋"/>
                <w:color w:val="auto"/>
                <w:highlight w:val="none"/>
                <w:lang w:val="zh-CN"/>
              </w:rPr>
              <w:t>代理机构负责答复。</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联系人：</w:t>
            </w:r>
            <w:r>
              <w:rPr>
                <w:rFonts w:hint="eastAsia" w:ascii="仿宋" w:hAnsi="仿宋" w:eastAsia="仿宋" w:cs="仿宋"/>
                <w:color w:val="auto"/>
                <w:highlight w:val="none"/>
                <w:lang w:val="en-US" w:eastAsia="zh-CN"/>
              </w:rPr>
              <w:t>彭女士</w:t>
            </w:r>
          </w:p>
          <w:p>
            <w:pPr>
              <w:spacing w:line="360" w:lineRule="auto"/>
              <w:rPr>
                <w:rFonts w:hint="eastAsia" w:ascii="仿宋" w:hAnsi="仿宋" w:eastAsia="仿宋" w:cs="仿宋"/>
                <w:color w:val="auto"/>
                <w:highlight w:val="none"/>
                <w:lang w:eastAsia="zh-CN"/>
              </w:rPr>
            </w:pPr>
            <w:r>
              <w:rPr>
                <w:rFonts w:hint="eastAsia" w:ascii="仿宋" w:hAnsi="仿宋" w:eastAsia="仿宋" w:cs="仿宋"/>
                <w:color w:val="auto"/>
                <w:highlight w:val="none"/>
              </w:rPr>
              <w:t>联系电话：</w:t>
            </w:r>
            <w:r>
              <w:rPr>
                <w:rFonts w:hint="eastAsia" w:ascii="仿宋" w:hAnsi="仿宋" w:eastAsia="仿宋" w:cs="仿宋"/>
                <w:color w:val="auto"/>
                <w:szCs w:val="21"/>
                <w:highlight w:val="none"/>
                <w:lang w:val="zh-CN" w:eastAsia="zh-TW"/>
              </w:rPr>
              <w:t>028-62013599</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616" w:hRule="atLeast"/>
          <w:jc w:val="center"/>
        </w:trPr>
        <w:tc>
          <w:tcPr>
            <w:tcW w:w="787" w:type="dxa"/>
            <w:tcBorders>
              <w:tl2br w:val="nil"/>
              <w:tr2bl w:val="nil"/>
            </w:tcBorders>
            <w:noWrap w:val="0"/>
            <w:vAlign w:val="center"/>
          </w:tcPr>
          <w:p>
            <w:pPr>
              <w:spacing w:line="360"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19</w:t>
            </w:r>
          </w:p>
        </w:tc>
        <w:tc>
          <w:tcPr>
            <w:tcW w:w="2516" w:type="dxa"/>
            <w:tcBorders>
              <w:tl2br w:val="nil"/>
              <w:tr2bl w:val="nil"/>
            </w:tcBorders>
            <w:noWrap w:val="0"/>
            <w:vAlign w:val="center"/>
          </w:tcPr>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供应商</w:t>
            </w:r>
            <w:r>
              <w:rPr>
                <w:rFonts w:hint="eastAsia" w:ascii="仿宋" w:hAnsi="仿宋" w:eastAsia="仿宋" w:cs="仿宋"/>
                <w:color w:val="auto"/>
                <w:highlight w:val="none"/>
              </w:rPr>
              <w:t>质疑</w:t>
            </w:r>
          </w:p>
        </w:tc>
        <w:tc>
          <w:tcPr>
            <w:tcW w:w="6383" w:type="dxa"/>
            <w:tcBorders>
              <w:tl2br w:val="nil"/>
              <w:tr2bl w:val="nil"/>
            </w:tcBorders>
            <w:noWrap w:val="0"/>
            <w:vAlign w:val="center"/>
          </w:tcPr>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1.根据委托代理协议约定，对于</w:t>
            </w:r>
            <w:r>
              <w:rPr>
                <w:rFonts w:hint="eastAsia" w:ascii="仿宋" w:hAnsi="仿宋" w:eastAsia="仿宋" w:cs="仿宋"/>
                <w:color w:val="auto"/>
                <w:highlight w:val="none"/>
                <w:lang w:val="en-US" w:eastAsia="zh-CN"/>
              </w:rPr>
              <w:t>采购</w:t>
            </w:r>
            <w:r>
              <w:rPr>
                <w:rFonts w:hint="eastAsia" w:ascii="仿宋" w:hAnsi="仿宋" w:eastAsia="仿宋" w:cs="仿宋"/>
                <w:color w:val="auto"/>
                <w:highlight w:val="none"/>
              </w:rPr>
              <w:t>文件</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采购</w:t>
            </w:r>
            <w:r>
              <w:rPr>
                <w:rFonts w:hint="eastAsia" w:ascii="仿宋" w:hAnsi="仿宋" w:eastAsia="仿宋" w:cs="仿宋"/>
                <w:color w:val="auto"/>
                <w:highlight w:val="none"/>
              </w:rPr>
              <w:t>文件技术条款和除政府采购法第二十二条之外的其他资格条件、专业商务要求</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的质疑由采购人负责答复；对于采购过程由采购代理机构负责答复；对于采购结果由采购代理机构负责答复。</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2.接收质疑函的方式：</w:t>
            </w:r>
            <w:r>
              <w:rPr>
                <w:rFonts w:hint="eastAsia" w:ascii="仿宋" w:hAnsi="仿宋" w:eastAsia="仿宋" w:cs="仿宋"/>
                <w:color w:val="auto"/>
                <w:highlight w:val="none"/>
                <w:lang w:val="en-US" w:eastAsia="zh-CN"/>
              </w:rPr>
              <w:t>供应商</w:t>
            </w:r>
            <w:r>
              <w:rPr>
                <w:rFonts w:hint="eastAsia" w:ascii="仿宋" w:hAnsi="仿宋" w:eastAsia="仿宋" w:cs="仿宋"/>
                <w:color w:val="auto"/>
                <w:highlight w:val="none"/>
              </w:rPr>
              <w:t>在法定时间内以书面形式现场、邮寄或快递提交质疑函</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邮寄以寄出的邮戳日期为准，快递以受送达人在签收单上签收之日为准</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，逾期提交不予受理。</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lang w:val="zh-CN"/>
              </w:rPr>
              <w:t>受理单位：利阳致诚国际项目管理有限公司</w:t>
            </w:r>
          </w:p>
          <w:p>
            <w:pPr>
              <w:spacing w:line="360" w:lineRule="auto"/>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联系人：</w:t>
            </w:r>
            <w:r>
              <w:rPr>
                <w:rFonts w:hint="eastAsia" w:ascii="仿宋" w:hAnsi="仿宋" w:eastAsia="仿宋" w:cs="仿宋"/>
                <w:color w:val="auto"/>
                <w:highlight w:val="none"/>
                <w:lang w:val="en-US" w:eastAsia="zh-CN"/>
              </w:rPr>
              <w:t>彭女士</w:t>
            </w:r>
            <w:r>
              <w:rPr>
                <w:rFonts w:hint="eastAsia" w:ascii="仿宋" w:hAnsi="仿宋" w:eastAsia="仿宋" w:cs="仿宋"/>
                <w:color w:val="auto"/>
                <w:highlight w:val="none"/>
                <w:lang w:val="zh-CN"/>
              </w:rPr>
              <w:t xml:space="preserve"> </w:t>
            </w:r>
          </w:p>
          <w:p>
            <w:pPr>
              <w:spacing w:line="360" w:lineRule="auto"/>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联系电话：028-83377199</w:t>
            </w:r>
          </w:p>
          <w:p>
            <w:pPr>
              <w:spacing w:line="360" w:lineRule="auto"/>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通讯地址：成都市锦江区三色路163号银海芯座1栋1单元14层04层</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注：①根据《中华人民共和国政府采购法》等法律法规规定，</w:t>
            </w:r>
            <w:r>
              <w:rPr>
                <w:rFonts w:hint="eastAsia" w:ascii="仿宋" w:hAnsi="仿宋" w:eastAsia="仿宋" w:cs="仿宋"/>
                <w:color w:val="auto"/>
                <w:highlight w:val="none"/>
                <w:lang w:val="en-US" w:eastAsia="zh-CN"/>
              </w:rPr>
              <w:t>供应商</w:t>
            </w:r>
            <w:r>
              <w:rPr>
                <w:rFonts w:hint="eastAsia" w:ascii="仿宋" w:hAnsi="仿宋" w:eastAsia="仿宋" w:cs="仿宋"/>
                <w:color w:val="auto"/>
                <w:highlight w:val="none"/>
              </w:rPr>
              <w:t>质疑应当有明确的请求和必要的证明材料，须符合《政府采购质疑和投诉办法》财政部第94号令规定。</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②</w:t>
            </w:r>
            <w:r>
              <w:rPr>
                <w:rFonts w:hint="eastAsia" w:ascii="仿宋" w:hAnsi="仿宋" w:eastAsia="仿宋" w:cs="仿宋"/>
                <w:color w:val="auto"/>
                <w:highlight w:val="none"/>
                <w:lang w:val="en-US" w:eastAsia="zh-CN"/>
              </w:rPr>
              <w:t>供应商</w:t>
            </w:r>
            <w:r>
              <w:rPr>
                <w:rFonts w:hint="eastAsia" w:ascii="仿宋" w:hAnsi="仿宋" w:eastAsia="仿宋" w:cs="仿宋"/>
                <w:color w:val="auto"/>
                <w:highlight w:val="none"/>
              </w:rPr>
              <w:t>应当在法定质疑期内一次性提出针对同一采购程序环节的质疑，否则不予受理。</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③</w:t>
            </w:r>
            <w:r>
              <w:rPr>
                <w:rFonts w:hint="eastAsia" w:ascii="仿宋" w:hAnsi="仿宋" w:eastAsia="仿宋" w:cs="仿宋"/>
                <w:color w:val="auto"/>
                <w:highlight w:val="none"/>
                <w:lang w:val="en-US" w:eastAsia="zh-CN"/>
              </w:rPr>
              <w:t>供应商</w:t>
            </w:r>
            <w:r>
              <w:rPr>
                <w:rFonts w:hint="eastAsia" w:ascii="仿宋" w:hAnsi="仿宋" w:eastAsia="仿宋" w:cs="仿宋"/>
                <w:color w:val="auto"/>
                <w:highlight w:val="none"/>
              </w:rPr>
              <w:t>质疑不得超出</w:t>
            </w:r>
            <w:r>
              <w:rPr>
                <w:rFonts w:hint="eastAsia" w:ascii="仿宋" w:hAnsi="仿宋" w:eastAsia="仿宋" w:cs="仿宋"/>
                <w:color w:val="auto"/>
                <w:highlight w:val="none"/>
                <w:lang w:val="en-US" w:eastAsia="zh-CN"/>
              </w:rPr>
              <w:t>采购</w:t>
            </w:r>
            <w:r>
              <w:rPr>
                <w:rFonts w:hint="eastAsia" w:ascii="仿宋" w:hAnsi="仿宋" w:eastAsia="仿宋" w:cs="仿宋"/>
                <w:color w:val="auto"/>
                <w:highlight w:val="none"/>
              </w:rPr>
              <w:t>文件、采购过程、采购结果的范围，不得进行虚假、恶意质疑，不得以质疑为手段获取不当得利、实现非法目的。</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616" w:hRule="atLeast"/>
          <w:jc w:val="center"/>
        </w:trPr>
        <w:tc>
          <w:tcPr>
            <w:tcW w:w="787" w:type="dxa"/>
            <w:tcBorders>
              <w:tl2br w:val="nil"/>
              <w:tr2bl w:val="nil"/>
            </w:tcBorders>
            <w:noWrap w:val="0"/>
            <w:vAlign w:val="center"/>
          </w:tcPr>
          <w:p>
            <w:pPr>
              <w:spacing w:line="360"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20</w:t>
            </w:r>
          </w:p>
        </w:tc>
        <w:tc>
          <w:tcPr>
            <w:tcW w:w="2516" w:type="dxa"/>
            <w:tcBorders>
              <w:tl2br w:val="nil"/>
              <w:tr2bl w:val="nil"/>
            </w:tcBorders>
            <w:noWrap w:val="0"/>
            <w:vAlign w:val="center"/>
          </w:tcPr>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供应商</w:t>
            </w:r>
            <w:r>
              <w:rPr>
                <w:rFonts w:hint="eastAsia" w:ascii="仿宋" w:hAnsi="仿宋" w:eastAsia="仿宋" w:cs="仿宋"/>
                <w:color w:val="auto"/>
                <w:highlight w:val="none"/>
              </w:rPr>
              <w:t>投诉</w:t>
            </w:r>
          </w:p>
        </w:tc>
        <w:tc>
          <w:tcPr>
            <w:tcW w:w="6383" w:type="dxa"/>
            <w:tcBorders>
              <w:tl2br w:val="nil"/>
              <w:tr2bl w:val="nil"/>
            </w:tcBorders>
            <w:noWrap w:val="0"/>
            <w:vAlign w:val="center"/>
          </w:tcPr>
          <w:p>
            <w:pPr>
              <w:spacing w:line="360" w:lineRule="auto"/>
              <w:rPr>
                <w:rFonts w:hint="eastAsia" w:ascii="仿宋" w:hAnsi="仿宋" w:eastAsia="仿宋" w:cs="仿宋"/>
                <w:color w:val="auto"/>
                <w:highlight w:val="none"/>
                <w:lang w:val="zh-CN"/>
              </w:rPr>
            </w:pPr>
            <w:r>
              <w:rPr>
                <w:rFonts w:hint="eastAsia" w:ascii="仿宋" w:hAnsi="仿宋" w:eastAsia="仿宋" w:cs="仿宋"/>
                <w:color w:val="auto"/>
                <w:highlight w:val="none"/>
              </w:rPr>
              <w:t>投诉受理单位：</w:t>
            </w:r>
            <w:r>
              <w:rPr>
                <w:rFonts w:hint="eastAsia" w:ascii="仿宋" w:hAnsi="仿宋" w:eastAsia="仿宋" w:cs="仿宋"/>
                <w:color w:val="auto"/>
                <w:highlight w:val="none"/>
                <w:lang w:val="zh-CN"/>
              </w:rPr>
              <w:t>本项目同级财政部门，即</w:t>
            </w:r>
            <w:r>
              <w:rPr>
                <w:rFonts w:hint="eastAsia" w:ascii="仿宋" w:hAnsi="仿宋" w:eastAsia="仿宋" w:cs="仿宋"/>
                <w:color w:val="auto"/>
                <w:highlight w:val="none"/>
                <w:lang w:val="en-US" w:eastAsia="zh-CN"/>
              </w:rPr>
              <w:t>双流区财政局</w:t>
            </w:r>
            <w:r>
              <w:rPr>
                <w:rFonts w:hint="eastAsia" w:ascii="仿宋" w:hAnsi="仿宋" w:eastAsia="仿宋" w:cs="仿宋"/>
                <w:color w:val="auto"/>
                <w:highlight w:val="none"/>
                <w:lang w:val="zh-CN"/>
              </w:rPr>
              <w:t>。</w:t>
            </w:r>
          </w:p>
          <w:p>
            <w:pPr>
              <w:spacing w:line="360" w:lineRule="auto"/>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联系电话：028-85804726</w:t>
            </w:r>
          </w:p>
          <w:p>
            <w:pPr>
              <w:spacing w:line="360" w:lineRule="auto"/>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地  址：成都市双流区东升街道电视塔路二段36号</w:t>
            </w:r>
          </w:p>
          <w:p>
            <w:pPr>
              <w:spacing w:line="360" w:lineRule="auto"/>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邮  编：610200。</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lang w:val="zh-CN"/>
              </w:rPr>
              <w:t>注：根据《中华人民共和国政府采购法实施条例》的规定，供应商投诉事项不得超出已质疑事项的范围。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616" w:hRule="atLeast"/>
          <w:jc w:val="center"/>
        </w:trPr>
        <w:tc>
          <w:tcPr>
            <w:tcW w:w="787" w:type="dxa"/>
            <w:tcBorders>
              <w:tl2br w:val="nil"/>
              <w:tr2bl w:val="nil"/>
            </w:tcBorders>
            <w:noWrap w:val="0"/>
            <w:vAlign w:val="center"/>
          </w:tcPr>
          <w:p>
            <w:pPr>
              <w:spacing w:line="360"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21</w:t>
            </w:r>
          </w:p>
        </w:tc>
        <w:tc>
          <w:tcPr>
            <w:tcW w:w="2516" w:type="dxa"/>
            <w:tcBorders>
              <w:tl2br w:val="nil"/>
              <w:tr2bl w:val="nil"/>
            </w:tcBorders>
            <w:noWrap w:val="0"/>
            <w:vAlign w:val="center"/>
          </w:tcPr>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政府采购合同</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公告备案</w:t>
            </w:r>
          </w:p>
        </w:tc>
        <w:tc>
          <w:tcPr>
            <w:tcW w:w="6383" w:type="dxa"/>
            <w:tcBorders>
              <w:tl2br w:val="nil"/>
              <w:tr2bl w:val="nil"/>
            </w:tcBorders>
            <w:noWrap w:val="0"/>
            <w:vAlign w:val="center"/>
          </w:tcPr>
          <w:p>
            <w:pPr>
              <w:spacing w:line="360" w:lineRule="auto"/>
              <w:rPr>
                <w:rFonts w:hint="eastAsia" w:ascii="仿宋" w:hAnsi="仿宋" w:eastAsia="仿宋" w:cs="仿宋"/>
                <w:color w:val="auto"/>
                <w:highlight w:val="none"/>
                <w:lang w:val="zh-CN"/>
              </w:rPr>
            </w:pPr>
            <w:r>
              <w:rPr>
                <w:rFonts w:hint="eastAsia" w:ascii="仿宋" w:hAnsi="仿宋" w:eastAsia="仿宋" w:cs="仿宋"/>
                <w:color w:val="auto"/>
                <w:highlight w:val="none"/>
              </w:rPr>
              <w:t>政府采购合同签订之日起2个工作日内，政府采购合同将在四川政府采购网公告；政府采购合同签订之日起7个工作日内，政府采购合同将向本采购项目同级财政部门备案。</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75" w:hRule="atLeast"/>
          <w:jc w:val="center"/>
        </w:trPr>
        <w:tc>
          <w:tcPr>
            <w:tcW w:w="787" w:type="dxa"/>
            <w:tcBorders>
              <w:tl2br w:val="nil"/>
              <w:tr2bl w:val="nil"/>
            </w:tcBorders>
            <w:noWrap w:val="0"/>
            <w:vAlign w:val="center"/>
          </w:tcPr>
          <w:p>
            <w:pPr>
              <w:spacing w:line="360"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22</w:t>
            </w:r>
          </w:p>
        </w:tc>
        <w:tc>
          <w:tcPr>
            <w:tcW w:w="2516" w:type="dxa"/>
            <w:tcBorders>
              <w:tl2br w:val="nil"/>
              <w:tr2bl w:val="nil"/>
            </w:tcBorders>
            <w:noWrap w:val="0"/>
            <w:vAlign w:val="center"/>
          </w:tcPr>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信用记录</w:t>
            </w:r>
          </w:p>
        </w:tc>
        <w:tc>
          <w:tcPr>
            <w:tcW w:w="6383" w:type="dxa"/>
            <w:tcBorders>
              <w:tl2br w:val="nil"/>
              <w:tr2bl w:val="nil"/>
            </w:tcBorders>
            <w:noWrap w:val="0"/>
            <w:vAlign w:val="center"/>
          </w:tcPr>
          <w:p>
            <w:pPr>
              <w:spacing w:line="360" w:lineRule="auto"/>
              <w:rPr>
                <w:rFonts w:hint="eastAsia" w:ascii="仿宋" w:hAnsi="仿宋" w:eastAsia="仿宋" w:cs="仿宋"/>
                <w:color w:val="auto"/>
                <w:highlight w:val="none"/>
                <w:lang w:val="zh-CN"/>
              </w:rPr>
            </w:pPr>
            <w:r>
              <w:rPr>
                <w:rFonts w:hint="eastAsia" w:ascii="仿宋" w:hAnsi="仿宋" w:eastAsia="仿宋" w:cs="仿宋"/>
                <w:color w:val="auto"/>
                <w:highlight w:val="none"/>
                <w:lang w:val="zh-CN"/>
              </w:rPr>
              <w:t>根据《财政部关于在政府采购活动中查询及使用信用记录有关问题的通知》财库〔2016〕125号</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lang w:val="zh-CN"/>
              </w:rPr>
              <w:t>1.根据《财政部关于在政府采购活动中查询及使用信用记录有关问题的通知》财库〔2016〕125号信用记录查询渠道：通过“信用中国”网站（http://www.creditchina.gov.cn/）、中国政府采购网（http://www.ccgp.gov.cn/）等渠道查询相关主体信用记录，</w:t>
            </w:r>
            <w:r>
              <w:rPr>
                <w:rFonts w:hint="eastAsia" w:ascii="仿宋" w:hAnsi="仿宋" w:eastAsia="仿宋" w:cs="仿宋"/>
                <w:color w:val="auto"/>
                <w:highlight w:val="none"/>
              </w:rPr>
              <w:t>在投标截止后，</w:t>
            </w:r>
            <w:r>
              <w:rPr>
                <w:rFonts w:hint="eastAsia" w:ascii="仿宋" w:hAnsi="仿宋" w:eastAsia="仿宋" w:cs="仿宋"/>
                <w:color w:val="auto"/>
                <w:highlight w:val="none"/>
                <w:lang w:eastAsia="zh-CN"/>
              </w:rPr>
              <w:t>利阳致诚国际项目管理有限公司</w:t>
            </w:r>
            <w:r>
              <w:rPr>
                <w:rFonts w:hint="eastAsia" w:ascii="仿宋" w:hAnsi="仿宋" w:eastAsia="仿宋" w:cs="仿宋"/>
                <w:color w:val="auto"/>
                <w:highlight w:val="none"/>
              </w:rPr>
              <w:t>将信用信息查询记录和证据通过网页截图的方式进行留存做好信用信息查询记录和证据留存，信用信息查询记录及相关证据应当与其他采购文件一并保存。</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lang w:val="zh-CN"/>
              </w:rPr>
              <w:t>2.信用记录的使用：对列入失信被执行人、重大税收违法案件当事人名单、政府采购严重违法失信行为记录名单及其他不符合《中华人民共和国政府采购法》第二十二条规定条件的投标人，应当拒绝其参与政府采购活动。两个以上的自然人、法人或者其他组织组成一个联合体，以一个投标人的身份共同参加投标的，对所有联合体成员进行信用记录查询，联合体成员存在不良信用记录的，视同联合体存在不良信用记录。</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75" w:hRule="atLeast"/>
          <w:jc w:val="center"/>
        </w:trPr>
        <w:tc>
          <w:tcPr>
            <w:tcW w:w="787" w:type="dxa"/>
            <w:tcBorders>
              <w:tl2br w:val="nil"/>
              <w:tr2bl w:val="nil"/>
            </w:tcBorders>
            <w:noWrap w:val="0"/>
            <w:vAlign w:val="center"/>
          </w:tcPr>
          <w:p>
            <w:pPr>
              <w:spacing w:line="360"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23</w:t>
            </w:r>
          </w:p>
        </w:tc>
        <w:tc>
          <w:tcPr>
            <w:tcW w:w="2516" w:type="dxa"/>
            <w:tcBorders>
              <w:tl2br w:val="nil"/>
              <w:tr2bl w:val="nil"/>
            </w:tcBorders>
            <w:noWrap w:val="0"/>
            <w:vAlign w:val="center"/>
          </w:tcPr>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采购代理</w:t>
            </w:r>
            <w:r>
              <w:rPr>
                <w:rFonts w:hint="eastAsia" w:ascii="仿宋" w:hAnsi="仿宋" w:eastAsia="仿宋" w:cs="仿宋"/>
                <w:color w:val="auto"/>
                <w:highlight w:val="none"/>
                <w:lang w:val="zh-CN"/>
              </w:rPr>
              <w:t>服务费</w:t>
            </w:r>
          </w:p>
        </w:tc>
        <w:tc>
          <w:tcPr>
            <w:tcW w:w="6383" w:type="dxa"/>
            <w:tcBorders>
              <w:tl2br w:val="nil"/>
              <w:tr2bl w:val="nil"/>
            </w:tcBorders>
            <w:noWrap w:val="0"/>
            <w:vAlign w:val="center"/>
          </w:tcPr>
          <w:p>
            <w:pPr>
              <w:spacing w:line="360" w:lineRule="auto"/>
              <w:rPr>
                <w:rFonts w:hint="eastAsia" w:ascii="仿宋" w:hAnsi="仿宋" w:eastAsia="仿宋" w:cs="仿宋"/>
                <w:color w:val="auto"/>
                <w:highlight w:val="none"/>
                <w:lang w:val="zh-CN"/>
              </w:rPr>
            </w:pPr>
            <w:r>
              <w:rPr>
                <w:rFonts w:hint="eastAsia" w:ascii="仿宋" w:hAnsi="仿宋" w:eastAsia="仿宋" w:cs="仿宋"/>
                <w:color w:val="auto"/>
                <w:highlight w:val="none"/>
                <w:lang w:val="en-US" w:eastAsia="zh-CN"/>
              </w:rPr>
              <w:t>1、收取标准：按照成本加合理利润的原则收取代理服务费,01包定额收取9800元，02包定额收取3000元，03包定额收取600元，由成交供应商向招标代理机构交纳代理服务费。</w:t>
            </w:r>
          </w:p>
          <w:p>
            <w:pPr>
              <w:spacing w:line="360"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2、服务费收款单位账户信息：</w:t>
            </w:r>
          </w:p>
          <w:p>
            <w:pPr>
              <w:spacing w:line="360"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收款单位：利阳致诚国际项目管理有限公司。</w:t>
            </w:r>
          </w:p>
          <w:p>
            <w:pPr>
              <w:spacing w:line="360"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开户行：</w:t>
            </w:r>
            <w:r>
              <w:rPr>
                <w:rFonts w:hint="eastAsia" w:ascii="仿宋" w:hAnsi="仿宋" w:eastAsia="仿宋" w:cs="仿宋"/>
                <w:color w:val="auto"/>
                <w:sz w:val="21"/>
                <w:szCs w:val="21"/>
                <w:highlight w:val="none"/>
                <w:lang w:val="zh-CN"/>
              </w:rPr>
              <w:t>中国民生银行成都分行</w:t>
            </w:r>
          </w:p>
          <w:p>
            <w:pPr>
              <w:spacing w:line="360"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银行账号：630662294</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75" w:hRule="atLeast"/>
          <w:jc w:val="center"/>
        </w:trPr>
        <w:tc>
          <w:tcPr>
            <w:tcW w:w="787" w:type="dxa"/>
            <w:tcBorders>
              <w:tl2br w:val="nil"/>
              <w:tr2bl w:val="nil"/>
            </w:tcBorders>
            <w:noWrap w:val="0"/>
            <w:vAlign w:val="center"/>
          </w:tcPr>
          <w:p>
            <w:pPr>
              <w:spacing w:line="360"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24</w:t>
            </w:r>
          </w:p>
        </w:tc>
        <w:tc>
          <w:tcPr>
            <w:tcW w:w="2516" w:type="dxa"/>
            <w:tcBorders>
              <w:tl2br w:val="nil"/>
              <w:tr2bl w:val="nil"/>
            </w:tcBorders>
            <w:noWrap w:val="0"/>
            <w:vAlign w:val="center"/>
          </w:tcPr>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lang w:val="zh-CN"/>
              </w:rPr>
              <w:t>应知事项</w:t>
            </w:r>
          </w:p>
        </w:tc>
        <w:tc>
          <w:tcPr>
            <w:tcW w:w="6383" w:type="dxa"/>
            <w:tcBorders>
              <w:tl2br w:val="nil"/>
              <w:tr2bl w:val="nil"/>
            </w:tcBorders>
            <w:noWrap w:val="0"/>
            <w:vAlign w:val="center"/>
          </w:tcPr>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1、除明确要求须声明或承诺的事项外，</w:t>
            </w:r>
            <w:r>
              <w:rPr>
                <w:rFonts w:hint="eastAsia" w:ascii="仿宋" w:hAnsi="仿宋" w:eastAsia="仿宋" w:cs="仿宋"/>
                <w:color w:val="auto"/>
                <w:highlight w:val="none"/>
                <w:lang w:val="en-US" w:eastAsia="zh-CN"/>
              </w:rPr>
              <w:t>供应商</w:t>
            </w:r>
            <w:r>
              <w:rPr>
                <w:rFonts w:hint="eastAsia" w:ascii="仿宋" w:hAnsi="仿宋" w:eastAsia="仿宋" w:cs="仿宋"/>
                <w:color w:val="auto"/>
                <w:highlight w:val="none"/>
              </w:rPr>
              <w:t>可不对未要求声明或承诺的实质性要求进行承诺，只要</w:t>
            </w:r>
            <w:r>
              <w:rPr>
                <w:rFonts w:hint="eastAsia" w:ascii="仿宋" w:hAnsi="仿宋" w:eastAsia="仿宋" w:cs="仿宋"/>
                <w:color w:val="auto"/>
                <w:highlight w:val="none"/>
                <w:lang w:val="en-US" w:eastAsia="zh-CN"/>
              </w:rPr>
              <w:t>供应商</w:t>
            </w:r>
            <w:r>
              <w:rPr>
                <w:rFonts w:hint="eastAsia" w:ascii="仿宋" w:hAnsi="仿宋" w:eastAsia="仿宋" w:cs="仿宋"/>
                <w:color w:val="auto"/>
                <w:highlight w:val="none"/>
              </w:rPr>
              <w:t>未明确表示不响应</w:t>
            </w:r>
            <w:r>
              <w:rPr>
                <w:rFonts w:hint="eastAsia" w:ascii="仿宋" w:hAnsi="仿宋" w:eastAsia="仿宋" w:cs="仿宋"/>
                <w:color w:val="auto"/>
                <w:highlight w:val="none"/>
                <w:lang w:val="en-US" w:eastAsia="zh-CN"/>
              </w:rPr>
              <w:t>采购</w:t>
            </w:r>
            <w:r>
              <w:rPr>
                <w:rFonts w:hint="eastAsia" w:ascii="仿宋" w:hAnsi="仿宋" w:eastAsia="仿宋" w:cs="仿宋"/>
                <w:color w:val="auto"/>
                <w:highlight w:val="none"/>
              </w:rPr>
              <w:t>文件的要求，即视为</w:t>
            </w:r>
            <w:r>
              <w:rPr>
                <w:rFonts w:hint="eastAsia" w:ascii="仿宋" w:hAnsi="仿宋" w:eastAsia="仿宋" w:cs="仿宋"/>
                <w:color w:val="auto"/>
                <w:highlight w:val="none"/>
                <w:lang w:val="en-US" w:eastAsia="zh-CN"/>
              </w:rPr>
              <w:t>供应商</w:t>
            </w:r>
            <w:r>
              <w:rPr>
                <w:rFonts w:hint="eastAsia" w:ascii="仿宋" w:hAnsi="仿宋" w:eastAsia="仿宋" w:cs="仿宋"/>
                <w:color w:val="auto"/>
                <w:highlight w:val="none"/>
              </w:rPr>
              <w:t>完全响应。</w:t>
            </w: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2、如因行业惯例或习惯，在</w:t>
            </w:r>
            <w:r>
              <w:rPr>
                <w:rFonts w:hint="eastAsia" w:ascii="仿宋" w:hAnsi="仿宋" w:eastAsia="仿宋" w:cs="仿宋"/>
                <w:color w:val="auto"/>
                <w:highlight w:val="none"/>
                <w:lang w:eastAsia="zh-CN"/>
              </w:rPr>
              <w:t>谈判文件</w:t>
            </w:r>
            <w:r>
              <w:rPr>
                <w:rFonts w:hint="eastAsia" w:ascii="仿宋" w:hAnsi="仿宋" w:eastAsia="仿宋" w:cs="仿宋"/>
                <w:color w:val="auto"/>
                <w:highlight w:val="none"/>
              </w:rPr>
              <w:t>中使用了非法定计量单位，不影响</w:t>
            </w:r>
            <w:r>
              <w:rPr>
                <w:rFonts w:hint="eastAsia" w:ascii="仿宋" w:hAnsi="仿宋" w:eastAsia="仿宋" w:cs="仿宋"/>
                <w:color w:val="auto"/>
                <w:highlight w:val="none"/>
                <w:lang w:eastAsia="zh-CN"/>
              </w:rPr>
              <w:t>谈判文件</w:t>
            </w:r>
            <w:r>
              <w:rPr>
                <w:rFonts w:hint="eastAsia" w:ascii="仿宋" w:hAnsi="仿宋" w:eastAsia="仿宋" w:cs="仿宋"/>
                <w:color w:val="auto"/>
                <w:highlight w:val="none"/>
              </w:rPr>
              <w:t>的有效性和符合性。</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75" w:hRule="atLeast"/>
          <w:jc w:val="center"/>
        </w:trPr>
        <w:tc>
          <w:tcPr>
            <w:tcW w:w="787" w:type="dxa"/>
            <w:tcBorders>
              <w:tl2br w:val="nil"/>
              <w:tr2bl w:val="nil"/>
            </w:tcBorders>
            <w:noWrap w:val="0"/>
            <w:vAlign w:val="center"/>
          </w:tcPr>
          <w:p>
            <w:pPr>
              <w:spacing w:line="360" w:lineRule="auto"/>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25</w:t>
            </w:r>
          </w:p>
        </w:tc>
        <w:tc>
          <w:tcPr>
            <w:tcW w:w="2516" w:type="dxa"/>
            <w:tcBorders>
              <w:tl2br w:val="nil"/>
              <w:tr2bl w:val="nil"/>
            </w:tcBorders>
            <w:noWrap w:val="0"/>
            <w:vAlign w:val="center"/>
          </w:tcPr>
          <w:p>
            <w:pPr>
              <w:pStyle w:val="121"/>
              <w:wordWrap/>
              <w:spacing w:after="0" w:line="360" w:lineRule="auto"/>
              <w:rPr>
                <w:rFonts w:hint="eastAsia" w:ascii="仿宋" w:hAnsi="仿宋" w:eastAsia="仿宋" w:cs="仿宋"/>
                <w:color w:val="auto"/>
                <w:highlight w:val="none"/>
                <w:lang w:val="zh-CN"/>
              </w:rPr>
            </w:pPr>
            <w:r>
              <w:rPr>
                <w:rFonts w:hint="eastAsia" w:ascii="仿宋" w:hAnsi="仿宋" w:eastAsia="仿宋" w:cs="仿宋"/>
                <w:color w:val="auto"/>
                <w:sz w:val="21"/>
              </w:rPr>
              <w:t>品牌或者供应商(如涉及)</w:t>
            </w:r>
          </w:p>
        </w:tc>
        <w:tc>
          <w:tcPr>
            <w:tcW w:w="6383" w:type="dxa"/>
            <w:tcBorders>
              <w:tl2br w:val="nil"/>
              <w:tr2bl w:val="nil"/>
            </w:tcBorders>
            <w:noWrap w:val="0"/>
            <w:vAlign w:val="center"/>
          </w:tcPr>
          <w:p>
            <w:pPr>
              <w:pStyle w:val="122"/>
              <w:wordWrap/>
              <w:spacing w:after="0" w:line="360" w:lineRule="auto"/>
              <w:ind w:left="0" w:leftChars="0"/>
              <w:rPr>
                <w:rFonts w:hint="eastAsia" w:ascii="仿宋" w:hAnsi="仿宋" w:eastAsia="仿宋" w:cs="仿宋"/>
                <w:color w:val="auto"/>
                <w:highlight w:val="none"/>
              </w:rPr>
            </w:pPr>
            <w:r>
              <w:rPr>
                <w:rFonts w:hint="eastAsia" w:ascii="仿宋" w:hAnsi="仿宋" w:eastAsia="仿宋" w:cs="仿宋"/>
                <w:color w:val="auto"/>
                <w:szCs w:val="21"/>
                <w:highlight w:val="none"/>
                <w:lang w:val="en-US" w:eastAsia="zh-CN"/>
              </w:rPr>
              <w:t>若采购文件涉及品牌或者供应商，其目的是为了准确清楚说明采购项目的技术标准和要求，其意思表示为“参照或相当于”品牌或者供应商，其品牌或供应商具有可替代性。</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75" w:hRule="atLeast"/>
          <w:jc w:val="center"/>
        </w:trPr>
        <w:tc>
          <w:tcPr>
            <w:tcW w:w="787" w:type="dxa"/>
            <w:tcBorders>
              <w:tl2br w:val="nil"/>
              <w:tr2bl w:val="nil"/>
            </w:tcBorders>
            <w:noWrap w:val="0"/>
            <w:vAlign w:val="center"/>
          </w:tcPr>
          <w:p>
            <w:pPr>
              <w:spacing w:line="360" w:lineRule="auto"/>
              <w:rPr>
                <w:rFonts w:hint="eastAsia" w:ascii="仿宋" w:hAnsi="仿宋" w:eastAsia="仿宋" w:cs="仿宋"/>
                <w:color w:val="FF0000"/>
                <w:highlight w:val="none"/>
                <w:lang w:val="en-US" w:eastAsia="zh-CN"/>
              </w:rPr>
            </w:pPr>
            <w:r>
              <w:rPr>
                <w:rFonts w:hint="eastAsia" w:ascii="仿宋" w:hAnsi="仿宋" w:eastAsia="仿宋" w:cs="仿宋"/>
                <w:color w:val="FF0000"/>
                <w:highlight w:val="none"/>
                <w:lang w:val="en-US" w:eastAsia="zh-CN"/>
              </w:rPr>
              <w:t>26</w:t>
            </w:r>
          </w:p>
        </w:tc>
        <w:tc>
          <w:tcPr>
            <w:tcW w:w="2516" w:type="dxa"/>
            <w:tcBorders>
              <w:tl2br w:val="nil"/>
              <w:tr2bl w:val="nil"/>
            </w:tcBorders>
            <w:noWrap w:val="0"/>
            <w:vAlign w:val="center"/>
          </w:tcPr>
          <w:p>
            <w:pPr>
              <w:pStyle w:val="96"/>
              <w:ind w:left="96" w:leftChars="0"/>
              <w:jc w:val="center"/>
              <w:rPr>
                <w:rFonts w:hint="eastAsia" w:ascii="仿宋" w:hAnsi="仿宋" w:eastAsia="仿宋" w:cs="仿宋"/>
                <w:color w:val="FF0000"/>
                <w:sz w:val="21"/>
              </w:rPr>
            </w:pPr>
            <w:r>
              <w:rPr>
                <w:rFonts w:hint="eastAsia" w:ascii="仿宋" w:hAnsi="仿宋" w:eastAsia="仿宋" w:cs="仿宋"/>
                <w:color w:val="FF0000"/>
                <w:sz w:val="21"/>
                <w:szCs w:val="21"/>
                <w:lang w:val="zh-CN"/>
              </w:rPr>
              <w:t>承诺提醒</w:t>
            </w:r>
          </w:p>
        </w:tc>
        <w:tc>
          <w:tcPr>
            <w:tcW w:w="6383" w:type="dxa"/>
            <w:tcBorders>
              <w:tl2br w:val="nil"/>
              <w:tr2bl w:val="nil"/>
            </w:tcBorders>
            <w:noWrap w:val="0"/>
            <w:vAlign w:val="center"/>
          </w:tcPr>
          <w:p>
            <w:pPr>
              <w:pStyle w:val="96"/>
              <w:jc w:val="both"/>
              <w:rPr>
                <w:rFonts w:hint="eastAsia" w:ascii="仿宋" w:hAnsi="仿宋" w:eastAsia="仿宋" w:cs="仿宋"/>
                <w:color w:val="FF0000"/>
                <w:szCs w:val="21"/>
                <w:highlight w:val="none"/>
                <w:lang w:val="en-US" w:eastAsia="zh-CN"/>
              </w:rPr>
            </w:pPr>
            <w:r>
              <w:rPr>
                <w:rFonts w:hint="eastAsia" w:ascii="仿宋" w:hAnsi="仿宋" w:eastAsia="仿宋" w:cs="仿宋"/>
                <w:color w:val="FF0000"/>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0" w:type="dxa"/>
            <w:bottom w:w="0" w:type="dxa"/>
            <w:right w:w="0" w:type="dxa"/>
          </w:tblCellMar>
        </w:tblPrEx>
        <w:trPr>
          <w:trHeight w:val="475" w:hRule="atLeast"/>
          <w:jc w:val="center"/>
        </w:trPr>
        <w:tc>
          <w:tcPr>
            <w:tcW w:w="787" w:type="dxa"/>
            <w:tcBorders>
              <w:tl2br w:val="nil"/>
              <w:tr2bl w:val="nil"/>
            </w:tcBorders>
            <w:noWrap w:val="0"/>
            <w:vAlign w:val="center"/>
          </w:tcPr>
          <w:p>
            <w:pPr>
              <w:spacing w:line="360" w:lineRule="auto"/>
              <w:rPr>
                <w:rFonts w:hint="eastAsia" w:ascii="仿宋" w:hAnsi="仿宋" w:eastAsia="仿宋" w:cs="仿宋"/>
                <w:color w:val="FF0000"/>
                <w:highlight w:val="none"/>
                <w:lang w:val="en-US" w:eastAsia="zh-CN"/>
              </w:rPr>
            </w:pPr>
            <w:r>
              <w:rPr>
                <w:rFonts w:hint="eastAsia" w:ascii="仿宋" w:hAnsi="仿宋" w:eastAsia="仿宋" w:cs="仿宋"/>
                <w:color w:val="FF0000"/>
                <w:highlight w:val="none"/>
                <w:lang w:val="en-US" w:eastAsia="zh-CN"/>
              </w:rPr>
              <w:t>27</w:t>
            </w:r>
          </w:p>
        </w:tc>
        <w:tc>
          <w:tcPr>
            <w:tcW w:w="2516" w:type="dxa"/>
            <w:tcBorders>
              <w:tl2br w:val="nil"/>
              <w:tr2bl w:val="nil"/>
            </w:tcBorders>
            <w:noWrap w:val="0"/>
            <w:vAlign w:val="center"/>
          </w:tcPr>
          <w:p>
            <w:pPr>
              <w:pStyle w:val="96"/>
              <w:ind w:left="96" w:leftChars="0"/>
              <w:jc w:val="center"/>
              <w:rPr>
                <w:rFonts w:hint="eastAsia" w:ascii="仿宋" w:hAnsi="仿宋" w:eastAsia="仿宋" w:cs="仿宋"/>
                <w:color w:val="FF0000"/>
                <w:sz w:val="21"/>
                <w:szCs w:val="21"/>
                <w:lang w:val="zh-CN"/>
              </w:rPr>
            </w:pPr>
            <w:r>
              <w:rPr>
                <w:rFonts w:hint="eastAsia" w:ascii="仿宋" w:hAnsi="仿宋" w:eastAsia="仿宋" w:cs="仿宋"/>
                <w:color w:val="FF0000"/>
                <w:sz w:val="21"/>
                <w:szCs w:val="21"/>
                <w:lang w:val="zh-CN"/>
              </w:rPr>
              <w:t>联合体（实质性要求）</w:t>
            </w:r>
          </w:p>
        </w:tc>
        <w:tc>
          <w:tcPr>
            <w:tcW w:w="6383" w:type="dxa"/>
            <w:tcBorders>
              <w:tl2br w:val="nil"/>
              <w:tr2bl w:val="nil"/>
            </w:tcBorders>
            <w:noWrap w:val="0"/>
            <w:vAlign w:val="center"/>
          </w:tcPr>
          <w:p>
            <w:pPr>
              <w:pStyle w:val="96"/>
              <w:rPr>
                <w:rFonts w:hint="eastAsia" w:ascii="仿宋" w:hAnsi="仿宋" w:eastAsia="仿宋" w:cs="仿宋"/>
                <w:b w:val="0"/>
                <w:bCs/>
                <w:color w:val="FF0000"/>
                <w:sz w:val="21"/>
                <w:szCs w:val="21"/>
                <w:lang w:val="zh-CN"/>
              </w:rPr>
            </w:pPr>
            <w:r>
              <w:rPr>
                <w:rFonts w:hint="eastAsia" w:ascii="仿宋" w:hAnsi="仿宋" w:eastAsia="仿宋" w:cs="仿宋"/>
                <w:b w:val="0"/>
                <w:bCs/>
                <w:color w:val="FF0000"/>
                <w:kern w:val="2"/>
              </w:rPr>
              <w:t>☑</w:t>
            </w:r>
            <w:r>
              <w:rPr>
                <w:rFonts w:hint="eastAsia" w:ascii="仿宋" w:hAnsi="仿宋" w:eastAsia="仿宋" w:cs="仿宋"/>
                <w:b w:val="0"/>
                <w:bCs/>
                <w:color w:val="FF0000"/>
                <w:sz w:val="21"/>
                <w:szCs w:val="21"/>
                <w:lang w:val="zh-CN"/>
              </w:rPr>
              <w:t xml:space="preserve">本项目不允许联合体参加    </w:t>
            </w:r>
          </w:p>
          <w:p>
            <w:pPr>
              <w:pStyle w:val="96"/>
              <w:jc w:val="both"/>
              <w:rPr>
                <w:rFonts w:hint="eastAsia" w:ascii="仿宋" w:hAnsi="仿宋" w:eastAsia="仿宋" w:cs="仿宋"/>
                <w:color w:val="FF0000"/>
                <w:sz w:val="21"/>
                <w:szCs w:val="21"/>
                <w:lang w:val="zh-CN"/>
              </w:rPr>
            </w:pPr>
            <w:r>
              <w:rPr>
                <w:rFonts w:hint="eastAsia" w:ascii="仿宋" w:hAnsi="仿宋" w:eastAsia="仿宋" w:cs="仿宋"/>
                <w:b w:val="0"/>
                <w:bCs/>
                <w:color w:val="FF0000"/>
                <w:sz w:val="21"/>
                <w:szCs w:val="21"/>
                <w:lang w:val="zh-CN"/>
              </w:rPr>
              <w:t>□本项目允许联合体参加</w:t>
            </w:r>
          </w:p>
        </w:tc>
      </w:tr>
    </w:tbl>
    <w:p>
      <w:pPr>
        <w:rPr>
          <w:rFonts w:hint="eastAsia" w:ascii="仿宋" w:hAnsi="仿宋" w:eastAsia="仿宋" w:cs="仿宋"/>
          <w:color w:val="auto"/>
          <w:highlight w:val="none"/>
        </w:rPr>
      </w:pPr>
      <w:r>
        <w:rPr>
          <w:rFonts w:hint="eastAsia" w:ascii="仿宋" w:hAnsi="仿宋" w:eastAsia="仿宋" w:cs="仿宋"/>
          <w:color w:val="auto"/>
          <w:highlight w:val="none"/>
        </w:rPr>
        <w:br w:type="page"/>
      </w:r>
    </w:p>
    <w:p>
      <w:pPr>
        <w:pStyle w:val="2"/>
        <w:keepNext w:val="0"/>
        <w:keepLines w:val="0"/>
        <w:spacing w:before="0" w:after="0" w:line="360" w:lineRule="auto"/>
        <w:ind w:firstLine="3855" w:firstLineChars="1200"/>
        <w:rPr>
          <w:rFonts w:hint="eastAsia" w:ascii="仿宋" w:hAnsi="仿宋" w:eastAsia="仿宋" w:cs="仿宋"/>
          <w:color w:val="auto"/>
          <w:highlight w:val="none"/>
        </w:rPr>
      </w:pPr>
      <w:r>
        <w:rPr>
          <w:rFonts w:hint="eastAsia" w:ascii="仿宋" w:hAnsi="仿宋" w:eastAsia="仿宋" w:cs="仿宋"/>
          <w:color w:val="auto"/>
          <w:highlight w:val="none"/>
        </w:rPr>
        <w:t>二、总则</w:t>
      </w:r>
    </w:p>
    <w:p>
      <w:pPr>
        <w:pStyle w:val="4"/>
        <w:keepNext w:val="0"/>
        <w:keepLines w:val="0"/>
        <w:spacing w:before="0" w:after="0" w:line="360" w:lineRule="auto"/>
        <w:ind w:firstLine="482" w:firstLineChars="200"/>
        <w:rPr>
          <w:rFonts w:hint="eastAsia" w:ascii="仿宋" w:hAnsi="仿宋" w:eastAsia="仿宋" w:cs="仿宋"/>
          <w:color w:val="auto"/>
          <w:sz w:val="24"/>
          <w:szCs w:val="24"/>
          <w:highlight w:val="none"/>
        </w:rPr>
      </w:pPr>
      <w:bookmarkStart w:id="14" w:name="_Toc183682368"/>
      <w:bookmarkStart w:id="15" w:name="_Toc217446056"/>
      <w:bookmarkStart w:id="16" w:name="_Toc77400782"/>
      <w:bookmarkStart w:id="17" w:name="_Toc89075878"/>
      <w:bookmarkStart w:id="18" w:name="_Toc183582231"/>
      <w:r>
        <w:rPr>
          <w:rFonts w:hint="eastAsia" w:ascii="仿宋" w:hAnsi="仿宋" w:eastAsia="仿宋" w:cs="仿宋"/>
          <w:color w:val="auto"/>
          <w:sz w:val="24"/>
          <w:szCs w:val="24"/>
          <w:highlight w:val="none"/>
        </w:rPr>
        <w:t>1.适用范围</w:t>
      </w:r>
    </w:p>
    <w:p>
      <w:pPr>
        <w:tabs>
          <w:tab w:val="left" w:pos="7665"/>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 本</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仅适用于本次谈判所叙述的货物/服务采购。</w:t>
      </w:r>
    </w:p>
    <w:p>
      <w:pPr>
        <w:tabs>
          <w:tab w:val="left" w:pos="7665"/>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 本</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的解释权归采购人和采购代理机构所有。</w:t>
      </w:r>
    </w:p>
    <w:p>
      <w:pPr>
        <w:pStyle w:val="4"/>
        <w:keepNext w:val="0"/>
        <w:keepLines w:val="0"/>
        <w:spacing w:before="0" w:after="0" w:line="360" w:lineRule="auto"/>
        <w:ind w:firstLine="482" w:firstLineChars="200"/>
        <w:rPr>
          <w:rFonts w:hint="eastAsia" w:ascii="仿宋" w:hAnsi="仿宋" w:eastAsia="仿宋" w:cs="仿宋"/>
          <w:color w:val="auto"/>
          <w:sz w:val="24"/>
          <w:szCs w:val="24"/>
          <w:highlight w:val="none"/>
        </w:rPr>
      </w:pPr>
      <w:bookmarkStart w:id="19" w:name="_Toc217446035"/>
      <w:bookmarkStart w:id="20" w:name="_Toc183682343"/>
      <w:bookmarkStart w:id="21" w:name="_Toc183582206"/>
      <w:r>
        <w:rPr>
          <w:rFonts w:hint="eastAsia" w:ascii="仿宋" w:hAnsi="仿宋" w:eastAsia="仿宋" w:cs="仿宋"/>
          <w:color w:val="auto"/>
          <w:sz w:val="24"/>
          <w:szCs w:val="24"/>
          <w:highlight w:val="none"/>
        </w:rPr>
        <w:t>2.</w:t>
      </w:r>
      <w:bookmarkEnd w:id="19"/>
      <w:bookmarkEnd w:id="20"/>
      <w:bookmarkEnd w:id="21"/>
      <w:r>
        <w:rPr>
          <w:rFonts w:hint="eastAsia" w:ascii="仿宋" w:hAnsi="仿宋" w:eastAsia="仿宋" w:cs="仿宋"/>
          <w:color w:val="auto"/>
          <w:sz w:val="24"/>
          <w:szCs w:val="24"/>
          <w:highlight w:val="none"/>
        </w:rPr>
        <w:t>采购主体</w:t>
      </w:r>
    </w:p>
    <w:p>
      <w:pPr>
        <w:tabs>
          <w:tab w:val="left" w:pos="7665"/>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2.1本次谈判的采购人是</w:t>
      </w:r>
      <w:r>
        <w:rPr>
          <w:rFonts w:hint="eastAsia" w:ascii="仿宋" w:hAnsi="仿宋" w:eastAsia="仿宋" w:cs="仿宋"/>
          <w:color w:val="auto"/>
          <w:sz w:val="24"/>
          <w:szCs w:val="24"/>
          <w:highlight w:val="none"/>
          <w:u w:val="single"/>
          <w:lang w:eastAsia="zh-CN"/>
        </w:rPr>
        <w:t>成都市双流区中医医院</w:t>
      </w:r>
      <w:r>
        <w:rPr>
          <w:rFonts w:hint="eastAsia" w:ascii="仿宋" w:hAnsi="仿宋" w:eastAsia="仿宋" w:cs="仿宋"/>
          <w:color w:val="auto"/>
          <w:sz w:val="24"/>
          <w:szCs w:val="24"/>
          <w:highlight w:val="none"/>
        </w:rPr>
        <w:t>。</w:t>
      </w:r>
    </w:p>
    <w:p>
      <w:pPr>
        <w:tabs>
          <w:tab w:val="left" w:pos="7665"/>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2.2本次谈判的采购代理机构是</w:t>
      </w:r>
      <w:r>
        <w:rPr>
          <w:rFonts w:hint="eastAsia" w:ascii="仿宋" w:hAnsi="仿宋" w:eastAsia="仿宋" w:cs="仿宋"/>
          <w:color w:val="auto"/>
          <w:sz w:val="24"/>
          <w:szCs w:val="24"/>
          <w:highlight w:val="none"/>
          <w:u w:val="single"/>
        </w:rPr>
        <w:t>利阳致诚国际项目管理有限公司</w:t>
      </w:r>
      <w:r>
        <w:rPr>
          <w:rFonts w:hint="eastAsia" w:ascii="仿宋" w:hAnsi="仿宋" w:eastAsia="仿宋" w:cs="仿宋"/>
          <w:color w:val="auto"/>
          <w:sz w:val="24"/>
          <w:szCs w:val="24"/>
          <w:highlight w:val="none"/>
        </w:rPr>
        <w:t>。</w:t>
      </w:r>
    </w:p>
    <w:p>
      <w:pPr>
        <w:pStyle w:val="4"/>
        <w:keepNext w:val="0"/>
        <w:keepLines w:val="0"/>
        <w:spacing w:before="0" w:after="0" w:line="360" w:lineRule="auto"/>
        <w:ind w:firstLine="482" w:firstLineChars="200"/>
        <w:rPr>
          <w:rFonts w:hint="eastAsia" w:ascii="仿宋" w:hAnsi="仿宋" w:eastAsia="仿宋" w:cs="仿宋"/>
          <w:color w:val="auto"/>
          <w:sz w:val="24"/>
          <w:szCs w:val="24"/>
          <w:highlight w:val="none"/>
        </w:rPr>
      </w:pPr>
      <w:bookmarkStart w:id="22" w:name="_Toc183682344"/>
      <w:bookmarkStart w:id="23" w:name="_Toc217446036"/>
      <w:bookmarkStart w:id="24" w:name="_Toc217390843"/>
      <w:bookmarkStart w:id="25" w:name="_Toc183582207"/>
      <w:r>
        <w:rPr>
          <w:rFonts w:hint="eastAsia" w:ascii="仿宋" w:hAnsi="仿宋" w:eastAsia="仿宋" w:cs="仿宋"/>
          <w:color w:val="auto"/>
          <w:sz w:val="24"/>
          <w:szCs w:val="24"/>
          <w:highlight w:val="none"/>
        </w:rPr>
        <w:t>3.合格</w:t>
      </w:r>
      <w:bookmarkEnd w:id="22"/>
      <w:bookmarkEnd w:id="23"/>
      <w:bookmarkEnd w:id="24"/>
      <w:bookmarkEnd w:id="25"/>
      <w:r>
        <w:rPr>
          <w:rFonts w:hint="eastAsia" w:ascii="仿宋" w:hAnsi="仿宋" w:eastAsia="仿宋" w:cs="仿宋"/>
          <w:color w:val="auto"/>
          <w:sz w:val="24"/>
          <w:szCs w:val="24"/>
          <w:highlight w:val="none"/>
        </w:rPr>
        <w:t>供应商（实质性要求）</w:t>
      </w:r>
    </w:p>
    <w:p>
      <w:pPr>
        <w:tabs>
          <w:tab w:val="left" w:pos="7665"/>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合格的供应商应具备以下条件，否则其</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按无效处理。</w:t>
      </w:r>
    </w:p>
    <w:p>
      <w:pPr>
        <w:tabs>
          <w:tab w:val="left" w:pos="7665"/>
        </w:tabs>
        <w:spacing w:line="360" w:lineRule="auto"/>
        <w:ind w:firstLine="480" w:firstLineChars="200"/>
        <w:rPr>
          <w:rFonts w:hint="eastAsia" w:ascii="仿宋" w:hAnsi="仿宋" w:eastAsia="仿宋" w:cs="仿宋"/>
          <w:color w:val="auto"/>
          <w:spacing w:val="-4"/>
          <w:sz w:val="24"/>
          <w:szCs w:val="24"/>
          <w:highlight w:val="none"/>
        </w:rPr>
      </w:pPr>
      <w:r>
        <w:rPr>
          <w:rFonts w:hint="eastAsia" w:ascii="仿宋" w:hAnsi="仿宋" w:eastAsia="仿宋" w:cs="仿宋"/>
          <w:color w:val="auto"/>
          <w:sz w:val="24"/>
          <w:szCs w:val="24"/>
          <w:highlight w:val="none"/>
        </w:rPr>
        <w:t>3.1具备</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“竞争性谈判邀请”第五条的基本条件</w:t>
      </w:r>
      <w:r>
        <w:rPr>
          <w:rFonts w:hint="eastAsia" w:ascii="仿宋" w:hAnsi="仿宋" w:eastAsia="仿宋" w:cs="仿宋"/>
          <w:color w:val="auto"/>
          <w:spacing w:val="-4"/>
          <w:sz w:val="24"/>
          <w:szCs w:val="24"/>
          <w:highlight w:val="none"/>
        </w:rPr>
        <w:t>；</w:t>
      </w:r>
    </w:p>
    <w:p>
      <w:pPr>
        <w:tabs>
          <w:tab w:val="left" w:pos="7665"/>
        </w:tabs>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3.2按照规定获取了</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，属于实质性参加政府采购活动的供应商。</w:t>
      </w:r>
    </w:p>
    <w:p>
      <w:pPr>
        <w:tabs>
          <w:tab w:val="left" w:pos="7665"/>
        </w:tabs>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3.3遵守国家有关的法律、法规、规章和其他政策制度；</w:t>
      </w:r>
    </w:p>
    <w:p>
      <w:pPr>
        <w:tabs>
          <w:tab w:val="left" w:pos="7665"/>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3.4不属于禁止参加本项目采购活动的供应商；</w:t>
      </w:r>
    </w:p>
    <w:p>
      <w:pPr>
        <w:tabs>
          <w:tab w:val="left" w:pos="7665"/>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3.5供应商在参加政府采购活动前，未被纳入法院、工商行政管理部门、税务部门、银行认定的失信名单且在有效期内，或者在前三年政府采购合同履约过程中及其他经营活动履约过程中未依法履约被有关部门处罚（处理）。</w:t>
      </w:r>
    </w:p>
    <w:p>
      <w:pPr>
        <w:tabs>
          <w:tab w:val="left" w:pos="7665"/>
        </w:tabs>
        <w:spacing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3.6【《关于在政府采购活动中查询及使用信用记录有关问题的通知》财库[2016]125号】信用记录查询渠道：“信用中国”网站(www.creditchina.gov.cn)、中国政府采购网(www.ccgp.gov.cn)。对列入失信被执行人、重大税收违法案件当事人名单、政府采购严重违法失信行为记录名单及其他不符合《中华人民共和国政府采购法》第二十二条规定条件的供应商，拒绝其参与政府采购活动。</w:t>
      </w:r>
    </w:p>
    <w:p>
      <w:pPr>
        <w:pStyle w:val="40"/>
        <w:snapToGrid w:val="0"/>
        <w:spacing w:line="360" w:lineRule="auto"/>
        <w:ind w:left="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3.7有下列情形之一的，视为供应商串通投标，其报价无效：</w:t>
      </w:r>
    </w:p>
    <w:p>
      <w:pPr>
        <w:pStyle w:val="40"/>
        <w:snapToGrid w:val="0"/>
        <w:spacing w:line="360" w:lineRule="auto"/>
        <w:ind w:left="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(一)不同供应商的</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由同一单位或者个人编制;</w:t>
      </w:r>
    </w:p>
    <w:p>
      <w:pPr>
        <w:pStyle w:val="40"/>
        <w:snapToGrid w:val="0"/>
        <w:spacing w:line="360" w:lineRule="auto"/>
        <w:ind w:left="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(二)不同供应商委托同一单位或者个人办理谈判事宜;</w:t>
      </w:r>
    </w:p>
    <w:p>
      <w:pPr>
        <w:pStyle w:val="40"/>
        <w:snapToGrid w:val="0"/>
        <w:spacing w:line="360" w:lineRule="auto"/>
        <w:ind w:left="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(三)不同供应商的</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载明的项目管理成员或者联系人员为同一人;</w:t>
      </w:r>
    </w:p>
    <w:p>
      <w:pPr>
        <w:pStyle w:val="40"/>
        <w:snapToGrid w:val="0"/>
        <w:spacing w:line="360" w:lineRule="auto"/>
        <w:ind w:left="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(四)不同供应商的</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异常一致或者报价呈规律性差异;</w:t>
      </w:r>
    </w:p>
    <w:p>
      <w:pPr>
        <w:pStyle w:val="40"/>
        <w:snapToGrid w:val="0"/>
        <w:spacing w:line="360" w:lineRule="auto"/>
        <w:ind w:left="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(五)不同供应商的</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相互混装;</w:t>
      </w:r>
    </w:p>
    <w:p>
      <w:pPr>
        <w:tabs>
          <w:tab w:val="left" w:pos="7665"/>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(六)不同供应商的谈判保证金从同一单位或者个人的账户转出。</w:t>
      </w:r>
      <w:bookmarkStart w:id="26" w:name="_Toc217446037"/>
      <w:bookmarkStart w:id="27" w:name="_Toc183582208"/>
      <w:bookmarkStart w:id="28" w:name="_Toc183682345"/>
    </w:p>
    <w:p>
      <w:pPr>
        <w:pStyle w:val="4"/>
        <w:keepNext w:val="0"/>
        <w:keepLines w:val="0"/>
        <w:spacing w:before="0" w:after="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 谈判费用</w:t>
      </w:r>
      <w:bookmarkEnd w:id="26"/>
      <w:bookmarkEnd w:id="27"/>
      <w:bookmarkEnd w:id="28"/>
      <w:r>
        <w:rPr>
          <w:rFonts w:hint="eastAsia" w:ascii="仿宋" w:hAnsi="仿宋" w:eastAsia="仿宋" w:cs="仿宋"/>
          <w:color w:val="auto"/>
          <w:sz w:val="24"/>
          <w:szCs w:val="24"/>
          <w:highlight w:val="none"/>
        </w:rPr>
        <w:t>（实质性要求）</w:t>
      </w:r>
    </w:p>
    <w:p>
      <w:pPr>
        <w:tabs>
          <w:tab w:val="left" w:pos="7665"/>
        </w:tabs>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供应商应自行承担参加谈判活动的全部费用。</w:t>
      </w:r>
    </w:p>
    <w:p>
      <w:pPr>
        <w:pStyle w:val="4"/>
        <w:keepNext w:val="0"/>
        <w:keepLines w:val="0"/>
        <w:spacing w:before="0" w:after="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5.充分、公平竞争保障措施（实质性要求）</w:t>
      </w:r>
    </w:p>
    <w:p>
      <w:pPr>
        <w:pStyle w:val="40"/>
        <w:spacing w:line="360" w:lineRule="auto"/>
        <w:ind w:left="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提供相同品牌产品处理。</w:t>
      </w:r>
    </w:p>
    <w:p>
      <w:pPr>
        <w:pStyle w:val="40"/>
        <w:spacing w:line="360" w:lineRule="auto"/>
        <w:ind w:left="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采用最低评标价法的采购项目，提供相同品牌产品的不同</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参加同一合同项下投标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rPr>
        <w:t>的，以其中通过资格审查、有效性、完整性和响应程度审查且报价最低的参加评</w:t>
      </w:r>
      <w:r>
        <w:rPr>
          <w:rFonts w:hint="eastAsia" w:ascii="仿宋" w:hAnsi="仿宋" w:eastAsia="仿宋" w:cs="仿宋"/>
          <w:color w:val="auto"/>
          <w:sz w:val="24"/>
          <w:szCs w:val="24"/>
          <w:highlight w:val="none"/>
          <w:lang w:val="en-US" w:eastAsia="zh-CN"/>
        </w:rPr>
        <w:t>审</w:t>
      </w:r>
      <w:r>
        <w:rPr>
          <w:rFonts w:hint="eastAsia" w:ascii="仿宋" w:hAnsi="仿宋" w:eastAsia="仿宋" w:cs="仿宋"/>
          <w:color w:val="auto"/>
          <w:sz w:val="24"/>
          <w:szCs w:val="24"/>
          <w:highlight w:val="none"/>
        </w:rPr>
        <w:t>；报价相同的，由采购人自主采取公平、择优的方式选择确定一个参加评</w:t>
      </w:r>
      <w:r>
        <w:rPr>
          <w:rFonts w:hint="eastAsia" w:ascii="仿宋" w:hAnsi="仿宋" w:eastAsia="仿宋" w:cs="仿宋"/>
          <w:color w:val="auto"/>
          <w:sz w:val="24"/>
          <w:szCs w:val="24"/>
          <w:highlight w:val="none"/>
          <w:lang w:val="en-US" w:eastAsia="zh-CN"/>
        </w:rPr>
        <w:t>审</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，其他</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rPr>
        <w:t>无效。</w:t>
      </w:r>
    </w:p>
    <w:p>
      <w:pPr>
        <w:pStyle w:val="40"/>
        <w:spacing w:line="360" w:lineRule="auto"/>
        <w:ind w:left="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使用综合评分法的采购项目，提供相同品牌产品且通过资格审查、有效性、完整性和响应程度审查的不同</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参加同一合同项下投标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rPr>
        <w:t>的，按一家</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计算，评审后得分最高的同品牌</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获得</w:t>
      </w:r>
      <w:r>
        <w:rPr>
          <w:rFonts w:hint="eastAsia" w:ascii="仿宋" w:hAnsi="仿宋" w:eastAsia="仿宋" w:cs="仿宋"/>
          <w:color w:val="auto"/>
          <w:sz w:val="24"/>
          <w:szCs w:val="24"/>
          <w:highlight w:val="none"/>
          <w:lang w:val="en-US" w:eastAsia="zh-CN"/>
        </w:rPr>
        <w:t>成交</w:t>
      </w:r>
      <w:r>
        <w:rPr>
          <w:rFonts w:hint="eastAsia" w:ascii="仿宋" w:hAnsi="仿宋" w:eastAsia="仿宋" w:cs="仿宋"/>
          <w:color w:val="auto"/>
          <w:sz w:val="24"/>
          <w:szCs w:val="24"/>
          <w:highlight w:val="none"/>
        </w:rPr>
        <w:t>人推荐资格；评审得分相同的，由采购人自主采取公平、择优的方式选择确定一个</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获得</w:t>
      </w:r>
      <w:r>
        <w:rPr>
          <w:rFonts w:hint="eastAsia" w:ascii="仿宋" w:hAnsi="仿宋" w:eastAsia="仿宋" w:cs="仿宋"/>
          <w:color w:val="auto"/>
          <w:sz w:val="24"/>
          <w:szCs w:val="24"/>
          <w:highlight w:val="none"/>
          <w:lang w:val="en-US" w:eastAsia="zh-CN"/>
        </w:rPr>
        <w:t>成交</w:t>
      </w:r>
      <w:r>
        <w:rPr>
          <w:rFonts w:hint="eastAsia" w:ascii="仿宋" w:hAnsi="仿宋" w:eastAsia="仿宋" w:cs="仿宋"/>
          <w:color w:val="auto"/>
          <w:sz w:val="24"/>
          <w:szCs w:val="24"/>
          <w:highlight w:val="none"/>
        </w:rPr>
        <w:t>人推荐资格，其他同品牌</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不作为</w:t>
      </w:r>
      <w:r>
        <w:rPr>
          <w:rFonts w:hint="eastAsia" w:ascii="仿宋" w:hAnsi="仿宋" w:eastAsia="仿宋" w:cs="仿宋"/>
          <w:color w:val="auto"/>
          <w:sz w:val="24"/>
          <w:szCs w:val="24"/>
          <w:highlight w:val="none"/>
          <w:lang w:val="en-US" w:eastAsia="zh-CN"/>
        </w:rPr>
        <w:t>成交</w:t>
      </w:r>
      <w:r>
        <w:rPr>
          <w:rFonts w:hint="eastAsia" w:ascii="仿宋" w:hAnsi="仿宋" w:eastAsia="仿宋" w:cs="仿宋"/>
          <w:color w:val="auto"/>
          <w:sz w:val="24"/>
          <w:szCs w:val="24"/>
          <w:highlight w:val="none"/>
        </w:rPr>
        <w:t>候选人。</w:t>
      </w:r>
    </w:p>
    <w:p>
      <w:pPr>
        <w:pStyle w:val="40"/>
        <w:spacing w:line="360" w:lineRule="auto"/>
        <w:ind w:left="1"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非单一产品采购项目中，采购人根据采购项目技术构成、产品价格比重等合理确定核心产品。多家</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提供的任一核心产品品牌相同的，视为提供相同品牌产品。</w:t>
      </w:r>
      <w:r>
        <w:rPr>
          <w:rFonts w:hint="eastAsia" w:ascii="仿宋" w:hAnsi="仿宋" w:eastAsia="仿宋" w:cs="仿宋"/>
          <w:color w:val="auto"/>
          <w:sz w:val="24"/>
          <w:szCs w:val="24"/>
          <w:highlight w:val="none"/>
          <w:lang w:val="en-US" w:eastAsia="zh-CN"/>
        </w:rPr>
        <w:t xml:space="preserve"> </w:t>
      </w:r>
    </w:p>
    <w:p>
      <w:pPr>
        <w:pStyle w:val="40"/>
        <w:spacing w:line="360" w:lineRule="auto"/>
        <w:ind w:left="1"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本采购项目核心产品为：</w:t>
      </w:r>
      <w:r>
        <w:rPr>
          <w:rFonts w:hint="eastAsia" w:ascii="仿宋" w:hAnsi="仿宋" w:eastAsia="仿宋" w:cs="仿宋"/>
          <w:b/>
          <w:bCs/>
          <w:color w:val="auto"/>
          <w:sz w:val="24"/>
          <w:szCs w:val="24"/>
          <w:highlight w:val="none"/>
          <w:lang w:val="en-US" w:eastAsia="zh-CN"/>
        </w:rPr>
        <w:t>01包为洗衣机；02包为乳胶漆</w:t>
      </w:r>
      <w:r>
        <w:rPr>
          <w:rFonts w:hint="eastAsia" w:ascii="仿宋" w:hAnsi="仿宋" w:eastAsia="仿宋" w:cs="仿宋"/>
          <w:color w:val="auto"/>
          <w:sz w:val="24"/>
          <w:szCs w:val="24"/>
          <w:highlight w:val="none"/>
        </w:rPr>
        <w:t>。</w:t>
      </w:r>
    </w:p>
    <w:p>
      <w:pPr>
        <w:pStyle w:val="40"/>
        <w:spacing w:line="360" w:lineRule="auto"/>
        <w:ind w:left="1" w:firstLine="480" w:firstLineChars="200"/>
        <w:rPr>
          <w:rFonts w:hint="eastAsia" w:ascii="仿宋" w:hAnsi="仿宋" w:eastAsia="仿宋" w:cs="仿宋"/>
          <w:color w:val="auto"/>
          <w:sz w:val="24"/>
          <w:szCs w:val="24"/>
          <w:highlight w:val="none"/>
        </w:rPr>
      </w:pPr>
    </w:p>
    <w:p>
      <w:pPr>
        <w:pStyle w:val="40"/>
        <w:spacing w:line="360" w:lineRule="auto"/>
        <w:ind w:left="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作为无效处理。</w:t>
      </w:r>
    </w:p>
    <w:p>
      <w:pPr>
        <w:pStyle w:val="40"/>
        <w:spacing w:line="360" w:lineRule="auto"/>
        <w:ind w:left="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利害关系授权代表处理。两家以上的供应商不得在同一合同项下的采购项目中，委托同一个自然人、同一家庭的人员、同一单位的人员作为其授权代表，否则，其</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作为无效处理。</w:t>
      </w:r>
    </w:p>
    <w:p>
      <w:pPr>
        <w:pStyle w:val="40"/>
        <w:spacing w:line="360" w:lineRule="auto"/>
        <w:ind w:left="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106"/>
        <w:spacing w:line="360" w:lineRule="auto"/>
        <w:ind w:left="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供应商实际控制人或者中高级管理人员，同时是采购代理机构工作人员，不得参与本项目政府采购活动。</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同一母公司的两家以上的子公司只能组成联合体参加本项目同一合同项下的采购活动，不得以不同供应商身份同时参加本项目同一合同项下的采购活动。</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供应商与采购代理机构存在关联关系，或者是采购代理机构的母公司或子公司，不得参加本项目政府采购活动。</w:t>
      </w:r>
    </w:p>
    <w:p>
      <w:pPr>
        <w:pStyle w:val="106"/>
        <w:spacing w:line="360" w:lineRule="auto"/>
        <w:ind w:left="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回避。政府采购活动中，采购人员及相关人员与供应商有下列利害关系之一的，应当回避：</w:t>
      </w:r>
    </w:p>
    <w:p>
      <w:pPr>
        <w:pStyle w:val="106"/>
        <w:spacing w:line="360" w:lineRule="auto"/>
        <w:ind w:left="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（1）参加采购活动前3年内与供应商存在劳动关系；</w:t>
      </w:r>
    </w:p>
    <w:p>
      <w:pPr>
        <w:pStyle w:val="106"/>
        <w:spacing w:line="360" w:lineRule="auto"/>
        <w:ind w:left="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（2）参加采购活动前3年内担任供应商的董事、监事；</w:t>
      </w:r>
    </w:p>
    <w:p>
      <w:pPr>
        <w:pStyle w:val="106"/>
        <w:spacing w:line="360" w:lineRule="auto"/>
        <w:ind w:left="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（3）参加采购活动前3年内是供应商的控股股东或者实际控制人；</w:t>
      </w:r>
    </w:p>
    <w:p>
      <w:pPr>
        <w:pStyle w:val="106"/>
        <w:spacing w:line="360" w:lineRule="auto"/>
        <w:ind w:left="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（4）与供应商的法定代表人或者负责人有夫妻、直系血亲、三代以内旁系血亲或者近姻亲关系；</w:t>
      </w:r>
    </w:p>
    <w:p>
      <w:pPr>
        <w:pStyle w:val="106"/>
        <w:spacing w:line="360" w:lineRule="auto"/>
        <w:ind w:left="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（5）与供应商有其他可能影响政府采购活动公平、公正进行的关系。</w:t>
      </w:r>
    </w:p>
    <w:p>
      <w:pPr>
        <w:pStyle w:val="106"/>
        <w:spacing w:line="360" w:lineRule="auto"/>
        <w:ind w:left="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谈判小组成员。</w:t>
      </w:r>
    </w:p>
    <w:p>
      <w:pPr>
        <w:pStyle w:val="106"/>
        <w:spacing w:line="360" w:lineRule="auto"/>
        <w:ind w:left="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4"/>
        <w:keepNext w:val="0"/>
        <w:keepLines w:val="0"/>
        <w:spacing w:before="0" w:after="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6.联合体竞争性谈判（实质性要求）</w:t>
      </w:r>
    </w:p>
    <w:p>
      <w:pPr>
        <w:pStyle w:val="40"/>
        <w:spacing w:line="360" w:lineRule="auto"/>
        <w:ind w:left="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本项目不接受联合体参与采购活动。</w:t>
      </w:r>
    </w:p>
    <w:p>
      <w:pPr>
        <w:pStyle w:val="4"/>
        <w:keepNext w:val="0"/>
        <w:keepLines w:val="0"/>
        <w:spacing w:before="0" w:after="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7.谈判保证金（实质性要求）</w:t>
      </w:r>
    </w:p>
    <w:p>
      <w:pPr>
        <w:spacing w:line="360" w:lineRule="auto"/>
        <w:ind w:firstLine="470" w:firstLineChars="19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7.1 供应商必须以人民币为计量单位提交</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规定数额的谈判保证金，并作为其报价的一部分。联合体谈判的，可以由联合体的一方或者共同提交谈判保证金，以一方名义提交谈判保证金的，对联合体各方均具有约束力。</w:t>
      </w:r>
    </w:p>
    <w:p>
      <w:pPr>
        <w:spacing w:line="360" w:lineRule="auto"/>
        <w:ind w:firstLine="470" w:firstLineChars="19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7.2 未按</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要求在规定时间前交纳规定数额谈判保证金的</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无效。</w:t>
      </w:r>
    </w:p>
    <w:p>
      <w:pPr>
        <w:spacing w:line="360" w:lineRule="auto"/>
        <w:ind w:firstLine="470" w:firstLineChars="19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7.3 供应商所交纳的谈判保证金不计利息。</w:t>
      </w:r>
    </w:p>
    <w:p>
      <w:pPr>
        <w:spacing w:line="360" w:lineRule="auto"/>
        <w:ind w:firstLine="470" w:firstLineChars="19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7.4 未成交供应商的谈判保证金，将在成交通知书发出后五个工作日内全额退还。成交供应商的谈判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pPr>
        <w:spacing w:line="360" w:lineRule="auto"/>
        <w:ind w:firstLine="470" w:firstLineChars="19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7.5发生下列情形之一的，采购代理机构将不予退还谈判保证金：</w:t>
      </w:r>
    </w:p>
    <w:p>
      <w:pPr>
        <w:spacing w:line="360" w:lineRule="auto"/>
        <w:ind w:firstLine="470" w:firstLineChars="19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（一）在</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规定的递交</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截止时间后撤回</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的；</w:t>
      </w:r>
    </w:p>
    <w:p>
      <w:pPr>
        <w:spacing w:line="360" w:lineRule="auto"/>
        <w:ind w:firstLine="470" w:firstLineChars="19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（二）在采购人确定成交供应商之前放弃成交候选资格的；</w:t>
      </w:r>
    </w:p>
    <w:p>
      <w:pPr>
        <w:spacing w:line="360" w:lineRule="auto"/>
        <w:ind w:firstLine="470" w:firstLineChars="19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（三）成交后放弃成交、不领取或者不接收成交通知书的；</w:t>
      </w:r>
    </w:p>
    <w:p>
      <w:pPr>
        <w:spacing w:line="360" w:lineRule="auto"/>
        <w:ind w:firstLine="470" w:firstLineChars="19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（四）由于成交供应商的原因未能按照</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的规定与采购人签订合同的；</w:t>
      </w:r>
    </w:p>
    <w:p>
      <w:pPr>
        <w:spacing w:line="360" w:lineRule="auto"/>
        <w:ind w:firstLine="470" w:firstLineChars="19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（五）由于成交供应商的原因未能按照</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的规定交纳履约保证金的；</w:t>
      </w:r>
    </w:p>
    <w:p>
      <w:pPr>
        <w:spacing w:line="360" w:lineRule="auto"/>
        <w:ind w:firstLine="470" w:firstLineChars="19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（六）供应商在政府采购活动中提供虚假材料的；</w:t>
      </w:r>
    </w:p>
    <w:p>
      <w:pPr>
        <w:spacing w:line="360" w:lineRule="auto"/>
        <w:ind w:firstLine="470" w:firstLineChars="19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（七）报价有效期内，供应商在政府采购活动中有违法、违规、违纪行为。</w:t>
      </w:r>
    </w:p>
    <w:p>
      <w:pPr>
        <w:pStyle w:val="4"/>
        <w:keepNext w:val="0"/>
        <w:keepLines w:val="0"/>
        <w:spacing w:before="0" w:after="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有效期（实质性要求）</w:t>
      </w:r>
    </w:p>
    <w:p>
      <w:pPr>
        <w:spacing w:line="360" w:lineRule="auto"/>
        <w:ind w:firstLine="470" w:firstLineChars="19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有效期为递交</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截止之日起90天。供应商</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中必须载明</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有效期，</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中载明的</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有效期可以长于</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规定的期限，但不得短于</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规定的期限。否则，其</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将作为无效响应处理。</w:t>
      </w:r>
    </w:p>
    <w:p>
      <w:pPr>
        <w:pStyle w:val="4"/>
        <w:keepNext w:val="0"/>
        <w:keepLines w:val="0"/>
        <w:spacing w:before="0" w:after="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9.知识产权（实质性要求）</w:t>
      </w:r>
    </w:p>
    <w:p>
      <w:pPr>
        <w:pStyle w:val="1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9.1 供应商应保证在本项目中使用的任何产品和服务（包括部分使用），不会产生因第三方提出侵犯其专利权、商标权或其它知识产权而引起的法律和经济纠纷，如因专利权、商标权或其它知识产权而引起法律和经济纠纷，由供应商承担所有相关责任。</w:t>
      </w:r>
    </w:p>
    <w:p>
      <w:pPr>
        <w:pStyle w:val="1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9.2 除非</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特别规定，采购人享有本项目实施过程中产生的知识成果及知识产权。</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9.3 供应商如欲在项目实施过程中采用自有知识成果，需在</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中声明，并提供相关知识产权证明文件。使用该知识成果后，供应商需提供开发接口和开发手册等技术文档，并承诺提供无限期技术支持，采购人享有永久使用权（含采购人委托第三方在该项目后续开发的使用权）。</w:t>
      </w:r>
    </w:p>
    <w:p>
      <w:pPr>
        <w:spacing w:line="360" w:lineRule="auto"/>
        <w:ind w:firstLine="460" w:firstLineChars="19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9.4 如采用供应商所不拥有的知识产权，则在报价中必须包括合法获取该知识产权的相关费用。</w:t>
      </w:r>
    </w:p>
    <w:p>
      <w:pPr>
        <w:pStyle w:val="2"/>
        <w:keepNext w:val="0"/>
        <w:keepLines w:val="0"/>
        <w:spacing w:before="0" w:after="0" w:line="360" w:lineRule="auto"/>
        <w:jc w:val="center"/>
        <w:rPr>
          <w:rFonts w:hint="eastAsia" w:ascii="仿宋" w:hAnsi="仿宋" w:eastAsia="仿宋" w:cs="仿宋"/>
          <w:color w:val="auto"/>
          <w:highlight w:val="none"/>
          <w:lang w:eastAsia="zh-CN"/>
        </w:rPr>
      </w:pPr>
      <w:bookmarkStart w:id="29" w:name="_Toc183682346"/>
      <w:bookmarkStart w:id="30" w:name="_Toc77400779"/>
      <w:bookmarkStart w:id="31" w:name="_Toc89075875"/>
      <w:bookmarkStart w:id="32" w:name="_Toc183582209"/>
      <w:bookmarkStart w:id="33" w:name="_Toc217446038"/>
      <w:r>
        <w:rPr>
          <w:rFonts w:hint="eastAsia" w:ascii="仿宋" w:hAnsi="仿宋" w:eastAsia="仿宋" w:cs="仿宋"/>
          <w:color w:val="auto"/>
          <w:highlight w:val="none"/>
        </w:rPr>
        <w:t>三、</w:t>
      </w:r>
      <w:bookmarkEnd w:id="29"/>
      <w:bookmarkEnd w:id="30"/>
      <w:bookmarkEnd w:id="31"/>
      <w:bookmarkEnd w:id="32"/>
      <w:bookmarkEnd w:id="33"/>
      <w:r>
        <w:rPr>
          <w:rFonts w:hint="eastAsia" w:ascii="仿宋" w:hAnsi="仿宋" w:eastAsia="仿宋" w:cs="仿宋"/>
          <w:color w:val="auto"/>
          <w:highlight w:val="none"/>
          <w:lang w:val="en-US" w:eastAsia="zh-CN"/>
        </w:rPr>
        <w:t>谈判</w:t>
      </w:r>
      <w:r>
        <w:rPr>
          <w:rFonts w:hint="eastAsia" w:ascii="仿宋" w:hAnsi="仿宋" w:eastAsia="仿宋" w:cs="仿宋"/>
          <w:color w:val="auto"/>
          <w:highlight w:val="none"/>
          <w:lang w:eastAsia="zh-CN"/>
        </w:rPr>
        <w:t>文件</w:t>
      </w:r>
    </w:p>
    <w:p>
      <w:pPr>
        <w:pStyle w:val="4"/>
        <w:keepNext w:val="0"/>
        <w:keepLines w:val="0"/>
        <w:spacing w:before="0" w:after="0" w:line="360" w:lineRule="auto"/>
        <w:ind w:firstLine="482" w:firstLineChars="200"/>
        <w:rPr>
          <w:rFonts w:hint="eastAsia" w:ascii="仿宋" w:hAnsi="仿宋" w:eastAsia="仿宋" w:cs="仿宋"/>
          <w:color w:val="auto"/>
          <w:sz w:val="24"/>
          <w:szCs w:val="24"/>
          <w:highlight w:val="none"/>
        </w:rPr>
      </w:pPr>
      <w:bookmarkStart w:id="34" w:name="_Toc183682347"/>
      <w:bookmarkStart w:id="35" w:name="_Toc183582210"/>
      <w:bookmarkStart w:id="36" w:name="_Toc217446039"/>
      <w:r>
        <w:rPr>
          <w:rFonts w:hint="eastAsia" w:ascii="仿宋" w:hAnsi="仿宋" w:eastAsia="仿宋" w:cs="仿宋"/>
          <w:color w:val="auto"/>
          <w:sz w:val="24"/>
          <w:szCs w:val="24"/>
          <w:highlight w:val="none"/>
        </w:rPr>
        <w:t>10．</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的构成</w:t>
      </w:r>
      <w:bookmarkEnd w:id="34"/>
      <w:bookmarkEnd w:id="35"/>
      <w:bookmarkEnd w:id="36"/>
      <w:r>
        <w:rPr>
          <w:rFonts w:hint="eastAsia" w:ascii="仿宋" w:hAnsi="仿宋" w:eastAsia="仿宋" w:cs="仿宋"/>
          <w:color w:val="auto"/>
          <w:sz w:val="24"/>
          <w:szCs w:val="24"/>
          <w:highlight w:val="none"/>
        </w:rPr>
        <w:t>（实质性要求）</w:t>
      </w:r>
    </w:p>
    <w:p>
      <w:pPr>
        <w:tabs>
          <w:tab w:val="left" w:pos="720"/>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r>
        <w:rPr>
          <w:rFonts w:hint="eastAsia" w:ascii="仿宋" w:hAnsi="仿宋" w:eastAsia="仿宋" w:cs="仿宋"/>
          <w:b/>
          <w:bCs/>
          <w:color w:val="auto"/>
          <w:sz w:val="24"/>
          <w:szCs w:val="24"/>
          <w:highlight w:val="none"/>
        </w:rPr>
        <w:t>.</w:t>
      </w:r>
      <w:r>
        <w:rPr>
          <w:rFonts w:hint="eastAsia"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是供应商准备</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和参加谈判的依据，同时也是谈判的重要依据。</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用以阐明谈判项目所需的资质、技术、服务及报价等要求、谈判程序、有关规定和注意事项以及合同主要条款等。本</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包括以下内容：</w:t>
      </w:r>
    </w:p>
    <w:p>
      <w:pPr>
        <w:pStyle w:val="9"/>
        <w:spacing w:after="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第一章、谈判邀请</w:t>
      </w:r>
    </w:p>
    <w:p>
      <w:pPr>
        <w:pStyle w:val="9"/>
        <w:spacing w:after="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第二章、谈判须知</w:t>
      </w:r>
    </w:p>
    <w:p>
      <w:pPr>
        <w:pStyle w:val="9"/>
        <w:spacing w:after="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第三章、供应商资格条件要求</w:t>
      </w:r>
    </w:p>
    <w:p>
      <w:pPr>
        <w:pStyle w:val="9"/>
        <w:spacing w:after="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第四章、供应商资格证明材料</w:t>
      </w:r>
    </w:p>
    <w:p>
      <w:pPr>
        <w:pStyle w:val="9"/>
        <w:spacing w:after="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第五章、采购项目技术、服务、政府采购合同内容条款及其他商务要求</w:t>
      </w:r>
      <w:r>
        <w:rPr>
          <w:rFonts w:hint="eastAsia" w:ascii="仿宋" w:hAnsi="仿宋" w:eastAsia="仿宋" w:cs="仿宋"/>
          <w:color w:val="auto"/>
          <w:sz w:val="24"/>
          <w:szCs w:val="24"/>
          <w:highlight w:val="none"/>
        </w:rPr>
        <w:tab/>
      </w:r>
    </w:p>
    <w:p>
      <w:pPr>
        <w:pStyle w:val="9"/>
        <w:spacing w:after="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第六章、采购项目实质性要求</w:t>
      </w:r>
    </w:p>
    <w:p>
      <w:pPr>
        <w:pStyle w:val="9"/>
        <w:spacing w:after="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第七章、谈判内容、谈判过程中可能实质性变动的内容</w:t>
      </w:r>
      <w:r>
        <w:rPr>
          <w:rFonts w:hint="eastAsia" w:ascii="仿宋" w:hAnsi="仿宋" w:eastAsia="仿宋" w:cs="仿宋"/>
          <w:color w:val="auto"/>
          <w:sz w:val="24"/>
          <w:szCs w:val="24"/>
          <w:highlight w:val="none"/>
        </w:rPr>
        <w:tab/>
      </w:r>
    </w:p>
    <w:p>
      <w:pPr>
        <w:pStyle w:val="9"/>
        <w:spacing w:after="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第八章、</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格式</w:t>
      </w:r>
      <w:r>
        <w:rPr>
          <w:rFonts w:hint="eastAsia" w:ascii="仿宋" w:hAnsi="仿宋" w:eastAsia="仿宋" w:cs="仿宋"/>
          <w:color w:val="auto"/>
          <w:sz w:val="24"/>
          <w:szCs w:val="24"/>
          <w:highlight w:val="none"/>
        </w:rPr>
        <w:tab/>
      </w:r>
    </w:p>
    <w:p>
      <w:pPr>
        <w:pStyle w:val="9"/>
        <w:spacing w:after="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第九章、评审方法</w:t>
      </w:r>
    </w:p>
    <w:p>
      <w:pPr>
        <w:pStyle w:val="9"/>
        <w:spacing w:after="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第十章、政府采购合同（草案）</w:t>
      </w:r>
    </w:p>
    <w:p>
      <w:pPr>
        <w:tabs>
          <w:tab w:val="left" w:pos="7665"/>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r>
        <w:rPr>
          <w:rFonts w:hint="eastAsia" w:ascii="仿宋" w:hAnsi="仿宋" w:eastAsia="仿宋" w:cs="仿宋"/>
          <w:b/>
          <w:bCs/>
          <w:color w:val="auto"/>
          <w:sz w:val="24"/>
          <w:szCs w:val="24"/>
          <w:highlight w:val="none"/>
        </w:rPr>
        <w:t>.</w:t>
      </w:r>
      <w:r>
        <w:rPr>
          <w:rFonts w:hint="eastAsia" w:ascii="仿宋" w:hAnsi="仿宋" w:eastAsia="仿宋" w:cs="仿宋"/>
          <w:color w:val="auto"/>
          <w:sz w:val="24"/>
          <w:szCs w:val="24"/>
          <w:highlight w:val="none"/>
        </w:rPr>
        <w:t>2 供应商应认真阅读和充分理解</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中所有的事项、格式条款和规范要求。供应商应详细阅读</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的全部内容，按照</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的要求提供</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，并保证所提供的全部资料的真实性和有效性，一经发现有虚假行为的，将取消其参加谈判或成交资格，并承担相应的法律责任。</w:t>
      </w:r>
    </w:p>
    <w:p>
      <w:pPr>
        <w:pStyle w:val="4"/>
        <w:keepNext w:val="0"/>
        <w:keepLines w:val="0"/>
        <w:spacing w:before="0" w:after="0" w:line="360" w:lineRule="auto"/>
        <w:ind w:firstLine="482" w:firstLineChars="200"/>
        <w:rPr>
          <w:rFonts w:hint="eastAsia" w:ascii="仿宋" w:hAnsi="仿宋" w:eastAsia="仿宋" w:cs="仿宋"/>
          <w:color w:val="auto"/>
          <w:sz w:val="24"/>
          <w:szCs w:val="24"/>
          <w:highlight w:val="none"/>
        </w:rPr>
      </w:pPr>
      <w:bookmarkStart w:id="37" w:name="_Toc183582211"/>
      <w:bookmarkStart w:id="38" w:name="_Toc183682348"/>
      <w:bookmarkStart w:id="39" w:name="_Toc217446040"/>
      <w:r>
        <w:rPr>
          <w:rFonts w:hint="eastAsia" w:ascii="仿宋" w:hAnsi="仿宋" w:eastAsia="仿宋" w:cs="仿宋"/>
          <w:color w:val="auto"/>
          <w:sz w:val="24"/>
          <w:szCs w:val="24"/>
          <w:highlight w:val="none"/>
        </w:rPr>
        <w:t xml:space="preserve">11. </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的澄清</w:t>
      </w:r>
      <w:bookmarkEnd w:id="37"/>
      <w:bookmarkEnd w:id="38"/>
      <w:r>
        <w:rPr>
          <w:rFonts w:hint="eastAsia" w:ascii="仿宋" w:hAnsi="仿宋" w:eastAsia="仿宋" w:cs="仿宋"/>
          <w:color w:val="auto"/>
          <w:sz w:val="24"/>
          <w:szCs w:val="24"/>
          <w:highlight w:val="none"/>
        </w:rPr>
        <w:t>和修改</w:t>
      </w:r>
      <w:bookmarkEnd w:id="39"/>
    </w:p>
    <w:p>
      <w:pPr>
        <w:tabs>
          <w:tab w:val="left" w:pos="720"/>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 在递交</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截止时间前，采购人、采购代理机构可以对</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进行澄清或者修改。</w:t>
      </w:r>
    </w:p>
    <w:p>
      <w:pPr>
        <w:tabs>
          <w:tab w:val="left" w:pos="720"/>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 采购代理机构对已发出的</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进行澄清或者修改，应当以书面形式将澄清或者修改的内容通知所有购买了</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的供应商，同时在</w:t>
      </w:r>
      <w:r>
        <w:rPr>
          <w:rFonts w:hint="eastAsia" w:ascii="仿宋" w:hAnsi="仿宋" w:eastAsia="仿宋" w:cs="仿宋"/>
          <w:color w:val="auto"/>
          <w:sz w:val="24"/>
          <w:szCs w:val="24"/>
          <w:highlight w:val="none"/>
          <w:lang w:eastAsia="zh-CN"/>
        </w:rPr>
        <w:t>四川政府采购网</w:t>
      </w:r>
      <w:r>
        <w:rPr>
          <w:rFonts w:hint="eastAsia" w:ascii="仿宋" w:hAnsi="仿宋" w:eastAsia="仿宋" w:cs="仿宋"/>
          <w:color w:val="auto"/>
          <w:sz w:val="24"/>
          <w:szCs w:val="24"/>
          <w:highlight w:val="none"/>
        </w:rPr>
        <w:t>上发布更正公告。该澄清或者修改的内容为</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的组成部分，澄清或者修改的内容可能影响</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编制的，采购人或者采购代理机构发布公告并书面通知供应商的时间，应当在提交首次</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截止之日起3个工作日前；不足上述时间的，应当顺延递交</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的截止时间。</w:t>
      </w:r>
    </w:p>
    <w:p>
      <w:pPr>
        <w:tabs>
          <w:tab w:val="left" w:pos="720"/>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11.3供应商认为采购人或采购代理机构需要对</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进行澄清或者修改的，可以在3个工作日前以书面形式向采购人或采购代理机构提出申请，由采购人或采购代理机构决定是否采纳供应商的申请事项。若采纳，采购代理机构将视情况采用适当方式予以澄清或以书面形式予以答复。</w:t>
      </w:r>
    </w:p>
    <w:p>
      <w:pPr>
        <w:tabs>
          <w:tab w:val="left" w:pos="720"/>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11.4供应商收到采购代理机构的澄清回复后，应立即以信函或传真方式向采购代理机构确认收到上述文件。</w:t>
      </w:r>
    </w:p>
    <w:p>
      <w:pPr>
        <w:pStyle w:val="4"/>
        <w:keepNext w:val="0"/>
        <w:keepLines w:val="0"/>
        <w:spacing w:before="0" w:after="0" w:line="360" w:lineRule="auto"/>
        <w:ind w:firstLine="482" w:firstLineChars="200"/>
        <w:rPr>
          <w:rFonts w:hint="eastAsia" w:ascii="仿宋" w:hAnsi="仿宋" w:eastAsia="仿宋" w:cs="仿宋"/>
          <w:color w:val="auto"/>
          <w:sz w:val="24"/>
          <w:szCs w:val="24"/>
          <w:highlight w:val="none"/>
        </w:rPr>
      </w:pPr>
      <w:bookmarkStart w:id="40" w:name="_Toc208848971"/>
      <w:bookmarkStart w:id="41" w:name="_Toc217446041"/>
      <w:r>
        <w:rPr>
          <w:rFonts w:hint="eastAsia" w:ascii="仿宋" w:hAnsi="仿宋" w:eastAsia="仿宋" w:cs="仿宋"/>
          <w:color w:val="auto"/>
          <w:sz w:val="24"/>
          <w:szCs w:val="24"/>
          <w:highlight w:val="none"/>
        </w:rPr>
        <w:t>12. 答疑会和现场考察</w:t>
      </w:r>
      <w:bookmarkEnd w:id="40"/>
      <w:bookmarkEnd w:id="41"/>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12.1 根据采购项目和具体情况，采购人、采购代理机构认为有必要，可以在</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提供期限截止后</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提交截止前，组织已获取</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的潜在供应商现场考察或者召开答疑会。</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12.2采购人、采购代理机构组织现场考察或者召开答疑会的，将以书面形式通知所有获取</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的潜在供应商。供应商接到通知后，不按照要求参加现场考察或者答疑会的，视同放弃参加现场考察或者答疑的权利，采购人、采购代理机构不再对该供应商重新组织，但也不会以此限制供应商提交</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或者以此将供应商</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直接作为无效处理。</w:t>
      </w:r>
    </w:p>
    <w:p>
      <w:pPr>
        <w:adjustRightInd w:val="0"/>
        <w:snapToGrid w:val="0"/>
        <w:spacing w:line="360" w:lineRule="auto"/>
        <w:ind w:firstLine="420" w:firstLineChars="1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12.3 供应商自行承担参加答疑会和现场考察的一切费用。</w:t>
      </w:r>
      <w:bookmarkStart w:id="42" w:name="_Toc89075876"/>
      <w:bookmarkStart w:id="43" w:name="_Toc77400780"/>
      <w:bookmarkStart w:id="44" w:name="_Toc183582214"/>
      <w:bookmarkStart w:id="45" w:name="_Toc217446042"/>
      <w:bookmarkStart w:id="46" w:name="_Toc183682351"/>
    </w:p>
    <w:p>
      <w:pPr>
        <w:adjustRightInd w:val="0"/>
        <w:snapToGrid w:val="0"/>
        <w:spacing w:line="360" w:lineRule="auto"/>
        <w:ind w:firstLine="420" w:firstLineChars="1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12.4 本次竞争性谈判不组织答疑会。</w:t>
      </w:r>
    </w:p>
    <w:p>
      <w:pPr>
        <w:pStyle w:val="2"/>
        <w:keepNext w:val="0"/>
        <w:keepLines w:val="0"/>
        <w:spacing w:before="0" w:after="0" w:line="360" w:lineRule="auto"/>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rPr>
        <w:t>四、</w:t>
      </w:r>
      <w:bookmarkEnd w:id="42"/>
      <w:bookmarkEnd w:id="43"/>
      <w:bookmarkEnd w:id="44"/>
      <w:bookmarkEnd w:id="45"/>
      <w:bookmarkEnd w:id="46"/>
      <w:r>
        <w:rPr>
          <w:rFonts w:hint="eastAsia" w:ascii="仿宋" w:hAnsi="仿宋" w:eastAsia="仿宋" w:cs="仿宋"/>
          <w:color w:val="auto"/>
          <w:highlight w:val="none"/>
          <w:lang w:val="en-US" w:eastAsia="zh-CN"/>
        </w:rPr>
        <w:t>响应</w:t>
      </w:r>
      <w:r>
        <w:rPr>
          <w:rFonts w:hint="eastAsia" w:ascii="仿宋" w:hAnsi="仿宋" w:eastAsia="仿宋" w:cs="仿宋"/>
          <w:color w:val="auto"/>
          <w:highlight w:val="none"/>
          <w:lang w:eastAsia="zh-CN"/>
        </w:rPr>
        <w:t>文件</w:t>
      </w:r>
    </w:p>
    <w:p>
      <w:pPr>
        <w:pStyle w:val="4"/>
        <w:keepNext w:val="0"/>
        <w:keepLines w:val="0"/>
        <w:spacing w:before="0" w:after="0" w:line="360" w:lineRule="auto"/>
        <w:ind w:firstLine="482" w:firstLineChars="200"/>
        <w:rPr>
          <w:rFonts w:hint="eastAsia" w:ascii="仿宋" w:hAnsi="仿宋" w:eastAsia="仿宋" w:cs="仿宋"/>
          <w:color w:val="auto"/>
          <w:sz w:val="24"/>
          <w:szCs w:val="24"/>
          <w:highlight w:val="none"/>
        </w:rPr>
      </w:pPr>
      <w:bookmarkStart w:id="47" w:name="_Toc183582215"/>
      <w:bookmarkStart w:id="48" w:name="_Toc183682352"/>
      <w:bookmarkStart w:id="49" w:name="_Toc217446043"/>
      <w:r>
        <w:rPr>
          <w:rFonts w:hint="eastAsia" w:ascii="仿宋" w:hAnsi="仿宋" w:eastAsia="仿宋" w:cs="仿宋"/>
          <w:color w:val="auto"/>
          <w:sz w:val="24"/>
          <w:szCs w:val="24"/>
          <w:highlight w:val="none"/>
        </w:rPr>
        <w:t>13.</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的组成（实质性要求）</w:t>
      </w:r>
    </w:p>
    <w:p>
      <w:pPr>
        <w:spacing w:line="360" w:lineRule="auto"/>
        <w:ind w:firstLine="480" w:firstLineChars="200"/>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供应商应按照</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的规定和要求编制</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。供应商在成交后将成交项目的非主体、非关键性工作分包他人完成的，应当在</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中载明或谈判过程中澄清。</w:t>
      </w:r>
      <w:r>
        <w:rPr>
          <w:rFonts w:hint="eastAsia" w:ascii="仿宋" w:hAnsi="仿宋" w:eastAsia="仿宋" w:cs="仿宋"/>
          <w:color w:val="auto"/>
          <w:sz w:val="24"/>
          <w:szCs w:val="24"/>
          <w:highlight w:val="none"/>
          <w:u w:val="single"/>
        </w:rPr>
        <w:t>供应商编写的</w:t>
      </w:r>
      <w:r>
        <w:rPr>
          <w:rFonts w:hint="eastAsia" w:ascii="仿宋" w:hAnsi="仿宋" w:eastAsia="仿宋" w:cs="仿宋"/>
          <w:color w:val="auto"/>
          <w:sz w:val="24"/>
          <w:szCs w:val="24"/>
          <w:highlight w:val="none"/>
          <w:u w:val="single"/>
          <w:lang w:val="en-US" w:eastAsia="zh-CN"/>
        </w:rPr>
        <w:t>响应</w:t>
      </w:r>
      <w:r>
        <w:rPr>
          <w:rFonts w:hint="eastAsia" w:ascii="仿宋" w:hAnsi="仿宋" w:eastAsia="仿宋" w:cs="仿宋"/>
          <w:color w:val="auto"/>
          <w:sz w:val="24"/>
          <w:szCs w:val="24"/>
          <w:highlight w:val="none"/>
          <w:u w:val="single"/>
          <w:lang w:eastAsia="zh-CN"/>
        </w:rPr>
        <w:t>文件</w:t>
      </w:r>
      <w:r>
        <w:rPr>
          <w:rFonts w:hint="eastAsia" w:ascii="仿宋" w:hAnsi="仿宋" w:eastAsia="仿宋" w:cs="仿宋"/>
          <w:color w:val="auto"/>
          <w:sz w:val="24"/>
          <w:szCs w:val="24"/>
          <w:highlight w:val="none"/>
          <w:u w:val="single"/>
        </w:rPr>
        <w:t>应包括资格性</w:t>
      </w:r>
      <w:r>
        <w:rPr>
          <w:rFonts w:hint="eastAsia" w:ascii="仿宋" w:hAnsi="仿宋" w:eastAsia="仿宋" w:cs="仿宋"/>
          <w:color w:val="auto"/>
          <w:sz w:val="24"/>
          <w:szCs w:val="24"/>
          <w:highlight w:val="none"/>
          <w:u w:val="single"/>
          <w:lang w:val="en-US" w:eastAsia="zh-CN"/>
        </w:rPr>
        <w:t>响应</w:t>
      </w:r>
      <w:r>
        <w:rPr>
          <w:rFonts w:hint="eastAsia" w:ascii="仿宋" w:hAnsi="仿宋" w:eastAsia="仿宋" w:cs="仿宋"/>
          <w:color w:val="auto"/>
          <w:sz w:val="24"/>
          <w:szCs w:val="24"/>
          <w:highlight w:val="none"/>
          <w:u w:val="single"/>
          <w:lang w:eastAsia="zh-CN"/>
        </w:rPr>
        <w:t>文件</w:t>
      </w:r>
      <w:r>
        <w:rPr>
          <w:rFonts w:hint="eastAsia" w:ascii="仿宋" w:hAnsi="仿宋" w:eastAsia="仿宋" w:cs="仿宋"/>
          <w:color w:val="auto"/>
          <w:sz w:val="24"/>
          <w:szCs w:val="24"/>
          <w:highlight w:val="none"/>
          <w:u w:val="single"/>
        </w:rPr>
        <w:t>和其他</w:t>
      </w:r>
      <w:r>
        <w:rPr>
          <w:rFonts w:hint="eastAsia" w:ascii="仿宋" w:hAnsi="仿宋" w:eastAsia="仿宋" w:cs="仿宋"/>
          <w:color w:val="auto"/>
          <w:sz w:val="24"/>
          <w:szCs w:val="24"/>
          <w:highlight w:val="none"/>
          <w:u w:val="single"/>
          <w:lang w:val="en-US" w:eastAsia="zh-CN"/>
        </w:rPr>
        <w:t>响应</w:t>
      </w:r>
      <w:r>
        <w:rPr>
          <w:rFonts w:hint="eastAsia" w:ascii="仿宋" w:hAnsi="仿宋" w:eastAsia="仿宋" w:cs="仿宋"/>
          <w:color w:val="auto"/>
          <w:sz w:val="24"/>
          <w:szCs w:val="24"/>
          <w:highlight w:val="none"/>
          <w:u w:val="single"/>
          <w:lang w:eastAsia="zh-CN"/>
        </w:rPr>
        <w:t>文件</w:t>
      </w:r>
      <w:r>
        <w:rPr>
          <w:rFonts w:hint="eastAsia" w:ascii="仿宋" w:hAnsi="仿宋" w:eastAsia="仿宋" w:cs="仿宋"/>
          <w:color w:val="auto"/>
          <w:sz w:val="24"/>
          <w:szCs w:val="24"/>
          <w:highlight w:val="none"/>
          <w:u w:val="single"/>
        </w:rPr>
        <w:t>两部分，分册装订。</w:t>
      </w:r>
    </w:p>
    <w:p>
      <w:pPr>
        <w:pStyle w:val="4"/>
        <w:keepNext w:val="0"/>
        <w:keepLines w:val="0"/>
        <w:spacing w:before="0" w:after="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的语言</w:t>
      </w:r>
      <w:bookmarkEnd w:id="47"/>
      <w:bookmarkEnd w:id="48"/>
      <w:bookmarkEnd w:id="49"/>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14.1 供应商提交的</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以及供应商与采购人、采购代理机构就有关报价的所有来往书面文件均须使用中文。</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中如附有外文资料，必须逐一对应翻译成中文并加盖供应商公章后附在相关外文资料后面，否则，供应商的</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将作为无效处理。（说明：供应商的法定代表人为外籍人士的，法定代表人的签字和护照除外。）</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14.2 翻译的中文资料与外文资料如果出现差异和矛盾，以中文为准。但不能故意错误翻译，否则，供应商的</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将作为无效处理。（实质性要求）</w:t>
      </w:r>
    </w:p>
    <w:p>
      <w:pPr>
        <w:pStyle w:val="4"/>
        <w:keepNext w:val="0"/>
        <w:keepLines w:val="0"/>
        <w:spacing w:before="0" w:after="0" w:line="360" w:lineRule="auto"/>
        <w:ind w:firstLine="482" w:firstLineChars="200"/>
        <w:rPr>
          <w:rFonts w:hint="eastAsia" w:ascii="仿宋" w:hAnsi="仿宋" w:eastAsia="仿宋" w:cs="仿宋"/>
          <w:color w:val="auto"/>
          <w:sz w:val="24"/>
          <w:szCs w:val="24"/>
          <w:highlight w:val="none"/>
        </w:rPr>
      </w:pPr>
      <w:bookmarkStart w:id="50" w:name="_Toc183682353"/>
      <w:bookmarkStart w:id="51" w:name="_Toc217446044"/>
      <w:bookmarkStart w:id="52" w:name="_Toc183582216"/>
      <w:r>
        <w:rPr>
          <w:rFonts w:hint="eastAsia" w:ascii="仿宋" w:hAnsi="仿宋" w:eastAsia="仿宋" w:cs="仿宋"/>
          <w:color w:val="auto"/>
          <w:sz w:val="24"/>
          <w:szCs w:val="24"/>
          <w:highlight w:val="none"/>
        </w:rPr>
        <w:t>15.计量单位</w:t>
      </w:r>
      <w:bookmarkEnd w:id="50"/>
      <w:bookmarkEnd w:id="51"/>
      <w:bookmarkEnd w:id="52"/>
      <w:r>
        <w:rPr>
          <w:rFonts w:hint="eastAsia" w:ascii="仿宋" w:hAnsi="仿宋" w:eastAsia="仿宋" w:cs="仿宋"/>
          <w:color w:val="auto"/>
          <w:sz w:val="24"/>
          <w:szCs w:val="24"/>
          <w:highlight w:val="none"/>
        </w:rPr>
        <w:t>（实质性要求）</w:t>
      </w:r>
    </w:p>
    <w:p>
      <w:pPr>
        <w:spacing w:line="360" w:lineRule="auto"/>
        <w:ind w:firstLine="470" w:firstLineChars="19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除</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中另有规定外，本次采购项目所有合同项下的报价均采用国家法定的计量单位。</w:t>
      </w:r>
    </w:p>
    <w:p>
      <w:pPr>
        <w:pStyle w:val="4"/>
        <w:keepNext w:val="0"/>
        <w:keepLines w:val="0"/>
        <w:spacing w:before="0" w:after="0" w:line="360" w:lineRule="auto"/>
        <w:ind w:firstLine="482" w:firstLineChars="200"/>
        <w:rPr>
          <w:rFonts w:hint="eastAsia" w:ascii="仿宋" w:hAnsi="仿宋" w:eastAsia="仿宋" w:cs="仿宋"/>
          <w:color w:val="auto"/>
          <w:sz w:val="24"/>
          <w:szCs w:val="24"/>
          <w:highlight w:val="none"/>
        </w:rPr>
      </w:pPr>
      <w:bookmarkStart w:id="53" w:name="_Toc217446045"/>
      <w:r>
        <w:rPr>
          <w:rFonts w:hint="eastAsia" w:ascii="仿宋" w:hAnsi="仿宋" w:eastAsia="仿宋" w:cs="仿宋"/>
          <w:color w:val="auto"/>
          <w:sz w:val="24"/>
          <w:szCs w:val="24"/>
          <w:highlight w:val="none"/>
        </w:rPr>
        <w:t>16. 报价货币（实质性要求）</w:t>
      </w:r>
    </w:p>
    <w:p>
      <w:pPr>
        <w:spacing w:line="360" w:lineRule="auto"/>
        <w:ind w:firstLine="468" w:firstLineChars="19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本次谈判项目的报价货币为人民币，报价以</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约定为准。</w:t>
      </w:r>
    </w:p>
    <w:bookmarkEnd w:id="53"/>
    <w:p>
      <w:pPr>
        <w:pStyle w:val="4"/>
        <w:keepNext w:val="0"/>
        <w:keepLines w:val="0"/>
        <w:spacing w:before="0" w:after="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格式</w:t>
      </w:r>
    </w:p>
    <w:p>
      <w:pPr>
        <w:spacing w:line="360" w:lineRule="auto"/>
        <w:ind w:left="2" w:leftChars="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17.1 供应商应执行</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第八章的规定要求。</w:t>
      </w:r>
    </w:p>
    <w:p>
      <w:pPr>
        <w:spacing w:line="360" w:lineRule="auto"/>
        <w:ind w:left="2" w:leftChars="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17.2 对于没有格式要求的</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由供应商自行编写。</w:t>
      </w:r>
      <w:bookmarkStart w:id="54" w:name="_Toc183682361"/>
      <w:bookmarkStart w:id="55" w:name="_Toc217446051"/>
      <w:bookmarkStart w:id="56" w:name="_Toc183582224"/>
    </w:p>
    <w:p>
      <w:pPr>
        <w:spacing w:line="360" w:lineRule="auto"/>
        <w:ind w:left="2" w:leftChars="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17.3 </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的组成</w:t>
      </w:r>
    </w:p>
    <w:p>
      <w:pPr>
        <w:spacing w:line="360" w:lineRule="auto"/>
        <w:ind w:left="2" w:leftChars="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供应商应按照</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的规定和要求编制</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。本项目</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分为资格性性</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和其他</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两部分，分册装订。资格性</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用于谈判小组资格审查，其他</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用于谈判。谈判供应商拟在成交后将成交项目的非主体、非关键性工作交由他人完成的，应当在</w:t>
      </w:r>
      <w:r>
        <w:rPr>
          <w:rFonts w:hint="eastAsia" w:ascii="仿宋" w:hAnsi="仿宋" w:eastAsia="仿宋" w:cs="仿宋"/>
          <w:color w:val="auto"/>
          <w:sz w:val="24"/>
          <w:szCs w:val="24"/>
          <w:highlight w:val="none"/>
          <w:lang w:eastAsia="zh-CN"/>
        </w:rPr>
        <w:t>谈</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中载明。谈判供应商编写的</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应包括但不仅限于以下内容：</w:t>
      </w:r>
    </w:p>
    <w:p>
      <w:pPr>
        <w:spacing w:line="360" w:lineRule="auto"/>
        <w:ind w:left="2" w:leftChars="1"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17.3.1报价部分</w:t>
      </w:r>
    </w:p>
    <w:p>
      <w:pPr>
        <w:spacing w:line="360" w:lineRule="auto"/>
        <w:ind w:left="2" w:leftChars="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谈判供应商按照</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要求填写“最终报价信”（详见</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格式）。</w:t>
      </w:r>
    </w:p>
    <w:p>
      <w:pPr>
        <w:spacing w:line="360" w:lineRule="auto"/>
        <w:ind w:left="2" w:leftChars="1"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17.3.2资格性</w:t>
      </w:r>
      <w:r>
        <w:rPr>
          <w:rFonts w:hint="eastAsia" w:ascii="仿宋" w:hAnsi="仿宋" w:eastAsia="仿宋" w:cs="仿宋"/>
          <w:b/>
          <w:bCs/>
          <w:color w:val="auto"/>
          <w:sz w:val="24"/>
          <w:szCs w:val="24"/>
          <w:highlight w:val="none"/>
          <w:lang w:val="en-US" w:eastAsia="zh-CN"/>
        </w:rPr>
        <w:t>响应</w:t>
      </w:r>
      <w:r>
        <w:rPr>
          <w:rFonts w:hint="eastAsia" w:ascii="仿宋" w:hAnsi="仿宋" w:eastAsia="仿宋" w:cs="仿宋"/>
          <w:b/>
          <w:bCs/>
          <w:color w:val="auto"/>
          <w:sz w:val="24"/>
          <w:szCs w:val="24"/>
          <w:highlight w:val="none"/>
          <w:lang w:eastAsia="zh-CN"/>
        </w:rPr>
        <w:t>文件</w:t>
      </w:r>
      <w:r>
        <w:rPr>
          <w:rFonts w:hint="eastAsia" w:ascii="仿宋" w:hAnsi="仿宋" w:eastAsia="仿宋" w:cs="仿宋"/>
          <w:b/>
          <w:bCs/>
          <w:color w:val="auto"/>
          <w:sz w:val="24"/>
          <w:szCs w:val="24"/>
          <w:highlight w:val="none"/>
        </w:rPr>
        <w:t>：</w:t>
      </w:r>
      <w:r>
        <w:rPr>
          <w:rFonts w:hint="eastAsia" w:ascii="仿宋" w:hAnsi="仿宋" w:eastAsia="仿宋" w:cs="仿宋"/>
          <w:color w:val="auto"/>
          <w:sz w:val="24"/>
          <w:szCs w:val="24"/>
          <w:highlight w:val="none"/>
        </w:rPr>
        <w:t>谈判供应商按照</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要求编写资格性</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w:t>
      </w:r>
    </w:p>
    <w:p>
      <w:pPr>
        <w:spacing w:line="360" w:lineRule="auto"/>
        <w:ind w:left="2" w:leftChars="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（1）声明函；</w:t>
      </w:r>
    </w:p>
    <w:p>
      <w:pPr>
        <w:spacing w:line="360" w:lineRule="auto"/>
        <w:ind w:left="2" w:leftChars="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（2）承诺函；</w:t>
      </w:r>
    </w:p>
    <w:p>
      <w:pPr>
        <w:pStyle w:val="39"/>
        <w:spacing w:line="360" w:lineRule="auto"/>
        <w:ind w:firstLine="338" w:firstLineChars="141"/>
        <w:jc w:val="both"/>
        <w:rPr>
          <w:rFonts w:hint="eastAsia" w:ascii="仿宋" w:hAnsi="仿宋" w:eastAsia="仿宋" w:cs="仿宋"/>
          <w:color w:val="auto"/>
          <w:kern w:val="2"/>
          <w:sz w:val="24"/>
          <w:szCs w:val="24"/>
          <w:highlight w:val="none"/>
          <w:lang w:val="zh-TW" w:eastAsia="zh-CN" w:bidi="ar-SA"/>
        </w:rPr>
      </w:pPr>
      <w:r>
        <w:rPr>
          <w:rFonts w:hint="eastAsia" w:ascii="仿宋" w:hAnsi="仿宋" w:eastAsia="仿宋" w:cs="仿宋"/>
          <w:color w:val="auto"/>
          <w:kern w:val="2"/>
          <w:sz w:val="24"/>
          <w:szCs w:val="24"/>
          <w:highlight w:val="none"/>
          <w:lang w:val="en-US" w:eastAsia="zh-CN" w:bidi="ar-SA"/>
        </w:rPr>
        <w:t xml:space="preserve"> </w:t>
      </w:r>
      <w:r>
        <w:rPr>
          <w:rFonts w:hint="eastAsia" w:ascii="仿宋" w:hAnsi="仿宋" w:eastAsia="仿宋" w:cs="仿宋"/>
          <w:color w:val="auto"/>
          <w:kern w:val="2"/>
          <w:sz w:val="24"/>
          <w:szCs w:val="24"/>
          <w:highlight w:val="none"/>
          <w:lang w:val="zh-TW" w:eastAsia="zh-CN" w:bidi="ar-SA"/>
        </w:rPr>
        <w:t>（</w:t>
      </w:r>
      <w:r>
        <w:rPr>
          <w:rFonts w:hint="eastAsia" w:ascii="仿宋" w:hAnsi="仿宋" w:eastAsia="仿宋" w:cs="仿宋"/>
          <w:color w:val="auto"/>
          <w:kern w:val="2"/>
          <w:sz w:val="24"/>
          <w:szCs w:val="24"/>
          <w:highlight w:val="none"/>
          <w:lang w:val="en-US" w:eastAsia="zh-CN" w:bidi="ar-SA"/>
        </w:rPr>
        <w:t>3</w:t>
      </w:r>
      <w:r>
        <w:rPr>
          <w:rFonts w:hint="eastAsia" w:ascii="仿宋" w:hAnsi="仿宋" w:eastAsia="仿宋" w:cs="仿宋"/>
          <w:color w:val="auto"/>
          <w:kern w:val="2"/>
          <w:sz w:val="24"/>
          <w:szCs w:val="24"/>
          <w:highlight w:val="none"/>
          <w:lang w:val="zh-TW" w:eastAsia="zh-CN" w:bidi="ar-SA"/>
        </w:rPr>
        <w:t>）中小企业声明函；</w:t>
      </w:r>
    </w:p>
    <w:p>
      <w:pPr>
        <w:pStyle w:val="39"/>
        <w:spacing w:line="360" w:lineRule="auto"/>
        <w:ind w:firstLine="480" w:firstLineChars="200"/>
        <w:jc w:val="both"/>
        <w:rPr>
          <w:rFonts w:hint="eastAsia" w:ascii="仿宋" w:hAnsi="仿宋" w:eastAsia="仿宋" w:cs="仿宋"/>
          <w:color w:val="auto"/>
          <w:kern w:val="2"/>
          <w:sz w:val="24"/>
          <w:szCs w:val="24"/>
          <w:highlight w:val="none"/>
          <w:lang w:val="zh-TW" w:eastAsia="zh-CN" w:bidi="ar-SA"/>
        </w:rPr>
      </w:pPr>
      <w:r>
        <w:rPr>
          <w:rFonts w:hint="eastAsia" w:ascii="仿宋" w:hAnsi="仿宋" w:eastAsia="仿宋" w:cs="仿宋"/>
          <w:color w:val="auto"/>
          <w:kern w:val="2"/>
          <w:sz w:val="24"/>
          <w:szCs w:val="24"/>
          <w:highlight w:val="none"/>
          <w:lang w:val="zh-TW" w:eastAsia="zh-CN" w:bidi="ar-SA"/>
        </w:rPr>
        <w:t>（</w:t>
      </w:r>
      <w:r>
        <w:rPr>
          <w:rFonts w:hint="eastAsia" w:ascii="仿宋" w:hAnsi="仿宋" w:eastAsia="仿宋" w:cs="仿宋"/>
          <w:color w:val="auto"/>
          <w:kern w:val="2"/>
          <w:sz w:val="24"/>
          <w:szCs w:val="24"/>
          <w:highlight w:val="none"/>
          <w:lang w:val="en-US" w:eastAsia="zh-CN" w:bidi="ar-SA"/>
        </w:rPr>
        <w:t>4</w:t>
      </w:r>
      <w:r>
        <w:rPr>
          <w:rFonts w:hint="eastAsia" w:ascii="仿宋" w:hAnsi="仿宋" w:eastAsia="仿宋" w:cs="仿宋"/>
          <w:color w:val="auto"/>
          <w:kern w:val="2"/>
          <w:sz w:val="24"/>
          <w:szCs w:val="24"/>
          <w:highlight w:val="none"/>
          <w:lang w:val="zh-TW" w:eastAsia="zh-CN" w:bidi="ar-SA"/>
        </w:rPr>
        <w:t>）残疾人福利性单位声明函（如涉及需提供）；</w:t>
      </w:r>
    </w:p>
    <w:p>
      <w:pPr>
        <w:pStyle w:val="39"/>
        <w:spacing w:line="360" w:lineRule="auto"/>
        <w:ind w:firstLine="480" w:firstLineChars="200"/>
        <w:jc w:val="both"/>
        <w:rPr>
          <w:rFonts w:hint="eastAsia" w:ascii="仿宋" w:hAnsi="仿宋" w:eastAsia="仿宋" w:cs="仿宋"/>
          <w:color w:val="auto"/>
          <w:kern w:val="2"/>
          <w:sz w:val="24"/>
          <w:szCs w:val="24"/>
          <w:highlight w:val="none"/>
          <w:lang w:val="zh-TW" w:eastAsia="zh-CN" w:bidi="ar-SA"/>
        </w:rPr>
      </w:pPr>
      <w:r>
        <w:rPr>
          <w:rFonts w:hint="eastAsia" w:ascii="仿宋" w:hAnsi="仿宋" w:eastAsia="仿宋" w:cs="仿宋"/>
          <w:color w:val="auto"/>
          <w:kern w:val="2"/>
          <w:sz w:val="24"/>
          <w:szCs w:val="24"/>
          <w:highlight w:val="none"/>
          <w:lang w:val="zh-TW" w:eastAsia="zh-CN" w:bidi="ar-SA"/>
        </w:rPr>
        <w:t>（</w:t>
      </w:r>
      <w:r>
        <w:rPr>
          <w:rFonts w:hint="eastAsia" w:ascii="仿宋" w:hAnsi="仿宋" w:eastAsia="仿宋" w:cs="仿宋"/>
          <w:color w:val="auto"/>
          <w:kern w:val="2"/>
          <w:sz w:val="24"/>
          <w:szCs w:val="24"/>
          <w:highlight w:val="none"/>
          <w:lang w:val="en-US" w:eastAsia="zh-CN" w:bidi="ar-SA"/>
        </w:rPr>
        <w:t>5</w:t>
      </w:r>
      <w:r>
        <w:rPr>
          <w:rFonts w:hint="eastAsia" w:ascii="仿宋" w:hAnsi="仿宋" w:eastAsia="仿宋" w:cs="仿宋"/>
          <w:color w:val="auto"/>
          <w:kern w:val="2"/>
          <w:sz w:val="24"/>
          <w:szCs w:val="24"/>
          <w:highlight w:val="none"/>
          <w:lang w:val="zh-TW" w:eastAsia="zh-CN" w:bidi="ar-SA"/>
        </w:rPr>
        <w:t>）监狱企业相关证明材料（如涉及需提供）；</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谈判</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val="en-US" w:eastAsia="zh-CN"/>
        </w:rPr>
        <w:t>四</w:t>
      </w:r>
      <w:r>
        <w:rPr>
          <w:rFonts w:hint="eastAsia" w:ascii="仿宋" w:hAnsi="仿宋" w:eastAsia="仿宋" w:cs="仿宋"/>
          <w:color w:val="auto"/>
          <w:sz w:val="24"/>
          <w:szCs w:val="24"/>
          <w:highlight w:val="none"/>
        </w:rPr>
        <w:t>章所要求提供的证明材料；</w:t>
      </w:r>
    </w:p>
    <w:p>
      <w:pPr>
        <w:spacing w:line="360" w:lineRule="auto"/>
        <w:ind w:left="2" w:leftChars="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）谈判供应商认为需要提供的文件和资料；</w:t>
      </w:r>
    </w:p>
    <w:p>
      <w:pPr>
        <w:spacing w:line="360" w:lineRule="auto"/>
        <w:ind w:left="2" w:leftChars="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要求的其它资格证明文件。</w:t>
      </w:r>
    </w:p>
    <w:p>
      <w:pPr>
        <w:spacing w:line="360" w:lineRule="auto"/>
        <w:ind w:left="2" w:leftChars="1"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17.3.3 其他</w:t>
      </w:r>
      <w:r>
        <w:rPr>
          <w:rFonts w:hint="eastAsia" w:ascii="仿宋" w:hAnsi="仿宋" w:eastAsia="仿宋" w:cs="仿宋"/>
          <w:b/>
          <w:bCs/>
          <w:color w:val="auto"/>
          <w:sz w:val="24"/>
          <w:szCs w:val="24"/>
          <w:highlight w:val="none"/>
          <w:lang w:eastAsia="zh-CN"/>
        </w:rPr>
        <w:t>谈判文件</w:t>
      </w:r>
      <w:r>
        <w:rPr>
          <w:rFonts w:hint="eastAsia" w:ascii="仿宋" w:hAnsi="仿宋" w:eastAsia="仿宋" w:cs="仿宋"/>
          <w:b/>
          <w:bCs/>
          <w:color w:val="auto"/>
          <w:sz w:val="24"/>
          <w:szCs w:val="24"/>
          <w:highlight w:val="none"/>
        </w:rPr>
        <w:t>：</w:t>
      </w:r>
      <w:r>
        <w:rPr>
          <w:rFonts w:hint="eastAsia" w:ascii="仿宋" w:hAnsi="仿宋" w:eastAsia="仿宋" w:cs="仿宋"/>
          <w:color w:val="auto"/>
          <w:sz w:val="24"/>
          <w:szCs w:val="24"/>
          <w:highlight w:val="none"/>
        </w:rPr>
        <w:t>供应商须按</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的要求编写</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，对</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提出的要求和条件做出实质性响应。</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应包括但不限于下列内容：</w:t>
      </w:r>
    </w:p>
    <w:p>
      <w:pPr>
        <w:spacing w:line="360" w:lineRule="auto"/>
        <w:ind w:left="2" w:leftChars="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（1）报价函；</w:t>
      </w:r>
    </w:p>
    <w:p>
      <w:pPr>
        <w:spacing w:line="360" w:lineRule="auto"/>
        <w:ind w:left="2" w:leftChars="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（2）报价表；</w:t>
      </w:r>
    </w:p>
    <w:p>
      <w:pPr>
        <w:spacing w:line="360" w:lineRule="auto"/>
        <w:ind w:left="2" w:leftChars="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（3）分项报价明细表；</w:t>
      </w:r>
    </w:p>
    <w:p>
      <w:pPr>
        <w:spacing w:line="360" w:lineRule="auto"/>
        <w:ind w:left="2" w:leftChars="1" w:firstLine="480" w:firstLineChars="200"/>
        <w:rPr>
          <w:rFonts w:hint="eastAsia" w:ascii="仿宋" w:hAnsi="仿宋" w:eastAsia="仿宋" w:cs="仿宋"/>
          <w:color w:val="auto"/>
          <w:kern w:val="2"/>
          <w:sz w:val="24"/>
          <w:szCs w:val="24"/>
          <w:highlight w:val="none"/>
          <w:lang w:val="zh-TW" w:eastAsia="zh-CN" w:bidi="ar-SA"/>
        </w:rPr>
      </w:pPr>
      <w:r>
        <w:rPr>
          <w:rFonts w:hint="eastAsia" w:ascii="仿宋" w:hAnsi="仿宋" w:eastAsia="仿宋" w:cs="仿宋"/>
          <w:color w:val="auto"/>
          <w:kern w:val="2"/>
          <w:sz w:val="24"/>
          <w:szCs w:val="24"/>
          <w:highlight w:val="none"/>
          <w:lang w:val="zh-TW" w:eastAsia="zh-CN" w:bidi="ar-SA"/>
        </w:rPr>
        <w:t>（</w:t>
      </w:r>
      <w:r>
        <w:rPr>
          <w:rFonts w:hint="eastAsia" w:ascii="仿宋" w:hAnsi="仿宋" w:eastAsia="仿宋" w:cs="仿宋"/>
          <w:color w:val="auto"/>
          <w:kern w:val="2"/>
          <w:sz w:val="24"/>
          <w:szCs w:val="24"/>
          <w:highlight w:val="none"/>
          <w:lang w:val="en-US" w:eastAsia="zh-CN" w:bidi="ar-SA"/>
        </w:rPr>
        <w:t>4</w:t>
      </w:r>
      <w:r>
        <w:rPr>
          <w:rFonts w:hint="eastAsia" w:ascii="仿宋" w:hAnsi="仿宋" w:eastAsia="仿宋" w:cs="仿宋"/>
          <w:color w:val="auto"/>
          <w:kern w:val="2"/>
          <w:sz w:val="24"/>
          <w:szCs w:val="24"/>
          <w:highlight w:val="none"/>
          <w:lang w:val="zh-TW" w:eastAsia="zh-CN" w:bidi="ar-SA"/>
        </w:rPr>
        <w:t>）中小企业声明函（如涉及需提供）；</w:t>
      </w:r>
    </w:p>
    <w:p>
      <w:pPr>
        <w:pStyle w:val="39"/>
        <w:spacing w:line="360" w:lineRule="auto"/>
        <w:ind w:firstLine="480" w:firstLineChars="200"/>
        <w:jc w:val="both"/>
        <w:rPr>
          <w:rFonts w:hint="eastAsia" w:ascii="仿宋" w:hAnsi="仿宋" w:eastAsia="仿宋" w:cs="仿宋"/>
          <w:color w:val="auto"/>
          <w:kern w:val="2"/>
          <w:sz w:val="24"/>
          <w:szCs w:val="24"/>
          <w:highlight w:val="none"/>
          <w:lang w:val="zh-TW" w:eastAsia="zh-CN" w:bidi="ar-SA"/>
        </w:rPr>
      </w:pPr>
      <w:r>
        <w:rPr>
          <w:rFonts w:hint="eastAsia" w:ascii="仿宋" w:hAnsi="仿宋" w:eastAsia="仿宋" w:cs="仿宋"/>
          <w:color w:val="auto"/>
          <w:kern w:val="2"/>
          <w:sz w:val="24"/>
          <w:szCs w:val="24"/>
          <w:highlight w:val="none"/>
          <w:lang w:val="zh-TW" w:eastAsia="zh-CN" w:bidi="ar-SA"/>
        </w:rPr>
        <w:t>（</w:t>
      </w:r>
      <w:r>
        <w:rPr>
          <w:rFonts w:hint="eastAsia" w:ascii="仿宋" w:hAnsi="仿宋" w:eastAsia="仿宋" w:cs="仿宋"/>
          <w:color w:val="auto"/>
          <w:kern w:val="2"/>
          <w:sz w:val="24"/>
          <w:szCs w:val="24"/>
          <w:highlight w:val="none"/>
          <w:lang w:val="en-US" w:eastAsia="zh-CN" w:bidi="ar-SA"/>
        </w:rPr>
        <w:t>5</w:t>
      </w:r>
      <w:r>
        <w:rPr>
          <w:rFonts w:hint="eastAsia" w:ascii="仿宋" w:hAnsi="仿宋" w:eastAsia="仿宋" w:cs="仿宋"/>
          <w:color w:val="auto"/>
          <w:kern w:val="2"/>
          <w:sz w:val="24"/>
          <w:szCs w:val="24"/>
          <w:highlight w:val="none"/>
          <w:lang w:val="zh-TW" w:eastAsia="zh-CN" w:bidi="ar-SA"/>
        </w:rPr>
        <w:t>）残疾人福利性单位声明函（如涉及需提供）；</w:t>
      </w:r>
    </w:p>
    <w:p>
      <w:pPr>
        <w:pStyle w:val="9"/>
        <w:ind w:firstLine="480" w:firstLineChars="200"/>
        <w:rPr>
          <w:rFonts w:hint="eastAsia" w:ascii="仿宋" w:hAnsi="仿宋" w:eastAsia="仿宋" w:cs="仿宋"/>
          <w:color w:val="auto"/>
        </w:rPr>
      </w:pPr>
      <w:r>
        <w:rPr>
          <w:rFonts w:hint="eastAsia" w:ascii="仿宋" w:hAnsi="仿宋" w:eastAsia="仿宋" w:cs="仿宋"/>
          <w:color w:val="auto"/>
          <w:kern w:val="2"/>
          <w:sz w:val="24"/>
          <w:szCs w:val="24"/>
          <w:highlight w:val="none"/>
          <w:lang w:val="zh-TW" w:eastAsia="zh-CN" w:bidi="ar-SA"/>
        </w:rPr>
        <w:t>（</w:t>
      </w:r>
      <w:r>
        <w:rPr>
          <w:rFonts w:hint="eastAsia" w:ascii="仿宋" w:hAnsi="仿宋" w:eastAsia="仿宋" w:cs="仿宋"/>
          <w:color w:val="auto"/>
          <w:kern w:val="2"/>
          <w:sz w:val="24"/>
          <w:szCs w:val="24"/>
          <w:highlight w:val="none"/>
          <w:lang w:val="en-US" w:eastAsia="zh-CN" w:bidi="ar-SA"/>
        </w:rPr>
        <w:t>6</w:t>
      </w:r>
      <w:r>
        <w:rPr>
          <w:rFonts w:hint="eastAsia" w:ascii="仿宋" w:hAnsi="仿宋" w:eastAsia="仿宋" w:cs="仿宋"/>
          <w:color w:val="auto"/>
          <w:kern w:val="2"/>
          <w:sz w:val="24"/>
          <w:szCs w:val="24"/>
          <w:highlight w:val="none"/>
          <w:lang w:val="zh-TW" w:eastAsia="zh-CN" w:bidi="ar-SA"/>
        </w:rPr>
        <w:t>）监狱企业相关证明材料（如涉及需提供）；</w:t>
      </w:r>
    </w:p>
    <w:p>
      <w:pPr>
        <w:spacing w:line="360" w:lineRule="auto"/>
        <w:ind w:left="2" w:leftChars="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）技术、服务、商务和合同重要条款响应偏离表；</w:t>
      </w:r>
    </w:p>
    <w:p>
      <w:pPr>
        <w:spacing w:line="360" w:lineRule="auto"/>
        <w:ind w:left="2" w:leftChars="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）供应商应按照</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中售后服务要求做出的积极响应和有利于采购人的承诺；（如适用）</w:t>
      </w:r>
    </w:p>
    <w:p>
      <w:pPr>
        <w:spacing w:line="360" w:lineRule="auto"/>
        <w:ind w:left="2" w:leftChars="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）针对本项目的售后服务及实施方案；（如适用）</w:t>
      </w:r>
    </w:p>
    <w:p>
      <w:pPr>
        <w:spacing w:line="360" w:lineRule="auto"/>
        <w:ind w:left="2" w:leftChars="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）质量保证和售后服务承诺、服务计划及承诺等文件；（如适用）</w:t>
      </w:r>
    </w:p>
    <w:p>
      <w:pPr>
        <w:spacing w:line="360" w:lineRule="auto"/>
        <w:ind w:left="2" w:leftChars="1"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11</w:t>
      </w:r>
      <w:r>
        <w:rPr>
          <w:rFonts w:hint="eastAsia" w:ascii="仿宋" w:hAnsi="仿宋" w:eastAsia="仿宋" w:cs="仿宋"/>
          <w:color w:val="auto"/>
          <w:sz w:val="24"/>
          <w:szCs w:val="24"/>
          <w:highlight w:val="none"/>
        </w:rPr>
        <w:t>）谈判供应商认为需要提供的文件和资料。</w:t>
      </w:r>
    </w:p>
    <w:p>
      <w:pPr>
        <w:spacing w:line="360" w:lineRule="auto"/>
        <w:ind w:left="2" w:leftChars="1"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17.3.4其他部分。</w:t>
      </w:r>
      <w:r>
        <w:rPr>
          <w:rFonts w:hint="eastAsia" w:ascii="仿宋" w:hAnsi="仿宋" w:eastAsia="仿宋" w:cs="仿宋"/>
          <w:color w:val="auto"/>
          <w:sz w:val="24"/>
          <w:szCs w:val="24"/>
          <w:highlight w:val="none"/>
        </w:rPr>
        <w:t>供应商按照</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要求做出的其他应答和承诺。</w:t>
      </w:r>
    </w:p>
    <w:p>
      <w:pPr>
        <w:pStyle w:val="4"/>
        <w:keepNext w:val="0"/>
        <w:keepLines w:val="0"/>
        <w:spacing w:before="0" w:after="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的编制和签署</w:t>
      </w:r>
    </w:p>
    <w:p>
      <w:pPr>
        <w:spacing w:line="360" w:lineRule="auto"/>
        <w:ind w:firstLine="470" w:firstLineChars="19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18.1 </w:t>
      </w:r>
      <w:r>
        <w:rPr>
          <w:rFonts w:hint="eastAsia" w:ascii="仿宋" w:hAnsi="仿宋" w:eastAsia="仿宋" w:cs="仿宋"/>
          <w:b/>
          <w:bCs/>
          <w:color w:val="auto"/>
          <w:sz w:val="24"/>
          <w:szCs w:val="24"/>
          <w:highlight w:val="none"/>
          <w:u w:val="single"/>
        </w:rPr>
        <w:t>资格性</w:t>
      </w:r>
      <w:r>
        <w:rPr>
          <w:rFonts w:hint="eastAsia" w:ascii="仿宋" w:hAnsi="仿宋" w:eastAsia="仿宋" w:cs="仿宋"/>
          <w:b/>
          <w:bCs/>
          <w:color w:val="auto"/>
          <w:sz w:val="24"/>
          <w:szCs w:val="24"/>
          <w:highlight w:val="none"/>
          <w:u w:val="single"/>
          <w:lang w:val="en-US" w:eastAsia="zh-CN"/>
        </w:rPr>
        <w:t>响应</w:t>
      </w:r>
      <w:r>
        <w:rPr>
          <w:rFonts w:hint="eastAsia" w:ascii="仿宋" w:hAnsi="仿宋" w:eastAsia="仿宋" w:cs="仿宋"/>
          <w:b/>
          <w:bCs/>
          <w:color w:val="auto"/>
          <w:sz w:val="24"/>
          <w:szCs w:val="24"/>
          <w:highlight w:val="none"/>
          <w:u w:val="single"/>
          <w:lang w:eastAsia="zh-CN"/>
        </w:rPr>
        <w:t>文件</w:t>
      </w:r>
      <w:r>
        <w:rPr>
          <w:rFonts w:hint="eastAsia" w:ascii="仿宋" w:hAnsi="仿宋" w:eastAsia="仿宋" w:cs="仿宋"/>
          <w:color w:val="auto"/>
          <w:sz w:val="24"/>
          <w:szCs w:val="24"/>
          <w:highlight w:val="none"/>
        </w:rPr>
        <w:t>正本1份，副本2份，并在其封面上清楚地标明资格性</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、采购项目名称、采购项目编号、包件号及名称（若有）、供应商名称以及“正本”或“副本”字样。若正本和副本有不一致的内容，以正本书面</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为准，副本可采用正本复印件。</w:t>
      </w:r>
    </w:p>
    <w:p>
      <w:pPr>
        <w:spacing w:line="360" w:lineRule="auto"/>
        <w:ind w:firstLine="470" w:firstLineChars="19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18.2 </w:t>
      </w:r>
      <w:r>
        <w:rPr>
          <w:rFonts w:hint="eastAsia" w:ascii="仿宋" w:hAnsi="仿宋" w:eastAsia="仿宋" w:cs="仿宋"/>
          <w:b/>
          <w:bCs/>
          <w:color w:val="auto"/>
          <w:sz w:val="24"/>
          <w:szCs w:val="24"/>
          <w:highlight w:val="none"/>
          <w:u w:val="single"/>
        </w:rPr>
        <w:t>其他</w:t>
      </w:r>
      <w:r>
        <w:rPr>
          <w:rFonts w:hint="eastAsia" w:ascii="仿宋" w:hAnsi="仿宋" w:eastAsia="仿宋" w:cs="仿宋"/>
          <w:b/>
          <w:bCs/>
          <w:color w:val="auto"/>
          <w:sz w:val="24"/>
          <w:szCs w:val="24"/>
          <w:highlight w:val="none"/>
          <w:u w:val="single"/>
          <w:lang w:val="en-US" w:eastAsia="zh-CN"/>
        </w:rPr>
        <w:t>响应</w:t>
      </w:r>
      <w:r>
        <w:rPr>
          <w:rFonts w:hint="eastAsia" w:ascii="仿宋" w:hAnsi="仿宋" w:eastAsia="仿宋" w:cs="仿宋"/>
          <w:b/>
          <w:bCs/>
          <w:color w:val="auto"/>
          <w:sz w:val="24"/>
          <w:szCs w:val="24"/>
          <w:highlight w:val="none"/>
          <w:u w:val="single"/>
          <w:lang w:eastAsia="zh-CN"/>
        </w:rPr>
        <w:t>文件</w:t>
      </w:r>
      <w:r>
        <w:rPr>
          <w:rFonts w:hint="eastAsia" w:ascii="仿宋" w:hAnsi="仿宋" w:eastAsia="仿宋" w:cs="仿宋"/>
          <w:color w:val="auto"/>
          <w:sz w:val="24"/>
          <w:szCs w:val="24"/>
          <w:highlight w:val="none"/>
        </w:rPr>
        <w:t>正本1份，副本2份，并在其封面上清楚地标明其他</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、采购项目名称、采购项目编号、包件号及名称（若有）、供应商名称以及“正本”或“副本”字样。若正本和副本有不一致的内容，以正本书面</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为准，副本可采用正本复印件。</w:t>
      </w:r>
    </w:p>
    <w:bookmarkEnd w:id="54"/>
    <w:bookmarkEnd w:id="55"/>
    <w:bookmarkEnd w:id="56"/>
    <w:p>
      <w:pPr>
        <w:tabs>
          <w:tab w:val="left" w:pos="1095"/>
        </w:tabs>
        <w:spacing w:line="360" w:lineRule="auto"/>
        <w:ind w:firstLine="460" w:firstLineChars="19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18.3 </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正本和副本均需打印或用不褪色、不变质的墨水书写，并在规定签章处签字和盖章。</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副本可采用正本的复印件，电子文档采用光盘或U盘制作（若有）。</w:t>
      </w:r>
    </w:p>
    <w:p>
      <w:pPr>
        <w:tabs>
          <w:tab w:val="left" w:pos="1095"/>
        </w:tabs>
        <w:spacing w:line="360" w:lineRule="auto"/>
        <w:ind w:firstLine="460" w:firstLineChars="19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18.4</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的打印和书写应清楚工整，任何行间插字、涂改或增删，必须由供应商的法定代表人或其授权代表签字并盖供应商公章。字迹潦草、表达不清或可能导致非唯一理解的</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可能被作为无效处理。</w:t>
      </w:r>
    </w:p>
    <w:p>
      <w:pPr>
        <w:tabs>
          <w:tab w:val="left" w:pos="1080"/>
        </w:tabs>
        <w:spacing w:line="360" w:lineRule="auto"/>
        <w:ind w:firstLine="460" w:firstLineChars="19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18.5</w:t>
      </w:r>
      <w:r>
        <w:rPr>
          <w:rFonts w:hint="eastAsia" w:ascii="仿宋" w:hAnsi="仿宋" w:eastAsia="仿宋" w:cs="仿宋"/>
          <w:b/>
          <w:bCs/>
          <w:color w:val="auto"/>
          <w:sz w:val="24"/>
          <w:szCs w:val="24"/>
          <w:highlight w:val="none"/>
        </w:rPr>
        <w:t>（实质性要求）</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应由供应商法定代表人/主要负责人/本人或其授权代表在</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要求的地方签字（或加盖私人印章），要求加盖公章的地方加盖单位公章，不得使用专用章（如经济合同章、投标专用章等）或下属单位印章代替。</w:t>
      </w:r>
    </w:p>
    <w:p>
      <w:pPr>
        <w:tabs>
          <w:tab w:val="left" w:pos="1080"/>
        </w:tabs>
        <w:spacing w:line="360" w:lineRule="auto"/>
        <w:ind w:firstLine="460" w:firstLineChars="19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18.6</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正本和副本需要逐页编目编码。</w:t>
      </w:r>
    </w:p>
    <w:p>
      <w:pPr>
        <w:tabs>
          <w:tab w:val="left" w:pos="1080"/>
        </w:tabs>
        <w:spacing w:line="360" w:lineRule="auto"/>
        <w:ind w:firstLine="460" w:firstLineChars="19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18.7</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正本和副本应当采用胶装方式装订成册，不得散装或者合页装订。</w:t>
      </w:r>
    </w:p>
    <w:p>
      <w:pPr>
        <w:tabs>
          <w:tab w:val="left" w:pos="1080"/>
        </w:tabs>
        <w:spacing w:line="360" w:lineRule="auto"/>
        <w:ind w:firstLine="460" w:firstLineChars="19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18.8</w:t>
      </w:r>
      <w:r>
        <w:rPr>
          <w:rFonts w:hint="eastAsia" w:ascii="仿宋" w:hAnsi="仿宋" w:eastAsia="仿宋" w:cs="仿宋"/>
          <w:b/>
          <w:bCs/>
          <w:color w:val="auto"/>
          <w:sz w:val="24"/>
          <w:szCs w:val="24"/>
          <w:highlight w:val="none"/>
        </w:rPr>
        <w:t>（实质性要求）</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应根据</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的要求制作，签署、盖章。（按照《四川省政府采购评审工作规程（修订）》规范）</w:t>
      </w:r>
    </w:p>
    <w:p>
      <w:pPr>
        <w:tabs>
          <w:tab w:val="left" w:pos="1080"/>
        </w:tabs>
        <w:spacing w:line="360" w:lineRule="auto"/>
        <w:ind w:firstLine="460" w:firstLineChars="19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18.9</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统一用A4幅面纸印制，除另有规定外。</w:t>
      </w:r>
    </w:p>
    <w:p>
      <w:pPr>
        <w:pStyle w:val="4"/>
        <w:keepNext w:val="0"/>
        <w:keepLines w:val="0"/>
        <w:spacing w:before="0" w:after="0" w:line="360" w:lineRule="auto"/>
        <w:ind w:firstLine="482" w:firstLineChars="200"/>
        <w:rPr>
          <w:rFonts w:hint="eastAsia" w:ascii="仿宋" w:hAnsi="仿宋" w:eastAsia="仿宋" w:cs="仿宋"/>
          <w:b w:val="0"/>
          <w:bCs w:val="0"/>
          <w:color w:val="auto"/>
          <w:sz w:val="24"/>
          <w:szCs w:val="24"/>
          <w:highlight w:val="none"/>
        </w:rPr>
      </w:pPr>
      <w:bookmarkStart w:id="57" w:name="_Toc183582226"/>
      <w:bookmarkStart w:id="58" w:name="_Toc89075877"/>
      <w:bookmarkStart w:id="59" w:name="_Toc217446053"/>
      <w:bookmarkStart w:id="60" w:name="_Toc183682363"/>
      <w:bookmarkStart w:id="61" w:name="_Toc77400781"/>
      <w:r>
        <w:rPr>
          <w:rFonts w:hint="eastAsia" w:ascii="仿宋" w:hAnsi="仿宋" w:eastAsia="仿宋" w:cs="仿宋"/>
          <w:color w:val="auto"/>
          <w:sz w:val="24"/>
          <w:szCs w:val="24"/>
          <w:highlight w:val="none"/>
        </w:rPr>
        <w:t>19.</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的密封和标注</w:t>
      </w:r>
      <w:r>
        <w:rPr>
          <w:rFonts w:hint="eastAsia" w:ascii="仿宋" w:hAnsi="仿宋" w:eastAsia="仿宋" w:cs="仿宋"/>
          <w:b w:val="0"/>
          <w:bCs w:val="0"/>
          <w:color w:val="auto"/>
          <w:sz w:val="24"/>
          <w:szCs w:val="24"/>
          <w:highlight w:val="none"/>
        </w:rPr>
        <w:t>（不属于本项目谈判小组评审范畴，由采购人、采购代理机构在接收</w:t>
      </w:r>
      <w:r>
        <w:rPr>
          <w:rFonts w:hint="eastAsia" w:ascii="仿宋" w:hAnsi="仿宋" w:eastAsia="仿宋" w:cs="仿宋"/>
          <w:b w:val="0"/>
          <w:bCs w:val="0"/>
          <w:color w:val="auto"/>
          <w:sz w:val="24"/>
          <w:szCs w:val="24"/>
          <w:highlight w:val="none"/>
          <w:lang w:val="en-US" w:eastAsia="zh-CN"/>
        </w:rPr>
        <w:t>响应</w:t>
      </w:r>
      <w:r>
        <w:rPr>
          <w:rFonts w:hint="eastAsia" w:ascii="仿宋" w:hAnsi="仿宋" w:eastAsia="仿宋" w:cs="仿宋"/>
          <w:b w:val="0"/>
          <w:bCs w:val="0"/>
          <w:color w:val="auto"/>
          <w:sz w:val="24"/>
          <w:szCs w:val="24"/>
          <w:highlight w:val="none"/>
          <w:lang w:eastAsia="zh-CN"/>
        </w:rPr>
        <w:t>文件</w:t>
      </w:r>
      <w:r>
        <w:rPr>
          <w:rFonts w:hint="eastAsia" w:ascii="仿宋" w:hAnsi="仿宋" w:eastAsia="仿宋" w:cs="仿宋"/>
          <w:b w:val="0"/>
          <w:bCs w:val="0"/>
          <w:color w:val="auto"/>
          <w:sz w:val="24"/>
          <w:szCs w:val="24"/>
          <w:highlight w:val="none"/>
        </w:rPr>
        <w:t>时及时处理）</w:t>
      </w:r>
    </w:p>
    <w:p>
      <w:pPr>
        <w:tabs>
          <w:tab w:val="left" w:pos="1080"/>
        </w:tabs>
        <w:spacing w:line="360" w:lineRule="auto"/>
        <w:ind w:firstLine="460" w:firstLineChars="19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19.1 </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可以单独密封包装，也可以所有</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密封包装在一个密封袋内。</w:t>
      </w:r>
    </w:p>
    <w:p>
      <w:pPr>
        <w:tabs>
          <w:tab w:val="left" w:pos="1080"/>
        </w:tabs>
        <w:spacing w:line="360" w:lineRule="auto"/>
        <w:ind w:firstLine="460" w:firstLineChars="19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19.2 </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密封袋的最外层应清楚地标明采购项目名称、采购项目编号、包件号及名称（若有）、供应商名称。</w:t>
      </w:r>
    </w:p>
    <w:p>
      <w:pPr>
        <w:tabs>
          <w:tab w:val="left" w:pos="1080"/>
        </w:tabs>
        <w:spacing w:line="360" w:lineRule="auto"/>
        <w:ind w:firstLine="460" w:firstLineChars="19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19.3 所有外层密封袋的封口处应粘贴牢固。</w:t>
      </w:r>
    </w:p>
    <w:p>
      <w:pPr>
        <w:tabs>
          <w:tab w:val="left" w:pos="1080"/>
        </w:tabs>
        <w:spacing w:line="360" w:lineRule="auto"/>
        <w:ind w:firstLine="460" w:firstLineChars="19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19.4 未按以上要求进行密封和标注的</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，采购人、采购代理机构将拒收或者在时间允许的范围内，要求修改完善后接收。</w:t>
      </w:r>
    </w:p>
    <w:p>
      <w:pPr>
        <w:pStyle w:val="4"/>
        <w:keepNext w:val="0"/>
        <w:keepLines w:val="0"/>
        <w:spacing w:before="0" w:after="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的递交</w:t>
      </w:r>
    </w:p>
    <w:p>
      <w:pPr>
        <w:tabs>
          <w:tab w:val="left" w:pos="1080"/>
        </w:tabs>
        <w:spacing w:line="360" w:lineRule="auto"/>
        <w:ind w:firstLine="460" w:firstLineChars="19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20.1 资格性</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和其他</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应于递交</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截止时间前送达指定地点，采购代理机构拒绝接收截止时间后送达的</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w:t>
      </w:r>
    </w:p>
    <w:p>
      <w:pPr>
        <w:tabs>
          <w:tab w:val="left" w:pos="1080"/>
        </w:tabs>
        <w:spacing w:line="360" w:lineRule="auto"/>
        <w:ind w:firstLine="460" w:firstLineChars="19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20.2 采购代理机构将向通过资格审查的供应商发出谈判邀请；告知未通过资格审查的供应商未通过的原因。</w:t>
      </w:r>
    </w:p>
    <w:p>
      <w:pPr>
        <w:tabs>
          <w:tab w:val="left" w:pos="1080"/>
        </w:tabs>
        <w:spacing w:line="360" w:lineRule="auto"/>
        <w:ind w:firstLine="460" w:firstLineChars="19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20.3 报价表在谈判后，谈判小组要求供应商进行最后报价时递交。</w:t>
      </w:r>
    </w:p>
    <w:p>
      <w:pPr>
        <w:tabs>
          <w:tab w:val="left" w:pos="1080"/>
        </w:tabs>
        <w:spacing w:line="360" w:lineRule="auto"/>
        <w:ind w:firstLine="460" w:firstLineChars="19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20.4 本次采购不接收邮寄的</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w:t>
      </w:r>
    </w:p>
    <w:bookmarkEnd w:id="57"/>
    <w:bookmarkEnd w:id="58"/>
    <w:bookmarkEnd w:id="59"/>
    <w:bookmarkEnd w:id="60"/>
    <w:bookmarkEnd w:id="61"/>
    <w:p>
      <w:pPr>
        <w:pStyle w:val="4"/>
        <w:keepNext w:val="0"/>
        <w:keepLines w:val="0"/>
        <w:spacing w:before="0" w:after="0" w:line="360" w:lineRule="auto"/>
        <w:ind w:firstLine="482" w:firstLineChars="200"/>
        <w:rPr>
          <w:rFonts w:hint="eastAsia" w:ascii="仿宋" w:hAnsi="仿宋" w:eastAsia="仿宋" w:cs="仿宋"/>
          <w:b w:val="0"/>
          <w:bCs w:val="0"/>
          <w:color w:val="auto"/>
          <w:sz w:val="24"/>
          <w:szCs w:val="24"/>
          <w:highlight w:val="none"/>
        </w:rPr>
      </w:pPr>
      <w:bookmarkStart w:id="62" w:name="_Toc183682365"/>
      <w:bookmarkStart w:id="63" w:name="_Toc217446055"/>
      <w:bookmarkStart w:id="64" w:name="_Toc183582228"/>
      <w:r>
        <w:rPr>
          <w:rFonts w:hint="eastAsia" w:ascii="仿宋" w:hAnsi="仿宋" w:eastAsia="仿宋" w:cs="仿宋"/>
          <w:color w:val="auto"/>
          <w:sz w:val="24"/>
          <w:szCs w:val="24"/>
          <w:highlight w:val="none"/>
        </w:rPr>
        <w:t>21.</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的修改和撤回</w:t>
      </w:r>
      <w:r>
        <w:rPr>
          <w:rFonts w:hint="eastAsia" w:ascii="仿宋" w:hAnsi="仿宋" w:eastAsia="仿宋" w:cs="仿宋"/>
          <w:b w:val="0"/>
          <w:bCs w:val="0"/>
          <w:color w:val="auto"/>
          <w:sz w:val="24"/>
          <w:szCs w:val="24"/>
          <w:highlight w:val="none"/>
        </w:rPr>
        <w:t>（补充、修改</w:t>
      </w:r>
      <w:r>
        <w:rPr>
          <w:rFonts w:hint="eastAsia" w:ascii="仿宋" w:hAnsi="仿宋" w:eastAsia="仿宋" w:cs="仿宋"/>
          <w:b w:val="0"/>
          <w:bCs w:val="0"/>
          <w:color w:val="auto"/>
          <w:sz w:val="24"/>
          <w:szCs w:val="24"/>
          <w:highlight w:val="none"/>
          <w:lang w:val="en-US" w:eastAsia="zh-CN"/>
        </w:rPr>
        <w:t>响应</w:t>
      </w:r>
      <w:r>
        <w:rPr>
          <w:rFonts w:hint="eastAsia" w:ascii="仿宋" w:hAnsi="仿宋" w:eastAsia="仿宋" w:cs="仿宋"/>
          <w:b w:val="0"/>
          <w:bCs w:val="0"/>
          <w:color w:val="auto"/>
          <w:sz w:val="24"/>
          <w:szCs w:val="24"/>
          <w:highlight w:val="none"/>
          <w:lang w:eastAsia="zh-CN"/>
        </w:rPr>
        <w:t>文件</w:t>
      </w:r>
      <w:r>
        <w:rPr>
          <w:rFonts w:hint="eastAsia" w:ascii="仿宋" w:hAnsi="仿宋" w:eastAsia="仿宋" w:cs="仿宋"/>
          <w:b w:val="0"/>
          <w:bCs w:val="0"/>
          <w:color w:val="auto"/>
          <w:sz w:val="24"/>
          <w:szCs w:val="24"/>
          <w:highlight w:val="none"/>
        </w:rPr>
        <w:t>的密封和标注按照本章“19.</w:t>
      </w:r>
      <w:r>
        <w:rPr>
          <w:rFonts w:hint="eastAsia" w:ascii="仿宋" w:hAnsi="仿宋" w:eastAsia="仿宋" w:cs="仿宋"/>
          <w:b w:val="0"/>
          <w:bCs w:val="0"/>
          <w:color w:val="auto"/>
          <w:sz w:val="24"/>
          <w:szCs w:val="24"/>
          <w:highlight w:val="none"/>
          <w:lang w:val="en-US" w:eastAsia="zh-CN"/>
        </w:rPr>
        <w:t>响应</w:t>
      </w:r>
      <w:r>
        <w:rPr>
          <w:rFonts w:hint="eastAsia" w:ascii="仿宋" w:hAnsi="仿宋" w:eastAsia="仿宋" w:cs="仿宋"/>
          <w:b w:val="0"/>
          <w:bCs w:val="0"/>
          <w:color w:val="auto"/>
          <w:sz w:val="24"/>
          <w:szCs w:val="24"/>
          <w:highlight w:val="none"/>
          <w:lang w:eastAsia="zh-CN"/>
        </w:rPr>
        <w:t>文件</w:t>
      </w:r>
      <w:r>
        <w:rPr>
          <w:rFonts w:hint="eastAsia" w:ascii="仿宋" w:hAnsi="仿宋" w:eastAsia="仿宋" w:cs="仿宋"/>
          <w:b w:val="0"/>
          <w:bCs w:val="0"/>
          <w:color w:val="auto"/>
          <w:sz w:val="24"/>
          <w:szCs w:val="24"/>
          <w:highlight w:val="none"/>
        </w:rPr>
        <w:t>的密封和标注”规定处理）</w:t>
      </w:r>
    </w:p>
    <w:p>
      <w:pPr>
        <w:pStyle w:val="6"/>
        <w:spacing w:line="360" w:lineRule="auto"/>
        <w:ind w:firstLine="480"/>
        <w:rPr>
          <w:rFonts w:hint="eastAsia" w:ascii="仿宋" w:hAnsi="仿宋" w:eastAsia="仿宋" w:cs="仿宋"/>
          <w:color w:val="auto"/>
          <w:highlight w:val="none"/>
        </w:rPr>
      </w:pPr>
      <w:r>
        <w:rPr>
          <w:rFonts w:hint="eastAsia" w:ascii="仿宋" w:hAnsi="仿宋" w:eastAsia="仿宋" w:cs="仿宋"/>
          <w:color w:val="auto"/>
          <w:highlight w:val="none"/>
        </w:rPr>
        <w:t>21.1供应商在提交</w:t>
      </w:r>
      <w:r>
        <w:rPr>
          <w:rFonts w:hint="eastAsia" w:ascii="仿宋" w:hAnsi="仿宋" w:eastAsia="仿宋" w:cs="仿宋"/>
          <w:color w:val="auto"/>
          <w:highlight w:val="none"/>
          <w:lang w:val="en-US" w:eastAsia="zh-CN"/>
        </w:rPr>
        <w:t>响应</w:t>
      </w:r>
      <w:r>
        <w:rPr>
          <w:rFonts w:hint="eastAsia" w:ascii="仿宋" w:hAnsi="仿宋" w:eastAsia="仿宋" w:cs="仿宋"/>
          <w:color w:val="auto"/>
          <w:highlight w:val="none"/>
          <w:lang w:eastAsia="zh-CN"/>
        </w:rPr>
        <w:t>文件</w:t>
      </w:r>
      <w:r>
        <w:rPr>
          <w:rFonts w:hint="eastAsia" w:ascii="仿宋" w:hAnsi="仿宋" w:eastAsia="仿宋" w:cs="仿宋"/>
          <w:color w:val="auto"/>
          <w:highlight w:val="none"/>
        </w:rPr>
        <w:t>后可对其</w:t>
      </w:r>
      <w:r>
        <w:rPr>
          <w:rFonts w:hint="eastAsia" w:ascii="仿宋" w:hAnsi="仿宋" w:eastAsia="仿宋" w:cs="仿宋"/>
          <w:color w:val="auto"/>
          <w:highlight w:val="none"/>
          <w:lang w:val="en-US" w:eastAsia="zh-CN"/>
        </w:rPr>
        <w:t>响应</w:t>
      </w:r>
      <w:r>
        <w:rPr>
          <w:rFonts w:hint="eastAsia" w:ascii="仿宋" w:hAnsi="仿宋" w:eastAsia="仿宋" w:cs="仿宋"/>
          <w:color w:val="auto"/>
          <w:highlight w:val="none"/>
          <w:lang w:eastAsia="zh-CN"/>
        </w:rPr>
        <w:t>文件</w:t>
      </w:r>
      <w:r>
        <w:rPr>
          <w:rFonts w:hint="eastAsia" w:ascii="仿宋" w:hAnsi="仿宋" w:eastAsia="仿宋" w:cs="仿宋"/>
          <w:color w:val="auto"/>
          <w:highlight w:val="none"/>
        </w:rPr>
        <w:t>进行修改或撤回，但该修改或撤回的书面通知须在递交截止时间之前送达采购代理机构，补充、修改的内容作为</w:t>
      </w:r>
      <w:r>
        <w:rPr>
          <w:rFonts w:hint="eastAsia" w:ascii="仿宋" w:hAnsi="仿宋" w:eastAsia="仿宋" w:cs="仿宋"/>
          <w:color w:val="auto"/>
          <w:highlight w:val="none"/>
          <w:lang w:val="en-US" w:eastAsia="zh-CN"/>
        </w:rPr>
        <w:t>响应</w:t>
      </w:r>
      <w:r>
        <w:rPr>
          <w:rFonts w:hint="eastAsia" w:ascii="仿宋" w:hAnsi="仿宋" w:eastAsia="仿宋" w:cs="仿宋"/>
          <w:color w:val="auto"/>
          <w:highlight w:val="none"/>
          <w:lang w:eastAsia="zh-CN"/>
        </w:rPr>
        <w:t>文件</w:t>
      </w:r>
      <w:r>
        <w:rPr>
          <w:rFonts w:hint="eastAsia" w:ascii="仿宋" w:hAnsi="仿宋" w:eastAsia="仿宋" w:cs="仿宋"/>
          <w:color w:val="auto"/>
          <w:highlight w:val="none"/>
        </w:rPr>
        <w:t>的组成部分。且该通知需经正式授权的供应商代表签字方为有效。供应商在提交</w:t>
      </w:r>
      <w:r>
        <w:rPr>
          <w:rFonts w:hint="eastAsia" w:ascii="仿宋" w:hAnsi="仿宋" w:eastAsia="仿宋" w:cs="仿宋"/>
          <w:color w:val="auto"/>
          <w:highlight w:val="none"/>
          <w:lang w:val="en-US" w:eastAsia="zh-CN"/>
        </w:rPr>
        <w:t>响应</w:t>
      </w:r>
      <w:r>
        <w:rPr>
          <w:rFonts w:hint="eastAsia" w:ascii="仿宋" w:hAnsi="仿宋" w:eastAsia="仿宋" w:cs="仿宋"/>
          <w:color w:val="auto"/>
          <w:highlight w:val="none"/>
          <w:lang w:eastAsia="zh-CN"/>
        </w:rPr>
        <w:t>文件</w:t>
      </w:r>
      <w:r>
        <w:rPr>
          <w:rFonts w:hint="eastAsia" w:ascii="仿宋" w:hAnsi="仿宋" w:eastAsia="仿宋" w:cs="仿宋"/>
          <w:color w:val="auto"/>
          <w:highlight w:val="none"/>
        </w:rPr>
        <w:t>截止时间前，可以对所提交的</w:t>
      </w:r>
      <w:r>
        <w:rPr>
          <w:rFonts w:hint="eastAsia" w:ascii="仿宋" w:hAnsi="仿宋" w:eastAsia="仿宋" w:cs="仿宋"/>
          <w:color w:val="auto"/>
          <w:highlight w:val="none"/>
          <w:lang w:val="en-US" w:eastAsia="zh-CN"/>
        </w:rPr>
        <w:t>响应</w:t>
      </w:r>
      <w:r>
        <w:rPr>
          <w:rFonts w:hint="eastAsia" w:ascii="仿宋" w:hAnsi="仿宋" w:eastAsia="仿宋" w:cs="仿宋"/>
          <w:color w:val="auto"/>
          <w:highlight w:val="none"/>
          <w:lang w:eastAsia="zh-CN"/>
        </w:rPr>
        <w:t>文件</w:t>
      </w:r>
      <w:r>
        <w:rPr>
          <w:rFonts w:hint="eastAsia" w:ascii="仿宋" w:hAnsi="仿宋" w:eastAsia="仿宋" w:cs="仿宋"/>
          <w:color w:val="auto"/>
          <w:highlight w:val="none"/>
        </w:rPr>
        <w:t>进行补充、修改或者撤回，补充、修改的内容与</w:t>
      </w:r>
      <w:r>
        <w:rPr>
          <w:rFonts w:hint="eastAsia" w:ascii="仿宋" w:hAnsi="仿宋" w:eastAsia="仿宋" w:cs="仿宋"/>
          <w:color w:val="auto"/>
          <w:highlight w:val="none"/>
          <w:lang w:eastAsia="zh-CN"/>
        </w:rPr>
        <w:t>谈判文件</w:t>
      </w:r>
      <w:r>
        <w:rPr>
          <w:rFonts w:hint="eastAsia" w:ascii="仿宋" w:hAnsi="仿宋" w:eastAsia="仿宋" w:cs="仿宋"/>
          <w:color w:val="auto"/>
          <w:highlight w:val="none"/>
        </w:rPr>
        <w:t>不一致的，以补充、修改的内容为准。</w:t>
      </w:r>
    </w:p>
    <w:p>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21.2供应商对</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修改的书面材料或撤回的通知应该按规定进行编写、密封、标注和递送，并注明“修改</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”字样。</w:t>
      </w:r>
    </w:p>
    <w:p>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21.3 供应商不得在递交截止时间起至</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有效期期满前撤回其</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。否则其谈判保证金将按“第二部分供应商采购须知7”的相关规定被没收。</w:t>
      </w:r>
    </w:p>
    <w:p>
      <w:pPr>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21.4 </w:t>
      </w:r>
      <w:r>
        <w:rPr>
          <w:rFonts w:hint="eastAsia" w:ascii="仿宋" w:hAnsi="仿宋" w:eastAsia="仿宋" w:cs="仿宋"/>
          <w:color w:val="auto"/>
          <w:sz w:val="24"/>
          <w:szCs w:val="24"/>
          <w:highlight w:val="none"/>
          <w:lang w:val="en-US" w:eastAsia="zh-CN"/>
        </w:rPr>
        <w:t>响应</w:t>
      </w:r>
      <w:r>
        <w:rPr>
          <w:rFonts w:hint="eastAsia" w:ascii="仿宋" w:hAnsi="仿宋" w:eastAsia="仿宋" w:cs="仿宋"/>
          <w:color w:val="auto"/>
          <w:sz w:val="24"/>
          <w:szCs w:val="24"/>
          <w:highlight w:val="none"/>
          <w:lang w:eastAsia="zh-CN"/>
        </w:rPr>
        <w:t>文件</w:t>
      </w:r>
      <w:r>
        <w:rPr>
          <w:rFonts w:hint="eastAsia" w:ascii="仿宋" w:hAnsi="仿宋" w:eastAsia="仿宋" w:cs="仿宋"/>
          <w:color w:val="auto"/>
          <w:sz w:val="24"/>
          <w:szCs w:val="24"/>
          <w:highlight w:val="none"/>
        </w:rPr>
        <w:t>中报价如果出现下列不一致的，可按以下原则进行修改：</w:t>
      </w:r>
    </w:p>
    <w:p>
      <w:pPr>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w:t>
      </w:r>
      <w:r>
        <w:rPr>
          <w:rFonts w:hint="eastAsia" w:ascii="仿宋" w:hAnsi="仿宋" w:eastAsia="仿宋" w:cs="仿宋"/>
          <w:color w:val="auto"/>
          <w:kern w:val="0"/>
          <w:sz w:val="24"/>
          <w:szCs w:val="24"/>
          <w:highlight w:val="none"/>
        </w:rPr>
        <w:t>大写金额和小写金额不一致的，以大写金额为准</w:t>
      </w:r>
      <w:r>
        <w:rPr>
          <w:rFonts w:hint="eastAsia" w:ascii="仿宋" w:hAnsi="仿宋" w:eastAsia="仿宋" w:cs="仿宋"/>
          <w:color w:val="auto"/>
          <w:sz w:val="24"/>
          <w:szCs w:val="24"/>
          <w:highlight w:val="none"/>
        </w:rPr>
        <w:t>，但大写金额文字存在错误的，应当先对大写金额的文字错误进行澄清、说明或者更正，再行修正。</w:t>
      </w:r>
    </w:p>
    <w:p>
      <w:pPr>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w:t>
      </w:r>
      <w:r>
        <w:rPr>
          <w:rFonts w:hint="eastAsia" w:ascii="仿宋" w:hAnsi="仿宋" w:eastAsia="仿宋" w:cs="仿宋"/>
          <w:color w:val="auto"/>
          <w:kern w:val="0"/>
          <w:sz w:val="24"/>
          <w:szCs w:val="24"/>
          <w:highlight w:val="none"/>
        </w:rPr>
        <w:t>总价金额与按单价汇总金额不一致的，以单价金额计算结果为准，</w:t>
      </w:r>
      <w:r>
        <w:rPr>
          <w:rFonts w:hint="eastAsia" w:ascii="仿宋" w:hAnsi="仿宋" w:eastAsia="仿宋" w:cs="仿宋"/>
          <w:color w:val="auto"/>
          <w:sz w:val="24"/>
          <w:szCs w:val="24"/>
          <w:highlight w:val="none"/>
        </w:rPr>
        <w:t>但</w:t>
      </w:r>
      <w:r>
        <w:rPr>
          <w:rFonts w:hint="eastAsia" w:ascii="仿宋" w:hAnsi="仿宋" w:eastAsia="仿宋" w:cs="仿宋"/>
          <w:color w:val="auto"/>
          <w:kern w:val="0"/>
          <w:sz w:val="24"/>
          <w:szCs w:val="24"/>
          <w:highlight w:val="none"/>
        </w:rPr>
        <w:t>单价或者单价汇总金额存在数字或者</w:t>
      </w:r>
      <w:r>
        <w:rPr>
          <w:rFonts w:hint="eastAsia" w:ascii="仿宋" w:hAnsi="仿宋" w:eastAsia="仿宋" w:cs="仿宋"/>
          <w:color w:val="auto"/>
          <w:sz w:val="24"/>
          <w:szCs w:val="24"/>
          <w:highlight w:val="none"/>
        </w:rPr>
        <w:t>文字错误的，应当先对</w:t>
      </w:r>
      <w:r>
        <w:rPr>
          <w:rFonts w:hint="eastAsia" w:ascii="仿宋" w:hAnsi="仿宋" w:eastAsia="仿宋" w:cs="仿宋"/>
          <w:color w:val="auto"/>
          <w:kern w:val="0"/>
          <w:sz w:val="24"/>
          <w:szCs w:val="24"/>
          <w:highlight w:val="none"/>
        </w:rPr>
        <w:t>数字或者</w:t>
      </w:r>
      <w:r>
        <w:rPr>
          <w:rFonts w:hint="eastAsia" w:ascii="仿宋" w:hAnsi="仿宋" w:eastAsia="仿宋" w:cs="仿宋"/>
          <w:color w:val="auto"/>
          <w:sz w:val="24"/>
          <w:szCs w:val="24"/>
          <w:highlight w:val="none"/>
        </w:rPr>
        <w:t>文字错误进行澄清、说明或者更正，再行修正。</w:t>
      </w:r>
    </w:p>
    <w:p>
      <w:pPr>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（三）单价金额小数点</w:t>
      </w:r>
      <w:r>
        <w:rPr>
          <w:rFonts w:hint="eastAsia" w:ascii="仿宋" w:hAnsi="仿宋" w:eastAsia="仿宋" w:cs="仿宋"/>
          <w:color w:val="auto"/>
          <w:kern w:val="0"/>
          <w:sz w:val="24"/>
          <w:szCs w:val="24"/>
          <w:highlight w:val="none"/>
        </w:rPr>
        <w:t>或者百分比有明显错位的</w:t>
      </w:r>
      <w:r>
        <w:rPr>
          <w:rFonts w:hint="eastAsia" w:ascii="仿宋" w:hAnsi="仿宋" w:eastAsia="仿宋" w:cs="仿宋"/>
          <w:color w:val="auto"/>
          <w:sz w:val="24"/>
          <w:szCs w:val="24"/>
          <w:highlight w:val="none"/>
        </w:rPr>
        <w:t>，以总价为准，修正单价。</w:t>
      </w:r>
    </w:p>
    <w:p>
      <w:pPr>
        <w:spacing w:line="360" w:lineRule="auto"/>
        <w:ind w:firstLine="480" w:firstLineChars="200"/>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同时出现两种以上不一致的，按照上述规定的顺序修正。修正后的报价经供应商确认后产生约束力，供应商不确认的，其</w:t>
      </w:r>
      <w:r>
        <w:rPr>
          <w:rFonts w:hint="eastAsia" w:ascii="仿宋" w:hAnsi="仿宋" w:eastAsia="仿宋" w:cs="仿宋"/>
          <w:color w:val="auto"/>
          <w:kern w:val="0"/>
          <w:sz w:val="24"/>
          <w:szCs w:val="24"/>
          <w:highlight w:val="none"/>
          <w:lang w:eastAsia="zh-CN"/>
        </w:rPr>
        <w:t>谈判文件</w:t>
      </w:r>
      <w:r>
        <w:rPr>
          <w:rFonts w:hint="eastAsia" w:ascii="仿宋" w:hAnsi="仿宋" w:eastAsia="仿宋" w:cs="仿宋"/>
          <w:color w:val="auto"/>
          <w:kern w:val="0"/>
          <w:sz w:val="24"/>
          <w:szCs w:val="24"/>
          <w:highlight w:val="none"/>
        </w:rPr>
        <w:t>作为无效处理。供应商确认采取书面且加盖单位公章或者供应商授权代表签字的方式。</w:t>
      </w:r>
    </w:p>
    <w:p>
      <w:pPr>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21.5 供应商对其提交的</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的真实性、合法性承担法律责任。</w:t>
      </w:r>
      <w:bookmarkEnd w:id="62"/>
      <w:bookmarkEnd w:id="63"/>
      <w:bookmarkEnd w:id="64"/>
    </w:p>
    <w:p>
      <w:pPr>
        <w:pStyle w:val="2"/>
        <w:keepNext w:val="0"/>
        <w:keepLines w:val="0"/>
        <w:spacing w:before="0" w:after="0"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五、评审</w:t>
      </w:r>
    </w:p>
    <w:p>
      <w:pPr>
        <w:pStyle w:val="4"/>
        <w:keepNext w:val="0"/>
        <w:keepLines w:val="0"/>
        <w:spacing w:before="0" w:after="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 谈判小组的组建及评审工作按照有关法律制度和</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的规定进行。</w:t>
      </w:r>
    </w:p>
    <w:p>
      <w:pPr>
        <w:pStyle w:val="2"/>
        <w:keepNext w:val="0"/>
        <w:keepLines w:val="0"/>
        <w:spacing w:before="0" w:after="0"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六、成交事项</w:t>
      </w:r>
    </w:p>
    <w:p>
      <w:pPr>
        <w:pStyle w:val="4"/>
        <w:keepNext w:val="0"/>
        <w:keepLines w:val="0"/>
        <w:spacing w:before="0" w:after="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23.确定成交供应商</w:t>
      </w:r>
    </w:p>
    <w:p>
      <w:pPr>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采购人将按谈判小组推荐的成交候选供应商顺序确定成交供应商。</w:t>
      </w:r>
    </w:p>
    <w:p>
      <w:pPr>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23.1采购代理机构自评审结束后2个工作日内将谈判报告及有关资料送交采购人确定成交供应商。</w:t>
      </w:r>
    </w:p>
    <w:p>
      <w:pPr>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23.2采购人收到谈判报告及有关资料后，将在5个工作日内按照谈判报告中推荐的成交候选供应商顺序确定成交供应商。成交候选供应商并列的，采购人自主采取公平、择优的方式选择成交供应商。采购人逾期未确定成交供应商且不提出异议的，视为确定谈判报告提出的排序第一的供应商为成交供应商。</w:t>
      </w:r>
    </w:p>
    <w:p>
      <w:pPr>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23.3采购人确定成交供应商过程中，发现成交候选供应商有下列情形之一的，应当不予确定其为成交供应商：</w:t>
      </w:r>
    </w:p>
    <w:p>
      <w:pPr>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（1）发现成交候选供应商存在禁止参加本项目采购活动的违法行为的；</w:t>
      </w:r>
    </w:p>
    <w:p>
      <w:pPr>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（2）成交候选供应商因不可抗力，不能继续参加政府采购活动。</w:t>
      </w:r>
    </w:p>
    <w:p>
      <w:pPr>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（3）成交候选供应商无偿赠与或者低于成本价竞争；</w:t>
      </w:r>
    </w:p>
    <w:p>
      <w:pPr>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（4）成交候选供应商提供虚假材料；</w:t>
      </w:r>
    </w:p>
    <w:p>
      <w:pPr>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（5）成交候选供应商恶意串通。</w:t>
      </w:r>
    </w:p>
    <w:p>
      <w:pPr>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成交候选供应商有本条情形之一的，采购人可以确定后一位成交候选供应商为成交供应商，依次类推。无法确定成交供应商的，应当重新组织采购。</w:t>
      </w:r>
    </w:p>
    <w:p>
      <w:pPr>
        <w:pStyle w:val="4"/>
        <w:keepNext w:val="0"/>
        <w:keepLines w:val="0"/>
        <w:spacing w:before="0" w:after="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24.行贿犯罪档案查询</w:t>
      </w:r>
    </w:p>
    <w:p>
      <w:pPr>
        <w:spacing w:line="360" w:lineRule="auto"/>
        <w:ind w:firstLine="480"/>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24.1采购人确定成交供应商期间，成交候选供应商单位及其现任法定代表人、主要负责人存在行贿犯罪记录的，成交后未签订政府采购合同的，将认定成交无效；成交后签订政府采购合同未履行的，将认定成交无效，同时撤销政府采购合同；成交后签订政府采购合同且已经履行的，将认定采购活动违法，由相关当事人承担赔偿责任（如有新政策则按新政策执行）。</w:t>
      </w:r>
    </w:p>
    <w:p>
      <w:pPr>
        <w:pStyle w:val="4"/>
        <w:keepNext w:val="0"/>
        <w:keepLines w:val="0"/>
        <w:spacing w:before="0" w:after="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25.成交结果</w:t>
      </w:r>
    </w:p>
    <w:p>
      <w:pPr>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25.1采购人确定成交供应商后，将及时书面通知采购代理机构，发出成交通知书并发布成交结果公告。</w:t>
      </w:r>
    </w:p>
    <w:p>
      <w:pPr>
        <w:spacing w:line="360" w:lineRule="auto"/>
        <w:ind w:firstLine="480"/>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25.2成交供应商应当及时领取成交通知书。本项目需要交纳履约保证金的，成交供应商应当及时向采购人交纳。</w:t>
      </w:r>
    </w:p>
    <w:p>
      <w:pPr>
        <w:pStyle w:val="4"/>
        <w:keepNext w:val="0"/>
        <w:keepLines w:val="0"/>
        <w:spacing w:before="0" w:after="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26.成交通知书</w:t>
      </w:r>
    </w:p>
    <w:p>
      <w:pPr>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26.1成交通知书为签订政府采购合同的依据之一，是合同的有效组成部分。</w:t>
      </w:r>
    </w:p>
    <w:p>
      <w:pPr>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26.2成交通知书对采购人和成交供应商均具有法律效力。成交通知书发出后，采购人无正当理由改变成交结果，或者成交供应商无正当理由放弃成交的，将承担相应的法律责任。</w:t>
      </w:r>
    </w:p>
    <w:p>
      <w:pPr>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26.3成交供应商的</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作为无效</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处理或者有政府采购法律法规规章制度规定的成交无效情形的，采购人或采购代理机构在取得有权主体的认定以后，有权宣布发出的成交通知书无效，并收回发出的成交通知书，依法重新确定成交供应商或者重新开展采购活动。</w:t>
      </w:r>
    </w:p>
    <w:p>
      <w:pPr>
        <w:pStyle w:val="2"/>
        <w:keepNext w:val="0"/>
        <w:keepLines w:val="0"/>
        <w:spacing w:before="0" w:after="0"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七、合同事项</w:t>
      </w:r>
    </w:p>
    <w:p>
      <w:pPr>
        <w:pStyle w:val="4"/>
        <w:keepNext w:val="0"/>
        <w:keepLines w:val="0"/>
        <w:spacing w:before="0" w:after="0" w:line="360" w:lineRule="auto"/>
        <w:ind w:firstLine="482" w:firstLineChars="200"/>
        <w:rPr>
          <w:rFonts w:hint="eastAsia" w:ascii="仿宋" w:hAnsi="仿宋" w:eastAsia="仿宋" w:cs="仿宋"/>
          <w:color w:val="auto"/>
          <w:sz w:val="24"/>
          <w:szCs w:val="24"/>
          <w:highlight w:val="none"/>
        </w:rPr>
      </w:pPr>
      <w:bookmarkStart w:id="65" w:name="_Toc430773927"/>
      <w:bookmarkStart w:id="66" w:name="_Toc101250646"/>
      <w:bookmarkStart w:id="67" w:name="_Toc101174151"/>
      <w:bookmarkStart w:id="68" w:name="_Toc101338364"/>
      <w:bookmarkStart w:id="69" w:name="_Toc209847069"/>
      <w:r>
        <w:rPr>
          <w:rFonts w:hint="eastAsia" w:ascii="仿宋" w:hAnsi="仿宋" w:eastAsia="仿宋" w:cs="仿宋"/>
          <w:color w:val="auto"/>
          <w:sz w:val="24"/>
          <w:szCs w:val="24"/>
          <w:highlight w:val="none"/>
        </w:rPr>
        <w:t>27.签订合同</w:t>
      </w:r>
      <w:bookmarkEnd w:id="65"/>
      <w:bookmarkEnd w:id="66"/>
      <w:bookmarkEnd w:id="67"/>
      <w:bookmarkEnd w:id="68"/>
      <w:bookmarkEnd w:id="69"/>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27.1 成交供应商应在成交通知书发出之日起三十日内与采购人签订采购合同。由于成交供应商的原因逾期未与采购人签订采购合同的，</w:t>
      </w:r>
      <w:r>
        <w:rPr>
          <w:rFonts w:hint="eastAsia" w:ascii="仿宋" w:hAnsi="仿宋" w:eastAsia="仿宋" w:cs="仿宋"/>
          <w:b/>
          <w:bCs/>
          <w:color w:val="auto"/>
          <w:sz w:val="24"/>
          <w:szCs w:val="24"/>
          <w:highlight w:val="none"/>
          <w:u w:val="single"/>
        </w:rPr>
        <w:t>将视为放弃成交，取消其成交资格并将按相关规定进行处理</w:t>
      </w:r>
      <w:r>
        <w:rPr>
          <w:rFonts w:hint="eastAsia" w:ascii="仿宋" w:hAnsi="仿宋" w:eastAsia="仿宋" w:cs="仿宋"/>
          <w:color w:val="auto"/>
          <w:sz w:val="24"/>
          <w:szCs w:val="24"/>
          <w:highlight w:val="none"/>
        </w:rPr>
        <w:t>。</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27.2 </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、成交供应商的</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及双方确认的澄清文件等，均为有法律约束力的经济合同的组成部分。</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27.3 采购人不得向成交供应商提出任何不合理的要求，作为签订合同的条件，不得与成交供应商私下订立背离合同实质性内容的任何协议，所签订的合同不得对</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和成交供应商</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确定的事项进行修改。</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27.4 成交供应商因不可抗力原因不能履行采购合同或放弃成交的，采购人可以与排在成交供应商之后第一位的成交候选人签订采购合同，以此类推。</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27.5 竞争性</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、成交供应商提交的</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、谈判中的最后报价、成交供应商承诺书、成交通知书等均称为有法律约束力的合同组成内容。</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27.6成交供应商在合同签订之后三个工作日内，将签订的合同原件或扫描件（一份）尽快送采购代理机构财务科室，以便尽快退还保证金。签订的合同编号按照本项目成交通知书上的编号执行。</w:t>
      </w:r>
    </w:p>
    <w:p>
      <w:pPr>
        <w:pStyle w:val="4"/>
        <w:keepNext w:val="0"/>
        <w:keepLines w:val="0"/>
        <w:spacing w:before="0" w:after="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28.合同分包（实质性要求）</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28.1 经采购人同意，成交供应商可以依法采取分包方式履行合同，但必须在</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中事前载明。这种要求应当在合同签订之前征得采购人同意，并且分包供应商履行的分包项目的品牌、规格型号及技术要求等，必须与成交的一致。</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分包履行合同的部分应当为采购项目的非主体、非关键性工作，不属于成交供应商的主要合同义务。</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28.2 采购合同实行分包履行的，成交供应商就采购项目和分包项目向采购人负责，分包供应商就分包项目承担责任。</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28.3 中小企业依据《政府采购促进中小企业发展管理办法》（财库〔2020〕46号）规定的政策获取政府采购合同后，小型、微型企业不得分包或转包给大型、中型企业，中型企业不得分包或转包给大型企业。</w:t>
      </w:r>
    </w:p>
    <w:p>
      <w:pPr>
        <w:pStyle w:val="4"/>
        <w:keepNext w:val="0"/>
        <w:keepLines w:val="0"/>
        <w:spacing w:before="0" w:after="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29.合同转包（实质性要求）</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成交供应商转包的，视同拒绝履行政府采购合同义务，将依法追究法律责任。</w:t>
      </w:r>
    </w:p>
    <w:p>
      <w:pPr>
        <w:pStyle w:val="4"/>
        <w:keepNext w:val="0"/>
        <w:keepLines w:val="0"/>
        <w:spacing w:before="0" w:after="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30.补充合同</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4"/>
        <w:keepNext w:val="0"/>
        <w:keepLines w:val="0"/>
        <w:spacing w:before="0" w:after="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31.履约保证金（实质性要求）</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31.1 成交供应商应在合同签订之前交纳采购文件规定数额的履约保证金。</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31.2 如果成交供应商在规定的合同签订时间内，没有按照采购文件的规定交纳履约保证金，且又无正当理由的，将视为放弃成交。</w:t>
      </w:r>
    </w:p>
    <w:p>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32.履行合同</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32.1 成交供应商与采购人签订合同后，合同双方应严格执行合同条款，履行合同规定的义务，保证合同的顺利完成。</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32.2 在合同履行过程中，如发生合同纠纷，合同双方应按照《民法典》的有关规定进行处理。</w:t>
      </w:r>
    </w:p>
    <w:p>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33.验收</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33.1本项目采购人及其委托的采购代理机构可参照政府采购相关法律法规以及《财政部关于进一步加强政府采购需求和履约验收管理的指导意见》(财库〔2016〕205号)的要求进行验收。</w:t>
      </w:r>
    </w:p>
    <w:p>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34.资金支付</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采购人将按照政府采购合同规定，及时向成交供应商支付采购资金。</w:t>
      </w:r>
    </w:p>
    <w:p>
      <w:pPr>
        <w:pStyle w:val="2"/>
        <w:keepNext w:val="0"/>
        <w:keepLines w:val="0"/>
        <w:spacing w:before="0" w:after="0"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八、谈判纪律要求</w:t>
      </w:r>
    </w:p>
    <w:p>
      <w:pPr>
        <w:tabs>
          <w:tab w:val="left" w:pos="851"/>
        </w:tabs>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35.供应商不得具有的情形</w:t>
      </w:r>
    </w:p>
    <w:p>
      <w:pPr>
        <w:tabs>
          <w:tab w:val="left" w:pos="851"/>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供应商参加本项目谈判不得有下列情形：</w:t>
      </w:r>
    </w:p>
    <w:p>
      <w:pPr>
        <w:tabs>
          <w:tab w:val="left" w:pos="851"/>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（1）提供虚假材料谋取成交；</w:t>
      </w:r>
    </w:p>
    <w:p>
      <w:pPr>
        <w:tabs>
          <w:tab w:val="left" w:pos="851"/>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（2）采取不正当手段诋毁、排挤其他供应商；</w:t>
      </w:r>
    </w:p>
    <w:p>
      <w:pPr>
        <w:tabs>
          <w:tab w:val="left" w:pos="851"/>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（3）与采购人、采购代理机构、或其他供应商恶意串通；</w:t>
      </w:r>
    </w:p>
    <w:p>
      <w:pPr>
        <w:tabs>
          <w:tab w:val="left" w:pos="851"/>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（4）向采购人、采购代理机构、谈判小组成员行贿或者提供其他不正当利益；</w:t>
      </w:r>
    </w:p>
    <w:p>
      <w:pPr>
        <w:tabs>
          <w:tab w:val="left" w:pos="851"/>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（5）在谈判过程中与采购人、采购代理机构进行协商；</w:t>
      </w:r>
    </w:p>
    <w:p>
      <w:pPr>
        <w:tabs>
          <w:tab w:val="left" w:pos="851"/>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（6）成交后无正当理由拒不与采购人签订政府采购合同；</w:t>
      </w:r>
    </w:p>
    <w:p>
      <w:pPr>
        <w:tabs>
          <w:tab w:val="left" w:pos="851"/>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（7）未按照</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确定的事项签订政府采购合同；</w:t>
      </w:r>
    </w:p>
    <w:p>
      <w:pPr>
        <w:tabs>
          <w:tab w:val="left" w:pos="851"/>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（8）将政府采购合同转包或者违规分包；</w:t>
      </w:r>
    </w:p>
    <w:p>
      <w:pPr>
        <w:tabs>
          <w:tab w:val="left" w:pos="851"/>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（9）提供假冒伪劣产品；</w:t>
      </w:r>
    </w:p>
    <w:p>
      <w:pPr>
        <w:tabs>
          <w:tab w:val="left" w:pos="851"/>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（10）擅自变更、中止或者终止政府采购合同；</w:t>
      </w:r>
    </w:p>
    <w:p>
      <w:pPr>
        <w:tabs>
          <w:tab w:val="left" w:pos="851"/>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（11）拒绝有关部门的监督检查或者向监督检查部门提供虚假情况；</w:t>
      </w:r>
    </w:p>
    <w:p>
      <w:pPr>
        <w:tabs>
          <w:tab w:val="left" w:pos="851"/>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（12）法律法规规定的其他情形。</w:t>
      </w:r>
    </w:p>
    <w:p>
      <w:pPr>
        <w:tabs>
          <w:tab w:val="left" w:pos="851"/>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供应商有上述情形的，按照规定追究法律责任，具备（1）-（12）条情形之一的，同时将取消被确认为成交供应商的资格或者认定成交无效。</w:t>
      </w:r>
    </w:p>
    <w:p>
      <w:pPr>
        <w:pStyle w:val="2"/>
        <w:keepNext w:val="0"/>
        <w:keepLines w:val="0"/>
        <w:spacing w:before="0" w:after="0"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九、询问、质疑和投诉</w:t>
      </w:r>
    </w:p>
    <w:p>
      <w:pPr>
        <w:tabs>
          <w:tab w:val="left" w:pos="851"/>
        </w:tabs>
        <w:spacing w:line="360" w:lineRule="auto"/>
        <w:ind w:firstLine="495"/>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36.询问、质疑、投诉的接收和处理参照《中华人</w:t>
      </w:r>
      <w:r>
        <w:rPr>
          <w:rFonts w:hint="eastAsia" w:ascii="仿宋" w:hAnsi="仿宋" w:eastAsia="仿宋" w:cs="仿宋"/>
          <w:color w:val="auto"/>
          <w:sz w:val="24"/>
          <w:szCs w:val="24"/>
          <w:highlight w:val="none"/>
          <w:lang w:val="en-US" w:eastAsia="zh-CN"/>
        </w:rPr>
        <w:t>民</w:t>
      </w:r>
      <w:r>
        <w:rPr>
          <w:rFonts w:hint="eastAsia" w:ascii="仿宋" w:hAnsi="仿宋" w:eastAsia="仿宋" w:cs="仿宋"/>
          <w:color w:val="auto"/>
          <w:sz w:val="24"/>
          <w:szCs w:val="24"/>
          <w:highlight w:val="none"/>
        </w:rPr>
        <w:t>共和国政府采购法》、《中华人民共和国政府采购法实施条例》、《政府采购质疑和投诉办法》、《财政部关于加强政府采购供应商投诉受理审查工作的通知》和四川省的有关规定办理（详细规定请在四川政府采购网政策法规模块查询）。本项目要求供应商在法定质疑期内一次性提出针对同一采购程序环节的质疑。</w:t>
      </w:r>
    </w:p>
    <w:p>
      <w:pPr>
        <w:pStyle w:val="2"/>
        <w:keepNext w:val="0"/>
        <w:keepLines w:val="0"/>
        <w:spacing w:before="0" w:after="0"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十、其他</w:t>
      </w:r>
    </w:p>
    <w:p>
      <w:pPr>
        <w:tabs>
          <w:tab w:val="left" w:pos="851"/>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37.本</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中所引相关法律制度规定，在政府采购中有变化的，按照变化后的相关法律制度规定执行。本章规定的内容条款，在本项目递交</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截止时间届满后，因相关法律制度规定的变化导致不符合相关法律制度规定的，直接按照变化后的相关法律制度规定执行，本</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不再做调整。</w:t>
      </w:r>
    </w:p>
    <w:p>
      <w:pPr>
        <w:spacing w:line="360" w:lineRule="auto"/>
        <w:jc w:val="center"/>
        <w:outlineLvl w:val="0"/>
        <w:rPr>
          <w:rFonts w:hint="eastAsia" w:ascii="仿宋" w:hAnsi="仿宋" w:eastAsia="仿宋" w:cs="仿宋"/>
          <w:b/>
          <w:bCs/>
          <w:color w:val="auto"/>
          <w:sz w:val="32"/>
          <w:szCs w:val="32"/>
          <w:highlight w:val="none"/>
        </w:rPr>
      </w:pPr>
      <w:bookmarkStart w:id="70" w:name="_Toc21852"/>
      <w:r>
        <w:rPr>
          <w:rFonts w:hint="eastAsia" w:ascii="仿宋" w:hAnsi="仿宋" w:eastAsia="仿宋" w:cs="仿宋"/>
          <w:b/>
          <w:bCs/>
          <w:color w:val="auto"/>
          <w:sz w:val="32"/>
          <w:szCs w:val="32"/>
          <w:highlight w:val="none"/>
        </w:rPr>
        <w:br w:type="page"/>
      </w:r>
      <w:bookmarkStart w:id="71" w:name="_Toc14494"/>
      <w:r>
        <w:rPr>
          <w:rFonts w:hint="eastAsia" w:ascii="仿宋" w:hAnsi="仿宋" w:eastAsia="仿宋" w:cs="仿宋"/>
          <w:b/>
          <w:bCs/>
          <w:color w:val="auto"/>
          <w:sz w:val="32"/>
          <w:szCs w:val="32"/>
          <w:highlight w:val="none"/>
        </w:rPr>
        <w:t>第三章供应商资格条件要求</w:t>
      </w:r>
      <w:bookmarkEnd w:id="70"/>
      <w:bookmarkEnd w:id="71"/>
    </w:p>
    <w:p>
      <w:pPr>
        <w:pStyle w:val="2"/>
        <w:spacing w:before="0" w:after="0" w:line="360" w:lineRule="auto"/>
        <w:rPr>
          <w:rFonts w:hint="eastAsia" w:ascii="仿宋" w:hAnsi="仿宋" w:eastAsia="仿宋" w:cs="仿宋"/>
          <w:i w:val="0"/>
          <w:iCs w:val="0"/>
          <w:color w:val="auto"/>
          <w:sz w:val="24"/>
          <w:szCs w:val="24"/>
          <w:lang w:val="zh-TW" w:eastAsia="zh-TW"/>
        </w:rPr>
      </w:pPr>
      <w:bookmarkStart w:id="72" w:name="_Toc529356195"/>
      <w:r>
        <w:rPr>
          <w:rFonts w:hint="eastAsia" w:ascii="仿宋" w:hAnsi="仿宋" w:eastAsia="仿宋" w:cs="仿宋"/>
          <w:i w:val="0"/>
          <w:iCs w:val="0"/>
          <w:color w:val="auto"/>
          <w:sz w:val="24"/>
          <w:szCs w:val="24"/>
          <w:lang w:val="zh-TW" w:eastAsia="zh-TW"/>
        </w:rPr>
        <w:t>一、供应商资格、资质性及其他类似效力要求</w:t>
      </w:r>
      <w:bookmarkEnd w:id="72"/>
    </w:p>
    <w:p>
      <w:pPr>
        <w:pStyle w:val="9"/>
        <w:spacing w:after="0" w:line="360" w:lineRule="auto"/>
        <w:rPr>
          <w:rFonts w:hint="eastAsia" w:ascii="仿宋" w:hAnsi="仿宋" w:eastAsia="仿宋" w:cs="仿宋"/>
          <w:b/>
          <w:bCs/>
          <w:color w:val="auto"/>
          <w:kern w:val="2"/>
          <w:sz w:val="24"/>
          <w:szCs w:val="24"/>
        </w:rPr>
      </w:pPr>
      <w:r>
        <w:rPr>
          <w:rFonts w:hint="eastAsia" w:ascii="仿宋" w:hAnsi="仿宋" w:eastAsia="仿宋" w:cs="仿宋"/>
          <w:b/>
          <w:color w:val="auto"/>
          <w:sz w:val="24"/>
          <w:szCs w:val="24"/>
        </w:rPr>
        <w:t>（一）</w:t>
      </w:r>
      <w:r>
        <w:rPr>
          <w:rFonts w:hint="eastAsia" w:ascii="仿宋" w:hAnsi="仿宋" w:eastAsia="仿宋" w:cs="仿宋"/>
          <w:b/>
          <w:bCs/>
          <w:color w:val="auto"/>
          <w:kern w:val="2"/>
          <w:sz w:val="24"/>
          <w:szCs w:val="24"/>
          <w:lang w:val="zh-TW" w:eastAsia="zh-TW"/>
        </w:rPr>
        <w:t>供应商应具备《中华人民共和国政府采购法》第二十二条规定的下列条件：</w:t>
      </w:r>
    </w:p>
    <w:p>
      <w:pPr>
        <w:pStyle w:val="9"/>
        <w:spacing w:after="0" w:line="360" w:lineRule="auto"/>
        <w:ind w:firstLine="338" w:firstLineChars="141"/>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1.</w:t>
      </w:r>
      <w:r>
        <w:rPr>
          <w:rFonts w:hint="eastAsia" w:ascii="仿宋" w:hAnsi="仿宋" w:eastAsia="仿宋" w:cs="仿宋"/>
          <w:color w:val="auto"/>
          <w:kern w:val="2"/>
          <w:sz w:val="24"/>
          <w:szCs w:val="24"/>
          <w:lang w:val="zh-TW" w:eastAsia="zh-TW"/>
        </w:rPr>
        <w:t>具有独立承担民事责任的能力；</w:t>
      </w:r>
    </w:p>
    <w:p>
      <w:pPr>
        <w:pStyle w:val="9"/>
        <w:spacing w:after="0" w:line="360" w:lineRule="auto"/>
        <w:ind w:firstLine="338" w:firstLineChars="141"/>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2.</w:t>
      </w:r>
      <w:r>
        <w:rPr>
          <w:rFonts w:hint="eastAsia" w:ascii="仿宋" w:hAnsi="仿宋" w:eastAsia="仿宋" w:cs="仿宋"/>
          <w:color w:val="auto"/>
          <w:kern w:val="2"/>
          <w:sz w:val="24"/>
          <w:szCs w:val="24"/>
          <w:lang w:val="zh-TW" w:eastAsia="zh-TW"/>
        </w:rPr>
        <w:t>具有良好的商业信誉和健全的财务会计制度；</w:t>
      </w:r>
    </w:p>
    <w:p>
      <w:pPr>
        <w:pStyle w:val="9"/>
        <w:spacing w:after="0" w:line="360" w:lineRule="auto"/>
        <w:ind w:firstLine="338" w:firstLineChars="141"/>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3.</w:t>
      </w:r>
      <w:r>
        <w:rPr>
          <w:rFonts w:hint="eastAsia" w:ascii="仿宋" w:hAnsi="仿宋" w:eastAsia="仿宋" w:cs="仿宋"/>
          <w:color w:val="auto"/>
          <w:kern w:val="2"/>
          <w:sz w:val="24"/>
          <w:szCs w:val="24"/>
          <w:lang w:val="zh-TW" w:eastAsia="zh-TW"/>
        </w:rPr>
        <w:t>具有履行合同所必需的设备和专业技术能力；</w:t>
      </w:r>
    </w:p>
    <w:p>
      <w:pPr>
        <w:pStyle w:val="9"/>
        <w:spacing w:after="0" w:line="360" w:lineRule="auto"/>
        <w:ind w:firstLine="338" w:firstLineChars="141"/>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4.</w:t>
      </w:r>
      <w:r>
        <w:rPr>
          <w:rFonts w:hint="eastAsia" w:ascii="仿宋" w:hAnsi="仿宋" w:eastAsia="仿宋" w:cs="仿宋"/>
          <w:color w:val="auto"/>
          <w:kern w:val="2"/>
          <w:sz w:val="24"/>
          <w:szCs w:val="24"/>
          <w:lang w:val="zh-TW" w:eastAsia="zh-TW"/>
        </w:rPr>
        <w:t>有依法缴纳税收和社会保障资金的良好记录；</w:t>
      </w:r>
    </w:p>
    <w:p>
      <w:pPr>
        <w:pStyle w:val="9"/>
        <w:spacing w:after="0" w:line="360" w:lineRule="auto"/>
        <w:ind w:firstLine="338" w:firstLineChars="141"/>
        <w:rPr>
          <w:rFonts w:hint="eastAsia" w:ascii="仿宋" w:hAnsi="仿宋" w:eastAsia="仿宋" w:cs="仿宋"/>
          <w:color w:val="auto"/>
          <w:kern w:val="2"/>
          <w:sz w:val="24"/>
          <w:szCs w:val="24"/>
        </w:rPr>
      </w:pPr>
      <w:r>
        <w:rPr>
          <w:rFonts w:hint="eastAsia" w:ascii="仿宋" w:hAnsi="仿宋" w:eastAsia="仿宋" w:cs="仿宋"/>
          <w:color w:val="auto"/>
          <w:kern w:val="2"/>
          <w:sz w:val="24"/>
          <w:szCs w:val="24"/>
        </w:rPr>
        <w:t>5.</w:t>
      </w:r>
      <w:r>
        <w:rPr>
          <w:rFonts w:hint="eastAsia" w:ascii="仿宋" w:hAnsi="仿宋" w:eastAsia="仿宋" w:cs="仿宋"/>
          <w:color w:val="auto"/>
          <w:kern w:val="2"/>
          <w:sz w:val="24"/>
          <w:szCs w:val="24"/>
          <w:lang w:val="zh-TW" w:eastAsia="zh-TW"/>
        </w:rPr>
        <w:t>参加本次政府采购活动前三年内，在经营活动中没有重大违法记录；</w:t>
      </w:r>
    </w:p>
    <w:p>
      <w:pPr>
        <w:pStyle w:val="9"/>
        <w:spacing w:after="0" w:line="360" w:lineRule="auto"/>
        <w:ind w:firstLine="338" w:firstLineChars="141"/>
        <w:rPr>
          <w:rFonts w:hint="eastAsia" w:ascii="仿宋" w:hAnsi="仿宋" w:eastAsia="仿宋" w:cs="仿宋"/>
          <w:color w:val="auto"/>
          <w:kern w:val="2"/>
          <w:sz w:val="24"/>
          <w:szCs w:val="24"/>
          <w:lang w:val="zh-TW" w:eastAsia="zh-TW"/>
        </w:rPr>
      </w:pPr>
      <w:r>
        <w:rPr>
          <w:rFonts w:hint="eastAsia" w:ascii="仿宋" w:hAnsi="仿宋" w:eastAsia="仿宋" w:cs="仿宋"/>
          <w:color w:val="auto"/>
          <w:kern w:val="2"/>
          <w:sz w:val="24"/>
          <w:szCs w:val="24"/>
          <w:lang w:val="zh-TW" w:eastAsia="zh-TW"/>
        </w:rPr>
        <w:t>6.法律、行政法规规定的其他条件。</w:t>
      </w:r>
    </w:p>
    <w:p>
      <w:pPr>
        <w:pStyle w:val="9"/>
        <w:spacing w:after="0" w:line="360" w:lineRule="auto"/>
        <w:rPr>
          <w:rFonts w:hint="eastAsia" w:ascii="仿宋" w:hAnsi="仿宋" w:eastAsia="仿宋" w:cs="仿宋"/>
          <w:b w:val="0"/>
          <w:bCs/>
          <w:color w:val="auto"/>
          <w:sz w:val="24"/>
          <w:szCs w:val="24"/>
          <w:lang w:val="en-US" w:eastAsia="zh-CN"/>
        </w:rPr>
      </w:pPr>
      <w:r>
        <w:rPr>
          <w:rFonts w:hint="eastAsia" w:ascii="仿宋" w:hAnsi="仿宋" w:eastAsia="仿宋" w:cs="仿宋"/>
          <w:b/>
          <w:color w:val="auto"/>
          <w:sz w:val="24"/>
          <w:szCs w:val="24"/>
        </w:rPr>
        <w:t>（二）落实政府采购政策需满足的资格要求：</w:t>
      </w:r>
      <w:r>
        <w:rPr>
          <w:rFonts w:hint="eastAsia" w:ascii="仿宋" w:hAnsi="仿宋" w:eastAsia="仿宋" w:cs="仿宋"/>
          <w:b w:val="0"/>
          <w:bCs/>
          <w:color w:val="auto"/>
          <w:sz w:val="24"/>
          <w:szCs w:val="24"/>
          <w:lang w:val="en-US" w:eastAsia="zh-CN"/>
        </w:rPr>
        <w:t>02包、03包：专门面向中小企业采购的项目,供应商应为中小微企业、监狱企业、残疾人福利性单位。</w:t>
      </w:r>
    </w:p>
    <w:p>
      <w:pPr>
        <w:pStyle w:val="9"/>
        <w:spacing w:after="0"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（三）采购人根据采购项目提出的特殊条件：</w:t>
      </w:r>
      <w:r>
        <w:rPr>
          <w:rFonts w:hint="eastAsia" w:ascii="仿宋" w:hAnsi="仿宋" w:eastAsia="仿宋" w:cs="仿宋"/>
          <w:bCs/>
          <w:color w:val="auto"/>
          <w:sz w:val="24"/>
          <w:szCs w:val="24"/>
        </w:rPr>
        <w:t>无。</w:t>
      </w:r>
    </w:p>
    <w:p>
      <w:pPr>
        <w:pStyle w:val="39"/>
        <w:spacing w:line="360" w:lineRule="auto"/>
        <w:jc w:val="both"/>
        <w:rPr>
          <w:rFonts w:hint="eastAsia" w:ascii="仿宋" w:hAnsi="仿宋" w:eastAsia="仿宋" w:cs="仿宋"/>
          <w:b/>
          <w:bCs/>
          <w:color w:val="auto"/>
          <w:kern w:val="2"/>
          <w:lang w:val="zh-TW" w:eastAsia="zh-TW"/>
        </w:rPr>
      </w:pPr>
      <w:r>
        <w:rPr>
          <w:rFonts w:hint="eastAsia" w:ascii="仿宋" w:hAnsi="仿宋" w:eastAsia="仿宋" w:cs="仿宋"/>
          <w:b/>
          <w:bCs/>
          <w:color w:val="auto"/>
          <w:kern w:val="2"/>
          <w:lang w:val="zh-TW" w:eastAsia="zh-TW"/>
        </w:rPr>
        <w:t>（</w:t>
      </w:r>
      <w:r>
        <w:rPr>
          <w:rFonts w:hint="eastAsia" w:ascii="仿宋" w:hAnsi="仿宋" w:eastAsia="仿宋" w:cs="仿宋"/>
          <w:b/>
          <w:bCs/>
          <w:color w:val="auto"/>
          <w:kern w:val="2"/>
        </w:rPr>
        <w:t>四</w:t>
      </w:r>
      <w:r>
        <w:rPr>
          <w:rFonts w:hint="eastAsia" w:ascii="仿宋" w:hAnsi="仿宋" w:eastAsia="仿宋" w:cs="仿宋"/>
          <w:b/>
          <w:bCs/>
          <w:color w:val="auto"/>
          <w:kern w:val="2"/>
          <w:lang w:val="zh-TW" w:eastAsia="zh-TW"/>
        </w:rPr>
        <w:t>）其他类似效力要求：</w:t>
      </w:r>
    </w:p>
    <w:p>
      <w:pPr>
        <w:pStyle w:val="39"/>
        <w:spacing w:line="360" w:lineRule="auto"/>
        <w:ind w:firstLine="338" w:firstLineChars="141"/>
        <w:jc w:val="both"/>
        <w:rPr>
          <w:rFonts w:hint="eastAsia" w:ascii="仿宋" w:hAnsi="仿宋" w:eastAsia="仿宋" w:cs="仿宋"/>
          <w:color w:val="auto"/>
          <w:kern w:val="2"/>
        </w:rPr>
      </w:pPr>
      <w:r>
        <w:rPr>
          <w:rFonts w:hint="eastAsia" w:ascii="仿宋" w:hAnsi="仿宋" w:eastAsia="仿宋" w:cs="仿宋"/>
          <w:color w:val="auto"/>
          <w:kern w:val="2"/>
        </w:rPr>
        <w:t>1.</w:t>
      </w:r>
      <w:r>
        <w:rPr>
          <w:rFonts w:hint="eastAsia" w:ascii="仿宋" w:hAnsi="仿宋" w:eastAsia="仿宋" w:cs="仿宋"/>
          <w:color w:val="auto"/>
          <w:kern w:val="2"/>
          <w:lang w:val="zh-TW" w:eastAsia="zh-TW"/>
        </w:rPr>
        <w:t>按本</w:t>
      </w:r>
      <w:r>
        <w:rPr>
          <w:rFonts w:hint="eastAsia" w:ascii="仿宋" w:hAnsi="仿宋" w:eastAsia="仿宋" w:cs="仿宋"/>
          <w:color w:val="auto"/>
          <w:kern w:val="2"/>
          <w:lang w:val="en-US" w:eastAsia="zh-CN"/>
        </w:rPr>
        <w:t>谈判</w:t>
      </w:r>
      <w:r>
        <w:rPr>
          <w:rFonts w:hint="eastAsia" w:ascii="仿宋" w:hAnsi="仿宋" w:eastAsia="仿宋" w:cs="仿宋"/>
          <w:color w:val="auto"/>
          <w:kern w:val="2"/>
          <w:lang w:val="zh-TW" w:eastAsia="zh-TW"/>
        </w:rPr>
        <w:t>文件要求缴纳保证金；</w:t>
      </w:r>
      <w:r>
        <w:rPr>
          <w:rFonts w:hint="eastAsia" w:ascii="仿宋" w:hAnsi="仿宋" w:eastAsia="仿宋" w:cs="仿宋"/>
          <w:color w:val="auto"/>
          <w:kern w:val="2"/>
          <w:lang w:val="zh-TW"/>
        </w:rPr>
        <w:t>（本项目不作要求）</w:t>
      </w:r>
    </w:p>
    <w:p>
      <w:pPr>
        <w:pStyle w:val="39"/>
        <w:spacing w:line="360" w:lineRule="auto"/>
        <w:ind w:firstLine="338" w:firstLineChars="141"/>
        <w:jc w:val="both"/>
        <w:rPr>
          <w:rFonts w:hint="eastAsia" w:ascii="仿宋" w:hAnsi="仿宋" w:eastAsia="仿宋" w:cs="仿宋"/>
          <w:color w:val="auto"/>
          <w:kern w:val="2"/>
          <w:lang w:val="zh-TW"/>
        </w:rPr>
      </w:pPr>
      <w:r>
        <w:rPr>
          <w:rFonts w:hint="eastAsia" w:ascii="仿宋" w:hAnsi="仿宋" w:eastAsia="仿宋" w:cs="仿宋"/>
          <w:color w:val="auto"/>
          <w:kern w:val="2"/>
        </w:rPr>
        <w:t>2.</w:t>
      </w:r>
      <w:r>
        <w:rPr>
          <w:rFonts w:hint="eastAsia" w:ascii="仿宋" w:hAnsi="仿宋" w:eastAsia="仿宋" w:cs="仿宋"/>
          <w:color w:val="auto"/>
          <w:kern w:val="2"/>
          <w:lang w:val="zh-TW" w:eastAsia="zh-TW"/>
        </w:rPr>
        <w:t>报价供应商法定代表人授权参加本次采购活动的合法代表。</w:t>
      </w:r>
    </w:p>
    <w:p>
      <w:pPr>
        <w:pStyle w:val="39"/>
        <w:spacing w:line="360" w:lineRule="auto"/>
        <w:ind w:firstLine="338" w:firstLineChars="141"/>
        <w:jc w:val="both"/>
        <w:rPr>
          <w:rFonts w:hint="eastAsia" w:ascii="仿宋" w:hAnsi="仿宋" w:eastAsia="仿宋" w:cs="仿宋"/>
          <w:color w:val="auto"/>
          <w:kern w:val="2"/>
          <w:lang w:val="zh-TW"/>
        </w:rPr>
      </w:pPr>
    </w:p>
    <w:p>
      <w:pPr>
        <w:spacing w:line="360" w:lineRule="auto"/>
        <w:jc w:val="center"/>
        <w:outlineLvl w:val="0"/>
        <w:rPr>
          <w:rFonts w:hint="eastAsia" w:ascii="仿宋" w:hAnsi="仿宋" w:eastAsia="仿宋" w:cs="仿宋"/>
          <w:b/>
          <w:bCs/>
          <w:color w:val="auto"/>
          <w:sz w:val="28"/>
          <w:szCs w:val="28"/>
          <w:highlight w:val="none"/>
        </w:rPr>
      </w:pPr>
      <w:r>
        <w:rPr>
          <w:rFonts w:hint="eastAsia" w:ascii="仿宋" w:hAnsi="仿宋" w:eastAsia="仿宋" w:cs="仿宋"/>
          <w:b/>
          <w:bCs/>
          <w:color w:val="auto"/>
          <w:sz w:val="32"/>
          <w:szCs w:val="32"/>
          <w:highlight w:val="none"/>
        </w:rPr>
        <w:br w:type="page"/>
      </w:r>
      <w:bookmarkStart w:id="73" w:name="_Toc23496"/>
      <w:bookmarkStart w:id="74" w:name="_Toc20067"/>
      <w:r>
        <w:rPr>
          <w:rFonts w:hint="eastAsia" w:ascii="仿宋" w:hAnsi="仿宋" w:eastAsia="仿宋" w:cs="仿宋"/>
          <w:b/>
          <w:bCs/>
          <w:color w:val="auto"/>
          <w:sz w:val="32"/>
          <w:szCs w:val="32"/>
          <w:highlight w:val="none"/>
        </w:rPr>
        <w:t>第四章供应商资格证明材料</w:t>
      </w:r>
      <w:bookmarkEnd w:id="73"/>
      <w:bookmarkEnd w:id="74"/>
    </w:p>
    <w:p>
      <w:pPr>
        <w:pStyle w:val="2"/>
        <w:keepNext w:val="0"/>
        <w:keepLines w:val="0"/>
        <w:spacing w:before="0" w:after="0"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一、供应商应当提供的资格、资质性文件及其他类似效力的要求的相关证明材料</w:t>
      </w:r>
    </w:p>
    <w:p>
      <w:pPr>
        <w:spacing w:line="360" w:lineRule="auto"/>
        <w:rPr>
          <w:rFonts w:hint="eastAsia" w:ascii="仿宋" w:hAnsi="仿宋" w:eastAsia="仿宋" w:cs="仿宋"/>
          <w:b/>
          <w:bCs/>
          <w:color w:val="auto"/>
          <w:sz w:val="24"/>
          <w:szCs w:val="24"/>
          <w:highlight w:val="none"/>
        </w:rPr>
      </w:pPr>
      <w:bookmarkStart w:id="75" w:name="_Toc320624218"/>
      <w:bookmarkEnd w:id="75"/>
      <w:bookmarkStart w:id="76" w:name="_Toc320624213"/>
      <w:bookmarkEnd w:id="76"/>
      <w:bookmarkStart w:id="77" w:name="_Toc320624212"/>
      <w:bookmarkEnd w:id="77"/>
      <w:bookmarkStart w:id="78" w:name="_Toc320624224"/>
      <w:bookmarkEnd w:id="78"/>
      <w:bookmarkStart w:id="79" w:name="_Toc320624220"/>
      <w:bookmarkEnd w:id="79"/>
      <w:bookmarkStart w:id="80" w:name="_Toc320624214"/>
      <w:bookmarkEnd w:id="80"/>
      <w:bookmarkStart w:id="81" w:name="_Toc320624223"/>
      <w:bookmarkEnd w:id="81"/>
      <w:bookmarkStart w:id="82" w:name="_Toc320624216"/>
      <w:bookmarkEnd w:id="82"/>
      <w:bookmarkStart w:id="83" w:name="_Toc320624221"/>
      <w:bookmarkEnd w:id="83"/>
      <w:bookmarkStart w:id="84" w:name="_Toc320624219"/>
      <w:bookmarkEnd w:id="84"/>
      <w:bookmarkStart w:id="85" w:name="_Toc320624215"/>
      <w:bookmarkEnd w:id="85"/>
      <w:bookmarkStart w:id="86" w:name="_Toc320624222"/>
      <w:bookmarkEnd w:id="86"/>
      <w:bookmarkStart w:id="87" w:name="_Toc320624217"/>
      <w:bookmarkEnd w:id="87"/>
      <w:r>
        <w:rPr>
          <w:rFonts w:hint="eastAsia" w:ascii="仿宋" w:hAnsi="仿宋" w:eastAsia="仿宋" w:cs="仿宋"/>
          <w:b/>
          <w:bCs/>
          <w:color w:val="auto"/>
          <w:sz w:val="24"/>
          <w:szCs w:val="24"/>
          <w:highlight w:val="none"/>
        </w:rPr>
        <w:t>（一）资格要求相关证明材料：</w:t>
      </w:r>
    </w:p>
    <w:p>
      <w:pPr>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1.具有独立承担民事责任的能力提供以下证明材料：</w:t>
      </w:r>
    </w:p>
    <w:p>
      <w:pPr>
        <w:pStyle w:val="63"/>
        <w:tabs>
          <w:tab w:val="left" w:pos="1080"/>
        </w:tabs>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（1）独立法人机构提供下述证明材料：营业执照副本复印件（注：①在有效期内；②具有独立法人资格；）、组织机构代码证副本复印件（注：①在有效期内）或</w:t>
      </w:r>
      <w:r>
        <w:rPr>
          <w:rFonts w:hint="eastAsia" w:ascii="仿宋" w:hAnsi="仿宋" w:eastAsia="仿宋" w:cs="仿宋"/>
          <w:color w:val="auto"/>
          <w:highlight w:val="none"/>
          <w:shd w:val="clear" w:color="auto" w:fill="FFFFFF"/>
        </w:rPr>
        <w:t>工商部门新颁发的营业执照复印件（有效期内）</w:t>
      </w:r>
      <w:r>
        <w:rPr>
          <w:rFonts w:hint="eastAsia" w:ascii="仿宋" w:hAnsi="仿宋" w:eastAsia="仿宋" w:cs="仿宋"/>
          <w:color w:val="auto"/>
          <w:highlight w:val="none"/>
        </w:rPr>
        <w:t>。</w:t>
      </w:r>
    </w:p>
    <w:p>
      <w:pPr>
        <w:pStyle w:val="63"/>
        <w:tabs>
          <w:tab w:val="left" w:pos="1080"/>
        </w:tabs>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（2）其他组织或自然人提供具有承担民事责任的能力的证明材料复印件；</w:t>
      </w:r>
    </w:p>
    <w:p>
      <w:pPr>
        <w:pStyle w:val="63"/>
        <w:tabs>
          <w:tab w:val="left" w:pos="1080"/>
        </w:tabs>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（3）自然人提供身份证复印件。</w:t>
      </w:r>
    </w:p>
    <w:p>
      <w:pPr>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2.具有良好的商业信誉和健全的财务会计制度提供以下证明材料：</w:t>
      </w:r>
    </w:p>
    <w:p>
      <w:pPr>
        <w:spacing w:line="360" w:lineRule="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b/>
          <w:bCs/>
          <w:color w:val="auto"/>
          <w:sz w:val="24"/>
          <w:szCs w:val="24"/>
          <w:highlight w:val="none"/>
          <w:u w:val="single"/>
        </w:rPr>
        <w:t>2019或2020年度</w:t>
      </w:r>
      <w:r>
        <w:rPr>
          <w:rFonts w:hint="eastAsia" w:ascii="仿宋" w:hAnsi="仿宋" w:eastAsia="仿宋" w:cs="仿宋"/>
          <w:color w:val="auto"/>
          <w:sz w:val="24"/>
          <w:szCs w:val="24"/>
          <w:highlight w:val="none"/>
        </w:rPr>
        <w:t>财务状况报告复印件：</w:t>
      </w:r>
    </w:p>
    <w:p>
      <w:pPr>
        <w:spacing w:line="360" w:lineRule="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①可提供2019或2020年度经审计的财务报告复印件（包含审计报告和审计报告中所涉及的财务报表和报表附注即可）；</w:t>
      </w:r>
    </w:p>
    <w:p>
      <w:pPr>
        <w:spacing w:line="360" w:lineRule="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②也可提供2019或2020年度供应商内部的财务报表复印件（至少包含资产负债表）；</w:t>
      </w:r>
      <w:r>
        <w:rPr>
          <w:rFonts w:hint="eastAsia" w:ascii="仿宋" w:hAnsi="仿宋" w:eastAsia="仿宋" w:cs="仿宋"/>
          <w:color w:val="auto"/>
          <w:sz w:val="24"/>
          <w:szCs w:val="24"/>
          <w:highlight w:val="none"/>
          <w:lang w:val="zh-CN" w:eastAsia="zh-TW"/>
        </w:rPr>
        <w:t>可提供承诺函【格式可自拟】或</w:t>
      </w:r>
      <w:r>
        <w:rPr>
          <w:rFonts w:hint="eastAsia" w:ascii="仿宋" w:hAnsi="仿宋" w:eastAsia="仿宋" w:cs="仿宋"/>
          <w:color w:val="auto"/>
          <w:sz w:val="24"/>
          <w:szCs w:val="24"/>
          <w:highlight w:val="none"/>
          <w:lang w:val="zh-CN"/>
        </w:rPr>
        <w:t>格式参照第八章第一部分“五、承诺函”</w:t>
      </w:r>
      <w:r>
        <w:rPr>
          <w:rFonts w:hint="eastAsia" w:ascii="仿宋" w:hAnsi="仿宋" w:eastAsia="仿宋" w:cs="仿宋"/>
          <w:color w:val="auto"/>
          <w:sz w:val="24"/>
          <w:szCs w:val="24"/>
          <w:highlight w:val="none"/>
          <w:lang w:val="zh-CN" w:eastAsia="zh-TW"/>
        </w:rPr>
        <w:t>。</w:t>
      </w:r>
    </w:p>
    <w:p>
      <w:pPr>
        <w:spacing w:line="360" w:lineRule="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lang w:val="zh-CN"/>
        </w:rPr>
        <w:t>③也可提供截至报价文件递交截止日一年内银行出具的资信证明（复印件），</w:t>
      </w:r>
    </w:p>
    <w:p>
      <w:pPr>
        <w:spacing w:line="360" w:lineRule="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④新成立公司（本项目报价截止时间前1年内注册的公司，以营业执照注册时间为准）可提供在工商备案的公司章程复印件。</w:t>
      </w:r>
    </w:p>
    <w:p>
      <w:pPr>
        <w:spacing w:line="360" w:lineRule="auto"/>
        <w:rPr>
          <w:rFonts w:hint="eastAsia" w:ascii="仿宋" w:hAnsi="仿宋" w:eastAsia="仿宋" w:cs="仿宋"/>
          <w:color w:val="auto"/>
          <w:sz w:val="24"/>
          <w:szCs w:val="24"/>
          <w:highlight w:val="none"/>
          <w:lang w:val="zh-CN" w:eastAsia="zh-TW"/>
        </w:rPr>
      </w:pPr>
      <w:r>
        <w:rPr>
          <w:rFonts w:hint="eastAsia" w:ascii="仿宋" w:hAnsi="仿宋" w:eastAsia="仿宋" w:cs="仿宋"/>
          <w:color w:val="auto"/>
          <w:sz w:val="24"/>
          <w:szCs w:val="24"/>
          <w:highlight w:val="none"/>
          <w:lang w:val="zh-CN" w:eastAsia="zh-TW"/>
        </w:rPr>
        <w:fldChar w:fldCharType="begin"/>
      </w:r>
      <w:r>
        <w:rPr>
          <w:rFonts w:hint="eastAsia" w:ascii="仿宋" w:hAnsi="仿宋" w:eastAsia="仿宋" w:cs="仿宋"/>
          <w:color w:val="auto"/>
          <w:sz w:val="24"/>
          <w:szCs w:val="24"/>
          <w:highlight w:val="none"/>
          <w:lang w:val="zh-CN" w:eastAsia="zh-TW"/>
        </w:rPr>
        <w:instrText xml:space="preserve"> = 5 \* GB3 \* MERGEFORMAT </w:instrText>
      </w:r>
      <w:r>
        <w:rPr>
          <w:rFonts w:hint="eastAsia" w:ascii="仿宋" w:hAnsi="仿宋" w:eastAsia="仿宋" w:cs="仿宋"/>
          <w:color w:val="auto"/>
          <w:sz w:val="24"/>
          <w:szCs w:val="24"/>
          <w:highlight w:val="none"/>
          <w:lang w:val="zh-CN" w:eastAsia="zh-TW"/>
        </w:rPr>
        <w:fldChar w:fldCharType="separate"/>
      </w:r>
      <w:r>
        <w:rPr>
          <w:rFonts w:hint="eastAsia" w:ascii="仿宋" w:hAnsi="仿宋" w:eastAsia="仿宋" w:cs="仿宋"/>
          <w:color w:val="auto"/>
          <w:sz w:val="24"/>
          <w:szCs w:val="24"/>
          <w:highlight w:val="none"/>
          <w:lang w:val="zh-CN"/>
        </w:rPr>
        <w:t>⑤</w:t>
      </w:r>
      <w:r>
        <w:rPr>
          <w:rFonts w:hint="eastAsia" w:ascii="仿宋" w:hAnsi="仿宋" w:eastAsia="仿宋" w:cs="仿宋"/>
          <w:color w:val="auto"/>
          <w:sz w:val="24"/>
          <w:szCs w:val="24"/>
          <w:highlight w:val="none"/>
          <w:lang w:val="zh-CN" w:eastAsia="zh-TW"/>
        </w:rPr>
        <w:fldChar w:fldCharType="end"/>
      </w:r>
      <w:r>
        <w:rPr>
          <w:rFonts w:hint="eastAsia" w:ascii="仿宋" w:hAnsi="仿宋" w:eastAsia="仿宋" w:cs="仿宋"/>
          <w:color w:val="auto"/>
          <w:sz w:val="24"/>
          <w:szCs w:val="24"/>
          <w:highlight w:val="none"/>
          <w:lang w:val="zh-CN" w:eastAsia="zh-TW"/>
        </w:rPr>
        <w:t>供应商为事业单位或其他组织(不具备法人条件的组织，如合伙组织、个体工商户、农村承包经营户等)或自然人时，可提供承诺函【格式可自拟】或</w:t>
      </w:r>
      <w:r>
        <w:rPr>
          <w:rFonts w:hint="eastAsia" w:ascii="仿宋" w:hAnsi="仿宋" w:eastAsia="仿宋" w:cs="仿宋"/>
          <w:color w:val="auto"/>
          <w:sz w:val="24"/>
          <w:szCs w:val="24"/>
          <w:highlight w:val="none"/>
          <w:lang w:val="zh-CN"/>
        </w:rPr>
        <w:t>格式参照第八章第一部分“五、承诺函”</w:t>
      </w:r>
      <w:r>
        <w:rPr>
          <w:rFonts w:hint="eastAsia" w:ascii="仿宋" w:hAnsi="仿宋" w:eastAsia="仿宋" w:cs="仿宋"/>
          <w:color w:val="auto"/>
          <w:sz w:val="24"/>
          <w:szCs w:val="24"/>
          <w:highlight w:val="none"/>
          <w:lang w:val="zh-CN" w:eastAsia="zh-TW"/>
        </w:rPr>
        <w:t>。</w:t>
      </w:r>
    </w:p>
    <w:p>
      <w:pPr>
        <w:spacing w:line="360" w:lineRule="auto"/>
        <w:rPr>
          <w:rFonts w:hint="eastAsia" w:ascii="仿宋" w:hAnsi="仿宋" w:eastAsia="仿宋" w:cs="仿宋"/>
          <w:color w:val="auto"/>
          <w:sz w:val="24"/>
          <w:szCs w:val="24"/>
          <w:highlight w:val="none"/>
          <w:lang w:val="zh-CN"/>
        </w:rPr>
      </w:pPr>
      <w:r>
        <w:rPr>
          <w:rFonts w:hint="eastAsia" w:ascii="仿宋" w:hAnsi="仿宋" w:eastAsia="仿宋" w:cs="仿宋"/>
          <w:b/>
          <w:bCs/>
          <w:color w:val="auto"/>
          <w:sz w:val="22"/>
          <w:szCs w:val="22"/>
          <w:highlight w:val="none"/>
          <w:lang w:val="zh-CN" w:eastAsia="zh-TW"/>
        </w:rPr>
        <w:t>注：具有健全的财务会计制度的证明材料中第</w:t>
      </w:r>
      <w:r>
        <w:rPr>
          <w:rFonts w:hint="eastAsia" w:ascii="仿宋" w:hAnsi="仿宋" w:eastAsia="仿宋" w:cs="仿宋"/>
          <w:b/>
          <w:bCs/>
          <w:color w:val="auto"/>
          <w:sz w:val="22"/>
          <w:szCs w:val="22"/>
          <w:highlight w:val="none"/>
          <w:lang w:val="zh-CN"/>
        </w:rPr>
        <w:t>①</w:t>
      </w:r>
      <w:r>
        <w:rPr>
          <w:rFonts w:hint="eastAsia" w:ascii="仿宋" w:hAnsi="仿宋" w:eastAsia="仿宋" w:cs="仿宋"/>
          <w:b/>
          <w:bCs/>
          <w:color w:val="auto"/>
          <w:sz w:val="22"/>
          <w:szCs w:val="22"/>
          <w:highlight w:val="none"/>
          <w:lang w:val="zh-CN" w:eastAsia="zh-TW"/>
        </w:rPr>
        <w:t>-</w:t>
      </w:r>
      <w:r>
        <w:rPr>
          <w:rFonts w:hint="eastAsia" w:ascii="仿宋" w:hAnsi="仿宋" w:eastAsia="仿宋" w:cs="仿宋"/>
          <w:b/>
          <w:bCs/>
          <w:color w:val="auto"/>
          <w:sz w:val="22"/>
          <w:szCs w:val="22"/>
          <w:highlight w:val="none"/>
          <w:lang w:val="zh-CN" w:eastAsia="zh-TW"/>
        </w:rPr>
        <w:fldChar w:fldCharType="begin"/>
      </w:r>
      <w:r>
        <w:rPr>
          <w:rFonts w:hint="eastAsia" w:ascii="仿宋" w:hAnsi="仿宋" w:eastAsia="仿宋" w:cs="仿宋"/>
          <w:b/>
          <w:bCs/>
          <w:color w:val="auto"/>
          <w:sz w:val="22"/>
          <w:szCs w:val="22"/>
          <w:highlight w:val="none"/>
          <w:lang w:val="zh-CN" w:eastAsia="zh-TW"/>
        </w:rPr>
        <w:instrText xml:space="preserve"> = 5 \* GB3 \* MERGEFORMAT </w:instrText>
      </w:r>
      <w:r>
        <w:rPr>
          <w:rFonts w:hint="eastAsia" w:ascii="仿宋" w:hAnsi="仿宋" w:eastAsia="仿宋" w:cs="仿宋"/>
          <w:b/>
          <w:bCs/>
          <w:color w:val="auto"/>
          <w:sz w:val="22"/>
          <w:szCs w:val="22"/>
          <w:highlight w:val="none"/>
          <w:lang w:val="zh-CN" w:eastAsia="zh-TW"/>
        </w:rPr>
        <w:fldChar w:fldCharType="separate"/>
      </w:r>
      <w:r>
        <w:rPr>
          <w:rFonts w:hint="eastAsia" w:ascii="仿宋" w:hAnsi="仿宋" w:eastAsia="仿宋" w:cs="仿宋"/>
          <w:b/>
          <w:bCs/>
          <w:color w:val="auto"/>
          <w:sz w:val="22"/>
          <w:szCs w:val="22"/>
          <w:highlight w:val="none"/>
          <w:lang w:val="zh-CN"/>
        </w:rPr>
        <w:t>⑤</w:t>
      </w:r>
      <w:r>
        <w:rPr>
          <w:rFonts w:hint="eastAsia" w:ascii="仿宋" w:hAnsi="仿宋" w:eastAsia="仿宋" w:cs="仿宋"/>
          <w:b/>
          <w:bCs/>
          <w:color w:val="auto"/>
          <w:sz w:val="22"/>
          <w:szCs w:val="22"/>
          <w:highlight w:val="none"/>
          <w:lang w:val="zh-CN" w:eastAsia="zh-TW"/>
        </w:rPr>
        <w:fldChar w:fldCharType="end"/>
      </w:r>
      <w:r>
        <w:rPr>
          <w:rFonts w:hint="eastAsia" w:ascii="仿宋" w:hAnsi="仿宋" w:eastAsia="仿宋" w:cs="仿宋"/>
          <w:b/>
          <w:bCs/>
          <w:color w:val="auto"/>
          <w:sz w:val="22"/>
          <w:szCs w:val="22"/>
          <w:highlight w:val="none"/>
          <w:lang w:val="zh-CN" w:eastAsia="zh-TW"/>
        </w:rPr>
        <w:t>项具有同等的效力，供应商可根据自身实际情况选择提供其中任意一项。</w:t>
      </w:r>
    </w:p>
    <w:p>
      <w:pPr>
        <w:spacing w:line="360" w:lineRule="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lang w:val="zh-CN"/>
        </w:rPr>
        <w:t>（2）具有良好的商业信誉可提供承诺书原件（格式参照第八章第一部分“五、承诺函”）。</w:t>
      </w:r>
    </w:p>
    <w:p>
      <w:pPr>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3.具有履行合同所必需的设备和专业技术能力的证明材料：</w:t>
      </w:r>
    </w:p>
    <w:p>
      <w:pPr>
        <w:spacing w:line="360" w:lineRule="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（1）供应商自行提供证明材料或提供承诺函（格式</w:t>
      </w:r>
      <w:r>
        <w:rPr>
          <w:rFonts w:hint="eastAsia" w:ascii="仿宋" w:hAnsi="仿宋" w:eastAsia="仿宋" w:cs="仿宋"/>
          <w:color w:val="auto"/>
          <w:sz w:val="24"/>
          <w:szCs w:val="24"/>
          <w:highlight w:val="none"/>
          <w:lang w:val="zh-CN"/>
        </w:rPr>
        <w:t>参照第八章第一部分“五、承诺函”</w:t>
      </w:r>
      <w:r>
        <w:rPr>
          <w:rFonts w:hint="eastAsia" w:ascii="仿宋" w:hAnsi="仿宋" w:eastAsia="仿宋" w:cs="仿宋"/>
          <w:color w:val="auto"/>
          <w:sz w:val="24"/>
          <w:szCs w:val="24"/>
          <w:highlight w:val="none"/>
        </w:rPr>
        <w:t>）。</w:t>
      </w:r>
    </w:p>
    <w:p>
      <w:pPr>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4.有依法缴纳税收和社会保障资金的良好记录：</w:t>
      </w:r>
    </w:p>
    <w:p>
      <w:pPr>
        <w:spacing w:line="360" w:lineRule="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（1）缴纳税收证明材料（供应商可提供以下证明材料）：</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①提供202</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月1号以后任意一月的缴纳税收的银行电子回单或者税务部门出具的纳税证明或完税证明（注：原件或复印件或扫描件），或提供承诺函（格式参照第八章第一部分“五、承诺函”）。</w:t>
      </w:r>
    </w:p>
    <w:p>
      <w:pPr>
        <w:spacing w:line="360" w:lineRule="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（2）缴纳社会保障资金（供应商可提供以下证明材料）：</w:t>
      </w:r>
    </w:p>
    <w:p>
      <w:pPr>
        <w:spacing w:line="360" w:lineRule="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①提供202</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月1号以后任意一月的社保缴纳的、证明材料（注：缴纳的银行电子回单或以社保部门出具的为准（注：原件或复印件或扫描件），或提供承诺函（格式参照第八章第一部分“五、承诺函”）。</w:t>
      </w:r>
    </w:p>
    <w:p>
      <w:pPr>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5.参加政府采购活动前三年内，在经营活动中没有重大违法记录提供以</w:t>
      </w:r>
      <w:r>
        <w:rPr>
          <w:rFonts w:hint="eastAsia" w:ascii="仿宋" w:hAnsi="仿宋" w:eastAsia="仿宋" w:cs="仿宋"/>
          <w:b/>
          <w:bCs/>
          <w:color w:val="auto"/>
          <w:spacing w:val="-20"/>
          <w:sz w:val="24"/>
          <w:szCs w:val="24"/>
          <w:highlight w:val="none"/>
        </w:rPr>
        <w:t>下证明材料：</w:t>
      </w:r>
      <w:r>
        <w:rPr>
          <w:rFonts w:hint="eastAsia" w:ascii="仿宋" w:hAnsi="仿宋" w:eastAsia="仿宋" w:cs="仿宋"/>
          <w:color w:val="auto"/>
          <w:sz w:val="24"/>
          <w:szCs w:val="24"/>
          <w:highlight w:val="none"/>
        </w:rPr>
        <w:t>供应商参加政府采购活动前三年内，在经营活动中没有重大违法记录的书面声明材料原件。</w:t>
      </w:r>
    </w:p>
    <w:p>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b/>
          <w:bCs/>
          <w:color w:val="auto"/>
          <w:sz w:val="24"/>
          <w:szCs w:val="24"/>
          <w:highlight w:val="none"/>
        </w:rPr>
        <w:t>（二）</w:t>
      </w:r>
      <w:r>
        <w:rPr>
          <w:rFonts w:hint="eastAsia" w:ascii="仿宋" w:hAnsi="仿宋" w:eastAsia="仿宋" w:cs="仿宋"/>
          <w:b/>
          <w:bCs/>
          <w:color w:val="auto"/>
          <w:sz w:val="24"/>
          <w:highlight w:val="none"/>
        </w:rPr>
        <w:t>落实政府采购政策需满足的资格要求</w:t>
      </w:r>
      <w:r>
        <w:rPr>
          <w:rFonts w:hint="eastAsia" w:ascii="仿宋" w:hAnsi="仿宋" w:eastAsia="仿宋" w:cs="仿宋"/>
          <w:b/>
          <w:bCs/>
          <w:color w:val="auto"/>
          <w:sz w:val="24"/>
          <w:highlight w:val="none"/>
          <w:lang w:eastAsia="zh-CN"/>
        </w:rPr>
        <w:t>：</w:t>
      </w:r>
      <w:r>
        <w:rPr>
          <w:rFonts w:hint="eastAsia" w:ascii="仿宋" w:hAnsi="仿宋" w:eastAsia="仿宋" w:cs="仿宋"/>
          <w:color w:val="auto"/>
          <w:sz w:val="24"/>
          <w:highlight w:val="none"/>
          <w:lang w:val="en-US" w:eastAsia="zh-CN"/>
        </w:rPr>
        <w:t>02包、03包：专门面向中小企业采购的项目,供应商应为中小微企业、监狱企业、残疾人福利性单位。</w:t>
      </w:r>
    </w:p>
    <w:p>
      <w:pPr>
        <w:pStyle w:val="9"/>
        <w:rPr>
          <w:rFonts w:hint="eastAsia" w:ascii="仿宋" w:hAnsi="仿宋" w:eastAsia="仿宋" w:cs="仿宋"/>
          <w:color w:val="auto"/>
          <w:lang w:val="en-US" w:eastAsia="zh-CN"/>
        </w:rPr>
      </w:pPr>
      <w:r>
        <w:rPr>
          <w:rFonts w:hint="eastAsia" w:ascii="仿宋" w:hAnsi="仿宋" w:eastAsia="仿宋" w:cs="仿宋"/>
          <w:b/>
          <w:color w:val="auto"/>
          <w:sz w:val="24"/>
          <w:szCs w:val="24"/>
        </w:rPr>
        <w:t>（三）采购人根据采购项目提出的特殊条件：</w:t>
      </w:r>
      <w:r>
        <w:rPr>
          <w:rFonts w:hint="eastAsia" w:ascii="仿宋" w:hAnsi="仿宋" w:eastAsia="仿宋" w:cs="仿宋"/>
          <w:bCs/>
          <w:color w:val="auto"/>
          <w:sz w:val="24"/>
          <w:szCs w:val="24"/>
        </w:rPr>
        <w:t>无。</w:t>
      </w:r>
    </w:p>
    <w:p>
      <w:pPr>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四</w:t>
      </w:r>
      <w:r>
        <w:rPr>
          <w:rFonts w:hint="eastAsia" w:ascii="仿宋" w:hAnsi="仿宋" w:eastAsia="仿宋" w:cs="仿宋"/>
          <w:b/>
          <w:bCs/>
          <w:color w:val="auto"/>
          <w:sz w:val="24"/>
          <w:szCs w:val="24"/>
          <w:highlight w:val="none"/>
        </w:rPr>
        <w:t>）其他类似效力要求相关证明材料：</w:t>
      </w:r>
    </w:p>
    <w:p>
      <w:pPr>
        <w:spacing w:line="360" w:lineRule="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1.法定代表人身份证复印件或护照复印件［注：①法定代表人身份证复印件（在有效期内、两面均应复印）或护照复印件（法定代表人为外籍人士的，按此提供）；</w:t>
      </w:r>
    </w:p>
    <w:p>
      <w:pPr>
        <w:spacing w:line="360" w:lineRule="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2.代理人身份证复印件（身份证两面均应复印）（注：①在有效期内；②由供应商法定代表人签署所有</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并参加报价的，则可不提供）。</w:t>
      </w:r>
    </w:p>
    <w:p>
      <w:pPr>
        <w:spacing w:line="360" w:lineRule="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3.法人授权书原件（注：①非法定代表人签署所有</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并参加报价的适用；②非独立法人机构提供相应的负责人授权书原件。）</w:t>
      </w:r>
    </w:p>
    <w:p>
      <w:pPr>
        <w:rPr>
          <w:rFonts w:hint="eastAsia" w:ascii="仿宋" w:hAnsi="仿宋" w:eastAsia="仿宋" w:cs="仿宋"/>
          <w:b/>
          <w:bCs/>
          <w:color w:val="auto"/>
          <w:sz w:val="32"/>
          <w:szCs w:val="32"/>
          <w:highlight w:val="none"/>
        </w:rPr>
      </w:pPr>
      <w:bookmarkStart w:id="88" w:name="_Toc32584"/>
      <w:bookmarkStart w:id="89" w:name="_Toc4361"/>
      <w:r>
        <w:rPr>
          <w:rFonts w:hint="eastAsia" w:ascii="仿宋" w:hAnsi="仿宋" w:eastAsia="仿宋" w:cs="仿宋"/>
          <w:b/>
          <w:bCs/>
          <w:color w:val="auto"/>
          <w:sz w:val="32"/>
          <w:szCs w:val="32"/>
          <w:highlight w:val="none"/>
        </w:rPr>
        <w:br w:type="page"/>
      </w:r>
    </w:p>
    <w:p>
      <w:pPr>
        <w:spacing w:line="360" w:lineRule="auto"/>
        <w:jc w:val="center"/>
        <w:outlineLvl w:val="0"/>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第五章</w:t>
      </w:r>
      <w:r>
        <w:rPr>
          <w:rFonts w:hint="eastAsia" w:ascii="仿宋" w:hAnsi="仿宋" w:eastAsia="仿宋" w:cs="仿宋"/>
          <w:b/>
          <w:bCs/>
          <w:color w:val="auto"/>
          <w:sz w:val="32"/>
          <w:szCs w:val="32"/>
          <w:highlight w:val="none"/>
          <w:lang w:val="en-US" w:eastAsia="zh-CN"/>
        </w:rPr>
        <w:t xml:space="preserve"> </w:t>
      </w:r>
      <w:r>
        <w:rPr>
          <w:rFonts w:hint="eastAsia" w:ascii="仿宋" w:hAnsi="仿宋" w:eastAsia="仿宋" w:cs="仿宋"/>
          <w:b/>
          <w:bCs/>
          <w:color w:val="auto"/>
          <w:sz w:val="32"/>
          <w:szCs w:val="32"/>
          <w:highlight w:val="none"/>
        </w:rPr>
        <w:t>采购项目技术、服务、合同内容重要条款及其他商务要求</w:t>
      </w:r>
      <w:bookmarkEnd w:id="88"/>
      <w:bookmarkEnd w:id="89"/>
    </w:p>
    <w:p>
      <w:pPr>
        <w:spacing w:line="360" w:lineRule="auto"/>
        <w:outlineLvl w:val="0"/>
        <w:rPr>
          <w:rFonts w:hint="eastAsia" w:ascii="仿宋" w:hAnsi="仿宋" w:eastAsia="仿宋" w:cs="仿宋"/>
          <w:b w:val="0"/>
          <w:bCs w:val="0"/>
          <w:color w:val="auto"/>
          <w:sz w:val="24"/>
          <w:szCs w:val="24"/>
          <w:highlight w:val="none"/>
          <w:lang w:val="en-US" w:eastAsia="zh-CN"/>
        </w:rPr>
      </w:pPr>
      <w:bookmarkStart w:id="90" w:name="_Toc32235"/>
      <w:r>
        <w:rPr>
          <w:rFonts w:hint="eastAsia" w:ascii="仿宋" w:hAnsi="仿宋" w:eastAsia="仿宋" w:cs="仿宋"/>
          <w:b/>
          <w:bCs/>
          <w:color w:val="auto"/>
          <w:sz w:val="24"/>
          <w:szCs w:val="24"/>
          <w:highlight w:val="none"/>
          <w:lang w:val="en-US" w:eastAsia="zh-CN"/>
        </w:rPr>
        <w:t>前提：</w:t>
      </w:r>
      <w:r>
        <w:rPr>
          <w:rFonts w:hint="eastAsia" w:ascii="仿宋" w:hAnsi="仿宋" w:eastAsia="仿宋" w:cs="仿宋"/>
          <w:b w:val="0"/>
          <w:bCs w:val="0"/>
          <w:color w:val="auto"/>
          <w:sz w:val="24"/>
          <w:szCs w:val="24"/>
          <w:highlight w:val="none"/>
          <w:lang w:val="en-US" w:eastAsia="zh-CN"/>
        </w:rPr>
        <w:t>①本章带“</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”号条款为实质性要求，投标人若未满足的，将被视为无效投标。②本项目核心产品：01包：洗衣机；02包：乳胶漆。</w:t>
      </w:r>
      <w:r>
        <w:rPr>
          <w:rFonts w:hint="eastAsia" w:ascii="仿宋" w:hAnsi="仿宋" w:eastAsia="仿宋" w:cs="仿宋"/>
          <w:b w:val="0"/>
          <w:bCs w:val="0"/>
          <w:color w:val="FF0000"/>
          <w:sz w:val="24"/>
          <w:szCs w:val="24"/>
          <w:highlight w:val="none"/>
          <w:lang w:val="en-US" w:eastAsia="zh-CN"/>
        </w:rPr>
        <w:t>③本项目涉及企业资质、产品认证、人员执业资格等描述与国家最新要求不一致时以最新要求为准。</w:t>
      </w:r>
    </w:p>
    <w:p>
      <w:pPr>
        <w:rPr>
          <w:rFonts w:hint="eastAsia" w:ascii="仿宋" w:hAnsi="仿宋" w:eastAsia="仿宋" w:cs="仿宋"/>
          <w:lang w:val="en-US" w:eastAsia="zh-CN"/>
        </w:rPr>
      </w:pPr>
    </w:p>
    <w:p>
      <w:pPr>
        <w:spacing w:line="360" w:lineRule="auto"/>
        <w:outlineLvl w:val="0"/>
        <w:rPr>
          <w:rFonts w:hint="eastAsia" w:ascii="仿宋" w:hAnsi="仿宋" w:eastAsia="仿宋" w:cs="仿宋"/>
          <w:b/>
          <w:bCs/>
          <w:color w:val="auto"/>
          <w:sz w:val="24"/>
          <w:szCs w:val="24"/>
          <w:highlight w:val="none"/>
          <w:lang w:val="en-US" w:eastAsia="zh-CN"/>
        </w:rPr>
      </w:pPr>
    </w:p>
    <w:p>
      <w:pPr>
        <w:spacing w:line="360" w:lineRule="auto"/>
        <w:outlineLvl w:val="0"/>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一、项目概述</w:t>
      </w:r>
    </w:p>
    <w:p>
      <w:pPr>
        <w:spacing w:line="360" w:lineRule="auto"/>
        <w:ind w:firstLine="480" w:firstLineChars="200"/>
        <w:outlineLvl w:val="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本项目共三个包，成都市双流区中医医院其他货物采购项目。</w:t>
      </w:r>
    </w:p>
    <w:p>
      <w:pPr>
        <w:spacing w:line="360" w:lineRule="auto"/>
        <w:outlineLvl w:val="0"/>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二、商务要求</w:t>
      </w:r>
    </w:p>
    <w:p>
      <w:pPr>
        <w:spacing w:line="360" w:lineRule="auto"/>
        <w:ind w:firstLine="480" w:firstLineChars="200"/>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（一）交货</w:t>
      </w:r>
      <w:r>
        <w:rPr>
          <w:rFonts w:hint="eastAsia" w:ascii="仿宋" w:hAnsi="仿宋" w:eastAsia="仿宋" w:cs="仿宋"/>
          <w:b w:val="0"/>
          <w:bCs w:val="0"/>
          <w:color w:val="auto"/>
          <w:sz w:val="24"/>
          <w:szCs w:val="24"/>
          <w:highlight w:val="none"/>
          <w:lang w:eastAsia="zh-CN"/>
        </w:rPr>
        <w:t>时间</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eastAsia="zh-CN"/>
        </w:rPr>
        <w:t>第一包、第二包按照采购人要求送货；第三包</w:t>
      </w:r>
      <w:r>
        <w:rPr>
          <w:rFonts w:hint="eastAsia" w:ascii="仿宋" w:hAnsi="仿宋" w:eastAsia="仿宋" w:cs="仿宋"/>
          <w:b w:val="0"/>
          <w:bCs w:val="0"/>
          <w:color w:val="auto"/>
          <w:sz w:val="24"/>
          <w:szCs w:val="24"/>
          <w:highlight w:val="none"/>
        </w:rPr>
        <w:t>合同签订生效之日起30天内。</w:t>
      </w:r>
    </w:p>
    <w:p>
      <w:pPr>
        <w:spacing w:line="360" w:lineRule="auto"/>
        <w:ind w:firstLine="480" w:firstLineChars="200"/>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（二）交货地点：成都市双流区中医医院。</w:t>
      </w:r>
    </w:p>
    <w:p>
      <w:pPr>
        <w:spacing w:line="360" w:lineRule="auto"/>
        <w:ind w:firstLine="480" w:firstLineChars="200"/>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（三）付款方式及条件：</w:t>
      </w:r>
    </w:p>
    <w:p>
      <w:pPr>
        <w:spacing w:line="360" w:lineRule="auto"/>
        <w:ind w:firstLine="480" w:firstLineChars="200"/>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1.签订合同后5个工作日内，采购人向中标人支付合同金额的30%。</w:t>
      </w:r>
    </w:p>
    <w:p>
      <w:pPr>
        <w:spacing w:line="360" w:lineRule="auto"/>
        <w:ind w:firstLine="480" w:firstLineChars="200"/>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2.前期所送货物款项从预付合同价30%中扣除，预付款扣除完毕后，每月验收合格据实结算一次。</w:t>
      </w:r>
    </w:p>
    <w:p>
      <w:pPr>
        <w:spacing w:line="360" w:lineRule="auto"/>
        <w:ind w:firstLine="480" w:firstLineChars="200"/>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3.中标人每月</w:t>
      </w:r>
      <w:r>
        <w:rPr>
          <w:rFonts w:hint="eastAsia" w:ascii="仿宋" w:hAnsi="仿宋" w:eastAsia="仿宋" w:cs="仿宋"/>
          <w:b w:val="0"/>
          <w:bCs w:val="0"/>
          <w:color w:val="auto"/>
          <w:sz w:val="24"/>
          <w:szCs w:val="24"/>
          <w:highlight w:val="none"/>
          <w:lang w:eastAsia="zh-CN"/>
        </w:rPr>
        <w:t>具合法有效完整的完税发票及凭证资料进行支付结算</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eastAsia="zh-CN"/>
        </w:rPr>
        <w:t>在双方核对无误</w:t>
      </w:r>
      <w:r>
        <w:rPr>
          <w:rFonts w:hint="eastAsia" w:ascii="仿宋" w:hAnsi="仿宋" w:eastAsia="仿宋" w:cs="仿宋"/>
          <w:b w:val="0"/>
          <w:bCs w:val="0"/>
          <w:color w:val="auto"/>
          <w:sz w:val="24"/>
          <w:szCs w:val="24"/>
          <w:highlight w:val="none"/>
          <w:lang w:val="en-US" w:eastAsia="zh-CN"/>
        </w:rPr>
        <w:t>后</w:t>
      </w:r>
      <w:r>
        <w:rPr>
          <w:rFonts w:hint="eastAsia" w:ascii="仿宋" w:hAnsi="仿宋" w:eastAsia="仿宋" w:cs="仿宋"/>
          <w:b w:val="0"/>
          <w:bCs w:val="0"/>
          <w:color w:val="auto"/>
          <w:sz w:val="24"/>
          <w:szCs w:val="24"/>
          <w:highlight w:val="none"/>
        </w:rPr>
        <w:t>以转账方式支付。</w:t>
      </w:r>
    </w:p>
    <w:p>
      <w:pPr>
        <w:spacing w:line="360" w:lineRule="auto"/>
        <w:ind w:firstLine="480" w:firstLineChars="200"/>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四）验收标准：本项目采购人将严格按照政府采购相关法律法规、招标文件和投标文件以及国家和行业相关强制性标准以及《财政部关于进一步加强政府采购需求和履约验收管理的指导意见》（财库[2016]205号）的要求进行验收。</w:t>
      </w:r>
    </w:p>
    <w:p>
      <w:pPr>
        <w:spacing w:line="360" w:lineRule="auto"/>
        <w:ind w:firstLine="480" w:firstLineChars="200"/>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（五）售后服务要求</w:t>
      </w:r>
    </w:p>
    <w:p>
      <w:pPr>
        <w:spacing w:line="360" w:lineRule="auto"/>
        <w:ind w:firstLine="480" w:firstLineChars="200"/>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采购人有紧急需求时，供应商应及时响应，认真对待，必须根据采购人的要求按时、按量将所需其他货物送至指定地点。</w:t>
      </w:r>
    </w:p>
    <w:p>
      <w:pPr>
        <w:spacing w:line="360" w:lineRule="auto"/>
        <w:ind w:firstLine="480" w:firstLineChars="200"/>
        <w:outlineLvl w:val="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按照所投品牌、产地、质量、价格、规格、有效期及时供货。如不能满足招标方需求，直接影响招标方工作，对招标方造成直接或间接经济损失及负面影响的，将停止供货，并按照相关法律及规定承担赔偿责任。</w:t>
      </w:r>
    </w:p>
    <w:p>
      <w:pPr>
        <w:spacing w:line="360" w:lineRule="auto"/>
        <w:ind w:firstLine="480" w:firstLineChars="200"/>
        <w:outlineLvl w:val="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质保期内若有质量缺陷，供应商接到通知后应在2小时内作出相应，24小时内赶到现场处理问题或提出解决方案，解决不了的更换相同的全新材料，产生的一切费用由供应商承担。由采购人使用不当造成的货物损失，供应商也应当进行更换或补充，但因此造成的费用由采购人承担。</w:t>
      </w:r>
    </w:p>
    <w:p>
      <w:pPr>
        <w:spacing w:line="360" w:lineRule="auto"/>
        <w:ind w:firstLine="480" w:firstLineChars="200"/>
        <w:outlineLvl w:val="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4.须指派专人负责与采购人联系供货及售后服务事宜，根据采购人下达的采购清单，由专人对清单所列器材的型号，规格进行采购，对不常用器材，不能及时供应的，应当积极组织，并及时告知准确送达时间。</w:t>
      </w:r>
    </w:p>
    <w:p>
      <w:pPr>
        <w:spacing w:line="360" w:lineRule="auto"/>
        <w:ind w:firstLine="480" w:firstLineChars="200"/>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（六）响应时间</w:t>
      </w:r>
    </w:p>
    <w:p>
      <w:pPr>
        <w:spacing w:line="360" w:lineRule="auto"/>
        <w:ind w:firstLine="480" w:firstLineChars="200"/>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eastAsia="zh-CN"/>
        </w:rPr>
        <w:t>第一包、第二包：供应商接到采购人送货通知后</w:t>
      </w:r>
      <w:r>
        <w:rPr>
          <w:rFonts w:hint="eastAsia" w:ascii="仿宋" w:hAnsi="仿宋" w:eastAsia="仿宋" w:cs="仿宋"/>
          <w:b w:val="0"/>
          <w:bCs w:val="0"/>
          <w:color w:val="auto"/>
          <w:sz w:val="24"/>
          <w:szCs w:val="24"/>
          <w:highlight w:val="none"/>
          <w:lang w:val="en-US" w:eastAsia="zh-CN"/>
        </w:rPr>
        <w:t>30分钟内响应，2小时</w:t>
      </w:r>
      <w:r>
        <w:rPr>
          <w:rFonts w:hint="eastAsia" w:ascii="仿宋" w:hAnsi="仿宋" w:eastAsia="仿宋" w:cs="仿宋"/>
          <w:b w:val="0"/>
          <w:bCs w:val="0"/>
          <w:color w:val="auto"/>
          <w:sz w:val="24"/>
          <w:szCs w:val="24"/>
          <w:highlight w:val="none"/>
        </w:rPr>
        <w:t>内将货物送到采购人指定地点，</w:t>
      </w:r>
      <w:r>
        <w:rPr>
          <w:rFonts w:hint="eastAsia" w:ascii="仿宋" w:hAnsi="仿宋" w:eastAsia="仿宋" w:cs="仿宋"/>
          <w:b w:val="0"/>
          <w:bCs w:val="0"/>
          <w:color w:val="auto"/>
          <w:sz w:val="24"/>
          <w:szCs w:val="24"/>
          <w:highlight w:val="none"/>
          <w:lang w:eastAsia="zh-CN"/>
        </w:rPr>
        <w:t>紧急</w:t>
      </w:r>
      <w:r>
        <w:rPr>
          <w:rFonts w:hint="eastAsia" w:ascii="仿宋" w:hAnsi="仿宋" w:eastAsia="仿宋" w:cs="仿宋"/>
          <w:b w:val="0"/>
          <w:bCs w:val="0"/>
          <w:color w:val="auto"/>
          <w:sz w:val="24"/>
          <w:szCs w:val="24"/>
          <w:highlight w:val="none"/>
        </w:rPr>
        <w:t>情况</w:t>
      </w:r>
      <w:r>
        <w:rPr>
          <w:rFonts w:hint="eastAsia" w:ascii="仿宋" w:hAnsi="仿宋" w:eastAsia="仿宋" w:cs="仿宋"/>
          <w:b w:val="0"/>
          <w:bCs w:val="0"/>
          <w:color w:val="auto"/>
          <w:sz w:val="24"/>
          <w:szCs w:val="24"/>
          <w:highlight w:val="none"/>
          <w:lang w:eastAsia="zh-CN"/>
        </w:rPr>
        <w:t>下必须在</w:t>
      </w:r>
      <w:r>
        <w:rPr>
          <w:rFonts w:hint="eastAsia" w:ascii="仿宋" w:hAnsi="仿宋" w:eastAsia="仿宋" w:cs="仿宋"/>
          <w:b w:val="0"/>
          <w:bCs w:val="0"/>
          <w:color w:val="auto"/>
          <w:sz w:val="24"/>
          <w:szCs w:val="24"/>
          <w:highlight w:val="none"/>
          <w:lang w:val="en-US" w:eastAsia="zh-CN"/>
        </w:rPr>
        <w:t>1小时</w:t>
      </w:r>
      <w:r>
        <w:rPr>
          <w:rFonts w:hint="eastAsia" w:ascii="仿宋" w:hAnsi="仿宋" w:eastAsia="仿宋" w:cs="仿宋"/>
          <w:b w:val="0"/>
          <w:bCs w:val="0"/>
          <w:color w:val="auto"/>
          <w:sz w:val="24"/>
          <w:szCs w:val="24"/>
          <w:highlight w:val="none"/>
        </w:rPr>
        <w:t>内</w:t>
      </w:r>
      <w:r>
        <w:rPr>
          <w:rFonts w:hint="eastAsia" w:ascii="仿宋" w:hAnsi="仿宋" w:eastAsia="仿宋" w:cs="仿宋"/>
          <w:b w:val="0"/>
          <w:bCs w:val="0"/>
          <w:color w:val="auto"/>
          <w:sz w:val="24"/>
          <w:szCs w:val="24"/>
          <w:highlight w:val="none"/>
          <w:lang w:eastAsia="zh-CN"/>
        </w:rPr>
        <w:t>送达。供应商</w:t>
      </w:r>
      <w:r>
        <w:rPr>
          <w:rFonts w:hint="eastAsia" w:ascii="仿宋" w:hAnsi="仿宋" w:eastAsia="仿宋" w:cs="仿宋"/>
          <w:b w:val="0"/>
          <w:bCs w:val="0"/>
          <w:color w:val="auto"/>
          <w:sz w:val="24"/>
          <w:szCs w:val="24"/>
          <w:highlight w:val="none"/>
        </w:rPr>
        <w:t>如有特殊</w:t>
      </w:r>
      <w:r>
        <w:rPr>
          <w:rFonts w:hint="eastAsia" w:ascii="仿宋" w:hAnsi="仿宋" w:eastAsia="仿宋" w:cs="仿宋"/>
          <w:b w:val="0"/>
          <w:bCs w:val="0"/>
          <w:color w:val="auto"/>
          <w:sz w:val="24"/>
          <w:szCs w:val="24"/>
          <w:highlight w:val="none"/>
          <w:lang w:eastAsia="zh-CN"/>
        </w:rPr>
        <w:t>情况不能送达，</w:t>
      </w:r>
      <w:r>
        <w:rPr>
          <w:rFonts w:hint="eastAsia" w:ascii="仿宋" w:hAnsi="仿宋" w:eastAsia="仿宋" w:cs="仿宋"/>
          <w:b w:val="0"/>
          <w:bCs w:val="0"/>
          <w:color w:val="auto"/>
          <w:sz w:val="24"/>
          <w:szCs w:val="24"/>
          <w:highlight w:val="none"/>
        </w:rPr>
        <w:t>必须提前与采购人沟通并得到认可。</w:t>
      </w:r>
    </w:p>
    <w:p>
      <w:pPr>
        <w:spacing w:line="360" w:lineRule="auto"/>
        <w:ind w:firstLine="480" w:firstLineChars="200"/>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第三包：</w:t>
      </w:r>
      <w:r>
        <w:rPr>
          <w:rFonts w:hint="eastAsia" w:ascii="仿宋" w:hAnsi="仿宋" w:eastAsia="仿宋" w:cs="仿宋"/>
          <w:b w:val="0"/>
          <w:bCs w:val="0"/>
          <w:color w:val="auto"/>
          <w:sz w:val="24"/>
          <w:szCs w:val="24"/>
          <w:highlight w:val="none"/>
          <w:lang w:eastAsia="zh-CN"/>
        </w:rPr>
        <w:t>供应商接到采购人送货通知后</w:t>
      </w:r>
      <w:r>
        <w:rPr>
          <w:rFonts w:hint="eastAsia" w:ascii="仿宋" w:hAnsi="仿宋" w:eastAsia="仿宋" w:cs="仿宋"/>
          <w:b w:val="0"/>
          <w:bCs w:val="0"/>
          <w:color w:val="auto"/>
          <w:sz w:val="24"/>
          <w:szCs w:val="24"/>
          <w:highlight w:val="none"/>
          <w:lang w:val="en-US" w:eastAsia="zh-CN"/>
        </w:rPr>
        <w:t>30分钟内响应</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2小时</w:t>
      </w:r>
      <w:r>
        <w:rPr>
          <w:rFonts w:hint="eastAsia" w:ascii="仿宋" w:hAnsi="仿宋" w:eastAsia="仿宋" w:cs="仿宋"/>
          <w:b w:val="0"/>
          <w:bCs w:val="0"/>
          <w:color w:val="auto"/>
          <w:sz w:val="24"/>
          <w:szCs w:val="24"/>
          <w:highlight w:val="none"/>
        </w:rPr>
        <w:t>内将货物送到采购人指定地点</w:t>
      </w:r>
      <w:r>
        <w:rPr>
          <w:rFonts w:hint="eastAsia" w:ascii="仿宋" w:hAnsi="仿宋" w:eastAsia="仿宋" w:cs="仿宋"/>
          <w:b w:val="0"/>
          <w:bCs w:val="0"/>
          <w:color w:val="auto"/>
          <w:sz w:val="24"/>
          <w:szCs w:val="24"/>
          <w:highlight w:val="none"/>
          <w:lang w:eastAsia="zh-CN"/>
        </w:rPr>
        <w:t>。供应商</w:t>
      </w:r>
      <w:r>
        <w:rPr>
          <w:rFonts w:hint="eastAsia" w:ascii="仿宋" w:hAnsi="仿宋" w:eastAsia="仿宋" w:cs="仿宋"/>
          <w:b w:val="0"/>
          <w:bCs w:val="0"/>
          <w:color w:val="auto"/>
          <w:sz w:val="24"/>
          <w:szCs w:val="24"/>
          <w:highlight w:val="none"/>
        </w:rPr>
        <w:t>如有特殊</w:t>
      </w:r>
      <w:r>
        <w:rPr>
          <w:rFonts w:hint="eastAsia" w:ascii="仿宋" w:hAnsi="仿宋" w:eastAsia="仿宋" w:cs="仿宋"/>
          <w:b w:val="0"/>
          <w:bCs w:val="0"/>
          <w:color w:val="auto"/>
          <w:sz w:val="24"/>
          <w:szCs w:val="24"/>
          <w:highlight w:val="none"/>
          <w:lang w:eastAsia="zh-CN"/>
        </w:rPr>
        <w:t>情况不能送达，</w:t>
      </w:r>
      <w:r>
        <w:rPr>
          <w:rFonts w:hint="eastAsia" w:ascii="仿宋" w:hAnsi="仿宋" w:eastAsia="仿宋" w:cs="仿宋"/>
          <w:b w:val="0"/>
          <w:bCs w:val="0"/>
          <w:color w:val="auto"/>
          <w:sz w:val="24"/>
          <w:szCs w:val="24"/>
          <w:highlight w:val="none"/>
        </w:rPr>
        <w:t>必须提前与采购人沟通并得到认可。</w:t>
      </w:r>
    </w:p>
    <w:p>
      <w:pPr>
        <w:spacing w:line="360" w:lineRule="auto"/>
        <w:outlineLvl w:val="0"/>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三、</w:t>
      </w:r>
      <w:r>
        <w:rPr>
          <w:rFonts w:hint="eastAsia" w:ascii="仿宋" w:hAnsi="仿宋" w:eastAsia="仿宋" w:cs="仿宋"/>
          <w:b/>
          <w:bCs/>
          <w:color w:val="auto"/>
          <w:sz w:val="24"/>
          <w:szCs w:val="24"/>
          <w:highlight w:val="none"/>
        </w:rPr>
        <w:t>项目</w:t>
      </w:r>
      <w:r>
        <w:rPr>
          <w:rFonts w:hint="eastAsia" w:ascii="仿宋" w:hAnsi="仿宋" w:eastAsia="仿宋" w:cs="仿宋"/>
          <w:b/>
          <w:bCs/>
          <w:color w:val="auto"/>
          <w:sz w:val="24"/>
          <w:szCs w:val="24"/>
          <w:highlight w:val="none"/>
          <w:lang w:val="en-US" w:eastAsia="zh-CN"/>
        </w:rPr>
        <w:t>清单及</w:t>
      </w:r>
      <w:r>
        <w:rPr>
          <w:rFonts w:hint="eastAsia" w:ascii="仿宋" w:hAnsi="仿宋" w:eastAsia="仿宋" w:cs="仿宋"/>
          <w:b/>
          <w:bCs/>
          <w:color w:val="auto"/>
          <w:sz w:val="24"/>
          <w:szCs w:val="24"/>
          <w:highlight w:val="none"/>
        </w:rPr>
        <w:t>要求</w:t>
      </w:r>
    </w:p>
    <w:p>
      <w:pPr>
        <w:spacing w:line="360" w:lineRule="auto"/>
        <w:outlineLvl w:val="0"/>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第一包</w:t>
      </w:r>
    </w:p>
    <w:tbl>
      <w:tblPr>
        <w:tblStyle w:val="25"/>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80"/>
        <w:gridCol w:w="1502"/>
        <w:gridCol w:w="3730"/>
        <w:gridCol w:w="680"/>
        <w:gridCol w:w="943"/>
        <w:gridCol w:w="11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序号</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名称</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eastAsia="zh-CN"/>
              </w:rPr>
            </w:pPr>
            <w:r>
              <w:rPr>
                <w:rFonts w:hint="eastAsia" w:ascii="仿宋" w:hAnsi="仿宋" w:eastAsia="仿宋" w:cs="仿宋"/>
                <w:i w:val="0"/>
                <w:color w:val="auto"/>
                <w:kern w:val="0"/>
                <w:sz w:val="24"/>
                <w:szCs w:val="24"/>
                <w:u w:val="none"/>
                <w:lang w:val="en-US" w:eastAsia="zh-CN" w:bidi="ar"/>
              </w:rPr>
              <w:t>技术参数</w:t>
            </w:r>
            <w:r>
              <w:rPr>
                <w:rFonts w:hint="eastAsia" w:ascii="仿宋" w:hAnsi="仿宋" w:eastAsia="仿宋" w:cs="仿宋"/>
                <w:i w:val="0"/>
                <w:color w:val="auto"/>
                <w:kern w:val="0"/>
                <w:sz w:val="24"/>
                <w:szCs w:val="24"/>
                <w:highlight w:val="none"/>
                <w:u w:val="none"/>
                <w:lang w:val="en-US" w:eastAsia="zh-CN" w:bidi="ar"/>
              </w:rPr>
              <w:t>（</w:t>
            </w:r>
            <w:r>
              <w:rPr>
                <w:rFonts w:hint="eastAsia" w:ascii="仿宋" w:hAnsi="仿宋" w:eastAsia="仿宋" w:cs="仿宋"/>
                <w:color w:val="auto"/>
                <w:sz w:val="24"/>
                <w:szCs w:val="24"/>
                <w:highlight w:val="none"/>
              </w:rPr>
              <w:t>偏差不超过1%</w:t>
            </w:r>
            <w:r>
              <w:rPr>
                <w:rFonts w:hint="eastAsia" w:ascii="仿宋" w:hAnsi="仿宋" w:eastAsia="仿宋" w:cs="仿宋"/>
                <w:color w:val="auto"/>
                <w:sz w:val="24"/>
                <w:szCs w:val="24"/>
                <w:highlight w:val="none"/>
                <w:lang w:eastAsia="zh-CN"/>
              </w:rPr>
              <w:t>）</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单位</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预计数量</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最高单价限价（元）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百洁布</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含砂 吸水</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张</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毛巾</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竹纤维34*76cm</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条</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线手套</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450克/打，10双/打</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双</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加绒手套</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50cm加绒橡胶手套</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双</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18.96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橡胶手套</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工业手套橡胶手套45CM赖酸碱油</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双</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14.22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小方巾</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30g纯棉、36*35cm</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条</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儿科小方巾</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35*35cm，100%纯棉，执行标准：FZ/T62017-2009，安全技术类别：GB18401-2010（B类）</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条</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儿科浴巾</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75*140cm，100%纯棉，执行标准：FZ/T62017-2009，安全技术类别：GB18401-2010（B类）</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条</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47.41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9</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儿科奶嘴</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天然橡胶，中圆孔或十字孔，中流速，适合新生儿喝奶用</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头花</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发夹，头饰，网兜</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9.48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11</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擦手纸盒</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优质全新聚乙烯， 27*30mm</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47.41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12</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湿巾纸</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18*18cm，10片独立装</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包</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13</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洗衣粉</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260g/包</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包</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14</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肥皂</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202g/块</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块</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15</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清洁剂</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500g油污清洗剂，喷雾</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16</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保鲜盒</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40*27*17cm</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9.48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17</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保鲜盒</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14*10*5cm</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18</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灭害灵</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600ml杀虫气雾剂，安全有效</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筒</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15.17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2"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19</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防虫剂</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防虫防蛀片，樟脑丸，80g/包</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包</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蚊香</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安全环保，10盘/盒</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21</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灭蚊器</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插电式电热灭蚊器</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15.17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22</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灭蚊药片</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无味灭蚊药片33片/盒</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盒</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14.22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23</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橡胶围裙</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防水防油耐酸碱</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根</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9.48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24</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试管刷</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20mm*205mm</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25</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洗洁精</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5kg、温和，快速去油</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37.92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26</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牙刷</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硬毛刷丝</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支</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27</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钢丝球</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不锈钢丝 紧实</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28</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凉拖</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遮背式包头防滑拖鞋、轻便柔软、防滑、塑料、软底，全码</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双</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18.96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29</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保鲜袋</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40*30cm，100只/卷</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卷</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11.38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保鲜膜</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30cm*30m，PE聚乙烯</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卷</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11.38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31</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网筛</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26cm直径不锈钢网筛</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33.18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32</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网筛</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40cm直径,10cm高，不锈钢网筛，80目</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47.41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33</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水鞋</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防滑、橡胶28cm</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双</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25</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37.92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34</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保温壶</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1.9升不锈钢保温壶</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56.89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35</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茶杯</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400ml陶瓷带盖</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14.22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36</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电子台秤</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150kg、可折叠</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台</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227.55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37</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奶锅</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16cm、1.3L、不锈钢</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37.92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38</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电饭锅</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18L、不粘内胆、自动保温</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284.43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39</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电饭锅</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10L、不粘内胆、自动保温</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170.66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40</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电饭锅</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5L、不粘内胆、自动保温</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113.77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41</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电冰箱</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180-210升，压缩式，双门直冷、冷冻冷藏，节能环保型，散热性好，寿命长，使用方便</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台</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1422.17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42</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电磁炉</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2千瓦、防水防溅、断电保护</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台</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284.43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43</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热水器</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40升、储水式电热水器</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758.49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44</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热水器2</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60升、2100W储水式电热水器</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948.12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45</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热水壶</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304不锈钢、1.7L、1800W电热水壶</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47.41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46</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微波炉</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投币式，21L、五档火力、700W，节能环保</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805.9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47</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洗衣机</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智能机，带烘干，静音变频、10公斤全自动滚筒</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1706.61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48</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吸尘器</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1200w、12L、干湿两用</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218.07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49</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除湿机</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额定电压220W、除湿量≥20L/天、水箱容积≥4L，适用面积≥50-100㎡，静音降噪，噪音&lt;45分贝，智能湿度检测。</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2275.48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风扇</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尺寸大小445*1330mm、立式五叶大风量落地扇，底盘加重加厚，网罩加厚，静音底噪，柔和送风，三档风速，自由伸缩，智能定时，节能环保</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161.18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51</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密封罐</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1.2L，玻璃</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17.07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52</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密封罐</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0.75L</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14.22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53</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药酒罐</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10L</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56.89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54</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药酒罐</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20L</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75.85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55</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青花瓷罐</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2L，青花瓷</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75.85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56</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卫生间地垫</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定制，镂空PVC防滑，高耐磨塑胶，强韧回弹，防冻防晒，可用水直接冲洗</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47.41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57</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扎带</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自锁式尼龙扎带，规格宽2.8mm,长200mm，500根/包</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包</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9.48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58</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排钩</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不锈钢、6钩</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18.96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59</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大灯笼</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绸布带穗 1.5m</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85.33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60</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小灯笼</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4个/串 15cm</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串</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61</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烘焙吸油纸</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食品级硅油纸、10*0.3m、耐热范围220℃</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卷</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9.48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62</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无纺布袋</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8*12cm</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根</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100000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63</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无纺布袋</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10*15cm</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根</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50000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0.08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64</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无纺布袋</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13*18cm</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根</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30000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0.13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65</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芝麻油</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500mL/桶，国家一级标准，纯芝麻油</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桶</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28.44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66</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菜籽油</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5L/桶，食用压榨菜籽油、精炼三级</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桶</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80.59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67</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棕色塑料瓶</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50ml</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0.47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68</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黄酒</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500ml</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瓶</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9.48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69</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六角膏方瓶</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730ml</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70</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胶囊瓶</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150ml</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0.57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71</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淀粉</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可食用红薯淀粉,1kg/包</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kg</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15.17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72</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丸药壳</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白色塑料9g、φ2.8cm球形空药丸壳</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10000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9"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73</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阿胶糕外包装</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含外袋、保鲜盒、标签三件套，保鲜盒尺寸20*12*7cm</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套</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61.63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74</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阿胶糕内袋</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7*10cm真空袋，三边封单边口</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10000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75</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冰糖</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单晶冰糖、颗粒均匀、可食用</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kg</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9.48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76</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镀铝真空袋</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8*12cm</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20000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77</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镀铝平口袋</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12*18cm（镀铝15丝）</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20000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78</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PE高压平口袋</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11*16cm（8丝）</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20000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79</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牛皮手提袋（膏方）</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10*8*11cm、含手提绳、400g牛皮纸，封口</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80</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牛皮信封袋（荷叶）</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15*21+4cm、防潮防水、牛皮纸站立自封袋</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81</w:t>
            </w:r>
          </w:p>
        </w:tc>
        <w:tc>
          <w:tcPr>
            <w:tcW w:w="1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牛皮手提袋（敞口）</w:t>
            </w:r>
          </w:p>
        </w:tc>
        <w:tc>
          <w:tcPr>
            <w:tcW w:w="37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18*24*7cm、含手提绳、400g牛皮纸，敞口</w:t>
            </w:r>
          </w:p>
        </w:tc>
        <w:tc>
          <w:tcPr>
            <w:tcW w:w="6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0.76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82</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香囊外袋</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普通，8*11cm</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83</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香囊外袋</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高端（小），绸缎香袋、吊穗流苏、8*11cm</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84</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香囊外袋</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高端（大），绸缎香袋、吊穗流苏、8*35cm</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85</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颈椎枕套</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（小）药枕套、含内胆、40*9cm</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86</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护腰垫套</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（大）45*25*5cm，纯棉老粗布</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87</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荞麦壳</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高温消毒、甜荞麦壳</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88</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棉布枕套</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35*55cm、纯棉</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17.07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89</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方药枕</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织棉缎方形枕、52*23*8cm</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37.92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90</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面膜勺子</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13*3cm、塑料面膜棒</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0.66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91</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防尘面具</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工业防尘、头戴式半面罩、含呼吸阀</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套</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180.14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92</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防尘滤芯</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14.5*5.5cm、防尘滤棉</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93</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包装筒膜</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15cm10丝胶带卷，1kg/卷</w:t>
            </w:r>
          </w:p>
        </w:tc>
        <w:tc>
          <w:tcPr>
            <w:tcW w:w="6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卷</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28.44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94</w:t>
            </w:r>
          </w:p>
        </w:tc>
        <w:tc>
          <w:tcPr>
            <w:tcW w:w="1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护腰垫套</w:t>
            </w:r>
          </w:p>
        </w:tc>
        <w:tc>
          <w:tcPr>
            <w:tcW w:w="37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47*25*5cm、纯棉</w:t>
            </w:r>
          </w:p>
        </w:tc>
        <w:tc>
          <w:tcPr>
            <w:tcW w:w="6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95</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开窗手提盒</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27*20*14cm、牛皮纸手提盒、开窗</w:t>
            </w:r>
          </w:p>
        </w:tc>
        <w:tc>
          <w:tcPr>
            <w:tcW w:w="6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0.76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96</w:t>
            </w:r>
          </w:p>
        </w:tc>
        <w:tc>
          <w:tcPr>
            <w:tcW w:w="1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锤片</w:t>
            </w:r>
          </w:p>
        </w:tc>
        <w:tc>
          <w:tcPr>
            <w:tcW w:w="37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wkx-240c粉碎机锤片，20片/套、含锤片螺丝螺母</w:t>
            </w:r>
          </w:p>
        </w:tc>
        <w:tc>
          <w:tcPr>
            <w:tcW w:w="6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套</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521.46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97</w:t>
            </w:r>
          </w:p>
        </w:tc>
        <w:tc>
          <w:tcPr>
            <w:tcW w:w="1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出口布袋</w:t>
            </w:r>
          </w:p>
        </w:tc>
        <w:tc>
          <w:tcPr>
            <w:tcW w:w="3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wkx-240c粉碎机出口布袋、4m</w:t>
            </w:r>
          </w:p>
        </w:tc>
        <w:tc>
          <w:tcPr>
            <w:tcW w:w="6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套</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94.81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98</w:t>
            </w:r>
          </w:p>
        </w:tc>
        <w:tc>
          <w:tcPr>
            <w:tcW w:w="1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自封袋</w:t>
            </w:r>
          </w:p>
        </w:tc>
        <w:tc>
          <w:tcPr>
            <w:tcW w:w="3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10*15cm</w:t>
            </w:r>
          </w:p>
        </w:tc>
        <w:tc>
          <w:tcPr>
            <w:tcW w:w="6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50000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99</w:t>
            </w:r>
          </w:p>
        </w:tc>
        <w:tc>
          <w:tcPr>
            <w:tcW w:w="1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自封袋</w:t>
            </w:r>
          </w:p>
        </w:tc>
        <w:tc>
          <w:tcPr>
            <w:tcW w:w="3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14*20cm</w:t>
            </w:r>
          </w:p>
        </w:tc>
        <w:tc>
          <w:tcPr>
            <w:tcW w:w="6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50000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9" w:hRule="atLeast"/>
          <w:jc w:val="center"/>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100</w:t>
            </w:r>
          </w:p>
        </w:tc>
        <w:tc>
          <w:tcPr>
            <w:tcW w:w="1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自封袋</w:t>
            </w:r>
          </w:p>
        </w:tc>
        <w:tc>
          <w:tcPr>
            <w:tcW w:w="3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12*17cm</w:t>
            </w:r>
          </w:p>
        </w:tc>
        <w:tc>
          <w:tcPr>
            <w:tcW w:w="6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30000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0.07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101</w:t>
            </w:r>
          </w:p>
        </w:tc>
        <w:tc>
          <w:tcPr>
            <w:tcW w:w="1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膏方包装卷</w:t>
            </w:r>
          </w:p>
        </w:tc>
        <w:tc>
          <w:tcPr>
            <w:tcW w:w="37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7cm</w:t>
            </w:r>
          </w:p>
        </w:tc>
        <w:tc>
          <w:tcPr>
            <w:tcW w:w="6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对</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237.03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102</w:t>
            </w:r>
          </w:p>
        </w:tc>
        <w:tc>
          <w:tcPr>
            <w:tcW w:w="1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整理箱</w:t>
            </w:r>
          </w:p>
        </w:tc>
        <w:tc>
          <w:tcPr>
            <w:tcW w:w="37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33*53</w:t>
            </w:r>
          </w:p>
        </w:tc>
        <w:tc>
          <w:tcPr>
            <w:tcW w:w="6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47.41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103</w:t>
            </w:r>
          </w:p>
        </w:tc>
        <w:tc>
          <w:tcPr>
            <w:tcW w:w="1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调剂盘</w:t>
            </w:r>
          </w:p>
        </w:tc>
        <w:tc>
          <w:tcPr>
            <w:tcW w:w="37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30*35</w:t>
            </w:r>
          </w:p>
        </w:tc>
        <w:tc>
          <w:tcPr>
            <w:tcW w:w="6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42.67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104</w:t>
            </w:r>
          </w:p>
        </w:tc>
        <w:tc>
          <w:tcPr>
            <w:tcW w:w="1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滤纸袋</w:t>
            </w:r>
          </w:p>
        </w:tc>
        <w:tc>
          <w:tcPr>
            <w:tcW w:w="37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7*10.5</w:t>
            </w:r>
          </w:p>
        </w:tc>
        <w:tc>
          <w:tcPr>
            <w:tcW w:w="6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50000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105</w:t>
            </w:r>
          </w:p>
        </w:tc>
        <w:tc>
          <w:tcPr>
            <w:tcW w:w="1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干燥剂</w:t>
            </w:r>
          </w:p>
        </w:tc>
        <w:tc>
          <w:tcPr>
            <w:tcW w:w="37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420克每包</w:t>
            </w:r>
          </w:p>
        </w:tc>
        <w:tc>
          <w:tcPr>
            <w:tcW w:w="6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106</w:t>
            </w:r>
          </w:p>
        </w:tc>
        <w:tc>
          <w:tcPr>
            <w:tcW w:w="1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酊剂喷瓶</w:t>
            </w:r>
          </w:p>
        </w:tc>
        <w:tc>
          <w:tcPr>
            <w:tcW w:w="37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100ml</w:t>
            </w:r>
          </w:p>
        </w:tc>
        <w:tc>
          <w:tcPr>
            <w:tcW w:w="6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0.66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107</w:t>
            </w:r>
          </w:p>
        </w:tc>
        <w:tc>
          <w:tcPr>
            <w:tcW w:w="1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面霜盒</w:t>
            </w:r>
          </w:p>
        </w:tc>
        <w:tc>
          <w:tcPr>
            <w:tcW w:w="37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50g</w:t>
            </w:r>
          </w:p>
        </w:tc>
        <w:tc>
          <w:tcPr>
            <w:tcW w:w="6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0.47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108</w:t>
            </w:r>
          </w:p>
        </w:tc>
        <w:tc>
          <w:tcPr>
            <w:tcW w:w="1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软膏盒</w:t>
            </w:r>
          </w:p>
        </w:tc>
        <w:tc>
          <w:tcPr>
            <w:tcW w:w="37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20g，有内盖，盒体双层</w:t>
            </w:r>
          </w:p>
        </w:tc>
        <w:tc>
          <w:tcPr>
            <w:tcW w:w="6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0.81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109</w:t>
            </w:r>
          </w:p>
        </w:tc>
        <w:tc>
          <w:tcPr>
            <w:tcW w:w="1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药酒瓶</w:t>
            </w:r>
          </w:p>
        </w:tc>
        <w:tc>
          <w:tcPr>
            <w:tcW w:w="37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500ml</w:t>
            </w:r>
          </w:p>
        </w:tc>
        <w:tc>
          <w:tcPr>
            <w:tcW w:w="6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14.22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110</w:t>
            </w:r>
          </w:p>
        </w:tc>
        <w:tc>
          <w:tcPr>
            <w:tcW w:w="1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六角膏方瓶</w:t>
            </w:r>
          </w:p>
        </w:tc>
        <w:tc>
          <w:tcPr>
            <w:tcW w:w="37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500ml、无铅玻璃、密封瓶盖、六角玻璃罐</w:t>
            </w:r>
          </w:p>
        </w:tc>
        <w:tc>
          <w:tcPr>
            <w:tcW w:w="6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111</w:t>
            </w:r>
          </w:p>
        </w:tc>
        <w:tc>
          <w:tcPr>
            <w:tcW w:w="1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六角膏方瓶</w:t>
            </w:r>
          </w:p>
        </w:tc>
        <w:tc>
          <w:tcPr>
            <w:tcW w:w="37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280ml、无铅玻璃、密封瓶盖、六角玻璃罐</w:t>
            </w:r>
          </w:p>
        </w:tc>
        <w:tc>
          <w:tcPr>
            <w:tcW w:w="6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112</w:t>
            </w:r>
          </w:p>
        </w:tc>
        <w:tc>
          <w:tcPr>
            <w:tcW w:w="1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白色液体塑料瓶</w:t>
            </w:r>
          </w:p>
        </w:tc>
        <w:tc>
          <w:tcPr>
            <w:tcW w:w="37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100ml</w:t>
            </w:r>
          </w:p>
        </w:tc>
        <w:tc>
          <w:tcPr>
            <w:tcW w:w="6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0.38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113</w:t>
            </w:r>
          </w:p>
        </w:tc>
        <w:tc>
          <w:tcPr>
            <w:tcW w:w="1683"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棕色口服液瓶</w:t>
            </w:r>
          </w:p>
        </w:tc>
        <w:tc>
          <w:tcPr>
            <w:tcW w:w="3730"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100ml</w:t>
            </w:r>
          </w:p>
        </w:tc>
        <w:tc>
          <w:tcPr>
            <w:tcW w:w="6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0.47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114</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粮食酒</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53度</w:t>
            </w:r>
          </w:p>
        </w:tc>
        <w:tc>
          <w:tcPr>
            <w:tcW w:w="6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斤</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47.41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115</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泡酒瓶</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20L</w:t>
            </w:r>
          </w:p>
        </w:tc>
        <w:tc>
          <w:tcPr>
            <w:tcW w:w="6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142.22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116</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药用复合膜</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14cm</w:t>
            </w:r>
          </w:p>
        </w:tc>
        <w:tc>
          <w:tcPr>
            <w:tcW w:w="6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kg</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130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18.96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117</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过滤纸卷</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14cm</w:t>
            </w:r>
          </w:p>
        </w:tc>
        <w:tc>
          <w:tcPr>
            <w:tcW w:w="6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卷</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379.25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118</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栓剂模具</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2.4g，子弹头型，100孔</w:t>
            </w:r>
          </w:p>
        </w:tc>
        <w:tc>
          <w:tcPr>
            <w:tcW w:w="6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套</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1896.23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119</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栓剂基质</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混合脂肪酸甘油酯，500克每袋</w:t>
            </w:r>
          </w:p>
        </w:tc>
        <w:tc>
          <w:tcPr>
            <w:tcW w:w="6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kg</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75.85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120</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储水桶</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20L</w:t>
            </w:r>
          </w:p>
        </w:tc>
        <w:tc>
          <w:tcPr>
            <w:tcW w:w="6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47.41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121</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凡士林</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500克每瓶</w:t>
            </w:r>
          </w:p>
        </w:tc>
        <w:tc>
          <w:tcPr>
            <w:tcW w:w="6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kg</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17.07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122</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海藻酸钠</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500克每袋</w:t>
            </w:r>
          </w:p>
        </w:tc>
        <w:tc>
          <w:tcPr>
            <w:tcW w:w="6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kg</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75.85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123</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甘油</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500克每瓶</w:t>
            </w:r>
          </w:p>
        </w:tc>
        <w:tc>
          <w:tcPr>
            <w:tcW w:w="6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kg</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124</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雪花膏</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2.5千克每瓶</w:t>
            </w:r>
          </w:p>
        </w:tc>
        <w:tc>
          <w:tcPr>
            <w:tcW w:w="6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kg</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24.65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125</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氧化锌</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500克每瓶</w:t>
            </w:r>
          </w:p>
        </w:tc>
        <w:tc>
          <w:tcPr>
            <w:tcW w:w="6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kg</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47.41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126</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黑膏药基质</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5千克每块</w:t>
            </w:r>
          </w:p>
        </w:tc>
        <w:tc>
          <w:tcPr>
            <w:tcW w:w="6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kg</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33.18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127</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黑膏药布</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10*10cm</w:t>
            </w:r>
          </w:p>
        </w:tc>
        <w:tc>
          <w:tcPr>
            <w:tcW w:w="6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0.47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128</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搅拌机</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FSF90（1.5kw-380V1400转）</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2085.86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129</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电子台秤</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30*40*70cm、150kg、可折叠称重台秤</w:t>
            </w:r>
          </w:p>
        </w:tc>
        <w:tc>
          <w:tcPr>
            <w:tcW w:w="6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227.55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130</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烘盘</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wkh-7-c烘箱烘盘、无孔</w:t>
            </w:r>
          </w:p>
        </w:tc>
        <w:tc>
          <w:tcPr>
            <w:tcW w:w="6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24</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75.85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131</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布渣叶</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500克每袋</w:t>
            </w:r>
          </w:p>
        </w:tc>
        <w:tc>
          <w:tcPr>
            <w:tcW w:w="6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kg</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28.44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132</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桂花</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500克每袋</w:t>
            </w:r>
          </w:p>
        </w:tc>
        <w:tc>
          <w:tcPr>
            <w:tcW w:w="6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kg</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436.13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133</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茉莉花</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500克每袋</w:t>
            </w:r>
          </w:p>
        </w:tc>
        <w:tc>
          <w:tcPr>
            <w:tcW w:w="6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kg</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189.62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134</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甜叶菊</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500克每袋</w:t>
            </w:r>
          </w:p>
        </w:tc>
        <w:tc>
          <w:tcPr>
            <w:tcW w:w="6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kg</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47.41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135</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仙草</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500克每袋</w:t>
            </w:r>
          </w:p>
        </w:tc>
        <w:tc>
          <w:tcPr>
            <w:tcW w:w="6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kg</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22.75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136</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玫瑰茄</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500克每袋</w:t>
            </w:r>
          </w:p>
        </w:tc>
        <w:tc>
          <w:tcPr>
            <w:tcW w:w="6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kg</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47.41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137</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鸡蛋花</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500克每袋</w:t>
            </w:r>
          </w:p>
        </w:tc>
        <w:tc>
          <w:tcPr>
            <w:tcW w:w="68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kg</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66.37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138</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弹盖垃圾桶1</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灰色，加厚新料材质，优质PP材料，40升塑料弹盖中号垃圾桶，摇盖设计，桶与桶身可拆分</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47.41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139</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弹盖垃圾桶2</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灰色，加厚新料材质，优质PP材料，60升塑料弹盖垃圾桶摇盖设计，桶与桶身可拆分</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66.37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140</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脚踏垃圾桶1</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灰色，加厚新料材质，优质PP材料，60L脚踏式垃圾桶塑料</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66.37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141</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脚踏垃圾桶2</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灰色，加厚新料材质，优质PP材料，30L脚踏式垃圾桶塑料</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37.92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142</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医疗垃圾桶1</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符合国家规范标准，精选进口高密度聚乙烯原料，加厚，20L脚踏式垃圾桶塑料，黄色带盖</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33.18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143</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医疗垃圾桶2</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符合国家规范标准，精选进口高密度聚乙烯原料，加厚，30L脚踏式垃圾桶塑料，黄色带盖</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47.41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144</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医疗垃圾桶3</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符合国家规范标准，精选进口高密度聚乙烯原料，加厚，60L脚踏式垃圾桶塑料，黄色带盖</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85.33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145</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医疗垃圾桶4</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符合国家规范标准，精选进口高密度聚乙烯原料，加厚，100L塑料带轮垃圾桶，黄色带盖</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113.77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146</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医疗垃圾桶5</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符合国家规范标准，精选进口高密度聚乙烯原料，加厚，240L塑料带轮垃圾桶，黄色带盖</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170.66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147</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环卫垃圾桶</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符合国家规范标准，100%全新出口高密度聚乙烯原料，环卫定制特厚，加强轮和刹车，660L塑料移动带轮环卫垃圾桶，军绿色，加厚手柄及桶盖，质保一年</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805.9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148</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分类垃圾桶（可回收垃圾和其他垃圾）</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规格780*380*730，外筒不锈钢，内桶镀锌板 （双桶为一个），最好有弹簧盖，蓝色和灰色标识.</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900.71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149</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分类垃圾桶（有毒垃圾和餐厨垃圾）</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highlight w:val="none"/>
                <w:u w:val="none"/>
                <w:lang w:val="en-US" w:eastAsia="zh-CN" w:bidi="ar"/>
              </w:rPr>
              <w:t>规格780*380*730，外筒不锈钢，内桶镀锌板 （双桶为一个），最好有弹簧盖，红色和绿色标识</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900.71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150</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圆形桶</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符合国家规范标准，精选进口高密度聚乙烯原料，加厚，塑料圆形垃圾桶430*690cm，蓝色带盖</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56.89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151</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水桶</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大号钢化带盖35*30cm水桶</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11.38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152</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储物箱1</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钢化无味储物箱540*410*300带盖，加厚加强型，材质韧性，承压力强、便捷滑轮</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47.41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153</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储物箱2</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钢化无味储物箱595*430*370mm带盖，加厚加强型，材质韧性，承压力强、便捷滑轮</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66.37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154</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储物箱3</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钢化无味储物箱670*485*410mm带盖，加厚加强型，材质韧性，承压力强、便捷滑轮</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85.33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155</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手提储物箱1</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大号手提箱、33*23*19cm，全新聚乙烯</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26.55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156</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手提储物箱2</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中号手提箱、26*19*16cm，全新聚乙烯</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157</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整理箱</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白色，48*36*29cm，全新聚乙烯</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37.92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158</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周转箱</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钢化无味蓝色塑胶周转箱，495*350*185cm</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56.89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159</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摆药盒</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24*16.5*10，全新聚乙烯</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17.07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160</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一次性鞋套</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加厚PE塑料，承重性好、防磨耐用，拉伸不易开裂，透气、防滑不易破，可直接接触皮肤、舒适安全，50双/包，均码</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包</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13.27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161</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一次性高筒靴</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优质聚乙烯，CPE，透明，防水高通鞋套，加厚材质，高效防水，防滑耐磨，环保，有弹性，耐拉耐扯，筒高50-55cm，码子37-43码不等</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双</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4000</w:t>
            </w:r>
          </w:p>
        </w:tc>
        <w:tc>
          <w:tcPr>
            <w:tcW w:w="991" w:type="dxa"/>
            <w:tcBorders>
              <w:top w:val="nil"/>
              <w:left w:val="nil"/>
              <w:bottom w:val="nil"/>
              <w:right w:val="nil"/>
            </w:tcBorders>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162</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医用垃圾袋1</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医疗废物专用包装袋，采用全新聚乙烯（PE）材料，大号85*78cm医用垃圾袋，黄色，环法2003文件执行生产，50根/把,10把/件，韧性足，不易破损，承重佳，不漏水，平口式</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件</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274.95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163</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医用垃圾袋2</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医疗废物专用包装袋，采用全新聚乙烯（PE）材料，中号70cm*45医用垃圾袋，黄色，环法2003文件执行生产，50根/把，20把/件，韧性足，不易破损，承重佳，不漏水，平口式</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件</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265.47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164</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医用垃圾袋3</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医疗废物专用包装袋，采用全新聚乙烯（PE）材料，小号40*36cm医用垃圾袋，黄色，环法2003文件执行生产，50根/把，20把/件，韧性足，不易破损，承重佳，不漏水，平口式</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件</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150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199.1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165</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利器盒1</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1.0L，加厚，圆形利器盒，11*12cm</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1500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166</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利器盒2</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2.0L，加厚，圆形利器盒，13*15cm</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167</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利器盒3</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3.0L，加厚，圆形利器盒，16*18.5cm</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168</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利器盒4</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6.0L圆形加厚利器盒21*21cm</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169</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利器盒5</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15L方形柱式加厚利器盒，规格24.5*20*25.5，推盖</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170</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护士鞋</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牛皮圆头、防滑牛筋底、白色全码</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双</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123.26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171</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护士表</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夜光防水指针式胸表、石英机芯、26mm</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11.38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172</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护士头花</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蝴蝶结职业头花、12cm蓝色、含发网钢夹梅花钻</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173</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腰枕</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47*25*5cm、纯棉枕套、填充物荞麦壳</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52.15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174</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头枕</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PP棉记忆U型枕、30*28*12cm</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175</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垫枕</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30*20*8cm、PU皮、含填充物</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28.44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176</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面盆（大）</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420*150mm、塑料圆形面盆</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177</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面盆（小）</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350*130mm、塑料圆形面盆</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178</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电脑键盘保护套</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43*12cm硅胶键盘膜、全透明</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18.96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179</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不锈钢锅</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鼓型不锈钢特高锅、26*22cm复底</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142.22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58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180</w:t>
            </w:r>
          </w:p>
        </w:tc>
        <w:tc>
          <w:tcPr>
            <w:tcW w:w="1683"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其他</w:t>
            </w:r>
          </w:p>
        </w:tc>
        <w:tc>
          <w:tcPr>
            <w:tcW w:w="3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适用于临时性使用的其他杂物采购，规格、数量、参数暂时未定，依据市场价格定采购价格</w:t>
            </w:r>
          </w:p>
        </w:tc>
        <w:tc>
          <w:tcPr>
            <w:tcW w:w="6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批</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w:t>
            </w:r>
          </w:p>
        </w:tc>
        <w:tc>
          <w:tcPr>
            <w:tcW w:w="9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52069.84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jc w:val="center"/>
        </w:trPr>
        <w:tc>
          <w:tcPr>
            <w:tcW w:w="8611"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注：*①中标供应商须在投标文件中单独承诺中标后严格按照投标文件中所投产品的品牌、规格型号等进行供货，未经采购人同意不允许以其他产品代替。*②中标供应商须在投标文件中单独承诺所提供的产品必须是全新合格品，交货时提供所有产品的产品合格证、使用说明书等技术支持资料。*③中标供应商须在投标文件中单独承诺所提供的产品质量在保质期内出现问题必须在两个工作日内完成三包服务，质保期按投标人的承诺为准。*④中标供应商须在投标文件中单独承诺应在签订合同后指定专人负责货物配送、问题协调处理等。</w:t>
            </w:r>
          </w:p>
        </w:tc>
      </w:tr>
    </w:tbl>
    <w:p>
      <w:pPr>
        <w:spacing w:line="360" w:lineRule="auto"/>
        <w:outlineLvl w:val="0"/>
        <w:rPr>
          <w:rFonts w:hint="eastAsia" w:ascii="仿宋" w:hAnsi="仿宋" w:eastAsia="仿宋" w:cs="仿宋"/>
          <w:b/>
          <w:bCs/>
          <w:color w:val="auto"/>
          <w:sz w:val="24"/>
          <w:szCs w:val="24"/>
          <w:highlight w:val="none"/>
          <w:lang w:val="en-US" w:eastAsia="zh-CN"/>
        </w:rPr>
      </w:pPr>
    </w:p>
    <w:p>
      <w:pPr>
        <w:spacing w:line="360" w:lineRule="auto"/>
        <w:outlineLvl w:val="0"/>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第二包</w:t>
      </w:r>
    </w:p>
    <w:tbl>
      <w:tblPr>
        <w:tblStyle w:val="2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1390"/>
        <w:gridCol w:w="4012"/>
        <w:gridCol w:w="677"/>
        <w:gridCol w:w="940"/>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582" w:type="dxa"/>
            <w:noWrap w:val="0"/>
            <w:vAlign w:val="center"/>
          </w:tcPr>
          <w:p>
            <w:pPr>
              <w:rPr>
                <w:rFonts w:hint="eastAsia" w:ascii="仿宋" w:hAnsi="仿宋" w:eastAsia="仿宋" w:cs="仿宋"/>
                <w:b w:val="0"/>
                <w:bCs w:val="0"/>
                <w:color w:val="auto"/>
                <w:sz w:val="24"/>
                <w:szCs w:val="24"/>
                <w:highlight w:val="none"/>
              </w:rPr>
            </w:pPr>
          </w:p>
        </w:tc>
        <w:tc>
          <w:tcPr>
            <w:tcW w:w="139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名称</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技术参数</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单位</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预计数量</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最高单价限价（元）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eastAsia="zh-CN"/>
              </w:rPr>
            </w:pPr>
            <w:r>
              <w:rPr>
                <w:rFonts w:hint="eastAsia" w:ascii="仿宋" w:hAnsi="仿宋" w:eastAsia="仿宋" w:cs="仿宋"/>
                <w:i w:val="0"/>
                <w:color w:val="auto"/>
                <w:kern w:val="0"/>
                <w:sz w:val="24"/>
                <w:szCs w:val="24"/>
                <w:u w:val="none"/>
                <w:lang w:val="en-US" w:eastAsia="zh-CN" w:bidi="ar"/>
              </w:rPr>
              <w:t>1</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直接1</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pvc直接φ40阻燃</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eastAsia="zh-CN"/>
              </w:rPr>
            </w:pPr>
            <w:r>
              <w:rPr>
                <w:rFonts w:hint="eastAsia" w:ascii="仿宋" w:hAnsi="仿宋" w:eastAsia="仿宋" w:cs="仿宋"/>
                <w:i w:val="0"/>
                <w:color w:val="auto"/>
                <w:kern w:val="0"/>
                <w:sz w:val="24"/>
                <w:szCs w:val="24"/>
                <w:u w:val="none"/>
                <w:lang w:val="en-US" w:eastAsia="zh-CN" w:bidi="ar"/>
              </w:rPr>
              <w:t>2</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直接2</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pvc直接φ32阻燃</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3</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直接3</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pvc直接φ25阻燃</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4</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直接4</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pvc直接φ110环保管件</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5</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直接5</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4分全铜外丝直接</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6</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直接6</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ppr外丝直接φ25环保型</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7</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直接7</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ppr内丝直接φ25环保型</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8</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*球阀</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PPR球阀25mm环保型</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9</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*球形阀1</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φ20mm环保型</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10</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*球形阀2</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φ25mm环保型</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11</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*球形阀3</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φ32mm环保型</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12</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延时阀1</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8251-004/1B1-1</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13</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*延时阀2</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脚踏冲水延时阀，铜芯</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14</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截止阀1</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φ20mm铜芯</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15</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截止阀2</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φ25mm铜芯</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16</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截止阀3</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φ32mm铜芯</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17</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止回阀</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法兰式单向阀4寸φ100</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263.19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18</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*三角阀</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33013</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19</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蝶形阀1</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对夹式蝶形止回阀100</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20</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蝶形阀2</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对夹式蝶形止回阀80</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21</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感应头</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220V-12V</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150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22</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*电磁阀</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感应电磁阀24v</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23</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开关1</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3P250A阻燃隔离开关</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24</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*开关2</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32A2P阻燃空开带漏电保护器</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25</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开关3</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86型暗装开关</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26</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开关4</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86型暗装二位开关</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27</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开关5</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86型暗装三位开关</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28</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开关6</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86型暗装四位开关</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29</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开关7</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2P-40A阻燃空开漏电保护</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30</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开关8</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2P-63A阻燃空开漏电保护</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31</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开关10</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3P-100A阻燃空开</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32</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开关11</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1P-40A阻燃-极漏电开关</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90.24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33</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二联空开</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2P16A阻燃空气开关</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34</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时控开关</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自动，手动</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35</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开关箱1</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十二位阻燃箱</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36</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开关箱2</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十五为阻燃箱</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37</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交流接触器</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32A</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38</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*铜线1</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BV2.5平方铜芯线，100米/卷</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圈</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39</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*铜线2</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16平方多股铜芯软线，3+1</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米</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54.52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40</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*铜线3</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BVR2.5平方双色铜芯线，100米/卷</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圈</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41</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电线1</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BV4平方铜芯线，100米/卷</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圈</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319.59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42</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电线2</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BV10平方铜芯线，100米/卷</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圈</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704.98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43</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铜芯线</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2芯*4.0平方BVVB铜芯线，100米/圈</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圈</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646.7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44</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电缆线1</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5芯*6平方铜芯电缆</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米</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35.72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45</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电缆线2</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3芯*2.5平方铜芯电缆</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米</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46</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护导线</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RVV2芯*2.5平方米</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圈</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371.29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47</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日光灯架</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1.2米40W灯架</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套</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48</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筒灯</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嵌入式5W筒灯，8cm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49</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红灯泡</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E12红色灯泡</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50</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*双头应急灯</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LED消防应急灯，国标</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51</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马路弯灯</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防雨罩灯30cm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套</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52</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螺口灯头</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阻燃耐高温</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53</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下水1</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防臭下水管32mm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54</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下水2</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全铜小便器下水，S弯防臭</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套</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55</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冲水碗</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环保型</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56</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加长冲水管</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不锈钢下水管1.2m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根</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57</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*水篦子</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复合树脂地沟盖</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58</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洗手盆储水器</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304不锈钢</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59</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脸盆下水器</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不锈钢波纹管</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套</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60</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水龙头1</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7104-183/1C-1</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61</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水龙头2</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7212-183/1C-1</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62</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*混合龙头</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32009</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63</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水龙头芯子</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全铜单冷龙头阀芯</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64</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喷水龙头</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32134-122/1C1-Z</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225.59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65</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花洒</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电镀淋浴喷头</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66</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单把菜盆龙头</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32149-141/1C1-Z</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263.19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67</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淋浴混合龙头</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35127-147/1C-1</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套</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68</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淋浴座子</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不锈钢</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69</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淋浴软管</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铜头不锈钢淋浴软管2米</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根</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70</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*好水箱</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便器PP冲水箱</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71</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蹲便器</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ALD515</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225.59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72</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座便密封垫</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耐磨</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73</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*马桶</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11006</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610.99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74</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*马桶盖</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U型家用坐便盖子，白色</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75</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马桶水箱芯子</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水箱冲水器</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套</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76</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台上盆</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陶瓷釉面台上洗手盆</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167.32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77</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台下盆</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陶瓷釉面台下洗手盆</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157.92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78</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线卡</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塑料卡扣5mm，100粒/盒</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盒</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79</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鞍形卡</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PVC鞍形卡50mm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80</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胶水大瓶</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PVC速干无毒阻胶</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瓶</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81</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扎带</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4*200mm尼龙扎带，250根/包</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包</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82</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铜浮球</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黄铜浮球阀φ50</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套</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83</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浮球开关</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高压浮球阀开关</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84</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腻子膏</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防霉净味耐水，1.6kg/件</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件</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85</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胶枪</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半圆压胶枪</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把</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86</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石膏板</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122*204cm环保板</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张</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87</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双面胶</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耐粘双面泡沫胶2cm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卷</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88</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墙砖</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300*600mm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匹</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89</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地砖</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大理石800*800mm防滑地砖</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匹</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90</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水泥</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复合哇酸盐水泥50kg/包</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包</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91</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堵漏剂</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防水堵漏剂500ml</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袋</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35.72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92</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泡沫填缝胶</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通用防水发泡剂500ml</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瓶</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93</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免钉胶</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快干免钉胶50ml</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瓶</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94</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固化剂</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通用固化剂300g</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瓶</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95</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云石胶</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高强度云石胶3L</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桶</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96</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玻璃胶</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防菌防霉，中性透明密封胶</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瓶</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97</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*乳胶漆</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净味面漆，18L/桶</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桶</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375.99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98</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密封胶</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中性哇酮耐候密封胶590ml</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99</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矿面板</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600*600mm环保型</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张</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100</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线管</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PVC阻燃穿线管20mm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根</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101</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管道</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UPPVC排水管，75*2.3mm环保型</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根</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102</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PVC管1</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PVC排水管110*2.8mm，4米/根</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根</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103</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PVC管2</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PVC管20*2mm，4米/根环保型</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根</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104</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PPR水管1</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PPR水管32mm环保型</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根</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105</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PPR水管2</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PPR水管25mm环保型</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根</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106</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PPR水管3</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PPR水管20mm环保型</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根</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107</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明盒</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86型阻燃明装盒</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108</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*铜地插座</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全铜防水阻燃地面五孔插座</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109</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*五孔插座</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86型阻燃五孔插座面板</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110</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插座1</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10孔阻燃</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111</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插头1</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3*10A插头 三相阻燃</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112</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插头2</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3*16A插头 三相阻燃</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113</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*四线插头</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16A四线插头 3+1相，阻燃</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114</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*空调插座</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16A空调插座阻燃</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115</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白面板</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86型空白面板阻燃</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12</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116</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地弹门夹</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不锈钢地弹簧门夹</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付</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277.29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117</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梯滑槽1</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静音滑槽30cm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付</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118</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梯滑槽2</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静音滑槽40cm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付</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119</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抽梯滑槽</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静音滑槽50cm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35.72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120</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闭门器</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不锈钢杠杆式</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12</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121</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*金属软管1</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不锈钢编织软管60cm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根</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120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122</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*金属软管2</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不锈钢编织软管80cm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根</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123</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内丝弯头</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PPR内丝弯头20mm环保型</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124</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弯头1</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PPR90°弯头25mm环保型</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125</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弯头2</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PPR90°弯头20mm环保型</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126</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弯头3</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Pvc40阻燃管件</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127</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三通1</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PPR给水异径三通32*25环保型</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128</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三通2</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Ppr三通25环保给水管件</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129</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立圆三通</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PVC立园三通20mm阻燃</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130</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圆三通盖板</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PVC圆盖板φ16阻燃</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131</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螺杆螺帽1</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不锈钢六角M14*120</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套</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132</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螺杆螺帽2</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不锈钢六角M14*70</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套</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133</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螺杆</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M16螺杆含垫片</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套</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134</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阴井盖2</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高分子树脂污水井盖700mm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135</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阴井盖3</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特厚重型高分子50*100</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张</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263.19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136</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开孔器1</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φ20mm金钢开孔器</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137</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开孔器2</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φ30mm金钢开孔器</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138</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开孔器3</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φ50mm金钢开孔器</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139</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大理石开孔器1</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Φ8mm合金钢开孔器</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140</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大理石开孔器2</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Φ6mm合金钢开孔器</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141</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石棉垫</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厚度0.3-0.5cm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卷</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375.99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142</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绝缘垫1</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厚度1cm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卷</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422.99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143</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绝缘垫2</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厚度0.5cm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卷</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357.19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144</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电容</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450v3微法</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145</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*空调电机</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220v空调电机</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328.99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146</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*排风扇1</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400铜芯排风扇</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台</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173.9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147</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排风扇2</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300铜芯排风扇</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台</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148</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排风扇3</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600cm*60cm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台</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327.11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149</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*潜水泵</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QJ-80-44-15</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台</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3947.9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150</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铝地槽板</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铝合金地线槽5寸</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米</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151</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塑料槽板1</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宽200mm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根</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28</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152</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塑料槽板2</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宽400mm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根</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153</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铁丝</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镀铁，14#</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圈</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154</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锯条</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钢锯条24T</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根</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155</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螺钉1</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黑色自攻螺丝3cm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盒</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156</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螺钉2</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黑色自攻螺丝5cm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盒</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157</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水泥钉1</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2.5cm高强度水泥钉</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盒</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158</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水泥钉2</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5cm高强度水泥钉</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盒</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159</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铆钉</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304不锈钢M3.2铆钉，100个/盒</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盒</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160</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胶胀管</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塑料胶胀管</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袋</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161</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电工胶带</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阻燃PVC防水绝缘胶带</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卷</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162</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生料带</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密封生料带，7M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卷</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163</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松动液</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除锈松动液，400ml/瓶</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瓶</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164</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水泵弹簧垫</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阻尼弹簧减震器</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165</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毛刷</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羊毛</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把</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166</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堵头</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不锈钢</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167</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卡子1</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PVC线管卡子40难然硝烟冷弯管</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168</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卡子2</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PPR环保给水管件</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169</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粘得牢</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强力快干万能胶</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桶</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170</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滚筒</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长绒毛</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把</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171</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*压力表</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DN500</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台</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422.99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172</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标砖</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24CM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匹</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173</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河沙</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中粗</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方</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328.99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174</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沙布</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耐水沙布</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张</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175</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沙布夹</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176</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*三相异步电机</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变频</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台</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1842.35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177</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不锈钢合页</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10cm加厚</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178</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窗户纸</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米</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179</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角铁</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304不锈钢</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180</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隔断锁</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304不锈钢</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把</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181</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地漏</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10cm304不锈钢</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182</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切割片</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10CM合金</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张</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183</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木条</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5CM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米</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184</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高压防水胶带</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自粘性绝缘橡胶带</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圈</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185</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PVC直接</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20MM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186</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PVC弯头</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20MM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187</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PPR直接</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20MM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188</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PPR外丝直接</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20MM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189</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PPR3通</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20MM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190</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PPR直接</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25MM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191</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PPR内丝弯头</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25MM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根</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192</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PVC弯头</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25MM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193</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PVC3通</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25MM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194</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PPR直接</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25*1/2PPR</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195</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PPR大小头</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25转20</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196</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金属软管</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1米</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根</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197</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不锈钢金属软管</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1米</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根</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198</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门玲</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一拖二</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199</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金属扶斗</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40CM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12</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200</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铆钉</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4.2MM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盒</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201</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铆钉</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5MM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盒</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202</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切割片</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沙轮切割片</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张</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203</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鱼尾螺钉</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3CM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盒</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204</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鱼尾蜾钉</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5CM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盒</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205</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*水龙头</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单水高弯全铜</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12</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206</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*水龙头</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冷热高弯全铜</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207</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*水龙头</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玻纹冷热高弯</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173.9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208</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储水宝</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5升</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209</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烧碱</w:t>
            </w:r>
          </w:p>
        </w:tc>
        <w:tc>
          <w:tcPr>
            <w:tcW w:w="4012" w:type="dxa"/>
            <w:noWrap w:val="0"/>
            <w:vAlign w:val="center"/>
          </w:tcPr>
          <w:p>
            <w:pPr>
              <w:jc w:val="both"/>
              <w:rPr>
                <w:rFonts w:hint="eastAsia" w:ascii="仿宋" w:hAnsi="仿宋" w:eastAsia="仿宋" w:cs="仿宋"/>
                <w:b w:val="0"/>
                <w:bCs w:val="0"/>
                <w:color w:val="auto"/>
                <w:sz w:val="24"/>
                <w:szCs w:val="24"/>
                <w:highlight w:val="none"/>
              </w:rPr>
            </w:pP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袋</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210</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瓷砖粘合剂</w:t>
            </w:r>
          </w:p>
        </w:tc>
        <w:tc>
          <w:tcPr>
            <w:tcW w:w="4012" w:type="dxa"/>
            <w:noWrap w:val="0"/>
            <w:vAlign w:val="center"/>
          </w:tcPr>
          <w:p>
            <w:pPr>
              <w:jc w:val="both"/>
              <w:rPr>
                <w:rFonts w:hint="eastAsia" w:ascii="仿宋" w:hAnsi="仿宋" w:eastAsia="仿宋" w:cs="仿宋"/>
                <w:b w:val="0"/>
                <w:bCs w:val="0"/>
                <w:color w:val="auto"/>
                <w:sz w:val="24"/>
                <w:szCs w:val="24"/>
                <w:highlight w:val="none"/>
              </w:rPr>
            </w:pP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包</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211</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找平粉</w:t>
            </w:r>
          </w:p>
        </w:tc>
        <w:tc>
          <w:tcPr>
            <w:tcW w:w="4012" w:type="dxa"/>
            <w:noWrap w:val="0"/>
            <w:vAlign w:val="center"/>
          </w:tcPr>
          <w:p>
            <w:pPr>
              <w:jc w:val="both"/>
              <w:rPr>
                <w:rFonts w:hint="eastAsia" w:ascii="仿宋" w:hAnsi="仿宋" w:eastAsia="仿宋" w:cs="仿宋"/>
                <w:b w:val="0"/>
                <w:bCs w:val="0"/>
                <w:color w:val="auto"/>
                <w:sz w:val="24"/>
                <w:szCs w:val="24"/>
                <w:highlight w:val="none"/>
              </w:rPr>
            </w:pP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袋</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212</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安全出口指示牌</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暗装</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213</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安全出口指示牌</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吊装</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214</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小便池感应电磁阀</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220V</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套</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357.19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215</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小便池</w:t>
            </w:r>
          </w:p>
        </w:tc>
        <w:tc>
          <w:tcPr>
            <w:tcW w:w="4012" w:type="dxa"/>
            <w:noWrap w:val="0"/>
            <w:vAlign w:val="center"/>
          </w:tcPr>
          <w:p>
            <w:pPr>
              <w:jc w:val="both"/>
              <w:rPr>
                <w:rFonts w:hint="eastAsia" w:ascii="仿宋" w:hAnsi="仿宋" w:eastAsia="仿宋" w:cs="仿宋"/>
                <w:b w:val="0"/>
                <w:bCs w:val="0"/>
                <w:color w:val="auto"/>
                <w:sz w:val="24"/>
                <w:szCs w:val="24"/>
                <w:highlight w:val="none"/>
              </w:rPr>
            </w:pP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216</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立柱洗手盆</w:t>
            </w:r>
          </w:p>
        </w:tc>
        <w:tc>
          <w:tcPr>
            <w:tcW w:w="4012" w:type="dxa"/>
            <w:noWrap w:val="0"/>
            <w:vAlign w:val="center"/>
          </w:tcPr>
          <w:p>
            <w:pPr>
              <w:jc w:val="both"/>
              <w:rPr>
                <w:rFonts w:hint="eastAsia" w:ascii="仿宋" w:hAnsi="仿宋" w:eastAsia="仿宋" w:cs="仿宋"/>
                <w:b w:val="0"/>
                <w:bCs w:val="0"/>
                <w:color w:val="auto"/>
                <w:sz w:val="24"/>
                <w:szCs w:val="24"/>
                <w:highlight w:val="none"/>
              </w:rPr>
            </w:pP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套</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217</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探照灯</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LED塔吊800W</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盏</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1174.97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218</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污水潜水泵</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220V</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台</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610.99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219</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污水潜水泵</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380V</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台</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798.98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220</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*离心</w:t>
            </w:r>
            <w:r>
              <w:rPr>
                <w:rFonts w:hint="eastAsia" w:ascii="仿宋" w:hAnsi="仿宋" w:eastAsia="仿宋" w:cs="仿宋"/>
                <w:color w:val="auto"/>
                <w:sz w:val="24"/>
                <w:szCs w:val="24"/>
              </w:rPr>
              <w:t>泵</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50GDL18-15*5</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台</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1550.96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221</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空气开关</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4P.63A漏电保护</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222</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LED灯条</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50CM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条</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8</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223</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中式灯</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655*850</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盏</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357.19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224</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IC电梯卡</w:t>
            </w:r>
          </w:p>
        </w:tc>
        <w:tc>
          <w:tcPr>
            <w:tcW w:w="4012" w:type="dxa"/>
            <w:noWrap w:val="0"/>
            <w:vAlign w:val="center"/>
          </w:tcPr>
          <w:p>
            <w:pPr>
              <w:jc w:val="both"/>
              <w:rPr>
                <w:rFonts w:hint="eastAsia" w:ascii="仿宋" w:hAnsi="仿宋" w:eastAsia="仿宋" w:cs="仿宋"/>
                <w:b w:val="0"/>
                <w:bCs w:val="0"/>
                <w:color w:val="auto"/>
                <w:sz w:val="24"/>
                <w:szCs w:val="24"/>
                <w:highlight w:val="none"/>
              </w:rPr>
            </w:pP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225</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磁力锁</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280公斤</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226</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闭门器</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液压缓冲180度</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12</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227</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飞机合页</w:t>
            </w:r>
          </w:p>
        </w:tc>
        <w:tc>
          <w:tcPr>
            <w:tcW w:w="4012" w:type="dxa"/>
            <w:noWrap w:val="0"/>
            <w:vAlign w:val="center"/>
          </w:tcPr>
          <w:p>
            <w:pPr>
              <w:jc w:val="both"/>
              <w:rPr>
                <w:rFonts w:hint="eastAsia" w:ascii="仿宋" w:hAnsi="仿宋" w:eastAsia="仿宋" w:cs="仿宋"/>
                <w:b w:val="0"/>
                <w:bCs w:val="0"/>
                <w:color w:val="auto"/>
                <w:sz w:val="24"/>
                <w:szCs w:val="24"/>
                <w:highlight w:val="none"/>
              </w:rPr>
            </w:pP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付</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228</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脚踩式开关闷</w:t>
            </w:r>
          </w:p>
        </w:tc>
        <w:tc>
          <w:tcPr>
            <w:tcW w:w="4012" w:type="dxa"/>
            <w:noWrap w:val="0"/>
            <w:vAlign w:val="center"/>
          </w:tcPr>
          <w:p>
            <w:pPr>
              <w:jc w:val="both"/>
              <w:rPr>
                <w:rFonts w:hint="eastAsia" w:ascii="仿宋" w:hAnsi="仿宋" w:eastAsia="仿宋" w:cs="仿宋"/>
                <w:b w:val="0"/>
                <w:bCs w:val="0"/>
                <w:color w:val="auto"/>
                <w:sz w:val="24"/>
                <w:szCs w:val="24"/>
                <w:highlight w:val="none"/>
              </w:rPr>
            </w:pP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26.32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229</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*防爆灯</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T8LED单管荧光灯</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盏</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230</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防爆插座</w:t>
            </w:r>
          </w:p>
        </w:tc>
        <w:tc>
          <w:tcPr>
            <w:tcW w:w="4012" w:type="dxa"/>
            <w:noWrap w:val="0"/>
            <w:vAlign w:val="center"/>
          </w:tcPr>
          <w:p>
            <w:pPr>
              <w:jc w:val="both"/>
              <w:rPr>
                <w:rFonts w:hint="eastAsia" w:ascii="仿宋" w:hAnsi="仿宋" w:eastAsia="仿宋" w:cs="仿宋"/>
                <w:b w:val="0"/>
                <w:bCs w:val="0"/>
                <w:color w:val="auto"/>
                <w:sz w:val="24"/>
                <w:szCs w:val="24"/>
                <w:highlight w:val="none"/>
              </w:rPr>
            </w:pP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231</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防爆开关</w:t>
            </w:r>
          </w:p>
        </w:tc>
        <w:tc>
          <w:tcPr>
            <w:tcW w:w="4012" w:type="dxa"/>
            <w:noWrap w:val="0"/>
            <w:vAlign w:val="center"/>
          </w:tcPr>
          <w:p>
            <w:pPr>
              <w:jc w:val="both"/>
              <w:rPr>
                <w:rFonts w:hint="eastAsia" w:ascii="仿宋" w:hAnsi="仿宋" w:eastAsia="仿宋" w:cs="仿宋"/>
                <w:b w:val="0"/>
                <w:bCs w:val="0"/>
                <w:color w:val="auto"/>
                <w:sz w:val="24"/>
                <w:szCs w:val="24"/>
                <w:highlight w:val="none"/>
              </w:rPr>
            </w:pP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232</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防爆排风扇</w:t>
            </w:r>
          </w:p>
        </w:tc>
        <w:tc>
          <w:tcPr>
            <w:tcW w:w="4012" w:type="dxa"/>
            <w:noWrap w:val="0"/>
            <w:vAlign w:val="center"/>
          </w:tcPr>
          <w:p>
            <w:pPr>
              <w:jc w:val="both"/>
              <w:rPr>
                <w:rFonts w:hint="eastAsia" w:ascii="仿宋" w:hAnsi="仿宋" w:eastAsia="仿宋" w:cs="仿宋"/>
                <w:b w:val="0"/>
                <w:bCs w:val="0"/>
                <w:color w:val="auto"/>
                <w:sz w:val="24"/>
                <w:szCs w:val="24"/>
                <w:highlight w:val="none"/>
              </w:rPr>
            </w:pPr>
          </w:p>
        </w:tc>
        <w:tc>
          <w:tcPr>
            <w:tcW w:w="677" w:type="dxa"/>
            <w:noWrap w:val="0"/>
            <w:vAlign w:val="center"/>
          </w:tcPr>
          <w:p>
            <w:pPr>
              <w:jc w:val="both"/>
              <w:rPr>
                <w:rFonts w:hint="eastAsia" w:ascii="仿宋" w:hAnsi="仿宋" w:eastAsia="仿宋" w:cs="仿宋"/>
                <w:b w:val="0"/>
                <w:bCs w:val="0"/>
                <w:color w:val="auto"/>
                <w:sz w:val="24"/>
                <w:szCs w:val="24"/>
                <w:highlight w:val="none"/>
              </w:rPr>
            </w:pPr>
          </w:p>
        </w:tc>
        <w:tc>
          <w:tcPr>
            <w:tcW w:w="940" w:type="dxa"/>
            <w:noWrap w:val="0"/>
            <w:vAlign w:val="center"/>
          </w:tcPr>
          <w:p>
            <w:pPr>
              <w:jc w:val="both"/>
              <w:rPr>
                <w:rFonts w:hint="eastAsia" w:ascii="仿宋" w:hAnsi="仿宋" w:eastAsia="仿宋" w:cs="仿宋"/>
                <w:b w:val="0"/>
                <w:bCs w:val="0"/>
                <w:color w:val="auto"/>
                <w:sz w:val="24"/>
                <w:szCs w:val="24"/>
                <w:highlight w:val="none"/>
              </w:rPr>
            </w:pP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357.19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233</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防 火泥</w:t>
            </w:r>
          </w:p>
        </w:tc>
        <w:tc>
          <w:tcPr>
            <w:tcW w:w="4012" w:type="dxa"/>
            <w:noWrap w:val="0"/>
            <w:vAlign w:val="center"/>
          </w:tcPr>
          <w:p>
            <w:pPr>
              <w:jc w:val="both"/>
              <w:rPr>
                <w:rFonts w:hint="eastAsia" w:ascii="仿宋" w:hAnsi="仿宋" w:eastAsia="仿宋" w:cs="仿宋"/>
                <w:b w:val="0"/>
                <w:bCs w:val="0"/>
                <w:color w:val="auto"/>
                <w:sz w:val="24"/>
                <w:szCs w:val="24"/>
                <w:highlight w:val="none"/>
              </w:rPr>
            </w:pP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公斤</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234</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白水泥</w:t>
            </w:r>
          </w:p>
        </w:tc>
        <w:tc>
          <w:tcPr>
            <w:tcW w:w="4012" w:type="dxa"/>
            <w:noWrap w:val="0"/>
            <w:vAlign w:val="center"/>
          </w:tcPr>
          <w:p>
            <w:pPr>
              <w:jc w:val="both"/>
              <w:rPr>
                <w:rFonts w:hint="eastAsia" w:ascii="仿宋" w:hAnsi="仿宋" w:eastAsia="仿宋" w:cs="仿宋"/>
                <w:b w:val="0"/>
                <w:bCs w:val="0"/>
                <w:color w:val="auto"/>
                <w:sz w:val="24"/>
                <w:szCs w:val="24"/>
                <w:highlight w:val="none"/>
              </w:rPr>
            </w:pP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袋</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235</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电表</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220V.40A</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支</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236</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电缆线</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5芯*10平方</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米</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237</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电缆线</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5芯3*16+2*10</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米</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238</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电缆线</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5芯3*25+2*16</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米</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239</w:t>
            </w:r>
          </w:p>
        </w:tc>
        <w:tc>
          <w:tcPr>
            <w:tcW w:w="1390" w:type="dxa"/>
            <w:noWrap w:val="0"/>
            <w:vAlign w:val="center"/>
          </w:tcPr>
          <w:p>
            <w:pPr>
              <w:spacing w:line="360" w:lineRule="auto"/>
              <w:outlineLvl w:val="0"/>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线管</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25MM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根</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240</w:t>
            </w:r>
          </w:p>
        </w:tc>
        <w:tc>
          <w:tcPr>
            <w:tcW w:w="139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PVC管</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32MM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根</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241</w:t>
            </w:r>
          </w:p>
        </w:tc>
        <w:tc>
          <w:tcPr>
            <w:tcW w:w="139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PVC弯头</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32MM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242</w:t>
            </w:r>
          </w:p>
        </w:tc>
        <w:tc>
          <w:tcPr>
            <w:tcW w:w="139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PVC三通</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32MM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个</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243</w:t>
            </w:r>
          </w:p>
        </w:tc>
        <w:tc>
          <w:tcPr>
            <w:tcW w:w="139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地扳地板</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2MM</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平方</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20</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244</w:t>
            </w:r>
          </w:p>
        </w:tc>
        <w:tc>
          <w:tcPr>
            <w:tcW w:w="139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PVC地板胶</w:t>
            </w:r>
          </w:p>
        </w:tc>
        <w:tc>
          <w:tcPr>
            <w:tcW w:w="4012" w:type="dxa"/>
            <w:noWrap w:val="0"/>
            <w:vAlign w:val="center"/>
          </w:tcPr>
          <w:p>
            <w:pPr>
              <w:jc w:val="both"/>
              <w:rPr>
                <w:rFonts w:hint="eastAsia" w:ascii="仿宋" w:hAnsi="仿宋" w:eastAsia="仿宋" w:cs="仿宋"/>
                <w:b w:val="0"/>
                <w:bCs w:val="0"/>
                <w:color w:val="auto"/>
                <w:sz w:val="24"/>
                <w:szCs w:val="24"/>
                <w:highlight w:val="none"/>
              </w:rPr>
            </w:pP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桶</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58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245</w:t>
            </w:r>
          </w:p>
        </w:tc>
        <w:tc>
          <w:tcPr>
            <w:tcW w:w="139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其他材料</w:t>
            </w:r>
          </w:p>
        </w:tc>
        <w:tc>
          <w:tcPr>
            <w:tcW w:w="4012"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适用于应急性使用的其他材料采购，规格、数量、参数暂时未定，依据市场价格定采购价格</w:t>
            </w:r>
          </w:p>
        </w:tc>
        <w:tc>
          <w:tcPr>
            <w:tcW w:w="677"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批</w:t>
            </w:r>
          </w:p>
        </w:tc>
        <w:tc>
          <w:tcPr>
            <w:tcW w:w="940" w:type="dxa"/>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1</w:t>
            </w:r>
          </w:p>
        </w:tc>
        <w:tc>
          <w:tcPr>
            <w:tcW w:w="1009" w:type="dxa"/>
            <w:noWrap/>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23026.95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8610" w:type="dxa"/>
            <w:gridSpan w:val="6"/>
            <w:noWrap w:val="0"/>
            <w:vAlign w:val="center"/>
          </w:tcPr>
          <w:p>
            <w:pPr>
              <w:keepNext w:val="0"/>
              <w:keepLines w:val="0"/>
              <w:widowControl/>
              <w:suppressLineNumbers w:val="0"/>
              <w:spacing w:line="360" w:lineRule="auto"/>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注：*①中标供应商须在投标文件中单独承诺中标后严格按照投标文件中所投产品的品牌、规格型号等进行供货，未经采购人同意不允许以其他产品代替。*②中标供应商须在投标文件中单独承诺所提供的产品必须是全新合格品，交货时提供所有产品的产品合格证、使用说明书等技术支持资料。*③中标供应商须在投标文件中单独承诺所提供的产品质量在保质期内出现问题必须在两个工作日内完成三包服务，质保期按投标人的承诺为准。*④中标供应商须在投标文件中单独承诺应在签订合同后指定专人负责货物配送、问题协调处理等。</w:t>
            </w:r>
          </w:p>
        </w:tc>
      </w:tr>
    </w:tbl>
    <w:p>
      <w:pPr>
        <w:spacing w:line="360" w:lineRule="auto"/>
        <w:outlineLvl w:val="0"/>
        <w:rPr>
          <w:rFonts w:hint="eastAsia" w:ascii="仿宋" w:hAnsi="仿宋" w:eastAsia="仿宋" w:cs="仿宋"/>
          <w:b w:val="0"/>
          <w:bCs w:val="0"/>
          <w:color w:val="auto"/>
          <w:sz w:val="24"/>
          <w:szCs w:val="24"/>
          <w:highlight w:val="none"/>
          <w:lang w:val="en-US" w:eastAsia="zh-CN"/>
        </w:rPr>
      </w:pPr>
    </w:p>
    <w:p>
      <w:pPr>
        <w:spacing w:line="360" w:lineRule="auto"/>
        <w:outlineLvl w:val="0"/>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第三包</w:t>
      </w:r>
    </w:p>
    <w:tbl>
      <w:tblPr>
        <w:tblStyle w:val="25"/>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3"/>
        <w:gridCol w:w="1722"/>
        <w:gridCol w:w="3768"/>
        <w:gridCol w:w="718"/>
        <w:gridCol w:w="799"/>
        <w:gridCol w:w="10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序号</w:t>
            </w:r>
          </w:p>
        </w:tc>
        <w:tc>
          <w:tcPr>
            <w:tcW w:w="1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名称</w:t>
            </w:r>
          </w:p>
        </w:tc>
        <w:tc>
          <w:tcPr>
            <w:tcW w:w="37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rPr>
            </w:pPr>
            <w:r>
              <w:rPr>
                <w:rFonts w:hint="eastAsia" w:ascii="仿宋" w:hAnsi="仿宋" w:eastAsia="仿宋" w:cs="仿宋"/>
                <w:i w:val="0"/>
                <w:color w:val="auto"/>
                <w:kern w:val="0"/>
                <w:sz w:val="24"/>
                <w:szCs w:val="24"/>
                <w:u w:val="none"/>
                <w:lang w:val="en-US" w:eastAsia="zh-CN" w:bidi="ar"/>
              </w:rPr>
              <w:t>技术参数</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单位</w:t>
            </w:r>
          </w:p>
        </w:tc>
        <w:tc>
          <w:tcPr>
            <w:tcW w:w="7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rPr>
            </w:pPr>
            <w:r>
              <w:rPr>
                <w:rFonts w:hint="eastAsia" w:ascii="仿宋" w:hAnsi="仿宋" w:eastAsia="仿宋" w:cs="仿宋"/>
                <w:i w:val="0"/>
                <w:color w:val="auto"/>
                <w:kern w:val="0"/>
                <w:sz w:val="24"/>
                <w:szCs w:val="24"/>
                <w:u w:val="none"/>
                <w:lang w:val="en-US" w:eastAsia="zh-CN" w:bidi="ar"/>
              </w:rPr>
              <w:t>预计数量</w:t>
            </w:r>
          </w:p>
        </w:tc>
        <w:tc>
          <w:tcPr>
            <w:tcW w:w="10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green"/>
              </w:rPr>
            </w:pPr>
            <w:r>
              <w:rPr>
                <w:rFonts w:hint="eastAsia" w:ascii="仿宋" w:hAnsi="仿宋" w:eastAsia="仿宋" w:cs="仿宋"/>
                <w:i w:val="0"/>
                <w:color w:val="auto"/>
                <w:kern w:val="0"/>
                <w:sz w:val="24"/>
                <w:szCs w:val="24"/>
                <w:u w:val="none"/>
                <w:lang w:val="en-US" w:eastAsia="zh-CN" w:bidi="ar"/>
              </w:rPr>
              <w:t>最高单价限价（元）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40" w:hRule="atLeast"/>
        </w:trPr>
        <w:tc>
          <w:tcPr>
            <w:tcW w:w="57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w:t>
            </w:r>
          </w:p>
        </w:tc>
        <w:tc>
          <w:tcPr>
            <w:tcW w:w="17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隔离栏</w:t>
            </w:r>
          </w:p>
        </w:tc>
        <w:tc>
          <w:tcPr>
            <w:tcW w:w="376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塑料140*100cm</w:t>
            </w:r>
          </w:p>
        </w:tc>
        <w:tc>
          <w:tcPr>
            <w:tcW w:w="7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个</w:t>
            </w:r>
          </w:p>
        </w:tc>
        <w:tc>
          <w:tcPr>
            <w:tcW w:w="7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310</w:t>
            </w:r>
          </w:p>
        </w:tc>
        <w:tc>
          <w:tcPr>
            <w:tcW w:w="103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111.33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8611"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360" w:lineRule="auto"/>
              <w:jc w:val="both"/>
              <w:textAlignment w:val="center"/>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i w:val="0"/>
                <w:color w:val="auto"/>
                <w:kern w:val="0"/>
                <w:sz w:val="24"/>
                <w:szCs w:val="24"/>
                <w:u w:val="none"/>
                <w:lang w:val="en-US" w:eastAsia="zh-CN" w:bidi="ar"/>
              </w:rPr>
              <w:t>注：*①中标供应商须在投标文件中单独承诺中标后严格按照投标文件中所投产品的品牌、规格型号等进行供货，未经采购人同意不允许以其他产品代替。*②中标供应商须在投标文件中单独承诺所提供的产品必须是全新合格品，交货时提供所有产品的产品合格证、使用说明书等技术支持资料。*③中标供应商须在投标文件中单独承诺所提供的产品质量在保质期内出现问题必须在两个工作日内完成三包服务，质保期按投标人的承诺为准。*④中标供应商须在投标文件中单独承诺应在签订合同后指定专人负责货物配送、问题协调处理等。</w:t>
            </w:r>
          </w:p>
        </w:tc>
      </w:tr>
    </w:tbl>
    <w:p>
      <w:pPr>
        <w:spacing w:line="360" w:lineRule="auto"/>
        <w:outlineLvl w:val="0"/>
        <w:rPr>
          <w:rFonts w:hint="eastAsia" w:ascii="仿宋" w:hAnsi="仿宋" w:eastAsia="仿宋" w:cs="仿宋"/>
          <w:b w:val="0"/>
          <w:bCs w:val="0"/>
          <w:color w:val="auto"/>
          <w:sz w:val="24"/>
          <w:szCs w:val="24"/>
          <w:highlight w:val="none"/>
          <w:lang w:val="en-US" w:eastAsia="zh-CN"/>
        </w:rPr>
      </w:pPr>
    </w:p>
    <w:p>
      <w:pPr>
        <w:spacing w:line="360" w:lineRule="auto"/>
        <w:outlineLvl w:val="0"/>
        <w:rPr>
          <w:rFonts w:hint="eastAsia" w:ascii="仿宋" w:hAnsi="仿宋" w:eastAsia="仿宋" w:cs="仿宋"/>
          <w:b w:val="0"/>
          <w:bCs w:val="0"/>
          <w:color w:val="auto"/>
          <w:sz w:val="24"/>
          <w:szCs w:val="24"/>
          <w:highlight w:val="none"/>
        </w:rPr>
      </w:pPr>
    </w:p>
    <w:p>
      <w:pPr>
        <w:spacing w:line="360" w:lineRule="auto"/>
        <w:outlineLvl w:val="0"/>
        <w:rPr>
          <w:rFonts w:hint="eastAsia" w:ascii="仿宋" w:hAnsi="仿宋" w:eastAsia="仿宋" w:cs="仿宋"/>
          <w:b w:val="0"/>
          <w:bCs w:val="0"/>
          <w:color w:val="auto"/>
          <w:sz w:val="24"/>
          <w:szCs w:val="24"/>
          <w:highlight w:val="none"/>
        </w:rPr>
      </w:pPr>
    </w:p>
    <w:p>
      <w:pPr>
        <w:spacing w:line="360" w:lineRule="auto"/>
        <w:outlineLvl w:val="0"/>
        <w:rPr>
          <w:rFonts w:hint="eastAsia" w:ascii="仿宋" w:hAnsi="仿宋" w:eastAsia="仿宋" w:cs="仿宋"/>
          <w:b w:val="0"/>
          <w:bCs w:val="0"/>
          <w:color w:val="auto"/>
          <w:sz w:val="24"/>
          <w:szCs w:val="24"/>
          <w:highlight w:val="none"/>
        </w:rPr>
      </w:pPr>
    </w:p>
    <w:p>
      <w:pPr>
        <w:pStyle w:val="9"/>
        <w:rPr>
          <w:rFonts w:hint="eastAsia" w:ascii="仿宋" w:hAnsi="仿宋" w:eastAsia="仿宋" w:cs="仿宋"/>
          <w:b w:val="0"/>
          <w:bCs w:val="0"/>
          <w:color w:val="auto"/>
          <w:sz w:val="24"/>
          <w:szCs w:val="24"/>
          <w:highlight w:val="none"/>
        </w:rPr>
        <w:sectPr>
          <w:headerReference r:id="rId8" w:type="first"/>
          <w:footerReference r:id="rId10" w:type="first"/>
          <w:headerReference r:id="rId7" w:type="default"/>
          <w:footerReference r:id="rId9" w:type="default"/>
          <w:pgSz w:w="11850" w:h="16783"/>
          <w:pgMar w:top="1440" w:right="1650" w:bottom="1440" w:left="1800" w:header="851" w:footer="992" w:gutter="0"/>
          <w:cols w:space="720" w:num="1"/>
          <w:titlePg/>
          <w:docGrid w:linePitch="312" w:charSpace="0"/>
        </w:sectPr>
      </w:pPr>
    </w:p>
    <w:p>
      <w:pPr>
        <w:spacing w:line="360" w:lineRule="auto"/>
        <w:jc w:val="center"/>
        <w:outlineLvl w:val="0"/>
        <w:rPr>
          <w:rFonts w:hint="eastAsia" w:ascii="仿宋" w:hAnsi="仿宋" w:eastAsia="仿宋" w:cs="仿宋"/>
          <w:b/>
          <w:bCs/>
          <w:color w:val="auto"/>
          <w:sz w:val="32"/>
          <w:szCs w:val="32"/>
          <w:highlight w:val="none"/>
        </w:rPr>
      </w:pPr>
      <w:bookmarkStart w:id="91" w:name="_Toc4071"/>
      <w:r>
        <w:rPr>
          <w:rFonts w:hint="eastAsia" w:ascii="仿宋" w:hAnsi="仿宋" w:eastAsia="仿宋" w:cs="仿宋"/>
          <w:b/>
          <w:bCs/>
          <w:color w:val="auto"/>
          <w:sz w:val="32"/>
          <w:szCs w:val="32"/>
          <w:highlight w:val="none"/>
        </w:rPr>
        <w:t>第六章采购项目实质性要求</w:t>
      </w:r>
      <w:bookmarkEnd w:id="90"/>
      <w:bookmarkEnd w:id="91"/>
    </w:p>
    <w:p>
      <w:pPr>
        <w:adjustRightInd w:val="0"/>
        <w:snapToGrid w:val="0"/>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一、体现满足采购需求、质量和服务相等的采购项目实质性要求</w:t>
      </w:r>
    </w:p>
    <w:p>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供应商资格必须符合国家有关规定和</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资格性要求。</w:t>
      </w:r>
    </w:p>
    <w:p>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 供应商提供的货物和服务不能实质性偏离</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的技术和商务要求。</w:t>
      </w:r>
    </w:p>
    <w:p>
      <w:pPr>
        <w:tabs>
          <w:tab w:val="left" w:pos="7665"/>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3. </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中不能附有采购人不能接受的条件。</w:t>
      </w:r>
    </w:p>
    <w:p>
      <w:pPr>
        <w:widowControl/>
        <w:spacing w:line="360" w:lineRule="auto"/>
        <w:jc w:val="left"/>
        <w:rPr>
          <w:rFonts w:hint="eastAsia" w:ascii="仿宋" w:hAnsi="仿宋" w:eastAsia="仿宋" w:cs="仿宋"/>
          <w:color w:val="auto"/>
          <w:sz w:val="24"/>
          <w:szCs w:val="24"/>
          <w:highlight w:val="none"/>
        </w:rPr>
      </w:pPr>
      <w:bookmarkStart w:id="92" w:name="_Toc24139"/>
      <w:r>
        <w:rPr>
          <w:rFonts w:hint="eastAsia" w:ascii="仿宋" w:hAnsi="仿宋" w:eastAsia="仿宋" w:cs="仿宋"/>
          <w:color w:val="auto"/>
          <w:sz w:val="24"/>
          <w:szCs w:val="24"/>
          <w:highlight w:val="none"/>
        </w:rPr>
        <w:br w:type="page"/>
      </w:r>
    </w:p>
    <w:p>
      <w:pPr>
        <w:spacing w:line="360" w:lineRule="auto"/>
        <w:jc w:val="center"/>
        <w:outlineLvl w:val="0"/>
        <w:rPr>
          <w:rFonts w:hint="eastAsia" w:ascii="仿宋" w:hAnsi="仿宋" w:eastAsia="仿宋" w:cs="仿宋"/>
          <w:b/>
          <w:bCs/>
          <w:color w:val="auto"/>
          <w:sz w:val="32"/>
          <w:szCs w:val="32"/>
          <w:highlight w:val="none"/>
        </w:rPr>
      </w:pPr>
      <w:bookmarkStart w:id="93" w:name="_Toc1739"/>
      <w:r>
        <w:rPr>
          <w:rFonts w:hint="eastAsia" w:ascii="仿宋" w:hAnsi="仿宋" w:eastAsia="仿宋" w:cs="仿宋"/>
          <w:b/>
          <w:bCs/>
          <w:color w:val="auto"/>
          <w:sz w:val="32"/>
          <w:szCs w:val="32"/>
          <w:highlight w:val="none"/>
        </w:rPr>
        <w:t>第七章谈判内容、谈判过程中可能实质性变动的内容</w:t>
      </w:r>
      <w:bookmarkEnd w:id="92"/>
      <w:bookmarkEnd w:id="93"/>
    </w:p>
    <w:p>
      <w:pPr>
        <w:numPr>
          <w:ilvl w:val="0"/>
          <w:numId w:val="3"/>
        </w:numPr>
        <w:adjustRightInd w:val="0"/>
        <w:snapToGrid w:val="0"/>
        <w:spacing w:line="360" w:lineRule="auto"/>
        <w:ind w:left="891" w:leftChars="228" w:hanging="412" w:hangingChars="171"/>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谈判内容：</w:t>
      </w:r>
    </w:p>
    <w:p>
      <w:pPr>
        <w:adjustRightInd w:val="0"/>
        <w:snapToGrid w:val="0"/>
        <w:spacing w:line="360" w:lineRule="auto"/>
        <w:ind w:left="892" w:leftChars="400" w:hanging="52" w:hangingChars="2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1、供应商提供的采购标的价格。</w:t>
      </w:r>
    </w:p>
    <w:p>
      <w:pPr>
        <w:adjustRightInd w:val="0"/>
        <w:snapToGrid w:val="0"/>
        <w:spacing w:line="360" w:lineRule="auto"/>
        <w:ind w:left="892" w:leftChars="400" w:hanging="52" w:hangingChars="2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2、相关专利、专有技术、商务等情况说明。</w:t>
      </w:r>
    </w:p>
    <w:p>
      <w:pPr>
        <w:adjustRightInd w:val="0"/>
        <w:snapToGrid w:val="0"/>
        <w:spacing w:line="360" w:lineRule="auto"/>
        <w:ind w:left="892" w:leftChars="400" w:hanging="52" w:hangingChars="22"/>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3、合同主要条款及价格商定情况。</w:t>
      </w:r>
    </w:p>
    <w:p>
      <w:pPr>
        <w:numPr>
          <w:ilvl w:val="0"/>
          <w:numId w:val="3"/>
        </w:numPr>
        <w:adjustRightInd w:val="0"/>
        <w:snapToGrid w:val="0"/>
        <w:spacing w:line="360" w:lineRule="auto"/>
        <w:ind w:left="891" w:leftChars="228" w:hanging="412" w:hangingChars="171"/>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谈判过程中可能实质性变动的内容：</w:t>
      </w:r>
    </w:p>
    <w:p>
      <w:pPr>
        <w:adjustRightInd w:val="0"/>
        <w:snapToGrid w:val="0"/>
        <w:spacing w:line="360" w:lineRule="auto"/>
        <w:ind w:left="892" w:leftChars="400" w:hanging="52" w:hangingChars="22"/>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1、供应商报价</w:t>
      </w:r>
      <w:r>
        <w:rPr>
          <w:rFonts w:hint="eastAsia" w:ascii="仿宋" w:hAnsi="仿宋" w:eastAsia="仿宋" w:cs="仿宋"/>
          <w:color w:val="auto"/>
          <w:sz w:val="24"/>
          <w:szCs w:val="24"/>
          <w:highlight w:val="none"/>
          <w:lang w:eastAsia="zh-CN"/>
        </w:rPr>
        <w:t>。</w:t>
      </w:r>
    </w:p>
    <w:p>
      <w:pPr>
        <w:adjustRightInd w:val="0"/>
        <w:snapToGrid w:val="0"/>
        <w:spacing w:line="360" w:lineRule="auto"/>
        <w:ind w:left="892" w:leftChars="400" w:hanging="52" w:hangingChars="22"/>
        <w:rPr>
          <w:rFonts w:hint="eastAsia" w:ascii="仿宋" w:hAnsi="仿宋" w:eastAsia="仿宋" w:cs="仿宋"/>
          <w:color w:val="auto"/>
          <w:highlight w:val="none"/>
        </w:rPr>
      </w:pPr>
      <w:r>
        <w:rPr>
          <w:rFonts w:hint="eastAsia" w:ascii="仿宋" w:hAnsi="仿宋" w:eastAsia="仿宋" w:cs="仿宋"/>
          <w:color w:val="auto"/>
          <w:sz w:val="24"/>
          <w:szCs w:val="24"/>
          <w:highlight w:val="none"/>
        </w:rPr>
        <w:t>2、采购需求中的技术、商务、服务要求以及合同草案条款等。实质性变动的内容，须经谈判小组中的采购人代表确认。</w:t>
      </w:r>
    </w:p>
    <w:bookmarkEnd w:id="14"/>
    <w:bookmarkEnd w:id="15"/>
    <w:bookmarkEnd w:id="16"/>
    <w:bookmarkEnd w:id="17"/>
    <w:bookmarkEnd w:id="18"/>
    <w:p>
      <w:pPr>
        <w:widowControl/>
        <w:spacing w:line="360" w:lineRule="auto"/>
        <w:jc w:val="left"/>
        <w:rPr>
          <w:rFonts w:hint="eastAsia" w:ascii="仿宋" w:hAnsi="仿宋" w:eastAsia="仿宋" w:cs="仿宋"/>
          <w:color w:val="auto"/>
          <w:sz w:val="24"/>
          <w:szCs w:val="24"/>
          <w:highlight w:val="none"/>
        </w:rPr>
      </w:pPr>
      <w:bookmarkStart w:id="94" w:name="_Toc8511"/>
      <w:bookmarkStart w:id="95" w:name="_Toc183682369"/>
      <w:bookmarkStart w:id="96" w:name="_Toc217446057"/>
      <w:bookmarkStart w:id="97" w:name="_Toc183582232"/>
      <w:r>
        <w:rPr>
          <w:rFonts w:hint="eastAsia" w:ascii="仿宋" w:hAnsi="仿宋" w:eastAsia="仿宋" w:cs="仿宋"/>
          <w:color w:val="auto"/>
          <w:sz w:val="24"/>
          <w:szCs w:val="24"/>
          <w:highlight w:val="none"/>
        </w:rPr>
        <w:br w:type="page"/>
      </w:r>
    </w:p>
    <w:p>
      <w:pPr>
        <w:tabs>
          <w:tab w:val="left" w:pos="7665"/>
        </w:tabs>
        <w:spacing w:line="360" w:lineRule="auto"/>
        <w:ind w:firstLine="480"/>
        <w:jc w:val="center"/>
        <w:outlineLvl w:val="0"/>
        <w:rPr>
          <w:rFonts w:hint="eastAsia" w:ascii="仿宋" w:hAnsi="仿宋" w:eastAsia="仿宋" w:cs="仿宋"/>
          <w:b/>
          <w:bCs/>
          <w:color w:val="auto"/>
          <w:sz w:val="32"/>
          <w:szCs w:val="32"/>
          <w:highlight w:val="none"/>
        </w:rPr>
      </w:pPr>
      <w:bookmarkStart w:id="98" w:name="_Toc12248"/>
      <w:r>
        <w:rPr>
          <w:rFonts w:hint="eastAsia" w:ascii="仿宋" w:hAnsi="仿宋" w:eastAsia="仿宋" w:cs="仿宋"/>
          <w:b/>
          <w:bCs/>
          <w:color w:val="auto"/>
          <w:sz w:val="32"/>
          <w:szCs w:val="32"/>
          <w:highlight w:val="none"/>
        </w:rPr>
        <w:t>第八章</w:t>
      </w:r>
      <w:r>
        <w:rPr>
          <w:rFonts w:hint="eastAsia" w:ascii="仿宋" w:hAnsi="仿宋" w:eastAsia="仿宋" w:cs="仿宋"/>
          <w:b/>
          <w:bCs/>
          <w:color w:val="auto"/>
          <w:sz w:val="32"/>
          <w:szCs w:val="32"/>
          <w:highlight w:val="none"/>
          <w:lang w:eastAsia="zh-CN"/>
        </w:rPr>
        <w:t>谈判文件</w:t>
      </w:r>
      <w:r>
        <w:rPr>
          <w:rFonts w:hint="eastAsia" w:ascii="仿宋" w:hAnsi="仿宋" w:eastAsia="仿宋" w:cs="仿宋"/>
          <w:b/>
          <w:bCs/>
          <w:color w:val="auto"/>
          <w:sz w:val="32"/>
          <w:szCs w:val="32"/>
          <w:highlight w:val="none"/>
        </w:rPr>
        <w:t>格式</w:t>
      </w:r>
      <w:bookmarkEnd w:id="94"/>
      <w:bookmarkEnd w:id="98"/>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一、本章所制</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格式，除格式中明确将该格式作为实质性要求的，一律不具有强制性。</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二、本章所制</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格式有关表格中的备注栏，由供应商根据自身响应情况作解释性说明，不作为必填项。</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三、本章所制</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格式中需要填写的相关内容事项，可能会与本采购项目无关，在不改变</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原义、不影响本项目采购需求的情况下，供应商可以不予填写，但应当注明。</w:t>
      </w:r>
    </w:p>
    <w:p>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pPr>
        <w:spacing w:line="360" w:lineRule="auto"/>
        <w:jc w:val="center"/>
        <w:rPr>
          <w:rFonts w:hint="eastAsia" w:ascii="仿宋" w:hAnsi="仿宋" w:eastAsia="仿宋" w:cs="仿宋"/>
          <w:b/>
          <w:bCs/>
          <w:color w:val="auto"/>
          <w:sz w:val="72"/>
          <w:szCs w:val="72"/>
          <w:highlight w:val="none"/>
        </w:rPr>
      </w:pPr>
      <w:r>
        <w:rPr>
          <w:rFonts w:hint="eastAsia" w:ascii="仿宋" w:hAnsi="仿宋" w:eastAsia="仿宋" w:cs="仿宋"/>
          <w:b/>
          <w:bCs/>
          <w:color w:val="auto"/>
          <w:sz w:val="72"/>
          <w:szCs w:val="72"/>
          <w:highlight w:val="none"/>
        </w:rPr>
        <w:t>政府采购项目</w:t>
      </w:r>
    </w:p>
    <w:p>
      <w:pPr>
        <w:spacing w:line="360" w:lineRule="auto"/>
        <w:jc w:val="center"/>
        <w:rPr>
          <w:rFonts w:hint="eastAsia" w:ascii="仿宋" w:hAnsi="仿宋" w:eastAsia="仿宋" w:cs="仿宋"/>
          <w:b/>
          <w:bCs/>
          <w:color w:val="auto"/>
          <w:sz w:val="72"/>
          <w:szCs w:val="72"/>
          <w:highlight w:val="none"/>
          <w:lang w:eastAsia="zh-CN"/>
        </w:rPr>
      </w:pPr>
      <w:r>
        <w:rPr>
          <w:rFonts w:hint="eastAsia" w:ascii="仿宋" w:hAnsi="仿宋" w:eastAsia="仿宋" w:cs="仿宋"/>
          <w:b/>
          <w:bCs/>
          <w:color w:val="auto"/>
          <w:sz w:val="72"/>
          <w:szCs w:val="72"/>
          <w:highlight w:val="none"/>
          <w:lang w:eastAsia="zh-CN"/>
        </w:rPr>
        <w:t>谈判文件</w:t>
      </w:r>
    </w:p>
    <w:p>
      <w:pPr>
        <w:spacing w:line="360" w:lineRule="auto"/>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（封面）</w:t>
      </w:r>
    </w:p>
    <w:p>
      <w:pPr>
        <w:spacing w:line="360" w:lineRule="auto"/>
        <w:jc w:val="center"/>
        <w:rPr>
          <w:rFonts w:hint="eastAsia" w:ascii="仿宋" w:hAnsi="仿宋" w:eastAsia="仿宋" w:cs="仿宋"/>
          <w:b/>
          <w:bCs/>
          <w:color w:val="auto"/>
          <w:sz w:val="36"/>
          <w:szCs w:val="36"/>
          <w:highlight w:val="none"/>
        </w:rPr>
      </w:pPr>
    </w:p>
    <w:p>
      <w:pPr>
        <w:spacing w:line="360" w:lineRule="auto"/>
        <w:jc w:val="center"/>
        <w:rPr>
          <w:rFonts w:hint="eastAsia" w:ascii="仿宋" w:hAnsi="仿宋" w:eastAsia="仿宋" w:cs="仿宋"/>
          <w:b/>
          <w:bCs/>
          <w:color w:val="auto"/>
          <w:sz w:val="36"/>
          <w:szCs w:val="36"/>
          <w:highlight w:val="none"/>
        </w:rPr>
      </w:pPr>
    </w:p>
    <w:p>
      <w:pPr>
        <w:spacing w:line="360" w:lineRule="auto"/>
        <w:ind w:firstLine="1970" w:firstLineChars="545"/>
        <w:rPr>
          <w:rFonts w:hint="eastAsia" w:ascii="仿宋" w:hAnsi="仿宋" w:eastAsia="仿宋" w:cs="仿宋"/>
          <w:b/>
          <w:bCs/>
          <w:color w:val="auto"/>
          <w:sz w:val="36"/>
          <w:szCs w:val="36"/>
          <w:highlight w:val="none"/>
          <w:u w:val="single"/>
        </w:rPr>
      </w:pPr>
      <w:r>
        <w:rPr>
          <w:rFonts w:hint="eastAsia" w:ascii="仿宋" w:hAnsi="仿宋" w:eastAsia="仿宋" w:cs="仿宋"/>
          <w:b/>
          <w:bCs/>
          <w:color w:val="auto"/>
          <w:sz w:val="36"/>
          <w:szCs w:val="36"/>
          <w:highlight w:val="none"/>
        </w:rPr>
        <w:t>项目名称：</w:t>
      </w:r>
    </w:p>
    <w:p>
      <w:pPr>
        <w:spacing w:line="360" w:lineRule="auto"/>
        <w:ind w:firstLine="1970" w:firstLineChars="545"/>
        <w:rPr>
          <w:rFonts w:hint="eastAsia" w:ascii="仿宋" w:hAnsi="仿宋" w:eastAsia="仿宋" w:cs="仿宋"/>
          <w:b/>
          <w:bCs/>
          <w:color w:val="auto"/>
          <w:sz w:val="36"/>
          <w:szCs w:val="36"/>
          <w:highlight w:val="none"/>
          <w:u w:val="single"/>
        </w:rPr>
      </w:pPr>
      <w:r>
        <w:rPr>
          <w:rFonts w:hint="eastAsia" w:ascii="仿宋" w:hAnsi="仿宋" w:eastAsia="仿宋" w:cs="仿宋"/>
          <w:b/>
          <w:bCs/>
          <w:color w:val="auto"/>
          <w:sz w:val="36"/>
          <w:szCs w:val="36"/>
          <w:highlight w:val="none"/>
        </w:rPr>
        <w:t>项目编号：</w:t>
      </w:r>
    </w:p>
    <w:p>
      <w:pPr>
        <w:spacing w:line="360" w:lineRule="auto"/>
        <w:jc w:val="center"/>
        <w:rPr>
          <w:rFonts w:hint="eastAsia" w:ascii="仿宋" w:hAnsi="仿宋" w:eastAsia="仿宋" w:cs="仿宋"/>
          <w:b/>
          <w:bCs/>
          <w:color w:val="auto"/>
          <w:sz w:val="36"/>
          <w:szCs w:val="36"/>
          <w:highlight w:val="none"/>
        </w:rPr>
      </w:pPr>
    </w:p>
    <w:p>
      <w:pPr>
        <w:spacing w:line="360" w:lineRule="auto"/>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（正本/副本）</w:t>
      </w:r>
    </w:p>
    <w:p>
      <w:pPr>
        <w:spacing w:line="360" w:lineRule="auto"/>
        <w:rPr>
          <w:rFonts w:hint="eastAsia" w:ascii="仿宋" w:hAnsi="仿宋" w:eastAsia="仿宋" w:cs="仿宋"/>
          <w:b/>
          <w:bCs/>
          <w:color w:val="auto"/>
          <w:sz w:val="36"/>
          <w:szCs w:val="36"/>
          <w:highlight w:val="none"/>
        </w:rPr>
      </w:pPr>
    </w:p>
    <w:p>
      <w:pPr>
        <w:pStyle w:val="9"/>
        <w:spacing w:after="0" w:line="360" w:lineRule="auto"/>
        <w:rPr>
          <w:rFonts w:hint="eastAsia" w:ascii="仿宋" w:hAnsi="仿宋" w:eastAsia="仿宋" w:cs="仿宋"/>
          <w:color w:val="auto"/>
          <w:highlight w:val="none"/>
        </w:rPr>
      </w:pPr>
    </w:p>
    <w:p>
      <w:pPr>
        <w:spacing w:line="360" w:lineRule="auto"/>
        <w:ind w:left="0" w:leftChars="0" w:firstLine="1905" w:firstLineChars="593"/>
        <w:rPr>
          <w:rFonts w:hint="eastAsia" w:ascii="仿宋" w:hAnsi="仿宋" w:eastAsia="仿宋" w:cs="仿宋"/>
          <w:b/>
          <w:bCs/>
          <w:color w:val="auto"/>
          <w:sz w:val="32"/>
          <w:szCs w:val="32"/>
          <w:highlight w:val="none"/>
          <w:u w:val="single"/>
        </w:rPr>
      </w:pPr>
      <w:r>
        <w:rPr>
          <w:rFonts w:hint="eastAsia" w:ascii="仿宋" w:hAnsi="仿宋" w:eastAsia="仿宋" w:cs="仿宋"/>
          <w:b/>
          <w:bCs/>
          <w:color w:val="auto"/>
          <w:sz w:val="32"/>
          <w:szCs w:val="32"/>
          <w:highlight w:val="none"/>
        </w:rPr>
        <w:t>供应商名称：</w:t>
      </w:r>
    </w:p>
    <w:p>
      <w:pPr>
        <w:spacing w:line="360" w:lineRule="auto"/>
        <w:ind w:left="0" w:leftChars="0" w:firstLine="1905" w:firstLineChars="593"/>
        <w:rPr>
          <w:rFonts w:hint="eastAsia" w:ascii="仿宋" w:hAnsi="仿宋" w:eastAsia="仿宋" w:cs="仿宋"/>
          <w:b/>
          <w:bCs/>
          <w:color w:val="auto"/>
          <w:sz w:val="32"/>
          <w:szCs w:val="32"/>
          <w:highlight w:val="none"/>
          <w:u w:val="single"/>
        </w:rPr>
      </w:pPr>
      <w:r>
        <w:rPr>
          <w:rFonts w:hint="eastAsia" w:ascii="仿宋" w:hAnsi="仿宋" w:eastAsia="仿宋" w:cs="仿宋"/>
          <w:b/>
          <w:bCs/>
          <w:color w:val="auto"/>
          <w:sz w:val="32"/>
          <w:szCs w:val="32"/>
          <w:highlight w:val="none"/>
        </w:rPr>
        <w:t>法定代表人姓名：</w:t>
      </w:r>
    </w:p>
    <w:p>
      <w:pPr>
        <w:spacing w:line="360" w:lineRule="auto"/>
        <w:ind w:left="0" w:leftChars="0" w:firstLine="1905" w:firstLineChars="593"/>
        <w:rPr>
          <w:rFonts w:hint="eastAsia" w:ascii="仿宋" w:hAnsi="仿宋" w:eastAsia="仿宋" w:cs="仿宋"/>
          <w:b/>
          <w:bCs/>
          <w:color w:val="auto"/>
          <w:sz w:val="32"/>
          <w:szCs w:val="32"/>
          <w:highlight w:val="none"/>
          <w:u w:val="single"/>
        </w:rPr>
      </w:pPr>
      <w:r>
        <w:rPr>
          <w:rFonts w:hint="eastAsia" w:ascii="仿宋" w:hAnsi="仿宋" w:eastAsia="仿宋" w:cs="仿宋"/>
          <w:b/>
          <w:bCs/>
          <w:color w:val="auto"/>
          <w:sz w:val="32"/>
          <w:szCs w:val="32"/>
          <w:highlight w:val="none"/>
        </w:rPr>
        <w:t>地址：</w:t>
      </w:r>
    </w:p>
    <w:p>
      <w:pPr>
        <w:spacing w:line="360" w:lineRule="auto"/>
        <w:ind w:left="0" w:leftChars="0" w:firstLine="1905" w:firstLineChars="593"/>
        <w:rPr>
          <w:rFonts w:hint="eastAsia" w:ascii="仿宋" w:hAnsi="仿宋" w:eastAsia="仿宋" w:cs="仿宋"/>
          <w:b/>
          <w:bCs/>
          <w:color w:val="auto"/>
          <w:sz w:val="32"/>
          <w:szCs w:val="32"/>
          <w:highlight w:val="none"/>
          <w:u w:val="single"/>
        </w:rPr>
      </w:pPr>
      <w:r>
        <w:rPr>
          <w:rFonts w:hint="eastAsia" w:ascii="仿宋" w:hAnsi="仿宋" w:eastAsia="仿宋" w:cs="仿宋"/>
          <w:b/>
          <w:bCs/>
          <w:color w:val="auto"/>
          <w:sz w:val="32"/>
          <w:szCs w:val="32"/>
          <w:highlight w:val="none"/>
        </w:rPr>
        <w:t>电话：</w:t>
      </w:r>
    </w:p>
    <w:p>
      <w:pPr>
        <w:spacing w:line="360" w:lineRule="auto"/>
        <w:ind w:left="0" w:leftChars="0" w:firstLine="1905" w:firstLineChars="593"/>
        <w:rPr>
          <w:rFonts w:hint="eastAsia" w:ascii="仿宋" w:hAnsi="仿宋" w:eastAsia="仿宋" w:cs="仿宋"/>
          <w:b/>
          <w:bCs/>
          <w:color w:val="auto"/>
          <w:sz w:val="32"/>
          <w:szCs w:val="32"/>
          <w:highlight w:val="none"/>
          <w:u w:val="single"/>
        </w:rPr>
      </w:pPr>
      <w:r>
        <w:rPr>
          <w:rFonts w:hint="eastAsia" w:ascii="仿宋" w:hAnsi="仿宋" w:eastAsia="仿宋" w:cs="仿宋"/>
          <w:b/>
          <w:bCs/>
          <w:color w:val="auto"/>
          <w:sz w:val="32"/>
          <w:szCs w:val="32"/>
          <w:highlight w:val="none"/>
        </w:rPr>
        <w:t>授权代表：</w:t>
      </w:r>
    </w:p>
    <w:p>
      <w:pPr>
        <w:spacing w:line="360" w:lineRule="auto"/>
        <w:ind w:left="0" w:leftChars="0" w:firstLine="1905" w:firstLineChars="593"/>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联系电话：</w:t>
      </w:r>
    </w:p>
    <w:p>
      <w:pPr>
        <w:spacing w:line="360" w:lineRule="auto"/>
        <w:ind w:left="0" w:leftChars="0" w:firstLine="1905" w:firstLineChars="593"/>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日期：年月日</w:t>
      </w:r>
    </w:p>
    <w:p>
      <w:pPr>
        <w:spacing w:line="360" w:lineRule="auto"/>
        <w:jc w:val="center"/>
        <w:rPr>
          <w:rFonts w:hint="eastAsia" w:ascii="仿宋" w:hAnsi="仿宋" w:eastAsia="仿宋" w:cs="仿宋"/>
          <w:b/>
          <w:bCs/>
          <w:color w:val="auto"/>
          <w:highlight w:val="none"/>
        </w:rPr>
      </w:pPr>
      <w:r>
        <w:rPr>
          <w:rFonts w:hint="eastAsia" w:ascii="仿宋" w:hAnsi="仿宋" w:eastAsia="仿宋" w:cs="仿宋"/>
          <w:b/>
          <w:bCs/>
          <w:color w:val="auto"/>
          <w:sz w:val="32"/>
          <w:szCs w:val="32"/>
          <w:highlight w:val="none"/>
        </w:rPr>
        <w:br w:type="page"/>
      </w:r>
      <w:r>
        <w:rPr>
          <w:rFonts w:hint="eastAsia" w:ascii="仿宋" w:hAnsi="仿宋" w:eastAsia="仿宋" w:cs="仿宋"/>
          <w:b/>
          <w:bCs/>
          <w:color w:val="auto"/>
          <w:highlight w:val="none"/>
        </w:rPr>
        <w:t>（</w:t>
      </w:r>
      <w:r>
        <w:rPr>
          <w:rFonts w:hint="eastAsia" w:ascii="仿宋" w:hAnsi="仿宋" w:eastAsia="仿宋" w:cs="仿宋"/>
          <w:b/>
          <w:bCs/>
          <w:color w:val="auto"/>
          <w:highlight w:val="none"/>
          <w:lang w:eastAsia="zh-CN"/>
        </w:rPr>
        <w:t>谈判文件</w:t>
      </w:r>
      <w:r>
        <w:rPr>
          <w:rFonts w:hint="eastAsia" w:ascii="仿宋" w:hAnsi="仿宋" w:eastAsia="仿宋" w:cs="仿宋"/>
          <w:b/>
          <w:bCs/>
          <w:color w:val="auto"/>
          <w:highlight w:val="none"/>
        </w:rPr>
        <w:t>分资格性</w:t>
      </w:r>
      <w:r>
        <w:rPr>
          <w:rFonts w:hint="eastAsia" w:ascii="仿宋" w:hAnsi="仿宋" w:eastAsia="仿宋" w:cs="仿宋"/>
          <w:b/>
          <w:bCs/>
          <w:color w:val="auto"/>
          <w:highlight w:val="none"/>
          <w:lang w:eastAsia="zh-CN"/>
        </w:rPr>
        <w:t>谈判文件</w:t>
      </w:r>
      <w:r>
        <w:rPr>
          <w:rFonts w:hint="eastAsia" w:ascii="仿宋" w:hAnsi="仿宋" w:eastAsia="仿宋" w:cs="仿宋"/>
          <w:b/>
          <w:bCs/>
          <w:color w:val="auto"/>
          <w:highlight w:val="none"/>
        </w:rPr>
        <w:t>和其他</w:t>
      </w:r>
      <w:r>
        <w:rPr>
          <w:rFonts w:hint="eastAsia" w:ascii="仿宋" w:hAnsi="仿宋" w:eastAsia="仿宋" w:cs="仿宋"/>
          <w:b/>
          <w:bCs/>
          <w:color w:val="auto"/>
          <w:highlight w:val="none"/>
          <w:lang w:eastAsia="zh-CN"/>
        </w:rPr>
        <w:t>谈判文件</w:t>
      </w:r>
      <w:r>
        <w:rPr>
          <w:rFonts w:hint="eastAsia" w:ascii="仿宋" w:hAnsi="仿宋" w:eastAsia="仿宋" w:cs="仿宋"/>
          <w:b/>
          <w:bCs/>
          <w:color w:val="auto"/>
          <w:highlight w:val="none"/>
        </w:rPr>
        <w:t>两部分，应分册装订密封）</w:t>
      </w:r>
    </w:p>
    <w:p>
      <w:pPr>
        <w:pStyle w:val="2"/>
        <w:spacing w:before="0" w:after="0"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第一部分资格性</w:t>
      </w:r>
      <w:r>
        <w:rPr>
          <w:rFonts w:hint="eastAsia" w:ascii="仿宋" w:hAnsi="仿宋" w:eastAsia="仿宋" w:cs="仿宋"/>
          <w:color w:val="auto"/>
          <w:highlight w:val="none"/>
          <w:lang w:val="en-US" w:eastAsia="zh-CN"/>
        </w:rPr>
        <w:t>响应</w:t>
      </w:r>
      <w:r>
        <w:rPr>
          <w:rFonts w:hint="eastAsia" w:ascii="仿宋" w:hAnsi="仿宋" w:eastAsia="仿宋" w:cs="仿宋"/>
          <w:color w:val="auto"/>
          <w:highlight w:val="none"/>
          <w:lang w:eastAsia="zh-CN"/>
        </w:rPr>
        <w:t>文件</w:t>
      </w:r>
      <w:r>
        <w:rPr>
          <w:rFonts w:hint="eastAsia" w:ascii="仿宋" w:hAnsi="仿宋" w:eastAsia="仿宋" w:cs="仿宋"/>
          <w:color w:val="auto"/>
          <w:highlight w:val="none"/>
        </w:rPr>
        <w:t>（格式）</w:t>
      </w:r>
    </w:p>
    <w:p>
      <w:pPr>
        <w:pStyle w:val="2"/>
        <w:spacing w:before="0" w:after="0"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一、声明函</w:t>
      </w:r>
    </w:p>
    <w:p>
      <w:pPr>
        <w:spacing w:line="360" w:lineRule="auto"/>
        <w:jc w:val="center"/>
        <w:rPr>
          <w:rFonts w:hint="eastAsia" w:ascii="仿宋" w:hAnsi="仿宋" w:eastAsia="仿宋" w:cs="仿宋"/>
          <w:color w:val="auto"/>
          <w:highlight w:val="none"/>
        </w:rPr>
      </w:pPr>
    </w:p>
    <w:p>
      <w:pPr>
        <w:spacing w:line="360" w:lineRule="auto"/>
        <w:ind w:right="1113" w:rightChars="53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利阳致诚国际项目管理有限公司：</w:t>
      </w:r>
    </w:p>
    <w:p>
      <w:pPr>
        <w:spacing w:line="360" w:lineRule="auto"/>
        <w:ind w:right="195" w:rightChars="93"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关于贵方XXX年 XXX 月XXX日XXX项目（项目编号：XXX）谈判邀请，本XXX（签字人）愿意参加谈判，提供</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“采购项目及要求”中规定的货物/服务/工程，本签字人确认资格文件中的说明以及</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中所有提交的文件和材料是真实的、准确的。</w:t>
      </w:r>
    </w:p>
    <w:p>
      <w:pPr>
        <w:spacing w:line="360" w:lineRule="auto"/>
        <w:ind w:right="1113" w:rightChars="530" w:firstLine="480" w:firstLineChars="200"/>
        <w:rPr>
          <w:rFonts w:hint="eastAsia" w:ascii="仿宋" w:hAnsi="仿宋" w:eastAsia="仿宋" w:cs="仿宋"/>
          <w:color w:val="auto"/>
          <w:sz w:val="24"/>
          <w:szCs w:val="24"/>
          <w:highlight w:val="none"/>
        </w:rPr>
      </w:pPr>
    </w:p>
    <w:p>
      <w:pPr>
        <w:spacing w:line="360" w:lineRule="auto"/>
        <w:ind w:right="1113" w:rightChars="530" w:firstLine="480" w:firstLineChars="200"/>
        <w:rPr>
          <w:rFonts w:hint="eastAsia" w:ascii="仿宋" w:hAnsi="仿宋" w:eastAsia="仿宋" w:cs="仿宋"/>
          <w:color w:val="auto"/>
          <w:sz w:val="24"/>
          <w:szCs w:val="24"/>
          <w:highlight w:val="none"/>
        </w:rPr>
      </w:pPr>
    </w:p>
    <w:p>
      <w:pPr>
        <w:spacing w:line="360" w:lineRule="auto"/>
        <w:ind w:right="1113" w:rightChars="530"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供应商名称（单位公章）：XXXXXXX</w:t>
      </w:r>
    </w:p>
    <w:p>
      <w:pPr>
        <w:spacing w:line="360" w:lineRule="auto"/>
        <w:ind w:right="1113" w:rightChars="53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法定代表人或授权代表（签字或盖章）：</w:t>
      </w:r>
    </w:p>
    <w:p>
      <w:pPr>
        <w:spacing w:line="360" w:lineRule="auto"/>
        <w:ind w:right="1113" w:rightChars="530"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w:t>
      </w:r>
    </w:p>
    <w:p>
      <w:pPr>
        <w:pStyle w:val="2"/>
        <w:spacing w:before="0" w:after="0" w:line="360" w:lineRule="auto"/>
        <w:jc w:val="center"/>
        <w:rPr>
          <w:rFonts w:hint="eastAsia" w:ascii="仿宋" w:hAnsi="仿宋" w:eastAsia="仿宋" w:cs="仿宋"/>
          <w:b w:val="0"/>
          <w:bCs w:val="0"/>
          <w:color w:val="auto"/>
          <w:highlight w:val="none"/>
        </w:rPr>
      </w:pPr>
    </w:p>
    <w:p>
      <w:pPr>
        <w:pStyle w:val="2"/>
        <w:spacing w:before="0" w:after="0" w:line="360" w:lineRule="auto"/>
        <w:jc w:val="center"/>
        <w:rPr>
          <w:rFonts w:hint="eastAsia" w:ascii="仿宋" w:hAnsi="仿宋" w:eastAsia="仿宋" w:cs="仿宋"/>
          <w:b w:val="0"/>
          <w:bCs w:val="0"/>
          <w:color w:val="auto"/>
          <w:highlight w:val="none"/>
        </w:rPr>
      </w:pPr>
    </w:p>
    <w:p>
      <w:pPr>
        <w:pStyle w:val="2"/>
        <w:spacing w:before="0" w:after="0" w:line="360" w:lineRule="auto"/>
        <w:jc w:val="center"/>
        <w:rPr>
          <w:rFonts w:hint="eastAsia" w:ascii="仿宋" w:hAnsi="仿宋" w:eastAsia="仿宋" w:cs="仿宋"/>
          <w:color w:val="auto"/>
          <w:highlight w:val="none"/>
        </w:rPr>
      </w:pPr>
      <w:r>
        <w:rPr>
          <w:rFonts w:hint="eastAsia" w:ascii="仿宋" w:hAnsi="仿宋" w:eastAsia="仿宋" w:cs="仿宋"/>
          <w:b w:val="0"/>
          <w:bCs w:val="0"/>
          <w:color w:val="auto"/>
          <w:highlight w:val="none"/>
        </w:rPr>
        <w:br w:type="page"/>
      </w:r>
      <w:r>
        <w:rPr>
          <w:rFonts w:hint="eastAsia" w:ascii="仿宋" w:hAnsi="仿宋" w:eastAsia="仿宋" w:cs="仿宋"/>
          <w:color w:val="auto"/>
          <w:highlight w:val="none"/>
        </w:rPr>
        <w:t>二、法定代表人授权书</w:t>
      </w:r>
    </w:p>
    <w:p>
      <w:pPr>
        <w:spacing w:line="360" w:lineRule="auto"/>
        <w:jc w:val="center"/>
        <w:rPr>
          <w:rFonts w:hint="eastAsia" w:ascii="仿宋" w:hAnsi="仿宋" w:eastAsia="仿宋" w:cs="仿宋"/>
          <w:b/>
          <w:bCs/>
          <w:color w:val="auto"/>
          <w:sz w:val="44"/>
          <w:szCs w:val="44"/>
          <w:highlight w:val="none"/>
        </w:rPr>
      </w:pP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利阳致诚国际项目管理有限公司：</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授权声明：XXX（单位名称）,XXX（法定代表人姓名、职务）授权XXX（被授权人姓名、职务）为我方参加XXX项目（采购编号：XXX）谈判采购活动的合法代表，以我方名义全权处理该项目有关谈判、报价、签订合同以及执行合同等一切事宜。</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特此声明。</w:t>
      </w:r>
    </w:p>
    <w:p>
      <w:pPr>
        <w:spacing w:line="360" w:lineRule="auto"/>
        <w:ind w:firstLine="480" w:firstLineChars="200"/>
        <w:rPr>
          <w:rFonts w:hint="eastAsia" w:ascii="仿宋" w:hAnsi="仿宋" w:eastAsia="仿宋" w:cs="仿宋"/>
          <w:color w:val="auto"/>
          <w:sz w:val="24"/>
          <w:szCs w:val="24"/>
          <w:highlight w:val="none"/>
        </w:rPr>
      </w:pPr>
    </w:p>
    <w:p>
      <w:pPr>
        <w:spacing w:line="360" w:lineRule="auto"/>
        <w:ind w:firstLine="480" w:firstLineChars="200"/>
        <w:rPr>
          <w:rFonts w:hint="eastAsia" w:ascii="仿宋" w:hAnsi="仿宋" w:eastAsia="仿宋" w:cs="仿宋"/>
          <w:color w:val="auto"/>
          <w:sz w:val="24"/>
          <w:szCs w:val="24"/>
          <w:highlight w:val="none"/>
        </w:rPr>
      </w:pP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供应商名称：XXX（盖单位公章）</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法定代表人（签字或盖章）：XXX</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职务：XXX</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授权代表签字：XXX</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职务：XXX</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日期：XXX年XXX月XXX日</w:t>
      </w:r>
    </w:p>
    <w:p>
      <w:pPr>
        <w:spacing w:line="360" w:lineRule="auto"/>
        <w:rPr>
          <w:rFonts w:hint="eastAsia" w:ascii="仿宋" w:hAnsi="仿宋" w:eastAsia="仿宋" w:cs="仿宋"/>
          <w:color w:val="auto"/>
          <w:sz w:val="24"/>
          <w:szCs w:val="24"/>
          <w:highlight w:val="none"/>
        </w:rPr>
      </w:pPr>
    </w:p>
    <w:p>
      <w:pPr>
        <w:spacing w:line="360" w:lineRule="auto"/>
        <w:rPr>
          <w:rFonts w:hint="eastAsia" w:ascii="仿宋" w:hAnsi="仿宋" w:eastAsia="仿宋" w:cs="仿宋"/>
          <w:color w:val="auto"/>
          <w:sz w:val="32"/>
          <w:szCs w:val="32"/>
          <w:highlight w:val="none"/>
        </w:rPr>
      </w:pPr>
    </w:p>
    <w:p>
      <w:pPr>
        <w:spacing w:line="360" w:lineRule="auto"/>
        <w:rPr>
          <w:rFonts w:hint="eastAsia" w:ascii="仿宋" w:hAnsi="仿宋" w:eastAsia="仿宋" w:cs="仿宋"/>
          <w:color w:val="auto"/>
          <w:sz w:val="32"/>
          <w:szCs w:val="32"/>
          <w:highlight w:val="none"/>
        </w:rPr>
      </w:pP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注：（1）法定代表人不参与报价而委托代理人参与适用。</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（2）附法定代表人、授权代表身份证复印件加盖供应商公章。</w:t>
      </w:r>
    </w:p>
    <w:p>
      <w:pPr>
        <w:pStyle w:val="2"/>
        <w:spacing w:before="0" w:after="0"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br w:type="page"/>
      </w:r>
      <w:r>
        <w:rPr>
          <w:rFonts w:hint="eastAsia" w:ascii="仿宋" w:hAnsi="仿宋" w:eastAsia="仿宋" w:cs="仿宋"/>
          <w:color w:val="auto"/>
          <w:highlight w:val="none"/>
        </w:rPr>
        <w:t>三、法定代表人身份证明</w:t>
      </w:r>
    </w:p>
    <w:p>
      <w:pPr>
        <w:spacing w:line="360" w:lineRule="auto"/>
        <w:rPr>
          <w:rFonts w:hint="eastAsia" w:ascii="仿宋" w:hAnsi="仿宋" w:eastAsia="仿宋" w:cs="仿宋"/>
          <w:color w:val="auto"/>
          <w:sz w:val="20"/>
          <w:szCs w:val="20"/>
          <w:highlight w:val="none"/>
        </w:rPr>
      </w:pPr>
    </w:p>
    <w:p>
      <w:pPr>
        <w:spacing w:line="360" w:lineRule="auto"/>
        <w:rPr>
          <w:rFonts w:hint="eastAsia" w:ascii="仿宋" w:hAnsi="仿宋" w:eastAsia="仿宋" w:cs="仿宋"/>
          <w:color w:val="auto"/>
          <w:highlight w:val="none"/>
        </w:rPr>
      </w:pP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w:t>
      </w:r>
      <w:r>
        <w:rPr>
          <w:rFonts w:hint="eastAsia" w:ascii="仿宋" w:hAnsi="仿宋" w:eastAsia="仿宋" w:cs="仿宋"/>
          <w:color w:val="auto"/>
          <w:spacing w:val="5"/>
          <w:sz w:val="24"/>
          <w:szCs w:val="24"/>
          <w:highlight w:val="none"/>
        </w:rPr>
        <w:t>名</w:t>
      </w:r>
      <w:r>
        <w:rPr>
          <w:rFonts w:hint="eastAsia" w:ascii="仿宋" w:hAnsi="仿宋" w:eastAsia="仿宋" w:cs="仿宋"/>
          <w:color w:val="auto"/>
          <w:sz w:val="24"/>
          <w:szCs w:val="24"/>
          <w:highlight w:val="none"/>
        </w:rPr>
        <w:t>称：</w:t>
      </w:r>
      <w:r>
        <w:rPr>
          <w:rFonts w:hint="eastAsia" w:ascii="仿宋" w:hAnsi="仿宋" w:eastAsia="仿宋" w:cs="仿宋"/>
          <w:color w:val="auto"/>
          <w:sz w:val="24"/>
          <w:szCs w:val="24"/>
          <w:highlight w:val="none"/>
          <w:u w:val="single"/>
        </w:rPr>
        <w:tab/>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单位性</w:t>
      </w:r>
      <w:r>
        <w:rPr>
          <w:rFonts w:hint="eastAsia" w:ascii="仿宋" w:hAnsi="仿宋" w:eastAsia="仿宋" w:cs="仿宋"/>
          <w:color w:val="auto"/>
          <w:spacing w:val="5"/>
          <w:sz w:val="24"/>
          <w:szCs w:val="24"/>
          <w:highlight w:val="none"/>
        </w:rPr>
        <w:t>质</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ab/>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sz w:val="24"/>
          <w:szCs w:val="24"/>
          <w:highlight w:val="none"/>
          <w:u w:val="single"/>
        </w:rPr>
        <w:tab/>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成立时</w:t>
      </w:r>
      <w:r>
        <w:rPr>
          <w:rFonts w:hint="eastAsia" w:ascii="仿宋" w:hAnsi="仿宋" w:eastAsia="仿宋" w:cs="仿宋"/>
          <w:color w:val="auto"/>
          <w:spacing w:val="5"/>
          <w:sz w:val="24"/>
          <w:szCs w:val="24"/>
          <w:highlight w:val="none"/>
        </w:rPr>
        <w:t>间</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ab/>
      </w:r>
      <w:r>
        <w:rPr>
          <w:rFonts w:hint="eastAsia" w:ascii="仿宋" w:hAnsi="仿宋" w:eastAsia="仿宋" w:cs="仿宋"/>
          <w:color w:val="auto"/>
          <w:sz w:val="24"/>
          <w:szCs w:val="24"/>
          <w:highlight w:val="none"/>
        </w:rPr>
        <w:t>年</w:t>
      </w:r>
      <w:r>
        <w:rPr>
          <w:rFonts w:hint="eastAsia" w:ascii="仿宋" w:hAnsi="仿宋" w:eastAsia="仿宋" w:cs="仿宋"/>
          <w:color w:val="auto"/>
          <w:spacing w:val="5"/>
          <w:sz w:val="24"/>
          <w:szCs w:val="24"/>
          <w:highlight w:val="none"/>
        </w:rPr>
        <w:t>月</w:t>
      </w:r>
      <w:r>
        <w:rPr>
          <w:rFonts w:hint="eastAsia" w:ascii="仿宋" w:hAnsi="仿宋" w:eastAsia="仿宋" w:cs="仿宋"/>
          <w:color w:val="auto"/>
          <w:sz w:val="24"/>
          <w:szCs w:val="24"/>
          <w:highlight w:val="none"/>
        </w:rPr>
        <w:t>日</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经营期</w:t>
      </w:r>
      <w:r>
        <w:rPr>
          <w:rFonts w:hint="eastAsia" w:ascii="仿宋" w:hAnsi="仿宋" w:eastAsia="仿宋" w:cs="仿宋"/>
          <w:color w:val="auto"/>
          <w:spacing w:val="5"/>
          <w:sz w:val="24"/>
          <w:szCs w:val="24"/>
          <w:highlight w:val="none"/>
        </w:rPr>
        <w:t>限</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ab/>
      </w:r>
    </w:p>
    <w:p>
      <w:pPr>
        <w:spacing w:line="360" w:lineRule="auto"/>
        <w:rPr>
          <w:rFonts w:hint="eastAsia" w:ascii="仿宋" w:hAnsi="仿宋" w:eastAsia="仿宋" w:cs="仿宋"/>
          <w:color w:val="auto"/>
          <w:sz w:val="24"/>
          <w:szCs w:val="24"/>
          <w:highlight w:val="none"/>
        </w:rPr>
      </w:pP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姓名</w:t>
      </w:r>
      <w:r>
        <w:rPr>
          <w:rFonts w:hint="eastAsia" w:ascii="仿宋" w:hAnsi="仿宋" w:eastAsia="仿宋" w:cs="仿宋"/>
          <w:color w:val="auto"/>
          <w:spacing w:val="-115"/>
          <w:sz w:val="24"/>
          <w:szCs w:val="24"/>
          <w:highlight w:val="none"/>
        </w:rPr>
        <w:t>：</w:t>
      </w:r>
      <w:r>
        <w:rPr>
          <w:rFonts w:hint="eastAsia" w:ascii="仿宋" w:hAnsi="仿宋" w:eastAsia="仿宋" w:cs="仿宋"/>
          <w:color w:val="auto"/>
          <w:sz w:val="24"/>
          <w:szCs w:val="24"/>
          <w:highlight w:val="none"/>
        </w:rPr>
        <w:t xml:space="preserve"> XXXXX系XXXXXXXXX（</w:t>
      </w:r>
      <w:r>
        <w:rPr>
          <w:rFonts w:hint="eastAsia" w:ascii="仿宋" w:hAnsi="仿宋" w:eastAsia="仿宋" w:cs="仿宋"/>
          <w:color w:val="auto"/>
          <w:spacing w:val="5"/>
          <w:sz w:val="24"/>
          <w:szCs w:val="24"/>
          <w:highlight w:val="none"/>
        </w:rPr>
        <w:t>供应商名</w:t>
      </w:r>
      <w:r>
        <w:rPr>
          <w:rFonts w:hint="eastAsia" w:ascii="仿宋" w:hAnsi="仿宋" w:eastAsia="仿宋" w:cs="仿宋"/>
          <w:color w:val="auto"/>
          <w:sz w:val="24"/>
          <w:szCs w:val="24"/>
          <w:highlight w:val="none"/>
        </w:rPr>
        <w:t>称</w:t>
      </w:r>
      <w:r>
        <w:rPr>
          <w:rFonts w:hint="eastAsia" w:ascii="仿宋" w:hAnsi="仿宋" w:eastAsia="仿宋" w:cs="仿宋"/>
          <w:color w:val="auto"/>
          <w:spacing w:val="5"/>
          <w:sz w:val="24"/>
          <w:szCs w:val="24"/>
          <w:highlight w:val="none"/>
        </w:rPr>
        <w:t>）</w:t>
      </w:r>
      <w:r>
        <w:rPr>
          <w:rFonts w:hint="eastAsia" w:ascii="仿宋" w:hAnsi="仿宋" w:eastAsia="仿宋" w:cs="仿宋"/>
          <w:color w:val="auto"/>
          <w:sz w:val="24"/>
          <w:szCs w:val="24"/>
          <w:highlight w:val="none"/>
        </w:rPr>
        <w:t>的法定</w:t>
      </w:r>
      <w:r>
        <w:rPr>
          <w:rFonts w:hint="eastAsia" w:ascii="仿宋" w:hAnsi="仿宋" w:eastAsia="仿宋" w:cs="仿宋"/>
          <w:color w:val="auto"/>
          <w:spacing w:val="5"/>
          <w:sz w:val="24"/>
          <w:szCs w:val="24"/>
          <w:highlight w:val="none"/>
        </w:rPr>
        <w:t>代</w:t>
      </w:r>
      <w:r>
        <w:rPr>
          <w:rFonts w:hint="eastAsia" w:ascii="仿宋" w:hAnsi="仿宋" w:eastAsia="仿宋" w:cs="仿宋"/>
          <w:color w:val="auto"/>
          <w:sz w:val="24"/>
          <w:szCs w:val="24"/>
          <w:highlight w:val="none"/>
        </w:rPr>
        <w:t>表人</w:t>
      </w:r>
      <w:r>
        <w:rPr>
          <w:rFonts w:hint="eastAsia" w:ascii="仿宋" w:hAnsi="仿宋" w:eastAsia="仿宋" w:cs="仿宋"/>
          <w:color w:val="auto"/>
          <w:spacing w:val="5"/>
          <w:sz w:val="24"/>
          <w:szCs w:val="24"/>
          <w:highlight w:val="none"/>
        </w:rPr>
        <w:t>（</w:t>
      </w:r>
      <w:r>
        <w:rPr>
          <w:rFonts w:hint="eastAsia" w:ascii="仿宋" w:hAnsi="仿宋" w:eastAsia="仿宋" w:cs="仿宋"/>
          <w:color w:val="auto"/>
          <w:sz w:val="24"/>
          <w:szCs w:val="24"/>
          <w:highlight w:val="none"/>
        </w:rPr>
        <w:t>职务：</w:t>
      </w:r>
      <w:r>
        <w:rPr>
          <w:rFonts w:hint="eastAsia" w:ascii="仿宋" w:hAnsi="仿宋" w:eastAsia="仿宋" w:cs="仿宋"/>
          <w:color w:val="auto"/>
          <w:sz w:val="24"/>
          <w:szCs w:val="24"/>
          <w:highlight w:val="none"/>
          <w:u w:val="single"/>
        </w:rPr>
        <w:t>XXXXXX</w:t>
      </w:r>
      <w:r>
        <w:rPr>
          <w:rFonts w:hint="eastAsia" w:ascii="仿宋" w:hAnsi="仿宋" w:eastAsia="仿宋" w:cs="仿宋"/>
          <w:color w:val="auto"/>
          <w:spacing w:val="5"/>
          <w:sz w:val="24"/>
          <w:szCs w:val="24"/>
          <w:highlight w:val="none"/>
        </w:rPr>
        <w:t>电</w:t>
      </w:r>
      <w:r>
        <w:rPr>
          <w:rFonts w:hint="eastAsia" w:ascii="仿宋" w:hAnsi="仿宋" w:eastAsia="仿宋" w:cs="仿宋"/>
          <w:color w:val="auto"/>
          <w:sz w:val="24"/>
          <w:szCs w:val="24"/>
          <w:highlight w:val="none"/>
        </w:rPr>
        <w:t>话：</w:t>
      </w:r>
      <w:r>
        <w:rPr>
          <w:rFonts w:hint="eastAsia" w:ascii="仿宋" w:hAnsi="仿宋" w:eastAsia="仿宋" w:cs="仿宋"/>
          <w:color w:val="auto"/>
          <w:sz w:val="24"/>
          <w:szCs w:val="24"/>
          <w:highlight w:val="none"/>
          <w:u w:val="single"/>
        </w:rPr>
        <w:t>XXXXX</w:t>
      </w:r>
      <w:r>
        <w:rPr>
          <w:rFonts w:hint="eastAsia" w:ascii="仿宋" w:hAnsi="仿宋" w:eastAsia="仿宋" w:cs="仿宋"/>
          <w:color w:val="auto"/>
          <w:spacing w:val="5"/>
          <w:sz w:val="24"/>
          <w:szCs w:val="24"/>
          <w:highlight w:val="none"/>
        </w:rPr>
        <w:t>）。</w:t>
      </w:r>
    </w:p>
    <w:p>
      <w:pPr>
        <w:spacing w:line="360" w:lineRule="auto"/>
        <w:rPr>
          <w:rFonts w:hint="eastAsia" w:ascii="仿宋" w:hAnsi="仿宋" w:eastAsia="仿宋" w:cs="仿宋"/>
          <w:color w:val="auto"/>
          <w:sz w:val="24"/>
          <w:szCs w:val="24"/>
          <w:highlight w:val="none"/>
        </w:rPr>
      </w:pPr>
    </w:p>
    <w:p>
      <w:pPr>
        <w:spacing w:line="360" w:lineRule="auto"/>
        <w:rPr>
          <w:rFonts w:hint="eastAsia" w:ascii="仿宋" w:hAnsi="仿宋" w:eastAsia="仿宋" w:cs="仿宋"/>
          <w:color w:val="auto"/>
          <w:sz w:val="24"/>
          <w:szCs w:val="24"/>
          <w:highlight w:val="none"/>
        </w:rPr>
      </w:pP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特</w:t>
      </w:r>
      <w:r>
        <w:rPr>
          <w:rFonts w:hint="eastAsia" w:ascii="仿宋" w:hAnsi="仿宋" w:eastAsia="仿宋" w:cs="仿宋"/>
          <w:color w:val="auto"/>
          <w:spacing w:val="5"/>
          <w:sz w:val="24"/>
          <w:szCs w:val="24"/>
          <w:highlight w:val="none"/>
        </w:rPr>
        <w:t>此</w:t>
      </w:r>
      <w:r>
        <w:rPr>
          <w:rFonts w:hint="eastAsia" w:ascii="仿宋" w:hAnsi="仿宋" w:eastAsia="仿宋" w:cs="仿宋"/>
          <w:color w:val="auto"/>
          <w:sz w:val="24"/>
          <w:szCs w:val="24"/>
          <w:highlight w:val="none"/>
        </w:rPr>
        <w:t>证明。</w:t>
      </w:r>
    </w:p>
    <w:p>
      <w:pPr>
        <w:spacing w:line="360" w:lineRule="auto"/>
        <w:rPr>
          <w:rFonts w:hint="eastAsia" w:ascii="仿宋" w:hAnsi="仿宋" w:eastAsia="仿宋" w:cs="仿宋"/>
          <w:color w:val="auto"/>
          <w:sz w:val="24"/>
          <w:szCs w:val="24"/>
          <w:highlight w:val="none"/>
        </w:rPr>
      </w:pP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w:t>
      </w:r>
      <w:r>
        <w:rPr>
          <w:rFonts w:hint="eastAsia" w:ascii="仿宋" w:hAnsi="仿宋" w:eastAsia="仿宋" w:cs="仿宋"/>
          <w:color w:val="auto"/>
          <w:spacing w:val="5"/>
          <w:sz w:val="24"/>
          <w:szCs w:val="24"/>
          <w:highlight w:val="none"/>
        </w:rPr>
        <w:t>：</w:t>
      </w:r>
      <w:r>
        <w:rPr>
          <w:rFonts w:hint="eastAsia" w:ascii="仿宋" w:hAnsi="仿宋" w:eastAsia="仿宋" w:cs="仿宋"/>
          <w:color w:val="auto"/>
          <w:sz w:val="24"/>
          <w:szCs w:val="24"/>
          <w:highlight w:val="none"/>
        </w:rPr>
        <w:t>法定</w:t>
      </w:r>
      <w:r>
        <w:rPr>
          <w:rFonts w:hint="eastAsia" w:ascii="仿宋" w:hAnsi="仿宋" w:eastAsia="仿宋" w:cs="仿宋"/>
          <w:color w:val="auto"/>
          <w:spacing w:val="5"/>
          <w:sz w:val="24"/>
          <w:szCs w:val="24"/>
          <w:highlight w:val="none"/>
        </w:rPr>
        <w:t>代</w:t>
      </w:r>
      <w:r>
        <w:rPr>
          <w:rFonts w:hint="eastAsia" w:ascii="仿宋" w:hAnsi="仿宋" w:eastAsia="仿宋" w:cs="仿宋"/>
          <w:color w:val="auto"/>
          <w:sz w:val="24"/>
          <w:szCs w:val="24"/>
          <w:highlight w:val="none"/>
        </w:rPr>
        <w:t>表人</w:t>
      </w:r>
      <w:r>
        <w:rPr>
          <w:rFonts w:hint="eastAsia" w:ascii="仿宋" w:hAnsi="仿宋" w:eastAsia="仿宋" w:cs="仿宋"/>
          <w:color w:val="auto"/>
          <w:spacing w:val="5"/>
          <w:sz w:val="24"/>
          <w:szCs w:val="24"/>
          <w:highlight w:val="none"/>
        </w:rPr>
        <w:t>身</w:t>
      </w:r>
      <w:r>
        <w:rPr>
          <w:rFonts w:hint="eastAsia" w:ascii="仿宋" w:hAnsi="仿宋" w:eastAsia="仿宋" w:cs="仿宋"/>
          <w:color w:val="auto"/>
          <w:sz w:val="24"/>
          <w:szCs w:val="24"/>
          <w:highlight w:val="none"/>
        </w:rPr>
        <w:t>份证</w:t>
      </w:r>
      <w:r>
        <w:rPr>
          <w:rFonts w:hint="eastAsia" w:ascii="仿宋" w:hAnsi="仿宋" w:eastAsia="仿宋" w:cs="仿宋"/>
          <w:color w:val="auto"/>
          <w:spacing w:val="5"/>
          <w:sz w:val="24"/>
          <w:szCs w:val="24"/>
          <w:highlight w:val="none"/>
        </w:rPr>
        <w:t>复</w:t>
      </w:r>
      <w:r>
        <w:rPr>
          <w:rFonts w:hint="eastAsia" w:ascii="仿宋" w:hAnsi="仿宋" w:eastAsia="仿宋" w:cs="仿宋"/>
          <w:color w:val="auto"/>
          <w:sz w:val="24"/>
          <w:szCs w:val="24"/>
          <w:highlight w:val="none"/>
        </w:rPr>
        <w:t>印</w:t>
      </w:r>
      <w:r>
        <w:rPr>
          <w:rFonts w:hint="eastAsia" w:ascii="仿宋" w:hAnsi="仿宋" w:eastAsia="仿宋" w:cs="仿宋"/>
          <w:color w:val="auto"/>
          <w:spacing w:val="5"/>
          <w:sz w:val="24"/>
          <w:szCs w:val="24"/>
          <w:highlight w:val="none"/>
        </w:rPr>
        <w:t>件</w:t>
      </w:r>
    </w:p>
    <w:p>
      <w:pPr>
        <w:spacing w:line="360" w:lineRule="auto"/>
        <w:rPr>
          <w:rFonts w:hint="eastAsia" w:ascii="仿宋" w:hAnsi="仿宋" w:eastAsia="仿宋" w:cs="仿宋"/>
          <w:color w:val="auto"/>
          <w:sz w:val="24"/>
          <w:szCs w:val="24"/>
          <w:highlight w:val="none"/>
        </w:rPr>
      </w:pP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供应商（单位公章）：XXXXXXXXXX</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法定代表人签字或者加盖法定代表人名章：</w:t>
      </w:r>
      <w:r>
        <w:rPr>
          <w:rFonts w:hint="eastAsia" w:ascii="仿宋" w:hAnsi="仿宋" w:eastAsia="仿宋" w:cs="仿宋"/>
          <w:color w:val="auto"/>
          <w:sz w:val="24"/>
          <w:szCs w:val="24"/>
          <w:highlight w:val="none"/>
          <w:u w:val="single"/>
        </w:rPr>
        <w:tab/>
      </w:r>
      <w:r>
        <w:rPr>
          <w:rFonts w:hint="eastAsia" w:ascii="仿宋" w:hAnsi="仿宋" w:eastAsia="仿宋" w:cs="仿宋"/>
          <w:color w:val="auto"/>
          <w:sz w:val="24"/>
          <w:szCs w:val="24"/>
          <w:highlight w:val="none"/>
        </w:rPr>
        <w:t>。</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b/>
          <w:bCs/>
          <w:color w:val="auto"/>
          <w:spacing w:val="5"/>
          <w:sz w:val="24"/>
          <w:szCs w:val="24"/>
          <w:highlight w:val="none"/>
        </w:rPr>
        <w:t>年</w:t>
      </w:r>
      <w:r>
        <w:rPr>
          <w:rFonts w:hint="eastAsia" w:ascii="仿宋" w:hAnsi="仿宋" w:eastAsia="仿宋" w:cs="仿宋"/>
          <w:b/>
          <w:bCs/>
          <w:color w:val="auto"/>
          <w:sz w:val="24"/>
          <w:szCs w:val="24"/>
          <w:highlight w:val="none"/>
        </w:rPr>
        <w:t>月日</w:t>
      </w:r>
    </w:p>
    <w:p>
      <w:pPr>
        <w:spacing w:line="360" w:lineRule="auto"/>
        <w:rPr>
          <w:rFonts w:hint="eastAsia" w:ascii="仿宋" w:hAnsi="仿宋" w:eastAsia="仿宋" w:cs="仿宋"/>
          <w:color w:val="auto"/>
          <w:sz w:val="24"/>
          <w:szCs w:val="24"/>
          <w:highlight w:val="none"/>
        </w:rPr>
      </w:pPr>
    </w:p>
    <w:p>
      <w:pPr>
        <w:spacing w:line="360" w:lineRule="auto"/>
        <w:rPr>
          <w:rFonts w:hint="eastAsia" w:ascii="仿宋" w:hAnsi="仿宋" w:eastAsia="仿宋" w:cs="仿宋"/>
          <w:color w:val="auto"/>
          <w:sz w:val="24"/>
          <w:szCs w:val="24"/>
          <w:highlight w:val="none"/>
        </w:rPr>
      </w:pPr>
    </w:p>
    <w:p>
      <w:pPr>
        <w:spacing w:line="360" w:lineRule="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注</w:t>
      </w:r>
      <w:r>
        <w:rPr>
          <w:rFonts w:hint="eastAsia" w:ascii="仿宋" w:hAnsi="仿宋" w:eastAsia="仿宋" w:cs="仿宋"/>
          <w:b/>
          <w:bCs/>
          <w:color w:val="auto"/>
          <w:spacing w:val="-139"/>
          <w:sz w:val="24"/>
          <w:szCs w:val="24"/>
          <w:highlight w:val="none"/>
        </w:rPr>
        <w:t>：</w:t>
      </w:r>
      <w:r>
        <w:rPr>
          <w:rFonts w:hint="eastAsia" w:ascii="仿宋" w:hAnsi="仿宋" w:eastAsia="仿宋" w:cs="仿宋"/>
          <w:b/>
          <w:bCs/>
          <w:color w:val="auto"/>
          <w:sz w:val="24"/>
          <w:szCs w:val="24"/>
          <w:highlight w:val="none"/>
        </w:rPr>
        <w:t>：</w:t>
      </w:r>
      <w:r>
        <w:rPr>
          <w:rFonts w:hint="eastAsia" w:ascii="仿宋" w:hAnsi="仿宋" w:eastAsia="仿宋" w:cs="仿宋"/>
          <w:b/>
          <w:bCs/>
          <w:color w:val="auto"/>
          <w:spacing w:val="5"/>
          <w:sz w:val="24"/>
          <w:szCs w:val="24"/>
          <w:highlight w:val="none"/>
        </w:rPr>
        <w:t>法</w:t>
      </w:r>
      <w:r>
        <w:rPr>
          <w:rFonts w:hint="eastAsia" w:ascii="仿宋" w:hAnsi="仿宋" w:eastAsia="仿宋" w:cs="仿宋"/>
          <w:b/>
          <w:bCs/>
          <w:color w:val="auto"/>
          <w:sz w:val="24"/>
          <w:szCs w:val="24"/>
          <w:highlight w:val="none"/>
        </w:rPr>
        <w:t>定代</w:t>
      </w:r>
      <w:r>
        <w:rPr>
          <w:rFonts w:hint="eastAsia" w:ascii="仿宋" w:hAnsi="仿宋" w:eastAsia="仿宋" w:cs="仿宋"/>
          <w:b/>
          <w:bCs/>
          <w:color w:val="auto"/>
          <w:spacing w:val="5"/>
          <w:sz w:val="24"/>
          <w:szCs w:val="24"/>
          <w:highlight w:val="none"/>
        </w:rPr>
        <w:t>表</w:t>
      </w:r>
      <w:r>
        <w:rPr>
          <w:rFonts w:hint="eastAsia" w:ascii="仿宋" w:hAnsi="仿宋" w:eastAsia="仿宋" w:cs="仿宋"/>
          <w:b/>
          <w:bCs/>
          <w:color w:val="auto"/>
          <w:sz w:val="24"/>
          <w:szCs w:val="24"/>
          <w:highlight w:val="none"/>
        </w:rPr>
        <w:t>人参与报价</w:t>
      </w:r>
      <w:r>
        <w:rPr>
          <w:rFonts w:hint="eastAsia" w:ascii="仿宋" w:hAnsi="仿宋" w:eastAsia="仿宋" w:cs="仿宋"/>
          <w:b/>
          <w:bCs/>
          <w:color w:val="auto"/>
          <w:spacing w:val="5"/>
          <w:sz w:val="24"/>
          <w:szCs w:val="24"/>
          <w:highlight w:val="none"/>
        </w:rPr>
        <w:t>而非</w:t>
      </w:r>
      <w:r>
        <w:rPr>
          <w:rFonts w:hint="eastAsia" w:ascii="仿宋" w:hAnsi="仿宋" w:eastAsia="仿宋" w:cs="仿宋"/>
          <w:b/>
          <w:bCs/>
          <w:color w:val="auto"/>
          <w:sz w:val="24"/>
          <w:szCs w:val="24"/>
          <w:highlight w:val="none"/>
        </w:rPr>
        <w:t>委托代</w:t>
      </w:r>
      <w:r>
        <w:rPr>
          <w:rFonts w:hint="eastAsia" w:ascii="仿宋" w:hAnsi="仿宋" w:eastAsia="仿宋" w:cs="仿宋"/>
          <w:b/>
          <w:bCs/>
          <w:color w:val="auto"/>
          <w:spacing w:val="5"/>
          <w:sz w:val="24"/>
          <w:szCs w:val="24"/>
          <w:highlight w:val="none"/>
        </w:rPr>
        <w:t>理</w:t>
      </w:r>
      <w:r>
        <w:rPr>
          <w:rFonts w:hint="eastAsia" w:ascii="仿宋" w:hAnsi="仿宋" w:eastAsia="仿宋" w:cs="仿宋"/>
          <w:b/>
          <w:bCs/>
          <w:color w:val="auto"/>
          <w:sz w:val="24"/>
          <w:szCs w:val="24"/>
          <w:highlight w:val="none"/>
        </w:rPr>
        <w:t>人参与适用。</w:t>
      </w:r>
    </w:p>
    <w:p>
      <w:pPr>
        <w:widowControl/>
        <w:spacing w:line="360" w:lineRule="auto"/>
        <w:jc w:val="center"/>
        <w:rPr>
          <w:rFonts w:hint="eastAsia" w:ascii="仿宋" w:hAnsi="仿宋" w:eastAsia="仿宋" w:cs="仿宋"/>
          <w:color w:val="auto"/>
          <w:highlight w:val="none"/>
        </w:rPr>
      </w:pPr>
      <w:r>
        <w:rPr>
          <w:rFonts w:hint="eastAsia" w:ascii="仿宋" w:hAnsi="仿宋" w:eastAsia="仿宋" w:cs="仿宋"/>
          <w:color w:val="auto"/>
          <w:sz w:val="32"/>
          <w:szCs w:val="32"/>
          <w:highlight w:val="none"/>
        </w:rPr>
        <w:br w:type="page"/>
      </w:r>
      <w:r>
        <w:rPr>
          <w:rFonts w:hint="eastAsia" w:ascii="仿宋" w:hAnsi="仿宋" w:eastAsia="仿宋" w:cs="仿宋"/>
          <w:b/>
          <w:bCs/>
          <w:color w:val="auto"/>
          <w:sz w:val="32"/>
          <w:szCs w:val="32"/>
          <w:highlight w:val="none"/>
          <w:lang w:val="en-US" w:eastAsia="zh-CN"/>
        </w:rPr>
        <w:t>四</w:t>
      </w:r>
      <w:r>
        <w:rPr>
          <w:rFonts w:hint="eastAsia" w:ascii="仿宋" w:hAnsi="仿宋" w:eastAsia="仿宋" w:cs="仿宋"/>
          <w:b/>
          <w:bCs/>
          <w:color w:val="auto"/>
          <w:kern w:val="0"/>
          <w:sz w:val="32"/>
          <w:szCs w:val="32"/>
          <w:highlight w:val="none"/>
          <w:lang w:val="en-US" w:eastAsia="zh-CN" w:bidi="ar-SA"/>
        </w:rPr>
        <w:t>、承诺函</w:t>
      </w:r>
    </w:p>
    <w:p>
      <w:pPr>
        <w:spacing w:line="360" w:lineRule="auto"/>
        <w:ind w:right="1113" w:rightChars="53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利阳致诚国际项目管理有限公司：</w:t>
      </w:r>
    </w:p>
    <w:p>
      <w:pPr>
        <w:spacing w:line="360" w:lineRule="auto"/>
        <w:ind w:right="1113" w:rightChars="530"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我公司作为本次采购项目的供应商，根据</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要求，现郑重承诺如下：</w:t>
      </w:r>
    </w:p>
    <w:p>
      <w:pPr>
        <w:spacing w:line="360" w:lineRule="auto"/>
        <w:ind w:right="1113" w:rightChars="530"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一、具备《中华人民共和国政府采购法》第二十二条和本项目规定的条件：</w:t>
      </w:r>
    </w:p>
    <w:p>
      <w:pPr>
        <w:spacing w:line="360" w:lineRule="auto"/>
        <w:ind w:right="1113" w:rightChars="530"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（一）具有独立承担民事责任的能力；</w:t>
      </w:r>
    </w:p>
    <w:p>
      <w:pPr>
        <w:spacing w:line="360" w:lineRule="auto"/>
        <w:ind w:right="1113" w:rightChars="530"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（二）具有良好的商业信誉和健全的财务会计制度；</w:t>
      </w:r>
    </w:p>
    <w:p>
      <w:pPr>
        <w:spacing w:line="360" w:lineRule="auto"/>
        <w:ind w:right="1113" w:rightChars="530"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（三）具有履行合同所必需的设备和专业技术能力；</w:t>
      </w:r>
    </w:p>
    <w:p>
      <w:pPr>
        <w:spacing w:line="360" w:lineRule="auto"/>
        <w:ind w:right="1113" w:rightChars="530"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（四）有依法缴纳税收和社会保障资金的良好记录；</w:t>
      </w:r>
    </w:p>
    <w:p>
      <w:pPr>
        <w:spacing w:line="360" w:lineRule="auto"/>
        <w:ind w:right="1113" w:rightChars="530"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（五）参加政府采购活动前三年内，在经营活动中没有重大违法记录；</w:t>
      </w:r>
    </w:p>
    <w:p>
      <w:pPr>
        <w:spacing w:line="360" w:lineRule="auto"/>
        <w:ind w:right="1113" w:rightChars="530"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（六）法律、行政法规规定的其他条件；</w:t>
      </w:r>
    </w:p>
    <w:p>
      <w:pPr>
        <w:spacing w:line="360" w:lineRule="auto"/>
        <w:ind w:right="1113" w:rightChars="530"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（七）根据采购项目提出的特殊条件。</w:t>
      </w:r>
    </w:p>
    <w:p>
      <w:pPr>
        <w:spacing w:line="360" w:lineRule="auto"/>
        <w:ind w:right="1113" w:rightChars="530"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二、</w:t>
      </w:r>
      <w:r>
        <w:rPr>
          <w:rFonts w:hint="eastAsia" w:ascii="仿宋" w:hAnsi="仿宋" w:eastAsia="仿宋" w:cs="仿宋"/>
          <w:color w:val="auto"/>
          <w:sz w:val="24"/>
          <w:szCs w:val="24"/>
          <w:highlight w:val="none"/>
        </w:rPr>
        <w:t>在参加本项目政府采购活动前三年中，我司及其现任法定代表人、主要负责人不具有行贿犯罪记录。</w:t>
      </w:r>
    </w:p>
    <w:p>
      <w:pPr>
        <w:spacing w:line="360" w:lineRule="auto"/>
        <w:ind w:right="1113" w:rightChars="530"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三</w:t>
      </w:r>
      <w:r>
        <w:rPr>
          <w:rFonts w:hint="eastAsia" w:ascii="仿宋" w:hAnsi="仿宋" w:eastAsia="仿宋" w:cs="仿宋"/>
          <w:color w:val="auto"/>
          <w:sz w:val="24"/>
          <w:szCs w:val="24"/>
          <w:highlight w:val="none"/>
        </w:rPr>
        <w:t>、完全接受和满足本项目</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中规定的实质性要求，如对</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有异议，已经在递交</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截止时间届满前依法进行维权救济，不存在对</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有异议的同时又参加谈判以求侥幸成交或者为实现其他非法目的的行为。</w:t>
      </w:r>
    </w:p>
    <w:p>
      <w:pPr>
        <w:spacing w:line="360" w:lineRule="auto"/>
        <w:ind w:right="1113" w:rightChars="530"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四</w:t>
      </w:r>
      <w:r>
        <w:rPr>
          <w:rFonts w:hint="eastAsia" w:ascii="仿宋" w:hAnsi="仿宋" w:eastAsia="仿宋" w:cs="仿宋"/>
          <w:color w:val="auto"/>
          <w:sz w:val="24"/>
          <w:szCs w:val="24"/>
          <w:highlight w:val="none"/>
        </w:rPr>
        <w:t>、在参加本次采购活动中，不存在与单位负责人为同一人或者存在直接控股、管理关系的其他供应商参与同一合同项下的政府采购活动的行为。</w:t>
      </w:r>
    </w:p>
    <w:p>
      <w:pPr>
        <w:spacing w:line="360" w:lineRule="auto"/>
        <w:ind w:right="1113" w:rightChars="530"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五</w:t>
      </w:r>
      <w:r>
        <w:rPr>
          <w:rFonts w:hint="eastAsia" w:ascii="仿宋" w:hAnsi="仿宋" w:eastAsia="仿宋" w:cs="仿宋"/>
          <w:color w:val="auto"/>
          <w:sz w:val="24"/>
          <w:szCs w:val="24"/>
          <w:highlight w:val="none"/>
        </w:rPr>
        <w:t>、在参加本次采购活动中，不存在和其他供应商在同一合同项下的采购项目中，同时委托同一个自然人、同一家庭的人员、同一单位的人员作为代理人的行为。</w:t>
      </w:r>
    </w:p>
    <w:p>
      <w:pPr>
        <w:spacing w:line="360" w:lineRule="auto"/>
        <w:ind w:right="1113" w:rightChars="530"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六</w:t>
      </w:r>
      <w:r>
        <w:rPr>
          <w:rFonts w:hint="eastAsia" w:ascii="仿宋" w:hAnsi="仿宋" w:eastAsia="仿宋" w:cs="仿宋"/>
          <w:color w:val="auto"/>
          <w:sz w:val="24"/>
          <w:szCs w:val="24"/>
          <w:highlight w:val="none"/>
        </w:rPr>
        <w:t>、如果有</w:t>
      </w:r>
      <w:r>
        <w:rPr>
          <w:rFonts w:hint="eastAsia" w:ascii="仿宋" w:hAnsi="仿宋" w:eastAsia="仿宋" w:cs="仿宋"/>
          <w:color w:val="auto"/>
          <w:sz w:val="24"/>
          <w:szCs w:val="24"/>
          <w:highlight w:val="none"/>
          <w:lang w:val="zh-CN"/>
        </w:rPr>
        <w:t>《四川省公共资源交易领域严重失信联合惩戒实施办法》（川发改信用规〔2019〕405号）、《关于对政府采购领域严重违法失信主体开展联合惩戒的合作备忘录》（发改财金〔2018〕1614号）</w:t>
      </w:r>
      <w:r>
        <w:rPr>
          <w:rFonts w:hint="eastAsia" w:ascii="仿宋" w:hAnsi="仿宋" w:eastAsia="仿宋" w:cs="仿宋"/>
          <w:color w:val="auto"/>
          <w:sz w:val="24"/>
          <w:szCs w:val="24"/>
          <w:highlight w:val="none"/>
        </w:rPr>
        <w:t>规定的记入诚信档案的失信行为，将在</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中全面如实反映。</w:t>
      </w:r>
    </w:p>
    <w:p>
      <w:pPr>
        <w:spacing w:line="360" w:lineRule="auto"/>
        <w:ind w:right="1113" w:rightChars="530"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七</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中提供的任何资料和技术、服务、商务等响应承诺情况都是真实的、有效的、合法的。</w:t>
      </w:r>
    </w:p>
    <w:p>
      <w:pPr>
        <w:spacing w:line="360" w:lineRule="auto"/>
        <w:ind w:right="1113" w:rightChars="530"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八</w:t>
      </w:r>
      <w:r>
        <w:rPr>
          <w:rFonts w:hint="eastAsia" w:ascii="仿宋" w:hAnsi="仿宋" w:eastAsia="仿宋" w:cs="仿宋"/>
          <w:color w:val="auto"/>
          <w:sz w:val="24"/>
          <w:szCs w:val="24"/>
          <w:highlight w:val="none"/>
        </w:rPr>
        <w:t>、如本项目谈判采购过程中需要提供样品，则我公司提供的样品即为成交后将要提供的成交产品，我公司对提供样品的性能和质量负责，因样品存在缺陷或者不符合</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要求导致未能成交的，我公司愿意承担相应不利后果。</w:t>
      </w:r>
    </w:p>
    <w:p>
      <w:pPr>
        <w:spacing w:line="360" w:lineRule="auto"/>
        <w:ind w:right="1113" w:rightChars="530"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本公司对上述承诺的内容事项真实性负责。如经查实上述承诺的内容事项存在虚假，我公司愿意接受以提供虚假材料谋取成交的法律责任。</w:t>
      </w:r>
    </w:p>
    <w:p>
      <w:pPr>
        <w:spacing w:line="360" w:lineRule="auto"/>
        <w:ind w:right="1113" w:rightChars="530" w:firstLine="480" w:firstLineChars="200"/>
        <w:jc w:val="left"/>
        <w:rPr>
          <w:rFonts w:hint="eastAsia" w:ascii="仿宋" w:hAnsi="仿宋" w:eastAsia="仿宋" w:cs="仿宋"/>
          <w:color w:val="auto"/>
          <w:sz w:val="24"/>
          <w:szCs w:val="24"/>
          <w:highlight w:val="none"/>
        </w:rPr>
      </w:pPr>
    </w:p>
    <w:p>
      <w:pPr>
        <w:spacing w:line="360" w:lineRule="auto"/>
        <w:ind w:firstLine="480" w:firstLineChars="200"/>
        <w:jc w:val="left"/>
        <w:rPr>
          <w:rFonts w:hint="eastAsia" w:ascii="仿宋" w:hAnsi="仿宋" w:eastAsia="仿宋" w:cs="仿宋"/>
          <w:color w:val="auto"/>
          <w:sz w:val="24"/>
          <w:szCs w:val="24"/>
          <w:highlight w:val="none"/>
        </w:rPr>
      </w:pP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法定代表人签字或者加盖个人私章：XXXX</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授权代表签字：XXXX</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供应商名称：XXXX（盖章）</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日期：XXX年XXX月XXX日</w:t>
      </w:r>
    </w:p>
    <w:p>
      <w:pPr>
        <w:pStyle w:val="2"/>
        <w:spacing w:before="0" w:after="0" w:line="360" w:lineRule="auto"/>
        <w:jc w:val="center"/>
        <w:rPr>
          <w:rFonts w:hint="eastAsia" w:ascii="仿宋" w:hAnsi="仿宋" w:eastAsia="仿宋" w:cs="仿宋"/>
          <w:color w:val="auto"/>
          <w:highlight w:val="none"/>
        </w:rPr>
      </w:pPr>
      <w:r>
        <w:rPr>
          <w:rFonts w:hint="eastAsia" w:ascii="仿宋" w:hAnsi="仿宋" w:eastAsia="仿宋" w:cs="仿宋"/>
          <w:color w:val="auto"/>
          <w:sz w:val="30"/>
          <w:szCs w:val="30"/>
          <w:highlight w:val="none"/>
        </w:rPr>
        <w:br w:type="page"/>
      </w:r>
      <w:r>
        <w:rPr>
          <w:rFonts w:hint="eastAsia" w:ascii="仿宋" w:hAnsi="仿宋" w:eastAsia="仿宋" w:cs="仿宋"/>
          <w:color w:val="auto"/>
          <w:highlight w:val="none"/>
          <w:lang w:val="en-US" w:eastAsia="zh-CN"/>
        </w:rPr>
        <w:t>五</w:t>
      </w:r>
      <w:r>
        <w:rPr>
          <w:rFonts w:hint="eastAsia" w:ascii="仿宋" w:hAnsi="仿宋" w:eastAsia="仿宋" w:cs="仿宋"/>
          <w:color w:val="auto"/>
          <w:highlight w:val="none"/>
        </w:rPr>
        <w:t>、近三年在经营活动中没有重大违法记录的书面声明</w:t>
      </w:r>
    </w:p>
    <w:p>
      <w:pPr>
        <w:spacing w:line="360" w:lineRule="auto"/>
        <w:rPr>
          <w:rFonts w:hint="eastAsia" w:ascii="仿宋" w:hAnsi="仿宋" w:eastAsia="仿宋" w:cs="仿宋"/>
          <w:color w:val="auto"/>
          <w:sz w:val="24"/>
          <w:szCs w:val="24"/>
          <w:highlight w:val="none"/>
        </w:rPr>
      </w:pPr>
    </w:p>
    <w:p>
      <w:pPr>
        <w:adjustRightInd w:val="0"/>
        <w:snapToGrid w:val="0"/>
        <w:spacing w:line="360" w:lineRule="auto"/>
        <w:ind w:left="480" w:hanging="480" w:hanging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利阳致诚国际项目管理有限公司：</w:t>
      </w:r>
    </w:p>
    <w:p>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本公司（公司名称）参加（项目名称）的谈判活动，现承诺我公司在参加政府采购活动前三年内，在经营活动中没有重大违法记录。</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如违反以上承诺，本公司愿承担一切法律责任。</w:t>
      </w:r>
    </w:p>
    <w:p>
      <w:pPr>
        <w:spacing w:line="360" w:lineRule="auto"/>
        <w:ind w:firstLine="480" w:firstLineChars="200"/>
        <w:rPr>
          <w:rFonts w:hint="eastAsia" w:ascii="仿宋" w:hAnsi="仿宋" w:eastAsia="仿宋" w:cs="仿宋"/>
          <w:color w:val="auto"/>
          <w:sz w:val="24"/>
          <w:szCs w:val="24"/>
          <w:highlight w:val="none"/>
        </w:rPr>
      </w:pPr>
    </w:p>
    <w:p>
      <w:pPr>
        <w:spacing w:line="360" w:lineRule="auto"/>
        <w:ind w:firstLine="480" w:firstLineChars="200"/>
        <w:rPr>
          <w:rFonts w:hint="eastAsia" w:ascii="仿宋" w:hAnsi="仿宋" w:eastAsia="仿宋" w:cs="仿宋"/>
          <w:color w:val="auto"/>
          <w:sz w:val="24"/>
          <w:szCs w:val="24"/>
          <w:highlight w:val="none"/>
        </w:rPr>
      </w:pP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说明：其中重大违法记录中的较大数额罚款的具体金额标准，采购项目所属行业行政主管部门对较大数额罚款金额标准有明文规定的，可以根据采购项目所属行业行政主管部门规定的较大数额罚款金额标准为准；采购项目所属行业行政主管部门对较大数额罚款金额标准未明文规定的，应当以四川省人民政府规定的行政处罚罚款听证标准金额为准。</w:t>
      </w:r>
    </w:p>
    <w:p>
      <w:pPr>
        <w:spacing w:line="360" w:lineRule="auto"/>
        <w:rPr>
          <w:rFonts w:hint="eastAsia" w:ascii="仿宋" w:hAnsi="仿宋" w:eastAsia="仿宋" w:cs="仿宋"/>
          <w:color w:val="auto"/>
          <w:sz w:val="24"/>
          <w:szCs w:val="24"/>
          <w:highlight w:val="none"/>
        </w:rPr>
      </w:pPr>
    </w:p>
    <w:p>
      <w:pPr>
        <w:spacing w:line="360" w:lineRule="auto"/>
        <w:rPr>
          <w:rFonts w:hint="eastAsia" w:ascii="仿宋" w:hAnsi="仿宋" w:eastAsia="仿宋" w:cs="仿宋"/>
          <w:color w:val="auto"/>
          <w:sz w:val="24"/>
          <w:szCs w:val="24"/>
          <w:highlight w:val="none"/>
        </w:rPr>
      </w:pPr>
    </w:p>
    <w:p>
      <w:pPr>
        <w:adjustRightInd w:val="0"/>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供应商名称（单位公章）：XXXXXXXXXXX  </w:t>
      </w:r>
    </w:p>
    <w:p>
      <w:pPr>
        <w:adjustRightInd w:val="0"/>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法定代表人或授权代表（签字或盖章）：</w:t>
      </w:r>
    </w:p>
    <w:p>
      <w:pPr>
        <w:adjustRightInd w:val="0"/>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w:t>
      </w:r>
    </w:p>
    <w:p>
      <w:pPr>
        <w:widowControl/>
        <w:spacing w:line="360" w:lineRule="auto"/>
        <w:jc w:val="left"/>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br w:type="page"/>
      </w:r>
    </w:p>
    <w:p>
      <w:pPr>
        <w:pStyle w:val="2"/>
        <w:spacing w:before="0" w:after="0"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六</w:t>
      </w:r>
      <w:r>
        <w:rPr>
          <w:rFonts w:hint="eastAsia" w:ascii="仿宋" w:hAnsi="仿宋" w:eastAsia="仿宋" w:cs="仿宋"/>
          <w:color w:val="auto"/>
          <w:highlight w:val="none"/>
        </w:rPr>
        <w:t>、供应商诚信情况的承诺</w:t>
      </w:r>
    </w:p>
    <w:p>
      <w:pPr>
        <w:spacing w:line="360" w:lineRule="auto"/>
        <w:rPr>
          <w:rFonts w:hint="eastAsia" w:ascii="仿宋" w:hAnsi="仿宋" w:eastAsia="仿宋" w:cs="仿宋"/>
          <w:color w:val="auto"/>
          <w:sz w:val="24"/>
          <w:szCs w:val="24"/>
          <w:highlight w:val="none"/>
        </w:rPr>
      </w:pPr>
      <w:bookmarkStart w:id="99" w:name="_Toc462929232"/>
      <w:bookmarkStart w:id="100" w:name="_Toc462929214"/>
    </w:p>
    <w:bookmarkEnd w:id="99"/>
    <w:bookmarkEnd w:id="100"/>
    <w:p>
      <w:pPr>
        <w:spacing w:line="360" w:lineRule="auto"/>
        <w:rPr>
          <w:rFonts w:hint="eastAsia" w:ascii="仿宋" w:hAnsi="仿宋" w:eastAsia="仿宋" w:cs="仿宋"/>
          <w:color w:val="auto"/>
          <w:sz w:val="24"/>
          <w:szCs w:val="24"/>
          <w:highlight w:val="none"/>
        </w:rPr>
      </w:pPr>
      <w:bookmarkStart w:id="101" w:name="_Toc345"/>
      <w:r>
        <w:rPr>
          <w:rFonts w:hint="eastAsia" w:ascii="仿宋" w:hAnsi="仿宋" w:eastAsia="仿宋" w:cs="仿宋"/>
          <w:color w:val="auto"/>
          <w:sz w:val="24"/>
          <w:szCs w:val="24"/>
          <w:highlight w:val="none"/>
        </w:rPr>
        <w:t>利阳致诚国际项目管理有限公司：</w:t>
      </w:r>
      <w:bookmarkEnd w:id="101"/>
      <w:bookmarkStart w:id="102" w:name="_Toc462929215"/>
      <w:bookmarkStart w:id="103" w:name="_Toc462929233"/>
    </w:p>
    <w:p>
      <w:pPr>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zh-CN"/>
        </w:rPr>
        <w:t>《四川省公共资源交易领域严重失信联合惩戒实施办法》（川发改信用规〔2019〕405号）、《关于对政府采购领域严重违法失信主体开展联合惩戒的合作备忘录》（发改财金〔2018〕1614号）</w:t>
      </w:r>
      <w:r>
        <w:rPr>
          <w:rFonts w:hint="eastAsia" w:ascii="仿宋" w:hAnsi="仿宋" w:eastAsia="仿宋" w:cs="仿宋"/>
          <w:b/>
          <w:bCs/>
          <w:color w:val="auto"/>
          <w:sz w:val="24"/>
          <w:szCs w:val="24"/>
          <w:highlight w:val="none"/>
        </w:rPr>
        <w:t>的规定，我公司承诺在参加本项目政府采购活动中无失信行为。</w:t>
      </w:r>
      <w:bookmarkEnd w:id="102"/>
      <w:bookmarkEnd w:id="103"/>
      <w:bookmarkStart w:id="104" w:name="_Toc462929216"/>
      <w:bookmarkStart w:id="105" w:name="_Toc462929234"/>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本公司对上述承诺的内容事项真实性负责。如经查实上述承诺的内容事项存在虚假，我公司愿意接受以提供虚假材料谋取成交追究法律责任。</w:t>
      </w:r>
      <w:bookmarkEnd w:id="104"/>
      <w:bookmarkEnd w:id="105"/>
    </w:p>
    <w:p>
      <w:pPr>
        <w:spacing w:line="360" w:lineRule="auto"/>
        <w:ind w:firstLine="480" w:firstLineChars="200"/>
        <w:rPr>
          <w:rFonts w:hint="eastAsia" w:ascii="仿宋" w:hAnsi="仿宋" w:eastAsia="仿宋" w:cs="仿宋"/>
          <w:color w:val="auto"/>
          <w:sz w:val="24"/>
          <w:szCs w:val="24"/>
          <w:highlight w:val="none"/>
        </w:rPr>
      </w:pP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供应商名称（单位公章）：XXXXXXXXXXX</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法定代表人或授权代表（签字或盖章）：</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w:t>
      </w:r>
    </w:p>
    <w:p>
      <w:pPr>
        <w:widowControl/>
        <w:spacing w:line="360" w:lineRule="auto"/>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br w:type="page"/>
      </w:r>
    </w:p>
    <w:p>
      <w:pPr>
        <w:pStyle w:val="2"/>
        <w:spacing w:before="0" w:after="0" w:line="360" w:lineRule="auto"/>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七</w:t>
      </w:r>
      <w:r>
        <w:rPr>
          <w:rFonts w:hint="eastAsia" w:ascii="仿宋" w:hAnsi="仿宋" w:eastAsia="仿宋" w:cs="仿宋"/>
          <w:color w:val="auto"/>
          <w:highlight w:val="none"/>
        </w:rPr>
        <w:t>、中小企业声明函</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如涉及</w:t>
      </w:r>
      <w:r>
        <w:rPr>
          <w:rFonts w:hint="eastAsia" w:ascii="仿宋" w:hAnsi="仿宋" w:eastAsia="仿宋" w:cs="仿宋"/>
          <w:color w:val="auto"/>
          <w:highlight w:val="none"/>
          <w:lang w:eastAsia="zh-CN"/>
        </w:rPr>
        <w:t>）</w:t>
      </w:r>
    </w:p>
    <w:p>
      <w:pPr>
        <w:autoSpaceDE w:val="0"/>
        <w:autoSpaceDN w:val="0"/>
        <w:spacing w:line="360" w:lineRule="auto"/>
        <w:ind w:firstLine="438"/>
        <w:rPr>
          <w:rFonts w:hint="eastAsia" w:ascii="仿宋" w:hAnsi="仿宋" w:eastAsia="仿宋" w:cs="仿宋"/>
          <w:iCs/>
          <w:color w:val="auto"/>
          <w:sz w:val="24"/>
          <w:szCs w:val="24"/>
          <w:highlight w:val="none"/>
          <w:u w:color="000000"/>
        </w:rPr>
      </w:pPr>
    </w:p>
    <w:p>
      <w:pPr>
        <w:autoSpaceDE w:val="0"/>
        <w:autoSpaceDN w:val="0"/>
        <w:spacing w:line="360" w:lineRule="auto"/>
        <w:ind w:firstLine="438"/>
        <w:rPr>
          <w:rFonts w:hint="eastAsia" w:ascii="仿宋" w:hAnsi="仿宋" w:eastAsia="仿宋" w:cs="仿宋"/>
          <w:color w:val="auto"/>
          <w:sz w:val="24"/>
          <w:szCs w:val="24"/>
          <w:highlight w:val="none"/>
          <w:u w:color="000000"/>
        </w:rPr>
      </w:pPr>
      <w:r>
        <w:rPr>
          <w:rFonts w:hint="eastAsia" w:ascii="仿宋" w:hAnsi="仿宋" w:eastAsia="仿宋" w:cs="仿宋"/>
          <w:iCs/>
          <w:color w:val="auto"/>
          <w:sz w:val="24"/>
          <w:szCs w:val="24"/>
          <w:highlight w:val="none"/>
          <w:u w:color="000000"/>
        </w:rPr>
        <w:t>本公司（联合体）郑重声明，根据《政府采购促进</w:t>
      </w:r>
      <w:r>
        <w:rPr>
          <w:rFonts w:hint="eastAsia" w:ascii="仿宋" w:hAnsi="仿宋" w:eastAsia="仿宋" w:cs="仿宋"/>
          <w:iCs/>
          <w:color w:val="auto"/>
          <w:spacing w:val="15"/>
          <w:sz w:val="24"/>
          <w:szCs w:val="24"/>
          <w:highlight w:val="none"/>
          <w:u w:color="000000"/>
        </w:rPr>
        <w:t>中小企业发展管理办法》（财库〔2020〕46号）的规定，本公司（联合体）参加 （单位名称）的</w:t>
      </w:r>
      <w:r>
        <w:rPr>
          <w:rFonts w:hint="eastAsia" w:ascii="仿宋" w:hAnsi="仿宋" w:eastAsia="仿宋" w:cs="仿宋"/>
          <w:iCs/>
          <w:color w:val="auto"/>
          <w:spacing w:val="15"/>
          <w:sz w:val="24"/>
          <w:szCs w:val="24"/>
          <w:highlight w:val="none"/>
          <w:u w:val="single" w:color="000000"/>
        </w:rPr>
        <w:t xml:space="preserve">        （项目名称）</w:t>
      </w:r>
      <w:r>
        <w:rPr>
          <w:rFonts w:hint="eastAsia" w:ascii="仿宋" w:hAnsi="仿宋" w:eastAsia="仿宋" w:cs="仿宋"/>
          <w:iCs/>
          <w:color w:val="auto"/>
          <w:spacing w:val="15"/>
          <w:sz w:val="24"/>
          <w:szCs w:val="24"/>
          <w:highlight w:val="none"/>
          <w:u w:color="000000"/>
        </w:rPr>
        <w:t>采购活动，</w:t>
      </w:r>
      <w:r>
        <w:rPr>
          <w:rFonts w:hint="eastAsia" w:ascii="仿宋" w:hAnsi="仿宋" w:eastAsia="仿宋" w:cs="仿宋"/>
          <w:iCs/>
          <w:color w:val="auto"/>
          <w:sz w:val="24"/>
          <w:szCs w:val="24"/>
          <w:highlight w:val="none"/>
          <w:u w:color="000000"/>
        </w:rPr>
        <w:t>服务全部由符合政策要求的中小企业承接。相关企业（含联合体中的中小企业、签订分包意向协议的中小企业）的具体情况如下：</w:t>
      </w:r>
    </w:p>
    <w:p>
      <w:pPr>
        <w:tabs>
          <w:tab w:val="left" w:pos="1325"/>
          <w:tab w:val="left" w:pos="1326"/>
          <w:tab w:val="left" w:pos="1738"/>
          <w:tab w:val="left" w:pos="4940"/>
          <w:tab w:val="left" w:pos="7156"/>
        </w:tabs>
        <w:spacing w:line="360" w:lineRule="auto"/>
        <w:ind w:firstLine="448" w:firstLineChars="166"/>
        <w:jc w:val="left"/>
        <w:rPr>
          <w:rFonts w:hint="eastAsia" w:ascii="仿宋" w:hAnsi="仿宋" w:eastAsia="仿宋" w:cs="仿宋"/>
          <w:color w:val="auto"/>
          <w:spacing w:val="15"/>
          <w:sz w:val="24"/>
          <w:szCs w:val="24"/>
          <w:highlight w:val="none"/>
          <w:u w:color="000000"/>
        </w:rPr>
      </w:pPr>
      <w:r>
        <w:rPr>
          <w:rFonts w:hint="eastAsia" w:ascii="仿宋" w:hAnsi="仿宋" w:eastAsia="仿宋" w:cs="仿宋"/>
          <w:color w:val="auto"/>
          <w:spacing w:val="15"/>
          <w:sz w:val="24"/>
          <w:szCs w:val="24"/>
          <w:highlight w:val="none"/>
          <w:u w:color="000000"/>
        </w:rPr>
        <w:t>1.</w:t>
      </w:r>
      <w:r>
        <w:rPr>
          <w:rFonts w:hint="eastAsia" w:ascii="仿宋" w:hAnsi="仿宋" w:eastAsia="仿宋" w:cs="仿宋"/>
          <w:color w:val="auto"/>
          <w:spacing w:val="15"/>
          <w:sz w:val="24"/>
          <w:szCs w:val="24"/>
          <w:highlight w:val="none"/>
          <w:u w:val="single" w:color="000000"/>
        </w:rPr>
        <w:t>(标的名称）</w:t>
      </w:r>
      <w:r>
        <w:rPr>
          <w:rFonts w:hint="eastAsia" w:ascii="仿宋" w:hAnsi="仿宋" w:eastAsia="仿宋" w:cs="仿宋"/>
          <w:color w:val="auto"/>
          <w:spacing w:val="15"/>
          <w:sz w:val="24"/>
          <w:szCs w:val="24"/>
          <w:highlight w:val="none"/>
          <w:u w:color="000000"/>
        </w:rPr>
        <w:t>，属于</w:t>
      </w:r>
      <w:r>
        <w:rPr>
          <w:rFonts w:hint="eastAsia" w:ascii="仿宋" w:hAnsi="仿宋" w:eastAsia="仿宋" w:cs="仿宋"/>
          <w:color w:val="auto"/>
          <w:spacing w:val="15"/>
          <w:sz w:val="24"/>
          <w:szCs w:val="24"/>
          <w:highlight w:val="none"/>
          <w:u w:val="single" w:color="000000"/>
        </w:rPr>
        <w:t>（采购文件中明确的所属行业）行业</w:t>
      </w:r>
      <w:r>
        <w:rPr>
          <w:rFonts w:hint="eastAsia" w:ascii="仿宋" w:hAnsi="仿宋" w:eastAsia="仿宋" w:cs="仿宋"/>
          <w:color w:val="auto"/>
          <w:spacing w:val="15"/>
          <w:sz w:val="24"/>
          <w:szCs w:val="24"/>
          <w:highlight w:val="none"/>
          <w:u w:color="000000"/>
        </w:rPr>
        <w:t>；承接企业为</w:t>
      </w:r>
      <w:r>
        <w:rPr>
          <w:rFonts w:hint="eastAsia" w:ascii="仿宋" w:hAnsi="仿宋" w:eastAsia="仿宋" w:cs="仿宋"/>
          <w:color w:val="auto"/>
          <w:spacing w:val="15"/>
          <w:sz w:val="24"/>
          <w:szCs w:val="24"/>
          <w:highlight w:val="none"/>
          <w:u w:val="single" w:color="000000"/>
        </w:rPr>
        <w:t>（企业名称）</w:t>
      </w:r>
      <w:r>
        <w:rPr>
          <w:rFonts w:hint="eastAsia" w:ascii="仿宋" w:hAnsi="仿宋" w:eastAsia="仿宋" w:cs="仿宋"/>
          <w:color w:val="auto"/>
          <w:spacing w:val="15"/>
          <w:sz w:val="24"/>
          <w:szCs w:val="24"/>
          <w:highlight w:val="none"/>
          <w:u w:color="000000"/>
        </w:rPr>
        <w:t>，从业人员</w:t>
      </w:r>
      <w:r>
        <w:rPr>
          <w:rFonts w:hint="eastAsia" w:ascii="仿宋" w:hAnsi="仿宋" w:eastAsia="仿宋" w:cs="仿宋"/>
          <w:color w:val="auto"/>
          <w:spacing w:val="15"/>
          <w:sz w:val="24"/>
          <w:szCs w:val="24"/>
          <w:highlight w:val="none"/>
          <w:u w:val="single" w:color="000000"/>
        </w:rPr>
        <w:tab/>
      </w:r>
      <w:r>
        <w:rPr>
          <w:rFonts w:hint="eastAsia" w:ascii="仿宋" w:hAnsi="仿宋" w:eastAsia="仿宋" w:cs="仿宋"/>
          <w:color w:val="auto"/>
          <w:spacing w:val="15"/>
          <w:sz w:val="24"/>
          <w:szCs w:val="24"/>
          <w:highlight w:val="none"/>
          <w:u w:color="000000"/>
        </w:rPr>
        <w:t>人，营业收入为万元，资产总额为</w:t>
      </w:r>
      <w:r>
        <w:rPr>
          <w:rFonts w:hint="eastAsia" w:ascii="仿宋" w:hAnsi="仿宋" w:eastAsia="仿宋" w:cs="仿宋"/>
          <w:color w:val="auto"/>
          <w:spacing w:val="15"/>
          <w:sz w:val="24"/>
          <w:szCs w:val="24"/>
          <w:highlight w:val="none"/>
          <w:u w:val="single" w:color="000000"/>
        </w:rPr>
        <w:tab/>
      </w:r>
      <w:r>
        <w:rPr>
          <w:rFonts w:hint="eastAsia" w:ascii="仿宋" w:hAnsi="仿宋" w:eastAsia="仿宋" w:cs="仿宋"/>
          <w:color w:val="auto"/>
          <w:spacing w:val="15"/>
          <w:sz w:val="24"/>
          <w:szCs w:val="24"/>
          <w:highlight w:val="none"/>
          <w:u w:color="000000"/>
        </w:rPr>
        <w:t>万元，属于</w:t>
      </w:r>
      <w:r>
        <w:rPr>
          <w:rFonts w:hint="eastAsia" w:ascii="仿宋" w:hAnsi="仿宋" w:eastAsia="仿宋" w:cs="仿宋"/>
          <w:color w:val="auto"/>
          <w:spacing w:val="15"/>
          <w:sz w:val="24"/>
          <w:szCs w:val="24"/>
          <w:highlight w:val="none"/>
          <w:u w:val="single" w:color="000000"/>
        </w:rPr>
        <w:t>（中型企业、小型企业、微型企业）</w:t>
      </w:r>
      <w:r>
        <w:rPr>
          <w:rFonts w:hint="eastAsia" w:ascii="仿宋" w:hAnsi="仿宋" w:eastAsia="仿宋" w:cs="仿宋"/>
          <w:color w:val="auto"/>
          <w:spacing w:val="15"/>
          <w:sz w:val="24"/>
          <w:szCs w:val="24"/>
          <w:highlight w:val="none"/>
          <w:u w:color="000000"/>
        </w:rPr>
        <w:t>；</w:t>
      </w:r>
    </w:p>
    <w:p>
      <w:pPr>
        <w:autoSpaceDE w:val="0"/>
        <w:autoSpaceDN w:val="0"/>
        <w:spacing w:line="360" w:lineRule="auto"/>
        <w:ind w:firstLine="440"/>
        <w:rPr>
          <w:rFonts w:hint="eastAsia" w:ascii="仿宋" w:hAnsi="仿宋" w:eastAsia="仿宋" w:cs="仿宋"/>
          <w:color w:val="auto"/>
          <w:spacing w:val="15"/>
          <w:sz w:val="24"/>
          <w:szCs w:val="24"/>
          <w:highlight w:val="none"/>
          <w:u w:color="000000"/>
        </w:rPr>
      </w:pPr>
      <w:r>
        <w:rPr>
          <w:rFonts w:hint="eastAsia" w:ascii="仿宋" w:hAnsi="仿宋" w:eastAsia="仿宋" w:cs="仿宋"/>
          <w:color w:val="auto"/>
          <w:spacing w:val="15"/>
          <w:sz w:val="24"/>
          <w:szCs w:val="24"/>
          <w:highlight w:val="none"/>
          <w:u w:color="000000"/>
        </w:rPr>
        <w:t>2.……</w:t>
      </w:r>
    </w:p>
    <w:p>
      <w:pPr>
        <w:autoSpaceDE w:val="0"/>
        <w:autoSpaceDN w:val="0"/>
        <w:spacing w:line="360" w:lineRule="auto"/>
        <w:ind w:firstLine="438"/>
        <w:rPr>
          <w:rFonts w:hint="eastAsia" w:ascii="仿宋" w:hAnsi="仿宋" w:eastAsia="仿宋" w:cs="仿宋"/>
          <w:color w:val="auto"/>
          <w:spacing w:val="15"/>
          <w:sz w:val="24"/>
          <w:szCs w:val="24"/>
          <w:highlight w:val="none"/>
          <w:u w:color="000000"/>
        </w:rPr>
      </w:pPr>
      <w:r>
        <w:rPr>
          <w:rFonts w:hint="eastAsia" w:ascii="仿宋" w:hAnsi="仿宋" w:eastAsia="仿宋" w:cs="仿宋"/>
          <w:color w:val="auto"/>
          <w:spacing w:val="15"/>
          <w:sz w:val="24"/>
          <w:szCs w:val="24"/>
          <w:highlight w:val="none"/>
          <w:u w:color="000000"/>
        </w:rPr>
        <w:t>以上企业，不属于大企业的分支机构，不存在控股股东为大企业的情形，也不存在与大企业的负责人为同一人的情形。</w:t>
      </w:r>
    </w:p>
    <w:p>
      <w:pPr>
        <w:autoSpaceDE w:val="0"/>
        <w:autoSpaceDN w:val="0"/>
        <w:spacing w:line="360" w:lineRule="auto"/>
        <w:ind w:firstLine="438"/>
        <w:rPr>
          <w:rFonts w:hint="eastAsia" w:ascii="仿宋" w:hAnsi="仿宋" w:eastAsia="仿宋" w:cs="仿宋"/>
          <w:color w:val="auto"/>
          <w:spacing w:val="15"/>
          <w:sz w:val="24"/>
          <w:szCs w:val="24"/>
          <w:highlight w:val="none"/>
          <w:u w:color="000000"/>
        </w:rPr>
      </w:pPr>
      <w:r>
        <w:rPr>
          <w:rFonts w:hint="eastAsia" w:ascii="仿宋" w:hAnsi="仿宋" w:eastAsia="仿宋" w:cs="仿宋"/>
          <w:color w:val="auto"/>
          <w:spacing w:val="15"/>
          <w:sz w:val="24"/>
          <w:szCs w:val="24"/>
          <w:highlight w:val="none"/>
          <w:u w:color="000000"/>
        </w:rPr>
        <w:t>本企业对上述声明内容的真实性负责。如有虚假，将依法承担相应责任。</w:t>
      </w:r>
    </w:p>
    <w:p>
      <w:pPr>
        <w:autoSpaceDE w:val="0"/>
        <w:autoSpaceDN w:val="0"/>
        <w:spacing w:line="360" w:lineRule="auto"/>
        <w:ind w:firstLine="438"/>
        <w:rPr>
          <w:rFonts w:hint="eastAsia" w:ascii="仿宋" w:hAnsi="仿宋" w:eastAsia="仿宋" w:cs="仿宋"/>
          <w:color w:val="auto"/>
          <w:spacing w:val="15"/>
          <w:sz w:val="24"/>
          <w:szCs w:val="24"/>
          <w:highlight w:val="none"/>
          <w:u w:color="000000"/>
        </w:rPr>
      </w:pPr>
      <w:r>
        <w:rPr>
          <w:rFonts w:hint="eastAsia" w:ascii="仿宋" w:hAnsi="仿宋" w:eastAsia="仿宋" w:cs="仿宋"/>
          <w:color w:val="auto"/>
          <w:spacing w:val="15"/>
          <w:sz w:val="24"/>
          <w:szCs w:val="24"/>
          <w:highlight w:val="none"/>
          <w:u w:color="000000"/>
        </w:rPr>
        <w:t>企业名称（盖章）：</w:t>
      </w:r>
    </w:p>
    <w:p>
      <w:pPr>
        <w:autoSpaceDE w:val="0"/>
        <w:autoSpaceDN w:val="0"/>
        <w:spacing w:line="360" w:lineRule="auto"/>
        <w:ind w:firstLine="438"/>
        <w:rPr>
          <w:rFonts w:hint="eastAsia" w:ascii="仿宋" w:hAnsi="仿宋" w:eastAsia="仿宋" w:cs="仿宋"/>
          <w:color w:val="auto"/>
          <w:spacing w:val="15"/>
          <w:sz w:val="24"/>
          <w:szCs w:val="24"/>
          <w:highlight w:val="none"/>
          <w:u w:color="000000"/>
        </w:rPr>
      </w:pPr>
      <w:r>
        <w:rPr>
          <w:rFonts w:hint="eastAsia" w:ascii="仿宋" w:hAnsi="仿宋" w:eastAsia="仿宋" w:cs="仿宋"/>
          <w:color w:val="auto"/>
          <w:spacing w:val="15"/>
          <w:sz w:val="24"/>
          <w:szCs w:val="24"/>
          <w:highlight w:val="none"/>
          <w:u w:color="000000"/>
        </w:rPr>
        <w:t>日期：</w:t>
      </w:r>
    </w:p>
    <w:p>
      <w:pPr>
        <w:autoSpaceDE w:val="0"/>
        <w:autoSpaceDN w:val="0"/>
        <w:spacing w:line="360" w:lineRule="auto"/>
        <w:ind w:firstLine="542" w:firstLineChars="200"/>
        <w:rPr>
          <w:rFonts w:hint="eastAsia" w:ascii="仿宋" w:hAnsi="仿宋" w:eastAsia="仿宋" w:cs="仿宋"/>
          <w:b/>
          <w:bCs/>
          <w:color w:val="auto"/>
          <w:spacing w:val="15"/>
          <w:sz w:val="24"/>
          <w:szCs w:val="24"/>
          <w:highlight w:val="none"/>
          <w:u w:color="000000"/>
        </w:rPr>
      </w:pPr>
      <w:r>
        <w:rPr>
          <w:rFonts w:hint="eastAsia" w:ascii="仿宋" w:hAnsi="仿宋" w:eastAsia="仿宋" w:cs="仿宋"/>
          <w:b/>
          <w:bCs/>
          <w:color w:val="auto"/>
          <w:spacing w:val="15"/>
          <w:sz w:val="24"/>
          <w:szCs w:val="24"/>
          <w:highlight w:val="none"/>
          <w:u w:color="000000"/>
        </w:rPr>
        <w:t>说明：1.从业人员、营业收入、资产总额填报上一年度数据，无上一年度数据的新成立企业可不填报。</w:t>
      </w:r>
    </w:p>
    <w:p>
      <w:pPr>
        <w:autoSpaceDE w:val="0"/>
        <w:autoSpaceDN w:val="0"/>
        <w:spacing w:line="360" w:lineRule="auto"/>
        <w:ind w:firstLine="542" w:firstLineChars="200"/>
        <w:rPr>
          <w:rFonts w:hint="eastAsia" w:ascii="仿宋" w:hAnsi="仿宋" w:eastAsia="仿宋" w:cs="仿宋"/>
          <w:b/>
          <w:bCs/>
          <w:color w:val="auto"/>
          <w:spacing w:val="15"/>
          <w:sz w:val="24"/>
          <w:szCs w:val="24"/>
          <w:highlight w:val="none"/>
          <w:u w:color="000000"/>
        </w:rPr>
      </w:pPr>
      <w:r>
        <w:rPr>
          <w:rFonts w:hint="eastAsia" w:ascii="仿宋" w:hAnsi="仿宋" w:eastAsia="仿宋" w:cs="仿宋"/>
          <w:b/>
          <w:bCs/>
          <w:color w:val="auto"/>
          <w:spacing w:val="15"/>
          <w:sz w:val="24"/>
          <w:szCs w:val="24"/>
          <w:highlight w:val="none"/>
          <w:u w:color="000000"/>
        </w:rPr>
        <w:t>2.如未提供中小企业声明函的，则其评审中的小型、微型企业不能享受采购文件规定的加分，但不影响供应商投标文件的有效性。</w:t>
      </w:r>
    </w:p>
    <w:p>
      <w:pPr>
        <w:autoSpaceDE w:val="0"/>
        <w:autoSpaceDN w:val="0"/>
        <w:spacing w:line="360" w:lineRule="auto"/>
        <w:ind w:firstLine="542" w:firstLineChars="200"/>
        <w:rPr>
          <w:rFonts w:hint="eastAsia" w:ascii="仿宋" w:hAnsi="仿宋" w:eastAsia="仿宋" w:cs="仿宋"/>
          <w:b/>
          <w:bCs/>
          <w:color w:val="auto"/>
          <w:spacing w:val="15"/>
          <w:sz w:val="24"/>
          <w:szCs w:val="24"/>
          <w:highlight w:val="none"/>
          <w:u w:color="000000"/>
        </w:rPr>
      </w:pPr>
      <w:r>
        <w:rPr>
          <w:rFonts w:hint="eastAsia" w:ascii="仿宋" w:hAnsi="仿宋" w:eastAsia="仿宋" w:cs="仿宋"/>
          <w:b/>
          <w:bCs/>
          <w:color w:val="auto"/>
          <w:spacing w:val="15"/>
          <w:sz w:val="24"/>
          <w:szCs w:val="24"/>
          <w:highlight w:val="none"/>
          <w:u w:color="000000"/>
        </w:rPr>
        <w:t>3.供应商参加政府采购活动时，提供虚假中小企业声明函的，以提供虚假材料谋取中标处理。</w:t>
      </w:r>
    </w:p>
    <w:p>
      <w:pPr>
        <w:spacing w:line="360" w:lineRule="auto"/>
        <w:ind w:firstLine="54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pacing w:val="15"/>
          <w:sz w:val="24"/>
          <w:szCs w:val="24"/>
          <w:highlight w:val="none"/>
          <w:u w:color="000000"/>
        </w:rPr>
        <w:t>4.供应商为非企业单位的，如</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"http://www.baidu.com/link?url=iBElULo-d5ZLg5hWr9fKyE9J-RxccwLI-m1Agt9ljL77ObTW5LQjhadjNT2MqWnbLezvMqwfSInjbbIsQiOB-i51ng1O-k9urRWB9JMMNXa_i_MLA720oUeu4HvXUaUSG40sshnLZLbEhVc0Xthfwq" \t "https://www.baidu.com/_blank" </w:instrText>
      </w:r>
      <w:r>
        <w:rPr>
          <w:rFonts w:hint="eastAsia" w:ascii="仿宋" w:hAnsi="仿宋" w:eastAsia="仿宋" w:cs="仿宋"/>
          <w:color w:val="auto"/>
          <w:highlight w:val="none"/>
        </w:rPr>
        <w:fldChar w:fldCharType="separate"/>
      </w:r>
      <w:r>
        <w:rPr>
          <w:rFonts w:hint="eastAsia" w:ascii="仿宋" w:hAnsi="仿宋" w:eastAsia="仿宋" w:cs="仿宋"/>
          <w:b/>
          <w:bCs/>
          <w:color w:val="auto"/>
          <w:spacing w:val="15"/>
          <w:sz w:val="24"/>
          <w:szCs w:val="24"/>
          <w:highlight w:val="none"/>
          <w:u w:color="000000"/>
        </w:rPr>
        <w:t>民办非企业</w:t>
      </w:r>
      <w:r>
        <w:rPr>
          <w:rFonts w:hint="eastAsia" w:ascii="仿宋" w:hAnsi="仿宋" w:eastAsia="仿宋" w:cs="仿宋"/>
          <w:b/>
          <w:bCs/>
          <w:color w:val="auto"/>
          <w:spacing w:val="15"/>
          <w:sz w:val="24"/>
          <w:szCs w:val="24"/>
          <w:highlight w:val="none"/>
          <w:u w:color="000000"/>
        </w:rPr>
        <w:fldChar w:fldCharType="end"/>
      </w:r>
      <w:r>
        <w:rPr>
          <w:rFonts w:hint="eastAsia" w:ascii="仿宋" w:hAnsi="仿宋" w:eastAsia="仿宋" w:cs="仿宋"/>
          <w:b/>
          <w:bCs/>
          <w:color w:val="auto"/>
          <w:spacing w:val="15"/>
          <w:sz w:val="24"/>
          <w:szCs w:val="24"/>
          <w:highlight w:val="none"/>
          <w:u w:color="000000"/>
        </w:rPr>
        <w:t>、基金会、协会、服务中心、农村承包经营户、学会等非工商(市场监管)登记注册的组织均不适用此声明函，不得提供中小企业声明函，提供此声明的，声明无效。</w:t>
      </w:r>
    </w:p>
    <w:p>
      <w:pPr>
        <w:widowControl/>
        <w:spacing w:line="360" w:lineRule="auto"/>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br w:type="page"/>
      </w:r>
    </w:p>
    <w:p>
      <w:pPr>
        <w:pStyle w:val="2"/>
        <w:spacing w:before="0" w:after="0" w:line="360" w:lineRule="auto"/>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八</w:t>
      </w:r>
      <w:r>
        <w:rPr>
          <w:rFonts w:hint="eastAsia" w:ascii="仿宋" w:hAnsi="仿宋" w:eastAsia="仿宋" w:cs="仿宋"/>
          <w:color w:val="auto"/>
          <w:highlight w:val="none"/>
        </w:rPr>
        <w:t>、残疾人福利性单位声明函</w:t>
      </w:r>
      <w:r>
        <w:rPr>
          <w:rFonts w:hint="eastAsia" w:ascii="仿宋" w:hAnsi="仿宋" w:eastAsia="仿宋" w:cs="仿宋"/>
          <w:color w:val="auto"/>
          <w:highlight w:val="none"/>
          <w:lang w:eastAsia="zh-CN"/>
        </w:rPr>
        <w:t>（</w:t>
      </w:r>
      <w:r>
        <w:rPr>
          <w:rFonts w:hint="eastAsia" w:ascii="仿宋" w:hAnsi="仿宋" w:eastAsia="仿宋" w:cs="仿宋"/>
          <w:color w:val="auto"/>
          <w:highlight w:val="none"/>
          <w:lang w:val="en-US" w:eastAsia="zh-CN"/>
        </w:rPr>
        <w:t>如涉及</w:t>
      </w:r>
      <w:r>
        <w:rPr>
          <w:rFonts w:hint="eastAsia" w:ascii="仿宋" w:hAnsi="仿宋" w:eastAsia="仿宋" w:cs="仿宋"/>
          <w:color w:val="auto"/>
          <w:highlight w:val="none"/>
          <w:lang w:eastAsia="zh-CN"/>
        </w:rPr>
        <w:t>）</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本单位郑重声明，根据《财政部民政部中国残疾人联合会关于促进残疾人就业政府采购政策的通知》（财库〔2017〕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szCs w:val="24"/>
          <w:highlight w:val="none"/>
        </w:rPr>
      </w:pP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单位名称：XXXX（盖单位公章）</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法定代表人或授权代表（签字或盖章）：</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日期：XXXX</w:t>
      </w:r>
    </w:p>
    <w:p>
      <w:pPr>
        <w:spacing w:line="360" w:lineRule="auto"/>
        <w:rPr>
          <w:rFonts w:hint="eastAsia" w:ascii="仿宋" w:hAnsi="仿宋" w:eastAsia="仿宋" w:cs="仿宋"/>
          <w:color w:val="auto"/>
          <w:sz w:val="24"/>
          <w:szCs w:val="24"/>
          <w:highlight w:val="none"/>
        </w:rPr>
      </w:pPr>
    </w:p>
    <w:p>
      <w:pPr>
        <w:spacing w:line="360" w:lineRule="auto"/>
        <w:rPr>
          <w:rFonts w:hint="eastAsia" w:ascii="仿宋" w:hAnsi="仿宋" w:eastAsia="仿宋" w:cs="仿宋"/>
          <w:color w:val="auto"/>
          <w:sz w:val="24"/>
          <w:szCs w:val="24"/>
          <w:highlight w:val="none"/>
        </w:rPr>
      </w:pPr>
    </w:p>
    <w:p>
      <w:pPr>
        <w:spacing w:line="360" w:lineRule="auto"/>
        <w:rPr>
          <w:rFonts w:hint="eastAsia" w:ascii="仿宋" w:hAnsi="仿宋" w:eastAsia="仿宋" w:cs="仿宋"/>
          <w:color w:val="auto"/>
          <w:sz w:val="24"/>
          <w:szCs w:val="24"/>
          <w:highlight w:val="none"/>
        </w:rPr>
      </w:pP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注：非残疾人福利性单位不用提供以上声明函。</w:t>
      </w:r>
    </w:p>
    <w:p>
      <w:pPr>
        <w:widowControl/>
        <w:spacing w:line="360" w:lineRule="auto"/>
        <w:jc w:val="left"/>
        <w:rPr>
          <w:rFonts w:hint="eastAsia" w:ascii="仿宋" w:hAnsi="仿宋" w:eastAsia="仿宋" w:cs="仿宋"/>
          <w:color w:val="auto"/>
          <w:highlight w:val="none"/>
        </w:rPr>
      </w:pPr>
      <w:r>
        <w:rPr>
          <w:rFonts w:hint="eastAsia" w:ascii="仿宋" w:hAnsi="仿宋" w:eastAsia="仿宋" w:cs="仿宋"/>
          <w:b/>
          <w:bCs/>
          <w:color w:val="auto"/>
          <w:highlight w:val="none"/>
        </w:rPr>
        <w:br w:type="page"/>
      </w:r>
    </w:p>
    <w:p>
      <w:pPr>
        <w:pStyle w:val="2"/>
        <w:spacing w:before="0" w:after="0"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九</w:t>
      </w:r>
      <w:r>
        <w:rPr>
          <w:rFonts w:hint="eastAsia" w:ascii="仿宋" w:hAnsi="仿宋" w:eastAsia="仿宋" w:cs="仿宋"/>
          <w:color w:val="auto"/>
          <w:highlight w:val="none"/>
        </w:rPr>
        <w:t>、知识产权声明函</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致：利阳致诚国际项目管理有限公司</w:t>
      </w:r>
    </w:p>
    <w:p>
      <w:pPr>
        <w:pStyle w:val="9"/>
        <w:spacing w:after="0" w:line="360" w:lineRule="auto"/>
        <w:ind w:firstLine="400" w:firstLineChars="200"/>
        <w:rPr>
          <w:rFonts w:hint="eastAsia" w:ascii="仿宋" w:hAnsi="仿宋" w:eastAsia="仿宋" w:cs="仿宋"/>
          <w:color w:val="auto"/>
          <w:highlight w:val="none"/>
        </w:rPr>
      </w:pPr>
    </w:p>
    <w:p>
      <w:pPr>
        <w:pStyle w:val="9"/>
        <w:spacing w:after="0"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本单位（公司名称）参加（项目名称）的采购活动，现承诺声明：</w:t>
      </w:r>
    </w:p>
    <w:p>
      <w:pPr>
        <w:pStyle w:val="9"/>
        <w:spacing w:after="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单位保证在本项目使用的任何产品和服务（包括部分使用）时，不会产生因第三方提出侵犯其专利权、商标权或其它知识产权而引起的法律和经济纠纷，如因专利权、商标权或其它知识产权而引起法律和经济纠纷，由本单位承担所有相关责任。</w:t>
      </w:r>
    </w:p>
    <w:p>
      <w:pPr>
        <w:pStyle w:val="9"/>
        <w:spacing w:after="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2.采购人享有本项目实施过程中产生的知识成果及知识产权。</w:t>
      </w:r>
    </w:p>
    <w:p>
      <w:pPr>
        <w:pStyle w:val="9"/>
        <w:spacing w:after="0"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单位声明如果在项目实施过程中涉及采用自有知识成果，本单位提供使用自有知识成果的相关资料并为其真实性单独负责，在使用该知识成果后，本单位提供开发接口和开发手册等技术文档给采购人，并承诺提供无限期技术支持，采购人享有永久使用权（含采购人委托第三方在该项目后续开发的使用权）。</w:t>
      </w:r>
    </w:p>
    <w:p>
      <w:pPr>
        <w:pStyle w:val="9"/>
        <w:spacing w:after="0"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sz w:val="24"/>
          <w:szCs w:val="24"/>
          <w:highlight w:val="none"/>
        </w:rPr>
        <w:t>4.如采用本单位所不拥有的知识产权，本单位承诺在本项目投标报价中已经包括合法获取该知识产权的相关费用。</w:t>
      </w:r>
    </w:p>
    <w:p>
      <w:pPr>
        <w:pStyle w:val="9"/>
        <w:spacing w:after="0"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本公司对上述承诺声明内容事项真实性负责。如经查实上述承诺声明的内容事项存在虚假或未履行，本单位愿意接受以提供虚假材料谋取成交追究法律责任。</w:t>
      </w:r>
    </w:p>
    <w:p>
      <w:pPr>
        <w:spacing w:line="360" w:lineRule="auto"/>
        <w:ind w:right="480"/>
        <w:rPr>
          <w:rFonts w:hint="eastAsia" w:ascii="仿宋" w:hAnsi="仿宋" w:eastAsia="仿宋" w:cs="仿宋"/>
          <w:b/>
          <w:bCs/>
          <w:color w:val="auto"/>
          <w:sz w:val="24"/>
          <w:szCs w:val="24"/>
          <w:highlight w:val="none"/>
        </w:rPr>
      </w:pPr>
    </w:p>
    <w:p>
      <w:pPr>
        <w:spacing w:line="360" w:lineRule="auto"/>
        <w:ind w:right="480"/>
        <w:rPr>
          <w:rFonts w:hint="eastAsia" w:ascii="仿宋" w:hAnsi="仿宋" w:eastAsia="仿宋" w:cs="仿宋"/>
          <w:b/>
          <w:bCs/>
          <w:color w:val="auto"/>
          <w:sz w:val="24"/>
          <w:szCs w:val="24"/>
          <w:highlight w:val="none"/>
        </w:rPr>
      </w:pPr>
    </w:p>
    <w:p>
      <w:pPr>
        <w:adjustRightInd w:val="0"/>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供应商名称（盖单位公章）：XXXXXXXXXX        </w:t>
      </w:r>
    </w:p>
    <w:p>
      <w:pPr>
        <w:adjustRightInd w:val="0"/>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法定代表人或授权代表（签字或盖章）：</w:t>
      </w:r>
    </w:p>
    <w:p>
      <w:pPr>
        <w:adjustRightInd w:val="0"/>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pPr>
        <w:spacing w:line="360" w:lineRule="auto"/>
        <w:ind w:right="48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其它材料：</w:t>
      </w:r>
    </w:p>
    <w:p>
      <w:pPr>
        <w:spacing w:line="360" w:lineRule="auto"/>
        <w:ind w:right="48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谈判文件</w:t>
      </w:r>
      <w:r>
        <w:rPr>
          <w:rFonts w:hint="eastAsia" w:ascii="仿宋" w:hAnsi="仿宋" w:eastAsia="仿宋" w:cs="仿宋"/>
          <w:b/>
          <w:bCs/>
          <w:color w:val="auto"/>
          <w:sz w:val="24"/>
          <w:szCs w:val="24"/>
          <w:highlight w:val="none"/>
        </w:rPr>
        <w:t>中有关项目的其他承诺函（格式自拟，如适用）</w:t>
      </w:r>
    </w:p>
    <w:p>
      <w:pPr>
        <w:spacing w:line="360" w:lineRule="auto"/>
        <w:ind w:right="48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w:t>
      </w:r>
      <w:r>
        <w:rPr>
          <w:rFonts w:hint="eastAsia" w:ascii="仿宋" w:hAnsi="仿宋" w:eastAsia="仿宋" w:cs="仿宋"/>
          <w:b/>
          <w:bCs/>
          <w:color w:val="auto"/>
          <w:sz w:val="24"/>
          <w:szCs w:val="24"/>
          <w:highlight w:val="none"/>
          <w:lang w:eastAsia="zh-CN"/>
        </w:rPr>
        <w:t>谈判文件</w:t>
      </w:r>
      <w:r>
        <w:rPr>
          <w:rFonts w:hint="eastAsia" w:ascii="仿宋" w:hAnsi="仿宋" w:eastAsia="仿宋" w:cs="仿宋"/>
          <w:b/>
          <w:bCs/>
          <w:color w:val="auto"/>
          <w:sz w:val="24"/>
          <w:szCs w:val="24"/>
          <w:highlight w:val="none"/>
        </w:rPr>
        <w:t>中有关的项目的相关证书及说明函（格式自拟，如适用）</w:t>
      </w:r>
    </w:p>
    <w:p>
      <w:pPr>
        <w:spacing w:line="360" w:lineRule="auto"/>
        <w:jc w:val="center"/>
        <w:rPr>
          <w:rFonts w:hint="eastAsia" w:ascii="仿宋" w:hAnsi="仿宋" w:eastAsia="仿宋" w:cs="仿宋"/>
          <w:b/>
          <w:bCs/>
          <w:color w:val="auto"/>
          <w:sz w:val="24"/>
          <w:szCs w:val="24"/>
          <w:highlight w:val="none"/>
        </w:rPr>
      </w:pPr>
    </w:p>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注：1.请各供应商按照项目的服务和实施方案，自行提供说明函和相关资料。如无上述内容可不提供。</w:t>
      </w:r>
    </w:p>
    <w:p>
      <w:pPr>
        <w:spacing w:line="360" w:lineRule="auto"/>
        <w:jc w:val="left"/>
        <w:rPr>
          <w:rFonts w:hint="eastAsia" w:ascii="仿宋" w:hAnsi="仿宋" w:eastAsia="仿宋" w:cs="仿宋"/>
          <w:color w:val="auto"/>
          <w:kern w:val="44"/>
          <w:sz w:val="24"/>
          <w:szCs w:val="24"/>
          <w:highlight w:val="none"/>
        </w:rPr>
      </w:pPr>
      <w:r>
        <w:rPr>
          <w:rFonts w:hint="eastAsia" w:ascii="仿宋" w:hAnsi="仿宋" w:eastAsia="仿宋" w:cs="仿宋"/>
          <w:color w:val="auto"/>
          <w:sz w:val="24"/>
          <w:szCs w:val="24"/>
          <w:highlight w:val="none"/>
        </w:rPr>
        <w:t xml:space="preserve">    2.</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中要求提供的其它文件、承诺或资料格式未作要求的供应商可自行拟定。</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（请各供应商务必对照项目的要求，按要求提供相关资料）</w:t>
      </w:r>
    </w:p>
    <w:p>
      <w:pPr>
        <w:pStyle w:val="2"/>
        <w:spacing w:before="0" w:after="0" w:line="360" w:lineRule="auto"/>
        <w:jc w:val="center"/>
        <w:rPr>
          <w:rFonts w:hint="eastAsia" w:ascii="仿宋" w:hAnsi="仿宋" w:eastAsia="仿宋" w:cs="仿宋"/>
          <w:color w:val="auto"/>
          <w:highlight w:val="none"/>
        </w:rPr>
      </w:pPr>
      <w:r>
        <w:rPr>
          <w:rFonts w:hint="eastAsia" w:ascii="仿宋" w:hAnsi="仿宋" w:eastAsia="仿宋" w:cs="仿宋"/>
          <w:b w:val="0"/>
          <w:bCs w:val="0"/>
          <w:color w:val="auto"/>
          <w:highlight w:val="none"/>
        </w:rPr>
        <w:br w:type="page"/>
      </w:r>
      <w:r>
        <w:rPr>
          <w:rFonts w:hint="eastAsia" w:ascii="仿宋" w:hAnsi="仿宋" w:eastAsia="仿宋" w:cs="仿宋"/>
          <w:color w:val="auto"/>
          <w:highlight w:val="none"/>
        </w:rPr>
        <w:t>第二部分其它</w:t>
      </w:r>
      <w:r>
        <w:rPr>
          <w:rFonts w:hint="eastAsia" w:ascii="仿宋" w:hAnsi="仿宋" w:eastAsia="仿宋" w:cs="仿宋"/>
          <w:color w:val="auto"/>
          <w:highlight w:val="none"/>
          <w:lang w:val="en-US" w:eastAsia="zh-CN"/>
        </w:rPr>
        <w:t>响应</w:t>
      </w:r>
      <w:r>
        <w:rPr>
          <w:rFonts w:hint="eastAsia" w:ascii="仿宋" w:hAnsi="仿宋" w:eastAsia="仿宋" w:cs="仿宋"/>
          <w:color w:val="auto"/>
          <w:highlight w:val="none"/>
          <w:lang w:eastAsia="zh-CN"/>
        </w:rPr>
        <w:t>文件</w:t>
      </w:r>
      <w:r>
        <w:rPr>
          <w:rFonts w:hint="eastAsia" w:ascii="仿宋" w:hAnsi="仿宋" w:eastAsia="仿宋" w:cs="仿宋"/>
          <w:color w:val="auto"/>
          <w:highlight w:val="none"/>
        </w:rPr>
        <w:t>（格式）</w:t>
      </w:r>
    </w:p>
    <w:p>
      <w:pPr>
        <w:pStyle w:val="2"/>
        <w:spacing w:before="0" w:after="0"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一、报价函</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利阳致诚国际项目管理有限公司：</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1.我方全面研究了“XXXXXX”项目</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（项目编号：XXXX），决定参加贵单位组织的本项目谈判采购。</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2.我方自愿按照</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规定的各项要求向采购人提供所需货物/服务，报价为</w:t>
      </w:r>
      <w:r>
        <w:rPr>
          <w:rFonts w:hint="eastAsia" w:ascii="仿宋" w:hAnsi="仿宋" w:eastAsia="仿宋" w:cs="仿宋"/>
          <w:color w:val="auto"/>
          <w:sz w:val="24"/>
          <w:szCs w:val="24"/>
          <w:highlight w:val="none"/>
          <w:u w:val="single"/>
        </w:rPr>
        <w:t>详见报价表</w:t>
      </w:r>
      <w:r>
        <w:rPr>
          <w:rFonts w:hint="eastAsia" w:ascii="仿宋" w:hAnsi="仿宋" w:eastAsia="仿宋" w:cs="仿宋"/>
          <w:color w:val="auto"/>
          <w:sz w:val="24"/>
          <w:szCs w:val="24"/>
          <w:highlight w:val="none"/>
        </w:rPr>
        <w:t>。</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3.一旦我方成交，我方将严格履行政府采购合同规定的责任和义务。</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4．我们已详细审核全部竞争性</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，包括文件修改书(如果有的话)，参考资料及有关附件，我们完全理解并放弃提出含糊不清或误解的问题的权利。</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5.我方同意本</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依据</w:t>
      </w:r>
      <w:r>
        <w:rPr>
          <w:rFonts w:hint="eastAsia" w:ascii="仿宋" w:hAnsi="仿宋" w:eastAsia="仿宋" w:cs="仿宋"/>
          <w:color w:val="auto"/>
          <w:sz w:val="24"/>
          <w:szCs w:val="24"/>
          <w:highlight w:val="none"/>
          <w:lang w:val="zh-CN"/>
        </w:rPr>
        <w:t>《四川省公共资源交易领域严重失信联合惩戒实施办法》（川发改信用规〔2019〕405号）、《关于对政府采购领域严重违法失信主体开展联合惩戒的合作备忘录》（发改财金〔2018〕1614号）</w:t>
      </w:r>
      <w:r>
        <w:rPr>
          <w:rFonts w:hint="eastAsia" w:ascii="仿宋" w:hAnsi="仿宋" w:eastAsia="仿宋" w:cs="仿宋"/>
          <w:color w:val="auto"/>
          <w:sz w:val="24"/>
          <w:szCs w:val="24"/>
          <w:highlight w:val="none"/>
        </w:rPr>
        <w:t>对我方可能存在的失信行为进行惩戒。</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6.我方为本项目提交的</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正本1份，副本2份，用于谈判报价。</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7.我方愿意提供贵单位可能另外要求的，与谈判报价有关的文件资料，并保证我方已提供和将要提供的文件资料是真实、准确的。</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 同意按文件须知中关于不予退还项目保证金的规定。</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9.如果我方成交，我方保证按照</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的规定向贵方交纳成交服务费。</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10.本次谈判，我方递交的</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有效期为:递交谈判</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截止之日起90天。</w:t>
      </w:r>
    </w:p>
    <w:p>
      <w:pPr>
        <w:adjustRightInd w:val="0"/>
        <w:spacing w:line="360" w:lineRule="auto"/>
        <w:ind w:firstLine="480" w:firstLineChars="200"/>
        <w:jc w:val="left"/>
        <w:rPr>
          <w:rFonts w:hint="eastAsia" w:ascii="仿宋" w:hAnsi="仿宋" w:eastAsia="仿宋" w:cs="仿宋"/>
          <w:color w:val="auto"/>
          <w:sz w:val="24"/>
          <w:szCs w:val="24"/>
          <w:highlight w:val="none"/>
        </w:rPr>
      </w:pPr>
    </w:p>
    <w:p>
      <w:pPr>
        <w:adjustRightInd w:val="0"/>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供应商名称：</w:t>
      </w:r>
      <w:r>
        <w:rPr>
          <w:rFonts w:hint="eastAsia" w:ascii="仿宋" w:hAnsi="仿宋" w:eastAsia="仿宋" w:cs="仿宋"/>
          <w:color w:val="auto"/>
          <w:sz w:val="24"/>
          <w:szCs w:val="24"/>
          <w:highlight w:val="none"/>
          <w:u w:val="single"/>
        </w:rPr>
        <w:t>XXX</w:t>
      </w:r>
      <w:r>
        <w:rPr>
          <w:rFonts w:hint="eastAsia" w:ascii="仿宋" w:hAnsi="仿宋" w:eastAsia="仿宋" w:cs="仿宋"/>
          <w:color w:val="auto"/>
          <w:sz w:val="24"/>
          <w:szCs w:val="24"/>
          <w:highlight w:val="none"/>
        </w:rPr>
        <w:t>（盖单位公章）</w:t>
      </w:r>
    </w:p>
    <w:p>
      <w:pPr>
        <w:spacing w:line="360" w:lineRule="auto"/>
        <w:ind w:firstLine="470" w:firstLineChars="19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法定代表人或授权代表（签字或盖章）：XXX</w:t>
      </w:r>
    </w:p>
    <w:p>
      <w:pPr>
        <w:spacing w:line="360" w:lineRule="auto"/>
        <w:ind w:firstLine="470" w:firstLineChars="19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通讯地址：XXX</w:t>
      </w:r>
    </w:p>
    <w:p>
      <w:pPr>
        <w:spacing w:line="360" w:lineRule="auto"/>
        <w:ind w:firstLine="470" w:firstLineChars="19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邮政编码：XXX</w:t>
      </w:r>
    </w:p>
    <w:p>
      <w:pPr>
        <w:spacing w:line="360" w:lineRule="auto"/>
        <w:ind w:firstLine="470" w:firstLineChars="19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联系电话：XXX</w:t>
      </w:r>
    </w:p>
    <w:p>
      <w:pPr>
        <w:spacing w:line="360" w:lineRule="auto"/>
        <w:ind w:firstLine="470" w:firstLineChars="19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传真：XXX</w:t>
      </w:r>
    </w:p>
    <w:p>
      <w:pPr>
        <w:spacing w:line="360" w:lineRule="auto"/>
        <w:ind w:firstLine="470" w:firstLineChars="196"/>
        <w:rPr>
          <w:rFonts w:hint="eastAsia" w:ascii="仿宋" w:hAnsi="仿宋" w:eastAsia="仿宋" w:cs="仿宋"/>
          <w:color w:val="auto"/>
          <w:sz w:val="24"/>
          <w:szCs w:val="24"/>
          <w:highlight w:val="none"/>
        </w:rPr>
        <w:sectPr>
          <w:pgSz w:w="11850" w:h="16783"/>
          <w:pgMar w:top="1440" w:right="1650" w:bottom="1440" w:left="1800" w:header="851" w:footer="992" w:gutter="0"/>
          <w:cols w:space="720" w:num="1"/>
          <w:titlePg/>
          <w:docGrid w:linePitch="312" w:charSpace="0"/>
        </w:sectPr>
      </w:pPr>
      <w:r>
        <w:rPr>
          <w:rFonts w:hint="eastAsia" w:ascii="仿宋" w:hAnsi="仿宋" w:eastAsia="仿宋" w:cs="仿宋"/>
          <w:color w:val="auto"/>
          <w:sz w:val="24"/>
          <w:szCs w:val="24"/>
          <w:highlight w:val="none"/>
        </w:rPr>
        <w:t>日期：XXX年XXX月XXX日</w:t>
      </w:r>
    </w:p>
    <w:p>
      <w:pPr>
        <w:pStyle w:val="2"/>
        <w:spacing w:before="0" w:after="0"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二、报价表</w:t>
      </w:r>
    </w:p>
    <w:p>
      <w:pPr>
        <w:spacing w:after="0" w:line="360" w:lineRule="auto"/>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项目名称：</w:t>
      </w:r>
      <w:r>
        <w:rPr>
          <w:rFonts w:hint="eastAsia" w:ascii="仿宋" w:hAnsi="仿宋" w:eastAsia="仿宋" w:cs="仿宋"/>
          <w:b/>
          <w:bCs w:val="0"/>
          <w:color w:val="auto"/>
          <w:sz w:val="24"/>
          <w:highlight w:val="none"/>
          <w:u w:val="single"/>
        </w:rPr>
        <w:t xml:space="preserve">                  </w:t>
      </w:r>
      <w:r>
        <w:rPr>
          <w:rFonts w:hint="eastAsia" w:ascii="仿宋" w:hAnsi="仿宋" w:eastAsia="仿宋" w:cs="仿宋"/>
          <w:b/>
          <w:bCs w:val="0"/>
          <w:color w:val="auto"/>
          <w:sz w:val="24"/>
          <w:highlight w:val="none"/>
        </w:rPr>
        <w:t xml:space="preserve">     </w:t>
      </w:r>
    </w:p>
    <w:p>
      <w:pPr>
        <w:spacing w:after="0" w:line="360" w:lineRule="auto"/>
        <w:rPr>
          <w:rFonts w:hint="eastAsia" w:ascii="仿宋" w:hAnsi="仿宋" w:eastAsia="仿宋" w:cs="仿宋"/>
          <w:b/>
          <w:bCs w:val="0"/>
          <w:color w:val="auto"/>
          <w:sz w:val="24"/>
          <w:highlight w:val="none"/>
          <w:u w:val="single"/>
        </w:rPr>
      </w:pPr>
      <w:r>
        <w:rPr>
          <w:rFonts w:hint="eastAsia" w:ascii="仿宋" w:hAnsi="仿宋" w:eastAsia="仿宋" w:cs="仿宋"/>
          <w:b/>
          <w:bCs w:val="0"/>
          <w:color w:val="auto"/>
          <w:sz w:val="24"/>
          <w:highlight w:val="none"/>
        </w:rPr>
        <w:t>项目编号：</w:t>
      </w:r>
      <w:r>
        <w:rPr>
          <w:rFonts w:hint="eastAsia" w:ascii="仿宋" w:hAnsi="仿宋" w:eastAsia="仿宋" w:cs="仿宋"/>
          <w:b/>
          <w:bCs w:val="0"/>
          <w:color w:val="auto"/>
          <w:sz w:val="24"/>
          <w:highlight w:val="none"/>
          <w:u w:val="single"/>
        </w:rPr>
        <w:t xml:space="preserve">                   </w:t>
      </w:r>
    </w:p>
    <w:p>
      <w:pPr>
        <w:spacing w:after="0" w:line="360" w:lineRule="auto"/>
        <w:rPr>
          <w:rFonts w:hint="eastAsia" w:ascii="仿宋" w:hAnsi="仿宋" w:eastAsia="仿宋" w:cs="仿宋"/>
          <w:b/>
          <w:bCs w:val="0"/>
          <w:color w:val="auto"/>
          <w:sz w:val="24"/>
          <w:highlight w:val="none"/>
        </w:rPr>
      </w:pPr>
      <w:r>
        <w:rPr>
          <w:rFonts w:hint="eastAsia" w:ascii="仿宋" w:hAnsi="仿宋" w:eastAsia="仿宋" w:cs="仿宋"/>
          <w:b/>
          <w:bCs w:val="0"/>
          <w:color w:val="auto"/>
          <w:sz w:val="24"/>
          <w:highlight w:val="none"/>
        </w:rPr>
        <w:t>包</w:t>
      </w:r>
      <w:r>
        <w:rPr>
          <w:rFonts w:hint="eastAsia" w:ascii="仿宋" w:hAnsi="仿宋" w:eastAsia="仿宋" w:cs="仿宋"/>
          <w:b/>
          <w:bCs w:val="0"/>
          <w:color w:val="auto"/>
          <w:sz w:val="24"/>
          <w:highlight w:val="none"/>
          <w:lang w:val="en-US" w:eastAsia="zh-CN"/>
        </w:rPr>
        <w:t xml:space="preserve"> </w:t>
      </w:r>
      <w:r>
        <w:rPr>
          <w:rFonts w:hint="eastAsia" w:ascii="仿宋" w:hAnsi="仿宋" w:eastAsia="仿宋" w:cs="仿宋"/>
          <w:b/>
          <w:bCs w:val="0"/>
          <w:color w:val="auto"/>
          <w:sz w:val="24"/>
          <w:highlight w:val="none"/>
        </w:rPr>
        <w:t>号：</w:t>
      </w:r>
      <w:r>
        <w:rPr>
          <w:rFonts w:hint="eastAsia" w:ascii="仿宋" w:hAnsi="仿宋" w:eastAsia="仿宋" w:cs="仿宋"/>
          <w:b/>
          <w:bCs w:val="0"/>
          <w:color w:val="auto"/>
          <w:sz w:val="24"/>
          <w:highlight w:val="none"/>
          <w:u w:val="single"/>
        </w:rPr>
        <w:t xml:space="preserve">   </w:t>
      </w:r>
      <w:r>
        <w:rPr>
          <w:rFonts w:hint="eastAsia" w:ascii="仿宋" w:hAnsi="仿宋" w:eastAsia="仿宋" w:cs="仿宋"/>
          <w:b/>
          <w:bCs w:val="0"/>
          <w:color w:val="auto"/>
          <w:sz w:val="24"/>
          <w:highlight w:val="none"/>
        </w:rPr>
        <w:t xml:space="preserve"> </w:t>
      </w:r>
    </w:p>
    <w:tbl>
      <w:tblPr>
        <w:tblStyle w:val="25"/>
        <w:tblpPr w:leftFromText="180" w:rightFromText="180" w:vertAnchor="text" w:horzAnchor="margin" w:tblpXSpec="center" w:tblpY="123"/>
        <w:tblW w:w="141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3457"/>
        <w:gridCol w:w="1794"/>
        <w:gridCol w:w="992"/>
        <w:gridCol w:w="1559"/>
        <w:gridCol w:w="1606"/>
        <w:gridCol w:w="1371"/>
        <w:gridCol w:w="183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11" w:type="dxa"/>
            <w:noWrap w:val="0"/>
            <w:vAlign w:val="center"/>
          </w:tcPr>
          <w:p>
            <w:pPr>
              <w:adjustRightInd w:val="0"/>
              <w:snapToGrid w:val="0"/>
              <w:spacing w:after="0" w:line="360" w:lineRule="auto"/>
              <w:jc w:val="center"/>
              <w:rPr>
                <w:rFonts w:hint="eastAsia" w:ascii="仿宋" w:hAnsi="仿宋" w:eastAsia="仿宋" w:cs="仿宋"/>
                <w:b/>
                <w:color w:val="auto"/>
                <w:sz w:val="22"/>
                <w:szCs w:val="20"/>
                <w:highlight w:val="none"/>
              </w:rPr>
            </w:pPr>
            <w:r>
              <w:rPr>
                <w:rFonts w:hint="eastAsia" w:ascii="仿宋" w:hAnsi="仿宋" w:eastAsia="仿宋" w:cs="仿宋"/>
                <w:b/>
                <w:color w:val="auto"/>
                <w:sz w:val="22"/>
                <w:szCs w:val="20"/>
                <w:highlight w:val="none"/>
              </w:rPr>
              <w:t>序号</w:t>
            </w:r>
          </w:p>
        </w:tc>
        <w:tc>
          <w:tcPr>
            <w:tcW w:w="3457" w:type="dxa"/>
            <w:noWrap w:val="0"/>
            <w:vAlign w:val="center"/>
          </w:tcPr>
          <w:p>
            <w:pPr>
              <w:adjustRightInd w:val="0"/>
              <w:snapToGrid w:val="0"/>
              <w:spacing w:after="0" w:line="360" w:lineRule="auto"/>
              <w:jc w:val="center"/>
              <w:rPr>
                <w:rFonts w:hint="eastAsia" w:ascii="仿宋" w:hAnsi="仿宋" w:eastAsia="仿宋" w:cs="仿宋"/>
                <w:b/>
                <w:color w:val="auto"/>
                <w:sz w:val="22"/>
                <w:szCs w:val="20"/>
                <w:highlight w:val="none"/>
              </w:rPr>
            </w:pPr>
            <w:r>
              <w:rPr>
                <w:rFonts w:hint="eastAsia" w:ascii="仿宋" w:hAnsi="仿宋" w:eastAsia="仿宋" w:cs="仿宋"/>
                <w:b/>
                <w:color w:val="auto"/>
                <w:sz w:val="22"/>
                <w:szCs w:val="20"/>
                <w:highlight w:val="none"/>
              </w:rPr>
              <w:t>产品名称</w:t>
            </w:r>
          </w:p>
        </w:tc>
        <w:tc>
          <w:tcPr>
            <w:tcW w:w="1794" w:type="dxa"/>
            <w:noWrap w:val="0"/>
            <w:vAlign w:val="center"/>
          </w:tcPr>
          <w:p>
            <w:pPr>
              <w:adjustRightInd w:val="0"/>
              <w:snapToGrid w:val="0"/>
              <w:spacing w:after="0" w:line="360" w:lineRule="auto"/>
              <w:jc w:val="center"/>
              <w:rPr>
                <w:rFonts w:hint="eastAsia" w:ascii="仿宋" w:hAnsi="仿宋" w:eastAsia="仿宋" w:cs="仿宋"/>
                <w:b/>
                <w:color w:val="auto"/>
                <w:sz w:val="22"/>
                <w:szCs w:val="20"/>
                <w:highlight w:val="none"/>
              </w:rPr>
            </w:pPr>
            <w:r>
              <w:rPr>
                <w:rFonts w:hint="eastAsia" w:ascii="仿宋" w:hAnsi="仿宋" w:eastAsia="仿宋" w:cs="仿宋"/>
                <w:b/>
                <w:color w:val="auto"/>
                <w:sz w:val="22"/>
                <w:szCs w:val="20"/>
                <w:highlight w:val="none"/>
              </w:rPr>
              <w:t>规格型号</w:t>
            </w:r>
          </w:p>
        </w:tc>
        <w:tc>
          <w:tcPr>
            <w:tcW w:w="992" w:type="dxa"/>
            <w:noWrap w:val="0"/>
            <w:vAlign w:val="center"/>
          </w:tcPr>
          <w:p>
            <w:pPr>
              <w:adjustRightInd w:val="0"/>
              <w:snapToGrid w:val="0"/>
              <w:spacing w:after="0" w:line="360" w:lineRule="auto"/>
              <w:jc w:val="center"/>
              <w:rPr>
                <w:rFonts w:hint="eastAsia" w:ascii="仿宋" w:hAnsi="仿宋" w:eastAsia="仿宋" w:cs="仿宋"/>
                <w:b/>
                <w:color w:val="auto"/>
                <w:sz w:val="22"/>
                <w:szCs w:val="20"/>
                <w:highlight w:val="none"/>
                <w:lang w:eastAsia="zh-CN"/>
              </w:rPr>
            </w:pPr>
            <w:r>
              <w:rPr>
                <w:rFonts w:hint="eastAsia" w:ascii="仿宋" w:hAnsi="仿宋" w:eastAsia="仿宋" w:cs="仿宋"/>
                <w:b/>
                <w:color w:val="auto"/>
                <w:sz w:val="22"/>
                <w:szCs w:val="20"/>
                <w:highlight w:val="none"/>
                <w:lang w:val="en-US" w:eastAsia="zh-CN"/>
              </w:rPr>
              <w:t>品牌</w:t>
            </w:r>
          </w:p>
        </w:tc>
        <w:tc>
          <w:tcPr>
            <w:tcW w:w="1559" w:type="dxa"/>
            <w:noWrap w:val="0"/>
            <w:vAlign w:val="center"/>
          </w:tcPr>
          <w:p>
            <w:pPr>
              <w:adjustRightInd w:val="0"/>
              <w:snapToGrid w:val="0"/>
              <w:spacing w:after="0" w:line="360" w:lineRule="auto"/>
              <w:jc w:val="center"/>
              <w:rPr>
                <w:rFonts w:hint="eastAsia" w:ascii="仿宋" w:hAnsi="仿宋" w:eastAsia="仿宋" w:cs="仿宋"/>
                <w:b/>
                <w:color w:val="auto"/>
                <w:sz w:val="22"/>
                <w:szCs w:val="20"/>
                <w:highlight w:val="none"/>
              </w:rPr>
            </w:pPr>
            <w:r>
              <w:rPr>
                <w:rFonts w:hint="eastAsia" w:ascii="仿宋" w:hAnsi="仿宋" w:eastAsia="仿宋" w:cs="仿宋"/>
                <w:b/>
                <w:color w:val="auto"/>
                <w:sz w:val="22"/>
                <w:szCs w:val="20"/>
                <w:highlight w:val="none"/>
              </w:rPr>
              <w:t>单位</w:t>
            </w:r>
          </w:p>
        </w:tc>
        <w:tc>
          <w:tcPr>
            <w:tcW w:w="1606" w:type="dxa"/>
            <w:noWrap w:val="0"/>
            <w:vAlign w:val="center"/>
          </w:tcPr>
          <w:p>
            <w:pPr>
              <w:adjustRightInd w:val="0"/>
              <w:snapToGrid w:val="0"/>
              <w:spacing w:after="0" w:line="360" w:lineRule="auto"/>
              <w:jc w:val="center"/>
              <w:rPr>
                <w:rFonts w:hint="eastAsia" w:ascii="仿宋" w:hAnsi="仿宋" w:eastAsia="仿宋" w:cs="仿宋"/>
                <w:b/>
                <w:color w:val="auto"/>
                <w:sz w:val="22"/>
                <w:szCs w:val="20"/>
                <w:highlight w:val="none"/>
              </w:rPr>
            </w:pPr>
            <w:r>
              <w:rPr>
                <w:rFonts w:hint="eastAsia" w:ascii="仿宋" w:hAnsi="仿宋" w:eastAsia="仿宋" w:cs="仿宋"/>
                <w:b/>
                <w:color w:val="auto"/>
                <w:sz w:val="22"/>
                <w:szCs w:val="20"/>
                <w:highlight w:val="none"/>
              </w:rPr>
              <w:t>数量</w:t>
            </w:r>
          </w:p>
        </w:tc>
        <w:tc>
          <w:tcPr>
            <w:tcW w:w="1371" w:type="dxa"/>
            <w:noWrap w:val="0"/>
            <w:vAlign w:val="center"/>
          </w:tcPr>
          <w:p>
            <w:pPr>
              <w:adjustRightInd w:val="0"/>
              <w:snapToGrid w:val="0"/>
              <w:spacing w:after="0" w:line="360" w:lineRule="auto"/>
              <w:jc w:val="center"/>
              <w:rPr>
                <w:rFonts w:hint="eastAsia" w:ascii="仿宋" w:hAnsi="仿宋" w:eastAsia="仿宋" w:cs="仿宋"/>
                <w:b/>
                <w:color w:val="auto"/>
                <w:sz w:val="22"/>
                <w:szCs w:val="20"/>
                <w:highlight w:val="none"/>
              </w:rPr>
            </w:pPr>
            <w:r>
              <w:rPr>
                <w:rFonts w:hint="eastAsia" w:ascii="仿宋" w:hAnsi="仿宋" w:eastAsia="仿宋" w:cs="仿宋"/>
                <w:b/>
                <w:color w:val="auto"/>
                <w:sz w:val="22"/>
                <w:szCs w:val="20"/>
                <w:highlight w:val="none"/>
              </w:rPr>
              <w:t>投标单价</w:t>
            </w:r>
          </w:p>
          <w:p>
            <w:pPr>
              <w:adjustRightInd w:val="0"/>
              <w:snapToGrid w:val="0"/>
              <w:spacing w:after="0" w:line="360" w:lineRule="auto"/>
              <w:jc w:val="center"/>
              <w:rPr>
                <w:rFonts w:hint="eastAsia" w:ascii="仿宋" w:hAnsi="仿宋" w:eastAsia="仿宋" w:cs="仿宋"/>
                <w:b/>
                <w:color w:val="auto"/>
                <w:sz w:val="22"/>
                <w:szCs w:val="20"/>
                <w:highlight w:val="none"/>
              </w:rPr>
            </w:pPr>
            <w:r>
              <w:rPr>
                <w:rFonts w:hint="eastAsia" w:ascii="仿宋" w:hAnsi="仿宋" w:eastAsia="仿宋" w:cs="仿宋"/>
                <w:b/>
                <w:color w:val="auto"/>
                <w:sz w:val="22"/>
                <w:szCs w:val="20"/>
                <w:highlight w:val="none"/>
              </w:rPr>
              <w:t>（元）</w:t>
            </w:r>
          </w:p>
        </w:tc>
        <w:tc>
          <w:tcPr>
            <w:tcW w:w="1838" w:type="dxa"/>
            <w:noWrap w:val="0"/>
            <w:vAlign w:val="center"/>
          </w:tcPr>
          <w:p>
            <w:pPr>
              <w:adjustRightInd w:val="0"/>
              <w:snapToGrid w:val="0"/>
              <w:spacing w:after="0" w:line="360" w:lineRule="auto"/>
              <w:jc w:val="center"/>
              <w:rPr>
                <w:rFonts w:hint="eastAsia" w:ascii="仿宋" w:hAnsi="仿宋" w:eastAsia="仿宋" w:cs="仿宋"/>
                <w:b/>
                <w:color w:val="auto"/>
                <w:sz w:val="22"/>
                <w:szCs w:val="20"/>
                <w:highlight w:val="none"/>
              </w:rPr>
            </w:pPr>
            <w:r>
              <w:rPr>
                <w:rFonts w:hint="eastAsia" w:ascii="仿宋" w:hAnsi="仿宋" w:eastAsia="仿宋" w:cs="仿宋"/>
                <w:b/>
                <w:color w:val="auto"/>
                <w:sz w:val="22"/>
                <w:szCs w:val="20"/>
                <w:highlight w:val="none"/>
              </w:rPr>
              <w:t>投标报价</w:t>
            </w:r>
          </w:p>
          <w:p>
            <w:pPr>
              <w:adjustRightInd w:val="0"/>
              <w:snapToGrid w:val="0"/>
              <w:spacing w:after="0" w:line="360" w:lineRule="auto"/>
              <w:jc w:val="center"/>
              <w:rPr>
                <w:rFonts w:hint="eastAsia" w:ascii="仿宋" w:hAnsi="仿宋" w:eastAsia="仿宋" w:cs="仿宋"/>
                <w:b/>
                <w:color w:val="auto"/>
                <w:sz w:val="22"/>
                <w:szCs w:val="20"/>
                <w:highlight w:val="none"/>
                <w:lang w:val="en-US" w:eastAsia="zh-CN"/>
              </w:rPr>
            </w:pPr>
            <w:r>
              <w:rPr>
                <w:rFonts w:hint="eastAsia" w:ascii="仿宋" w:hAnsi="仿宋" w:eastAsia="仿宋" w:cs="仿宋"/>
                <w:b/>
                <w:color w:val="auto"/>
                <w:sz w:val="22"/>
                <w:szCs w:val="20"/>
                <w:highlight w:val="none"/>
              </w:rPr>
              <w:t>（元）</w:t>
            </w:r>
          </w:p>
        </w:tc>
        <w:tc>
          <w:tcPr>
            <w:tcW w:w="708" w:type="dxa"/>
            <w:noWrap w:val="0"/>
            <w:vAlign w:val="center"/>
          </w:tcPr>
          <w:p>
            <w:pPr>
              <w:adjustRightInd w:val="0"/>
              <w:snapToGrid w:val="0"/>
              <w:spacing w:after="0" w:line="360" w:lineRule="auto"/>
              <w:jc w:val="center"/>
              <w:rPr>
                <w:rFonts w:hint="eastAsia" w:ascii="仿宋" w:hAnsi="仿宋" w:eastAsia="仿宋" w:cs="仿宋"/>
                <w:b/>
                <w:color w:val="auto"/>
                <w:sz w:val="22"/>
                <w:szCs w:val="20"/>
                <w:highlight w:val="none"/>
              </w:rPr>
            </w:pPr>
            <w:r>
              <w:rPr>
                <w:rFonts w:hint="eastAsia" w:ascii="仿宋" w:hAnsi="仿宋" w:eastAsia="仿宋" w:cs="仿宋"/>
                <w:b/>
                <w:color w:val="auto"/>
                <w:sz w:val="22"/>
                <w:szCs w:val="20"/>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811" w:type="dxa"/>
            <w:noWrap w:val="0"/>
            <w:vAlign w:val="center"/>
          </w:tcPr>
          <w:p>
            <w:pPr>
              <w:widowControl/>
              <w:spacing w:after="0" w:line="360" w:lineRule="auto"/>
              <w:jc w:val="center"/>
              <w:textAlignment w:val="center"/>
              <w:rPr>
                <w:rFonts w:hint="eastAsia" w:ascii="仿宋" w:hAnsi="仿宋" w:eastAsia="仿宋" w:cs="仿宋"/>
                <w:b/>
                <w:bCs/>
                <w:color w:val="auto"/>
                <w:sz w:val="24"/>
                <w:szCs w:val="21"/>
                <w:highlight w:val="none"/>
              </w:rPr>
            </w:pPr>
            <w:r>
              <w:rPr>
                <w:rFonts w:hint="eastAsia" w:ascii="仿宋" w:hAnsi="仿宋" w:eastAsia="仿宋" w:cs="仿宋"/>
                <w:b/>
                <w:bCs/>
                <w:color w:val="auto"/>
                <w:kern w:val="0"/>
                <w:szCs w:val="21"/>
                <w:highlight w:val="none"/>
              </w:rPr>
              <w:t>1</w:t>
            </w:r>
          </w:p>
        </w:tc>
        <w:tc>
          <w:tcPr>
            <w:tcW w:w="3457" w:type="dxa"/>
            <w:noWrap w:val="0"/>
            <w:vAlign w:val="center"/>
          </w:tcPr>
          <w:p>
            <w:pPr>
              <w:widowControl/>
              <w:spacing w:line="360" w:lineRule="auto"/>
              <w:jc w:val="center"/>
              <w:textAlignment w:val="center"/>
              <w:rPr>
                <w:rFonts w:hint="eastAsia" w:ascii="仿宋" w:hAnsi="仿宋" w:eastAsia="仿宋" w:cs="仿宋"/>
                <w:b/>
                <w:bCs/>
                <w:color w:val="auto"/>
                <w:sz w:val="24"/>
                <w:szCs w:val="21"/>
                <w:highlight w:val="none"/>
              </w:rPr>
            </w:pPr>
          </w:p>
        </w:tc>
        <w:tc>
          <w:tcPr>
            <w:tcW w:w="1794"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c>
          <w:tcPr>
            <w:tcW w:w="992"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c>
          <w:tcPr>
            <w:tcW w:w="1559"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c>
          <w:tcPr>
            <w:tcW w:w="1606"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c>
          <w:tcPr>
            <w:tcW w:w="1371"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c>
          <w:tcPr>
            <w:tcW w:w="1838"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c>
          <w:tcPr>
            <w:tcW w:w="708"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811" w:type="dxa"/>
            <w:noWrap w:val="0"/>
            <w:vAlign w:val="center"/>
          </w:tcPr>
          <w:p>
            <w:pPr>
              <w:widowControl/>
              <w:spacing w:after="0" w:line="360" w:lineRule="auto"/>
              <w:jc w:val="center"/>
              <w:textAlignment w:val="center"/>
              <w:rPr>
                <w:rFonts w:hint="eastAsia" w:ascii="仿宋" w:hAnsi="仿宋" w:eastAsia="仿宋" w:cs="仿宋"/>
                <w:b/>
                <w:bCs/>
                <w:color w:val="auto"/>
                <w:sz w:val="24"/>
                <w:szCs w:val="21"/>
                <w:highlight w:val="none"/>
              </w:rPr>
            </w:pPr>
            <w:r>
              <w:rPr>
                <w:rFonts w:hint="eastAsia" w:ascii="仿宋" w:hAnsi="仿宋" w:eastAsia="仿宋" w:cs="仿宋"/>
                <w:b/>
                <w:bCs/>
                <w:color w:val="auto"/>
                <w:kern w:val="0"/>
                <w:szCs w:val="21"/>
                <w:highlight w:val="none"/>
              </w:rPr>
              <w:t>2</w:t>
            </w:r>
          </w:p>
        </w:tc>
        <w:tc>
          <w:tcPr>
            <w:tcW w:w="3457" w:type="dxa"/>
            <w:noWrap w:val="0"/>
            <w:vAlign w:val="center"/>
          </w:tcPr>
          <w:p>
            <w:pPr>
              <w:widowControl/>
              <w:spacing w:line="360" w:lineRule="auto"/>
              <w:jc w:val="center"/>
              <w:textAlignment w:val="center"/>
              <w:rPr>
                <w:rFonts w:hint="eastAsia" w:ascii="仿宋" w:hAnsi="仿宋" w:eastAsia="仿宋" w:cs="仿宋"/>
                <w:b/>
                <w:bCs/>
                <w:color w:val="auto"/>
                <w:sz w:val="24"/>
                <w:szCs w:val="21"/>
                <w:highlight w:val="none"/>
              </w:rPr>
            </w:pPr>
          </w:p>
        </w:tc>
        <w:tc>
          <w:tcPr>
            <w:tcW w:w="1794"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c>
          <w:tcPr>
            <w:tcW w:w="992"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c>
          <w:tcPr>
            <w:tcW w:w="1559"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c>
          <w:tcPr>
            <w:tcW w:w="1606"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c>
          <w:tcPr>
            <w:tcW w:w="1371"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c>
          <w:tcPr>
            <w:tcW w:w="1838"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c>
          <w:tcPr>
            <w:tcW w:w="708"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811" w:type="dxa"/>
            <w:noWrap w:val="0"/>
            <w:vAlign w:val="center"/>
          </w:tcPr>
          <w:p>
            <w:pPr>
              <w:widowControl/>
              <w:spacing w:after="0" w:line="360" w:lineRule="auto"/>
              <w:jc w:val="center"/>
              <w:textAlignment w:val="center"/>
              <w:rPr>
                <w:rFonts w:hint="eastAsia" w:ascii="仿宋" w:hAnsi="仿宋" w:eastAsia="仿宋" w:cs="仿宋"/>
                <w:b/>
                <w:bCs/>
                <w:color w:val="auto"/>
                <w:sz w:val="24"/>
                <w:szCs w:val="21"/>
                <w:highlight w:val="none"/>
              </w:rPr>
            </w:pPr>
            <w:r>
              <w:rPr>
                <w:rFonts w:hint="eastAsia" w:ascii="仿宋" w:hAnsi="仿宋" w:eastAsia="仿宋" w:cs="仿宋"/>
                <w:b/>
                <w:bCs/>
                <w:color w:val="auto"/>
                <w:kern w:val="0"/>
                <w:szCs w:val="21"/>
                <w:highlight w:val="none"/>
              </w:rPr>
              <w:t>...</w:t>
            </w:r>
          </w:p>
        </w:tc>
        <w:tc>
          <w:tcPr>
            <w:tcW w:w="3457" w:type="dxa"/>
            <w:noWrap w:val="0"/>
            <w:vAlign w:val="center"/>
          </w:tcPr>
          <w:p>
            <w:pPr>
              <w:widowControl/>
              <w:spacing w:line="360" w:lineRule="auto"/>
              <w:jc w:val="center"/>
              <w:textAlignment w:val="center"/>
              <w:rPr>
                <w:rFonts w:hint="eastAsia" w:ascii="仿宋" w:hAnsi="仿宋" w:eastAsia="仿宋" w:cs="仿宋"/>
                <w:b/>
                <w:bCs/>
                <w:color w:val="auto"/>
                <w:sz w:val="24"/>
                <w:szCs w:val="21"/>
                <w:highlight w:val="none"/>
              </w:rPr>
            </w:pPr>
            <w:r>
              <w:rPr>
                <w:rFonts w:hint="eastAsia" w:ascii="仿宋" w:hAnsi="仿宋" w:eastAsia="仿宋" w:cs="仿宋"/>
                <w:b/>
                <w:bCs/>
                <w:color w:val="auto"/>
                <w:sz w:val="24"/>
                <w:szCs w:val="21"/>
                <w:highlight w:val="none"/>
              </w:rPr>
              <w:t>....</w:t>
            </w:r>
          </w:p>
        </w:tc>
        <w:tc>
          <w:tcPr>
            <w:tcW w:w="1794"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c>
          <w:tcPr>
            <w:tcW w:w="992"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c>
          <w:tcPr>
            <w:tcW w:w="1559"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c>
          <w:tcPr>
            <w:tcW w:w="1606"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c>
          <w:tcPr>
            <w:tcW w:w="1371"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c>
          <w:tcPr>
            <w:tcW w:w="1838"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c>
          <w:tcPr>
            <w:tcW w:w="708" w:type="dxa"/>
            <w:noWrap w:val="0"/>
            <w:vAlign w:val="center"/>
          </w:tcPr>
          <w:p>
            <w:pPr>
              <w:adjustRightInd w:val="0"/>
              <w:snapToGrid w:val="0"/>
              <w:spacing w:after="0" w:line="360" w:lineRule="auto"/>
              <w:jc w:val="center"/>
              <w:rPr>
                <w:rFonts w:hint="eastAsia" w:ascii="仿宋" w:hAnsi="仿宋" w:eastAsia="仿宋" w:cs="仿宋"/>
                <w:b/>
                <w:color w:val="auto"/>
                <w:sz w:val="24"/>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811" w:type="dxa"/>
            <w:vMerge w:val="restart"/>
            <w:noWrap w:val="0"/>
            <w:vAlign w:val="center"/>
          </w:tcPr>
          <w:p>
            <w:pPr>
              <w:adjustRightInd w:val="0"/>
              <w:snapToGrid w:val="0"/>
              <w:spacing w:after="0" w:line="360" w:lineRule="auto"/>
              <w:jc w:val="center"/>
              <w:rPr>
                <w:rFonts w:hint="eastAsia" w:ascii="仿宋" w:hAnsi="仿宋" w:eastAsia="仿宋" w:cs="仿宋"/>
                <w:b/>
                <w:color w:val="auto"/>
                <w:sz w:val="22"/>
                <w:szCs w:val="20"/>
                <w:highlight w:val="none"/>
              </w:rPr>
            </w:pPr>
            <w:r>
              <w:rPr>
                <w:rFonts w:hint="eastAsia" w:ascii="仿宋" w:hAnsi="仿宋" w:eastAsia="仿宋" w:cs="仿宋"/>
                <w:b/>
                <w:color w:val="auto"/>
                <w:sz w:val="22"/>
                <w:szCs w:val="20"/>
                <w:highlight w:val="none"/>
              </w:rPr>
              <w:t>报价合计</w:t>
            </w:r>
          </w:p>
        </w:tc>
        <w:tc>
          <w:tcPr>
            <w:tcW w:w="13325" w:type="dxa"/>
            <w:gridSpan w:val="8"/>
            <w:noWrap w:val="0"/>
            <w:vAlign w:val="top"/>
          </w:tcPr>
          <w:p>
            <w:pPr>
              <w:adjustRightInd w:val="0"/>
              <w:snapToGrid w:val="0"/>
              <w:spacing w:after="0" w:line="360" w:lineRule="auto"/>
              <w:rPr>
                <w:rFonts w:hint="eastAsia" w:ascii="仿宋" w:hAnsi="仿宋" w:eastAsia="仿宋" w:cs="仿宋"/>
                <w:b/>
                <w:color w:val="auto"/>
                <w:sz w:val="22"/>
                <w:szCs w:val="20"/>
                <w:highlight w:val="none"/>
              </w:rPr>
            </w:pPr>
            <w:r>
              <w:rPr>
                <w:rFonts w:hint="eastAsia" w:ascii="仿宋" w:hAnsi="仿宋" w:eastAsia="仿宋" w:cs="仿宋"/>
                <w:b/>
                <w:color w:val="auto"/>
                <w:sz w:val="22"/>
                <w:szCs w:val="20"/>
                <w:highlight w:val="none"/>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811" w:type="dxa"/>
            <w:vMerge w:val="continue"/>
            <w:noWrap w:val="0"/>
            <w:vAlign w:val="top"/>
          </w:tcPr>
          <w:p>
            <w:pPr>
              <w:adjustRightInd w:val="0"/>
              <w:snapToGrid w:val="0"/>
              <w:spacing w:after="0" w:line="360" w:lineRule="auto"/>
              <w:rPr>
                <w:rFonts w:hint="eastAsia" w:ascii="仿宋" w:hAnsi="仿宋" w:eastAsia="仿宋" w:cs="仿宋"/>
                <w:b/>
                <w:color w:val="auto"/>
                <w:sz w:val="22"/>
                <w:szCs w:val="20"/>
                <w:highlight w:val="none"/>
              </w:rPr>
            </w:pPr>
          </w:p>
        </w:tc>
        <w:tc>
          <w:tcPr>
            <w:tcW w:w="13325" w:type="dxa"/>
            <w:gridSpan w:val="8"/>
            <w:noWrap w:val="0"/>
            <w:vAlign w:val="top"/>
          </w:tcPr>
          <w:p>
            <w:pPr>
              <w:adjustRightInd w:val="0"/>
              <w:snapToGrid w:val="0"/>
              <w:spacing w:after="0" w:line="360" w:lineRule="auto"/>
              <w:rPr>
                <w:rFonts w:hint="eastAsia" w:ascii="仿宋" w:hAnsi="仿宋" w:eastAsia="仿宋" w:cs="仿宋"/>
                <w:b/>
                <w:color w:val="auto"/>
                <w:sz w:val="22"/>
                <w:szCs w:val="20"/>
                <w:highlight w:val="none"/>
              </w:rPr>
            </w:pPr>
            <w:r>
              <w:rPr>
                <w:rFonts w:hint="eastAsia" w:ascii="仿宋" w:hAnsi="仿宋" w:eastAsia="仿宋" w:cs="仿宋"/>
                <w:b/>
                <w:color w:val="auto"/>
                <w:sz w:val="22"/>
                <w:szCs w:val="20"/>
                <w:highlight w:val="none"/>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14136" w:type="dxa"/>
            <w:gridSpan w:val="9"/>
            <w:noWrap w:val="0"/>
            <w:vAlign w:val="top"/>
          </w:tcPr>
          <w:p>
            <w:pPr>
              <w:adjustRightInd w:val="0"/>
              <w:snapToGrid w:val="0"/>
              <w:spacing w:after="0" w:line="360" w:lineRule="auto"/>
              <w:outlineLvl w:val="2"/>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注：1.报价应是最终用户验收合格后的总价。是投标人响应项目要求的全部采购内容的价格体现，应包括但不限于完成本项目所涉及的人工劳务、货源组织、仓储、运输、配送、搬运及二次搬运、风险、保险、利润、招标代理服务费、验收、税费、售后服务以及国家规定的各项税费等一切费用。</w:t>
            </w:r>
          </w:p>
          <w:p>
            <w:pPr>
              <w:adjustRightInd w:val="0"/>
              <w:snapToGrid w:val="0"/>
              <w:spacing w:after="0" w:line="360" w:lineRule="auto"/>
              <w:outlineLvl w:val="2"/>
              <w:rPr>
                <w:rFonts w:hint="eastAsia" w:ascii="仿宋" w:hAnsi="仿宋" w:eastAsia="仿宋" w:cs="仿宋"/>
                <w:b/>
                <w:color w:val="auto"/>
                <w:sz w:val="24"/>
                <w:szCs w:val="21"/>
                <w:highlight w:val="none"/>
              </w:rPr>
            </w:pPr>
            <w:r>
              <w:rPr>
                <w:rFonts w:hint="eastAsia" w:ascii="仿宋" w:hAnsi="仿宋" w:eastAsia="仿宋" w:cs="仿宋"/>
                <w:b/>
                <w:color w:val="auto"/>
                <w:szCs w:val="21"/>
                <w:highlight w:val="none"/>
              </w:rPr>
              <w:t>2.以上表格如不能完全表达清楚投标人认为必要的费用明细，投标人可自行补充。</w:t>
            </w:r>
          </w:p>
        </w:tc>
      </w:tr>
    </w:tbl>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投标人名称：XXXX（单位公章）。</w:t>
      </w:r>
    </w:p>
    <w:p>
      <w:pPr>
        <w:spacing w:after="0"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法定代表人/单位负责人或授权代表（签字或加盖个人名章）：XXXX。</w:t>
      </w:r>
    </w:p>
    <w:p>
      <w:pPr>
        <w:spacing w:after="0" w:line="360" w:lineRule="auto"/>
        <w:ind w:firstLine="480" w:firstLineChars="200"/>
        <w:rPr>
          <w:rFonts w:hint="eastAsia" w:ascii="仿宋" w:hAnsi="仿宋" w:eastAsia="仿宋" w:cs="仿宋"/>
          <w:color w:val="auto"/>
          <w:sz w:val="24"/>
          <w:highlight w:val="none"/>
        </w:rPr>
        <w:sectPr>
          <w:headerReference r:id="rId11" w:type="default"/>
          <w:headerReference r:id="rId12" w:type="even"/>
          <w:type w:val="nextColumn"/>
          <w:pgSz w:w="16838" w:h="11906" w:orient="landscape"/>
          <w:pgMar w:top="1800" w:right="1440" w:bottom="1800" w:left="1440" w:header="567" w:footer="992" w:gutter="0"/>
          <w:cols w:space="720" w:num="1"/>
          <w:docGrid w:type="lines" w:linePitch="312" w:charSpace="0"/>
        </w:sectPr>
      </w:pPr>
      <w:r>
        <w:rPr>
          <w:rFonts w:hint="eastAsia" w:ascii="仿宋" w:hAnsi="仿宋" w:eastAsia="仿宋" w:cs="仿宋"/>
          <w:color w:val="auto"/>
          <w:sz w:val="24"/>
          <w:highlight w:val="none"/>
        </w:rPr>
        <w:t>日期：XXXX</w:t>
      </w:r>
    </w:p>
    <w:p>
      <w:pPr>
        <w:pStyle w:val="2"/>
        <w:spacing w:before="0" w:after="0"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三、分项报价明细表</w:t>
      </w:r>
    </w:p>
    <w:p>
      <w:pPr>
        <w:spacing w:line="360" w:lineRule="auto"/>
        <w:jc w:val="center"/>
        <w:rPr>
          <w:rFonts w:hint="eastAsia" w:ascii="仿宋" w:hAnsi="仿宋" w:eastAsia="仿宋" w:cs="仿宋"/>
          <w:b/>
          <w:bCs/>
          <w:color w:val="auto"/>
          <w:sz w:val="32"/>
          <w:szCs w:val="32"/>
          <w:highlight w:val="none"/>
        </w:rPr>
      </w:pPr>
    </w:p>
    <w:p>
      <w:pPr>
        <w:spacing w:line="360" w:lineRule="auto"/>
        <w:ind w:firstLine="281" w:firstLineChars="100"/>
        <w:jc w:val="center"/>
        <w:rPr>
          <w:rFonts w:hint="eastAsia" w:ascii="仿宋" w:hAnsi="仿宋" w:eastAsia="仿宋" w:cs="仿宋"/>
          <w:b/>
          <w:bCs/>
          <w:color w:val="auto"/>
          <w:sz w:val="28"/>
          <w:szCs w:val="28"/>
          <w:highlight w:val="none"/>
        </w:rPr>
      </w:pPr>
    </w:p>
    <w:p>
      <w:pPr>
        <w:spacing w:line="360" w:lineRule="auto"/>
        <w:ind w:firstLine="281" w:firstLineChars="100"/>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（格式自拟）</w:t>
      </w:r>
    </w:p>
    <w:p>
      <w:pPr>
        <w:spacing w:line="360" w:lineRule="auto"/>
        <w:rPr>
          <w:rFonts w:hint="eastAsia" w:ascii="仿宋" w:hAnsi="仿宋" w:eastAsia="仿宋" w:cs="仿宋"/>
          <w:color w:val="auto"/>
          <w:highlight w:val="none"/>
        </w:rPr>
      </w:pPr>
    </w:p>
    <w:p>
      <w:pPr>
        <w:spacing w:line="360" w:lineRule="auto"/>
        <w:rPr>
          <w:rFonts w:hint="eastAsia" w:ascii="仿宋" w:hAnsi="仿宋" w:eastAsia="仿宋" w:cs="仿宋"/>
          <w:color w:val="auto"/>
          <w:highlight w:val="none"/>
        </w:rPr>
      </w:pPr>
    </w:p>
    <w:p>
      <w:pPr>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注：1、“分项报价明细表”各分项报价合计应当与“报价表”报价合计相等。</w:t>
      </w:r>
    </w:p>
    <w:p>
      <w:pPr>
        <w:spacing w:line="360" w:lineRule="auto"/>
        <w:rPr>
          <w:rFonts w:hint="eastAsia" w:ascii="仿宋" w:hAnsi="仿宋" w:eastAsia="仿宋" w:cs="仿宋"/>
          <w:b/>
          <w:bCs/>
          <w:color w:val="auto"/>
          <w:highlight w:val="none"/>
        </w:rPr>
      </w:pPr>
    </w:p>
    <w:p>
      <w:pPr>
        <w:adjustRightInd w:val="0"/>
        <w:spacing w:line="360" w:lineRule="auto"/>
        <w:ind w:firstLine="560" w:firstLineChars="200"/>
        <w:rPr>
          <w:rFonts w:hint="eastAsia" w:ascii="仿宋" w:hAnsi="仿宋" w:eastAsia="仿宋" w:cs="仿宋"/>
          <w:color w:val="auto"/>
          <w:sz w:val="28"/>
          <w:szCs w:val="28"/>
          <w:highlight w:val="none"/>
        </w:rPr>
      </w:pPr>
    </w:p>
    <w:p>
      <w:pPr>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供应商名称（盖章）：XXXXXXXXX</w:t>
      </w:r>
    </w:p>
    <w:p>
      <w:pPr>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法定代表人或授权代表（签字或盖章）：</w:t>
      </w:r>
    </w:p>
    <w:p>
      <w:pPr>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日期：XXXXX</w:t>
      </w:r>
    </w:p>
    <w:p>
      <w:pPr>
        <w:spacing w:line="360" w:lineRule="auto"/>
        <w:ind w:firstLine="480" w:firstLineChars="200"/>
        <w:jc w:val="left"/>
        <w:rPr>
          <w:rFonts w:hint="eastAsia" w:ascii="仿宋" w:hAnsi="仿宋" w:eastAsia="仿宋" w:cs="仿宋"/>
          <w:color w:val="auto"/>
          <w:sz w:val="24"/>
          <w:szCs w:val="24"/>
          <w:highlight w:val="none"/>
        </w:rPr>
      </w:pPr>
    </w:p>
    <w:p>
      <w:pPr>
        <w:widowControl/>
        <w:spacing w:line="360" w:lineRule="auto"/>
        <w:jc w:val="left"/>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br w:type="page"/>
      </w:r>
    </w:p>
    <w:p>
      <w:pPr>
        <w:pStyle w:val="2"/>
        <w:spacing w:before="0" w:after="0"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四、最终报价信</w:t>
      </w:r>
    </w:p>
    <w:p>
      <w:pPr>
        <w:spacing w:line="360" w:lineRule="auto"/>
        <w:rPr>
          <w:rFonts w:hint="eastAsia" w:ascii="仿宋" w:hAnsi="仿宋" w:eastAsia="仿宋" w:cs="仿宋"/>
          <w:b/>
          <w:bCs/>
          <w:color w:val="auto"/>
          <w:sz w:val="32"/>
          <w:szCs w:val="32"/>
          <w:highlight w:val="none"/>
        </w:rPr>
      </w:pPr>
    </w:p>
    <w:p>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一、关于最终报价信的说明：</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中不含最终报价信；</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2、最终报价信需要供应商法定代表人（或授权代表）签字或加盖公章（鲜章）；</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3、最终报价信可以由供应商授权代表在最终报价仪式以前填写；</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4、最终报价信应按规定密封。</w:t>
      </w:r>
    </w:p>
    <w:p>
      <w:pPr>
        <w:widowControl/>
        <w:spacing w:line="360" w:lineRule="auto"/>
        <w:jc w:val="left"/>
        <w:rPr>
          <w:rFonts w:hint="eastAsia" w:ascii="仿宋" w:hAnsi="仿宋" w:eastAsia="仿宋" w:cs="仿宋"/>
          <w:b/>
          <w:bCs/>
          <w:color w:val="auto"/>
          <w:kern w:val="44"/>
          <w:sz w:val="32"/>
          <w:szCs w:val="32"/>
          <w:highlight w:val="none"/>
        </w:rPr>
      </w:pPr>
      <w:bookmarkStart w:id="106" w:name="_Toc436410128"/>
      <w:bookmarkStart w:id="107" w:name="_Toc428777949"/>
      <w:bookmarkStart w:id="108" w:name="_Toc436404119"/>
      <w:bookmarkStart w:id="109" w:name="_Toc427141347"/>
      <w:bookmarkStart w:id="110" w:name="_Toc436820889"/>
      <w:bookmarkStart w:id="111" w:name="_Toc436385991"/>
      <w:r>
        <w:rPr>
          <w:rFonts w:hint="eastAsia" w:ascii="仿宋" w:hAnsi="仿宋" w:eastAsia="仿宋" w:cs="仿宋"/>
          <w:b/>
          <w:bCs/>
          <w:color w:val="auto"/>
          <w:kern w:val="44"/>
          <w:sz w:val="32"/>
          <w:szCs w:val="32"/>
          <w:highlight w:val="none"/>
        </w:rPr>
        <w:br w:type="page"/>
      </w:r>
    </w:p>
    <w:p>
      <w:pPr>
        <w:pStyle w:val="2"/>
        <w:spacing w:before="0" w:after="0"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五、总体商务、服务（技术）要求及合同重要条款响应偏离表</w:t>
      </w:r>
    </w:p>
    <w:tbl>
      <w:tblPr>
        <w:tblStyle w:val="25"/>
        <w:tblW w:w="91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2410"/>
        <w:gridCol w:w="1812"/>
        <w:gridCol w:w="2009"/>
        <w:gridCol w:w="2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755" w:type="dxa"/>
            <w:vAlign w:val="center"/>
          </w:tcPr>
          <w:p>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序号</w:t>
            </w:r>
          </w:p>
        </w:tc>
        <w:tc>
          <w:tcPr>
            <w:tcW w:w="2410" w:type="dxa"/>
            <w:vAlign w:val="center"/>
          </w:tcPr>
          <w:p>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条款及要求</w:t>
            </w:r>
          </w:p>
        </w:tc>
        <w:tc>
          <w:tcPr>
            <w:tcW w:w="1812" w:type="dxa"/>
            <w:vAlign w:val="center"/>
          </w:tcPr>
          <w:p>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条款</w:t>
            </w:r>
          </w:p>
        </w:tc>
        <w:tc>
          <w:tcPr>
            <w:tcW w:w="2009" w:type="dxa"/>
            <w:vAlign w:val="center"/>
          </w:tcPr>
          <w:p>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响应/偏离</w:t>
            </w:r>
          </w:p>
        </w:tc>
        <w:tc>
          <w:tcPr>
            <w:tcW w:w="2206" w:type="dxa"/>
            <w:vAlign w:val="center"/>
          </w:tcPr>
          <w:p>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755" w:type="dxa"/>
            <w:vAlign w:val="center"/>
          </w:tcPr>
          <w:p>
            <w:pPr>
              <w:pStyle w:val="100"/>
              <w:spacing w:line="360" w:lineRule="auto"/>
              <w:jc w:val="center"/>
              <w:rPr>
                <w:rFonts w:hint="eastAsia" w:ascii="仿宋" w:hAnsi="仿宋" w:eastAsia="仿宋" w:cs="仿宋"/>
                <w:color w:val="auto"/>
                <w:highlight w:val="none"/>
              </w:rPr>
            </w:pPr>
          </w:p>
        </w:tc>
        <w:tc>
          <w:tcPr>
            <w:tcW w:w="2410" w:type="dxa"/>
            <w:vAlign w:val="center"/>
          </w:tcPr>
          <w:p>
            <w:pPr>
              <w:pStyle w:val="100"/>
              <w:spacing w:line="360" w:lineRule="auto"/>
              <w:jc w:val="center"/>
              <w:rPr>
                <w:rFonts w:hint="eastAsia" w:ascii="仿宋" w:hAnsi="仿宋" w:eastAsia="仿宋" w:cs="仿宋"/>
                <w:color w:val="auto"/>
                <w:highlight w:val="none"/>
              </w:rPr>
            </w:pPr>
          </w:p>
        </w:tc>
        <w:tc>
          <w:tcPr>
            <w:tcW w:w="1812" w:type="dxa"/>
            <w:vAlign w:val="center"/>
          </w:tcPr>
          <w:p>
            <w:pPr>
              <w:pStyle w:val="100"/>
              <w:spacing w:line="360" w:lineRule="auto"/>
              <w:jc w:val="center"/>
              <w:rPr>
                <w:rFonts w:hint="eastAsia" w:ascii="仿宋" w:hAnsi="仿宋" w:eastAsia="仿宋" w:cs="仿宋"/>
                <w:color w:val="auto"/>
                <w:highlight w:val="none"/>
              </w:rPr>
            </w:pPr>
          </w:p>
        </w:tc>
        <w:tc>
          <w:tcPr>
            <w:tcW w:w="2009" w:type="dxa"/>
            <w:vAlign w:val="center"/>
          </w:tcPr>
          <w:p>
            <w:pPr>
              <w:pStyle w:val="100"/>
              <w:spacing w:line="360" w:lineRule="auto"/>
              <w:jc w:val="center"/>
              <w:rPr>
                <w:rFonts w:hint="eastAsia" w:ascii="仿宋" w:hAnsi="仿宋" w:eastAsia="仿宋" w:cs="仿宋"/>
                <w:color w:val="auto"/>
                <w:highlight w:val="none"/>
              </w:rPr>
            </w:pPr>
          </w:p>
        </w:tc>
        <w:tc>
          <w:tcPr>
            <w:tcW w:w="2206" w:type="dxa"/>
            <w:vAlign w:val="center"/>
          </w:tcPr>
          <w:p>
            <w:pPr>
              <w:pStyle w:val="100"/>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755" w:type="dxa"/>
            <w:vAlign w:val="center"/>
          </w:tcPr>
          <w:p>
            <w:pPr>
              <w:pStyle w:val="100"/>
              <w:spacing w:line="360" w:lineRule="auto"/>
              <w:jc w:val="center"/>
              <w:rPr>
                <w:rFonts w:hint="eastAsia" w:ascii="仿宋" w:hAnsi="仿宋" w:eastAsia="仿宋" w:cs="仿宋"/>
                <w:color w:val="auto"/>
                <w:highlight w:val="none"/>
              </w:rPr>
            </w:pPr>
          </w:p>
        </w:tc>
        <w:tc>
          <w:tcPr>
            <w:tcW w:w="2410" w:type="dxa"/>
            <w:vAlign w:val="center"/>
          </w:tcPr>
          <w:p>
            <w:pPr>
              <w:pStyle w:val="100"/>
              <w:spacing w:line="360" w:lineRule="auto"/>
              <w:jc w:val="center"/>
              <w:rPr>
                <w:rFonts w:hint="eastAsia" w:ascii="仿宋" w:hAnsi="仿宋" w:eastAsia="仿宋" w:cs="仿宋"/>
                <w:color w:val="auto"/>
                <w:highlight w:val="none"/>
              </w:rPr>
            </w:pPr>
          </w:p>
        </w:tc>
        <w:tc>
          <w:tcPr>
            <w:tcW w:w="1812" w:type="dxa"/>
            <w:vAlign w:val="center"/>
          </w:tcPr>
          <w:p>
            <w:pPr>
              <w:pStyle w:val="100"/>
              <w:spacing w:line="360" w:lineRule="auto"/>
              <w:jc w:val="center"/>
              <w:rPr>
                <w:rFonts w:hint="eastAsia" w:ascii="仿宋" w:hAnsi="仿宋" w:eastAsia="仿宋" w:cs="仿宋"/>
                <w:color w:val="auto"/>
                <w:highlight w:val="none"/>
              </w:rPr>
            </w:pPr>
          </w:p>
        </w:tc>
        <w:tc>
          <w:tcPr>
            <w:tcW w:w="2009" w:type="dxa"/>
            <w:vAlign w:val="center"/>
          </w:tcPr>
          <w:p>
            <w:pPr>
              <w:pStyle w:val="100"/>
              <w:spacing w:line="360" w:lineRule="auto"/>
              <w:jc w:val="center"/>
              <w:rPr>
                <w:rFonts w:hint="eastAsia" w:ascii="仿宋" w:hAnsi="仿宋" w:eastAsia="仿宋" w:cs="仿宋"/>
                <w:color w:val="auto"/>
                <w:highlight w:val="none"/>
              </w:rPr>
            </w:pPr>
          </w:p>
        </w:tc>
        <w:tc>
          <w:tcPr>
            <w:tcW w:w="2206" w:type="dxa"/>
            <w:vAlign w:val="center"/>
          </w:tcPr>
          <w:p>
            <w:pPr>
              <w:pStyle w:val="100"/>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755" w:type="dxa"/>
            <w:vAlign w:val="center"/>
          </w:tcPr>
          <w:p>
            <w:pPr>
              <w:pStyle w:val="100"/>
              <w:spacing w:line="360" w:lineRule="auto"/>
              <w:jc w:val="center"/>
              <w:rPr>
                <w:rFonts w:hint="eastAsia" w:ascii="仿宋" w:hAnsi="仿宋" w:eastAsia="仿宋" w:cs="仿宋"/>
                <w:color w:val="auto"/>
                <w:highlight w:val="none"/>
              </w:rPr>
            </w:pPr>
          </w:p>
        </w:tc>
        <w:tc>
          <w:tcPr>
            <w:tcW w:w="2410" w:type="dxa"/>
            <w:vAlign w:val="center"/>
          </w:tcPr>
          <w:p>
            <w:pPr>
              <w:pStyle w:val="100"/>
              <w:spacing w:line="360" w:lineRule="auto"/>
              <w:jc w:val="center"/>
              <w:rPr>
                <w:rFonts w:hint="eastAsia" w:ascii="仿宋" w:hAnsi="仿宋" w:eastAsia="仿宋" w:cs="仿宋"/>
                <w:color w:val="auto"/>
                <w:highlight w:val="none"/>
              </w:rPr>
            </w:pPr>
          </w:p>
        </w:tc>
        <w:tc>
          <w:tcPr>
            <w:tcW w:w="1812" w:type="dxa"/>
            <w:vAlign w:val="center"/>
          </w:tcPr>
          <w:p>
            <w:pPr>
              <w:pStyle w:val="100"/>
              <w:spacing w:line="360" w:lineRule="auto"/>
              <w:jc w:val="center"/>
              <w:rPr>
                <w:rFonts w:hint="eastAsia" w:ascii="仿宋" w:hAnsi="仿宋" w:eastAsia="仿宋" w:cs="仿宋"/>
                <w:color w:val="auto"/>
                <w:highlight w:val="none"/>
              </w:rPr>
            </w:pPr>
          </w:p>
        </w:tc>
        <w:tc>
          <w:tcPr>
            <w:tcW w:w="2009" w:type="dxa"/>
            <w:vAlign w:val="center"/>
          </w:tcPr>
          <w:p>
            <w:pPr>
              <w:pStyle w:val="100"/>
              <w:spacing w:line="360" w:lineRule="auto"/>
              <w:jc w:val="center"/>
              <w:rPr>
                <w:rFonts w:hint="eastAsia" w:ascii="仿宋" w:hAnsi="仿宋" w:eastAsia="仿宋" w:cs="仿宋"/>
                <w:color w:val="auto"/>
                <w:highlight w:val="none"/>
              </w:rPr>
            </w:pPr>
          </w:p>
        </w:tc>
        <w:tc>
          <w:tcPr>
            <w:tcW w:w="2206" w:type="dxa"/>
            <w:vAlign w:val="center"/>
          </w:tcPr>
          <w:p>
            <w:pPr>
              <w:pStyle w:val="100"/>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755" w:type="dxa"/>
            <w:vAlign w:val="center"/>
          </w:tcPr>
          <w:p>
            <w:pPr>
              <w:pStyle w:val="100"/>
              <w:spacing w:line="360" w:lineRule="auto"/>
              <w:jc w:val="center"/>
              <w:rPr>
                <w:rFonts w:hint="eastAsia" w:ascii="仿宋" w:hAnsi="仿宋" w:eastAsia="仿宋" w:cs="仿宋"/>
                <w:color w:val="auto"/>
                <w:highlight w:val="none"/>
              </w:rPr>
            </w:pPr>
          </w:p>
        </w:tc>
        <w:tc>
          <w:tcPr>
            <w:tcW w:w="2410" w:type="dxa"/>
            <w:vAlign w:val="center"/>
          </w:tcPr>
          <w:p>
            <w:pPr>
              <w:pStyle w:val="100"/>
              <w:spacing w:line="360" w:lineRule="auto"/>
              <w:jc w:val="center"/>
              <w:rPr>
                <w:rFonts w:hint="eastAsia" w:ascii="仿宋" w:hAnsi="仿宋" w:eastAsia="仿宋" w:cs="仿宋"/>
                <w:color w:val="auto"/>
                <w:highlight w:val="none"/>
              </w:rPr>
            </w:pPr>
          </w:p>
        </w:tc>
        <w:tc>
          <w:tcPr>
            <w:tcW w:w="1812" w:type="dxa"/>
            <w:vAlign w:val="center"/>
          </w:tcPr>
          <w:p>
            <w:pPr>
              <w:pStyle w:val="100"/>
              <w:spacing w:line="360" w:lineRule="auto"/>
              <w:jc w:val="center"/>
              <w:rPr>
                <w:rFonts w:hint="eastAsia" w:ascii="仿宋" w:hAnsi="仿宋" w:eastAsia="仿宋" w:cs="仿宋"/>
                <w:color w:val="auto"/>
                <w:highlight w:val="none"/>
              </w:rPr>
            </w:pPr>
          </w:p>
        </w:tc>
        <w:tc>
          <w:tcPr>
            <w:tcW w:w="2009" w:type="dxa"/>
            <w:vAlign w:val="center"/>
          </w:tcPr>
          <w:p>
            <w:pPr>
              <w:pStyle w:val="100"/>
              <w:spacing w:line="360" w:lineRule="auto"/>
              <w:jc w:val="center"/>
              <w:rPr>
                <w:rFonts w:hint="eastAsia" w:ascii="仿宋" w:hAnsi="仿宋" w:eastAsia="仿宋" w:cs="仿宋"/>
                <w:color w:val="auto"/>
                <w:highlight w:val="none"/>
              </w:rPr>
            </w:pPr>
          </w:p>
        </w:tc>
        <w:tc>
          <w:tcPr>
            <w:tcW w:w="2206" w:type="dxa"/>
            <w:vAlign w:val="center"/>
          </w:tcPr>
          <w:p>
            <w:pPr>
              <w:pStyle w:val="100"/>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755" w:type="dxa"/>
            <w:vAlign w:val="center"/>
          </w:tcPr>
          <w:p>
            <w:pPr>
              <w:pStyle w:val="100"/>
              <w:spacing w:line="360" w:lineRule="auto"/>
              <w:jc w:val="center"/>
              <w:rPr>
                <w:rFonts w:hint="eastAsia" w:ascii="仿宋" w:hAnsi="仿宋" w:eastAsia="仿宋" w:cs="仿宋"/>
                <w:color w:val="auto"/>
                <w:highlight w:val="none"/>
              </w:rPr>
            </w:pPr>
          </w:p>
        </w:tc>
        <w:tc>
          <w:tcPr>
            <w:tcW w:w="2410" w:type="dxa"/>
            <w:vAlign w:val="center"/>
          </w:tcPr>
          <w:p>
            <w:pPr>
              <w:pStyle w:val="100"/>
              <w:spacing w:line="360" w:lineRule="auto"/>
              <w:jc w:val="center"/>
              <w:rPr>
                <w:rFonts w:hint="eastAsia" w:ascii="仿宋" w:hAnsi="仿宋" w:eastAsia="仿宋" w:cs="仿宋"/>
                <w:color w:val="auto"/>
                <w:highlight w:val="none"/>
              </w:rPr>
            </w:pPr>
          </w:p>
        </w:tc>
        <w:tc>
          <w:tcPr>
            <w:tcW w:w="1812" w:type="dxa"/>
            <w:vAlign w:val="center"/>
          </w:tcPr>
          <w:p>
            <w:pPr>
              <w:pStyle w:val="100"/>
              <w:spacing w:line="360" w:lineRule="auto"/>
              <w:jc w:val="center"/>
              <w:rPr>
                <w:rFonts w:hint="eastAsia" w:ascii="仿宋" w:hAnsi="仿宋" w:eastAsia="仿宋" w:cs="仿宋"/>
                <w:color w:val="auto"/>
                <w:highlight w:val="none"/>
              </w:rPr>
            </w:pPr>
          </w:p>
        </w:tc>
        <w:tc>
          <w:tcPr>
            <w:tcW w:w="2009" w:type="dxa"/>
            <w:vAlign w:val="center"/>
          </w:tcPr>
          <w:p>
            <w:pPr>
              <w:pStyle w:val="100"/>
              <w:spacing w:line="360" w:lineRule="auto"/>
              <w:jc w:val="center"/>
              <w:rPr>
                <w:rFonts w:hint="eastAsia" w:ascii="仿宋" w:hAnsi="仿宋" w:eastAsia="仿宋" w:cs="仿宋"/>
                <w:color w:val="auto"/>
                <w:highlight w:val="none"/>
              </w:rPr>
            </w:pPr>
          </w:p>
        </w:tc>
        <w:tc>
          <w:tcPr>
            <w:tcW w:w="2206" w:type="dxa"/>
            <w:vAlign w:val="center"/>
          </w:tcPr>
          <w:p>
            <w:pPr>
              <w:pStyle w:val="100"/>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755" w:type="dxa"/>
            <w:vAlign w:val="center"/>
          </w:tcPr>
          <w:p>
            <w:pPr>
              <w:pStyle w:val="100"/>
              <w:spacing w:line="360" w:lineRule="auto"/>
              <w:jc w:val="center"/>
              <w:rPr>
                <w:rFonts w:hint="eastAsia" w:ascii="仿宋" w:hAnsi="仿宋" w:eastAsia="仿宋" w:cs="仿宋"/>
                <w:color w:val="auto"/>
                <w:highlight w:val="none"/>
              </w:rPr>
            </w:pPr>
          </w:p>
        </w:tc>
        <w:tc>
          <w:tcPr>
            <w:tcW w:w="2410" w:type="dxa"/>
            <w:vAlign w:val="center"/>
          </w:tcPr>
          <w:p>
            <w:pPr>
              <w:pStyle w:val="100"/>
              <w:spacing w:line="360" w:lineRule="auto"/>
              <w:jc w:val="center"/>
              <w:rPr>
                <w:rFonts w:hint="eastAsia" w:ascii="仿宋" w:hAnsi="仿宋" w:eastAsia="仿宋" w:cs="仿宋"/>
                <w:color w:val="auto"/>
                <w:highlight w:val="none"/>
              </w:rPr>
            </w:pPr>
          </w:p>
        </w:tc>
        <w:tc>
          <w:tcPr>
            <w:tcW w:w="1812" w:type="dxa"/>
            <w:vAlign w:val="center"/>
          </w:tcPr>
          <w:p>
            <w:pPr>
              <w:pStyle w:val="100"/>
              <w:spacing w:line="360" w:lineRule="auto"/>
              <w:jc w:val="center"/>
              <w:rPr>
                <w:rFonts w:hint="eastAsia" w:ascii="仿宋" w:hAnsi="仿宋" w:eastAsia="仿宋" w:cs="仿宋"/>
                <w:color w:val="auto"/>
                <w:highlight w:val="none"/>
              </w:rPr>
            </w:pPr>
          </w:p>
        </w:tc>
        <w:tc>
          <w:tcPr>
            <w:tcW w:w="2009" w:type="dxa"/>
            <w:vAlign w:val="center"/>
          </w:tcPr>
          <w:p>
            <w:pPr>
              <w:pStyle w:val="100"/>
              <w:spacing w:line="360" w:lineRule="auto"/>
              <w:jc w:val="center"/>
              <w:rPr>
                <w:rFonts w:hint="eastAsia" w:ascii="仿宋" w:hAnsi="仿宋" w:eastAsia="仿宋" w:cs="仿宋"/>
                <w:color w:val="auto"/>
                <w:highlight w:val="none"/>
              </w:rPr>
            </w:pPr>
          </w:p>
        </w:tc>
        <w:tc>
          <w:tcPr>
            <w:tcW w:w="2206" w:type="dxa"/>
            <w:vAlign w:val="center"/>
          </w:tcPr>
          <w:p>
            <w:pPr>
              <w:pStyle w:val="100"/>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755" w:type="dxa"/>
            <w:vAlign w:val="center"/>
          </w:tcPr>
          <w:p>
            <w:pPr>
              <w:pStyle w:val="100"/>
              <w:spacing w:line="360" w:lineRule="auto"/>
              <w:jc w:val="center"/>
              <w:rPr>
                <w:rFonts w:hint="eastAsia" w:ascii="仿宋" w:hAnsi="仿宋" w:eastAsia="仿宋" w:cs="仿宋"/>
                <w:color w:val="auto"/>
                <w:highlight w:val="none"/>
              </w:rPr>
            </w:pPr>
          </w:p>
        </w:tc>
        <w:tc>
          <w:tcPr>
            <w:tcW w:w="2410" w:type="dxa"/>
            <w:vAlign w:val="center"/>
          </w:tcPr>
          <w:p>
            <w:pPr>
              <w:pStyle w:val="100"/>
              <w:spacing w:line="360" w:lineRule="auto"/>
              <w:jc w:val="center"/>
              <w:rPr>
                <w:rFonts w:hint="eastAsia" w:ascii="仿宋" w:hAnsi="仿宋" w:eastAsia="仿宋" w:cs="仿宋"/>
                <w:color w:val="auto"/>
                <w:highlight w:val="none"/>
              </w:rPr>
            </w:pPr>
          </w:p>
        </w:tc>
        <w:tc>
          <w:tcPr>
            <w:tcW w:w="1812" w:type="dxa"/>
            <w:vAlign w:val="center"/>
          </w:tcPr>
          <w:p>
            <w:pPr>
              <w:pStyle w:val="100"/>
              <w:spacing w:line="360" w:lineRule="auto"/>
              <w:jc w:val="center"/>
              <w:rPr>
                <w:rFonts w:hint="eastAsia" w:ascii="仿宋" w:hAnsi="仿宋" w:eastAsia="仿宋" w:cs="仿宋"/>
                <w:color w:val="auto"/>
                <w:highlight w:val="none"/>
              </w:rPr>
            </w:pPr>
          </w:p>
        </w:tc>
        <w:tc>
          <w:tcPr>
            <w:tcW w:w="2009" w:type="dxa"/>
            <w:vAlign w:val="center"/>
          </w:tcPr>
          <w:p>
            <w:pPr>
              <w:pStyle w:val="100"/>
              <w:spacing w:line="360" w:lineRule="auto"/>
              <w:jc w:val="center"/>
              <w:rPr>
                <w:rFonts w:hint="eastAsia" w:ascii="仿宋" w:hAnsi="仿宋" w:eastAsia="仿宋" w:cs="仿宋"/>
                <w:color w:val="auto"/>
                <w:highlight w:val="none"/>
              </w:rPr>
            </w:pPr>
          </w:p>
        </w:tc>
        <w:tc>
          <w:tcPr>
            <w:tcW w:w="2206" w:type="dxa"/>
            <w:vAlign w:val="center"/>
          </w:tcPr>
          <w:p>
            <w:pPr>
              <w:pStyle w:val="100"/>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755" w:type="dxa"/>
            <w:vAlign w:val="center"/>
          </w:tcPr>
          <w:p>
            <w:pPr>
              <w:pStyle w:val="100"/>
              <w:spacing w:line="360" w:lineRule="auto"/>
              <w:jc w:val="center"/>
              <w:rPr>
                <w:rFonts w:hint="eastAsia" w:ascii="仿宋" w:hAnsi="仿宋" w:eastAsia="仿宋" w:cs="仿宋"/>
                <w:color w:val="auto"/>
                <w:highlight w:val="none"/>
              </w:rPr>
            </w:pPr>
          </w:p>
        </w:tc>
        <w:tc>
          <w:tcPr>
            <w:tcW w:w="2410" w:type="dxa"/>
            <w:vAlign w:val="center"/>
          </w:tcPr>
          <w:p>
            <w:pPr>
              <w:pStyle w:val="100"/>
              <w:spacing w:line="360" w:lineRule="auto"/>
              <w:jc w:val="center"/>
              <w:rPr>
                <w:rFonts w:hint="eastAsia" w:ascii="仿宋" w:hAnsi="仿宋" w:eastAsia="仿宋" w:cs="仿宋"/>
                <w:color w:val="auto"/>
                <w:highlight w:val="none"/>
              </w:rPr>
            </w:pPr>
          </w:p>
        </w:tc>
        <w:tc>
          <w:tcPr>
            <w:tcW w:w="1812" w:type="dxa"/>
            <w:vAlign w:val="center"/>
          </w:tcPr>
          <w:p>
            <w:pPr>
              <w:pStyle w:val="100"/>
              <w:spacing w:line="360" w:lineRule="auto"/>
              <w:jc w:val="center"/>
              <w:rPr>
                <w:rFonts w:hint="eastAsia" w:ascii="仿宋" w:hAnsi="仿宋" w:eastAsia="仿宋" w:cs="仿宋"/>
                <w:color w:val="auto"/>
                <w:highlight w:val="none"/>
              </w:rPr>
            </w:pPr>
          </w:p>
        </w:tc>
        <w:tc>
          <w:tcPr>
            <w:tcW w:w="2009" w:type="dxa"/>
            <w:vAlign w:val="center"/>
          </w:tcPr>
          <w:p>
            <w:pPr>
              <w:pStyle w:val="100"/>
              <w:spacing w:line="360" w:lineRule="auto"/>
              <w:jc w:val="center"/>
              <w:rPr>
                <w:rFonts w:hint="eastAsia" w:ascii="仿宋" w:hAnsi="仿宋" w:eastAsia="仿宋" w:cs="仿宋"/>
                <w:color w:val="auto"/>
                <w:highlight w:val="none"/>
              </w:rPr>
            </w:pPr>
          </w:p>
        </w:tc>
        <w:tc>
          <w:tcPr>
            <w:tcW w:w="2206" w:type="dxa"/>
            <w:vAlign w:val="center"/>
          </w:tcPr>
          <w:p>
            <w:pPr>
              <w:pStyle w:val="100"/>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755" w:type="dxa"/>
            <w:vAlign w:val="center"/>
          </w:tcPr>
          <w:p>
            <w:pPr>
              <w:pStyle w:val="100"/>
              <w:spacing w:line="360" w:lineRule="auto"/>
              <w:jc w:val="center"/>
              <w:rPr>
                <w:rFonts w:hint="eastAsia" w:ascii="仿宋" w:hAnsi="仿宋" w:eastAsia="仿宋" w:cs="仿宋"/>
                <w:color w:val="auto"/>
                <w:highlight w:val="none"/>
              </w:rPr>
            </w:pPr>
          </w:p>
        </w:tc>
        <w:tc>
          <w:tcPr>
            <w:tcW w:w="2410" w:type="dxa"/>
            <w:vAlign w:val="center"/>
          </w:tcPr>
          <w:p>
            <w:pPr>
              <w:pStyle w:val="100"/>
              <w:spacing w:line="360" w:lineRule="auto"/>
              <w:jc w:val="center"/>
              <w:rPr>
                <w:rFonts w:hint="eastAsia" w:ascii="仿宋" w:hAnsi="仿宋" w:eastAsia="仿宋" w:cs="仿宋"/>
                <w:color w:val="auto"/>
                <w:highlight w:val="none"/>
              </w:rPr>
            </w:pPr>
          </w:p>
        </w:tc>
        <w:tc>
          <w:tcPr>
            <w:tcW w:w="1812" w:type="dxa"/>
            <w:vAlign w:val="center"/>
          </w:tcPr>
          <w:p>
            <w:pPr>
              <w:pStyle w:val="100"/>
              <w:spacing w:line="360" w:lineRule="auto"/>
              <w:jc w:val="center"/>
              <w:rPr>
                <w:rFonts w:hint="eastAsia" w:ascii="仿宋" w:hAnsi="仿宋" w:eastAsia="仿宋" w:cs="仿宋"/>
                <w:color w:val="auto"/>
                <w:highlight w:val="none"/>
              </w:rPr>
            </w:pPr>
          </w:p>
        </w:tc>
        <w:tc>
          <w:tcPr>
            <w:tcW w:w="2009" w:type="dxa"/>
            <w:vAlign w:val="center"/>
          </w:tcPr>
          <w:p>
            <w:pPr>
              <w:pStyle w:val="100"/>
              <w:spacing w:line="360" w:lineRule="auto"/>
              <w:jc w:val="center"/>
              <w:rPr>
                <w:rFonts w:hint="eastAsia" w:ascii="仿宋" w:hAnsi="仿宋" w:eastAsia="仿宋" w:cs="仿宋"/>
                <w:color w:val="auto"/>
                <w:highlight w:val="none"/>
              </w:rPr>
            </w:pPr>
          </w:p>
        </w:tc>
        <w:tc>
          <w:tcPr>
            <w:tcW w:w="2206" w:type="dxa"/>
            <w:vAlign w:val="center"/>
          </w:tcPr>
          <w:p>
            <w:pPr>
              <w:pStyle w:val="100"/>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755" w:type="dxa"/>
            <w:vAlign w:val="center"/>
          </w:tcPr>
          <w:p>
            <w:pPr>
              <w:pStyle w:val="100"/>
              <w:spacing w:line="360" w:lineRule="auto"/>
              <w:jc w:val="center"/>
              <w:rPr>
                <w:rFonts w:hint="eastAsia" w:ascii="仿宋" w:hAnsi="仿宋" w:eastAsia="仿宋" w:cs="仿宋"/>
                <w:color w:val="auto"/>
                <w:highlight w:val="none"/>
              </w:rPr>
            </w:pPr>
          </w:p>
        </w:tc>
        <w:tc>
          <w:tcPr>
            <w:tcW w:w="2410" w:type="dxa"/>
            <w:vAlign w:val="center"/>
          </w:tcPr>
          <w:p>
            <w:pPr>
              <w:pStyle w:val="100"/>
              <w:spacing w:line="360" w:lineRule="auto"/>
              <w:jc w:val="center"/>
              <w:rPr>
                <w:rFonts w:hint="eastAsia" w:ascii="仿宋" w:hAnsi="仿宋" w:eastAsia="仿宋" w:cs="仿宋"/>
                <w:color w:val="auto"/>
                <w:highlight w:val="none"/>
              </w:rPr>
            </w:pPr>
          </w:p>
        </w:tc>
        <w:tc>
          <w:tcPr>
            <w:tcW w:w="1812" w:type="dxa"/>
            <w:vAlign w:val="center"/>
          </w:tcPr>
          <w:p>
            <w:pPr>
              <w:pStyle w:val="100"/>
              <w:spacing w:line="360" w:lineRule="auto"/>
              <w:jc w:val="center"/>
              <w:rPr>
                <w:rFonts w:hint="eastAsia" w:ascii="仿宋" w:hAnsi="仿宋" w:eastAsia="仿宋" w:cs="仿宋"/>
                <w:color w:val="auto"/>
                <w:highlight w:val="none"/>
              </w:rPr>
            </w:pPr>
          </w:p>
        </w:tc>
        <w:tc>
          <w:tcPr>
            <w:tcW w:w="2009" w:type="dxa"/>
            <w:vAlign w:val="center"/>
          </w:tcPr>
          <w:p>
            <w:pPr>
              <w:pStyle w:val="100"/>
              <w:spacing w:line="360" w:lineRule="auto"/>
              <w:jc w:val="center"/>
              <w:rPr>
                <w:rFonts w:hint="eastAsia" w:ascii="仿宋" w:hAnsi="仿宋" w:eastAsia="仿宋" w:cs="仿宋"/>
                <w:color w:val="auto"/>
                <w:highlight w:val="none"/>
              </w:rPr>
            </w:pPr>
          </w:p>
        </w:tc>
        <w:tc>
          <w:tcPr>
            <w:tcW w:w="2206" w:type="dxa"/>
            <w:vAlign w:val="center"/>
          </w:tcPr>
          <w:p>
            <w:pPr>
              <w:pStyle w:val="100"/>
              <w:spacing w:line="360" w:lineRule="auto"/>
              <w:jc w:val="center"/>
              <w:rPr>
                <w:rFonts w:hint="eastAsia"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755" w:type="dxa"/>
            <w:vAlign w:val="center"/>
          </w:tcPr>
          <w:p>
            <w:pPr>
              <w:pStyle w:val="100"/>
              <w:spacing w:line="360" w:lineRule="auto"/>
              <w:jc w:val="center"/>
              <w:rPr>
                <w:rFonts w:hint="eastAsia" w:ascii="仿宋" w:hAnsi="仿宋" w:eastAsia="仿宋" w:cs="仿宋"/>
                <w:color w:val="auto"/>
                <w:highlight w:val="none"/>
              </w:rPr>
            </w:pPr>
          </w:p>
        </w:tc>
        <w:tc>
          <w:tcPr>
            <w:tcW w:w="2410" w:type="dxa"/>
            <w:vAlign w:val="center"/>
          </w:tcPr>
          <w:p>
            <w:pPr>
              <w:pStyle w:val="100"/>
              <w:spacing w:line="360" w:lineRule="auto"/>
              <w:jc w:val="center"/>
              <w:rPr>
                <w:rFonts w:hint="eastAsia" w:ascii="仿宋" w:hAnsi="仿宋" w:eastAsia="仿宋" w:cs="仿宋"/>
                <w:color w:val="auto"/>
                <w:highlight w:val="none"/>
              </w:rPr>
            </w:pPr>
          </w:p>
        </w:tc>
        <w:tc>
          <w:tcPr>
            <w:tcW w:w="1812" w:type="dxa"/>
            <w:vAlign w:val="center"/>
          </w:tcPr>
          <w:p>
            <w:pPr>
              <w:pStyle w:val="100"/>
              <w:spacing w:line="360" w:lineRule="auto"/>
              <w:jc w:val="center"/>
              <w:rPr>
                <w:rFonts w:hint="eastAsia" w:ascii="仿宋" w:hAnsi="仿宋" w:eastAsia="仿宋" w:cs="仿宋"/>
                <w:color w:val="auto"/>
                <w:highlight w:val="none"/>
              </w:rPr>
            </w:pPr>
          </w:p>
        </w:tc>
        <w:tc>
          <w:tcPr>
            <w:tcW w:w="2009" w:type="dxa"/>
            <w:vAlign w:val="center"/>
          </w:tcPr>
          <w:p>
            <w:pPr>
              <w:pStyle w:val="100"/>
              <w:spacing w:line="360" w:lineRule="auto"/>
              <w:jc w:val="center"/>
              <w:rPr>
                <w:rFonts w:hint="eastAsia" w:ascii="仿宋" w:hAnsi="仿宋" w:eastAsia="仿宋" w:cs="仿宋"/>
                <w:color w:val="auto"/>
                <w:highlight w:val="none"/>
              </w:rPr>
            </w:pPr>
          </w:p>
        </w:tc>
        <w:tc>
          <w:tcPr>
            <w:tcW w:w="2206" w:type="dxa"/>
            <w:vAlign w:val="center"/>
          </w:tcPr>
          <w:p>
            <w:pPr>
              <w:pStyle w:val="100"/>
              <w:spacing w:line="360" w:lineRule="auto"/>
              <w:jc w:val="center"/>
              <w:rPr>
                <w:rFonts w:hint="eastAsia" w:ascii="仿宋" w:hAnsi="仿宋" w:eastAsia="仿宋" w:cs="仿宋"/>
                <w:color w:val="auto"/>
                <w:highlight w:val="none"/>
              </w:rPr>
            </w:pPr>
          </w:p>
        </w:tc>
      </w:tr>
    </w:tbl>
    <w:p>
      <w:pPr>
        <w:spacing w:line="360" w:lineRule="auto"/>
        <w:ind w:left="569" w:leftChars="171" w:hanging="210" w:hangingChars="100"/>
        <w:rPr>
          <w:rFonts w:hint="eastAsia" w:ascii="仿宋" w:hAnsi="仿宋" w:eastAsia="仿宋" w:cs="仿宋"/>
          <w:color w:val="auto"/>
          <w:highlight w:val="none"/>
        </w:rPr>
      </w:pPr>
    </w:p>
    <w:p>
      <w:pPr>
        <w:spacing w:line="360" w:lineRule="auto"/>
        <w:ind w:left="599" w:leftChars="171" w:hanging="240" w:hanging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w:t>
      </w:r>
    </w:p>
    <w:p>
      <w:pPr>
        <w:spacing w:line="360" w:lineRule="auto"/>
        <w:ind w:left="599" w:leftChars="171" w:hanging="240" w:hanging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1.供应商必须把采购项目第五章的</w:t>
      </w:r>
      <w:r>
        <w:rPr>
          <w:rFonts w:hint="eastAsia" w:ascii="仿宋" w:hAnsi="仿宋" w:eastAsia="仿宋" w:cs="仿宋"/>
          <w:b/>
          <w:bCs/>
          <w:color w:val="auto"/>
          <w:sz w:val="24"/>
          <w:szCs w:val="24"/>
          <w:highlight w:val="none"/>
          <w:u w:val="single"/>
        </w:rPr>
        <w:t>技术、服务、合同内容条款及其他商务要求等</w:t>
      </w:r>
      <w:r>
        <w:rPr>
          <w:rFonts w:hint="eastAsia" w:ascii="仿宋" w:hAnsi="仿宋" w:eastAsia="仿宋" w:cs="仿宋"/>
          <w:color w:val="auto"/>
          <w:sz w:val="24"/>
          <w:szCs w:val="24"/>
          <w:highlight w:val="none"/>
        </w:rPr>
        <w:t>列入此表，如未填写，视为供应商无条件响应</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要求。</w:t>
      </w:r>
    </w:p>
    <w:p>
      <w:pPr>
        <w:spacing w:line="360" w:lineRule="auto"/>
        <w:ind w:left="599" w:leftChars="171" w:hanging="240" w:hanging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2．按照采购项目服务要求的顺序对应填写。</w:t>
      </w:r>
    </w:p>
    <w:p>
      <w:pPr>
        <w:spacing w:line="360" w:lineRule="auto"/>
        <w:ind w:left="599" w:leftChars="171" w:hanging="240" w:hanging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3．供应商必须据实填写，不得虚假响应，其</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无效并按规定追究其相关责任。</w:t>
      </w:r>
    </w:p>
    <w:p>
      <w:pPr>
        <w:adjustRightInd w:val="0"/>
        <w:spacing w:line="360" w:lineRule="auto"/>
        <w:ind w:firstLine="420" w:firstLineChars="175"/>
        <w:rPr>
          <w:rFonts w:hint="eastAsia" w:ascii="仿宋" w:hAnsi="仿宋" w:eastAsia="仿宋" w:cs="仿宋"/>
          <w:color w:val="auto"/>
          <w:sz w:val="24"/>
          <w:szCs w:val="24"/>
          <w:highlight w:val="none"/>
        </w:rPr>
      </w:pPr>
    </w:p>
    <w:p>
      <w:pPr>
        <w:adjustRightInd w:val="0"/>
        <w:spacing w:line="360" w:lineRule="auto"/>
        <w:ind w:firstLine="420" w:firstLineChars="175"/>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供应商名称（盖章）：XXXXXXX </w:t>
      </w:r>
    </w:p>
    <w:p>
      <w:pPr>
        <w:adjustRightInd w:val="0"/>
        <w:spacing w:line="360" w:lineRule="auto"/>
        <w:ind w:firstLine="420" w:firstLineChars="175"/>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法定代表人或授权代表（签字或盖章）：</w:t>
      </w:r>
    </w:p>
    <w:p>
      <w:pPr>
        <w:adjustRightInd w:val="0"/>
        <w:spacing w:line="360" w:lineRule="auto"/>
        <w:ind w:firstLine="420" w:firstLineChars="175"/>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日期:XXXXXX</w:t>
      </w:r>
    </w:p>
    <w:p>
      <w:pPr>
        <w:pStyle w:val="2"/>
        <w:spacing w:before="0" w:after="0" w:line="360" w:lineRule="auto"/>
        <w:jc w:val="center"/>
        <w:rPr>
          <w:rFonts w:hint="eastAsia" w:ascii="仿宋" w:hAnsi="仿宋" w:eastAsia="仿宋" w:cs="仿宋"/>
          <w:b w:val="0"/>
          <w:bCs w:val="0"/>
          <w:color w:val="auto"/>
          <w:highlight w:val="none"/>
        </w:rPr>
      </w:pPr>
      <w:r>
        <w:rPr>
          <w:rFonts w:hint="eastAsia" w:ascii="仿宋" w:hAnsi="仿宋" w:eastAsia="仿宋" w:cs="仿宋"/>
          <w:b w:val="0"/>
          <w:bCs w:val="0"/>
          <w:color w:val="auto"/>
          <w:highlight w:val="none"/>
        </w:rPr>
        <w:br w:type="page"/>
      </w:r>
      <w:r>
        <w:rPr>
          <w:rFonts w:hint="eastAsia" w:ascii="仿宋" w:hAnsi="仿宋" w:eastAsia="仿宋" w:cs="仿宋"/>
          <w:b w:val="0"/>
          <w:bCs w:val="0"/>
          <w:color w:val="auto"/>
          <w:highlight w:val="none"/>
        </w:rPr>
        <w:t>六、供应商类似项目业绩一览表</w:t>
      </w:r>
    </w:p>
    <w:tbl>
      <w:tblPr>
        <w:tblStyle w:val="25"/>
        <w:tblW w:w="911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883"/>
        <w:gridCol w:w="1772"/>
        <w:gridCol w:w="1623"/>
        <w:gridCol w:w="1427"/>
        <w:gridCol w:w="1741"/>
        <w:gridCol w:w="7"/>
        <w:gridCol w:w="1639"/>
        <w:gridCol w:w="2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83" w:type="dxa"/>
            <w:tcBorders>
              <w:top w:val="single" w:color="auto" w:sz="4" w:space="0"/>
            </w:tcBorders>
            <w:vAlign w:val="center"/>
          </w:tcPr>
          <w:p>
            <w:pPr>
              <w:spacing w:line="360" w:lineRule="auto"/>
              <w:ind w:firstLine="120" w:firstLineChars="5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年份</w:t>
            </w:r>
          </w:p>
        </w:tc>
        <w:tc>
          <w:tcPr>
            <w:tcW w:w="1772" w:type="dxa"/>
            <w:tcBorders>
              <w:top w:val="single" w:color="auto" w:sz="4" w:space="0"/>
            </w:tcBorders>
            <w:vAlign w:val="center"/>
          </w:tcPr>
          <w:p>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用户名称</w:t>
            </w:r>
          </w:p>
        </w:tc>
        <w:tc>
          <w:tcPr>
            <w:tcW w:w="1623" w:type="dxa"/>
            <w:tcBorders>
              <w:top w:val="single" w:color="auto" w:sz="4" w:space="0"/>
            </w:tcBorders>
            <w:vAlign w:val="center"/>
          </w:tcPr>
          <w:p>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项目名称</w:t>
            </w:r>
          </w:p>
        </w:tc>
        <w:tc>
          <w:tcPr>
            <w:tcW w:w="1427" w:type="dxa"/>
            <w:tcBorders>
              <w:top w:val="single" w:color="auto" w:sz="4" w:space="0"/>
            </w:tcBorders>
            <w:vAlign w:val="center"/>
          </w:tcPr>
          <w:p>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完成时间</w:t>
            </w:r>
          </w:p>
        </w:tc>
        <w:tc>
          <w:tcPr>
            <w:tcW w:w="1748" w:type="dxa"/>
            <w:gridSpan w:val="2"/>
            <w:tcBorders>
              <w:top w:val="single" w:color="auto" w:sz="4" w:space="0"/>
            </w:tcBorders>
            <w:vAlign w:val="center"/>
          </w:tcPr>
          <w:p>
            <w:pPr>
              <w:spacing w:line="360" w:lineRule="auto"/>
              <w:ind w:firstLine="120" w:firstLineChars="50"/>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合同金额</w:t>
            </w:r>
          </w:p>
        </w:tc>
        <w:tc>
          <w:tcPr>
            <w:tcW w:w="1659" w:type="dxa"/>
            <w:gridSpan w:val="2"/>
            <w:tcBorders>
              <w:top w:val="single" w:color="auto" w:sz="4" w:space="0"/>
              <w:left w:val="single" w:color="auto" w:sz="4" w:space="0"/>
            </w:tcBorders>
            <w:vAlign w:val="center"/>
          </w:tcPr>
          <w:p>
            <w:pPr>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83" w:type="dxa"/>
            <w:vAlign w:val="center"/>
          </w:tcPr>
          <w:p>
            <w:pPr>
              <w:spacing w:line="360" w:lineRule="auto"/>
              <w:jc w:val="center"/>
              <w:rPr>
                <w:rFonts w:hint="eastAsia" w:ascii="仿宋" w:hAnsi="仿宋" w:eastAsia="仿宋" w:cs="仿宋"/>
                <w:color w:val="auto"/>
                <w:sz w:val="24"/>
                <w:szCs w:val="24"/>
                <w:highlight w:val="none"/>
              </w:rPr>
            </w:pPr>
          </w:p>
        </w:tc>
        <w:tc>
          <w:tcPr>
            <w:tcW w:w="1772" w:type="dxa"/>
            <w:vAlign w:val="center"/>
          </w:tcPr>
          <w:p>
            <w:pPr>
              <w:spacing w:line="360" w:lineRule="auto"/>
              <w:jc w:val="center"/>
              <w:rPr>
                <w:rFonts w:hint="eastAsia" w:ascii="仿宋" w:hAnsi="仿宋" w:eastAsia="仿宋" w:cs="仿宋"/>
                <w:color w:val="auto"/>
                <w:sz w:val="24"/>
                <w:szCs w:val="24"/>
                <w:highlight w:val="none"/>
              </w:rPr>
            </w:pPr>
          </w:p>
        </w:tc>
        <w:tc>
          <w:tcPr>
            <w:tcW w:w="1623" w:type="dxa"/>
            <w:vAlign w:val="center"/>
          </w:tcPr>
          <w:p>
            <w:pPr>
              <w:spacing w:line="360" w:lineRule="auto"/>
              <w:jc w:val="center"/>
              <w:rPr>
                <w:rFonts w:hint="eastAsia" w:ascii="仿宋" w:hAnsi="仿宋" w:eastAsia="仿宋" w:cs="仿宋"/>
                <w:color w:val="auto"/>
                <w:sz w:val="24"/>
                <w:szCs w:val="24"/>
                <w:highlight w:val="none"/>
              </w:rPr>
            </w:pPr>
          </w:p>
        </w:tc>
        <w:tc>
          <w:tcPr>
            <w:tcW w:w="1427" w:type="dxa"/>
            <w:vAlign w:val="center"/>
          </w:tcPr>
          <w:p>
            <w:pPr>
              <w:spacing w:line="360" w:lineRule="auto"/>
              <w:jc w:val="center"/>
              <w:rPr>
                <w:rFonts w:hint="eastAsia" w:ascii="仿宋" w:hAnsi="仿宋" w:eastAsia="仿宋" w:cs="仿宋"/>
                <w:color w:val="auto"/>
                <w:sz w:val="24"/>
                <w:szCs w:val="24"/>
                <w:highlight w:val="none"/>
              </w:rPr>
            </w:pPr>
          </w:p>
        </w:tc>
        <w:tc>
          <w:tcPr>
            <w:tcW w:w="1748" w:type="dxa"/>
            <w:gridSpan w:val="2"/>
            <w:vAlign w:val="center"/>
          </w:tcPr>
          <w:p>
            <w:pPr>
              <w:spacing w:line="360" w:lineRule="auto"/>
              <w:jc w:val="center"/>
              <w:rPr>
                <w:rFonts w:hint="eastAsia" w:ascii="仿宋" w:hAnsi="仿宋" w:eastAsia="仿宋" w:cs="仿宋"/>
                <w:color w:val="auto"/>
                <w:sz w:val="24"/>
                <w:szCs w:val="24"/>
                <w:highlight w:val="none"/>
              </w:rPr>
            </w:pPr>
          </w:p>
        </w:tc>
        <w:tc>
          <w:tcPr>
            <w:tcW w:w="1659" w:type="dxa"/>
            <w:gridSpan w:val="2"/>
            <w:tcBorders>
              <w:left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83" w:type="dxa"/>
            <w:vAlign w:val="center"/>
          </w:tcPr>
          <w:p>
            <w:pPr>
              <w:spacing w:line="360" w:lineRule="auto"/>
              <w:jc w:val="center"/>
              <w:rPr>
                <w:rFonts w:hint="eastAsia" w:ascii="仿宋" w:hAnsi="仿宋" w:eastAsia="仿宋" w:cs="仿宋"/>
                <w:color w:val="auto"/>
                <w:sz w:val="24"/>
                <w:szCs w:val="24"/>
                <w:highlight w:val="none"/>
              </w:rPr>
            </w:pPr>
          </w:p>
        </w:tc>
        <w:tc>
          <w:tcPr>
            <w:tcW w:w="1772" w:type="dxa"/>
            <w:vAlign w:val="center"/>
          </w:tcPr>
          <w:p>
            <w:pPr>
              <w:spacing w:line="360" w:lineRule="auto"/>
              <w:jc w:val="center"/>
              <w:rPr>
                <w:rFonts w:hint="eastAsia" w:ascii="仿宋" w:hAnsi="仿宋" w:eastAsia="仿宋" w:cs="仿宋"/>
                <w:color w:val="auto"/>
                <w:sz w:val="24"/>
                <w:szCs w:val="24"/>
                <w:highlight w:val="none"/>
              </w:rPr>
            </w:pPr>
          </w:p>
        </w:tc>
        <w:tc>
          <w:tcPr>
            <w:tcW w:w="1623" w:type="dxa"/>
            <w:vAlign w:val="center"/>
          </w:tcPr>
          <w:p>
            <w:pPr>
              <w:spacing w:line="360" w:lineRule="auto"/>
              <w:jc w:val="center"/>
              <w:rPr>
                <w:rFonts w:hint="eastAsia" w:ascii="仿宋" w:hAnsi="仿宋" w:eastAsia="仿宋" w:cs="仿宋"/>
                <w:color w:val="auto"/>
                <w:sz w:val="24"/>
                <w:szCs w:val="24"/>
                <w:highlight w:val="none"/>
              </w:rPr>
            </w:pPr>
          </w:p>
        </w:tc>
        <w:tc>
          <w:tcPr>
            <w:tcW w:w="1427" w:type="dxa"/>
            <w:vAlign w:val="center"/>
          </w:tcPr>
          <w:p>
            <w:pPr>
              <w:spacing w:line="360" w:lineRule="auto"/>
              <w:jc w:val="center"/>
              <w:rPr>
                <w:rFonts w:hint="eastAsia" w:ascii="仿宋" w:hAnsi="仿宋" w:eastAsia="仿宋" w:cs="仿宋"/>
                <w:color w:val="auto"/>
                <w:sz w:val="24"/>
                <w:szCs w:val="24"/>
                <w:highlight w:val="none"/>
              </w:rPr>
            </w:pPr>
          </w:p>
        </w:tc>
        <w:tc>
          <w:tcPr>
            <w:tcW w:w="1748" w:type="dxa"/>
            <w:gridSpan w:val="2"/>
            <w:vAlign w:val="center"/>
          </w:tcPr>
          <w:p>
            <w:pPr>
              <w:spacing w:line="360" w:lineRule="auto"/>
              <w:jc w:val="center"/>
              <w:rPr>
                <w:rFonts w:hint="eastAsia" w:ascii="仿宋" w:hAnsi="仿宋" w:eastAsia="仿宋" w:cs="仿宋"/>
                <w:color w:val="auto"/>
                <w:sz w:val="24"/>
                <w:szCs w:val="24"/>
                <w:highlight w:val="none"/>
              </w:rPr>
            </w:pPr>
          </w:p>
        </w:tc>
        <w:tc>
          <w:tcPr>
            <w:tcW w:w="1659" w:type="dxa"/>
            <w:gridSpan w:val="2"/>
            <w:tcBorders>
              <w:left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83" w:type="dxa"/>
            <w:vAlign w:val="center"/>
          </w:tcPr>
          <w:p>
            <w:pPr>
              <w:spacing w:line="360" w:lineRule="auto"/>
              <w:jc w:val="center"/>
              <w:rPr>
                <w:rFonts w:hint="eastAsia" w:ascii="仿宋" w:hAnsi="仿宋" w:eastAsia="仿宋" w:cs="仿宋"/>
                <w:color w:val="auto"/>
                <w:sz w:val="24"/>
                <w:szCs w:val="24"/>
                <w:highlight w:val="none"/>
              </w:rPr>
            </w:pPr>
          </w:p>
        </w:tc>
        <w:tc>
          <w:tcPr>
            <w:tcW w:w="1772" w:type="dxa"/>
            <w:vAlign w:val="center"/>
          </w:tcPr>
          <w:p>
            <w:pPr>
              <w:spacing w:line="360" w:lineRule="auto"/>
              <w:jc w:val="center"/>
              <w:rPr>
                <w:rFonts w:hint="eastAsia" w:ascii="仿宋" w:hAnsi="仿宋" w:eastAsia="仿宋" w:cs="仿宋"/>
                <w:color w:val="auto"/>
                <w:sz w:val="24"/>
                <w:szCs w:val="24"/>
                <w:highlight w:val="none"/>
              </w:rPr>
            </w:pPr>
          </w:p>
        </w:tc>
        <w:tc>
          <w:tcPr>
            <w:tcW w:w="1623" w:type="dxa"/>
            <w:vAlign w:val="center"/>
          </w:tcPr>
          <w:p>
            <w:pPr>
              <w:spacing w:line="360" w:lineRule="auto"/>
              <w:jc w:val="center"/>
              <w:rPr>
                <w:rFonts w:hint="eastAsia" w:ascii="仿宋" w:hAnsi="仿宋" w:eastAsia="仿宋" w:cs="仿宋"/>
                <w:color w:val="auto"/>
                <w:sz w:val="24"/>
                <w:szCs w:val="24"/>
                <w:highlight w:val="none"/>
              </w:rPr>
            </w:pPr>
          </w:p>
        </w:tc>
        <w:tc>
          <w:tcPr>
            <w:tcW w:w="1427" w:type="dxa"/>
            <w:vAlign w:val="center"/>
          </w:tcPr>
          <w:p>
            <w:pPr>
              <w:spacing w:line="360" w:lineRule="auto"/>
              <w:jc w:val="center"/>
              <w:rPr>
                <w:rFonts w:hint="eastAsia" w:ascii="仿宋" w:hAnsi="仿宋" w:eastAsia="仿宋" w:cs="仿宋"/>
                <w:color w:val="auto"/>
                <w:sz w:val="24"/>
                <w:szCs w:val="24"/>
                <w:highlight w:val="none"/>
              </w:rPr>
            </w:pPr>
          </w:p>
        </w:tc>
        <w:tc>
          <w:tcPr>
            <w:tcW w:w="1748" w:type="dxa"/>
            <w:gridSpan w:val="2"/>
            <w:vAlign w:val="center"/>
          </w:tcPr>
          <w:p>
            <w:pPr>
              <w:spacing w:line="360" w:lineRule="auto"/>
              <w:jc w:val="center"/>
              <w:rPr>
                <w:rFonts w:hint="eastAsia" w:ascii="仿宋" w:hAnsi="仿宋" w:eastAsia="仿宋" w:cs="仿宋"/>
                <w:color w:val="auto"/>
                <w:sz w:val="24"/>
                <w:szCs w:val="24"/>
                <w:highlight w:val="none"/>
              </w:rPr>
            </w:pPr>
          </w:p>
        </w:tc>
        <w:tc>
          <w:tcPr>
            <w:tcW w:w="1659" w:type="dxa"/>
            <w:gridSpan w:val="2"/>
            <w:tcBorders>
              <w:left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83" w:type="dxa"/>
            <w:vAlign w:val="center"/>
          </w:tcPr>
          <w:p>
            <w:pPr>
              <w:spacing w:line="360" w:lineRule="auto"/>
              <w:jc w:val="center"/>
              <w:rPr>
                <w:rFonts w:hint="eastAsia" w:ascii="仿宋" w:hAnsi="仿宋" w:eastAsia="仿宋" w:cs="仿宋"/>
                <w:color w:val="auto"/>
                <w:sz w:val="24"/>
                <w:szCs w:val="24"/>
                <w:highlight w:val="none"/>
              </w:rPr>
            </w:pPr>
          </w:p>
        </w:tc>
        <w:tc>
          <w:tcPr>
            <w:tcW w:w="1772" w:type="dxa"/>
            <w:tcBorders>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1623" w:type="dxa"/>
            <w:tcBorders>
              <w:left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1427" w:type="dxa"/>
            <w:vAlign w:val="center"/>
          </w:tcPr>
          <w:p>
            <w:pPr>
              <w:spacing w:line="360" w:lineRule="auto"/>
              <w:jc w:val="center"/>
              <w:rPr>
                <w:rFonts w:hint="eastAsia" w:ascii="仿宋" w:hAnsi="仿宋" w:eastAsia="仿宋" w:cs="仿宋"/>
                <w:color w:val="auto"/>
                <w:sz w:val="24"/>
                <w:szCs w:val="24"/>
                <w:highlight w:val="none"/>
              </w:rPr>
            </w:pPr>
          </w:p>
        </w:tc>
        <w:tc>
          <w:tcPr>
            <w:tcW w:w="1748" w:type="dxa"/>
            <w:gridSpan w:val="2"/>
            <w:vAlign w:val="center"/>
          </w:tcPr>
          <w:p>
            <w:pPr>
              <w:spacing w:line="360" w:lineRule="auto"/>
              <w:jc w:val="center"/>
              <w:rPr>
                <w:rFonts w:hint="eastAsia" w:ascii="仿宋" w:hAnsi="仿宋" w:eastAsia="仿宋" w:cs="仿宋"/>
                <w:color w:val="auto"/>
                <w:sz w:val="24"/>
                <w:szCs w:val="24"/>
                <w:highlight w:val="none"/>
              </w:rPr>
            </w:pPr>
          </w:p>
        </w:tc>
        <w:tc>
          <w:tcPr>
            <w:tcW w:w="1659" w:type="dxa"/>
            <w:gridSpan w:val="2"/>
            <w:tcBorders>
              <w:left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20" w:type="dxa"/>
          <w:cantSplit/>
          <w:trHeight w:val="600" w:hRule="atLeast"/>
          <w:jc w:val="center"/>
        </w:trPr>
        <w:tc>
          <w:tcPr>
            <w:tcW w:w="883" w:type="dxa"/>
            <w:tcBorders>
              <w:right w:val="single" w:color="auto" w:sz="4" w:space="0"/>
            </w:tcBorders>
            <w:vAlign w:val="center"/>
          </w:tcPr>
          <w:p>
            <w:pPr>
              <w:spacing w:line="360" w:lineRule="auto"/>
              <w:rPr>
                <w:rFonts w:hint="eastAsia" w:ascii="仿宋" w:hAnsi="仿宋" w:eastAsia="仿宋" w:cs="仿宋"/>
                <w:color w:val="auto"/>
                <w:sz w:val="24"/>
                <w:szCs w:val="24"/>
                <w:highlight w:val="none"/>
              </w:rPr>
            </w:pPr>
          </w:p>
        </w:tc>
        <w:tc>
          <w:tcPr>
            <w:tcW w:w="1772" w:type="dxa"/>
            <w:tcBorders>
              <w:left w:val="single" w:color="auto" w:sz="4" w:space="0"/>
              <w:right w:val="single" w:color="auto" w:sz="4" w:space="0"/>
            </w:tcBorders>
            <w:vAlign w:val="center"/>
          </w:tcPr>
          <w:p>
            <w:pPr>
              <w:spacing w:line="360" w:lineRule="auto"/>
              <w:rPr>
                <w:rFonts w:hint="eastAsia" w:ascii="仿宋" w:hAnsi="仿宋" w:eastAsia="仿宋" w:cs="仿宋"/>
                <w:color w:val="auto"/>
                <w:sz w:val="24"/>
                <w:szCs w:val="24"/>
                <w:highlight w:val="none"/>
              </w:rPr>
            </w:pPr>
          </w:p>
        </w:tc>
        <w:tc>
          <w:tcPr>
            <w:tcW w:w="1623" w:type="dxa"/>
            <w:tcBorders>
              <w:left w:val="single" w:color="auto" w:sz="4" w:space="0"/>
              <w:right w:val="single" w:color="auto" w:sz="4" w:space="0"/>
            </w:tcBorders>
            <w:vAlign w:val="center"/>
          </w:tcPr>
          <w:p>
            <w:pPr>
              <w:spacing w:line="360" w:lineRule="auto"/>
              <w:rPr>
                <w:rFonts w:hint="eastAsia" w:ascii="仿宋" w:hAnsi="仿宋" w:eastAsia="仿宋" w:cs="仿宋"/>
                <w:color w:val="auto"/>
                <w:sz w:val="24"/>
                <w:szCs w:val="24"/>
                <w:highlight w:val="none"/>
              </w:rPr>
            </w:pPr>
          </w:p>
        </w:tc>
        <w:tc>
          <w:tcPr>
            <w:tcW w:w="1427" w:type="dxa"/>
            <w:tcBorders>
              <w:left w:val="single" w:color="auto" w:sz="4" w:space="0"/>
              <w:right w:val="single" w:color="auto" w:sz="4" w:space="0"/>
            </w:tcBorders>
            <w:vAlign w:val="center"/>
          </w:tcPr>
          <w:p>
            <w:pPr>
              <w:spacing w:line="360" w:lineRule="auto"/>
              <w:rPr>
                <w:rFonts w:hint="eastAsia" w:ascii="仿宋" w:hAnsi="仿宋" w:eastAsia="仿宋" w:cs="仿宋"/>
                <w:color w:val="auto"/>
                <w:sz w:val="24"/>
                <w:szCs w:val="24"/>
                <w:highlight w:val="none"/>
              </w:rPr>
            </w:pPr>
          </w:p>
        </w:tc>
        <w:tc>
          <w:tcPr>
            <w:tcW w:w="1741" w:type="dxa"/>
            <w:tcBorders>
              <w:left w:val="single" w:color="auto" w:sz="4" w:space="0"/>
              <w:right w:val="single" w:color="auto" w:sz="4" w:space="0"/>
            </w:tcBorders>
            <w:vAlign w:val="center"/>
          </w:tcPr>
          <w:p>
            <w:pPr>
              <w:spacing w:line="360" w:lineRule="auto"/>
              <w:rPr>
                <w:rFonts w:hint="eastAsia" w:ascii="仿宋" w:hAnsi="仿宋" w:eastAsia="仿宋" w:cs="仿宋"/>
                <w:color w:val="auto"/>
                <w:sz w:val="24"/>
                <w:szCs w:val="24"/>
                <w:highlight w:val="none"/>
              </w:rPr>
            </w:pPr>
          </w:p>
        </w:tc>
        <w:tc>
          <w:tcPr>
            <w:tcW w:w="1646" w:type="dxa"/>
            <w:gridSpan w:val="2"/>
            <w:tcBorders>
              <w:left w:val="single" w:color="auto" w:sz="4" w:space="0"/>
            </w:tcBorders>
            <w:vAlign w:val="center"/>
          </w:tcPr>
          <w:p>
            <w:pPr>
              <w:spacing w:line="360" w:lineRule="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83" w:type="dxa"/>
            <w:vAlign w:val="center"/>
          </w:tcPr>
          <w:p>
            <w:pPr>
              <w:spacing w:line="360" w:lineRule="auto"/>
              <w:rPr>
                <w:rFonts w:hint="eastAsia" w:ascii="仿宋" w:hAnsi="仿宋" w:eastAsia="仿宋" w:cs="仿宋"/>
                <w:color w:val="auto"/>
                <w:sz w:val="24"/>
                <w:szCs w:val="24"/>
                <w:highlight w:val="none"/>
              </w:rPr>
            </w:pPr>
          </w:p>
        </w:tc>
        <w:tc>
          <w:tcPr>
            <w:tcW w:w="1772" w:type="dxa"/>
            <w:vAlign w:val="center"/>
          </w:tcPr>
          <w:p>
            <w:pPr>
              <w:spacing w:line="360" w:lineRule="auto"/>
              <w:rPr>
                <w:rFonts w:hint="eastAsia" w:ascii="仿宋" w:hAnsi="仿宋" w:eastAsia="仿宋" w:cs="仿宋"/>
                <w:color w:val="auto"/>
                <w:sz w:val="24"/>
                <w:szCs w:val="24"/>
                <w:highlight w:val="none"/>
              </w:rPr>
            </w:pPr>
          </w:p>
        </w:tc>
        <w:tc>
          <w:tcPr>
            <w:tcW w:w="1623" w:type="dxa"/>
            <w:vAlign w:val="center"/>
          </w:tcPr>
          <w:p>
            <w:pPr>
              <w:spacing w:line="360" w:lineRule="auto"/>
              <w:rPr>
                <w:rFonts w:hint="eastAsia" w:ascii="仿宋" w:hAnsi="仿宋" w:eastAsia="仿宋" w:cs="仿宋"/>
                <w:color w:val="auto"/>
                <w:sz w:val="24"/>
                <w:szCs w:val="24"/>
                <w:highlight w:val="none"/>
              </w:rPr>
            </w:pPr>
          </w:p>
        </w:tc>
        <w:tc>
          <w:tcPr>
            <w:tcW w:w="1427" w:type="dxa"/>
            <w:vAlign w:val="center"/>
          </w:tcPr>
          <w:p>
            <w:pPr>
              <w:spacing w:line="360" w:lineRule="auto"/>
              <w:rPr>
                <w:rFonts w:hint="eastAsia" w:ascii="仿宋" w:hAnsi="仿宋" w:eastAsia="仿宋" w:cs="仿宋"/>
                <w:color w:val="auto"/>
                <w:sz w:val="24"/>
                <w:szCs w:val="24"/>
                <w:highlight w:val="none"/>
              </w:rPr>
            </w:pPr>
          </w:p>
        </w:tc>
        <w:tc>
          <w:tcPr>
            <w:tcW w:w="1748" w:type="dxa"/>
            <w:gridSpan w:val="2"/>
            <w:tcBorders>
              <w:right w:val="single" w:color="auto" w:sz="4" w:space="0"/>
            </w:tcBorders>
            <w:vAlign w:val="center"/>
          </w:tcPr>
          <w:p>
            <w:pPr>
              <w:spacing w:line="360" w:lineRule="auto"/>
              <w:rPr>
                <w:rFonts w:hint="eastAsia" w:ascii="仿宋" w:hAnsi="仿宋" w:eastAsia="仿宋" w:cs="仿宋"/>
                <w:color w:val="auto"/>
                <w:sz w:val="24"/>
                <w:szCs w:val="24"/>
                <w:highlight w:val="none"/>
              </w:rPr>
            </w:pPr>
          </w:p>
        </w:tc>
        <w:tc>
          <w:tcPr>
            <w:tcW w:w="1659" w:type="dxa"/>
            <w:gridSpan w:val="2"/>
            <w:tcBorders>
              <w:left w:val="single" w:color="auto" w:sz="4" w:space="0"/>
            </w:tcBorders>
            <w:vAlign w:val="center"/>
          </w:tcPr>
          <w:p>
            <w:pPr>
              <w:spacing w:line="360" w:lineRule="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83" w:type="dxa"/>
            <w:vAlign w:val="center"/>
          </w:tcPr>
          <w:p>
            <w:pPr>
              <w:spacing w:line="360" w:lineRule="auto"/>
              <w:jc w:val="center"/>
              <w:rPr>
                <w:rFonts w:hint="eastAsia" w:ascii="仿宋" w:hAnsi="仿宋" w:eastAsia="仿宋" w:cs="仿宋"/>
                <w:color w:val="auto"/>
                <w:sz w:val="24"/>
                <w:szCs w:val="24"/>
                <w:highlight w:val="none"/>
              </w:rPr>
            </w:pPr>
          </w:p>
        </w:tc>
        <w:tc>
          <w:tcPr>
            <w:tcW w:w="1772" w:type="dxa"/>
            <w:vAlign w:val="center"/>
          </w:tcPr>
          <w:p>
            <w:pPr>
              <w:spacing w:line="360" w:lineRule="auto"/>
              <w:jc w:val="center"/>
              <w:rPr>
                <w:rFonts w:hint="eastAsia" w:ascii="仿宋" w:hAnsi="仿宋" w:eastAsia="仿宋" w:cs="仿宋"/>
                <w:color w:val="auto"/>
                <w:sz w:val="24"/>
                <w:szCs w:val="24"/>
                <w:highlight w:val="none"/>
              </w:rPr>
            </w:pPr>
          </w:p>
        </w:tc>
        <w:tc>
          <w:tcPr>
            <w:tcW w:w="1623" w:type="dxa"/>
            <w:vAlign w:val="center"/>
          </w:tcPr>
          <w:p>
            <w:pPr>
              <w:spacing w:line="360" w:lineRule="auto"/>
              <w:jc w:val="center"/>
              <w:rPr>
                <w:rFonts w:hint="eastAsia" w:ascii="仿宋" w:hAnsi="仿宋" w:eastAsia="仿宋" w:cs="仿宋"/>
                <w:color w:val="auto"/>
                <w:sz w:val="24"/>
                <w:szCs w:val="24"/>
                <w:highlight w:val="none"/>
              </w:rPr>
            </w:pPr>
          </w:p>
        </w:tc>
        <w:tc>
          <w:tcPr>
            <w:tcW w:w="1427" w:type="dxa"/>
            <w:vAlign w:val="center"/>
          </w:tcPr>
          <w:p>
            <w:pPr>
              <w:spacing w:line="360" w:lineRule="auto"/>
              <w:jc w:val="center"/>
              <w:rPr>
                <w:rFonts w:hint="eastAsia" w:ascii="仿宋" w:hAnsi="仿宋" w:eastAsia="仿宋" w:cs="仿宋"/>
                <w:color w:val="auto"/>
                <w:sz w:val="24"/>
                <w:szCs w:val="24"/>
                <w:highlight w:val="none"/>
              </w:rPr>
            </w:pPr>
          </w:p>
        </w:tc>
        <w:tc>
          <w:tcPr>
            <w:tcW w:w="1748" w:type="dxa"/>
            <w:gridSpan w:val="2"/>
            <w:tcBorders>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1659" w:type="dxa"/>
            <w:gridSpan w:val="2"/>
            <w:tcBorders>
              <w:left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883" w:type="dxa"/>
            <w:vAlign w:val="center"/>
          </w:tcPr>
          <w:p>
            <w:pPr>
              <w:spacing w:line="360" w:lineRule="auto"/>
              <w:jc w:val="center"/>
              <w:rPr>
                <w:rFonts w:hint="eastAsia" w:ascii="仿宋" w:hAnsi="仿宋" w:eastAsia="仿宋" w:cs="仿宋"/>
                <w:color w:val="auto"/>
                <w:sz w:val="24"/>
                <w:szCs w:val="24"/>
                <w:highlight w:val="none"/>
              </w:rPr>
            </w:pPr>
          </w:p>
        </w:tc>
        <w:tc>
          <w:tcPr>
            <w:tcW w:w="1772" w:type="dxa"/>
            <w:vAlign w:val="center"/>
          </w:tcPr>
          <w:p>
            <w:pPr>
              <w:spacing w:line="360" w:lineRule="auto"/>
              <w:jc w:val="center"/>
              <w:rPr>
                <w:rFonts w:hint="eastAsia" w:ascii="仿宋" w:hAnsi="仿宋" w:eastAsia="仿宋" w:cs="仿宋"/>
                <w:color w:val="auto"/>
                <w:sz w:val="24"/>
                <w:szCs w:val="24"/>
                <w:highlight w:val="none"/>
              </w:rPr>
            </w:pPr>
          </w:p>
        </w:tc>
        <w:tc>
          <w:tcPr>
            <w:tcW w:w="1623" w:type="dxa"/>
            <w:vAlign w:val="center"/>
          </w:tcPr>
          <w:p>
            <w:pPr>
              <w:spacing w:line="360" w:lineRule="auto"/>
              <w:jc w:val="center"/>
              <w:rPr>
                <w:rFonts w:hint="eastAsia" w:ascii="仿宋" w:hAnsi="仿宋" w:eastAsia="仿宋" w:cs="仿宋"/>
                <w:color w:val="auto"/>
                <w:sz w:val="24"/>
                <w:szCs w:val="24"/>
                <w:highlight w:val="none"/>
              </w:rPr>
            </w:pPr>
          </w:p>
        </w:tc>
        <w:tc>
          <w:tcPr>
            <w:tcW w:w="1427" w:type="dxa"/>
            <w:vAlign w:val="center"/>
          </w:tcPr>
          <w:p>
            <w:pPr>
              <w:spacing w:line="360" w:lineRule="auto"/>
              <w:jc w:val="center"/>
              <w:rPr>
                <w:rFonts w:hint="eastAsia" w:ascii="仿宋" w:hAnsi="仿宋" w:eastAsia="仿宋" w:cs="仿宋"/>
                <w:color w:val="auto"/>
                <w:sz w:val="24"/>
                <w:szCs w:val="24"/>
                <w:highlight w:val="none"/>
              </w:rPr>
            </w:pPr>
          </w:p>
        </w:tc>
        <w:tc>
          <w:tcPr>
            <w:tcW w:w="1748" w:type="dxa"/>
            <w:gridSpan w:val="2"/>
            <w:tcBorders>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1659" w:type="dxa"/>
            <w:gridSpan w:val="2"/>
            <w:tcBorders>
              <w:left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883" w:type="dxa"/>
            <w:tcBorders>
              <w:bottom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1772" w:type="dxa"/>
            <w:tcBorders>
              <w:bottom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1623" w:type="dxa"/>
            <w:tcBorders>
              <w:bottom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1427" w:type="dxa"/>
            <w:tcBorders>
              <w:bottom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1748" w:type="dxa"/>
            <w:gridSpan w:val="2"/>
            <w:tcBorders>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1659" w:type="dxa"/>
            <w:gridSpan w:val="2"/>
            <w:tcBorders>
              <w:left w:val="single" w:color="auto" w:sz="4" w:space="0"/>
              <w:bottom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883" w:type="dxa"/>
            <w:tcBorders>
              <w:top w:val="single" w:color="auto" w:sz="4" w:space="0"/>
              <w:bottom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1772" w:type="dxa"/>
            <w:tcBorders>
              <w:top w:val="single" w:color="auto" w:sz="4" w:space="0"/>
              <w:bottom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1623" w:type="dxa"/>
            <w:tcBorders>
              <w:top w:val="single" w:color="auto" w:sz="4" w:space="0"/>
              <w:bottom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1427" w:type="dxa"/>
            <w:tcBorders>
              <w:top w:val="single" w:color="auto" w:sz="4" w:space="0"/>
              <w:bottom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1748" w:type="dxa"/>
            <w:gridSpan w:val="2"/>
            <w:tcBorders>
              <w:top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1659" w:type="dxa"/>
            <w:gridSpan w:val="2"/>
            <w:tcBorders>
              <w:top w:val="single" w:color="auto" w:sz="4" w:space="0"/>
              <w:left w:val="single" w:color="auto" w:sz="4" w:space="0"/>
              <w:bottom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883" w:type="dxa"/>
            <w:tcBorders>
              <w:top w:val="single" w:color="auto" w:sz="4" w:space="0"/>
              <w:bottom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1772" w:type="dxa"/>
            <w:tcBorders>
              <w:top w:val="single" w:color="auto" w:sz="4" w:space="0"/>
              <w:bottom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1623" w:type="dxa"/>
            <w:tcBorders>
              <w:top w:val="single" w:color="auto" w:sz="4" w:space="0"/>
              <w:bottom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1427" w:type="dxa"/>
            <w:tcBorders>
              <w:top w:val="single" w:color="auto" w:sz="4" w:space="0"/>
              <w:bottom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1748" w:type="dxa"/>
            <w:gridSpan w:val="2"/>
            <w:tcBorders>
              <w:top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1659" w:type="dxa"/>
            <w:gridSpan w:val="2"/>
            <w:tcBorders>
              <w:top w:val="single" w:color="auto" w:sz="4" w:space="0"/>
              <w:left w:val="single" w:color="auto" w:sz="4" w:space="0"/>
              <w:bottom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883" w:type="dxa"/>
            <w:tcBorders>
              <w:top w:val="single" w:color="auto" w:sz="4" w:space="0"/>
              <w:bottom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1772" w:type="dxa"/>
            <w:tcBorders>
              <w:top w:val="single" w:color="auto" w:sz="4" w:space="0"/>
              <w:bottom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1623" w:type="dxa"/>
            <w:tcBorders>
              <w:top w:val="single" w:color="auto" w:sz="4" w:space="0"/>
              <w:bottom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1427" w:type="dxa"/>
            <w:tcBorders>
              <w:top w:val="single" w:color="auto" w:sz="4" w:space="0"/>
              <w:bottom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1748" w:type="dxa"/>
            <w:gridSpan w:val="2"/>
            <w:tcBorders>
              <w:top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1659" w:type="dxa"/>
            <w:gridSpan w:val="2"/>
            <w:tcBorders>
              <w:top w:val="single" w:color="auto" w:sz="4" w:space="0"/>
              <w:left w:val="single" w:color="auto" w:sz="4" w:space="0"/>
              <w:bottom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883" w:type="dxa"/>
            <w:tcBorders>
              <w:top w:val="single" w:color="auto" w:sz="4" w:space="0"/>
              <w:bottom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1772" w:type="dxa"/>
            <w:tcBorders>
              <w:top w:val="single" w:color="auto" w:sz="4" w:space="0"/>
              <w:bottom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1623" w:type="dxa"/>
            <w:tcBorders>
              <w:top w:val="single" w:color="auto" w:sz="4" w:space="0"/>
              <w:bottom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1427" w:type="dxa"/>
            <w:tcBorders>
              <w:top w:val="single" w:color="auto" w:sz="4" w:space="0"/>
              <w:bottom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1748" w:type="dxa"/>
            <w:gridSpan w:val="2"/>
            <w:tcBorders>
              <w:top w:val="single" w:color="auto" w:sz="4" w:space="0"/>
              <w:bottom w:val="single" w:color="auto" w:sz="4" w:space="0"/>
              <w:right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c>
          <w:tcPr>
            <w:tcW w:w="1659" w:type="dxa"/>
            <w:gridSpan w:val="2"/>
            <w:tcBorders>
              <w:top w:val="single" w:color="auto" w:sz="4" w:space="0"/>
              <w:left w:val="single" w:color="auto" w:sz="4" w:space="0"/>
              <w:bottom w:val="single" w:color="auto" w:sz="4" w:space="0"/>
            </w:tcBorders>
            <w:vAlign w:val="center"/>
          </w:tcPr>
          <w:p>
            <w:pPr>
              <w:spacing w:line="360" w:lineRule="auto"/>
              <w:jc w:val="center"/>
              <w:rPr>
                <w:rFonts w:hint="eastAsia" w:ascii="仿宋" w:hAnsi="仿宋" w:eastAsia="仿宋" w:cs="仿宋"/>
                <w:color w:val="auto"/>
                <w:sz w:val="24"/>
                <w:szCs w:val="24"/>
                <w:highlight w:val="none"/>
              </w:rPr>
            </w:pPr>
          </w:p>
        </w:tc>
      </w:tr>
    </w:tbl>
    <w:p>
      <w:pPr>
        <w:spacing w:line="360" w:lineRule="auto"/>
        <w:rPr>
          <w:rFonts w:hint="eastAsia" w:ascii="仿宋" w:hAnsi="仿宋" w:eastAsia="仿宋" w:cs="仿宋"/>
          <w:color w:val="auto"/>
          <w:highlight w:val="none"/>
        </w:rPr>
      </w:pPr>
    </w:p>
    <w:p>
      <w:pPr>
        <w:tabs>
          <w:tab w:val="left" w:pos="555"/>
          <w:tab w:val="left" w:pos="2214"/>
          <w:tab w:val="left" w:pos="3774"/>
          <w:tab w:val="left" w:pos="4854"/>
          <w:tab w:val="left" w:pos="5934"/>
          <w:tab w:val="left" w:pos="7014"/>
          <w:tab w:val="left" w:pos="8214"/>
          <w:tab w:val="left" w:pos="10134"/>
          <w:tab w:val="left" w:pos="11124"/>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注：供应商以上业绩需提供有关书面证明材料。</w:t>
      </w:r>
    </w:p>
    <w:p>
      <w:pPr>
        <w:spacing w:line="360" w:lineRule="auto"/>
        <w:ind w:left="360"/>
        <w:jc w:val="center"/>
        <w:rPr>
          <w:rFonts w:hint="eastAsia" w:ascii="仿宋" w:hAnsi="仿宋" w:eastAsia="仿宋" w:cs="仿宋"/>
          <w:color w:val="auto"/>
          <w:highlight w:val="none"/>
        </w:rPr>
      </w:pPr>
    </w:p>
    <w:p>
      <w:pPr>
        <w:spacing w:line="360" w:lineRule="auto"/>
        <w:rPr>
          <w:rFonts w:hint="eastAsia" w:ascii="仿宋" w:hAnsi="仿宋" w:eastAsia="仿宋" w:cs="仿宋"/>
          <w:color w:val="auto"/>
          <w:highlight w:val="none"/>
        </w:rPr>
      </w:pP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供应商名称（盖单位公章）：XXXX</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法定代表人或授权代表（签字或盖章）：</w:t>
      </w:r>
    </w:p>
    <w:p>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 XXXX</w:t>
      </w:r>
    </w:p>
    <w:p>
      <w:pPr>
        <w:pStyle w:val="2"/>
        <w:spacing w:before="0" w:after="0" w:line="360" w:lineRule="auto"/>
        <w:jc w:val="center"/>
        <w:rPr>
          <w:rFonts w:hint="eastAsia" w:ascii="仿宋" w:hAnsi="仿宋" w:eastAsia="仿宋" w:cs="仿宋"/>
          <w:b w:val="0"/>
          <w:bCs w:val="0"/>
          <w:color w:val="auto"/>
          <w:highlight w:val="none"/>
        </w:rPr>
      </w:pPr>
      <w:r>
        <w:rPr>
          <w:rFonts w:hint="eastAsia" w:ascii="仿宋" w:hAnsi="仿宋" w:eastAsia="仿宋" w:cs="仿宋"/>
          <w:b w:val="0"/>
          <w:bCs w:val="0"/>
          <w:color w:val="auto"/>
          <w:highlight w:val="none"/>
        </w:rPr>
        <w:br w:type="page"/>
      </w:r>
      <w:r>
        <w:rPr>
          <w:rFonts w:hint="eastAsia" w:ascii="仿宋" w:hAnsi="仿宋" w:eastAsia="仿宋" w:cs="仿宋"/>
          <w:color w:val="auto"/>
          <w:highlight w:val="none"/>
        </w:rPr>
        <w:t>七、供应商本项目管理、技术、服务人员情况表</w:t>
      </w:r>
    </w:p>
    <w:tbl>
      <w:tblPr>
        <w:tblStyle w:val="2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947"/>
        <w:gridCol w:w="947"/>
        <w:gridCol w:w="947"/>
        <w:gridCol w:w="947"/>
        <w:gridCol w:w="947"/>
        <w:gridCol w:w="947"/>
        <w:gridCol w:w="947"/>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restar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类别</w:t>
            </w:r>
          </w:p>
        </w:tc>
        <w:tc>
          <w:tcPr>
            <w:tcW w:w="947" w:type="dxa"/>
            <w:vMerge w:val="restar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职务</w:t>
            </w:r>
          </w:p>
        </w:tc>
        <w:tc>
          <w:tcPr>
            <w:tcW w:w="947" w:type="dxa"/>
            <w:vMerge w:val="restar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姓名</w:t>
            </w:r>
          </w:p>
        </w:tc>
        <w:tc>
          <w:tcPr>
            <w:tcW w:w="947" w:type="dxa"/>
            <w:vMerge w:val="restar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职称</w:t>
            </w:r>
          </w:p>
        </w:tc>
        <w:tc>
          <w:tcPr>
            <w:tcW w:w="947" w:type="dxa"/>
            <w:vMerge w:val="restar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常住地</w:t>
            </w:r>
          </w:p>
        </w:tc>
        <w:tc>
          <w:tcPr>
            <w:tcW w:w="3788" w:type="dxa"/>
            <w:gridSpan w:val="4"/>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资格证明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continue"/>
            <w:vAlign w:val="center"/>
          </w:tcPr>
          <w:p>
            <w:pPr>
              <w:spacing w:line="360" w:lineRule="auto"/>
              <w:jc w:val="center"/>
              <w:rPr>
                <w:rFonts w:hint="eastAsia" w:ascii="仿宋" w:hAnsi="仿宋" w:eastAsia="仿宋" w:cs="仿宋"/>
                <w:color w:val="auto"/>
                <w:sz w:val="24"/>
                <w:szCs w:val="24"/>
                <w:highlight w:val="none"/>
              </w:rPr>
            </w:pPr>
          </w:p>
        </w:tc>
        <w:tc>
          <w:tcPr>
            <w:tcW w:w="947" w:type="dxa"/>
            <w:vMerge w:val="continue"/>
            <w:vAlign w:val="center"/>
          </w:tcPr>
          <w:p>
            <w:pPr>
              <w:spacing w:line="360" w:lineRule="auto"/>
              <w:jc w:val="center"/>
              <w:rPr>
                <w:rFonts w:hint="eastAsia" w:ascii="仿宋" w:hAnsi="仿宋" w:eastAsia="仿宋" w:cs="仿宋"/>
                <w:color w:val="auto"/>
                <w:sz w:val="24"/>
                <w:szCs w:val="24"/>
                <w:highlight w:val="none"/>
              </w:rPr>
            </w:pPr>
          </w:p>
        </w:tc>
        <w:tc>
          <w:tcPr>
            <w:tcW w:w="947" w:type="dxa"/>
            <w:vMerge w:val="continue"/>
            <w:vAlign w:val="center"/>
          </w:tcPr>
          <w:p>
            <w:pPr>
              <w:spacing w:line="360" w:lineRule="auto"/>
              <w:jc w:val="center"/>
              <w:rPr>
                <w:rFonts w:hint="eastAsia" w:ascii="仿宋" w:hAnsi="仿宋" w:eastAsia="仿宋" w:cs="仿宋"/>
                <w:color w:val="auto"/>
                <w:sz w:val="24"/>
                <w:szCs w:val="24"/>
                <w:highlight w:val="none"/>
              </w:rPr>
            </w:pPr>
          </w:p>
        </w:tc>
        <w:tc>
          <w:tcPr>
            <w:tcW w:w="947" w:type="dxa"/>
            <w:vMerge w:val="continue"/>
            <w:vAlign w:val="center"/>
          </w:tcPr>
          <w:p>
            <w:pPr>
              <w:spacing w:line="360" w:lineRule="auto"/>
              <w:jc w:val="center"/>
              <w:rPr>
                <w:rFonts w:hint="eastAsia" w:ascii="仿宋" w:hAnsi="仿宋" w:eastAsia="仿宋" w:cs="仿宋"/>
                <w:color w:val="auto"/>
                <w:sz w:val="24"/>
                <w:szCs w:val="24"/>
                <w:highlight w:val="none"/>
              </w:rPr>
            </w:pPr>
          </w:p>
        </w:tc>
        <w:tc>
          <w:tcPr>
            <w:tcW w:w="947" w:type="dxa"/>
            <w:vMerge w:val="continue"/>
            <w:vAlign w:val="center"/>
          </w:tcPr>
          <w:p>
            <w:pPr>
              <w:spacing w:line="360" w:lineRule="auto"/>
              <w:jc w:val="center"/>
              <w:rPr>
                <w:rFonts w:hint="eastAsia" w:ascii="仿宋" w:hAnsi="仿宋" w:eastAsia="仿宋" w:cs="仿宋"/>
                <w:color w:val="auto"/>
                <w:sz w:val="24"/>
                <w:szCs w:val="24"/>
                <w:highlight w:val="none"/>
              </w:rPr>
            </w:pPr>
          </w:p>
        </w:tc>
        <w:tc>
          <w:tcPr>
            <w:tcW w:w="947"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证书</w:t>
            </w:r>
          </w:p>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w:t>
            </w:r>
          </w:p>
        </w:tc>
        <w:tc>
          <w:tcPr>
            <w:tcW w:w="947"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级别</w:t>
            </w:r>
          </w:p>
        </w:tc>
        <w:tc>
          <w:tcPr>
            <w:tcW w:w="947"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证号</w:t>
            </w:r>
          </w:p>
        </w:tc>
        <w:tc>
          <w:tcPr>
            <w:tcW w:w="947" w:type="dxa"/>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restar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管理</w:t>
            </w:r>
          </w:p>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人员</w:t>
            </w: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continue"/>
            <w:vAlign w:val="center"/>
          </w:tcPr>
          <w:p>
            <w:pPr>
              <w:spacing w:line="360" w:lineRule="auto"/>
              <w:jc w:val="center"/>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continue"/>
            <w:vAlign w:val="center"/>
          </w:tcPr>
          <w:p>
            <w:pPr>
              <w:spacing w:line="360" w:lineRule="auto"/>
              <w:jc w:val="center"/>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restar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w:t>
            </w:r>
          </w:p>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人员</w:t>
            </w: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continue"/>
            <w:vAlign w:val="center"/>
          </w:tcPr>
          <w:p>
            <w:pPr>
              <w:spacing w:line="360" w:lineRule="auto"/>
              <w:jc w:val="center"/>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continue"/>
            <w:vAlign w:val="center"/>
          </w:tcPr>
          <w:p>
            <w:pPr>
              <w:spacing w:line="360" w:lineRule="auto"/>
              <w:jc w:val="center"/>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restart"/>
            <w:vAlign w:val="center"/>
          </w:tcPr>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售后服务人员</w:t>
            </w: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continue"/>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6" w:type="dxa"/>
            <w:vMerge w:val="continue"/>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c>
          <w:tcPr>
            <w:tcW w:w="947" w:type="dxa"/>
          </w:tcPr>
          <w:p>
            <w:pPr>
              <w:spacing w:line="360" w:lineRule="auto"/>
              <w:rPr>
                <w:rFonts w:hint="eastAsia" w:ascii="仿宋" w:hAnsi="仿宋" w:eastAsia="仿宋" w:cs="仿宋"/>
                <w:color w:val="auto"/>
                <w:sz w:val="24"/>
                <w:szCs w:val="24"/>
                <w:highlight w:val="none"/>
              </w:rPr>
            </w:pPr>
          </w:p>
        </w:tc>
      </w:tr>
    </w:tbl>
    <w:p>
      <w:pPr>
        <w:spacing w:line="360" w:lineRule="auto"/>
        <w:rPr>
          <w:rFonts w:hint="eastAsia" w:ascii="仿宋" w:hAnsi="仿宋" w:eastAsia="仿宋" w:cs="仿宋"/>
          <w:color w:val="auto"/>
          <w:highlight w:val="none"/>
        </w:rPr>
      </w:pPr>
    </w:p>
    <w:p>
      <w:pPr>
        <w:spacing w:line="360" w:lineRule="auto"/>
        <w:rPr>
          <w:rFonts w:hint="eastAsia" w:ascii="仿宋" w:hAnsi="仿宋" w:eastAsia="仿宋" w:cs="仿宋"/>
          <w:color w:val="auto"/>
          <w:highlight w:val="none"/>
        </w:rPr>
      </w:pPr>
    </w:p>
    <w:p>
      <w:pPr>
        <w:spacing w:line="360" w:lineRule="auto"/>
        <w:rPr>
          <w:rFonts w:hint="eastAsia" w:ascii="仿宋" w:hAnsi="仿宋" w:eastAsia="仿宋" w:cs="仿宋"/>
          <w:color w:val="auto"/>
          <w:highlight w:val="none"/>
        </w:rPr>
      </w:pP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供应商名称（盖单位公章）：XXX</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法定代表人或授权代表（签字或盖章）：</w:t>
      </w:r>
    </w:p>
    <w:p>
      <w:pPr>
        <w:spacing w:line="360" w:lineRule="auto"/>
        <w:ind w:firstLine="480" w:firstLineChars="200"/>
        <w:rPr>
          <w:rFonts w:hint="eastAsia" w:ascii="仿宋" w:hAnsi="仿宋" w:eastAsia="仿宋" w:cs="仿宋"/>
          <w:color w:val="auto"/>
          <w:highlight w:val="none"/>
        </w:rPr>
      </w:pPr>
      <w:r>
        <w:rPr>
          <w:rFonts w:hint="eastAsia" w:ascii="仿宋" w:hAnsi="仿宋" w:eastAsia="仿宋" w:cs="仿宋"/>
          <w:color w:val="auto"/>
          <w:sz w:val="24"/>
          <w:szCs w:val="24"/>
          <w:highlight w:val="none"/>
        </w:rPr>
        <w:t>日期：XXX</w:t>
      </w:r>
    </w:p>
    <w:p>
      <w:pPr>
        <w:pStyle w:val="2"/>
        <w:spacing w:before="0" w:after="0" w:line="360" w:lineRule="auto"/>
        <w:jc w:val="center"/>
        <w:rPr>
          <w:rFonts w:hint="eastAsia" w:ascii="仿宋" w:hAnsi="仿宋" w:eastAsia="仿宋" w:cs="仿宋"/>
          <w:b w:val="0"/>
          <w:bCs w:val="0"/>
          <w:color w:val="auto"/>
          <w:highlight w:val="none"/>
        </w:rPr>
      </w:pPr>
      <w:r>
        <w:rPr>
          <w:rFonts w:hint="eastAsia" w:ascii="仿宋" w:hAnsi="仿宋" w:eastAsia="仿宋" w:cs="仿宋"/>
          <w:b w:val="0"/>
          <w:bCs w:val="0"/>
          <w:color w:val="auto"/>
          <w:highlight w:val="none"/>
        </w:rPr>
        <w:br w:type="page"/>
      </w:r>
      <w:r>
        <w:rPr>
          <w:rFonts w:hint="eastAsia" w:ascii="仿宋" w:hAnsi="仿宋" w:eastAsia="仿宋" w:cs="仿宋"/>
          <w:color w:val="auto"/>
          <w:highlight w:val="none"/>
        </w:rPr>
        <w:t>八、制造商家授权书</w:t>
      </w:r>
      <w:bookmarkEnd w:id="106"/>
      <w:bookmarkEnd w:id="107"/>
      <w:bookmarkEnd w:id="108"/>
      <w:bookmarkEnd w:id="109"/>
      <w:bookmarkEnd w:id="110"/>
      <w:bookmarkEnd w:id="111"/>
      <w:r>
        <w:rPr>
          <w:rFonts w:hint="eastAsia" w:ascii="仿宋" w:hAnsi="仿宋" w:eastAsia="仿宋" w:cs="仿宋"/>
          <w:color w:val="auto"/>
          <w:highlight w:val="none"/>
        </w:rPr>
        <w:t>（如适用）</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XXX（采购代理机构名称）：</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XXX（制造商家名称）是在XXX（国名）依法登记注册的，其厂址现在XXX。</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XXX（被授权公司名称）是在XXX（国名）依法登记注册的，其主要营业地点现在XXXX。</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XXX（制造商家名称）授权XXX（被授权公司名称）为我方制造的XXX品牌产品的合法销售商（授权销售的产品清单附后），参加XXX项目第XXX包的报价，全权处理与该产品采购的有关事宜，并对我方具有约束力。</w:t>
      </w:r>
    </w:p>
    <w:p>
      <w:pPr>
        <w:pStyle w:val="1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作为制造商，我方承诺，为本次采购提供的货物为原厂制造、合法渠道供应的全新产品。我方保证以政府采购合作者来约束自己，并对该报价共同承担和分别承担采购文件中规定的义务。</w:t>
      </w:r>
    </w:p>
    <w:p>
      <w:pPr>
        <w:spacing w:line="360" w:lineRule="auto"/>
        <w:ind w:firstLine="630"/>
        <w:rPr>
          <w:rFonts w:hint="eastAsia" w:ascii="仿宋" w:hAnsi="仿宋" w:eastAsia="仿宋" w:cs="仿宋"/>
          <w:color w:val="auto"/>
          <w:sz w:val="24"/>
          <w:szCs w:val="24"/>
          <w:highlight w:val="none"/>
        </w:rPr>
      </w:pP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授权单位名称（盖单位公章）：XXX </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日期：XXX</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附：授权销售产品清单</w:t>
      </w:r>
    </w:p>
    <w:p>
      <w:pPr>
        <w:spacing w:line="360" w:lineRule="auto"/>
        <w:rPr>
          <w:rFonts w:hint="eastAsia" w:ascii="仿宋" w:hAnsi="仿宋" w:eastAsia="仿宋" w:cs="仿宋"/>
          <w:color w:val="auto"/>
          <w:sz w:val="32"/>
          <w:szCs w:val="32"/>
          <w:highlight w:val="none"/>
        </w:rPr>
      </w:pPr>
    </w:p>
    <w:p>
      <w:pPr>
        <w:pStyle w:val="68"/>
        <w:ind w:firstLine="480"/>
        <w:rPr>
          <w:rFonts w:hint="eastAsia" w:ascii="仿宋" w:hAnsi="仿宋" w:eastAsia="仿宋" w:cs="仿宋"/>
          <w:color w:val="auto"/>
          <w:highlight w:val="none"/>
        </w:rPr>
      </w:pPr>
    </w:p>
    <w:p>
      <w:pPr>
        <w:pStyle w:val="68"/>
        <w:ind w:firstLine="480"/>
        <w:rPr>
          <w:rFonts w:hint="eastAsia" w:ascii="仿宋" w:hAnsi="仿宋" w:eastAsia="仿宋" w:cs="仿宋"/>
          <w:color w:val="auto"/>
          <w:highlight w:val="none"/>
        </w:rPr>
      </w:pPr>
    </w:p>
    <w:p>
      <w:pPr>
        <w:pStyle w:val="68"/>
        <w:ind w:firstLine="480"/>
        <w:rPr>
          <w:rFonts w:hint="eastAsia" w:ascii="仿宋" w:hAnsi="仿宋" w:eastAsia="仿宋" w:cs="仿宋"/>
          <w:color w:val="auto"/>
          <w:highlight w:val="none"/>
        </w:rPr>
      </w:pPr>
      <w:r>
        <w:rPr>
          <w:rFonts w:hint="eastAsia" w:ascii="仿宋" w:hAnsi="仿宋" w:eastAsia="仿宋" w:cs="仿宋"/>
          <w:color w:val="auto"/>
          <w:highlight w:val="none"/>
        </w:rPr>
        <w:t>注：供应商也可提供制造商家或合法代理商自有的授权格式文件，但授权书中应有授权单位法定代表人（或授权代表）的签字或盖单位的印章。</w:t>
      </w:r>
    </w:p>
    <w:p>
      <w:pPr>
        <w:pStyle w:val="6"/>
        <w:spacing w:line="360" w:lineRule="auto"/>
        <w:ind w:firstLine="480"/>
        <w:rPr>
          <w:rFonts w:hint="eastAsia" w:ascii="仿宋" w:hAnsi="仿宋" w:eastAsia="仿宋" w:cs="仿宋"/>
          <w:color w:val="auto"/>
          <w:highlight w:val="none"/>
        </w:rPr>
      </w:pPr>
    </w:p>
    <w:p>
      <w:pPr>
        <w:pStyle w:val="6"/>
        <w:spacing w:line="360" w:lineRule="auto"/>
        <w:ind w:firstLine="480"/>
        <w:rPr>
          <w:rFonts w:hint="eastAsia" w:ascii="仿宋" w:hAnsi="仿宋" w:eastAsia="仿宋" w:cs="仿宋"/>
          <w:color w:val="auto"/>
          <w:highlight w:val="none"/>
        </w:rPr>
      </w:pPr>
    </w:p>
    <w:p>
      <w:pPr>
        <w:pStyle w:val="6"/>
        <w:spacing w:line="360" w:lineRule="auto"/>
        <w:ind w:firstLine="480"/>
        <w:rPr>
          <w:rFonts w:hint="eastAsia" w:ascii="仿宋" w:hAnsi="仿宋" w:eastAsia="仿宋" w:cs="仿宋"/>
          <w:color w:val="auto"/>
          <w:highlight w:val="none"/>
        </w:rPr>
      </w:pPr>
    </w:p>
    <w:p>
      <w:pPr>
        <w:pStyle w:val="6"/>
        <w:spacing w:line="360" w:lineRule="auto"/>
        <w:ind w:firstLine="480"/>
        <w:rPr>
          <w:rFonts w:hint="eastAsia" w:ascii="仿宋" w:hAnsi="仿宋" w:eastAsia="仿宋" w:cs="仿宋"/>
          <w:color w:val="auto"/>
          <w:highlight w:val="none"/>
        </w:rPr>
      </w:pPr>
    </w:p>
    <w:p>
      <w:pPr>
        <w:spacing w:line="360" w:lineRule="auto"/>
        <w:rPr>
          <w:rFonts w:hint="eastAsia" w:ascii="仿宋" w:hAnsi="仿宋" w:eastAsia="仿宋" w:cs="仿宋"/>
          <w:b/>
          <w:bCs/>
          <w:color w:val="auto"/>
          <w:sz w:val="28"/>
          <w:szCs w:val="28"/>
          <w:highlight w:val="none"/>
        </w:rPr>
        <w:sectPr>
          <w:footerReference r:id="rId13" w:type="default"/>
          <w:type w:val="nextColumn"/>
          <w:pgSz w:w="11906" w:h="16840"/>
          <w:pgMar w:top="1440" w:right="1800" w:bottom="1440" w:left="1800" w:header="851" w:footer="992" w:gutter="0"/>
          <w:cols w:space="720" w:num="1"/>
          <w:docGrid w:linePitch="312" w:charSpace="0"/>
        </w:sectPr>
      </w:pPr>
    </w:p>
    <w:p>
      <w:pPr>
        <w:numPr>
          <w:ilvl w:val="0"/>
          <w:numId w:val="4"/>
        </w:numPr>
        <w:autoSpaceDE w:val="0"/>
        <w:autoSpaceDN w:val="0"/>
        <w:spacing w:line="360" w:lineRule="auto"/>
        <w:jc w:val="center"/>
        <w:textAlignment w:val="bottom"/>
        <w:rPr>
          <w:rFonts w:hint="eastAsia" w:ascii="仿宋" w:hAnsi="仿宋" w:eastAsia="仿宋" w:cs="仿宋"/>
          <w:b/>
          <w:bCs/>
          <w:color w:val="auto"/>
          <w:kern w:val="0"/>
          <w:sz w:val="32"/>
          <w:szCs w:val="32"/>
          <w:highlight w:val="none"/>
          <w:lang w:val="en-US" w:eastAsia="zh-CN" w:bidi="ar-SA"/>
        </w:rPr>
      </w:pPr>
      <w:r>
        <w:rPr>
          <w:rFonts w:hint="eastAsia" w:ascii="仿宋" w:hAnsi="仿宋" w:eastAsia="仿宋" w:cs="仿宋"/>
          <w:b/>
          <w:bCs/>
          <w:color w:val="auto"/>
          <w:kern w:val="0"/>
          <w:sz w:val="32"/>
          <w:szCs w:val="32"/>
          <w:highlight w:val="none"/>
          <w:lang w:val="en-US" w:eastAsia="zh-CN" w:bidi="ar-SA"/>
        </w:rPr>
        <w:t>项目实施方案(如适用)</w:t>
      </w:r>
    </w:p>
    <w:p>
      <w:pPr>
        <w:tabs>
          <w:tab w:val="left" w:pos="3525"/>
        </w:tabs>
        <w:autoSpaceDE w:val="0"/>
        <w:autoSpaceDN w:val="0"/>
        <w:spacing w:line="360" w:lineRule="auto"/>
        <w:textAlignment w:val="bottom"/>
        <w:rPr>
          <w:rFonts w:hint="eastAsia" w:ascii="仿宋" w:hAnsi="仿宋" w:eastAsia="仿宋" w:cs="仿宋"/>
          <w:b/>
          <w:bCs/>
          <w:color w:val="auto"/>
          <w:sz w:val="24"/>
          <w:szCs w:val="24"/>
          <w:highlight w:val="none"/>
        </w:rPr>
      </w:pPr>
    </w:p>
    <w:p>
      <w:pPr>
        <w:pStyle w:val="68"/>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注:1、可包含供货方案、实施计划、交货安排、人员配置等,以供应商实际提供的方案进行评审；</w:t>
      </w:r>
    </w:p>
    <w:p>
      <w:pPr>
        <w:pStyle w:val="68"/>
        <w:ind w:firstLine="240" w:firstLineChars="100"/>
        <w:rPr>
          <w:rFonts w:hint="eastAsia" w:ascii="仿宋" w:hAnsi="仿宋" w:eastAsia="仿宋" w:cs="仿宋"/>
          <w:color w:val="auto"/>
          <w:highlight w:val="none"/>
        </w:rPr>
      </w:pPr>
      <w:r>
        <w:rPr>
          <w:rFonts w:hint="eastAsia" w:ascii="仿宋" w:hAnsi="仿宋" w:eastAsia="仿宋" w:cs="仿宋"/>
          <w:color w:val="auto"/>
          <w:highlight w:val="none"/>
        </w:rPr>
        <w:t>2、格式自拟。</w:t>
      </w:r>
      <w:r>
        <w:rPr>
          <w:rFonts w:hint="eastAsia" w:ascii="仿宋" w:hAnsi="仿宋" w:eastAsia="仿宋" w:cs="仿宋"/>
          <w:color w:val="auto"/>
          <w:highlight w:val="none"/>
        </w:rPr>
        <w:br w:type="page"/>
      </w:r>
    </w:p>
    <w:p>
      <w:pPr>
        <w:autoSpaceDE w:val="0"/>
        <w:autoSpaceDN w:val="0"/>
        <w:spacing w:line="360" w:lineRule="auto"/>
        <w:jc w:val="center"/>
        <w:textAlignment w:val="bottom"/>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十、供应商的合理化建议；（如适用）</w:t>
      </w:r>
    </w:p>
    <w:p>
      <w:pPr>
        <w:autoSpaceDE w:val="0"/>
        <w:autoSpaceDN w:val="0"/>
        <w:spacing w:line="360" w:lineRule="auto"/>
        <w:ind w:firstLine="1200" w:firstLineChars="500"/>
        <w:jc w:val="center"/>
        <w:textAlignment w:val="bottom"/>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（供应商根据</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及本项目情况自拟格式）</w:t>
      </w:r>
    </w:p>
    <w:p>
      <w:pPr>
        <w:autoSpaceDE w:val="0"/>
        <w:autoSpaceDN w:val="0"/>
        <w:spacing w:line="360" w:lineRule="auto"/>
        <w:jc w:val="center"/>
        <w:textAlignment w:val="bottom"/>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十一、供应商服务承诺（如适用）</w:t>
      </w:r>
    </w:p>
    <w:p>
      <w:pPr>
        <w:autoSpaceDE w:val="0"/>
        <w:autoSpaceDN w:val="0"/>
        <w:spacing w:line="360" w:lineRule="auto"/>
        <w:ind w:firstLine="1200" w:firstLineChars="500"/>
        <w:jc w:val="center"/>
        <w:textAlignment w:val="bottom"/>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（供应商根据</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及本项目情况自拟格式）</w:t>
      </w:r>
    </w:p>
    <w:p>
      <w:pPr>
        <w:autoSpaceDE w:val="0"/>
        <w:autoSpaceDN w:val="0"/>
        <w:spacing w:line="360" w:lineRule="auto"/>
        <w:ind w:firstLine="1200" w:firstLineChars="500"/>
        <w:jc w:val="center"/>
        <w:textAlignment w:val="bottom"/>
        <w:rPr>
          <w:rFonts w:hint="eastAsia" w:ascii="仿宋" w:hAnsi="仿宋" w:eastAsia="仿宋" w:cs="仿宋"/>
          <w:color w:val="auto"/>
          <w:sz w:val="24"/>
          <w:szCs w:val="24"/>
          <w:highlight w:val="none"/>
        </w:rPr>
      </w:pPr>
    </w:p>
    <w:p>
      <w:pPr>
        <w:adjustRightInd w:val="0"/>
        <w:snapToGrid w:val="0"/>
        <w:spacing w:line="3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十二、</w:t>
      </w:r>
      <w:r>
        <w:rPr>
          <w:rFonts w:hint="eastAsia" w:ascii="仿宋" w:hAnsi="仿宋" w:eastAsia="仿宋" w:cs="仿宋"/>
          <w:b/>
          <w:bCs/>
          <w:color w:val="auto"/>
          <w:sz w:val="24"/>
          <w:szCs w:val="24"/>
          <w:highlight w:val="none"/>
          <w:lang w:eastAsia="zh-CN"/>
        </w:rPr>
        <w:t>谈判文件</w:t>
      </w:r>
      <w:r>
        <w:rPr>
          <w:rFonts w:hint="eastAsia" w:ascii="仿宋" w:hAnsi="仿宋" w:eastAsia="仿宋" w:cs="仿宋"/>
          <w:b/>
          <w:bCs/>
          <w:color w:val="auto"/>
          <w:sz w:val="24"/>
          <w:szCs w:val="24"/>
          <w:highlight w:val="none"/>
        </w:rPr>
        <w:t>要求的其他资料及证明材料或供应商认为必要的其他补充材料（如适用）</w:t>
      </w:r>
    </w:p>
    <w:p>
      <w:pPr>
        <w:autoSpaceDE w:val="0"/>
        <w:autoSpaceDN w:val="0"/>
        <w:spacing w:line="360" w:lineRule="auto"/>
        <w:ind w:firstLine="1200" w:firstLineChars="500"/>
        <w:jc w:val="center"/>
        <w:textAlignment w:val="bottom"/>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（供应商根据</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及本项目情况自拟格式）</w:t>
      </w:r>
    </w:p>
    <w:p>
      <w:pPr>
        <w:autoSpaceDE w:val="0"/>
        <w:autoSpaceDN w:val="0"/>
        <w:spacing w:line="360" w:lineRule="auto"/>
        <w:jc w:val="center"/>
        <w:textAlignment w:val="bottom"/>
        <w:rPr>
          <w:rFonts w:hint="eastAsia" w:ascii="仿宋" w:hAnsi="仿宋" w:eastAsia="仿宋" w:cs="仿宋"/>
          <w:b/>
          <w:bCs/>
          <w:color w:val="auto"/>
          <w:sz w:val="24"/>
          <w:szCs w:val="24"/>
          <w:highlight w:val="none"/>
        </w:rPr>
      </w:pPr>
    </w:p>
    <w:p>
      <w:pPr>
        <w:spacing w:line="360" w:lineRule="auto"/>
        <w:jc w:val="left"/>
        <w:rPr>
          <w:rFonts w:hint="eastAsia" w:ascii="仿宋" w:hAnsi="仿宋" w:eastAsia="仿宋" w:cs="仿宋"/>
          <w:color w:val="auto"/>
          <w:sz w:val="24"/>
          <w:szCs w:val="24"/>
          <w:highlight w:val="none"/>
        </w:rPr>
      </w:pPr>
    </w:p>
    <w:p>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注：1.请各供应商务按照项目的服务和实施方案，自行提供说明函和相关资料。如无上述内容可不提供。</w:t>
      </w:r>
    </w:p>
    <w:p>
      <w:pPr>
        <w:spacing w:line="360" w:lineRule="auto"/>
        <w:jc w:val="left"/>
        <w:rPr>
          <w:rFonts w:hint="eastAsia" w:ascii="仿宋" w:hAnsi="仿宋" w:eastAsia="仿宋" w:cs="仿宋"/>
          <w:color w:val="auto"/>
          <w:sz w:val="32"/>
          <w:szCs w:val="32"/>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中要求提供的其它文件、承诺或资料格式未作要求的供应商可自行拟。</w:t>
      </w:r>
    </w:p>
    <w:p>
      <w:pPr>
        <w:pStyle w:val="3"/>
        <w:keepNext w:val="0"/>
        <w:keepLines w:val="0"/>
        <w:spacing w:before="0" w:after="0" w:line="360" w:lineRule="auto"/>
        <w:jc w:val="center"/>
        <w:rPr>
          <w:rFonts w:hint="eastAsia" w:ascii="仿宋" w:hAnsi="仿宋" w:eastAsia="仿宋" w:cs="仿宋"/>
          <w:color w:val="auto"/>
          <w:sz w:val="40"/>
          <w:szCs w:val="40"/>
          <w:highlight w:val="none"/>
        </w:rPr>
      </w:pPr>
      <w:bookmarkStart w:id="112" w:name="_Toc9882"/>
      <w:r>
        <w:rPr>
          <w:rFonts w:hint="eastAsia" w:ascii="仿宋" w:hAnsi="仿宋" w:eastAsia="仿宋" w:cs="仿宋"/>
          <w:color w:val="auto"/>
          <w:sz w:val="40"/>
          <w:szCs w:val="40"/>
          <w:highlight w:val="none"/>
        </w:rPr>
        <w:br w:type="page"/>
      </w:r>
      <w:bookmarkStart w:id="113" w:name="_Toc4847"/>
      <w:r>
        <w:rPr>
          <w:rFonts w:hint="eastAsia" w:ascii="仿宋" w:hAnsi="仿宋" w:eastAsia="仿宋" w:cs="仿宋"/>
          <w:color w:val="auto"/>
          <w:sz w:val="40"/>
          <w:szCs w:val="40"/>
          <w:highlight w:val="none"/>
        </w:rPr>
        <w:t>第九章评审方法</w:t>
      </w:r>
      <w:bookmarkEnd w:id="112"/>
      <w:bookmarkEnd w:id="113"/>
    </w:p>
    <w:p>
      <w:pPr>
        <w:pStyle w:val="2"/>
        <w:keepNext w:val="0"/>
        <w:keepLines w:val="0"/>
        <w:spacing w:before="0" w:after="0" w:line="360" w:lineRule="auto"/>
        <w:ind w:firstLine="472" w:firstLineChars="19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1.总则</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 根据《中华人民共和国政府采购法》、《中华人民共和国政府采购法实施条例》、《政府采购非招标采购方式管理办法》等法律制度，结合采购项目特点制定本谈判办法。</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 谈判工作由采购代理机构负责组织，具体谈判由采购代理机构依法组建的谈判小组负责。谈判小组由采购人代表和有关技术、经济、法律等方面的专家组成。</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 谈判工作应遵循公平、公正、科学及择优的原则，并以相同的谈判程序和标准对待所有的供应商。</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 谈判小组按照</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规定的谈判方法和标准进行谈判，并独立履行下列职责：</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（一）熟悉和理解</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，确定</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内容是否违反国家有关强制性规定或者</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存在歧义、重大缺陷；</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（二）审查供应商</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是否满足</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要求，并作出公正评价；</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（三）根据需要要求供应商对</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有关事项作出澄清、说明或者纠正；</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（四）推荐成交供应商，或者受采购人委托确定成交供应商；</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（五）起草评审报告并进行签署；</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（六）向采购人、财政部门或者其他监督部门报告非法干预评审工作的行为；</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（七）法律、法规和规章规定的其他职责。</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 （实质性要求）谈判过程独立、保密。供应商非法干预谈判过程的，其</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作为无效处理。</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 谈判小组评价</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，除谈判小组要求其澄清、说明或者纠正而提供的资料外，仅依据</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本身的内容，不寻求供应商提供其他外部证据。</w:t>
      </w:r>
    </w:p>
    <w:p>
      <w:pPr>
        <w:pStyle w:val="2"/>
        <w:keepNext w:val="0"/>
        <w:keepLines w:val="0"/>
        <w:spacing w:before="0" w:after="0" w:line="360" w:lineRule="auto"/>
        <w:ind w:firstLine="472" w:firstLineChars="19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2.评审程序</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2.1熟悉和理解</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和停止评审。</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 谈判小组正式评审前，应当对</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进行熟悉和理解，内容主要包括</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中供应商资格条件要求、采购项目技术、服务和商务要求、评审方法和标准、政府采购政策要求以及政府采购合同主要条款等。</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2.1.2 本</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有下列情形之一的，谈判小组应当停止评审：</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的规定存在歧义、重大缺陷的；</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明显以不合理条件对供应商实行差别待遇或者歧视待遇的；</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（3）采购项目属于国家规定的优先、强制采购范围，但是</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未依法体现优先、强制采购相关规定的；</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（4）采购项目属于政府采购促进中小企业发展的范围，但是</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未依法体现促进中小企业发展相关规定的；</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载明的成交原则不合法的；</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有违反国家其他有关强制性规定的情形。</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2.1.4 出现本条2.1.2规定应当停止评审情形的，谈判小组应当向采购人书面说明情况。除本条规定的情形外，谈判小组不得以任何方式和理由停止评审。</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 资格性审查。</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本项目需要谈判小组进行资格性检查。</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2.2.1谈判小组应依据法律法规和</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的规定，对</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是否按照规定要求提供资格性证明材料、是否属于禁止参加谈判的供应商等进行审查，以确定供应商是否具备谈判资格。</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2.2.2资格性审查结束后，谈判小组应当出具资格性审查报告，没有通过资格审查的供应商，谈判小组应当在资格审查报告中说明原因。</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2.2.3谈判小组应依据</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规定的所有实质性要求，对符合资格的</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进行有效性、完整性和响应程度审查，以确定参加谈判的供应商名单。</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2.2.4采购代理机构宣布未通过资格性审查的供应商名单时，应当告知供应商未通过审查的原因。</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2.3通过资格性审查的供应商不足3家的，终止本次采购活动，并发布终止采购活动公告（财政部另有规定的除外）。</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 谈判</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2.4.1谈判小组所有成员集中与单一供应商分别进行一轮或多轮谈判，并给予所有参加谈判的供应商平等的谈判机会。谈判顺序以现场抽签的方式确定。谈判过程中，谈判小组可以根据谈判情况调整谈判轮次。</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2.4.2每轮谈判开始前，谈判小组应根据</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的规定，并结合各供应商的</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拟定谈判内容。</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2.4.3在谈判过程中，谈判小组可以根据</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和谈判情况实质性变动</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的技术、服务要求以及合同草案条款，但不得变动</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中的其他内容。实质性变动的内容，须经采购人代表书面确认。</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2.4.4对</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作出的实质性变动是</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的有效组成部分，谈判小组应当及时以书面形式同时通知所有参加谈判的供应商。</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2.4.5谈判过程中，</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变动的，供应商应当按照</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的变动情况和谈判小组的要求重新提交</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，并由其法定代表人/主要负责人/本人或其授权代表签字或者加盖公章。谈判过程中，供应商根据谈判情况自行决定变更其</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的，谈判小组不得拒绝，并应当给予供应商必要的时间，但是供应商变更其</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，应当以有利于满足</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要求为原则，不得变更为不利于满足</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规定，否则，其</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作为无效处理。</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2.4.6谈判过程中，谈判的任何一方不得透露与谈判有关的其他供应商的技术资料、价格和其他信息。</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2.4.7谈判过程中，谈判小组发现或者知晓供应商存在违法、违纪行为的，谈判小组应当将该供应商淘汰，不允许其提交最后报价。</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2.4.8谈判完成后，谈判小组应出具谈判情况记录表，谈判情况记录表需包含谈判内容、谈判意见、实质性变动内容等。</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2.5最后报价。</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2.5.1</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能够详细列明采购标的的技术、服务要求的，谈判结束后，谈判小组应当要求所有实质性响应的供应商在规定时间内提交最后报价，提交最后报价的供应商不得少于3家。或</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不能详细列明采购标的的技术、服务要求，需经谈判由供应商提供最终设计方案或解决方案的，谈判结束后，谈判小组应当按照少数服从多数的原则投票推荐3家以上供应商的设计方案或者解决方案，并要求其在规定时间内提交最后报价（财政部另有规定的除外）。</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2.5.2谈判结束后，谈判小组应当要求所有实质性响应的供应商在规定时间内提交最后报价。两轮（若有）以上报价的，供应商在未提高</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中承诺的产品及其服务质量的情况下，其最后报价不得高于对该项目之前的报价，否则，谈判小组应当对其</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按无效处理，并书面告知供应商，说明理由。</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2.5.3供应商最后报价应当由法定代表人/主要负责人/本人或其授权代表签字确认或加盖公章。最后报价是供应商</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的有效组成部分。</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2.5.4最后报价中的算术错误将按以下方法修正：</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的大写金额和小写金额不一致的，以大写金额为准；总价金额与按单价汇总金额不一致的，以单价金额计算结果为准；单价金额小数点有明显错位的，应以总价为准，并修改单价。如果小写、大写金额和单价、总价金额出现明显文字错误，应当按照澄清、说明或者更正程序先纠正错误后，再行修正，不得不经过澄清、说明或者更正，直接将供应商</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作为无效处理。对不同文字文本</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的解释发生异议的，以中文文本为准。</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 谈判小组复核。供应商最后报价结束后，谈判小组应当进行评审复核，对拟推荐为成交候选供应商的、报价最低的、供应商资格审查未通过的、供应商</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作无效处理的重点复核。</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2.7推荐成交候选供应商。谈判小组复核后，应当按照供应商的报价由低到高顺序推荐3家以上成交候选供应商，并编写谈判报告。供应商报价相同的，成交候选供应商并列，</w:t>
      </w:r>
      <w:r>
        <w:rPr>
          <w:rFonts w:hint="eastAsia" w:ascii="仿宋" w:hAnsi="仿宋" w:eastAsia="仿宋" w:cs="仿宋"/>
          <w:color w:val="auto"/>
          <w:sz w:val="24"/>
          <w:szCs w:val="24"/>
          <w:highlight w:val="none"/>
          <w:u w:val="single"/>
        </w:rPr>
        <w:t>优先选择不发达地区和少数民族地区的供应商作为成交人，前者内容都相同的</w:t>
      </w:r>
      <w:r>
        <w:rPr>
          <w:rFonts w:hint="eastAsia" w:ascii="仿宋" w:hAnsi="仿宋" w:eastAsia="仿宋" w:cs="仿宋"/>
          <w:color w:val="auto"/>
          <w:sz w:val="24"/>
          <w:szCs w:val="24"/>
          <w:highlight w:val="none"/>
        </w:rPr>
        <w:t>，由采购人自主采取公平择优的方式选择成交供应商（财政部另有规定的除外）。</w:t>
      </w:r>
    </w:p>
    <w:p>
      <w:pPr>
        <w:pStyle w:val="9"/>
        <w:spacing w:after="0" w:line="360" w:lineRule="auto"/>
        <w:ind w:firstLine="420" w:firstLineChars="1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注意，采购人按照推荐的成交候选供应商顺序确定成交供应商，不能认为采购人只能确定第一成交候选供应商为成交供应商，采购人有正当理由的，可以确定后一顺序成交候选供应商为成交供应商，依次类推。</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2.8采购组织单位现场复核评审结果。</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2.8.1推荐成交候选供应商后，谈判小组拟出具谈判报告前，采购代理机构应当组织2名以上的本单位工作人员，在采购现场监督人员的监督之下，依据有关的法律制度和</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对评审结果进行复核，出具复核报告，存在资格性审查认定错误的，采购代理机构应当根据情况书面建议谈判小组现场修改评审结果。由谈判小组自主决定是否采纳采购代理机构的书面建议，并承担独立评审责任。谈判小组采纳采购代理机构书面建议的，应当按照规定现场修改评审结果或者重新评审，并在谈判报告中详细记载有关事宜；不采纳采购代理机构书面建议的，应当书面说明理由。采购代理机构书面建议未被谈判小组采纳的，应当接照规定程序要求继续组织实施采购活动，不得擅自中止采购活动。采购代理机构认为谈判小组评审结果不合法的，应当书面报告采购项目同级财政部门。</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采购人或采购代理机构复核过程中，谈判小组成员不得离开评审现场。</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2.8.2有下列情形之一的，不得现场修改评审结果：</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（1）谈判小组已经出具谈判报告并且离开评审现场的；</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（2）采购代理机构现场复核时，复核工作人员数量不足的；</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（3）采购代理机构现场复核时，没有采购监督人员现场监督的；</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（4）采购代理机构现场复核内容超出规定范围的；</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（5）采购代理机构未提供书面建议的。</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2.9编写谈判报告。谈判小组推荐成交候选供应商后，应向采购代理机构出具谈判报告。谈判报告应当包括以下主要内容：</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（1）邀请供应商参加采购活动的具体方式和相关情况，以及参加采购活动的供应商名单；</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（2）评审日期和地点，谈判小组、询价小组成员名单；</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（3）评审情况记录和说明，包括对供应商的资格审查情况、供应商</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审查情况、谈判情况、报价情况等；</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（4）推荐的成交候选人的名单及理由。</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谈判报告应当由谈判小组全体人员签字认可。谈判小组成员对谈判报告有异议的，谈判小组按照少数服从多数的原则推荐成交候选供应商，采购程序继续进行。对谈判报告有异议的谈判小组成员，应当在报告上签署不同意见并说明理由，由谈判小组书面记录相关情况。谈判小组成员拒绝在报告上签字又不书面说明其不同意见和理由的，视为同意谈判报告。</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2.10谈判异议处理规则。在谈判过程中，谈判小组成员对</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是否符合</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规定存在争议的，应当以少数服从多数的原则处理，但不违背</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规定。有不同意见的谈判小组成员认为认定过程和结果不符合法律法规或者</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规定的，应当在谈判报告中予以反映。</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2.11供应商澄清、说明</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2.11.1谈判小组在对</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的有效性、完整性和响应程度进行审查时，可以要求供应商对</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中含义不明确、同类问题表述不一致或者有明显文字和计算错误的内容等作出必要的澄清、说明或者更正。供应商的澄清、说明或者更正不得超出</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的范围或者改变</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的实质性内容。</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2.11.2谈判小组要求供应商澄清、说明或者更正</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应当以书面形式作出。供应商的澄清、说明或者更正应当由法定代表人/主要负责人/本人或其授权代表签字或者加盖公章。</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2.12终止谈判采购活动。</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出现下列情形之一的，采购人或者采购代理机构应当终止竞争性谈判采购活动，发布项目终止公告并说明原因，重新开展采购活动：</w:t>
      </w:r>
    </w:p>
    <w:p>
      <w:pPr>
        <w:spacing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（1）因情况变化，不再符合规定的竞争性谈判采购方式适用情形的；</w:t>
      </w:r>
    </w:p>
    <w:p>
      <w:pPr>
        <w:spacing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（2）出现影响采购公正的违法、违规行为的；</w:t>
      </w:r>
    </w:p>
    <w:p>
      <w:pPr>
        <w:spacing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（3）在采购过程中符合要求的供应商或者报价未超过采购预算的供应商不足3家的。（财政部另有规定的除外）</w:t>
      </w:r>
    </w:p>
    <w:p>
      <w:pPr>
        <w:spacing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（4）法律法规规定的其他情形。</w:t>
      </w:r>
    </w:p>
    <w:p>
      <w:pPr>
        <w:pStyle w:val="2"/>
        <w:keepNext w:val="0"/>
        <w:keepLines w:val="0"/>
        <w:spacing w:before="0" w:after="0" w:line="360" w:lineRule="auto"/>
        <w:ind w:firstLine="472" w:firstLineChars="19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3.谈判纪律及注意事项</w:t>
      </w:r>
    </w:p>
    <w:p>
      <w:pPr>
        <w:tabs>
          <w:tab w:val="left" w:pos="851"/>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3.1谈判小组内部讨论的情况和意见必须保密，任何人不得以任何形式透露给供应商或与供应商有关的单位或个人。</w:t>
      </w:r>
    </w:p>
    <w:p>
      <w:pPr>
        <w:tabs>
          <w:tab w:val="left" w:pos="851"/>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3.2在谈判过程中，供应商不得以任何形式对谈判小组成员进行旨在影响谈判结果的私下接触，否则将取消其参与谈判的资格。</w:t>
      </w:r>
    </w:p>
    <w:p>
      <w:pPr>
        <w:tabs>
          <w:tab w:val="left" w:pos="851"/>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3.3对各供应商的商业秘密，谈判小组成员应予以保密，不得泄露给其他供应商。</w:t>
      </w:r>
    </w:p>
    <w:p>
      <w:pPr>
        <w:tabs>
          <w:tab w:val="left" w:pos="851"/>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3.4谈判小组独立评判，推荐成交候选人，并写出书面报告。</w:t>
      </w:r>
    </w:p>
    <w:p>
      <w:pPr>
        <w:tabs>
          <w:tab w:val="left" w:pos="851"/>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3.5谈判小组可根据需要对供应商进行实地考察。</w:t>
      </w:r>
    </w:p>
    <w:p>
      <w:pPr>
        <w:pStyle w:val="2"/>
        <w:keepNext w:val="0"/>
        <w:keepLines w:val="0"/>
        <w:spacing w:before="0" w:after="0" w:line="360" w:lineRule="auto"/>
        <w:ind w:firstLine="472" w:firstLineChars="19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4.确定成交供应商</w:t>
      </w:r>
    </w:p>
    <w:p>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 采购代理机构应当在评审结束后2个工作日内将评审报告送采购人确认；</w:t>
      </w:r>
      <w:bookmarkStart w:id="114" w:name="_Toc101250642"/>
      <w:bookmarkStart w:id="115" w:name="_Toc430773925"/>
      <w:bookmarkStart w:id="116" w:name="_Toc101174147"/>
      <w:bookmarkStart w:id="117" w:name="_Toc101338360"/>
      <w:bookmarkStart w:id="118" w:name="_Toc209847066"/>
    </w:p>
    <w:p>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 采购人应当在收到评审报告后5个工作日内，从评审报告提出的成交候选人中，根据质量和服务均能满足</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实质性响应要求且最后报价最低的原则确定成交供应商。</w:t>
      </w:r>
    </w:p>
    <w:bookmarkEnd w:id="114"/>
    <w:bookmarkEnd w:id="115"/>
    <w:bookmarkEnd w:id="116"/>
    <w:bookmarkEnd w:id="117"/>
    <w:bookmarkEnd w:id="118"/>
    <w:p>
      <w:pPr>
        <w:pStyle w:val="2"/>
        <w:keepNext w:val="0"/>
        <w:keepLines w:val="0"/>
        <w:spacing w:before="0" w:after="0" w:line="360" w:lineRule="auto"/>
        <w:ind w:firstLine="472" w:firstLineChars="19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5.成交通知书</w:t>
      </w:r>
    </w:p>
    <w:p>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 成交通知书为签订政府采购合同的依据之一，是合同的有效组成部分。</w:t>
      </w:r>
    </w:p>
    <w:p>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 采购人按符合采购需求的合格供应商确定成交供应商，确定成交供应商后2个工作日内，采购代理机构在“</w:t>
      </w:r>
      <w:r>
        <w:rPr>
          <w:rFonts w:hint="eastAsia" w:ascii="仿宋" w:hAnsi="仿宋" w:eastAsia="仿宋" w:cs="仿宋"/>
          <w:color w:val="auto"/>
          <w:sz w:val="24"/>
          <w:szCs w:val="24"/>
          <w:highlight w:val="none"/>
          <w:lang w:eastAsia="zh-CN"/>
        </w:rPr>
        <w:t>四川政府采购网</w:t>
      </w:r>
      <w:r>
        <w:rPr>
          <w:rFonts w:hint="eastAsia" w:ascii="仿宋" w:hAnsi="仿宋" w:eastAsia="仿宋" w:cs="仿宋"/>
          <w:color w:val="auto"/>
          <w:sz w:val="24"/>
          <w:szCs w:val="24"/>
          <w:highlight w:val="none"/>
        </w:rPr>
        <w:t>”上公示成交结果，由采购代理机构按照相关法律法规向成交供应商发出成交通知书。</w:t>
      </w:r>
    </w:p>
    <w:p>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 成交通知书将作为签订合同的依据。成交通知书对采购人和成交供应商均具有法律效力。成交通知书发出后，采购人改变成交结果或成交供应商无正当理由放弃成交项目的，应当依法承担相关责任。</w:t>
      </w:r>
    </w:p>
    <w:p>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 采购人和采购代理机构不对成交或未成交原因作出解释，也不退还响应</w:t>
      </w:r>
    </w:p>
    <w:p>
      <w:pPr>
        <w:tabs>
          <w:tab w:val="left" w:pos="7665"/>
        </w:tabs>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24"/>
          <w:szCs w:val="24"/>
          <w:highlight w:val="none"/>
        </w:rPr>
        <w:t>文件。</w:t>
      </w:r>
    </w:p>
    <w:p>
      <w:pPr>
        <w:pStyle w:val="2"/>
        <w:keepNext w:val="0"/>
        <w:keepLines w:val="0"/>
        <w:spacing w:before="0" w:after="0" w:line="360" w:lineRule="auto"/>
        <w:ind w:firstLine="472" w:firstLineChars="19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6.谈判小组在政府采购活动中承担以下义务</w:t>
      </w:r>
    </w:p>
    <w:p>
      <w:pPr>
        <w:tabs>
          <w:tab w:val="left" w:pos="7665"/>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（一）遵守评审工作纪律；</w:t>
      </w:r>
    </w:p>
    <w:p>
      <w:pPr>
        <w:tabs>
          <w:tab w:val="left" w:pos="7665"/>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（二）按照客观、公正、审慎的原则，根据</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规定的评审程序、评审方法和评审标准进行独立评审；</w:t>
      </w:r>
    </w:p>
    <w:p>
      <w:pPr>
        <w:tabs>
          <w:tab w:val="left" w:pos="7665"/>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（三）不得泄露评审文件、评审情况和在评审过程中获悉的商业秘密；</w:t>
      </w:r>
    </w:p>
    <w:p>
      <w:pPr>
        <w:tabs>
          <w:tab w:val="left" w:pos="7665"/>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（四）及时向财政部门报告评审过程中发现的采购人、采购代理机构向评审专家做倾向性、误导性的解释或者说明，以及供应商行贿、提供虚假材料或者串通等违法行为；</w:t>
      </w:r>
    </w:p>
    <w:p>
      <w:pPr>
        <w:tabs>
          <w:tab w:val="left" w:pos="7665"/>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（五）发现</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内容违反国家有关强制性规定或者</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存在歧义、重大缺陷导致评审工作无法进行时，停止评审并向采购人或者采购代理机构书面说明情况；</w:t>
      </w:r>
    </w:p>
    <w:p>
      <w:pPr>
        <w:tabs>
          <w:tab w:val="left" w:pos="7665"/>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（六）及时向财政、监察等部门举报在评审过程中受到非法干预的情况；</w:t>
      </w:r>
    </w:p>
    <w:p>
      <w:pPr>
        <w:tabs>
          <w:tab w:val="left" w:pos="7665"/>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（七）配合答复处理供应商的询问、质疑和投诉等事项；</w:t>
      </w:r>
    </w:p>
    <w:p>
      <w:pPr>
        <w:tabs>
          <w:tab w:val="left" w:pos="7665"/>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（八）法律、法规和规章规定的其他义务。</w:t>
      </w:r>
    </w:p>
    <w:p>
      <w:pPr>
        <w:pStyle w:val="2"/>
        <w:keepNext w:val="0"/>
        <w:keepLines w:val="0"/>
        <w:spacing w:before="0" w:after="0" w:line="360" w:lineRule="auto"/>
        <w:ind w:firstLine="472" w:firstLineChars="19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7.评审专家在政府采购活动中应当遵守以下工作纪律</w:t>
      </w:r>
    </w:p>
    <w:p>
      <w:pPr>
        <w:tabs>
          <w:tab w:val="left" w:pos="7665"/>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（一）不得参加与自己有《中华人民共和国政府采购法实施条例》第九条规定的利害关系的政府采购项目的评标活动。发现参加了与自己有利害关系的评审活动，须主动提出回避，退出评审；</w:t>
      </w:r>
    </w:p>
    <w:p>
      <w:pPr>
        <w:tabs>
          <w:tab w:val="left" w:pos="7665"/>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（二）评审前，应当将通讯工具或者相关电子设备交由采购代理机构统一保管；</w:t>
      </w:r>
    </w:p>
    <w:p>
      <w:pPr>
        <w:tabs>
          <w:tab w:val="left" w:pos="7665"/>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（三）评审过程中，不得与外界联系，因发生不可预见情况，确实需要与外界联系的，应当在监督人员监督之下办理；</w:t>
      </w:r>
    </w:p>
    <w:p>
      <w:pPr>
        <w:tabs>
          <w:tab w:val="left" w:pos="7665"/>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（四）评审过程中，不得发表影响评审公正的倾向性、歧视性言论，不得征询或者接受采购人的倾向性意见，不得明示或暗示供应商在澄清时表达与其</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原义不同的意见，不得以</w:t>
      </w:r>
      <w:r>
        <w:rPr>
          <w:rFonts w:hint="eastAsia" w:ascii="仿宋" w:hAnsi="仿宋" w:eastAsia="仿宋" w:cs="仿宋"/>
          <w:color w:val="auto"/>
          <w:sz w:val="24"/>
          <w:szCs w:val="24"/>
          <w:highlight w:val="none"/>
          <w:lang w:eastAsia="zh-CN"/>
        </w:rPr>
        <w:t>谈判文件</w:t>
      </w:r>
      <w:r>
        <w:rPr>
          <w:rFonts w:hint="eastAsia" w:ascii="仿宋" w:hAnsi="仿宋" w:eastAsia="仿宋" w:cs="仿宋"/>
          <w:color w:val="auto"/>
          <w:sz w:val="24"/>
          <w:szCs w:val="24"/>
          <w:highlight w:val="none"/>
        </w:rPr>
        <w:t>没有规定的评审方法和标准作为评审的依据，不得修改或者细化评审程序、评审方法、评审因素和评审标准，不得违规撰写评审意见，不得拒绝对自己的评审意见签字确认；</w:t>
      </w:r>
    </w:p>
    <w:p>
      <w:pPr>
        <w:tabs>
          <w:tab w:val="left" w:pos="7665"/>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（五）在评审过程中和评审结束后，不得记录、复制或带走任何评审资料，不得向外界透露评审内容；</w:t>
      </w:r>
    </w:p>
    <w:p>
      <w:pPr>
        <w:tabs>
          <w:tab w:val="left" w:pos="7665"/>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（六）评审现场服从采购代理机构工作人员的管理，接受现场监督人员的合法监督；</w:t>
      </w:r>
    </w:p>
    <w:p>
      <w:pPr>
        <w:tabs>
          <w:tab w:val="left" w:pos="7665"/>
        </w:tabs>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（七）遵守有关廉洁自律规定，不得私下接触供应商，不得收受供应商及有关业务单位和个人的财物或好处，不得接受采购代理机构的请托。</w:t>
      </w:r>
    </w:p>
    <w:p>
      <w:pPr>
        <w:tabs>
          <w:tab w:val="left" w:pos="7665"/>
        </w:tabs>
        <w:spacing w:line="360" w:lineRule="auto"/>
        <w:jc w:val="center"/>
        <w:rPr>
          <w:rFonts w:hint="eastAsia" w:ascii="仿宋" w:hAnsi="仿宋" w:eastAsia="仿宋" w:cs="仿宋"/>
          <w:color w:val="auto"/>
          <w:sz w:val="36"/>
          <w:szCs w:val="36"/>
          <w:highlight w:val="none"/>
        </w:rPr>
      </w:pPr>
    </w:p>
    <w:p>
      <w:pPr>
        <w:pStyle w:val="3"/>
        <w:spacing w:before="0" w:after="0" w:line="360" w:lineRule="auto"/>
        <w:jc w:val="center"/>
        <w:rPr>
          <w:rStyle w:val="110"/>
          <w:rFonts w:hint="eastAsia" w:ascii="仿宋" w:hAnsi="仿宋" w:eastAsia="仿宋" w:cs="仿宋"/>
          <w:color w:val="auto"/>
          <w:szCs w:val="24"/>
          <w:highlight w:val="none"/>
        </w:rPr>
      </w:pPr>
      <w:r>
        <w:rPr>
          <w:rFonts w:hint="eastAsia" w:ascii="仿宋" w:hAnsi="仿宋" w:eastAsia="仿宋" w:cs="仿宋"/>
          <w:color w:val="auto"/>
          <w:sz w:val="36"/>
          <w:szCs w:val="36"/>
          <w:highlight w:val="none"/>
        </w:rPr>
        <w:br w:type="page"/>
      </w:r>
      <w:bookmarkEnd w:id="95"/>
      <w:bookmarkEnd w:id="96"/>
      <w:bookmarkEnd w:id="97"/>
      <w:bookmarkStart w:id="119" w:name="_Toc529356232"/>
      <w:bookmarkStart w:id="120" w:name="_Toc30879"/>
      <w:r>
        <w:rPr>
          <w:rStyle w:val="111"/>
          <w:rFonts w:hint="eastAsia" w:ascii="仿宋" w:hAnsi="仿宋" w:eastAsia="仿宋" w:cs="仿宋"/>
          <w:color w:val="auto"/>
          <w:szCs w:val="24"/>
          <w:highlight w:val="none"/>
        </w:rPr>
        <w:t>第十章  政府采购合同</w:t>
      </w:r>
      <w:bookmarkEnd w:id="119"/>
      <w:r>
        <w:rPr>
          <w:rStyle w:val="110"/>
          <w:rFonts w:hint="eastAsia" w:ascii="仿宋" w:hAnsi="仿宋" w:eastAsia="仿宋" w:cs="仿宋"/>
          <w:color w:val="auto"/>
          <w:szCs w:val="24"/>
          <w:highlight w:val="none"/>
        </w:rPr>
        <w:t>（参考文本）</w:t>
      </w:r>
      <w:bookmarkEnd w:id="120"/>
    </w:p>
    <w:p>
      <w:pPr>
        <w:snapToGrid w:val="0"/>
        <w:spacing w:line="360" w:lineRule="auto"/>
        <w:ind w:firstLine="338" w:firstLineChars="141"/>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合同编号：</w:t>
      </w:r>
      <w:r>
        <w:rPr>
          <w:rFonts w:hint="eastAsia" w:ascii="仿宋" w:hAnsi="仿宋" w:eastAsia="仿宋" w:cs="仿宋"/>
          <w:color w:val="auto"/>
          <w:szCs w:val="21"/>
        </w:rPr>
        <w:t>XXXX。</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签订地点：</w:t>
      </w:r>
      <w:r>
        <w:rPr>
          <w:rFonts w:hint="eastAsia" w:ascii="仿宋" w:hAnsi="仿宋" w:eastAsia="仿宋" w:cs="仿宋"/>
          <w:color w:val="auto"/>
          <w:szCs w:val="21"/>
        </w:rPr>
        <w:t>XXXX。</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签订时间：</w:t>
      </w:r>
      <w:r>
        <w:rPr>
          <w:rFonts w:hint="eastAsia" w:ascii="仿宋" w:hAnsi="仿宋" w:eastAsia="仿宋" w:cs="仿宋"/>
          <w:color w:val="auto"/>
          <w:szCs w:val="21"/>
        </w:rPr>
        <w:t>XXXX</w:t>
      </w:r>
      <w:r>
        <w:rPr>
          <w:rFonts w:hint="eastAsia" w:ascii="仿宋" w:hAnsi="仿宋" w:eastAsia="仿宋" w:cs="仿宋"/>
          <w:color w:val="auto"/>
          <w:sz w:val="24"/>
        </w:rPr>
        <w:t>年</w:t>
      </w:r>
      <w:r>
        <w:rPr>
          <w:rFonts w:hint="eastAsia" w:ascii="仿宋" w:hAnsi="仿宋" w:eastAsia="仿宋" w:cs="仿宋"/>
          <w:color w:val="auto"/>
          <w:szCs w:val="21"/>
        </w:rPr>
        <w:t>XX</w:t>
      </w:r>
      <w:r>
        <w:rPr>
          <w:rFonts w:hint="eastAsia" w:ascii="仿宋" w:hAnsi="仿宋" w:eastAsia="仿宋" w:cs="仿宋"/>
          <w:color w:val="auto"/>
          <w:sz w:val="24"/>
        </w:rPr>
        <w:t>月</w:t>
      </w:r>
      <w:r>
        <w:rPr>
          <w:rFonts w:hint="eastAsia" w:ascii="仿宋" w:hAnsi="仿宋" w:eastAsia="仿宋" w:cs="仿宋"/>
          <w:color w:val="auto"/>
          <w:szCs w:val="21"/>
        </w:rPr>
        <w:t>XX</w:t>
      </w:r>
      <w:r>
        <w:rPr>
          <w:rFonts w:hint="eastAsia" w:ascii="仿宋" w:hAnsi="仿宋" w:eastAsia="仿宋" w:cs="仿宋"/>
          <w:color w:val="auto"/>
          <w:sz w:val="24"/>
        </w:rPr>
        <w:t>日。</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采购人（甲方）：</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供应商（乙方）：</w:t>
      </w:r>
    </w:p>
    <w:p>
      <w:pPr>
        <w:spacing w:line="360" w:lineRule="auto"/>
        <w:rPr>
          <w:rFonts w:hint="eastAsia" w:ascii="仿宋" w:hAnsi="仿宋" w:eastAsia="仿宋" w:cs="仿宋"/>
          <w:color w:val="auto"/>
          <w:sz w:val="24"/>
        </w:rPr>
      </w:pPr>
    </w:p>
    <w:p>
      <w:pPr>
        <w:pStyle w:val="92"/>
        <w:spacing w:line="360" w:lineRule="auto"/>
        <w:ind w:firstLine="480"/>
        <w:rPr>
          <w:rFonts w:hint="eastAsia" w:ascii="仿宋" w:hAnsi="仿宋" w:eastAsia="仿宋" w:cs="仿宋"/>
          <w:color w:val="auto"/>
        </w:rPr>
      </w:pPr>
      <w:r>
        <w:rPr>
          <w:rFonts w:hint="eastAsia" w:ascii="仿宋" w:hAnsi="仿宋" w:eastAsia="仿宋" w:cs="仿宋"/>
          <w:color w:val="auto"/>
        </w:rPr>
        <w:t>根据《中华人民共和国政府采购法》、《中华人民共和国</w:t>
      </w:r>
      <w:r>
        <w:rPr>
          <w:rFonts w:hint="eastAsia" w:ascii="仿宋" w:hAnsi="仿宋" w:eastAsia="仿宋" w:cs="仿宋"/>
          <w:color w:val="auto"/>
          <w:lang w:val="en-US" w:eastAsia="zh-CN"/>
        </w:rPr>
        <w:t>民法典</w:t>
      </w:r>
      <w:r>
        <w:rPr>
          <w:rFonts w:hint="eastAsia" w:ascii="仿宋" w:hAnsi="仿宋" w:eastAsia="仿宋" w:cs="仿宋"/>
          <w:color w:val="auto"/>
        </w:rPr>
        <w:t>》及</w:t>
      </w:r>
      <w:r>
        <w:rPr>
          <w:rFonts w:hint="eastAsia" w:ascii="仿宋" w:hAnsi="仿宋" w:eastAsia="仿宋" w:cs="仿宋"/>
          <w:color w:val="auto"/>
          <w:szCs w:val="21"/>
        </w:rPr>
        <w:t>XXXX</w:t>
      </w:r>
      <w:r>
        <w:rPr>
          <w:rFonts w:hint="eastAsia" w:ascii="仿宋" w:hAnsi="仿宋" w:eastAsia="仿宋" w:cs="仿宋"/>
          <w:color w:val="auto"/>
        </w:rPr>
        <w:t>采购项目（项目编号：</w:t>
      </w:r>
      <w:r>
        <w:rPr>
          <w:rFonts w:hint="eastAsia" w:ascii="仿宋" w:hAnsi="仿宋" w:eastAsia="仿宋" w:cs="仿宋"/>
          <w:color w:val="auto"/>
          <w:szCs w:val="21"/>
        </w:rPr>
        <w:t>XX</w:t>
      </w:r>
      <w:r>
        <w:rPr>
          <w:rFonts w:hint="eastAsia" w:ascii="仿宋" w:hAnsi="仿宋" w:eastAsia="仿宋" w:cs="仿宋"/>
          <w:color w:val="auto"/>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pStyle w:val="2"/>
        <w:spacing w:line="360" w:lineRule="auto"/>
        <w:ind w:firstLine="482" w:firstLineChars="200"/>
        <w:rPr>
          <w:rFonts w:hint="eastAsia" w:ascii="仿宋" w:hAnsi="仿宋" w:eastAsia="仿宋" w:cs="仿宋"/>
          <w:color w:val="auto"/>
          <w:sz w:val="24"/>
          <w:szCs w:val="24"/>
        </w:rPr>
      </w:pPr>
      <w:bookmarkStart w:id="121" w:name="_Toc217446107"/>
      <w:r>
        <w:rPr>
          <w:rFonts w:hint="eastAsia" w:ascii="仿宋" w:hAnsi="仿宋" w:eastAsia="仿宋" w:cs="仿宋"/>
          <w:color w:val="auto"/>
          <w:sz w:val="24"/>
          <w:szCs w:val="24"/>
        </w:rPr>
        <w:t>一、合同货物</w:t>
      </w:r>
      <w:bookmarkEnd w:id="121"/>
    </w:p>
    <w:tbl>
      <w:tblPr>
        <w:tblStyle w:val="25"/>
        <w:tblW w:w="9030" w:type="dxa"/>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575"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240" w:firstLineChars="100"/>
              <w:rPr>
                <w:rFonts w:hint="eastAsia" w:ascii="仿宋" w:hAnsi="仿宋" w:eastAsia="仿宋" w:cs="仿宋"/>
                <w:color w:val="auto"/>
                <w:sz w:val="24"/>
              </w:rPr>
            </w:pPr>
            <w:r>
              <w:rPr>
                <w:rFonts w:hint="eastAsia" w:ascii="仿宋" w:hAnsi="仿宋" w:eastAsia="仿宋" w:cs="仿宋"/>
                <w:color w:val="auto"/>
                <w:sz w:val="24"/>
              </w:rPr>
              <w:t>货物品名</w:t>
            </w:r>
          </w:p>
        </w:tc>
        <w:tc>
          <w:tcPr>
            <w:tcW w:w="10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规格</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型号</w:t>
            </w: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360" w:lineRule="auto"/>
              <w:rPr>
                <w:rFonts w:hint="eastAsia" w:ascii="仿宋" w:hAnsi="仿宋" w:eastAsia="仿宋" w:cs="仿宋"/>
                <w:color w:val="auto"/>
                <w:sz w:val="24"/>
              </w:rPr>
            </w:pPr>
            <w:r>
              <w:rPr>
                <w:rFonts w:hint="eastAsia" w:ascii="仿宋" w:hAnsi="仿宋" w:eastAsia="仿宋" w:cs="仿宋"/>
                <w:color w:val="auto"/>
                <w:sz w:val="24"/>
              </w:rPr>
              <w:t>单位</w:t>
            </w: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120" w:firstLineChars="50"/>
              <w:rPr>
                <w:rFonts w:hint="eastAsia" w:ascii="仿宋" w:hAnsi="仿宋" w:eastAsia="仿宋" w:cs="仿宋"/>
                <w:color w:val="auto"/>
                <w:sz w:val="24"/>
              </w:rPr>
            </w:pPr>
            <w:r>
              <w:rPr>
                <w:rFonts w:hint="eastAsia" w:ascii="仿宋" w:hAnsi="仿宋" w:eastAsia="仿宋" w:cs="仿宋"/>
                <w:color w:val="auto"/>
                <w:sz w:val="24"/>
              </w:rPr>
              <w:t>数量</w:t>
            </w: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120" w:firstLineChars="50"/>
              <w:jc w:val="center"/>
              <w:rPr>
                <w:rFonts w:hint="eastAsia" w:ascii="仿宋" w:hAnsi="仿宋" w:eastAsia="仿宋" w:cs="仿宋"/>
                <w:color w:val="auto"/>
                <w:sz w:val="24"/>
              </w:rPr>
            </w:pPr>
            <w:r>
              <w:rPr>
                <w:rFonts w:hint="eastAsia" w:ascii="仿宋" w:hAnsi="仿宋" w:eastAsia="仿宋" w:cs="仿宋"/>
                <w:color w:val="auto"/>
                <w:sz w:val="24"/>
              </w:rPr>
              <w:t>单价</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（万元）</w:t>
            </w:r>
          </w:p>
        </w:tc>
        <w:tc>
          <w:tcPr>
            <w:tcW w:w="11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240" w:firstLineChars="100"/>
              <w:rPr>
                <w:rFonts w:hint="eastAsia" w:ascii="仿宋" w:hAnsi="仿宋" w:eastAsia="仿宋" w:cs="仿宋"/>
                <w:color w:val="auto"/>
                <w:sz w:val="24"/>
              </w:rPr>
            </w:pPr>
            <w:r>
              <w:rPr>
                <w:rFonts w:hint="eastAsia" w:ascii="仿宋" w:hAnsi="仿宋" w:eastAsia="仿宋" w:cs="仿宋"/>
                <w:color w:val="auto"/>
                <w:sz w:val="24"/>
              </w:rPr>
              <w:t>总价</w:t>
            </w:r>
          </w:p>
          <w:p>
            <w:pPr>
              <w:spacing w:line="360" w:lineRule="auto"/>
              <w:rPr>
                <w:rFonts w:hint="eastAsia" w:ascii="仿宋" w:hAnsi="仿宋" w:eastAsia="仿宋" w:cs="仿宋"/>
                <w:color w:val="auto"/>
                <w:sz w:val="24"/>
              </w:rPr>
            </w:pPr>
            <w:r>
              <w:rPr>
                <w:rFonts w:hint="eastAsia" w:ascii="仿宋" w:hAnsi="仿宋" w:eastAsia="仿宋" w:cs="仿宋"/>
                <w:color w:val="auto"/>
                <w:sz w:val="24"/>
              </w:rPr>
              <w:t>（万元）</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随机</w:t>
            </w:r>
          </w:p>
          <w:p>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配件</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120" w:firstLineChars="50"/>
              <w:rPr>
                <w:rFonts w:hint="eastAsia" w:ascii="仿宋" w:hAnsi="仿宋" w:eastAsia="仿宋" w:cs="仿宋"/>
                <w:color w:val="auto"/>
                <w:sz w:val="24"/>
              </w:rPr>
            </w:pPr>
            <w:r>
              <w:rPr>
                <w:rFonts w:hint="eastAsia" w:ascii="仿宋" w:hAnsi="仿宋" w:eastAsia="仿宋" w:cs="仿宋"/>
                <w:color w:val="auto"/>
                <w:sz w:val="24"/>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rPr>
            </w:pPr>
          </w:p>
        </w:tc>
        <w:tc>
          <w:tcPr>
            <w:tcW w:w="11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rPr>
            </w:pPr>
          </w:p>
        </w:tc>
        <w:tc>
          <w:tcPr>
            <w:tcW w:w="105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rPr>
            </w:pPr>
          </w:p>
        </w:tc>
        <w:tc>
          <w:tcPr>
            <w:tcW w:w="72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rPr>
            </w:pPr>
          </w:p>
        </w:tc>
        <w:tc>
          <w:tcPr>
            <w:tcW w:w="90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rPr>
            </w:pPr>
          </w:p>
        </w:tc>
        <w:tc>
          <w:tcPr>
            <w:tcW w:w="118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rPr>
            </w:pPr>
          </w:p>
        </w:tc>
        <w:tc>
          <w:tcPr>
            <w:tcW w:w="126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sz w:val="24"/>
              </w:rPr>
            </w:pPr>
          </w:p>
        </w:tc>
      </w:tr>
    </w:tbl>
    <w:p>
      <w:pPr>
        <w:pStyle w:val="2"/>
        <w:spacing w:line="360" w:lineRule="auto"/>
        <w:ind w:firstLine="482" w:firstLineChars="200"/>
        <w:rPr>
          <w:rFonts w:hint="eastAsia" w:ascii="仿宋" w:hAnsi="仿宋" w:eastAsia="仿宋" w:cs="仿宋"/>
          <w:color w:val="auto"/>
          <w:sz w:val="24"/>
          <w:szCs w:val="24"/>
        </w:rPr>
      </w:pPr>
      <w:bookmarkStart w:id="122" w:name="_Toc217446108"/>
      <w:r>
        <w:rPr>
          <w:rFonts w:hint="eastAsia" w:ascii="仿宋" w:hAnsi="仿宋" w:eastAsia="仿宋" w:cs="仿宋"/>
          <w:color w:val="auto"/>
          <w:sz w:val="24"/>
          <w:szCs w:val="24"/>
        </w:rPr>
        <w:t>二、合同总价</w:t>
      </w:r>
      <w:bookmarkEnd w:id="122"/>
    </w:p>
    <w:p>
      <w:pPr>
        <w:pStyle w:val="6"/>
        <w:spacing w:line="360" w:lineRule="auto"/>
        <w:ind w:firstLine="420" w:firstLineChars="175"/>
        <w:rPr>
          <w:rFonts w:hint="eastAsia" w:ascii="仿宋" w:hAnsi="仿宋" w:eastAsia="仿宋" w:cs="仿宋"/>
          <w:color w:val="auto"/>
          <w:sz w:val="24"/>
        </w:rPr>
      </w:pPr>
      <w:r>
        <w:rPr>
          <w:rFonts w:hint="eastAsia" w:ascii="仿宋" w:hAnsi="仿宋" w:eastAsia="仿宋" w:cs="仿宋"/>
          <w:color w:val="auto"/>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pStyle w:val="2"/>
        <w:spacing w:line="360" w:lineRule="auto"/>
        <w:ind w:firstLine="482" w:firstLineChars="200"/>
        <w:rPr>
          <w:rFonts w:hint="eastAsia" w:ascii="仿宋" w:hAnsi="仿宋" w:eastAsia="仿宋" w:cs="仿宋"/>
          <w:color w:val="auto"/>
          <w:sz w:val="24"/>
          <w:szCs w:val="24"/>
        </w:rPr>
      </w:pPr>
      <w:bookmarkStart w:id="123" w:name="_Toc217446109"/>
      <w:r>
        <w:rPr>
          <w:rFonts w:hint="eastAsia" w:ascii="仿宋" w:hAnsi="仿宋" w:eastAsia="仿宋" w:cs="仿宋"/>
          <w:color w:val="auto"/>
          <w:sz w:val="24"/>
          <w:szCs w:val="24"/>
        </w:rPr>
        <w:t>三、质量要求</w:t>
      </w:r>
      <w:bookmarkEnd w:id="123"/>
    </w:p>
    <w:p>
      <w:pPr>
        <w:pStyle w:val="92"/>
        <w:spacing w:line="360" w:lineRule="auto"/>
        <w:ind w:firstLine="480"/>
        <w:rPr>
          <w:rFonts w:hint="eastAsia" w:ascii="仿宋" w:hAnsi="仿宋" w:eastAsia="仿宋" w:cs="仿宋"/>
          <w:color w:val="auto"/>
        </w:rPr>
      </w:pPr>
      <w:r>
        <w:rPr>
          <w:rFonts w:hint="eastAsia" w:ascii="仿宋" w:hAnsi="仿宋" w:eastAsia="仿宋" w:cs="仿宋"/>
          <w:color w:val="auto"/>
        </w:rPr>
        <w:t>1、乙方须提供全新的货物（含零部件、配件等），表面无划伤、无碰撞痕迹，且权属清楚，不得侵害他人的知识产权。</w:t>
      </w:r>
    </w:p>
    <w:p>
      <w:pPr>
        <w:pStyle w:val="92"/>
        <w:spacing w:line="360" w:lineRule="auto"/>
        <w:ind w:firstLine="480"/>
        <w:rPr>
          <w:rFonts w:hint="eastAsia" w:ascii="仿宋" w:hAnsi="仿宋" w:eastAsia="仿宋" w:cs="仿宋"/>
          <w:color w:val="auto"/>
        </w:rPr>
      </w:pPr>
      <w:r>
        <w:rPr>
          <w:rFonts w:hint="eastAsia" w:ascii="仿宋" w:hAnsi="仿宋" w:eastAsia="仿宋" w:cs="仿宋"/>
          <w:color w:val="auto"/>
        </w:rPr>
        <w:t>2、货物必须符合或优于国家（行业）标准，以及本项目招标文件的质量要求和技术指标与出厂标准。</w:t>
      </w:r>
    </w:p>
    <w:p>
      <w:pPr>
        <w:pStyle w:val="92"/>
        <w:spacing w:line="360" w:lineRule="auto"/>
        <w:ind w:firstLine="480"/>
        <w:rPr>
          <w:rFonts w:hint="eastAsia" w:ascii="仿宋" w:hAnsi="仿宋" w:eastAsia="仿宋" w:cs="仿宋"/>
          <w:color w:val="auto"/>
        </w:rPr>
      </w:pPr>
      <w:r>
        <w:rPr>
          <w:rFonts w:hint="eastAsia" w:ascii="仿宋" w:hAnsi="仿宋" w:eastAsia="仿宋" w:cs="仿宋"/>
          <w:color w:val="auto"/>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pPr>
        <w:pStyle w:val="92"/>
        <w:spacing w:line="360" w:lineRule="auto"/>
        <w:ind w:firstLine="480"/>
        <w:rPr>
          <w:rFonts w:hint="eastAsia" w:ascii="仿宋" w:hAnsi="仿宋" w:eastAsia="仿宋" w:cs="仿宋"/>
          <w:color w:val="auto"/>
        </w:rPr>
      </w:pPr>
      <w:r>
        <w:rPr>
          <w:rFonts w:hint="eastAsia" w:ascii="仿宋" w:hAnsi="仿宋" w:eastAsia="仿宋" w:cs="仿宋"/>
          <w:color w:val="auto"/>
        </w:rPr>
        <w:t>4、货物制造质量出现问题，乙方应负责三包（包修、包换、</w:t>
      </w:r>
      <w:r>
        <w:rPr>
          <w:rFonts w:hint="eastAsia" w:ascii="仿宋" w:hAnsi="仿宋" w:eastAsia="仿宋" w:cs="仿宋"/>
          <w:color w:val="auto"/>
          <w:lang w:val="en-US" w:eastAsia="zh-CN"/>
        </w:rPr>
        <w:t xml:space="preserve">   </w:t>
      </w:r>
      <w:r>
        <w:rPr>
          <w:rFonts w:hint="eastAsia" w:ascii="仿宋" w:hAnsi="仿宋" w:eastAsia="仿宋" w:cs="仿宋"/>
          <w:color w:val="auto"/>
        </w:rPr>
        <w:t>包退），费用由乙方负担，甲方有权到乙方生产场地检查货物质量和生产进度。</w:t>
      </w:r>
    </w:p>
    <w:p>
      <w:pPr>
        <w:pStyle w:val="92"/>
        <w:spacing w:line="360" w:lineRule="auto"/>
        <w:ind w:firstLine="480"/>
        <w:rPr>
          <w:rFonts w:hint="eastAsia" w:ascii="仿宋" w:hAnsi="仿宋" w:eastAsia="仿宋" w:cs="仿宋"/>
          <w:color w:val="auto"/>
        </w:rPr>
      </w:pPr>
      <w:r>
        <w:rPr>
          <w:rFonts w:hint="eastAsia" w:ascii="仿宋" w:hAnsi="仿宋" w:eastAsia="仿宋" w:cs="仿宋"/>
          <w:color w:val="auto"/>
        </w:rPr>
        <w:t>5、货到现场后由于甲方保管不当造成的质量问题，乙方亦应负责修理，但费用由甲方负担。</w:t>
      </w:r>
    </w:p>
    <w:p>
      <w:pPr>
        <w:pStyle w:val="2"/>
        <w:spacing w:line="360" w:lineRule="auto"/>
        <w:ind w:firstLine="482" w:firstLineChars="200"/>
        <w:rPr>
          <w:rFonts w:hint="eastAsia" w:ascii="仿宋" w:hAnsi="仿宋" w:eastAsia="仿宋" w:cs="仿宋"/>
          <w:color w:val="auto"/>
          <w:sz w:val="24"/>
          <w:szCs w:val="24"/>
        </w:rPr>
      </w:pPr>
      <w:bookmarkStart w:id="124" w:name="_Toc217446110"/>
      <w:r>
        <w:rPr>
          <w:rFonts w:hint="eastAsia" w:ascii="仿宋" w:hAnsi="仿宋" w:eastAsia="仿宋" w:cs="仿宋"/>
          <w:color w:val="auto"/>
          <w:sz w:val="24"/>
          <w:szCs w:val="24"/>
        </w:rPr>
        <w:t>四、交货及验收</w:t>
      </w:r>
      <w:bookmarkEnd w:id="124"/>
    </w:p>
    <w:p>
      <w:pPr>
        <w:pStyle w:val="92"/>
        <w:spacing w:line="360" w:lineRule="auto"/>
        <w:ind w:firstLine="480"/>
        <w:rPr>
          <w:rFonts w:hint="eastAsia" w:ascii="仿宋" w:hAnsi="仿宋" w:eastAsia="仿宋" w:cs="仿宋"/>
          <w:color w:val="auto"/>
        </w:rPr>
      </w:pPr>
      <w:r>
        <w:rPr>
          <w:rFonts w:hint="eastAsia" w:ascii="仿宋" w:hAnsi="仿宋" w:eastAsia="仿宋" w:cs="仿宋"/>
          <w:color w:val="auto"/>
        </w:rPr>
        <w:t>1、乙方交货期限为合同签订生效后的</w:t>
      </w:r>
      <w:r>
        <w:rPr>
          <w:rFonts w:hint="eastAsia" w:ascii="仿宋" w:hAnsi="仿宋" w:eastAsia="仿宋" w:cs="仿宋"/>
          <w:color w:val="auto"/>
          <w:szCs w:val="21"/>
        </w:rPr>
        <w:t>XX</w:t>
      </w:r>
      <w:r>
        <w:rPr>
          <w:rFonts w:hint="eastAsia" w:ascii="仿宋" w:hAnsi="仿宋" w:eastAsia="仿宋" w:cs="仿宋"/>
          <w:color w:val="auto"/>
        </w:rPr>
        <w:t>日内，在合同签订生效之日起</w:t>
      </w:r>
      <w:r>
        <w:rPr>
          <w:rFonts w:hint="eastAsia" w:ascii="仿宋" w:hAnsi="仿宋" w:eastAsia="仿宋" w:cs="仿宋"/>
          <w:color w:val="auto"/>
          <w:szCs w:val="21"/>
        </w:rPr>
        <w:t>XX</w:t>
      </w:r>
      <w:r>
        <w:rPr>
          <w:rFonts w:hint="eastAsia" w:ascii="仿宋" w:hAnsi="仿宋" w:eastAsia="仿宋" w:cs="仿宋"/>
          <w:color w:val="auto"/>
        </w:rPr>
        <w:t>天内交货到甲方指定地点，随即在</w:t>
      </w:r>
      <w:r>
        <w:rPr>
          <w:rFonts w:hint="eastAsia" w:ascii="仿宋" w:hAnsi="仿宋" w:eastAsia="仿宋" w:cs="仿宋"/>
          <w:color w:val="auto"/>
          <w:szCs w:val="21"/>
        </w:rPr>
        <w:t>XX</w:t>
      </w:r>
      <w:r>
        <w:rPr>
          <w:rFonts w:hint="eastAsia" w:ascii="仿宋" w:hAnsi="仿宋" w:eastAsia="仿宋" w:cs="仿宋"/>
          <w:color w:val="auto"/>
        </w:rPr>
        <w:t>日内全部完成安装调试验收合格交付使用，并且最迟应在</w:t>
      </w:r>
      <w:r>
        <w:rPr>
          <w:rFonts w:hint="eastAsia" w:ascii="仿宋" w:hAnsi="仿宋" w:eastAsia="仿宋" w:cs="仿宋"/>
          <w:color w:val="auto"/>
          <w:szCs w:val="21"/>
        </w:rPr>
        <w:t>XX</w:t>
      </w:r>
      <w:r>
        <w:rPr>
          <w:rFonts w:hint="eastAsia" w:ascii="仿宋" w:hAnsi="仿宋" w:eastAsia="仿宋" w:cs="仿宋"/>
          <w:color w:val="auto"/>
        </w:rPr>
        <w:t>年</w:t>
      </w:r>
      <w:r>
        <w:rPr>
          <w:rFonts w:hint="eastAsia" w:ascii="仿宋" w:hAnsi="仿宋" w:eastAsia="仿宋" w:cs="仿宋"/>
          <w:color w:val="auto"/>
          <w:szCs w:val="21"/>
        </w:rPr>
        <w:t>XX</w:t>
      </w:r>
      <w:r>
        <w:rPr>
          <w:rFonts w:hint="eastAsia" w:ascii="仿宋" w:hAnsi="仿宋" w:eastAsia="仿宋" w:cs="仿宋"/>
          <w:color w:val="auto"/>
        </w:rPr>
        <w:t>月</w:t>
      </w:r>
      <w:r>
        <w:rPr>
          <w:rFonts w:hint="eastAsia" w:ascii="仿宋" w:hAnsi="仿宋" w:eastAsia="仿宋" w:cs="仿宋"/>
          <w:color w:val="auto"/>
          <w:szCs w:val="21"/>
        </w:rPr>
        <w:t>XX</w:t>
      </w:r>
      <w:r>
        <w:rPr>
          <w:rFonts w:hint="eastAsia" w:ascii="仿宋" w:hAnsi="仿宋" w:eastAsia="仿宋" w:cs="仿宋"/>
          <w:color w:val="auto"/>
        </w:rPr>
        <w:t>日前全部完成安装调试验收合格交付使用(如由于采购人的原因造成合同延迟签订或验收的，时间顺延)。交货验收时须提供产品质检部门从同类产品中抽样检查合格的检测报告。</w:t>
      </w:r>
    </w:p>
    <w:p>
      <w:pPr>
        <w:pStyle w:val="92"/>
        <w:spacing w:line="360" w:lineRule="auto"/>
        <w:ind w:firstLine="480"/>
        <w:rPr>
          <w:rFonts w:hint="eastAsia" w:ascii="仿宋" w:hAnsi="仿宋" w:eastAsia="仿宋" w:cs="仿宋"/>
          <w:color w:val="auto"/>
        </w:rPr>
      </w:pPr>
      <w:r>
        <w:rPr>
          <w:rFonts w:hint="eastAsia" w:ascii="仿宋" w:hAnsi="仿宋" w:eastAsia="仿宋" w:cs="仿宋"/>
          <w:color w:val="auto"/>
        </w:rPr>
        <w:t>2、验收由甲方组织，乙方配合进行：</w:t>
      </w:r>
    </w:p>
    <w:p>
      <w:pPr>
        <w:pStyle w:val="92"/>
        <w:spacing w:line="360" w:lineRule="auto"/>
        <w:ind w:firstLine="480"/>
        <w:rPr>
          <w:rFonts w:hint="eastAsia" w:ascii="仿宋" w:hAnsi="仿宋" w:eastAsia="仿宋" w:cs="仿宋"/>
          <w:color w:val="auto"/>
        </w:rPr>
      </w:pPr>
      <w:r>
        <w:rPr>
          <w:rFonts w:hint="eastAsia" w:ascii="仿宋" w:hAnsi="仿宋" w:eastAsia="仿宋" w:cs="仿宋"/>
          <w:color w:val="auto"/>
        </w:rPr>
        <w:t>(1) 货物在乙方通知安装调试完毕后日内初步验收。初步验收合格后，进入试用期；试用期间发生重大质量问题，修复后试用相应顺延；试用期结束后日内完成最终验收；</w:t>
      </w:r>
    </w:p>
    <w:p>
      <w:pPr>
        <w:pStyle w:val="92"/>
        <w:spacing w:line="360" w:lineRule="auto"/>
        <w:ind w:firstLine="480"/>
        <w:rPr>
          <w:rFonts w:hint="eastAsia" w:ascii="仿宋" w:hAnsi="仿宋" w:eastAsia="仿宋" w:cs="仿宋"/>
          <w:color w:val="auto"/>
        </w:rPr>
      </w:pPr>
      <w:r>
        <w:rPr>
          <w:rFonts w:hint="eastAsia" w:ascii="仿宋" w:hAnsi="仿宋" w:eastAsia="仿宋" w:cs="仿宋"/>
          <w:color w:val="auto"/>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pStyle w:val="92"/>
        <w:spacing w:line="360" w:lineRule="auto"/>
        <w:ind w:firstLine="480"/>
        <w:rPr>
          <w:rFonts w:hint="eastAsia" w:ascii="仿宋" w:hAnsi="仿宋" w:eastAsia="仿宋" w:cs="仿宋"/>
          <w:color w:val="auto"/>
        </w:rPr>
      </w:pPr>
      <w:r>
        <w:rPr>
          <w:rFonts w:hint="eastAsia" w:ascii="仿宋" w:hAnsi="仿宋" w:eastAsia="仿宋" w:cs="仿宋"/>
          <w:color w:val="auto"/>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92"/>
        <w:spacing w:line="360" w:lineRule="auto"/>
        <w:ind w:firstLine="480"/>
        <w:rPr>
          <w:rFonts w:hint="eastAsia" w:ascii="仿宋" w:hAnsi="仿宋" w:eastAsia="仿宋" w:cs="仿宋"/>
          <w:color w:val="auto"/>
        </w:rPr>
      </w:pPr>
      <w:r>
        <w:rPr>
          <w:rFonts w:hint="eastAsia" w:ascii="仿宋" w:hAnsi="仿宋" w:eastAsia="仿宋" w:cs="仿宋"/>
          <w:color w:val="auto"/>
        </w:rPr>
        <w:t>(4) 如质量验收合格，双方签署质量验收报告。</w:t>
      </w:r>
    </w:p>
    <w:p>
      <w:pPr>
        <w:pStyle w:val="92"/>
        <w:spacing w:line="360" w:lineRule="auto"/>
        <w:ind w:firstLine="480"/>
        <w:rPr>
          <w:rFonts w:hint="eastAsia" w:ascii="仿宋" w:hAnsi="仿宋" w:eastAsia="仿宋" w:cs="仿宋"/>
          <w:color w:val="auto"/>
        </w:rPr>
      </w:pPr>
      <w:r>
        <w:rPr>
          <w:rFonts w:hint="eastAsia" w:ascii="仿宋" w:hAnsi="仿宋" w:eastAsia="仿宋" w:cs="仿宋"/>
          <w:color w:val="auto"/>
        </w:rPr>
        <w:t>3、货物安装完成后日内，甲方无故不进行验收工作并已使用货物的，视同已安装调试完成并验收合格。</w:t>
      </w:r>
    </w:p>
    <w:p>
      <w:pPr>
        <w:pStyle w:val="92"/>
        <w:spacing w:line="360" w:lineRule="auto"/>
        <w:ind w:firstLine="480"/>
        <w:rPr>
          <w:rFonts w:hint="eastAsia" w:ascii="仿宋" w:hAnsi="仿宋" w:eastAsia="仿宋" w:cs="仿宋"/>
          <w:color w:val="auto"/>
        </w:rPr>
      </w:pPr>
      <w:r>
        <w:rPr>
          <w:rFonts w:hint="eastAsia" w:ascii="仿宋" w:hAnsi="仿宋" w:eastAsia="仿宋" w:cs="仿宋"/>
          <w:color w:val="auto"/>
        </w:rPr>
        <w:t>4、乙方应将所提供货物的装箱清单、配件、随机工具、用户使用手册、原厂保修卡等资料交付给甲方；乙方不能完整交付货物及本款规定的单证和工具的，必须负责补齐，否则视为未按合同约定交货。</w:t>
      </w:r>
    </w:p>
    <w:p>
      <w:pPr>
        <w:pStyle w:val="92"/>
        <w:spacing w:line="360" w:lineRule="auto"/>
        <w:ind w:firstLine="480"/>
        <w:rPr>
          <w:rFonts w:hint="eastAsia" w:ascii="仿宋" w:hAnsi="仿宋" w:eastAsia="仿宋" w:cs="仿宋"/>
          <w:color w:val="auto"/>
        </w:rPr>
      </w:pPr>
      <w:r>
        <w:rPr>
          <w:rFonts w:hint="eastAsia" w:ascii="仿宋" w:hAnsi="仿宋" w:eastAsia="仿宋" w:cs="仿宋"/>
          <w:color w:val="auto"/>
        </w:rPr>
        <w:t>5、如货物经乙方次维修仍不能达到合同约定的质量标准，甲方有权退货，并视作乙方不能交付货物而须支付违约赔偿金给甲方，甲方还可依法追究乙方的违约责任。 </w:t>
      </w:r>
    </w:p>
    <w:p>
      <w:pPr>
        <w:pStyle w:val="92"/>
        <w:spacing w:line="360" w:lineRule="auto"/>
        <w:ind w:firstLine="480"/>
        <w:rPr>
          <w:rFonts w:hint="eastAsia" w:ascii="仿宋" w:hAnsi="仿宋" w:eastAsia="仿宋" w:cs="仿宋"/>
          <w:color w:val="auto"/>
        </w:rPr>
      </w:pPr>
      <w:r>
        <w:rPr>
          <w:rFonts w:hint="eastAsia" w:ascii="仿宋" w:hAnsi="仿宋" w:eastAsia="仿宋" w:cs="仿宋"/>
          <w:color w:val="auto"/>
        </w:rPr>
        <w:t>6、其他未尽事宜应严格按照《财政部关于进一步加强政府采购需求和履约验收管理的指导意见》（财库〔2016〕205号）的要求进行。</w:t>
      </w:r>
    </w:p>
    <w:p>
      <w:pPr>
        <w:pStyle w:val="2"/>
        <w:spacing w:line="360" w:lineRule="auto"/>
        <w:ind w:firstLine="482" w:firstLineChars="200"/>
        <w:rPr>
          <w:rFonts w:hint="eastAsia" w:ascii="仿宋" w:hAnsi="仿宋" w:eastAsia="仿宋" w:cs="仿宋"/>
          <w:color w:val="auto"/>
          <w:sz w:val="24"/>
          <w:szCs w:val="24"/>
        </w:rPr>
      </w:pPr>
      <w:bookmarkStart w:id="125" w:name="_Toc217446111"/>
      <w:r>
        <w:rPr>
          <w:rFonts w:hint="eastAsia" w:ascii="仿宋" w:hAnsi="仿宋" w:eastAsia="仿宋" w:cs="仿宋"/>
          <w:color w:val="auto"/>
          <w:sz w:val="24"/>
          <w:szCs w:val="24"/>
        </w:rPr>
        <w:t>五、付款方式</w:t>
      </w:r>
      <w:bookmarkEnd w:id="125"/>
    </w:p>
    <w:p>
      <w:pPr>
        <w:pStyle w:val="92"/>
        <w:spacing w:line="360" w:lineRule="auto"/>
        <w:ind w:firstLine="480"/>
        <w:rPr>
          <w:rFonts w:hint="eastAsia" w:ascii="仿宋" w:hAnsi="仿宋" w:eastAsia="仿宋" w:cs="仿宋"/>
          <w:color w:val="auto"/>
        </w:rPr>
      </w:pPr>
      <w:r>
        <w:rPr>
          <w:rFonts w:hint="eastAsia" w:ascii="仿宋" w:hAnsi="仿宋" w:eastAsia="仿宋" w:cs="仿宋"/>
          <w:color w:val="auto"/>
        </w:rPr>
        <w:t>（一）适用于无预付款采购项目</w:t>
      </w:r>
    </w:p>
    <w:p>
      <w:pPr>
        <w:pStyle w:val="92"/>
        <w:spacing w:line="360" w:lineRule="auto"/>
        <w:ind w:firstLine="480"/>
        <w:rPr>
          <w:rFonts w:hint="eastAsia" w:ascii="仿宋" w:hAnsi="仿宋" w:eastAsia="仿宋" w:cs="仿宋"/>
          <w:color w:val="auto"/>
        </w:rPr>
      </w:pPr>
      <w:r>
        <w:rPr>
          <w:rFonts w:hint="eastAsia" w:ascii="仿宋" w:hAnsi="仿宋" w:eastAsia="仿宋" w:cs="仿宋"/>
          <w:color w:val="auto"/>
        </w:rPr>
        <w:t>1、全部货物安装调试完毕并验收合格之日起，甲方接到乙方通知与票据凭证资料以后的日内，按照财政性资金支付有关规定，向乙方支付合同价款￥元，人民币大写元整；</w:t>
      </w:r>
    </w:p>
    <w:p>
      <w:pPr>
        <w:pStyle w:val="92"/>
        <w:spacing w:line="360" w:lineRule="auto"/>
        <w:ind w:firstLine="480"/>
        <w:rPr>
          <w:rFonts w:hint="eastAsia" w:ascii="仿宋" w:hAnsi="仿宋" w:eastAsia="仿宋" w:cs="仿宋"/>
          <w:color w:val="auto"/>
        </w:rPr>
      </w:pPr>
      <w:r>
        <w:rPr>
          <w:rFonts w:hint="eastAsia" w:ascii="仿宋" w:hAnsi="仿宋" w:eastAsia="仿宋" w:cs="仿宋"/>
          <w:color w:val="auto"/>
        </w:rPr>
        <w:t>2、乙方须向甲方出具合法有效完整的完税发票及凭证资料进行支付结算。</w:t>
      </w:r>
    </w:p>
    <w:p>
      <w:pPr>
        <w:pStyle w:val="92"/>
        <w:spacing w:line="360" w:lineRule="auto"/>
        <w:ind w:firstLine="480"/>
        <w:rPr>
          <w:rFonts w:hint="eastAsia" w:ascii="仿宋" w:hAnsi="仿宋" w:eastAsia="仿宋" w:cs="仿宋"/>
          <w:color w:val="auto"/>
        </w:rPr>
      </w:pPr>
      <w:r>
        <w:rPr>
          <w:rFonts w:hint="eastAsia" w:ascii="仿宋" w:hAnsi="仿宋" w:eastAsia="仿宋" w:cs="仿宋"/>
          <w:color w:val="auto"/>
        </w:rPr>
        <w:t>（二）适用于有预付款采购项目（预付款建议不超过政府采购合同金额的30%）</w:t>
      </w:r>
    </w:p>
    <w:p>
      <w:pPr>
        <w:pStyle w:val="92"/>
        <w:spacing w:line="360" w:lineRule="auto"/>
        <w:ind w:firstLine="480"/>
        <w:rPr>
          <w:rFonts w:hint="eastAsia" w:ascii="仿宋" w:hAnsi="仿宋" w:eastAsia="仿宋" w:cs="仿宋"/>
          <w:color w:val="auto"/>
        </w:rPr>
      </w:pPr>
      <w:r>
        <w:rPr>
          <w:rFonts w:hint="eastAsia" w:ascii="仿宋" w:hAnsi="仿宋" w:eastAsia="仿宋" w:cs="仿宋"/>
          <w:color w:val="auto"/>
        </w:rPr>
        <w:t>1、甲方在本合同签订生效之日起接到乙方通知和票据凭证资料后的日内支付合同金额百分之的价款；</w:t>
      </w:r>
    </w:p>
    <w:p>
      <w:pPr>
        <w:pStyle w:val="92"/>
        <w:spacing w:line="360" w:lineRule="auto"/>
        <w:ind w:firstLine="480"/>
        <w:rPr>
          <w:rFonts w:hint="eastAsia" w:ascii="仿宋" w:hAnsi="仿宋" w:eastAsia="仿宋" w:cs="仿宋"/>
          <w:color w:val="auto"/>
        </w:rPr>
      </w:pPr>
      <w:r>
        <w:rPr>
          <w:rFonts w:hint="eastAsia" w:ascii="仿宋" w:hAnsi="仿宋" w:eastAsia="仿宋" w:cs="仿宋"/>
          <w:color w:val="auto"/>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pPr>
        <w:pStyle w:val="92"/>
        <w:spacing w:line="360" w:lineRule="auto"/>
        <w:ind w:firstLine="480"/>
        <w:rPr>
          <w:rFonts w:hint="eastAsia" w:ascii="仿宋" w:hAnsi="仿宋" w:eastAsia="仿宋" w:cs="仿宋"/>
          <w:color w:val="auto"/>
        </w:rPr>
      </w:pPr>
      <w:r>
        <w:rPr>
          <w:rFonts w:hint="eastAsia" w:ascii="仿宋" w:hAnsi="仿宋" w:eastAsia="仿宋" w:cs="仿宋"/>
          <w:color w:val="auto"/>
        </w:rPr>
        <w:t>3、乙方须向甲方出具合法有效完整的完税发票及凭证资料进行支付结算。</w:t>
      </w:r>
    </w:p>
    <w:p>
      <w:pPr>
        <w:pStyle w:val="2"/>
        <w:spacing w:line="360" w:lineRule="auto"/>
        <w:ind w:firstLine="482" w:firstLineChars="200"/>
        <w:rPr>
          <w:rFonts w:hint="eastAsia" w:ascii="仿宋" w:hAnsi="仿宋" w:eastAsia="仿宋" w:cs="仿宋"/>
          <w:color w:val="auto"/>
          <w:sz w:val="24"/>
          <w:szCs w:val="24"/>
        </w:rPr>
      </w:pPr>
      <w:bookmarkStart w:id="126" w:name="_Toc217446112"/>
      <w:r>
        <w:rPr>
          <w:rFonts w:hint="eastAsia" w:ascii="仿宋" w:hAnsi="仿宋" w:eastAsia="仿宋" w:cs="仿宋"/>
          <w:color w:val="auto"/>
          <w:sz w:val="24"/>
          <w:szCs w:val="24"/>
        </w:rPr>
        <w:t>六、售后服务</w:t>
      </w:r>
      <w:bookmarkEnd w:id="126"/>
    </w:p>
    <w:p>
      <w:pPr>
        <w:pStyle w:val="92"/>
        <w:spacing w:line="360" w:lineRule="auto"/>
        <w:ind w:firstLine="480"/>
        <w:rPr>
          <w:rFonts w:hint="eastAsia" w:ascii="仿宋" w:hAnsi="仿宋" w:eastAsia="仿宋" w:cs="仿宋"/>
          <w:color w:val="auto"/>
        </w:rPr>
      </w:pPr>
      <w:r>
        <w:rPr>
          <w:rFonts w:hint="eastAsia" w:ascii="仿宋" w:hAnsi="仿宋" w:eastAsia="仿宋" w:cs="仿宋"/>
          <w:color w:val="auto"/>
        </w:rPr>
        <w:t>1、质保期为验收合格后</w:t>
      </w:r>
      <w:r>
        <w:rPr>
          <w:rFonts w:hint="eastAsia" w:ascii="仿宋" w:hAnsi="仿宋" w:eastAsia="仿宋" w:cs="仿宋"/>
          <w:color w:val="auto"/>
          <w:szCs w:val="21"/>
        </w:rPr>
        <w:t>XX</w:t>
      </w:r>
      <w:r>
        <w:rPr>
          <w:rFonts w:hint="eastAsia" w:ascii="仿宋" w:hAnsi="仿宋" w:eastAsia="仿宋" w:cs="仿宋"/>
          <w:color w:val="auto"/>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pPr>
        <w:pStyle w:val="92"/>
        <w:spacing w:line="360" w:lineRule="auto"/>
        <w:ind w:firstLine="480"/>
        <w:rPr>
          <w:rFonts w:hint="eastAsia" w:ascii="仿宋" w:hAnsi="仿宋" w:eastAsia="仿宋" w:cs="仿宋"/>
          <w:color w:val="auto"/>
        </w:rPr>
      </w:pPr>
      <w:r>
        <w:rPr>
          <w:rFonts w:hint="eastAsia" w:ascii="仿宋" w:hAnsi="仿宋" w:eastAsia="仿宋" w:cs="仿宋"/>
          <w:color w:val="auto"/>
        </w:rPr>
        <w:t>2、乙方须指派专人负责与甲方联系售后服务事宜。 </w:t>
      </w:r>
    </w:p>
    <w:p>
      <w:pPr>
        <w:pStyle w:val="2"/>
        <w:spacing w:line="360" w:lineRule="auto"/>
        <w:ind w:firstLine="482" w:firstLineChars="200"/>
        <w:rPr>
          <w:rFonts w:hint="eastAsia" w:ascii="仿宋" w:hAnsi="仿宋" w:eastAsia="仿宋" w:cs="仿宋"/>
          <w:color w:val="auto"/>
          <w:sz w:val="24"/>
          <w:szCs w:val="24"/>
        </w:rPr>
      </w:pPr>
      <w:bookmarkStart w:id="127" w:name="_Toc217446113"/>
      <w:r>
        <w:rPr>
          <w:rFonts w:hint="eastAsia" w:ascii="仿宋" w:hAnsi="仿宋" w:eastAsia="仿宋" w:cs="仿宋"/>
          <w:color w:val="auto"/>
          <w:sz w:val="24"/>
          <w:szCs w:val="24"/>
        </w:rPr>
        <w:t>七、违约责任</w:t>
      </w:r>
      <w:bookmarkEnd w:id="127"/>
    </w:p>
    <w:p>
      <w:pPr>
        <w:pStyle w:val="92"/>
        <w:spacing w:line="360" w:lineRule="auto"/>
        <w:ind w:firstLine="480"/>
        <w:rPr>
          <w:rFonts w:hint="eastAsia" w:ascii="仿宋" w:hAnsi="仿宋" w:eastAsia="仿宋" w:cs="仿宋"/>
          <w:color w:val="auto"/>
        </w:rPr>
      </w:pPr>
      <w:r>
        <w:rPr>
          <w:rFonts w:hint="eastAsia" w:ascii="仿宋" w:hAnsi="仿宋" w:eastAsia="仿宋" w:cs="仿宋"/>
          <w:color w:val="auto"/>
        </w:rPr>
        <w:t>1、甲方违约责任</w:t>
      </w:r>
    </w:p>
    <w:p>
      <w:pPr>
        <w:pStyle w:val="92"/>
        <w:spacing w:line="360" w:lineRule="auto"/>
        <w:ind w:firstLine="480"/>
        <w:rPr>
          <w:rFonts w:hint="eastAsia" w:ascii="仿宋" w:hAnsi="仿宋" w:eastAsia="仿宋" w:cs="仿宋"/>
          <w:color w:val="auto"/>
        </w:rPr>
      </w:pPr>
      <w:r>
        <w:rPr>
          <w:rFonts w:hint="eastAsia" w:ascii="仿宋" w:hAnsi="仿宋" w:eastAsia="仿宋" w:cs="仿宋"/>
          <w:color w:val="auto"/>
        </w:rPr>
        <w:t>（1） 甲方无正当理由拒收货物的，甲方应偿付合同总价百分之  的违约金；</w:t>
      </w:r>
    </w:p>
    <w:p>
      <w:pPr>
        <w:pStyle w:val="92"/>
        <w:spacing w:line="360" w:lineRule="auto"/>
        <w:ind w:firstLine="480"/>
        <w:rPr>
          <w:rFonts w:hint="eastAsia" w:ascii="仿宋" w:hAnsi="仿宋" w:eastAsia="仿宋" w:cs="仿宋"/>
          <w:color w:val="auto"/>
        </w:rPr>
      </w:pPr>
      <w:r>
        <w:rPr>
          <w:rFonts w:hint="eastAsia" w:ascii="仿宋" w:hAnsi="仿宋" w:eastAsia="仿宋" w:cs="仿宋"/>
          <w:color w:val="auto"/>
        </w:rPr>
        <w:t>（2） 甲方逾期支付货款的，除应及时付足货款外，应向乙方偿付欠款总额万分之/天的违约金；逾期付款超过天的，乙方有权终止合同；</w:t>
      </w:r>
    </w:p>
    <w:p>
      <w:pPr>
        <w:pStyle w:val="92"/>
        <w:spacing w:line="360" w:lineRule="auto"/>
        <w:ind w:firstLine="480"/>
        <w:rPr>
          <w:rFonts w:hint="eastAsia" w:ascii="仿宋" w:hAnsi="仿宋" w:eastAsia="仿宋" w:cs="仿宋"/>
          <w:color w:val="auto"/>
        </w:rPr>
      </w:pPr>
      <w:r>
        <w:rPr>
          <w:rFonts w:hint="eastAsia" w:ascii="仿宋" w:hAnsi="仿宋" w:eastAsia="仿宋" w:cs="仿宋"/>
          <w:color w:val="auto"/>
        </w:rPr>
        <w:t>（3） 甲方偿付的违约金不足以弥补乙方损失的，还应按乙方损失尚未弥补的部分，支付赔偿金给乙方。</w:t>
      </w:r>
    </w:p>
    <w:p>
      <w:pPr>
        <w:pStyle w:val="92"/>
        <w:spacing w:line="360" w:lineRule="auto"/>
        <w:ind w:firstLine="480"/>
        <w:rPr>
          <w:rFonts w:hint="eastAsia" w:ascii="仿宋" w:hAnsi="仿宋" w:eastAsia="仿宋" w:cs="仿宋"/>
          <w:color w:val="auto"/>
        </w:rPr>
      </w:pPr>
      <w:r>
        <w:rPr>
          <w:rFonts w:hint="eastAsia" w:ascii="仿宋" w:hAnsi="仿宋" w:eastAsia="仿宋" w:cs="仿宋"/>
          <w:color w:val="auto"/>
        </w:rPr>
        <w:t>2、乙方违约责任</w:t>
      </w:r>
    </w:p>
    <w:p>
      <w:pPr>
        <w:pStyle w:val="92"/>
        <w:spacing w:line="360" w:lineRule="auto"/>
        <w:ind w:firstLine="480"/>
        <w:rPr>
          <w:rFonts w:hint="eastAsia" w:ascii="仿宋" w:hAnsi="仿宋" w:eastAsia="仿宋" w:cs="仿宋"/>
          <w:color w:val="auto"/>
        </w:rPr>
      </w:pPr>
      <w:r>
        <w:rPr>
          <w:rFonts w:hint="eastAsia" w:ascii="仿宋" w:hAnsi="仿宋" w:eastAsia="仿宋" w:cs="仿宋"/>
          <w:color w:val="auto"/>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pPr>
        <w:pStyle w:val="92"/>
        <w:spacing w:line="360" w:lineRule="auto"/>
        <w:ind w:firstLine="480"/>
        <w:rPr>
          <w:rFonts w:hint="eastAsia" w:ascii="仿宋" w:hAnsi="仿宋" w:eastAsia="仿宋" w:cs="仿宋"/>
          <w:color w:val="auto"/>
        </w:rPr>
      </w:pPr>
      <w:r>
        <w:rPr>
          <w:rFonts w:hint="eastAsia" w:ascii="仿宋" w:hAnsi="仿宋" w:eastAsia="仿宋" w:cs="仿宋"/>
          <w:color w:val="auto"/>
        </w:rPr>
        <w:t>（2）乙方不能交付货物或逾期交付货物而违约的，除应及时交足货物外，应向甲方偿付逾期交货部分货款总额的万分之/天的违约金；逾期交货超过</w:t>
      </w:r>
      <w:r>
        <w:rPr>
          <w:rFonts w:hint="eastAsia" w:ascii="仿宋" w:hAnsi="仿宋" w:eastAsia="仿宋" w:cs="仿宋"/>
          <w:color w:val="auto"/>
          <w:szCs w:val="21"/>
        </w:rPr>
        <w:t>XX</w:t>
      </w:r>
      <w:r>
        <w:rPr>
          <w:rFonts w:hint="eastAsia" w:ascii="仿宋" w:hAnsi="仿宋" w:eastAsia="仿宋" w:cs="仿宋"/>
          <w:color w:val="auto"/>
        </w:rPr>
        <w:t>天，甲方有权终止合同，乙方则应按合同总价的百分之的款额向甲方偿付赔偿金，并须全额退还甲方已经付给乙方的货款及其利息。</w:t>
      </w:r>
    </w:p>
    <w:p>
      <w:pPr>
        <w:pStyle w:val="92"/>
        <w:spacing w:line="360" w:lineRule="auto"/>
        <w:ind w:firstLine="480"/>
        <w:rPr>
          <w:rFonts w:hint="eastAsia" w:ascii="仿宋" w:hAnsi="仿宋" w:eastAsia="仿宋" w:cs="仿宋"/>
          <w:color w:val="auto"/>
        </w:rPr>
      </w:pPr>
      <w:r>
        <w:rPr>
          <w:rFonts w:hint="eastAsia" w:ascii="仿宋" w:hAnsi="仿宋" w:eastAsia="仿宋" w:cs="仿宋"/>
          <w:color w:val="auto"/>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pPr>
        <w:pStyle w:val="92"/>
        <w:spacing w:line="360" w:lineRule="auto"/>
        <w:ind w:firstLine="480"/>
        <w:rPr>
          <w:rFonts w:hint="eastAsia" w:ascii="仿宋" w:hAnsi="仿宋" w:eastAsia="仿宋" w:cs="仿宋"/>
          <w:color w:val="auto"/>
        </w:rPr>
      </w:pPr>
      <w:r>
        <w:rPr>
          <w:rFonts w:hint="eastAsia" w:ascii="仿宋" w:hAnsi="仿宋" w:eastAsia="仿宋" w:cs="仿宋"/>
          <w:color w:val="auto"/>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pPr>
        <w:pStyle w:val="92"/>
        <w:spacing w:line="360" w:lineRule="auto"/>
        <w:ind w:firstLine="480"/>
        <w:rPr>
          <w:rFonts w:hint="eastAsia" w:ascii="仿宋" w:hAnsi="仿宋" w:eastAsia="仿宋" w:cs="仿宋"/>
          <w:color w:val="auto"/>
        </w:rPr>
      </w:pPr>
      <w:r>
        <w:rPr>
          <w:rFonts w:hint="eastAsia" w:ascii="仿宋" w:hAnsi="仿宋" w:eastAsia="仿宋" w:cs="仿宋"/>
          <w:color w:val="auto"/>
        </w:rPr>
        <w:t>（5）乙方偿付的违约金不足以弥补甲方损失的，还应按甲方损失尚未弥补的部分，支付赔偿金给甲方。</w:t>
      </w:r>
    </w:p>
    <w:p>
      <w:pPr>
        <w:pStyle w:val="2"/>
        <w:spacing w:line="360" w:lineRule="auto"/>
        <w:ind w:firstLine="482" w:firstLineChars="200"/>
        <w:rPr>
          <w:rFonts w:hint="eastAsia" w:ascii="仿宋" w:hAnsi="仿宋" w:eastAsia="仿宋" w:cs="仿宋"/>
          <w:color w:val="auto"/>
          <w:sz w:val="24"/>
          <w:szCs w:val="24"/>
        </w:rPr>
      </w:pPr>
      <w:bookmarkStart w:id="128" w:name="_Toc217446114"/>
      <w:r>
        <w:rPr>
          <w:rFonts w:hint="eastAsia" w:ascii="仿宋" w:hAnsi="仿宋" w:eastAsia="仿宋" w:cs="仿宋"/>
          <w:color w:val="auto"/>
          <w:sz w:val="24"/>
          <w:szCs w:val="24"/>
        </w:rPr>
        <w:t>八、争议解决办法</w:t>
      </w:r>
      <w:bookmarkEnd w:id="128"/>
    </w:p>
    <w:p>
      <w:pPr>
        <w:pStyle w:val="92"/>
        <w:spacing w:line="360" w:lineRule="auto"/>
        <w:ind w:firstLine="480"/>
        <w:rPr>
          <w:rFonts w:hint="eastAsia" w:ascii="仿宋" w:hAnsi="仿宋" w:eastAsia="仿宋" w:cs="仿宋"/>
          <w:color w:val="auto"/>
        </w:rPr>
      </w:pPr>
      <w:r>
        <w:rPr>
          <w:rFonts w:hint="eastAsia" w:ascii="仿宋" w:hAnsi="仿宋" w:eastAsia="仿宋" w:cs="仿宋"/>
          <w:color w:val="auto"/>
        </w:rPr>
        <w:t>1、因货物的质量问题发生争议，由质量技术监督部门或其指定的质量鉴定机构进行质量鉴定。货物符合标准的，鉴定费由甲方承担；货物不符合质量标准的，鉴定费由乙方承担。</w:t>
      </w:r>
    </w:p>
    <w:p>
      <w:pPr>
        <w:pStyle w:val="92"/>
        <w:spacing w:line="360" w:lineRule="auto"/>
        <w:ind w:firstLine="480"/>
        <w:rPr>
          <w:rFonts w:hint="eastAsia" w:ascii="仿宋" w:hAnsi="仿宋" w:eastAsia="仿宋" w:cs="仿宋"/>
          <w:color w:val="auto"/>
        </w:rPr>
      </w:pPr>
      <w:r>
        <w:rPr>
          <w:rFonts w:hint="eastAsia" w:ascii="仿宋" w:hAnsi="仿宋" w:eastAsia="仿宋" w:cs="仿宋"/>
          <w:color w:val="auto"/>
        </w:rPr>
        <w:t>2、合同履行期间,若双方发生争议，可协商或由有关部门调解解决，协商或调解不成的，由当事人依法维护其合法权益。</w:t>
      </w:r>
    </w:p>
    <w:p>
      <w:pPr>
        <w:pStyle w:val="2"/>
        <w:spacing w:line="360" w:lineRule="auto"/>
        <w:ind w:firstLine="482" w:firstLineChars="200"/>
        <w:rPr>
          <w:rFonts w:hint="eastAsia" w:ascii="仿宋" w:hAnsi="仿宋" w:eastAsia="仿宋" w:cs="仿宋"/>
          <w:color w:val="auto"/>
          <w:sz w:val="24"/>
          <w:szCs w:val="24"/>
        </w:rPr>
      </w:pPr>
      <w:bookmarkStart w:id="129" w:name="_Toc217446115"/>
      <w:r>
        <w:rPr>
          <w:rFonts w:hint="eastAsia" w:ascii="仿宋" w:hAnsi="仿宋" w:eastAsia="仿宋" w:cs="仿宋"/>
          <w:color w:val="auto"/>
          <w:sz w:val="24"/>
          <w:szCs w:val="24"/>
        </w:rPr>
        <w:t>九、其他</w:t>
      </w:r>
      <w:bookmarkEnd w:id="129"/>
    </w:p>
    <w:p>
      <w:pPr>
        <w:pStyle w:val="92"/>
        <w:spacing w:line="360" w:lineRule="auto"/>
        <w:ind w:firstLine="480"/>
        <w:rPr>
          <w:rFonts w:hint="eastAsia" w:ascii="仿宋" w:hAnsi="仿宋" w:eastAsia="仿宋" w:cs="仿宋"/>
          <w:color w:val="auto"/>
        </w:rPr>
      </w:pPr>
      <w:r>
        <w:rPr>
          <w:rFonts w:hint="eastAsia" w:ascii="仿宋" w:hAnsi="仿宋" w:eastAsia="仿宋" w:cs="仿宋"/>
          <w:color w:val="auto"/>
        </w:rPr>
        <w:t>1、如有未尽事宜，由双方依法订立补充合同。</w:t>
      </w:r>
    </w:p>
    <w:p>
      <w:pPr>
        <w:pStyle w:val="92"/>
        <w:spacing w:line="360" w:lineRule="auto"/>
        <w:ind w:firstLine="480"/>
        <w:rPr>
          <w:rFonts w:hint="eastAsia" w:ascii="仿宋" w:hAnsi="仿宋" w:eastAsia="仿宋" w:cs="仿宋"/>
          <w:color w:val="auto"/>
        </w:rPr>
      </w:pPr>
      <w:r>
        <w:rPr>
          <w:rFonts w:hint="eastAsia" w:ascii="仿宋" w:hAnsi="仿宋" w:eastAsia="仿宋" w:cs="仿宋"/>
          <w:color w:val="auto"/>
        </w:rPr>
        <w:t>2、本合同一式六份，自双方签章之日起生效。甲方三份，乙方、政府采购管理部门、采购代理机构各一份。</w:t>
      </w:r>
    </w:p>
    <w:p>
      <w:pPr>
        <w:spacing w:line="360" w:lineRule="auto"/>
        <w:rPr>
          <w:rFonts w:hint="eastAsia" w:ascii="仿宋" w:hAnsi="仿宋" w:eastAsia="仿宋" w:cs="仿宋"/>
          <w:color w:val="auto"/>
          <w:sz w:val="24"/>
        </w:rPr>
      </w:pP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甲方：   （盖章）   </w:t>
      </w:r>
      <w:r>
        <w:rPr>
          <w:rFonts w:hint="eastAsia" w:ascii="仿宋" w:hAnsi="仿宋" w:eastAsia="仿宋" w:cs="仿宋"/>
          <w:color w:val="auto"/>
          <w:sz w:val="24"/>
        </w:rPr>
        <w:tab/>
      </w:r>
      <w:r>
        <w:rPr>
          <w:rFonts w:hint="eastAsia" w:ascii="仿宋" w:hAnsi="仿宋" w:eastAsia="仿宋" w:cs="仿宋"/>
          <w:color w:val="auto"/>
          <w:sz w:val="24"/>
        </w:rPr>
        <w:tab/>
      </w:r>
      <w:r>
        <w:rPr>
          <w:rFonts w:hint="eastAsia" w:ascii="仿宋" w:hAnsi="仿宋" w:eastAsia="仿宋" w:cs="仿宋"/>
          <w:color w:val="auto"/>
          <w:sz w:val="24"/>
        </w:rPr>
        <w:tab/>
      </w:r>
      <w:r>
        <w:rPr>
          <w:rFonts w:hint="eastAsia" w:ascii="仿宋" w:hAnsi="仿宋" w:eastAsia="仿宋" w:cs="仿宋"/>
          <w:color w:val="auto"/>
          <w:sz w:val="24"/>
        </w:rPr>
        <w:t xml:space="preserve">       乙方：   （盖章）</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法定代表人/单位负责人（授权代表）：法定代表人/单位负责人（授权代表）：</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地    址：                         地    址：</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开户银行：                         开户银行：</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账号：                             账号：</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电    话：                         电    话：</w:t>
      </w:r>
    </w:p>
    <w:p>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传    真：                         传    真：</w:t>
      </w:r>
    </w:p>
    <w:p>
      <w:pPr>
        <w:spacing w:line="360" w:lineRule="auto"/>
        <w:ind w:firstLine="420" w:firstLineChars="200"/>
        <w:rPr>
          <w:rFonts w:hint="eastAsia" w:ascii="仿宋" w:hAnsi="仿宋" w:eastAsia="仿宋" w:cs="仿宋"/>
          <w:color w:val="auto"/>
          <w:szCs w:val="21"/>
        </w:rPr>
      </w:pPr>
      <w:r>
        <w:rPr>
          <w:rFonts w:hint="eastAsia" w:ascii="仿宋" w:hAnsi="仿宋" w:eastAsia="仿宋" w:cs="仿宋"/>
          <w:color w:val="auto"/>
        </w:rPr>
        <w:t>签约日期：</w:t>
      </w:r>
      <w:r>
        <w:rPr>
          <w:rFonts w:hint="eastAsia" w:ascii="仿宋" w:hAnsi="仿宋" w:eastAsia="仿宋" w:cs="仿宋"/>
          <w:color w:val="auto"/>
          <w:szCs w:val="21"/>
        </w:rPr>
        <w:t>XX</w:t>
      </w:r>
      <w:r>
        <w:rPr>
          <w:rFonts w:hint="eastAsia" w:ascii="仿宋" w:hAnsi="仿宋" w:eastAsia="仿宋" w:cs="仿宋"/>
          <w:color w:val="auto"/>
        </w:rPr>
        <w:t>年</w:t>
      </w:r>
      <w:r>
        <w:rPr>
          <w:rFonts w:hint="eastAsia" w:ascii="仿宋" w:hAnsi="仿宋" w:eastAsia="仿宋" w:cs="仿宋"/>
          <w:color w:val="auto"/>
          <w:szCs w:val="21"/>
        </w:rPr>
        <w:t>XX</w:t>
      </w:r>
      <w:r>
        <w:rPr>
          <w:rFonts w:hint="eastAsia" w:ascii="仿宋" w:hAnsi="仿宋" w:eastAsia="仿宋" w:cs="仿宋"/>
          <w:color w:val="auto"/>
        </w:rPr>
        <w:t>月</w:t>
      </w:r>
      <w:r>
        <w:rPr>
          <w:rFonts w:hint="eastAsia" w:ascii="仿宋" w:hAnsi="仿宋" w:eastAsia="仿宋" w:cs="仿宋"/>
          <w:color w:val="auto"/>
          <w:szCs w:val="21"/>
        </w:rPr>
        <w:t>XX</w:t>
      </w:r>
      <w:r>
        <w:rPr>
          <w:rFonts w:hint="eastAsia" w:ascii="仿宋" w:hAnsi="仿宋" w:eastAsia="仿宋" w:cs="仿宋"/>
          <w:color w:val="auto"/>
        </w:rPr>
        <w:t xml:space="preserve">日 </w:t>
      </w:r>
      <w:r>
        <w:rPr>
          <w:rFonts w:hint="eastAsia" w:ascii="仿宋" w:hAnsi="仿宋" w:eastAsia="仿宋" w:cs="仿宋"/>
          <w:color w:val="auto"/>
        </w:rPr>
        <w:tab/>
      </w:r>
      <w:r>
        <w:rPr>
          <w:rFonts w:hint="eastAsia" w:ascii="仿宋" w:hAnsi="仿宋" w:eastAsia="仿宋" w:cs="仿宋"/>
          <w:color w:val="auto"/>
        </w:rPr>
        <w:tab/>
      </w:r>
      <w:r>
        <w:rPr>
          <w:rFonts w:hint="eastAsia" w:ascii="仿宋" w:hAnsi="仿宋" w:eastAsia="仿宋" w:cs="仿宋"/>
          <w:color w:val="auto"/>
        </w:rPr>
        <w:tab/>
      </w:r>
      <w:r>
        <w:rPr>
          <w:rFonts w:hint="eastAsia" w:ascii="仿宋" w:hAnsi="仿宋" w:eastAsia="仿宋" w:cs="仿宋"/>
          <w:color w:val="auto"/>
        </w:rPr>
        <w:t>签约日期：</w:t>
      </w:r>
      <w:r>
        <w:rPr>
          <w:rFonts w:hint="eastAsia" w:ascii="仿宋" w:hAnsi="仿宋" w:eastAsia="仿宋" w:cs="仿宋"/>
          <w:color w:val="auto"/>
          <w:szCs w:val="21"/>
        </w:rPr>
        <w:t>XX</w:t>
      </w:r>
      <w:r>
        <w:rPr>
          <w:rFonts w:hint="eastAsia" w:ascii="仿宋" w:hAnsi="仿宋" w:eastAsia="仿宋" w:cs="仿宋"/>
          <w:color w:val="auto"/>
        </w:rPr>
        <w:t>年</w:t>
      </w:r>
      <w:r>
        <w:rPr>
          <w:rFonts w:hint="eastAsia" w:ascii="仿宋" w:hAnsi="仿宋" w:eastAsia="仿宋" w:cs="仿宋"/>
          <w:color w:val="auto"/>
          <w:szCs w:val="21"/>
        </w:rPr>
        <w:t>XX</w:t>
      </w:r>
      <w:r>
        <w:rPr>
          <w:rFonts w:hint="eastAsia" w:ascii="仿宋" w:hAnsi="仿宋" w:eastAsia="仿宋" w:cs="仿宋"/>
          <w:color w:val="auto"/>
        </w:rPr>
        <w:t>月</w:t>
      </w:r>
      <w:r>
        <w:rPr>
          <w:rFonts w:hint="eastAsia" w:ascii="仿宋" w:hAnsi="仿宋" w:eastAsia="仿宋" w:cs="仿宋"/>
          <w:color w:val="auto"/>
          <w:szCs w:val="21"/>
        </w:rPr>
        <w:t>XX日</w:t>
      </w:r>
    </w:p>
    <w:p>
      <w:pPr>
        <w:widowControl/>
        <w:spacing w:after="0" w:line="360" w:lineRule="auto"/>
        <w:rPr>
          <w:rFonts w:hint="eastAsia" w:ascii="仿宋" w:hAnsi="仿宋" w:eastAsia="仿宋" w:cs="仿宋"/>
          <w:b/>
          <w:bCs/>
          <w:color w:val="auto"/>
          <w:sz w:val="32"/>
          <w:szCs w:val="32"/>
        </w:rPr>
      </w:pPr>
    </w:p>
    <w:p>
      <w:pPr>
        <w:pStyle w:val="6"/>
        <w:snapToGrid w:val="0"/>
        <w:spacing w:line="360" w:lineRule="auto"/>
        <w:ind w:firstLine="338" w:firstLineChars="141"/>
        <w:jc w:val="both"/>
        <w:rPr>
          <w:rFonts w:hint="eastAsia" w:ascii="仿宋" w:hAnsi="仿宋" w:eastAsia="仿宋" w:cs="仿宋"/>
          <w:color w:val="auto"/>
          <w:sz w:val="24"/>
          <w:highlight w:val="none"/>
        </w:rPr>
      </w:pPr>
    </w:p>
    <w:p>
      <w:pPr>
        <w:pStyle w:val="6"/>
        <w:snapToGrid w:val="0"/>
        <w:spacing w:line="360" w:lineRule="auto"/>
        <w:ind w:firstLine="340" w:firstLineChars="141"/>
        <w:jc w:val="both"/>
        <w:rPr>
          <w:rFonts w:hint="eastAsia" w:ascii="仿宋" w:hAnsi="仿宋" w:eastAsia="仿宋" w:cs="仿宋"/>
          <w:b/>
          <w:bCs/>
          <w:color w:val="auto"/>
          <w:sz w:val="24"/>
          <w:highlight w:val="none"/>
        </w:rPr>
      </w:pPr>
    </w:p>
    <w:p>
      <w:pPr>
        <w:spacing w:line="360" w:lineRule="auto"/>
        <w:ind w:firstLine="297" w:firstLineChars="141"/>
        <w:rPr>
          <w:rFonts w:hint="eastAsia" w:ascii="仿宋" w:hAnsi="仿宋" w:eastAsia="仿宋" w:cs="仿宋"/>
          <w:color w:val="auto"/>
          <w:sz w:val="24"/>
          <w:highlight w:val="none"/>
        </w:rPr>
      </w:pPr>
      <w:r>
        <w:rPr>
          <w:rFonts w:hint="eastAsia" w:ascii="仿宋" w:hAnsi="仿宋" w:eastAsia="仿宋" w:cs="仿宋"/>
          <w:b/>
          <w:color w:val="auto"/>
          <w:sz w:val="21"/>
          <w:szCs w:val="28"/>
          <w:highlight w:val="none"/>
        </w:rPr>
        <w:t>注：本章的合同主要条款仅供参考之用，不排除在实际签约时使用更为专业化和细致的商业合同，所签合同条款应包括但不仅限于本章提供的参考条款。</w:t>
      </w:r>
    </w:p>
    <w:p>
      <w:pPr>
        <w:tabs>
          <w:tab w:val="left" w:pos="4860"/>
        </w:tabs>
        <w:adjustRightInd w:val="0"/>
        <w:snapToGrid w:val="0"/>
        <w:spacing w:line="360" w:lineRule="auto"/>
        <w:rPr>
          <w:rFonts w:hint="eastAsia" w:ascii="仿宋" w:hAnsi="仿宋" w:eastAsia="仿宋" w:cs="仿宋"/>
          <w:color w:val="auto"/>
          <w:sz w:val="24"/>
          <w:szCs w:val="24"/>
          <w:highlight w:val="none"/>
        </w:rPr>
      </w:pPr>
    </w:p>
    <w:p>
      <w:pPr>
        <w:spacing w:line="360" w:lineRule="auto"/>
        <w:ind w:firstLine="480" w:firstLineChars="200"/>
        <w:rPr>
          <w:rFonts w:hint="eastAsia" w:ascii="仿宋" w:hAnsi="仿宋" w:eastAsia="仿宋" w:cs="仿宋"/>
          <w:color w:val="auto"/>
          <w:sz w:val="24"/>
          <w:highlight w:val="none"/>
        </w:rPr>
      </w:pPr>
    </w:p>
    <w:p>
      <w:pPr>
        <w:widowControl/>
        <w:spacing w:line="360" w:lineRule="auto"/>
        <w:jc w:val="left"/>
        <w:rPr>
          <w:rFonts w:hint="eastAsia" w:ascii="仿宋" w:hAnsi="仿宋" w:eastAsia="仿宋" w:cs="仿宋"/>
          <w:b/>
          <w:bCs/>
          <w:color w:val="auto"/>
          <w:highlight w:val="none"/>
        </w:rPr>
      </w:pPr>
      <w:r>
        <w:rPr>
          <w:rFonts w:hint="eastAsia" w:ascii="仿宋" w:hAnsi="仿宋" w:eastAsia="仿宋" w:cs="仿宋"/>
          <w:b/>
          <w:bCs/>
          <w:color w:val="auto"/>
          <w:highlight w:val="none"/>
        </w:rPr>
        <w:br w:type="page"/>
      </w:r>
    </w:p>
    <w:p>
      <w:pPr>
        <w:pStyle w:val="6"/>
        <w:spacing w:line="360" w:lineRule="auto"/>
        <w:ind w:firstLine="422"/>
        <w:rPr>
          <w:rStyle w:val="110"/>
          <w:rFonts w:hint="eastAsia" w:ascii="仿宋" w:hAnsi="仿宋" w:eastAsia="仿宋" w:cs="仿宋"/>
          <w:b/>
          <w:bCs/>
          <w:color w:val="auto"/>
          <w:kern w:val="1"/>
          <w:sz w:val="21"/>
          <w:szCs w:val="21"/>
          <w:highlight w:val="none"/>
          <w:lang w:val="zh-TW" w:eastAsia="zh-TW"/>
        </w:rPr>
        <w:sectPr>
          <w:type w:val="nextColumn"/>
          <w:pgSz w:w="11900" w:h="16840"/>
          <w:pgMar w:top="1440" w:right="1800" w:bottom="1440" w:left="1800" w:header="1191" w:footer="1474" w:gutter="0"/>
          <w:cols w:space="720" w:num="1"/>
          <w:docGrid w:linePitch="462" w:charSpace="0"/>
        </w:sectPr>
      </w:pPr>
    </w:p>
    <w:p>
      <w:pPr>
        <w:spacing w:line="360" w:lineRule="auto"/>
        <w:outlineLvl w:val="1"/>
        <w:rPr>
          <w:rFonts w:hint="eastAsia" w:ascii="仿宋" w:hAnsi="仿宋" w:eastAsia="仿宋" w:cs="仿宋"/>
          <w:szCs w:val="21"/>
        </w:rPr>
      </w:pPr>
      <w:r>
        <w:rPr>
          <w:rFonts w:hint="eastAsia" w:ascii="仿宋" w:hAnsi="仿宋" w:eastAsia="仿宋" w:cs="仿宋"/>
          <w:b/>
          <w:bCs/>
          <w:szCs w:val="21"/>
        </w:rPr>
        <w:t>附件一：《四川省财政厅关于推进四川省政府采购供应商信用融资工作的通知》</w:t>
      </w:r>
    </w:p>
    <w:p>
      <w:pPr>
        <w:spacing w:line="360" w:lineRule="auto"/>
        <w:rPr>
          <w:rFonts w:hint="eastAsia" w:ascii="仿宋" w:hAnsi="仿宋" w:eastAsia="仿宋" w:cs="仿宋"/>
        </w:rPr>
      </w:pPr>
      <w:r>
        <w:rPr>
          <w:rFonts w:hint="eastAsia" w:ascii="仿宋" w:hAnsi="仿宋" w:eastAsia="仿宋" w:cs="仿宋"/>
        </w:rPr>
        <w:drawing>
          <wp:inline distT="0" distB="0" distL="114300" distR="114300">
            <wp:extent cx="5270500" cy="7487285"/>
            <wp:effectExtent l="0" t="0" r="2540" b="10795"/>
            <wp:docPr id="12"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C:\Users\Administrator\AppData\Roaming\DingTalk\18198513_v2\ImageFiles\49\lALPDgQ9qzkb4y3NA4nNAn0_637_905.png"/>
                    <pic:cNvPicPr>
                      <a:picLocks noChangeAspect="1"/>
                    </pic:cNvPicPr>
                  </pic:nvPicPr>
                  <pic:blipFill>
                    <a:blip r:embed="rId16"/>
                    <a:stretch>
                      <a:fillRect/>
                    </a:stretch>
                  </pic:blipFill>
                  <pic:spPr>
                    <a:xfrm>
                      <a:off x="0" y="0"/>
                      <a:ext cx="5270500" cy="7487285"/>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796915" cy="8134985"/>
            <wp:effectExtent l="0" t="0" r="9525" b="3175"/>
            <wp:docPr id="6" name="图片 2"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C:\Users\Administrator\AppData\Roaming\DingTalk\18198513_v2\ImageFiles\8a\lALPDgQ9qzkdtwTNA4XNAoI_642_901.png"/>
                    <pic:cNvPicPr>
                      <a:picLocks noChangeAspect="1"/>
                    </pic:cNvPicPr>
                  </pic:nvPicPr>
                  <pic:blipFill>
                    <a:blip r:embed="rId17"/>
                    <a:stretch>
                      <a:fillRect/>
                    </a:stretch>
                  </pic:blipFill>
                  <pic:spPr>
                    <a:xfrm>
                      <a:off x="0" y="0"/>
                      <a:ext cx="5796915" cy="8134985"/>
                    </a:xfrm>
                    <a:prstGeom prst="rect">
                      <a:avLst/>
                    </a:prstGeom>
                    <a:noFill/>
                    <a:ln>
                      <a:noFill/>
                    </a:ln>
                  </pic:spPr>
                </pic:pic>
              </a:graphicData>
            </a:graphic>
          </wp:inline>
        </w:drawing>
      </w: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114300" distR="114300">
            <wp:extent cx="5941060" cy="8237220"/>
            <wp:effectExtent l="0" t="0" r="2540" b="7620"/>
            <wp:docPr id="7" name="图片 3"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C:\Users\Administrator\AppData\Roaming\DingTalk\18198513_v2\ImageFiles\36\lALPDgQ9qzkb_mjNA3bNAn8_639_886.png"/>
                    <pic:cNvPicPr>
                      <a:picLocks noChangeAspect="1"/>
                    </pic:cNvPicPr>
                  </pic:nvPicPr>
                  <pic:blipFill>
                    <a:blip r:embed="rId18"/>
                    <a:stretch>
                      <a:fillRect/>
                    </a:stretch>
                  </pic:blipFill>
                  <pic:spPr>
                    <a:xfrm>
                      <a:off x="0" y="0"/>
                      <a:ext cx="5941060" cy="8237220"/>
                    </a:xfrm>
                    <a:prstGeom prst="rect">
                      <a:avLst/>
                    </a:prstGeom>
                    <a:noFill/>
                    <a:ln>
                      <a:noFill/>
                    </a:ln>
                  </pic:spPr>
                </pic:pic>
              </a:graphicData>
            </a:graphic>
          </wp:inline>
        </w:drawing>
      </w: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114300" distR="114300">
            <wp:extent cx="5941060" cy="8303895"/>
            <wp:effectExtent l="0" t="0" r="2540" b="1905"/>
            <wp:docPr id="8" name="图片 4"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C:\Users\Administrator\AppData\Roaming\DingTalk\18198513_v2\ImageFiles\78\lALPDgQ9qzkb4yrNA3LNAnc_631_882.png"/>
                    <pic:cNvPicPr>
                      <a:picLocks noChangeAspect="1"/>
                    </pic:cNvPicPr>
                  </pic:nvPicPr>
                  <pic:blipFill>
                    <a:blip r:embed="rId19"/>
                    <a:stretch>
                      <a:fillRect/>
                    </a:stretch>
                  </pic:blipFill>
                  <pic:spPr>
                    <a:xfrm>
                      <a:off x="0" y="0"/>
                      <a:ext cx="5941060" cy="8303895"/>
                    </a:xfrm>
                    <a:prstGeom prst="rect">
                      <a:avLst/>
                    </a:prstGeom>
                    <a:noFill/>
                    <a:ln>
                      <a:noFill/>
                    </a:ln>
                  </pic:spPr>
                </pic:pic>
              </a:graphicData>
            </a:graphic>
          </wp:inline>
        </w:drawing>
      </w: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114300" distR="114300">
            <wp:extent cx="5941060" cy="8076565"/>
            <wp:effectExtent l="0" t="0" r="2540" b="635"/>
            <wp:docPr id="9" name="图片 5"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C:\Users\Administrator\AppData\Roaming\DingTalk\18198513_v2\ImageFiles\72\lALPDgQ9qzkdtwHNA2LNAn0_637_866.png"/>
                    <pic:cNvPicPr>
                      <a:picLocks noChangeAspect="1"/>
                    </pic:cNvPicPr>
                  </pic:nvPicPr>
                  <pic:blipFill>
                    <a:blip r:embed="rId20"/>
                    <a:stretch>
                      <a:fillRect/>
                    </a:stretch>
                  </pic:blipFill>
                  <pic:spPr>
                    <a:xfrm>
                      <a:off x="0" y="0"/>
                      <a:ext cx="5941060" cy="8076565"/>
                    </a:xfrm>
                    <a:prstGeom prst="rect">
                      <a:avLst/>
                    </a:prstGeom>
                    <a:noFill/>
                    <a:ln>
                      <a:noFill/>
                    </a:ln>
                  </pic:spPr>
                </pic:pic>
              </a:graphicData>
            </a:graphic>
          </wp:inline>
        </w:drawing>
      </w: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114300" distR="114300">
            <wp:extent cx="5941060" cy="8279765"/>
            <wp:effectExtent l="0" t="0" r="2540" b="10795"/>
            <wp:docPr id="14" name="图片 6"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C:\Users\Administrator\AppData\Roaming\DingTalk\18198513_v2\ImageFiles\65\lALPDgQ9qzkb_mnNA3zNAoA_640_892.png"/>
                    <pic:cNvPicPr>
                      <a:picLocks noChangeAspect="1"/>
                    </pic:cNvPicPr>
                  </pic:nvPicPr>
                  <pic:blipFill>
                    <a:blip r:embed="rId21"/>
                    <a:stretch>
                      <a:fillRect/>
                    </a:stretch>
                  </pic:blipFill>
                  <pic:spPr>
                    <a:xfrm>
                      <a:off x="0" y="0"/>
                      <a:ext cx="5941060" cy="8279765"/>
                    </a:xfrm>
                    <a:prstGeom prst="rect">
                      <a:avLst/>
                    </a:prstGeom>
                    <a:noFill/>
                    <a:ln>
                      <a:noFill/>
                    </a:ln>
                  </pic:spPr>
                </pic:pic>
              </a:graphicData>
            </a:graphic>
          </wp:inline>
        </w:drawing>
      </w: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114300" distR="114300">
            <wp:extent cx="5941060" cy="8360410"/>
            <wp:effectExtent l="0" t="0" r="2540" b="6350"/>
            <wp:docPr id="11" name="图片 7"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C:\Users\Administrator\AppData\Roaming\DingTalk\18198513_v2\ImageFiles\97\lALPDgQ9qzkb4yzNA3_NAnw_636_895.png"/>
                    <pic:cNvPicPr>
                      <a:picLocks noChangeAspect="1"/>
                    </pic:cNvPicPr>
                  </pic:nvPicPr>
                  <pic:blipFill>
                    <a:blip r:embed="rId22"/>
                    <a:stretch>
                      <a:fillRect/>
                    </a:stretch>
                  </pic:blipFill>
                  <pic:spPr>
                    <a:xfrm>
                      <a:off x="0" y="0"/>
                      <a:ext cx="5941060" cy="8360410"/>
                    </a:xfrm>
                    <a:prstGeom prst="rect">
                      <a:avLst/>
                    </a:prstGeom>
                    <a:noFill/>
                    <a:ln>
                      <a:noFill/>
                    </a:ln>
                  </pic:spPr>
                </pic:pic>
              </a:graphicData>
            </a:graphic>
          </wp:inline>
        </w:drawing>
      </w: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114300" distR="114300">
            <wp:extent cx="5941060" cy="8354695"/>
            <wp:effectExtent l="0" t="0" r="2540" b="12065"/>
            <wp:docPr id="10" name="图片 8"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C:\Users\Administrator\AppData\Roaming\DingTalk\18198513_v2\ImageFiles\e8\lALPDgQ9qzkdtwPNA3bNAnY_630_886.png"/>
                    <pic:cNvPicPr>
                      <a:picLocks noChangeAspect="1"/>
                    </pic:cNvPicPr>
                  </pic:nvPicPr>
                  <pic:blipFill>
                    <a:blip r:embed="rId23"/>
                    <a:stretch>
                      <a:fillRect/>
                    </a:stretch>
                  </pic:blipFill>
                  <pic:spPr>
                    <a:xfrm>
                      <a:off x="0" y="0"/>
                      <a:ext cx="5941060" cy="8354695"/>
                    </a:xfrm>
                    <a:prstGeom prst="rect">
                      <a:avLst/>
                    </a:prstGeom>
                    <a:noFill/>
                    <a:ln>
                      <a:noFill/>
                    </a:ln>
                  </pic:spPr>
                </pic:pic>
              </a:graphicData>
            </a:graphic>
          </wp:inline>
        </w:drawing>
      </w: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114300" distR="114300">
            <wp:extent cx="5941060" cy="8089265"/>
            <wp:effectExtent l="0" t="0" r="2540" b="3175"/>
            <wp:docPr id="4" name="图片 9"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C:\Users\Administrator\AppData\Roaming\DingTalk\18198513_v2\ImageFiles\43\lALPDgQ9qzkb_mrNA2LNAnw_636_866.png"/>
                    <pic:cNvPicPr>
                      <a:picLocks noChangeAspect="1"/>
                    </pic:cNvPicPr>
                  </pic:nvPicPr>
                  <pic:blipFill>
                    <a:blip r:embed="rId24"/>
                    <a:stretch>
                      <a:fillRect/>
                    </a:stretch>
                  </pic:blipFill>
                  <pic:spPr>
                    <a:xfrm>
                      <a:off x="0" y="0"/>
                      <a:ext cx="5941060" cy="8089265"/>
                    </a:xfrm>
                    <a:prstGeom prst="rect">
                      <a:avLst/>
                    </a:prstGeom>
                    <a:noFill/>
                    <a:ln>
                      <a:noFill/>
                    </a:ln>
                  </pic:spPr>
                </pic:pic>
              </a:graphicData>
            </a:graphic>
          </wp:inline>
        </w:drawing>
      </w:r>
      <w:r>
        <w:rPr>
          <w:rFonts w:hint="eastAsia" w:ascii="仿宋" w:hAnsi="仿宋" w:eastAsia="仿宋" w:cs="仿宋"/>
        </w:rPr>
        <w:br w:type="page"/>
      </w:r>
    </w:p>
    <w:p>
      <w:pPr>
        <w:rPr>
          <w:rFonts w:hint="eastAsia" w:ascii="仿宋" w:hAnsi="仿宋" w:eastAsia="仿宋" w:cs="仿宋"/>
        </w:rPr>
      </w:pPr>
      <w:r>
        <w:rPr>
          <w:rFonts w:hint="eastAsia" w:ascii="仿宋" w:hAnsi="仿宋" w:eastAsia="仿宋" w:cs="仿宋"/>
        </w:rPr>
        <w:drawing>
          <wp:inline distT="0" distB="0" distL="114300" distR="114300">
            <wp:extent cx="5941060" cy="8197850"/>
            <wp:effectExtent l="0" t="0" r="2540" b="1270"/>
            <wp:docPr id="13" name="图片 10"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C:\Users\Administrator\AppData\Roaming\DingTalk\18198513_v2\ImageFiles\5e\lALPDgQ9qzkb4yvNA2TNAnU_629_868.png"/>
                    <pic:cNvPicPr>
                      <a:picLocks noChangeAspect="1"/>
                    </pic:cNvPicPr>
                  </pic:nvPicPr>
                  <pic:blipFill>
                    <a:blip r:embed="rId25"/>
                    <a:stretch>
                      <a:fillRect/>
                    </a:stretch>
                  </pic:blipFill>
                  <pic:spPr>
                    <a:xfrm>
                      <a:off x="0" y="0"/>
                      <a:ext cx="5941060" cy="8197850"/>
                    </a:xfrm>
                    <a:prstGeom prst="rect">
                      <a:avLst/>
                    </a:prstGeom>
                    <a:noFill/>
                    <a:ln>
                      <a:noFill/>
                    </a:ln>
                  </pic:spPr>
                </pic:pic>
              </a:graphicData>
            </a:graphic>
          </wp:inline>
        </w:drawing>
      </w:r>
      <w:r>
        <w:rPr>
          <w:rFonts w:hint="eastAsia" w:ascii="仿宋" w:hAnsi="仿宋" w:eastAsia="仿宋" w:cs="仿宋"/>
        </w:rPr>
        <w:drawing>
          <wp:inline distT="0" distB="0" distL="114300" distR="114300">
            <wp:extent cx="5941060" cy="8289290"/>
            <wp:effectExtent l="0" t="0" r="2540" b="1270"/>
            <wp:docPr id="3" name="图片 11"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C:\Users\Administrator\AppData\Roaming\DingTalk\18198513_v2\ImageFiles\bb\lALPDgQ9qzkdtwLNA33NAoA_640_893.png"/>
                    <pic:cNvPicPr>
                      <a:picLocks noChangeAspect="1"/>
                    </pic:cNvPicPr>
                  </pic:nvPicPr>
                  <pic:blipFill>
                    <a:blip r:embed="rId26"/>
                    <a:stretch>
                      <a:fillRect/>
                    </a:stretch>
                  </pic:blipFill>
                  <pic:spPr>
                    <a:xfrm>
                      <a:off x="0" y="0"/>
                      <a:ext cx="5941060" cy="8289290"/>
                    </a:xfrm>
                    <a:prstGeom prst="rect">
                      <a:avLst/>
                    </a:prstGeom>
                    <a:noFill/>
                    <a:ln>
                      <a:noFill/>
                    </a:ln>
                  </pic:spPr>
                </pic:pic>
              </a:graphicData>
            </a:graphic>
          </wp:inline>
        </w:drawing>
      </w:r>
    </w:p>
    <w:p>
      <w:pPr>
        <w:spacing w:line="400" w:lineRule="exact"/>
        <w:rPr>
          <w:rFonts w:hint="eastAsia" w:ascii="仿宋" w:hAnsi="仿宋" w:eastAsia="仿宋" w:cs="仿宋"/>
          <w:b/>
          <w:sz w:val="30"/>
          <w:szCs w:val="30"/>
        </w:rPr>
      </w:pPr>
    </w:p>
    <w:p>
      <w:pPr>
        <w:spacing w:line="400" w:lineRule="exact"/>
        <w:rPr>
          <w:rFonts w:hint="eastAsia" w:ascii="仿宋" w:hAnsi="仿宋" w:eastAsia="仿宋" w:cs="仿宋"/>
          <w:b/>
          <w:sz w:val="30"/>
          <w:szCs w:val="30"/>
        </w:rPr>
      </w:pPr>
    </w:p>
    <w:p>
      <w:pPr>
        <w:spacing w:line="400" w:lineRule="exact"/>
        <w:outlineLvl w:val="1"/>
        <w:rPr>
          <w:rFonts w:hint="eastAsia" w:ascii="仿宋" w:hAnsi="仿宋" w:eastAsia="仿宋" w:cs="仿宋"/>
          <w:b/>
          <w:szCs w:val="21"/>
        </w:rPr>
      </w:pPr>
      <w:r>
        <w:rPr>
          <w:rFonts w:hint="eastAsia" w:ascii="仿宋" w:hAnsi="仿宋" w:eastAsia="仿宋" w:cs="仿宋"/>
          <w:b/>
          <w:szCs w:val="21"/>
        </w:rPr>
        <w:t>附件二：《成都市中小企业政府采购信用融资暂行办法》和《成都市级支持中小企业政府采购信用融资实施方案》</w:t>
      </w:r>
    </w:p>
    <w:p>
      <w:pPr>
        <w:rPr>
          <w:rFonts w:hint="eastAsia" w:ascii="仿宋" w:hAnsi="仿宋" w:eastAsia="仿宋" w:cs="仿宋"/>
        </w:rPr>
      </w:pPr>
      <w:r>
        <w:rPr>
          <w:rFonts w:hint="eastAsia" w:ascii="仿宋" w:hAnsi="仿宋" w:eastAsia="仿宋" w:cs="仿宋"/>
        </w:rPr>
        <w:drawing>
          <wp:inline distT="0" distB="0" distL="114300" distR="114300">
            <wp:extent cx="5184775" cy="6944995"/>
            <wp:effectExtent l="0" t="0" r="12065" b="4445"/>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27"/>
                    <a:stretch>
                      <a:fillRect/>
                    </a:stretch>
                  </pic:blipFill>
                  <pic:spPr>
                    <a:xfrm>
                      <a:off x="0" y="0"/>
                      <a:ext cx="5184775" cy="6944995"/>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114300" distR="114300">
            <wp:extent cx="5910580" cy="8364220"/>
            <wp:effectExtent l="0" t="0" r="2540" b="2540"/>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8"/>
                    <a:stretch>
                      <a:fillRect/>
                    </a:stretch>
                  </pic:blipFill>
                  <pic:spPr>
                    <a:xfrm>
                      <a:off x="0" y="0"/>
                      <a:ext cx="5910580" cy="8364220"/>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114300" distR="114300">
            <wp:extent cx="5930900" cy="7664450"/>
            <wp:effectExtent l="0" t="0" r="12700" b="127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29"/>
                    <a:stretch>
                      <a:fillRect/>
                    </a:stretch>
                  </pic:blipFill>
                  <pic:spPr>
                    <a:xfrm>
                      <a:off x="0" y="0"/>
                      <a:ext cx="5930900" cy="7664450"/>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114300" distR="114300">
            <wp:extent cx="5882640" cy="8324850"/>
            <wp:effectExtent l="0" t="0" r="0" b="1143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30"/>
                    <a:stretch>
                      <a:fillRect/>
                    </a:stretch>
                  </pic:blipFill>
                  <pic:spPr>
                    <a:xfrm>
                      <a:off x="0" y="0"/>
                      <a:ext cx="5882640" cy="8324850"/>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114300" distR="114300">
            <wp:extent cx="5860415" cy="7603490"/>
            <wp:effectExtent l="0" t="0" r="6985" b="1270"/>
            <wp:docPr id="3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6"/>
                    <pic:cNvPicPr>
                      <a:picLocks noChangeAspect="1"/>
                    </pic:cNvPicPr>
                  </pic:nvPicPr>
                  <pic:blipFill>
                    <a:blip r:embed="rId31"/>
                    <a:stretch>
                      <a:fillRect/>
                    </a:stretch>
                  </pic:blipFill>
                  <pic:spPr>
                    <a:xfrm>
                      <a:off x="0" y="0"/>
                      <a:ext cx="5860415" cy="7603490"/>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114300" distR="114300">
            <wp:extent cx="5875655" cy="8314690"/>
            <wp:effectExtent l="0" t="0" r="6985" b="635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32"/>
                    <a:stretch>
                      <a:fillRect/>
                    </a:stretch>
                  </pic:blipFill>
                  <pic:spPr>
                    <a:xfrm>
                      <a:off x="0" y="0"/>
                      <a:ext cx="5875655" cy="8314690"/>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114300" distR="114300">
            <wp:extent cx="5970905" cy="8053705"/>
            <wp:effectExtent l="0" t="0" r="3175" b="8255"/>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33"/>
                    <a:stretch>
                      <a:fillRect/>
                    </a:stretch>
                  </pic:blipFill>
                  <pic:spPr>
                    <a:xfrm>
                      <a:off x="0" y="0"/>
                      <a:ext cx="5970905" cy="8053705"/>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114300" distR="114300">
            <wp:extent cx="5920105" cy="8364220"/>
            <wp:effectExtent l="0" t="0" r="8255" b="2540"/>
            <wp:docPr id="1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pic:cNvPicPr>
                      <a:picLocks noChangeAspect="1"/>
                    </pic:cNvPicPr>
                  </pic:nvPicPr>
                  <pic:blipFill>
                    <a:blip r:embed="rId34"/>
                    <a:stretch>
                      <a:fillRect/>
                    </a:stretch>
                  </pic:blipFill>
                  <pic:spPr>
                    <a:xfrm>
                      <a:off x="0" y="0"/>
                      <a:ext cx="5920105" cy="8364220"/>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114300" distR="114300">
            <wp:extent cx="5868035" cy="7672705"/>
            <wp:effectExtent l="0" t="0" r="14605" b="8255"/>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pic:cNvPicPr>
                      <a:picLocks noChangeAspect="1"/>
                    </pic:cNvPicPr>
                  </pic:nvPicPr>
                  <pic:blipFill>
                    <a:blip r:embed="rId35"/>
                    <a:stretch>
                      <a:fillRect/>
                    </a:stretch>
                  </pic:blipFill>
                  <pic:spPr>
                    <a:xfrm>
                      <a:off x="0" y="0"/>
                      <a:ext cx="5868035" cy="7672705"/>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114300" distR="114300">
            <wp:extent cx="5899785" cy="8348980"/>
            <wp:effectExtent l="0" t="0" r="13335" b="2540"/>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36"/>
                    <a:stretch>
                      <a:fillRect/>
                    </a:stretch>
                  </pic:blipFill>
                  <pic:spPr>
                    <a:xfrm>
                      <a:off x="0" y="0"/>
                      <a:ext cx="5899785" cy="8348980"/>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114300" distR="114300">
            <wp:extent cx="5923280" cy="7786370"/>
            <wp:effectExtent l="0" t="0" r="5080" b="1270"/>
            <wp:docPr id="1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2"/>
                    <pic:cNvPicPr>
                      <a:picLocks noChangeAspect="1"/>
                    </pic:cNvPicPr>
                  </pic:nvPicPr>
                  <pic:blipFill>
                    <a:blip r:embed="rId37"/>
                    <a:stretch>
                      <a:fillRect/>
                    </a:stretch>
                  </pic:blipFill>
                  <pic:spPr>
                    <a:xfrm>
                      <a:off x="0" y="0"/>
                      <a:ext cx="5923280" cy="7786370"/>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114300" distR="114300">
            <wp:extent cx="5899785" cy="8335010"/>
            <wp:effectExtent l="0" t="0" r="13335" b="1270"/>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38"/>
                    <a:stretch>
                      <a:fillRect/>
                    </a:stretch>
                  </pic:blipFill>
                  <pic:spPr>
                    <a:xfrm>
                      <a:off x="0" y="0"/>
                      <a:ext cx="5899785" cy="8335010"/>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114300" distR="114300">
            <wp:extent cx="6011545" cy="7740015"/>
            <wp:effectExtent l="0" t="0" r="8255" b="1905"/>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39"/>
                    <a:stretch>
                      <a:fillRect/>
                    </a:stretch>
                  </pic:blipFill>
                  <pic:spPr>
                    <a:xfrm>
                      <a:off x="0" y="0"/>
                      <a:ext cx="6011545" cy="7740015"/>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114300" distR="114300">
            <wp:extent cx="5899785" cy="8348980"/>
            <wp:effectExtent l="0" t="0" r="13335" b="2540"/>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40"/>
                    <a:stretch>
                      <a:fillRect/>
                    </a:stretch>
                  </pic:blipFill>
                  <pic:spPr>
                    <a:xfrm>
                      <a:off x="0" y="0"/>
                      <a:ext cx="5899785" cy="8348980"/>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114300" distR="114300">
            <wp:extent cx="5970905" cy="7463790"/>
            <wp:effectExtent l="0" t="0" r="3175" b="3810"/>
            <wp:docPr id="3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pic:cNvPicPr>
                      <a:picLocks noChangeAspect="1"/>
                    </pic:cNvPicPr>
                  </pic:nvPicPr>
                  <pic:blipFill>
                    <a:blip r:embed="rId41"/>
                    <a:stretch>
                      <a:fillRect/>
                    </a:stretch>
                  </pic:blipFill>
                  <pic:spPr>
                    <a:xfrm>
                      <a:off x="0" y="0"/>
                      <a:ext cx="5970905" cy="7463790"/>
                    </a:xfrm>
                    <a:prstGeom prst="rect">
                      <a:avLst/>
                    </a:prstGeom>
                    <a:noFill/>
                    <a:ln>
                      <a:noFill/>
                    </a:ln>
                  </pic:spPr>
                </pic:pic>
              </a:graphicData>
            </a:graphic>
          </wp:inline>
        </w:drawing>
      </w:r>
    </w:p>
    <w:p>
      <w:pPr>
        <w:rPr>
          <w:rFonts w:hint="eastAsia" w:ascii="仿宋" w:hAnsi="仿宋" w:eastAsia="仿宋" w:cs="仿宋"/>
        </w:rPr>
      </w:pPr>
    </w:p>
    <w:p>
      <w:pPr>
        <w:rPr>
          <w:rFonts w:hint="eastAsia" w:ascii="仿宋" w:hAnsi="仿宋" w:eastAsia="仿宋" w:cs="仿宋"/>
        </w:rPr>
      </w:pPr>
      <w:r>
        <w:rPr>
          <w:rFonts w:hint="eastAsia" w:ascii="仿宋" w:hAnsi="仿宋" w:eastAsia="仿宋" w:cs="仿宋"/>
        </w:rPr>
        <w:drawing>
          <wp:inline distT="0" distB="0" distL="114300" distR="114300">
            <wp:extent cx="5629275" cy="7543800"/>
            <wp:effectExtent l="0" t="0" r="9525" b="0"/>
            <wp:docPr id="3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7"/>
                    <pic:cNvPicPr>
                      <a:picLocks noChangeAspect="1"/>
                    </pic:cNvPicPr>
                  </pic:nvPicPr>
                  <pic:blipFill>
                    <a:blip r:embed="rId42"/>
                    <a:stretch>
                      <a:fillRect/>
                    </a:stretch>
                  </pic:blipFill>
                  <pic:spPr>
                    <a:xfrm>
                      <a:off x="0" y="0"/>
                      <a:ext cx="5629275" cy="7543800"/>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591175" cy="8143875"/>
            <wp:effectExtent l="0" t="0" r="1905" b="9525"/>
            <wp:docPr id="2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8"/>
                    <pic:cNvPicPr>
                      <a:picLocks noChangeAspect="1"/>
                    </pic:cNvPicPr>
                  </pic:nvPicPr>
                  <pic:blipFill>
                    <a:blip r:embed="rId43"/>
                    <a:stretch>
                      <a:fillRect/>
                    </a:stretch>
                  </pic:blipFill>
                  <pic:spPr>
                    <a:xfrm>
                      <a:off x="0" y="0"/>
                      <a:ext cx="5591175" cy="8143875"/>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drawing>
          <wp:inline distT="0" distB="0" distL="114300" distR="114300">
            <wp:extent cx="5941060" cy="3790950"/>
            <wp:effectExtent l="0" t="0" r="2540" b="3810"/>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44"/>
                    <a:stretch>
                      <a:fillRect/>
                    </a:stretch>
                  </pic:blipFill>
                  <pic:spPr>
                    <a:xfrm>
                      <a:off x="0" y="0"/>
                      <a:ext cx="5941060" cy="3790950"/>
                    </a:xfrm>
                    <a:prstGeom prst="rect">
                      <a:avLst/>
                    </a:prstGeom>
                    <a:noFill/>
                    <a:ln>
                      <a:noFill/>
                    </a:ln>
                  </pic:spPr>
                </pic:pic>
              </a:graphicData>
            </a:graphic>
          </wp:inline>
        </w:drawing>
      </w:r>
    </w:p>
    <w:p>
      <w:pPr>
        <w:rPr>
          <w:rFonts w:hint="eastAsia" w:ascii="仿宋" w:hAnsi="仿宋" w:eastAsia="仿宋" w:cs="仿宋"/>
        </w:rPr>
      </w:pPr>
      <w:r>
        <w:rPr>
          <w:rFonts w:hint="eastAsia" w:ascii="仿宋" w:hAnsi="仿宋" w:eastAsia="仿宋" w:cs="仿宋"/>
        </w:rPr>
        <w:br w:type="page"/>
      </w:r>
    </w:p>
    <w:p>
      <w:pPr>
        <w:topLinePunct/>
        <w:spacing w:line="440" w:lineRule="exact"/>
        <w:ind w:firstLine="480" w:firstLineChars="200"/>
        <w:rPr>
          <w:rFonts w:hint="eastAsia" w:ascii="仿宋" w:hAnsi="仿宋" w:eastAsia="仿宋" w:cs="仿宋"/>
          <w:sz w:val="24"/>
        </w:rPr>
      </w:pPr>
    </w:p>
    <w:p>
      <w:pPr>
        <w:topLinePunct/>
        <w:spacing w:line="440" w:lineRule="exact"/>
        <w:jc w:val="left"/>
        <w:rPr>
          <w:rFonts w:hint="eastAsia" w:ascii="仿宋" w:hAnsi="仿宋" w:eastAsia="仿宋" w:cs="仿宋"/>
          <w:b/>
          <w:bCs/>
          <w:sz w:val="28"/>
          <w:szCs w:val="36"/>
        </w:rPr>
        <w:sectPr>
          <w:type w:val="nextColumn"/>
          <w:pgSz w:w="11906" w:h="16838"/>
          <w:pgMar w:top="1440" w:right="1474" w:bottom="1440" w:left="1474" w:header="851" w:footer="992" w:gutter="0"/>
          <w:cols w:space="720" w:num="1"/>
          <w:docGrid w:type="lines" w:linePitch="319" w:charSpace="0"/>
        </w:sectPr>
      </w:pPr>
    </w:p>
    <w:p>
      <w:pPr>
        <w:outlineLvl w:val="1"/>
        <w:rPr>
          <w:rFonts w:hint="eastAsia" w:ascii="仿宋" w:hAnsi="仿宋" w:eastAsia="仿宋" w:cs="仿宋"/>
          <w:b/>
          <w:bCs/>
          <w:sz w:val="24"/>
          <w:szCs w:val="32"/>
          <w:highlight w:val="none"/>
        </w:rPr>
      </w:pPr>
      <w:bookmarkStart w:id="130" w:name="_Toc17800_WPSOffice_Level1"/>
      <w:r>
        <w:rPr>
          <w:rFonts w:hint="eastAsia" w:ascii="仿宋" w:hAnsi="仿宋" w:eastAsia="仿宋" w:cs="仿宋"/>
          <w:b/>
          <w:bCs/>
          <w:sz w:val="24"/>
          <w:szCs w:val="32"/>
          <w:highlight w:val="none"/>
        </w:rPr>
        <w:t>附件三：政府采购云平台使用介绍</w:t>
      </w:r>
      <w:bookmarkEnd w:id="130"/>
    </w:p>
    <w:p>
      <w:pPr>
        <w:rPr>
          <w:rFonts w:hint="eastAsia" w:ascii="仿宋" w:hAnsi="仿宋" w:eastAsia="仿宋" w:cs="仿宋"/>
          <w:b/>
          <w:bCs/>
          <w:sz w:val="24"/>
          <w:szCs w:val="32"/>
          <w:highlight w:val="none"/>
        </w:rPr>
      </w:pPr>
      <w:r>
        <w:rPr>
          <w:rFonts w:hint="eastAsia" w:ascii="仿宋" w:hAnsi="仿宋" w:eastAsia="仿宋" w:cs="仿宋"/>
          <w:b/>
          <w:bCs/>
          <w:sz w:val="24"/>
          <w:szCs w:val="32"/>
          <w:highlight w:val="none"/>
        </w:rPr>
        <w:t>1.输入网址：</w:t>
      </w:r>
      <w:r>
        <w:rPr>
          <w:rFonts w:hint="eastAsia" w:ascii="仿宋" w:hAnsi="仿宋" w:eastAsia="仿宋" w:cs="仿宋"/>
          <w:highlight w:val="none"/>
        </w:rPr>
        <w:fldChar w:fldCharType="begin"/>
      </w:r>
      <w:r>
        <w:rPr>
          <w:rFonts w:hint="eastAsia" w:ascii="仿宋" w:hAnsi="仿宋" w:eastAsia="仿宋" w:cs="仿宋"/>
          <w:highlight w:val="none"/>
        </w:rPr>
        <w:instrText xml:space="preserve"> HYPERLINK "https://www.zcygov.cn" </w:instrText>
      </w:r>
      <w:r>
        <w:rPr>
          <w:rFonts w:hint="eastAsia" w:ascii="仿宋" w:hAnsi="仿宋" w:eastAsia="仿宋" w:cs="仿宋"/>
          <w:highlight w:val="none"/>
        </w:rPr>
        <w:fldChar w:fldCharType="separate"/>
      </w:r>
      <w:r>
        <w:rPr>
          <w:rStyle w:val="34"/>
          <w:rFonts w:hint="eastAsia" w:ascii="仿宋" w:hAnsi="仿宋" w:eastAsia="仿宋" w:cs="仿宋"/>
          <w:b/>
          <w:bCs/>
          <w:sz w:val="24"/>
          <w:szCs w:val="32"/>
          <w:highlight w:val="none"/>
        </w:rPr>
        <w:t>https://www.zcygov.cn</w:t>
      </w:r>
      <w:r>
        <w:rPr>
          <w:rFonts w:hint="eastAsia" w:ascii="仿宋" w:hAnsi="仿宋" w:eastAsia="仿宋" w:cs="仿宋"/>
          <w:b/>
          <w:bCs/>
          <w:sz w:val="24"/>
          <w:szCs w:val="32"/>
          <w:highlight w:val="none"/>
        </w:rPr>
        <w:fldChar w:fldCharType="end"/>
      </w:r>
    </w:p>
    <w:p>
      <w:pPr>
        <w:rPr>
          <w:rFonts w:hint="eastAsia" w:ascii="仿宋" w:hAnsi="仿宋" w:eastAsia="仿宋" w:cs="仿宋"/>
          <w:b/>
          <w:bCs/>
          <w:sz w:val="24"/>
          <w:szCs w:val="32"/>
          <w:highlight w:val="none"/>
        </w:rPr>
      </w:pPr>
      <w:r>
        <w:rPr>
          <w:rFonts w:hint="eastAsia" w:ascii="仿宋" w:hAnsi="仿宋" w:eastAsia="仿宋" w:cs="仿宋"/>
          <w:b/>
          <w:bCs/>
          <w:sz w:val="24"/>
          <w:szCs w:val="32"/>
          <w:highlight w:val="none"/>
        </w:rPr>
        <w:t>2.选择与项目对应的行政区域如：四川省</w:t>
      </w:r>
      <w:r>
        <w:rPr>
          <w:rFonts w:hint="eastAsia" w:ascii="仿宋" w:hAnsi="仿宋" w:eastAsia="仿宋" w:cs="仿宋"/>
          <w:b/>
          <w:bCs/>
          <w:sz w:val="24"/>
          <w:szCs w:val="32"/>
          <w:highlight w:val="none"/>
          <w:lang w:eastAsia="zh-CN"/>
        </w:rPr>
        <w:t>－</w:t>
      </w:r>
      <w:r>
        <w:rPr>
          <w:rFonts w:hint="eastAsia" w:ascii="仿宋" w:hAnsi="仿宋" w:eastAsia="仿宋" w:cs="仿宋"/>
          <w:b/>
          <w:bCs/>
          <w:sz w:val="24"/>
          <w:szCs w:val="32"/>
          <w:highlight w:val="none"/>
        </w:rPr>
        <w:t>成都市</w:t>
      </w:r>
      <w:r>
        <w:rPr>
          <w:rFonts w:hint="eastAsia" w:ascii="仿宋" w:hAnsi="仿宋" w:eastAsia="仿宋" w:cs="仿宋"/>
          <w:b/>
          <w:bCs/>
          <w:sz w:val="24"/>
          <w:szCs w:val="32"/>
          <w:highlight w:val="none"/>
          <w:lang w:eastAsia="zh-CN"/>
        </w:rPr>
        <w:t>－</w:t>
      </w:r>
      <w:r>
        <w:rPr>
          <w:rFonts w:hint="eastAsia" w:ascii="仿宋" w:hAnsi="仿宋" w:eastAsia="仿宋" w:cs="仿宋"/>
          <w:b/>
          <w:bCs/>
          <w:sz w:val="24"/>
          <w:szCs w:val="32"/>
          <w:highlight w:val="none"/>
        </w:rPr>
        <w:t>成都市本级</w:t>
      </w:r>
    </w:p>
    <w:p>
      <w:pPr>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5888990" cy="4184650"/>
            <wp:effectExtent l="0" t="0" r="8890" b="6350"/>
            <wp:docPr id="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0"/>
                    <pic:cNvPicPr>
                      <a:picLocks noChangeAspect="1"/>
                    </pic:cNvPicPr>
                  </pic:nvPicPr>
                  <pic:blipFill>
                    <a:blip r:embed="rId45"/>
                    <a:stretch>
                      <a:fillRect/>
                    </a:stretch>
                  </pic:blipFill>
                  <pic:spPr>
                    <a:xfrm>
                      <a:off x="0" y="0"/>
                      <a:ext cx="5888990" cy="4184650"/>
                    </a:xfrm>
                    <a:prstGeom prst="rect">
                      <a:avLst/>
                    </a:prstGeom>
                    <a:noFill/>
                    <a:ln>
                      <a:noFill/>
                    </a:ln>
                  </pic:spPr>
                </pic:pic>
              </a:graphicData>
            </a:graphic>
          </wp:inline>
        </w:drawing>
      </w:r>
    </w:p>
    <w:p>
      <w:pPr>
        <w:pStyle w:val="9"/>
        <w:rPr>
          <w:rFonts w:hint="eastAsia" w:ascii="仿宋" w:hAnsi="仿宋" w:eastAsia="仿宋" w:cs="仿宋"/>
        </w:rPr>
      </w:pPr>
    </w:p>
    <w:p>
      <w:pPr>
        <w:numPr>
          <w:ilvl w:val="0"/>
          <w:numId w:val="5"/>
        </w:numPr>
        <w:rPr>
          <w:rFonts w:hint="eastAsia" w:ascii="仿宋" w:hAnsi="仿宋" w:eastAsia="仿宋" w:cs="仿宋"/>
          <w:b/>
          <w:bCs/>
          <w:sz w:val="24"/>
          <w:szCs w:val="32"/>
          <w:highlight w:val="none"/>
        </w:rPr>
      </w:pPr>
      <w:r>
        <w:rPr>
          <w:rFonts w:hint="eastAsia" w:ascii="仿宋" w:hAnsi="仿宋" w:eastAsia="仿宋" w:cs="仿宋"/>
          <w:b/>
          <w:bCs/>
          <w:sz w:val="24"/>
          <w:szCs w:val="32"/>
          <w:highlight w:val="none"/>
        </w:rPr>
        <w:t>点击操作指南</w:t>
      </w:r>
      <w:r>
        <w:rPr>
          <w:rFonts w:hint="eastAsia" w:ascii="仿宋" w:hAnsi="仿宋" w:eastAsia="仿宋" w:cs="仿宋"/>
          <w:b/>
          <w:bCs/>
          <w:sz w:val="24"/>
          <w:szCs w:val="32"/>
          <w:highlight w:val="none"/>
          <w:lang w:eastAsia="zh-CN"/>
        </w:rPr>
        <w:t>－</w:t>
      </w:r>
      <w:r>
        <w:rPr>
          <w:rFonts w:hint="eastAsia" w:ascii="仿宋" w:hAnsi="仿宋" w:eastAsia="仿宋" w:cs="仿宋"/>
          <w:b/>
          <w:bCs/>
          <w:sz w:val="24"/>
          <w:szCs w:val="32"/>
          <w:highlight w:val="none"/>
        </w:rPr>
        <w:t>供应商</w:t>
      </w:r>
    </w:p>
    <w:p>
      <w:pPr>
        <w:rPr>
          <w:rFonts w:hint="eastAsia" w:ascii="仿宋" w:hAnsi="仿宋" w:eastAsia="仿宋" w:cs="仿宋"/>
          <w:b/>
          <w:bCs/>
          <w:highlight w:val="none"/>
        </w:rPr>
      </w:pPr>
      <w:r>
        <w:rPr>
          <w:rFonts w:hint="eastAsia" w:ascii="仿宋" w:hAnsi="仿宋" w:eastAsia="仿宋" w:cs="仿宋"/>
          <w:highlight w:val="none"/>
        </w:rPr>
        <w:drawing>
          <wp:inline distT="0" distB="0" distL="114300" distR="114300">
            <wp:extent cx="6403975" cy="4585335"/>
            <wp:effectExtent l="0" t="0" r="12065" b="1905"/>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pic:cNvPicPr>
                  </pic:nvPicPr>
                  <pic:blipFill>
                    <a:blip r:embed="rId46"/>
                    <a:stretch>
                      <a:fillRect/>
                    </a:stretch>
                  </pic:blipFill>
                  <pic:spPr>
                    <a:xfrm>
                      <a:off x="0" y="0"/>
                      <a:ext cx="6403975" cy="4585335"/>
                    </a:xfrm>
                    <a:prstGeom prst="rect">
                      <a:avLst/>
                    </a:prstGeom>
                    <a:noFill/>
                    <a:ln>
                      <a:noFill/>
                    </a:ln>
                  </pic:spPr>
                </pic:pic>
              </a:graphicData>
            </a:graphic>
          </wp:inline>
        </w:drawing>
      </w:r>
      <w:r>
        <w:rPr>
          <w:rFonts w:hint="eastAsia" w:ascii="仿宋" w:hAnsi="仿宋" w:eastAsia="仿宋" w:cs="仿宋"/>
          <w:highlight w:val="none"/>
        </w:rPr>
        <w:br w:type="page"/>
      </w:r>
      <w:r>
        <w:rPr>
          <w:rFonts w:hint="eastAsia" w:ascii="仿宋" w:hAnsi="仿宋" w:eastAsia="仿宋" w:cs="仿宋"/>
          <w:b/>
          <w:bCs/>
          <w:sz w:val="24"/>
          <w:szCs w:val="32"/>
          <w:highlight w:val="none"/>
        </w:rPr>
        <w:t>4.进入政采云供应商学习专题页面</w:t>
      </w:r>
      <w:r>
        <w:rPr>
          <w:rFonts w:hint="eastAsia" w:ascii="仿宋" w:hAnsi="仿宋" w:eastAsia="仿宋" w:cs="仿宋"/>
          <w:b/>
          <w:bCs/>
          <w:highlight w:val="none"/>
        </w:rPr>
        <w:t>（https://edu.zcygov.cn/luban/xxzt-chengdu-gys?utm=a0017.b1347.cl50.5.0917bc90b7bb11eb807c353645758db6）</w:t>
      </w:r>
    </w:p>
    <w:p>
      <w:pPr>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5924550" cy="4606290"/>
            <wp:effectExtent l="0" t="0" r="3810" b="1143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pic:cNvPicPr>
                  </pic:nvPicPr>
                  <pic:blipFill>
                    <a:blip r:embed="rId47"/>
                    <a:stretch>
                      <a:fillRect/>
                    </a:stretch>
                  </pic:blipFill>
                  <pic:spPr>
                    <a:xfrm>
                      <a:off x="0" y="0"/>
                      <a:ext cx="5924550" cy="4606290"/>
                    </a:xfrm>
                    <a:prstGeom prst="rect">
                      <a:avLst/>
                    </a:prstGeom>
                    <a:noFill/>
                    <a:ln>
                      <a:noFill/>
                    </a:ln>
                  </pic:spPr>
                </pic:pic>
              </a:graphicData>
            </a:graphic>
          </wp:inline>
        </w:drawing>
      </w:r>
    </w:p>
    <w:p>
      <w:pPr>
        <w:rPr>
          <w:rFonts w:hint="eastAsia" w:ascii="仿宋" w:hAnsi="仿宋" w:eastAsia="仿宋" w:cs="仿宋"/>
          <w:b/>
          <w:bCs/>
          <w:sz w:val="24"/>
          <w:szCs w:val="32"/>
          <w:highlight w:val="none"/>
        </w:rPr>
      </w:pPr>
      <w:r>
        <w:rPr>
          <w:rFonts w:hint="eastAsia" w:ascii="仿宋" w:hAnsi="仿宋" w:eastAsia="仿宋" w:cs="仿宋"/>
          <w:highlight w:val="none"/>
        </w:rPr>
        <w:br w:type="page"/>
      </w:r>
      <w:r>
        <w:rPr>
          <w:rFonts w:hint="eastAsia" w:ascii="仿宋" w:hAnsi="仿宋" w:eastAsia="仿宋" w:cs="仿宋"/>
          <w:b/>
          <w:bCs/>
          <w:sz w:val="24"/>
          <w:szCs w:val="32"/>
          <w:highlight w:val="none"/>
        </w:rPr>
        <w:t>5.供应商</w:t>
      </w:r>
      <w:r>
        <w:rPr>
          <w:rFonts w:hint="eastAsia" w:ascii="仿宋" w:hAnsi="仿宋" w:eastAsia="仿宋" w:cs="仿宋"/>
          <w:b/>
          <w:bCs/>
          <w:sz w:val="24"/>
          <w:szCs w:val="32"/>
          <w:highlight w:val="none"/>
          <w:lang w:eastAsia="zh-CN"/>
        </w:rPr>
        <w:t>咨询服务</w:t>
      </w:r>
      <w:r>
        <w:rPr>
          <w:rFonts w:hint="eastAsia" w:ascii="仿宋" w:hAnsi="仿宋" w:eastAsia="仿宋" w:cs="仿宋"/>
          <w:b/>
          <w:bCs/>
          <w:sz w:val="24"/>
          <w:szCs w:val="32"/>
          <w:highlight w:val="none"/>
        </w:rPr>
        <w:t>渠道</w:t>
      </w:r>
    </w:p>
    <w:p>
      <w:pPr>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5682615" cy="3362960"/>
            <wp:effectExtent l="0" t="0" r="1905" b="5080"/>
            <wp:docPr id="3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3"/>
                    <pic:cNvPicPr>
                      <a:picLocks noChangeAspect="1"/>
                    </pic:cNvPicPr>
                  </pic:nvPicPr>
                  <pic:blipFill>
                    <a:blip r:embed="rId48"/>
                    <a:stretch>
                      <a:fillRect/>
                    </a:stretch>
                  </pic:blipFill>
                  <pic:spPr>
                    <a:xfrm>
                      <a:off x="0" y="0"/>
                      <a:ext cx="5682615" cy="3362960"/>
                    </a:xfrm>
                    <a:prstGeom prst="rect">
                      <a:avLst/>
                    </a:prstGeom>
                    <a:noFill/>
                    <a:ln>
                      <a:noFill/>
                    </a:ln>
                  </pic:spPr>
                </pic:pic>
              </a:graphicData>
            </a:graphic>
          </wp:inline>
        </w:drawing>
      </w:r>
    </w:p>
    <w:p>
      <w:pPr>
        <w:rPr>
          <w:rFonts w:hint="eastAsia" w:ascii="仿宋" w:hAnsi="仿宋" w:eastAsia="仿宋" w:cs="仿宋"/>
          <w:highlight w:val="none"/>
        </w:rPr>
      </w:pPr>
      <w:r>
        <w:rPr>
          <w:rFonts w:hint="eastAsia" w:ascii="仿宋" w:hAnsi="仿宋" w:eastAsia="仿宋" w:cs="仿宋"/>
          <w:highlight w:val="none"/>
        </w:rPr>
        <w:br w:type="page"/>
      </w:r>
      <w:r>
        <w:rPr>
          <w:rFonts w:hint="eastAsia" w:ascii="仿宋" w:hAnsi="仿宋" w:eastAsia="仿宋" w:cs="仿宋"/>
          <w:b/>
          <w:bCs/>
          <w:sz w:val="24"/>
          <w:szCs w:val="32"/>
          <w:highlight w:val="none"/>
        </w:rPr>
        <w:t>6.入驻政府采购云平台（注册）</w:t>
      </w:r>
    </w:p>
    <w:p>
      <w:pPr>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5488305" cy="3604895"/>
            <wp:effectExtent l="0" t="0" r="13335" b="6985"/>
            <wp:docPr id="2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4"/>
                    <pic:cNvPicPr>
                      <a:picLocks noChangeAspect="1"/>
                    </pic:cNvPicPr>
                  </pic:nvPicPr>
                  <pic:blipFill>
                    <a:blip r:embed="rId49"/>
                    <a:stretch>
                      <a:fillRect/>
                    </a:stretch>
                  </pic:blipFill>
                  <pic:spPr>
                    <a:xfrm>
                      <a:off x="0" y="0"/>
                      <a:ext cx="5488305" cy="3604895"/>
                    </a:xfrm>
                    <a:prstGeom prst="rect">
                      <a:avLst/>
                    </a:prstGeom>
                    <a:noFill/>
                    <a:ln>
                      <a:noFill/>
                    </a:ln>
                  </pic:spPr>
                </pic:pic>
              </a:graphicData>
            </a:graphic>
          </wp:inline>
        </w:drawing>
      </w:r>
    </w:p>
    <w:p>
      <w:pPr>
        <w:rPr>
          <w:rFonts w:hint="eastAsia" w:ascii="仿宋" w:hAnsi="仿宋" w:eastAsia="仿宋" w:cs="仿宋"/>
          <w:highlight w:val="none"/>
        </w:rPr>
      </w:pPr>
    </w:p>
    <w:p>
      <w:pPr>
        <w:rPr>
          <w:rFonts w:hint="eastAsia" w:ascii="仿宋" w:hAnsi="仿宋" w:eastAsia="仿宋" w:cs="仿宋"/>
          <w:highlight w:val="none"/>
        </w:rPr>
      </w:pPr>
      <w:r>
        <w:rPr>
          <w:rFonts w:hint="eastAsia" w:ascii="仿宋" w:hAnsi="仿宋" w:eastAsia="仿宋" w:cs="仿宋"/>
          <w:b/>
          <w:bCs/>
          <w:sz w:val="24"/>
          <w:szCs w:val="32"/>
          <w:highlight w:val="none"/>
        </w:rPr>
        <w:t>7.下载《供应商政府采购项目电子交易操作指南》</w:t>
      </w:r>
    </w:p>
    <w:p>
      <w:pPr>
        <w:rPr>
          <w:rFonts w:hint="eastAsia" w:ascii="仿宋" w:hAnsi="仿宋" w:eastAsia="仿宋" w:cs="仿宋"/>
          <w:highlight w:val="none"/>
        </w:rPr>
      </w:pPr>
    </w:p>
    <w:p>
      <w:pPr>
        <w:rPr>
          <w:rFonts w:hint="eastAsia" w:ascii="仿宋" w:hAnsi="仿宋" w:eastAsia="仿宋" w:cs="仿宋"/>
          <w:highlight w:val="none"/>
        </w:rPr>
      </w:pPr>
      <w:r>
        <w:rPr>
          <w:rFonts w:hint="eastAsia" w:ascii="仿宋" w:hAnsi="仿宋" w:eastAsia="仿宋" w:cs="仿宋"/>
          <w:highlight w:val="none"/>
        </w:rPr>
        <w:drawing>
          <wp:inline distT="0" distB="0" distL="114300" distR="114300">
            <wp:extent cx="5750560" cy="3183255"/>
            <wp:effectExtent l="0" t="0" r="10160" b="1905"/>
            <wp:docPr id="33" name="图片 35" descr="163663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5" descr="1636631435"/>
                    <pic:cNvPicPr>
                      <a:picLocks noChangeAspect="1"/>
                    </pic:cNvPicPr>
                  </pic:nvPicPr>
                  <pic:blipFill>
                    <a:blip r:embed="rId50"/>
                    <a:stretch>
                      <a:fillRect/>
                    </a:stretch>
                  </pic:blipFill>
                  <pic:spPr>
                    <a:xfrm>
                      <a:off x="0" y="0"/>
                      <a:ext cx="5750560" cy="3183255"/>
                    </a:xfrm>
                    <a:prstGeom prst="rect">
                      <a:avLst/>
                    </a:prstGeom>
                    <a:noFill/>
                    <a:ln>
                      <a:noFill/>
                    </a:ln>
                  </pic:spPr>
                </pic:pic>
              </a:graphicData>
            </a:graphic>
          </wp:inline>
        </w:drawing>
      </w:r>
    </w:p>
    <w:p>
      <w:pPr>
        <w:rPr>
          <w:rFonts w:hint="eastAsia" w:ascii="仿宋" w:hAnsi="仿宋" w:eastAsia="仿宋" w:cs="仿宋"/>
        </w:rPr>
      </w:pPr>
    </w:p>
    <w:sectPr>
      <w:type w:val="nextColumn"/>
      <w:pgSz w:w="11906" w:h="16838"/>
      <w:pgMar w:top="1440" w:right="1800" w:bottom="1440" w:left="1800"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Arial Unicode MS">
    <w:altName w:val="宋体"/>
    <w:panose1 w:val="020B0604020202020204"/>
    <w:charset w:val="86"/>
    <w:family w:val="swiss"/>
    <w:pitch w:val="default"/>
    <w:sig w:usb0="00000000" w:usb1="00000000" w:usb2="0000003F" w:usb3="00000000" w:csb0="603F01FF" w:csb1="FFFF0000"/>
  </w:font>
  <w:font w:name="楷体à.ā">
    <w:altName w:val="宋体"/>
    <w:panose1 w:val="00000000000000000000"/>
    <w:charset w:val="86"/>
    <w:family w:val="roma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微软雅黑">
    <w:panose1 w:val="020B0503020204020204"/>
    <w:charset w:val="86"/>
    <w:family w:val="auto"/>
    <w:pitch w:val="default"/>
    <w:sig w:usb0="80000287" w:usb1="2ACF3C50" w:usb2="00000016" w:usb3="00000000" w:csb0="0004001F" w:csb1="00000000"/>
  </w:font>
  <w:font w:name="方正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ascii="宋体"/>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ascii="宋体"/>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ascii="宋体"/>
        <w:sz w:val="21"/>
        <w:szCs w:val="21"/>
      </w:rPr>
    </w:pPr>
    <w:r>
      <w:rPr>
        <w:sz w:val="21"/>
      </w:rPr>
      <w:pict>
        <v:shape id="_x0000_s3074" o:spid="_x0000_s3074"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path/>
          <v:fill on="f" focussize="0,0"/>
          <v:stroke on="f" weight="0.5pt" joinstyle="miter"/>
          <v:imagedata o:title=""/>
          <o:lock v:ext="edit"/>
          <v:textbox inset="0mm,0mm,0mm,0mm" style="mso-fit-shape-to-text:t;">
            <w:txbxContent>
              <w:p>
                <w:pPr>
                  <w:pStyle w:val="16"/>
                </w:pPr>
                <w:r>
                  <w:fldChar w:fldCharType="begin"/>
                </w:r>
                <w:r>
                  <w:instrText xml:space="preserve"> PAGE  \* MERGEFORMAT </w:instrText>
                </w:r>
                <w:r>
                  <w:fldChar w:fldCharType="separate"/>
                </w:r>
                <w:r>
                  <w:t>13</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ascii="宋体"/>
        <w:sz w:val="21"/>
        <w:szCs w:val="21"/>
      </w:rPr>
    </w:pPr>
    <w:r>
      <w:rPr>
        <w:sz w:val="21"/>
      </w:rPr>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path/>
          <v:fill on="f" focussize="0,0"/>
          <v:stroke on="f" weight="0.5pt" joinstyle="miter"/>
          <v:imagedata o:title=""/>
          <o:lock v:ext="edit"/>
          <v:textbox inset="0mm,0mm,0mm,0mm" style="mso-fit-shape-to-text:t;">
            <w:txbxContent>
              <w:p>
                <w:pPr>
                  <w:pStyle w:val="16"/>
                </w:pPr>
                <w:r>
                  <w:fldChar w:fldCharType="begin"/>
                </w:r>
                <w:r>
                  <w:instrText xml:space="preserve"> PAGE  \* MERGEFORMAT </w:instrText>
                </w:r>
                <w:r>
                  <w:fldChar w:fldCharType="separate"/>
                </w:r>
                <w:r>
                  <w:t>2</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ascii="宋体"/>
        <w:sz w:val="28"/>
        <w:szCs w:val="28"/>
      </w:rPr>
    </w:pPr>
    <w:r>
      <w:rPr>
        <w:sz w:val="28"/>
      </w:rPr>
      <w:pict>
        <v:shape id="_x0000_s3073" o:spid="_x0000_s3073"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path/>
          <v:fill on="f" focussize="0,0"/>
          <v:stroke on="f" weight="0.5pt" joinstyle="miter"/>
          <v:imagedata o:title=""/>
          <o:lock v:ext="edit"/>
          <v:textbox inset="0mm,0mm,0mm,0mm" style="mso-fit-shape-to-text:t;">
            <w:txbxContent>
              <w:p>
                <w:pPr>
                  <w:pStyle w:val="16"/>
                </w:pPr>
                <w:r>
                  <w:fldChar w:fldCharType="begin"/>
                </w:r>
                <w:r>
                  <w:instrText xml:space="preserve"> PAGE  \* MERGEFORMAT </w:instrText>
                </w:r>
                <w:r>
                  <w:fldChar w:fldCharType="separate"/>
                </w:r>
                <w:r>
                  <w:t>50</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tLeast"/>
      <w:ind w:firstLine="1050" w:firstLineChars="50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spacing w:after="48"/>
      <w:ind w:left="1350" w:hanging="72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spacing w:after="48"/>
      <w:ind w:left="1350" w:hanging="7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0B7F96"/>
    <w:multiLevelType w:val="singleLevel"/>
    <w:tmpl w:val="BE0B7F96"/>
    <w:lvl w:ilvl="0" w:tentative="0">
      <w:start w:val="1"/>
      <w:numFmt w:val="decimal"/>
      <w:lvlText w:val="%1."/>
      <w:lvlJc w:val="left"/>
      <w:pPr>
        <w:tabs>
          <w:tab w:val="left" w:pos="312"/>
        </w:tabs>
      </w:pPr>
    </w:lvl>
  </w:abstractNum>
  <w:abstractNum w:abstractNumId="1">
    <w:nsid w:val="CCFD9581"/>
    <w:multiLevelType w:val="singleLevel"/>
    <w:tmpl w:val="CCFD9581"/>
    <w:lvl w:ilvl="0" w:tentative="0">
      <w:start w:val="9"/>
      <w:numFmt w:val="chineseCounting"/>
      <w:suff w:val="nothing"/>
      <w:lvlText w:val="%1、"/>
      <w:lvlJc w:val="left"/>
      <w:rPr>
        <w:rFonts w:hint="eastAsia"/>
      </w:rPr>
    </w:lvl>
  </w:abstractNum>
  <w:abstractNum w:abstractNumId="2">
    <w:nsid w:val="00000019"/>
    <w:multiLevelType w:val="singleLevel"/>
    <w:tmpl w:val="00000019"/>
    <w:lvl w:ilvl="0" w:tentative="0">
      <w:start w:val="1"/>
      <w:numFmt w:val="chineseCounting"/>
      <w:suff w:val="nothing"/>
      <w:lvlText w:val="%1、"/>
      <w:lvlJc w:val="left"/>
    </w:lvl>
  </w:abstractNum>
  <w:abstractNum w:abstractNumId="3">
    <w:nsid w:val="1517B247"/>
    <w:multiLevelType w:val="singleLevel"/>
    <w:tmpl w:val="1517B247"/>
    <w:lvl w:ilvl="0" w:tentative="0">
      <w:start w:val="3"/>
      <w:numFmt w:val="decimal"/>
      <w:lvlText w:val="%1."/>
      <w:lvlJc w:val="left"/>
      <w:pPr>
        <w:tabs>
          <w:tab w:val="left" w:pos="312"/>
        </w:tabs>
      </w:pPr>
    </w:lvl>
  </w:abstractNum>
  <w:abstractNum w:abstractNumId="4">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decimal"/>
      <w:pStyle w:val="104"/>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0"/>
  <w:bordersDoNotSurroundFooter w:val="0"/>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1,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646E80"/>
    <w:rsid w:val="00032C9F"/>
    <w:rsid w:val="000438FE"/>
    <w:rsid w:val="000561FC"/>
    <w:rsid w:val="00056231"/>
    <w:rsid w:val="0006001E"/>
    <w:rsid w:val="00067337"/>
    <w:rsid w:val="0007031E"/>
    <w:rsid w:val="00083982"/>
    <w:rsid w:val="00093026"/>
    <w:rsid w:val="000A53A4"/>
    <w:rsid w:val="000A7FD6"/>
    <w:rsid w:val="000B1DCF"/>
    <w:rsid w:val="000B22A6"/>
    <w:rsid w:val="000B5D77"/>
    <w:rsid w:val="000C7AF2"/>
    <w:rsid w:val="000F6E0D"/>
    <w:rsid w:val="00104532"/>
    <w:rsid w:val="00111DBF"/>
    <w:rsid w:val="00126678"/>
    <w:rsid w:val="0013279D"/>
    <w:rsid w:val="0014085B"/>
    <w:rsid w:val="00150052"/>
    <w:rsid w:val="00160F0A"/>
    <w:rsid w:val="001911BC"/>
    <w:rsid w:val="001C5FEC"/>
    <w:rsid w:val="001C7934"/>
    <w:rsid w:val="001D541C"/>
    <w:rsid w:val="001E7056"/>
    <w:rsid w:val="001F6994"/>
    <w:rsid w:val="001F73BF"/>
    <w:rsid w:val="0021433A"/>
    <w:rsid w:val="00223309"/>
    <w:rsid w:val="00235F87"/>
    <w:rsid w:val="00250CCF"/>
    <w:rsid w:val="00260208"/>
    <w:rsid w:val="0026782E"/>
    <w:rsid w:val="00297627"/>
    <w:rsid w:val="002A0AEE"/>
    <w:rsid w:val="002B7239"/>
    <w:rsid w:val="002C1287"/>
    <w:rsid w:val="002F309B"/>
    <w:rsid w:val="00306925"/>
    <w:rsid w:val="003217C9"/>
    <w:rsid w:val="00340472"/>
    <w:rsid w:val="00395169"/>
    <w:rsid w:val="003C253B"/>
    <w:rsid w:val="003F3028"/>
    <w:rsid w:val="00404F97"/>
    <w:rsid w:val="00406AE6"/>
    <w:rsid w:val="00412A03"/>
    <w:rsid w:val="00412DB2"/>
    <w:rsid w:val="00422E68"/>
    <w:rsid w:val="00443DDB"/>
    <w:rsid w:val="00445B60"/>
    <w:rsid w:val="004674AF"/>
    <w:rsid w:val="004B5545"/>
    <w:rsid w:val="004B78A8"/>
    <w:rsid w:val="004C1642"/>
    <w:rsid w:val="004C6E28"/>
    <w:rsid w:val="00501C39"/>
    <w:rsid w:val="0051573F"/>
    <w:rsid w:val="00533005"/>
    <w:rsid w:val="0053799C"/>
    <w:rsid w:val="005429CC"/>
    <w:rsid w:val="00545282"/>
    <w:rsid w:val="00545707"/>
    <w:rsid w:val="00552486"/>
    <w:rsid w:val="00552A75"/>
    <w:rsid w:val="00577A60"/>
    <w:rsid w:val="00585AF0"/>
    <w:rsid w:val="005918AB"/>
    <w:rsid w:val="005956CD"/>
    <w:rsid w:val="005A165D"/>
    <w:rsid w:val="005B0962"/>
    <w:rsid w:val="005C02A9"/>
    <w:rsid w:val="005E274A"/>
    <w:rsid w:val="00607AA1"/>
    <w:rsid w:val="00626062"/>
    <w:rsid w:val="00646E80"/>
    <w:rsid w:val="0065188E"/>
    <w:rsid w:val="00652B53"/>
    <w:rsid w:val="006550D3"/>
    <w:rsid w:val="006931B0"/>
    <w:rsid w:val="006B074C"/>
    <w:rsid w:val="006F498E"/>
    <w:rsid w:val="006F6A60"/>
    <w:rsid w:val="006F74F0"/>
    <w:rsid w:val="007401CC"/>
    <w:rsid w:val="00747A9F"/>
    <w:rsid w:val="00754A96"/>
    <w:rsid w:val="00782C79"/>
    <w:rsid w:val="00794C41"/>
    <w:rsid w:val="007A0859"/>
    <w:rsid w:val="007C0DCE"/>
    <w:rsid w:val="007C5484"/>
    <w:rsid w:val="007E122F"/>
    <w:rsid w:val="007F62EC"/>
    <w:rsid w:val="00854F53"/>
    <w:rsid w:val="00860A48"/>
    <w:rsid w:val="008747F6"/>
    <w:rsid w:val="00874956"/>
    <w:rsid w:val="008859CE"/>
    <w:rsid w:val="008A2D76"/>
    <w:rsid w:val="008B0759"/>
    <w:rsid w:val="008C061C"/>
    <w:rsid w:val="008F7C36"/>
    <w:rsid w:val="009076C9"/>
    <w:rsid w:val="00934E37"/>
    <w:rsid w:val="009435DC"/>
    <w:rsid w:val="00943827"/>
    <w:rsid w:val="00947968"/>
    <w:rsid w:val="00952599"/>
    <w:rsid w:val="00957042"/>
    <w:rsid w:val="00961466"/>
    <w:rsid w:val="009644BC"/>
    <w:rsid w:val="009748F6"/>
    <w:rsid w:val="0098714B"/>
    <w:rsid w:val="009B7AB3"/>
    <w:rsid w:val="009E3E81"/>
    <w:rsid w:val="00A13074"/>
    <w:rsid w:val="00A33F24"/>
    <w:rsid w:val="00A64DAE"/>
    <w:rsid w:val="00A73126"/>
    <w:rsid w:val="00A90DB8"/>
    <w:rsid w:val="00A92124"/>
    <w:rsid w:val="00AB20DF"/>
    <w:rsid w:val="00AF121D"/>
    <w:rsid w:val="00B162E8"/>
    <w:rsid w:val="00B34D10"/>
    <w:rsid w:val="00B53620"/>
    <w:rsid w:val="00B6105C"/>
    <w:rsid w:val="00BA4320"/>
    <w:rsid w:val="00BC45D4"/>
    <w:rsid w:val="00C20AC3"/>
    <w:rsid w:val="00C51A40"/>
    <w:rsid w:val="00C620F6"/>
    <w:rsid w:val="00C94D8E"/>
    <w:rsid w:val="00D15D15"/>
    <w:rsid w:val="00D22F21"/>
    <w:rsid w:val="00D42100"/>
    <w:rsid w:val="00D70A75"/>
    <w:rsid w:val="00D946E9"/>
    <w:rsid w:val="00DF4E8E"/>
    <w:rsid w:val="00E75204"/>
    <w:rsid w:val="00E976CB"/>
    <w:rsid w:val="00EB600B"/>
    <w:rsid w:val="00EF0C78"/>
    <w:rsid w:val="00F1555A"/>
    <w:rsid w:val="00F52067"/>
    <w:rsid w:val="00F66631"/>
    <w:rsid w:val="00F84AF5"/>
    <w:rsid w:val="00FC6CA0"/>
    <w:rsid w:val="00FD3ECE"/>
    <w:rsid w:val="00FE66C7"/>
    <w:rsid w:val="00FE6984"/>
    <w:rsid w:val="0139600B"/>
    <w:rsid w:val="01581E7F"/>
    <w:rsid w:val="01624E35"/>
    <w:rsid w:val="01FE751C"/>
    <w:rsid w:val="02134ECE"/>
    <w:rsid w:val="02417E7C"/>
    <w:rsid w:val="02667990"/>
    <w:rsid w:val="029702DF"/>
    <w:rsid w:val="02A55CA0"/>
    <w:rsid w:val="02B252B7"/>
    <w:rsid w:val="02C76B7F"/>
    <w:rsid w:val="02E94088"/>
    <w:rsid w:val="031C3831"/>
    <w:rsid w:val="035B4701"/>
    <w:rsid w:val="04536E0F"/>
    <w:rsid w:val="04551065"/>
    <w:rsid w:val="04C82151"/>
    <w:rsid w:val="050C6A37"/>
    <w:rsid w:val="054A42A2"/>
    <w:rsid w:val="0573545A"/>
    <w:rsid w:val="05B67810"/>
    <w:rsid w:val="05E231BC"/>
    <w:rsid w:val="05ED5204"/>
    <w:rsid w:val="05F94896"/>
    <w:rsid w:val="063B344F"/>
    <w:rsid w:val="06B46671"/>
    <w:rsid w:val="07184A4C"/>
    <w:rsid w:val="07405BBC"/>
    <w:rsid w:val="076A327D"/>
    <w:rsid w:val="07727C7D"/>
    <w:rsid w:val="078C0575"/>
    <w:rsid w:val="079F5C53"/>
    <w:rsid w:val="07AB5ECA"/>
    <w:rsid w:val="081E5663"/>
    <w:rsid w:val="08516719"/>
    <w:rsid w:val="08A81F5F"/>
    <w:rsid w:val="08B85E68"/>
    <w:rsid w:val="09177D3F"/>
    <w:rsid w:val="09350908"/>
    <w:rsid w:val="09481B87"/>
    <w:rsid w:val="099511E2"/>
    <w:rsid w:val="09B6260E"/>
    <w:rsid w:val="09B95A1D"/>
    <w:rsid w:val="09BE2AC3"/>
    <w:rsid w:val="09E43259"/>
    <w:rsid w:val="09E53528"/>
    <w:rsid w:val="09F56F0E"/>
    <w:rsid w:val="09F84989"/>
    <w:rsid w:val="0A4F15AB"/>
    <w:rsid w:val="0A55133D"/>
    <w:rsid w:val="0AAB599E"/>
    <w:rsid w:val="0AC15C5A"/>
    <w:rsid w:val="0AC25EF0"/>
    <w:rsid w:val="0ADA561D"/>
    <w:rsid w:val="0B05095E"/>
    <w:rsid w:val="0B6E3B4C"/>
    <w:rsid w:val="0B781EDF"/>
    <w:rsid w:val="0BB34022"/>
    <w:rsid w:val="0BB94CBE"/>
    <w:rsid w:val="0BD26A83"/>
    <w:rsid w:val="0BDF1905"/>
    <w:rsid w:val="0BF36405"/>
    <w:rsid w:val="0C096E70"/>
    <w:rsid w:val="0C2A2B64"/>
    <w:rsid w:val="0C4E39AB"/>
    <w:rsid w:val="0C557DAC"/>
    <w:rsid w:val="0C935DCE"/>
    <w:rsid w:val="0CF17B64"/>
    <w:rsid w:val="0D365496"/>
    <w:rsid w:val="0D5E0F27"/>
    <w:rsid w:val="0D7342AF"/>
    <w:rsid w:val="0D8F6DF9"/>
    <w:rsid w:val="0D963C8C"/>
    <w:rsid w:val="0D9D7180"/>
    <w:rsid w:val="0DA54DD2"/>
    <w:rsid w:val="0DAC7B3F"/>
    <w:rsid w:val="0DCA153B"/>
    <w:rsid w:val="0DE67230"/>
    <w:rsid w:val="0DEF43C4"/>
    <w:rsid w:val="0E052AC9"/>
    <w:rsid w:val="0E153730"/>
    <w:rsid w:val="0E1E0B4C"/>
    <w:rsid w:val="0E3E5127"/>
    <w:rsid w:val="0E483DC1"/>
    <w:rsid w:val="0E8E04F9"/>
    <w:rsid w:val="0EAD5466"/>
    <w:rsid w:val="0EBC44B2"/>
    <w:rsid w:val="0F2B3DE7"/>
    <w:rsid w:val="0F5E655A"/>
    <w:rsid w:val="0F7E4391"/>
    <w:rsid w:val="0F8477E4"/>
    <w:rsid w:val="0F882259"/>
    <w:rsid w:val="0FD70561"/>
    <w:rsid w:val="101535AF"/>
    <w:rsid w:val="103466D9"/>
    <w:rsid w:val="10804ED2"/>
    <w:rsid w:val="108D0C7D"/>
    <w:rsid w:val="10926497"/>
    <w:rsid w:val="109855D6"/>
    <w:rsid w:val="10B242BC"/>
    <w:rsid w:val="10B95B19"/>
    <w:rsid w:val="10E50D9D"/>
    <w:rsid w:val="111F7575"/>
    <w:rsid w:val="112811F3"/>
    <w:rsid w:val="1129259D"/>
    <w:rsid w:val="113F48AA"/>
    <w:rsid w:val="11541EC7"/>
    <w:rsid w:val="11710704"/>
    <w:rsid w:val="11834CEB"/>
    <w:rsid w:val="119E39D7"/>
    <w:rsid w:val="11B149D4"/>
    <w:rsid w:val="11B61CCF"/>
    <w:rsid w:val="12121F36"/>
    <w:rsid w:val="12193113"/>
    <w:rsid w:val="122C471F"/>
    <w:rsid w:val="123A4D8C"/>
    <w:rsid w:val="12533113"/>
    <w:rsid w:val="12585D3E"/>
    <w:rsid w:val="125959CA"/>
    <w:rsid w:val="127C5FB4"/>
    <w:rsid w:val="12C06860"/>
    <w:rsid w:val="12F736E7"/>
    <w:rsid w:val="13201AD8"/>
    <w:rsid w:val="136B1064"/>
    <w:rsid w:val="137C11C8"/>
    <w:rsid w:val="13836C54"/>
    <w:rsid w:val="13A17132"/>
    <w:rsid w:val="13E04B78"/>
    <w:rsid w:val="13FF607D"/>
    <w:rsid w:val="14530594"/>
    <w:rsid w:val="14B657CD"/>
    <w:rsid w:val="14C2224F"/>
    <w:rsid w:val="151E6049"/>
    <w:rsid w:val="15F07D1C"/>
    <w:rsid w:val="160D0EF9"/>
    <w:rsid w:val="16102C69"/>
    <w:rsid w:val="16936C5D"/>
    <w:rsid w:val="169A0992"/>
    <w:rsid w:val="16AC2C63"/>
    <w:rsid w:val="16BB7E2D"/>
    <w:rsid w:val="16C745EA"/>
    <w:rsid w:val="16D07487"/>
    <w:rsid w:val="1704263C"/>
    <w:rsid w:val="17803E35"/>
    <w:rsid w:val="178962E2"/>
    <w:rsid w:val="17AC0503"/>
    <w:rsid w:val="17B2668E"/>
    <w:rsid w:val="17C005FB"/>
    <w:rsid w:val="181A3C98"/>
    <w:rsid w:val="184B1887"/>
    <w:rsid w:val="184C63C5"/>
    <w:rsid w:val="185A3FA7"/>
    <w:rsid w:val="18874F71"/>
    <w:rsid w:val="1897363E"/>
    <w:rsid w:val="18C656BF"/>
    <w:rsid w:val="18D52180"/>
    <w:rsid w:val="18D533E6"/>
    <w:rsid w:val="18EB0875"/>
    <w:rsid w:val="190048CA"/>
    <w:rsid w:val="191E372E"/>
    <w:rsid w:val="191E3A1D"/>
    <w:rsid w:val="1932008F"/>
    <w:rsid w:val="198E07A1"/>
    <w:rsid w:val="1990715A"/>
    <w:rsid w:val="19917ACE"/>
    <w:rsid w:val="19C7421E"/>
    <w:rsid w:val="1A1E3A4B"/>
    <w:rsid w:val="1A43439E"/>
    <w:rsid w:val="1A761BFE"/>
    <w:rsid w:val="1A8C1DF7"/>
    <w:rsid w:val="1A997C03"/>
    <w:rsid w:val="1ABC1502"/>
    <w:rsid w:val="1AC068B1"/>
    <w:rsid w:val="1AF204FE"/>
    <w:rsid w:val="1AFB5644"/>
    <w:rsid w:val="1B30383E"/>
    <w:rsid w:val="1B33158F"/>
    <w:rsid w:val="1B466133"/>
    <w:rsid w:val="1BB400D8"/>
    <w:rsid w:val="1BBE1138"/>
    <w:rsid w:val="1BCB794B"/>
    <w:rsid w:val="1BD75395"/>
    <w:rsid w:val="1BD82836"/>
    <w:rsid w:val="1BED7571"/>
    <w:rsid w:val="1BF647B8"/>
    <w:rsid w:val="1C3F4B94"/>
    <w:rsid w:val="1C8D4353"/>
    <w:rsid w:val="1CB43203"/>
    <w:rsid w:val="1CD66640"/>
    <w:rsid w:val="1CF77D08"/>
    <w:rsid w:val="1D0A6A84"/>
    <w:rsid w:val="1D3F060A"/>
    <w:rsid w:val="1D4F58FF"/>
    <w:rsid w:val="1D8832B8"/>
    <w:rsid w:val="1E203F27"/>
    <w:rsid w:val="1EBC239E"/>
    <w:rsid w:val="1EF374BF"/>
    <w:rsid w:val="1F222554"/>
    <w:rsid w:val="1F4177FA"/>
    <w:rsid w:val="1F4D789E"/>
    <w:rsid w:val="1F537469"/>
    <w:rsid w:val="1F920900"/>
    <w:rsid w:val="1F9A568E"/>
    <w:rsid w:val="1FBB623E"/>
    <w:rsid w:val="1FFA43DF"/>
    <w:rsid w:val="20164AFF"/>
    <w:rsid w:val="20230BD8"/>
    <w:rsid w:val="207313A7"/>
    <w:rsid w:val="209077AF"/>
    <w:rsid w:val="20CB3C75"/>
    <w:rsid w:val="20E67DFE"/>
    <w:rsid w:val="219F3691"/>
    <w:rsid w:val="21BB7234"/>
    <w:rsid w:val="21F86845"/>
    <w:rsid w:val="229F073E"/>
    <w:rsid w:val="22A7622B"/>
    <w:rsid w:val="22D01F83"/>
    <w:rsid w:val="232F6240"/>
    <w:rsid w:val="233A4A3A"/>
    <w:rsid w:val="236F0CEB"/>
    <w:rsid w:val="23796A65"/>
    <w:rsid w:val="23C620E3"/>
    <w:rsid w:val="241B7991"/>
    <w:rsid w:val="2443207F"/>
    <w:rsid w:val="244F2B1B"/>
    <w:rsid w:val="2506226B"/>
    <w:rsid w:val="251212B8"/>
    <w:rsid w:val="25165322"/>
    <w:rsid w:val="25266B98"/>
    <w:rsid w:val="258F0FFE"/>
    <w:rsid w:val="25A3244C"/>
    <w:rsid w:val="25E60008"/>
    <w:rsid w:val="25EA6D31"/>
    <w:rsid w:val="2617605E"/>
    <w:rsid w:val="262C0537"/>
    <w:rsid w:val="263115E8"/>
    <w:rsid w:val="263862DB"/>
    <w:rsid w:val="264A24B3"/>
    <w:rsid w:val="26A14273"/>
    <w:rsid w:val="26C24543"/>
    <w:rsid w:val="26CC72F0"/>
    <w:rsid w:val="26CE1EF8"/>
    <w:rsid w:val="26E90EDE"/>
    <w:rsid w:val="270310F8"/>
    <w:rsid w:val="270461FD"/>
    <w:rsid w:val="273A6681"/>
    <w:rsid w:val="27666D1B"/>
    <w:rsid w:val="27B23084"/>
    <w:rsid w:val="27B62F14"/>
    <w:rsid w:val="27E53E1A"/>
    <w:rsid w:val="280902FC"/>
    <w:rsid w:val="284C4ED6"/>
    <w:rsid w:val="285027E2"/>
    <w:rsid w:val="28B03542"/>
    <w:rsid w:val="28EE13C2"/>
    <w:rsid w:val="29016707"/>
    <w:rsid w:val="293E23CD"/>
    <w:rsid w:val="2968152D"/>
    <w:rsid w:val="2982535B"/>
    <w:rsid w:val="29A12D96"/>
    <w:rsid w:val="29D808CA"/>
    <w:rsid w:val="29E00A10"/>
    <w:rsid w:val="2A0B050E"/>
    <w:rsid w:val="2A561977"/>
    <w:rsid w:val="2A9E7E04"/>
    <w:rsid w:val="2AAC7FF3"/>
    <w:rsid w:val="2ABE10F9"/>
    <w:rsid w:val="2AD74658"/>
    <w:rsid w:val="2B0A11E3"/>
    <w:rsid w:val="2B197EB9"/>
    <w:rsid w:val="2B2B0143"/>
    <w:rsid w:val="2B3F2FE7"/>
    <w:rsid w:val="2B5257CB"/>
    <w:rsid w:val="2B677E51"/>
    <w:rsid w:val="2B825295"/>
    <w:rsid w:val="2B857C4E"/>
    <w:rsid w:val="2B973313"/>
    <w:rsid w:val="2BA964B3"/>
    <w:rsid w:val="2BD15AA7"/>
    <w:rsid w:val="2BDC43D5"/>
    <w:rsid w:val="2C000A37"/>
    <w:rsid w:val="2C0075DB"/>
    <w:rsid w:val="2C484BC5"/>
    <w:rsid w:val="2C7D439E"/>
    <w:rsid w:val="2C803C1B"/>
    <w:rsid w:val="2C85486F"/>
    <w:rsid w:val="2CA16491"/>
    <w:rsid w:val="2CDE30AC"/>
    <w:rsid w:val="2CFC18A8"/>
    <w:rsid w:val="2D1D47CC"/>
    <w:rsid w:val="2D291DD0"/>
    <w:rsid w:val="2EA22752"/>
    <w:rsid w:val="2EB03951"/>
    <w:rsid w:val="2EBE6C78"/>
    <w:rsid w:val="2ECD3C6F"/>
    <w:rsid w:val="2EE34FEF"/>
    <w:rsid w:val="2F4753F5"/>
    <w:rsid w:val="2F485483"/>
    <w:rsid w:val="2F4E54B5"/>
    <w:rsid w:val="2F9D68C6"/>
    <w:rsid w:val="30283F03"/>
    <w:rsid w:val="3042535D"/>
    <w:rsid w:val="308C242C"/>
    <w:rsid w:val="308C2A36"/>
    <w:rsid w:val="30A04B13"/>
    <w:rsid w:val="30BE2F38"/>
    <w:rsid w:val="30C80344"/>
    <w:rsid w:val="31100449"/>
    <w:rsid w:val="31177487"/>
    <w:rsid w:val="31547E67"/>
    <w:rsid w:val="31586BDD"/>
    <w:rsid w:val="31AF62A6"/>
    <w:rsid w:val="31B425B7"/>
    <w:rsid w:val="31F87EC0"/>
    <w:rsid w:val="32052280"/>
    <w:rsid w:val="324819B2"/>
    <w:rsid w:val="3275759F"/>
    <w:rsid w:val="330959A7"/>
    <w:rsid w:val="33874887"/>
    <w:rsid w:val="33BF6586"/>
    <w:rsid w:val="33BF7B58"/>
    <w:rsid w:val="33C95975"/>
    <w:rsid w:val="33F27434"/>
    <w:rsid w:val="342F4EBE"/>
    <w:rsid w:val="343E37E6"/>
    <w:rsid w:val="34C7115C"/>
    <w:rsid w:val="34FD2F9E"/>
    <w:rsid w:val="352D59F1"/>
    <w:rsid w:val="353B10BD"/>
    <w:rsid w:val="353C6C10"/>
    <w:rsid w:val="355274EB"/>
    <w:rsid w:val="35A06478"/>
    <w:rsid w:val="35AC4B05"/>
    <w:rsid w:val="3611037B"/>
    <w:rsid w:val="361F1E24"/>
    <w:rsid w:val="362946B1"/>
    <w:rsid w:val="3656245C"/>
    <w:rsid w:val="365E452B"/>
    <w:rsid w:val="3682298B"/>
    <w:rsid w:val="36AC18E5"/>
    <w:rsid w:val="371A71E4"/>
    <w:rsid w:val="3742243B"/>
    <w:rsid w:val="37552AA4"/>
    <w:rsid w:val="37C13484"/>
    <w:rsid w:val="37DA15CC"/>
    <w:rsid w:val="37F96AF8"/>
    <w:rsid w:val="381D55DF"/>
    <w:rsid w:val="38366A9E"/>
    <w:rsid w:val="384200A0"/>
    <w:rsid w:val="384713B0"/>
    <w:rsid w:val="38667994"/>
    <w:rsid w:val="387D284C"/>
    <w:rsid w:val="3899569D"/>
    <w:rsid w:val="39426847"/>
    <w:rsid w:val="39437FAB"/>
    <w:rsid w:val="39926052"/>
    <w:rsid w:val="39B3794F"/>
    <w:rsid w:val="39C630E6"/>
    <w:rsid w:val="39D32A31"/>
    <w:rsid w:val="3A160727"/>
    <w:rsid w:val="3A205DAC"/>
    <w:rsid w:val="3AA92246"/>
    <w:rsid w:val="3AB0566C"/>
    <w:rsid w:val="3AC45BE1"/>
    <w:rsid w:val="3B03094B"/>
    <w:rsid w:val="3B322E11"/>
    <w:rsid w:val="3B592DC7"/>
    <w:rsid w:val="3B9A7127"/>
    <w:rsid w:val="3BE67AFC"/>
    <w:rsid w:val="3C017991"/>
    <w:rsid w:val="3C751D0E"/>
    <w:rsid w:val="3C8B1A2F"/>
    <w:rsid w:val="3CD56638"/>
    <w:rsid w:val="3CF0142E"/>
    <w:rsid w:val="3D0C0C1B"/>
    <w:rsid w:val="3D6960C7"/>
    <w:rsid w:val="3D7E6A8B"/>
    <w:rsid w:val="3D913C54"/>
    <w:rsid w:val="3D9A377F"/>
    <w:rsid w:val="3DAB6341"/>
    <w:rsid w:val="3DB058CE"/>
    <w:rsid w:val="3DF31FAE"/>
    <w:rsid w:val="3E1A5C00"/>
    <w:rsid w:val="3E314882"/>
    <w:rsid w:val="3E3B6503"/>
    <w:rsid w:val="3E3C6481"/>
    <w:rsid w:val="3E500F30"/>
    <w:rsid w:val="3E5C1451"/>
    <w:rsid w:val="3EB01105"/>
    <w:rsid w:val="3EE72095"/>
    <w:rsid w:val="3EFB5E35"/>
    <w:rsid w:val="3F0443BD"/>
    <w:rsid w:val="3F1A551A"/>
    <w:rsid w:val="3F310C72"/>
    <w:rsid w:val="3F3139A0"/>
    <w:rsid w:val="3F506054"/>
    <w:rsid w:val="3F767D9C"/>
    <w:rsid w:val="3FB278BC"/>
    <w:rsid w:val="3FE96646"/>
    <w:rsid w:val="40060C08"/>
    <w:rsid w:val="40385A0B"/>
    <w:rsid w:val="405042EB"/>
    <w:rsid w:val="40805D55"/>
    <w:rsid w:val="408F1744"/>
    <w:rsid w:val="40AD4A53"/>
    <w:rsid w:val="40DD6572"/>
    <w:rsid w:val="41035079"/>
    <w:rsid w:val="413015E9"/>
    <w:rsid w:val="413925D0"/>
    <w:rsid w:val="4170316C"/>
    <w:rsid w:val="418D703A"/>
    <w:rsid w:val="41935408"/>
    <w:rsid w:val="41B54408"/>
    <w:rsid w:val="41C96835"/>
    <w:rsid w:val="41D84320"/>
    <w:rsid w:val="41EC3963"/>
    <w:rsid w:val="422031BA"/>
    <w:rsid w:val="42212232"/>
    <w:rsid w:val="4229199A"/>
    <w:rsid w:val="422C6CE2"/>
    <w:rsid w:val="423F09C3"/>
    <w:rsid w:val="42430FF7"/>
    <w:rsid w:val="42682C6D"/>
    <w:rsid w:val="4268479A"/>
    <w:rsid w:val="426D6D25"/>
    <w:rsid w:val="42712D6C"/>
    <w:rsid w:val="42955D87"/>
    <w:rsid w:val="42A2532D"/>
    <w:rsid w:val="42C57C9B"/>
    <w:rsid w:val="42DA03B8"/>
    <w:rsid w:val="42DE2FEB"/>
    <w:rsid w:val="42F944F7"/>
    <w:rsid w:val="43007BD5"/>
    <w:rsid w:val="430409C9"/>
    <w:rsid w:val="43120A2B"/>
    <w:rsid w:val="43394057"/>
    <w:rsid w:val="436E0369"/>
    <w:rsid w:val="43A62A44"/>
    <w:rsid w:val="43E969A8"/>
    <w:rsid w:val="43FC2619"/>
    <w:rsid w:val="443739A8"/>
    <w:rsid w:val="445A44EE"/>
    <w:rsid w:val="447719B4"/>
    <w:rsid w:val="44CC4CBE"/>
    <w:rsid w:val="44D9057E"/>
    <w:rsid w:val="45161221"/>
    <w:rsid w:val="45180F59"/>
    <w:rsid w:val="451C6547"/>
    <w:rsid w:val="459D11BD"/>
    <w:rsid w:val="460638BE"/>
    <w:rsid w:val="46240BE7"/>
    <w:rsid w:val="46487E20"/>
    <w:rsid w:val="467414F9"/>
    <w:rsid w:val="4699266A"/>
    <w:rsid w:val="46A0763A"/>
    <w:rsid w:val="46B648D8"/>
    <w:rsid w:val="46BF393C"/>
    <w:rsid w:val="46F220F0"/>
    <w:rsid w:val="472A3793"/>
    <w:rsid w:val="474A6DBD"/>
    <w:rsid w:val="478718C7"/>
    <w:rsid w:val="47D76292"/>
    <w:rsid w:val="47EA61A5"/>
    <w:rsid w:val="482A6A4F"/>
    <w:rsid w:val="48860698"/>
    <w:rsid w:val="48B10958"/>
    <w:rsid w:val="490F348A"/>
    <w:rsid w:val="493324AF"/>
    <w:rsid w:val="49461812"/>
    <w:rsid w:val="4974540C"/>
    <w:rsid w:val="4982527B"/>
    <w:rsid w:val="49B420C6"/>
    <w:rsid w:val="49DB3405"/>
    <w:rsid w:val="49FD0072"/>
    <w:rsid w:val="4A1E44B2"/>
    <w:rsid w:val="4A960E33"/>
    <w:rsid w:val="4AB75922"/>
    <w:rsid w:val="4AB96C72"/>
    <w:rsid w:val="4AED0E71"/>
    <w:rsid w:val="4AF11A80"/>
    <w:rsid w:val="4B087D31"/>
    <w:rsid w:val="4B2E6939"/>
    <w:rsid w:val="4B30317A"/>
    <w:rsid w:val="4B7018C8"/>
    <w:rsid w:val="4B7C38E4"/>
    <w:rsid w:val="4B825257"/>
    <w:rsid w:val="4C0201BC"/>
    <w:rsid w:val="4C0E1C75"/>
    <w:rsid w:val="4C20011C"/>
    <w:rsid w:val="4C3F346B"/>
    <w:rsid w:val="4C633102"/>
    <w:rsid w:val="4C83101E"/>
    <w:rsid w:val="4CDB4E16"/>
    <w:rsid w:val="4CF75479"/>
    <w:rsid w:val="4D0579E7"/>
    <w:rsid w:val="4D343B5F"/>
    <w:rsid w:val="4D3D2574"/>
    <w:rsid w:val="4D4D63BC"/>
    <w:rsid w:val="4D950FE9"/>
    <w:rsid w:val="4E1B32C3"/>
    <w:rsid w:val="4E310E88"/>
    <w:rsid w:val="4E8073F4"/>
    <w:rsid w:val="4E89057C"/>
    <w:rsid w:val="4E965AAF"/>
    <w:rsid w:val="4EBC1683"/>
    <w:rsid w:val="4EC52109"/>
    <w:rsid w:val="4ED5028E"/>
    <w:rsid w:val="4ED821C9"/>
    <w:rsid w:val="4EE72922"/>
    <w:rsid w:val="4F0951D6"/>
    <w:rsid w:val="4F0F51A0"/>
    <w:rsid w:val="4F5B3502"/>
    <w:rsid w:val="4F793F2F"/>
    <w:rsid w:val="4F835E15"/>
    <w:rsid w:val="4FCD7071"/>
    <w:rsid w:val="4FF038CD"/>
    <w:rsid w:val="50366642"/>
    <w:rsid w:val="50427E72"/>
    <w:rsid w:val="50532749"/>
    <w:rsid w:val="505E75FE"/>
    <w:rsid w:val="51337826"/>
    <w:rsid w:val="518E4834"/>
    <w:rsid w:val="51CA7276"/>
    <w:rsid w:val="521178BB"/>
    <w:rsid w:val="52166108"/>
    <w:rsid w:val="523C76A2"/>
    <w:rsid w:val="524017A3"/>
    <w:rsid w:val="524F0A6A"/>
    <w:rsid w:val="529B7166"/>
    <w:rsid w:val="52A44B99"/>
    <w:rsid w:val="52BA468E"/>
    <w:rsid w:val="52DA2C35"/>
    <w:rsid w:val="52F13FDE"/>
    <w:rsid w:val="53270E56"/>
    <w:rsid w:val="53A5089C"/>
    <w:rsid w:val="53B30ED1"/>
    <w:rsid w:val="53D943A8"/>
    <w:rsid w:val="53E32AD1"/>
    <w:rsid w:val="543A65F8"/>
    <w:rsid w:val="544211DC"/>
    <w:rsid w:val="54526370"/>
    <w:rsid w:val="5461219C"/>
    <w:rsid w:val="547D6094"/>
    <w:rsid w:val="549040D5"/>
    <w:rsid w:val="54B94644"/>
    <w:rsid w:val="54CB27A7"/>
    <w:rsid w:val="54CC319E"/>
    <w:rsid w:val="54CC3A0D"/>
    <w:rsid w:val="54D0335E"/>
    <w:rsid w:val="54F51B88"/>
    <w:rsid w:val="55BA19C5"/>
    <w:rsid w:val="55C905D7"/>
    <w:rsid w:val="55F3520B"/>
    <w:rsid w:val="56844090"/>
    <w:rsid w:val="56B434E9"/>
    <w:rsid w:val="56D76033"/>
    <w:rsid w:val="571F7E79"/>
    <w:rsid w:val="57237355"/>
    <w:rsid w:val="572845BD"/>
    <w:rsid w:val="57361805"/>
    <w:rsid w:val="573C6927"/>
    <w:rsid w:val="57430756"/>
    <w:rsid w:val="577238A2"/>
    <w:rsid w:val="57974F44"/>
    <w:rsid w:val="57AF0F05"/>
    <w:rsid w:val="57E60E2D"/>
    <w:rsid w:val="57FA0DE2"/>
    <w:rsid w:val="58296C30"/>
    <w:rsid w:val="582A34D0"/>
    <w:rsid w:val="58303909"/>
    <w:rsid w:val="583A056A"/>
    <w:rsid w:val="583F294A"/>
    <w:rsid w:val="58402C5F"/>
    <w:rsid w:val="585C4345"/>
    <w:rsid w:val="588B36A2"/>
    <w:rsid w:val="58982876"/>
    <w:rsid w:val="58DA1E2E"/>
    <w:rsid w:val="58ED3E45"/>
    <w:rsid w:val="58F1429D"/>
    <w:rsid w:val="590D72DF"/>
    <w:rsid w:val="59442B09"/>
    <w:rsid w:val="59847054"/>
    <w:rsid w:val="59852EC8"/>
    <w:rsid w:val="59942B09"/>
    <w:rsid w:val="59A8095B"/>
    <w:rsid w:val="59BB5B06"/>
    <w:rsid w:val="5A12677E"/>
    <w:rsid w:val="5A1767BC"/>
    <w:rsid w:val="5A2249E2"/>
    <w:rsid w:val="5A366A14"/>
    <w:rsid w:val="5A375A59"/>
    <w:rsid w:val="5A3B2A25"/>
    <w:rsid w:val="5A81348D"/>
    <w:rsid w:val="5A8557FA"/>
    <w:rsid w:val="5AB13609"/>
    <w:rsid w:val="5B13153A"/>
    <w:rsid w:val="5B3F3849"/>
    <w:rsid w:val="5B4E1583"/>
    <w:rsid w:val="5B747889"/>
    <w:rsid w:val="5B7556D0"/>
    <w:rsid w:val="5B9A699B"/>
    <w:rsid w:val="5BA35F1C"/>
    <w:rsid w:val="5BA37DB5"/>
    <w:rsid w:val="5BE64432"/>
    <w:rsid w:val="5BEC5212"/>
    <w:rsid w:val="5C8C1D8E"/>
    <w:rsid w:val="5C924441"/>
    <w:rsid w:val="5CD255B0"/>
    <w:rsid w:val="5CF92E46"/>
    <w:rsid w:val="5D18190F"/>
    <w:rsid w:val="5D657EC8"/>
    <w:rsid w:val="5D7A2D80"/>
    <w:rsid w:val="5D85246F"/>
    <w:rsid w:val="5DD215E4"/>
    <w:rsid w:val="5DF75521"/>
    <w:rsid w:val="5E0F2774"/>
    <w:rsid w:val="5E7D73F9"/>
    <w:rsid w:val="5E7E30FC"/>
    <w:rsid w:val="5EA052BB"/>
    <w:rsid w:val="5EC01431"/>
    <w:rsid w:val="5EEA7A4C"/>
    <w:rsid w:val="5F2F6586"/>
    <w:rsid w:val="5F694F9D"/>
    <w:rsid w:val="5FC13BC8"/>
    <w:rsid w:val="60091E02"/>
    <w:rsid w:val="60092DAC"/>
    <w:rsid w:val="604C0ABB"/>
    <w:rsid w:val="60EF1809"/>
    <w:rsid w:val="611F73FD"/>
    <w:rsid w:val="613E328A"/>
    <w:rsid w:val="614D1E57"/>
    <w:rsid w:val="6168263A"/>
    <w:rsid w:val="61705A94"/>
    <w:rsid w:val="61A20376"/>
    <w:rsid w:val="620310FF"/>
    <w:rsid w:val="628F0B46"/>
    <w:rsid w:val="629D62AA"/>
    <w:rsid w:val="62C63606"/>
    <w:rsid w:val="62EA154F"/>
    <w:rsid w:val="636B42DB"/>
    <w:rsid w:val="637620AC"/>
    <w:rsid w:val="637E485B"/>
    <w:rsid w:val="63857BEA"/>
    <w:rsid w:val="638A1BEE"/>
    <w:rsid w:val="63C04705"/>
    <w:rsid w:val="63CA0A3E"/>
    <w:rsid w:val="63CB1F34"/>
    <w:rsid w:val="63D0446A"/>
    <w:rsid w:val="63D84F19"/>
    <w:rsid w:val="642E6E8D"/>
    <w:rsid w:val="64A958B9"/>
    <w:rsid w:val="64B41EE1"/>
    <w:rsid w:val="64E74FDC"/>
    <w:rsid w:val="64F34F07"/>
    <w:rsid w:val="64FA2EEC"/>
    <w:rsid w:val="64FF1648"/>
    <w:rsid w:val="65091FE2"/>
    <w:rsid w:val="65116257"/>
    <w:rsid w:val="6573593E"/>
    <w:rsid w:val="658D10CA"/>
    <w:rsid w:val="66FC6CB4"/>
    <w:rsid w:val="672524E8"/>
    <w:rsid w:val="674676F6"/>
    <w:rsid w:val="67727693"/>
    <w:rsid w:val="67761DD7"/>
    <w:rsid w:val="677647BF"/>
    <w:rsid w:val="677A3FF5"/>
    <w:rsid w:val="67861AD0"/>
    <w:rsid w:val="679000C9"/>
    <w:rsid w:val="679301B8"/>
    <w:rsid w:val="67952366"/>
    <w:rsid w:val="67AC5082"/>
    <w:rsid w:val="67B104F6"/>
    <w:rsid w:val="67C65A33"/>
    <w:rsid w:val="682F5344"/>
    <w:rsid w:val="68485359"/>
    <w:rsid w:val="68643945"/>
    <w:rsid w:val="68746159"/>
    <w:rsid w:val="68C11EA8"/>
    <w:rsid w:val="68DF5E5A"/>
    <w:rsid w:val="691707C5"/>
    <w:rsid w:val="69342F09"/>
    <w:rsid w:val="694647CF"/>
    <w:rsid w:val="695E37F8"/>
    <w:rsid w:val="69603C03"/>
    <w:rsid w:val="697B063E"/>
    <w:rsid w:val="69C43060"/>
    <w:rsid w:val="69C9148D"/>
    <w:rsid w:val="69E90669"/>
    <w:rsid w:val="6A0576E2"/>
    <w:rsid w:val="6A11030C"/>
    <w:rsid w:val="6A283E41"/>
    <w:rsid w:val="6A2B006A"/>
    <w:rsid w:val="6A350165"/>
    <w:rsid w:val="6A375C74"/>
    <w:rsid w:val="6A7977DE"/>
    <w:rsid w:val="6A831E3B"/>
    <w:rsid w:val="6A8775AB"/>
    <w:rsid w:val="6AA15E8F"/>
    <w:rsid w:val="6AC65667"/>
    <w:rsid w:val="6AC7146E"/>
    <w:rsid w:val="6ADD3685"/>
    <w:rsid w:val="6B4F3DAF"/>
    <w:rsid w:val="6BB5368F"/>
    <w:rsid w:val="6BE35718"/>
    <w:rsid w:val="6C276D94"/>
    <w:rsid w:val="6C540796"/>
    <w:rsid w:val="6C624F67"/>
    <w:rsid w:val="6C8740EF"/>
    <w:rsid w:val="6CA564EE"/>
    <w:rsid w:val="6CB03407"/>
    <w:rsid w:val="6D003097"/>
    <w:rsid w:val="6D59727C"/>
    <w:rsid w:val="6D7D445F"/>
    <w:rsid w:val="6D8F4D62"/>
    <w:rsid w:val="6DAA65AA"/>
    <w:rsid w:val="6DAC435E"/>
    <w:rsid w:val="6DCA0B18"/>
    <w:rsid w:val="6DF63876"/>
    <w:rsid w:val="6E0B2746"/>
    <w:rsid w:val="6E2044DD"/>
    <w:rsid w:val="6E2B028A"/>
    <w:rsid w:val="6E377221"/>
    <w:rsid w:val="6E7151EE"/>
    <w:rsid w:val="6E9945F3"/>
    <w:rsid w:val="6ECA5726"/>
    <w:rsid w:val="6ECD28B5"/>
    <w:rsid w:val="6ED46712"/>
    <w:rsid w:val="6F061D9E"/>
    <w:rsid w:val="6F3B2832"/>
    <w:rsid w:val="6F7A6148"/>
    <w:rsid w:val="70070B96"/>
    <w:rsid w:val="701B0489"/>
    <w:rsid w:val="702109BF"/>
    <w:rsid w:val="706B2312"/>
    <w:rsid w:val="706D1B80"/>
    <w:rsid w:val="70920D6D"/>
    <w:rsid w:val="70C42E13"/>
    <w:rsid w:val="70DE243F"/>
    <w:rsid w:val="70E358BA"/>
    <w:rsid w:val="70E66953"/>
    <w:rsid w:val="71112A3B"/>
    <w:rsid w:val="711A7BF6"/>
    <w:rsid w:val="715C3B99"/>
    <w:rsid w:val="71BC60A8"/>
    <w:rsid w:val="71BF54A7"/>
    <w:rsid w:val="72016189"/>
    <w:rsid w:val="722C7E8B"/>
    <w:rsid w:val="7281600F"/>
    <w:rsid w:val="728E66DF"/>
    <w:rsid w:val="72C761D6"/>
    <w:rsid w:val="72D2795A"/>
    <w:rsid w:val="72D40F9D"/>
    <w:rsid w:val="730319B4"/>
    <w:rsid w:val="730E5E37"/>
    <w:rsid w:val="733B0078"/>
    <w:rsid w:val="73576EAD"/>
    <w:rsid w:val="73836172"/>
    <w:rsid w:val="73DF1744"/>
    <w:rsid w:val="73EA33A6"/>
    <w:rsid w:val="73EA52D8"/>
    <w:rsid w:val="7458117C"/>
    <w:rsid w:val="74615425"/>
    <w:rsid w:val="74736256"/>
    <w:rsid w:val="74AD3D80"/>
    <w:rsid w:val="74C066E2"/>
    <w:rsid w:val="75036DF9"/>
    <w:rsid w:val="75432AC1"/>
    <w:rsid w:val="75506462"/>
    <w:rsid w:val="75660E35"/>
    <w:rsid w:val="75822829"/>
    <w:rsid w:val="75932CF8"/>
    <w:rsid w:val="759F4D24"/>
    <w:rsid w:val="75C7206D"/>
    <w:rsid w:val="75DB32CB"/>
    <w:rsid w:val="75E00CFE"/>
    <w:rsid w:val="75E60691"/>
    <w:rsid w:val="76235915"/>
    <w:rsid w:val="765E6ECB"/>
    <w:rsid w:val="767A2DDC"/>
    <w:rsid w:val="769A5880"/>
    <w:rsid w:val="769C2464"/>
    <w:rsid w:val="76B44914"/>
    <w:rsid w:val="76E91D05"/>
    <w:rsid w:val="77907A30"/>
    <w:rsid w:val="7793413D"/>
    <w:rsid w:val="77C601B7"/>
    <w:rsid w:val="77D92F03"/>
    <w:rsid w:val="77E46B8E"/>
    <w:rsid w:val="77E8035B"/>
    <w:rsid w:val="78212AA3"/>
    <w:rsid w:val="786B40EF"/>
    <w:rsid w:val="7926169C"/>
    <w:rsid w:val="79A510A8"/>
    <w:rsid w:val="7A364E59"/>
    <w:rsid w:val="7A6727D0"/>
    <w:rsid w:val="7A6F0B35"/>
    <w:rsid w:val="7AAC109C"/>
    <w:rsid w:val="7ACC0A38"/>
    <w:rsid w:val="7AD827E4"/>
    <w:rsid w:val="7ADF6DF4"/>
    <w:rsid w:val="7B6223A0"/>
    <w:rsid w:val="7B6D4EA8"/>
    <w:rsid w:val="7B8055BB"/>
    <w:rsid w:val="7B910859"/>
    <w:rsid w:val="7BC75689"/>
    <w:rsid w:val="7BD30694"/>
    <w:rsid w:val="7BD62079"/>
    <w:rsid w:val="7BE70F79"/>
    <w:rsid w:val="7BE7509D"/>
    <w:rsid w:val="7C3E2D7B"/>
    <w:rsid w:val="7C5529CA"/>
    <w:rsid w:val="7CA90F62"/>
    <w:rsid w:val="7CC64FF9"/>
    <w:rsid w:val="7D2755A5"/>
    <w:rsid w:val="7D3B5F36"/>
    <w:rsid w:val="7D9167A8"/>
    <w:rsid w:val="7D931E6C"/>
    <w:rsid w:val="7DA2738A"/>
    <w:rsid w:val="7DD85E7C"/>
    <w:rsid w:val="7E370502"/>
    <w:rsid w:val="7E491F03"/>
    <w:rsid w:val="7E4B172F"/>
    <w:rsid w:val="7E6E6FF2"/>
    <w:rsid w:val="7E7D49C1"/>
    <w:rsid w:val="7EF65DCA"/>
    <w:rsid w:val="7F0D5423"/>
    <w:rsid w:val="7F552D95"/>
    <w:rsid w:val="7F5E5253"/>
    <w:rsid w:val="7F691CFB"/>
    <w:rsid w:val="7F872274"/>
    <w:rsid w:val="7FD5355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qFormat="1" w:unhideWhenUsed="0" w:uiPriority="99"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iPriority="99"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qFormat="1" w:unhideWhenUsed="0" w:uiPriority="0" w:semiHidden="0" w:name="Body Text First Indent" w:locked="1"/>
    <w:lsdException w:uiPriority="99" w:name="Body Text First Indent 2" w:locked="1"/>
    <w:lsdException w:uiPriority="99" w:name="Note Heading" w:locked="1"/>
    <w:lsdException w:qFormat="1" w:unhideWhenUsed="0" w:uiPriority="0" w:semiHidden="0" w:name="Body Text 2" w:locked="1"/>
    <w:lsdException w:uiPriority="99" w:name="Body Text 3" w:locked="1"/>
    <w:lsdException w:qFormat="1" w:unhideWhenUsed="0" w:uiPriority="99" w:semiHidden="0" w:name="Body Text Indent 2"/>
    <w:lsdException w:qFormat="1" w:unhideWhenUsed="0" w:uiPriority="99" w:semiHidden="0" w:name="Body Text Indent 3"/>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qFormat="1" w:unhideWhenUsed="0" w:uiPriority="99" w:semiHidden="0" w:name="HTML Cite"/>
    <w:lsdException w:qFormat="1" w:unhideWhenUsed="0" w:uiPriority="99" w:semiHidden="0" w:name="HTML Code"/>
    <w:lsdException w:qFormat="1" w:unhideWhenUsed="0" w:uiPriority="99" w:semiHidden="0" w:name="HTML Definition"/>
    <w:lsdException w:uiPriority="99" w:name="HTML Keyboard" w:locked="1"/>
    <w:lsdException w:uiPriority="99" w:name="HTML Preformatted" w:locked="1"/>
    <w:lsdException w:uiPriority="99" w:name="HTML Sample" w:locked="1"/>
    <w:lsdException w:uiPriority="99" w:name="HTML Typewriter" w:locked="1"/>
    <w:lsdException w:qFormat="1" w:unhideWhenUsed="0" w:uiPriority="99" w:semiHidden="0" w:name="HTML Variable"/>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41"/>
    <w:qFormat/>
    <w:uiPriority w:val="99"/>
    <w:pPr>
      <w:keepNext/>
      <w:keepLines/>
      <w:spacing w:before="340" w:after="330" w:line="578" w:lineRule="auto"/>
      <w:outlineLvl w:val="0"/>
    </w:pPr>
    <w:rPr>
      <w:b/>
      <w:bCs/>
      <w:kern w:val="44"/>
      <w:sz w:val="44"/>
      <w:szCs w:val="44"/>
    </w:rPr>
  </w:style>
  <w:style w:type="paragraph" w:styleId="2">
    <w:name w:val="heading 2"/>
    <w:basedOn w:val="1"/>
    <w:next w:val="1"/>
    <w:link w:val="42"/>
    <w:qFormat/>
    <w:uiPriority w:val="99"/>
    <w:pPr>
      <w:keepNext/>
      <w:keepLines/>
      <w:spacing w:before="260" w:after="260" w:line="416" w:lineRule="auto"/>
      <w:outlineLvl w:val="1"/>
    </w:pPr>
    <w:rPr>
      <w:rFonts w:ascii="Arial" w:hAnsi="Arial" w:eastAsia="黑体" w:cs="Arial"/>
      <w:b/>
      <w:bCs/>
      <w:kern w:val="0"/>
      <w:sz w:val="32"/>
      <w:szCs w:val="32"/>
    </w:rPr>
  </w:style>
  <w:style w:type="paragraph" w:styleId="4">
    <w:name w:val="heading 3"/>
    <w:basedOn w:val="1"/>
    <w:next w:val="1"/>
    <w:link w:val="43"/>
    <w:qFormat/>
    <w:uiPriority w:val="99"/>
    <w:pPr>
      <w:keepNext/>
      <w:keepLines/>
      <w:spacing w:before="260" w:after="260" w:line="416" w:lineRule="auto"/>
      <w:outlineLvl w:val="2"/>
    </w:pPr>
    <w:rPr>
      <w:b/>
      <w:bCs/>
      <w:sz w:val="32"/>
      <w:szCs w:val="32"/>
    </w:rPr>
  </w:style>
  <w:style w:type="paragraph" w:styleId="5">
    <w:name w:val="heading 4"/>
    <w:basedOn w:val="1"/>
    <w:next w:val="1"/>
    <w:link w:val="44"/>
    <w:qFormat/>
    <w:uiPriority w:val="99"/>
    <w:pPr>
      <w:keepNext/>
      <w:keepLines/>
      <w:spacing w:before="280" w:after="290" w:line="376" w:lineRule="auto"/>
      <w:outlineLvl w:val="3"/>
    </w:pPr>
    <w:rPr>
      <w:rFonts w:ascii="Cambria" w:hAnsi="Cambria" w:cs="Cambria"/>
      <w:b/>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link w:val="74"/>
    <w:qFormat/>
    <w:uiPriority w:val="99"/>
    <w:pPr>
      <w:ind w:firstLine="420" w:firstLineChars="200"/>
    </w:pPr>
    <w:rPr>
      <w:kern w:val="0"/>
      <w:sz w:val="24"/>
      <w:szCs w:val="24"/>
    </w:rPr>
  </w:style>
  <w:style w:type="paragraph" w:styleId="7">
    <w:name w:val="Document Map"/>
    <w:basedOn w:val="1"/>
    <w:link w:val="45"/>
    <w:semiHidden/>
    <w:qFormat/>
    <w:uiPriority w:val="99"/>
    <w:pPr>
      <w:shd w:val="clear" w:color="auto" w:fill="000080"/>
    </w:pPr>
  </w:style>
  <w:style w:type="paragraph" w:styleId="8">
    <w:name w:val="annotation text"/>
    <w:basedOn w:val="1"/>
    <w:link w:val="46"/>
    <w:semiHidden/>
    <w:qFormat/>
    <w:uiPriority w:val="99"/>
    <w:pPr>
      <w:jc w:val="left"/>
    </w:pPr>
    <w:rPr>
      <w:kern w:val="0"/>
      <w:sz w:val="18"/>
      <w:szCs w:val="18"/>
    </w:rPr>
  </w:style>
  <w:style w:type="paragraph" w:styleId="9">
    <w:name w:val="Body Text"/>
    <w:basedOn w:val="1"/>
    <w:next w:val="1"/>
    <w:link w:val="47"/>
    <w:qFormat/>
    <w:uiPriority w:val="99"/>
    <w:pPr>
      <w:spacing w:after="120"/>
    </w:pPr>
    <w:rPr>
      <w:kern w:val="0"/>
      <w:sz w:val="20"/>
      <w:szCs w:val="20"/>
    </w:rPr>
  </w:style>
  <w:style w:type="paragraph" w:styleId="10">
    <w:name w:val="Body Text Indent"/>
    <w:basedOn w:val="1"/>
    <w:link w:val="48"/>
    <w:qFormat/>
    <w:uiPriority w:val="99"/>
    <w:pPr>
      <w:ind w:firstLine="630"/>
    </w:pPr>
    <w:rPr>
      <w:kern w:val="0"/>
      <w:sz w:val="32"/>
      <w:szCs w:val="32"/>
    </w:rPr>
  </w:style>
  <w:style w:type="paragraph" w:styleId="11">
    <w:name w:val="toc 3"/>
    <w:basedOn w:val="1"/>
    <w:next w:val="1"/>
    <w:semiHidden/>
    <w:qFormat/>
    <w:uiPriority w:val="99"/>
    <w:pPr>
      <w:ind w:left="840" w:leftChars="400"/>
    </w:pPr>
  </w:style>
  <w:style w:type="paragraph" w:styleId="12">
    <w:name w:val="Plain Text"/>
    <w:basedOn w:val="1"/>
    <w:link w:val="49"/>
    <w:qFormat/>
    <w:uiPriority w:val="99"/>
    <w:pPr>
      <w:autoSpaceDE w:val="0"/>
      <w:autoSpaceDN w:val="0"/>
      <w:adjustRightInd w:val="0"/>
    </w:pPr>
    <w:rPr>
      <w:rFonts w:ascii="宋体" w:hAnsi="Tms Rmn" w:cs="宋体"/>
      <w:kern w:val="0"/>
      <w:sz w:val="20"/>
      <w:szCs w:val="20"/>
    </w:rPr>
  </w:style>
  <w:style w:type="paragraph" w:styleId="13">
    <w:name w:val="Date"/>
    <w:basedOn w:val="1"/>
    <w:next w:val="1"/>
    <w:link w:val="50"/>
    <w:qFormat/>
    <w:uiPriority w:val="99"/>
    <w:rPr>
      <w:rFonts w:eastAsia="黑体"/>
      <w:sz w:val="36"/>
      <w:szCs w:val="36"/>
    </w:rPr>
  </w:style>
  <w:style w:type="paragraph" w:styleId="14">
    <w:name w:val="Body Text Indent 2"/>
    <w:basedOn w:val="1"/>
    <w:link w:val="51"/>
    <w:qFormat/>
    <w:uiPriority w:val="99"/>
    <w:pPr>
      <w:spacing w:after="120" w:line="480" w:lineRule="auto"/>
      <w:ind w:left="420" w:leftChars="200"/>
    </w:pPr>
    <w:rPr>
      <w:kern w:val="0"/>
      <w:sz w:val="20"/>
      <w:szCs w:val="20"/>
    </w:rPr>
  </w:style>
  <w:style w:type="paragraph" w:styleId="15">
    <w:name w:val="Balloon Text"/>
    <w:basedOn w:val="1"/>
    <w:link w:val="52"/>
    <w:semiHidden/>
    <w:qFormat/>
    <w:uiPriority w:val="99"/>
    <w:rPr>
      <w:kern w:val="0"/>
      <w:sz w:val="18"/>
      <w:szCs w:val="18"/>
    </w:rPr>
  </w:style>
  <w:style w:type="paragraph" w:styleId="16">
    <w:name w:val="footer"/>
    <w:basedOn w:val="1"/>
    <w:link w:val="53"/>
    <w:qFormat/>
    <w:uiPriority w:val="99"/>
    <w:pPr>
      <w:tabs>
        <w:tab w:val="center" w:pos="4153"/>
        <w:tab w:val="right" w:pos="8306"/>
      </w:tabs>
      <w:snapToGrid w:val="0"/>
      <w:jc w:val="left"/>
    </w:pPr>
    <w:rPr>
      <w:kern w:val="0"/>
      <w:sz w:val="18"/>
      <w:szCs w:val="18"/>
    </w:rPr>
  </w:style>
  <w:style w:type="paragraph" w:styleId="17">
    <w:name w:val="header"/>
    <w:basedOn w:val="1"/>
    <w:link w:val="54"/>
    <w:qFormat/>
    <w:uiPriority w:val="99"/>
    <w:pPr>
      <w:pBdr>
        <w:bottom w:val="single" w:color="auto" w:sz="6" w:space="1"/>
      </w:pBdr>
      <w:tabs>
        <w:tab w:val="center" w:pos="4153"/>
        <w:tab w:val="right" w:pos="8306"/>
      </w:tabs>
      <w:snapToGrid w:val="0"/>
      <w:jc w:val="center"/>
    </w:pPr>
    <w:rPr>
      <w:kern w:val="0"/>
      <w:sz w:val="18"/>
      <w:szCs w:val="18"/>
    </w:rPr>
  </w:style>
  <w:style w:type="paragraph" w:styleId="18">
    <w:name w:val="toc 1"/>
    <w:basedOn w:val="1"/>
    <w:next w:val="1"/>
    <w:semiHidden/>
    <w:qFormat/>
    <w:uiPriority w:val="99"/>
    <w:pPr>
      <w:tabs>
        <w:tab w:val="right" w:leader="dot" w:pos="9345"/>
      </w:tabs>
      <w:spacing w:before="120" w:after="120" w:line="620" w:lineRule="exact"/>
      <w:ind w:right="-105" w:rightChars="-50"/>
      <w:jc w:val="left"/>
    </w:pPr>
    <w:rPr>
      <w:b/>
      <w:bCs/>
      <w:caps/>
      <w:sz w:val="20"/>
      <w:szCs w:val="20"/>
    </w:rPr>
  </w:style>
  <w:style w:type="paragraph" w:styleId="19">
    <w:name w:val="Body Text Indent 3"/>
    <w:basedOn w:val="1"/>
    <w:link w:val="55"/>
    <w:qFormat/>
    <w:uiPriority w:val="99"/>
    <w:pPr>
      <w:spacing w:after="120"/>
      <w:ind w:left="420" w:leftChars="200"/>
    </w:pPr>
    <w:rPr>
      <w:kern w:val="0"/>
      <w:sz w:val="16"/>
      <w:szCs w:val="16"/>
    </w:rPr>
  </w:style>
  <w:style w:type="paragraph" w:styleId="20">
    <w:name w:val="toc 2"/>
    <w:basedOn w:val="1"/>
    <w:next w:val="1"/>
    <w:semiHidden/>
    <w:qFormat/>
    <w:uiPriority w:val="99"/>
    <w:pPr>
      <w:spacing w:line="400" w:lineRule="exact"/>
      <w:ind w:left="210" w:leftChars="100" w:firstLine="480" w:firstLineChars="200"/>
      <w:jc w:val="left"/>
    </w:pPr>
    <w:rPr>
      <w:smallCaps/>
      <w:color w:val="000000"/>
      <w:sz w:val="24"/>
      <w:szCs w:val="24"/>
    </w:rPr>
  </w:style>
  <w:style w:type="paragraph" w:styleId="21">
    <w:name w:val="Body Text 2"/>
    <w:qFormat/>
    <w:locked/>
    <w:uiPriority w:val="0"/>
    <w:pPr>
      <w:spacing w:after="120" w:line="480" w:lineRule="auto"/>
    </w:pPr>
    <w:rPr>
      <w:rFonts w:ascii="Times New Roman" w:hAnsi="Times New Roman" w:eastAsia="Arial Unicode MS" w:cs="Arial Unicode MS"/>
      <w:color w:val="000000"/>
      <w:kern w:val="2"/>
      <w:sz w:val="21"/>
      <w:szCs w:val="21"/>
      <w:u w:color="000000"/>
      <w:lang w:val="en-US" w:eastAsia="zh-CN" w:bidi="ar-SA"/>
    </w:rPr>
  </w:style>
  <w:style w:type="paragraph" w:styleId="22">
    <w:name w:val="Normal (Web)"/>
    <w:basedOn w:val="1"/>
    <w:qFormat/>
    <w:uiPriority w:val="99"/>
    <w:pPr>
      <w:widowControl/>
      <w:spacing w:before="100" w:beforeAutospacing="1" w:after="100" w:afterAutospacing="1"/>
      <w:jc w:val="left"/>
    </w:pPr>
    <w:rPr>
      <w:rFonts w:ascii="宋体" w:hAnsi="宋体" w:cs="宋体"/>
      <w:kern w:val="0"/>
      <w:sz w:val="18"/>
      <w:szCs w:val="18"/>
    </w:rPr>
  </w:style>
  <w:style w:type="paragraph" w:styleId="23">
    <w:name w:val="annotation subject"/>
    <w:basedOn w:val="8"/>
    <w:next w:val="8"/>
    <w:link w:val="56"/>
    <w:semiHidden/>
    <w:qFormat/>
    <w:uiPriority w:val="99"/>
    <w:rPr>
      <w:b/>
      <w:bCs/>
      <w:sz w:val="20"/>
      <w:szCs w:val="20"/>
    </w:rPr>
  </w:style>
  <w:style w:type="paragraph" w:styleId="24">
    <w:name w:val="Body Text First Indent"/>
    <w:basedOn w:val="9"/>
    <w:qFormat/>
    <w:locked/>
    <w:uiPriority w:val="0"/>
    <w:pPr>
      <w:spacing w:after="0"/>
      <w:ind w:firstLine="420" w:firstLineChars="100"/>
    </w:pPr>
    <w:rPr>
      <w:rFonts w:ascii="Arial" w:hAnsi="Arial"/>
      <w:kern w:val="2"/>
      <w:sz w:val="21"/>
    </w:rPr>
  </w:style>
  <w:style w:type="table" w:styleId="26">
    <w:name w:val="Table Grid"/>
    <w:basedOn w:val="25"/>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basedOn w:val="27"/>
    <w:qFormat/>
    <w:uiPriority w:val="99"/>
    <w:rPr>
      <w:b/>
      <w:bCs/>
    </w:rPr>
  </w:style>
  <w:style w:type="character" w:styleId="29">
    <w:name w:val="page number"/>
    <w:basedOn w:val="27"/>
    <w:qFormat/>
    <w:uiPriority w:val="99"/>
  </w:style>
  <w:style w:type="character" w:styleId="30">
    <w:name w:val="FollowedHyperlink"/>
    <w:basedOn w:val="27"/>
    <w:qFormat/>
    <w:uiPriority w:val="99"/>
    <w:rPr>
      <w:color w:val="auto"/>
      <w:u w:val="none"/>
    </w:rPr>
  </w:style>
  <w:style w:type="character" w:styleId="31">
    <w:name w:val="Emphasis"/>
    <w:basedOn w:val="27"/>
    <w:qFormat/>
    <w:uiPriority w:val="99"/>
  </w:style>
  <w:style w:type="character" w:styleId="32">
    <w:name w:val="HTML Definition"/>
    <w:basedOn w:val="27"/>
    <w:qFormat/>
    <w:uiPriority w:val="99"/>
  </w:style>
  <w:style w:type="character" w:styleId="33">
    <w:name w:val="HTML Variable"/>
    <w:basedOn w:val="27"/>
    <w:qFormat/>
    <w:uiPriority w:val="99"/>
  </w:style>
  <w:style w:type="character" w:styleId="34">
    <w:name w:val="Hyperlink"/>
    <w:basedOn w:val="27"/>
    <w:qFormat/>
    <w:uiPriority w:val="99"/>
    <w:rPr>
      <w:color w:val="auto"/>
      <w:u w:val="none"/>
    </w:rPr>
  </w:style>
  <w:style w:type="character" w:styleId="35">
    <w:name w:val="HTML Code"/>
    <w:basedOn w:val="27"/>
    <w:qFormat/>
    <w:uiPriority w:val="99"/>
    <w:rPr>
      <w:rFonts w:ascii="Courier New" w:hAnsi="Courier New" w:cs="Courier New"/>
      <w:color w:val="auto"/>
      <w:sz w:val="20"/>
      <w:szCs w:val="20"/>
    </w:rPr>
  </w:style>
  <w:style w:type="character" w:styleId="36">
    <w:name w:val="annotation reference"/>
    <w:basedOn w:val="27"/>
    <w:semiHidden/>
    <w:qFormat/>
    <w:uiPriority w:val="99"/>
    <w:rPr>
      <w:sz w:val="21"/>
      <w:szCs w:val="21"/>
    </w:rPr>
  </w:style>
  <w:style w:type="character" w:styleId="37">
    <w:name w:val="HTML Cite"/>
    <w:basedOn w:val="27"/>
    <w:qFormat/>
    <w:uiPriority w:val="99"/>
  </w:style>
  <w:style w:type="paragraph" w:customStyle="1" w:styleId="38">
    <w:name w:val="Default"/>
    <w:next w:val="1"/>
    <w:qFormat/>
    <w:uiPriority w:val="0"/>
    <w:pPr>
      <w:widowControl w:val="0"/>
      <w:autoSpaceDE w:val="0"/>
      <w:autoSpaceDN w:val="0"/>
      <w:adjustRightInd w:val="0"/>
    </w:pPr>
    <w:rPr>
      <w:rFonts w:ascii="楷体à.ā" w:hAnsi="Times New Roman" w:eastAsia="楷体à.ā" w:cs="Times New Roman"/>
      <w:color w:val="000000"/>
      <w:sz w:val="24"/>
      <w:szCs w:val="22"/>
      <w:lang w:val="en-US" w:eastAsia="zh-CN" w:bidi="ar-SA"/>
    </w:rPr>
  </w:style>
  <w:style w:type="paragraph" w:customStyle="1" w:styleId="39">
    <w:name w:val="正文 A"/>
    <w:next w:val="9"/>
    <w:qFormat/>
    <w:uiPriority w:val="99"/>
    <w:rPr>
      <w:rFonts w:ascii="Arial Unicode MS" w:hAnsi="Arial Unicode MS" w:eastAsia="宋体" w:cs="Arial Unicode MS"/>
      <w:color w:val="000000"/>
      <w:sz w:val="24"/>
      <w:szCs w:val="24"/>
      <w:lang w:val="en-US" w:eastAsia="zh-CN" w:bidi="ar-SA"/>
    </w:rPr>
  </w:style>
  <w:style w:type="paragraph" w:customStyle="1" w:styleId="40">
    <w:name w:val="正文1"/>
    <w:qFormat/>
    <w:uiPriority w:val="99"/>
    <w:pPr>
      <w:widowControl w:val="0"/>
      <w:adjustRightInd w:val="0"/>
      <w:spacing w:line="312" w:lineRule="atLeast"/>
      <w:jc w:val="both"/>
      <w:textAlignment w:val="baseline"/>
    </w:pPr>
    <w:rPr>
      <w:rFonts w:ascii="宋体" w:hAnsi="Times New Roman" w:eastAsia="宋体" w:cs="宋体"/>
      <w:sz w:val="34"/>
      <w:szCs w:val="34"/>
      <w:lang w:val="en-US" w:eastAsia="zh-CN" w:bidi="ar-SA"/>
    </w:rPr>
  </w:style>
  <w:style w:type="character" w:customStyle="1" w:styleId="41">
    <w:name w:val="标题 1 Char"/>
    <w:basedOn w:val="27"/>
    <w:link w:val="3"/>
    <w:qFormat/>
    <w:locked/>
    <w:uiPriority w:val="99"/>
    <w:rPr>
      <w:rFonts w:ascii="Times New Roman" w:hAnsi="Times New Roman" w:eastAsia="宋体" w:cs="Times New Roman"/>
      <w:b/>
      <w:bCs/>
      <w:kern w:val="44"/>
      <w:sz w:val="44"/>
      <w:szCs w:val="44"/>
    </w:rPr>
  </w:style>
  <w:style w:type="character" w:customStyle="1" w:styleId="42">
    <w:name w:val="标题 2 Char1"/>
    <w:basedOn w:val="27"/>
    <w:link w:val="2"/>
    <w:qFormat/>
    <w:locked/>
    <w:uiPriority w:val="99"/>
    <w:rPr>
      <w:rFonts w:ascii="Arial" w:hAnsi="Arial" w:eastAsia="黑体" w:cs="Arial"/>
      <w:b/>
      <w:bCs/>
      <w:sz w:val="32"/>
      <w:szCs w:val="32"/>
    </w:rPr>
  </w:style>
  <w:style w:type="character" w:customStyle="1" w:styleId="43">
    <w:name w:val="标题 3 Char"/>
    <w:basedOn w:val="27"/>
    <w:link w:val="4"/>
    <w:qFormat/>
    <w:locked/>
    <w:uiPriority w:val="99"/>
    <w:rPr>
      <w:rFonts w:ascii="Times New Roman" w:hAnsi="Times New Roman" w:eastAsia="宋体" w:cs="Times New Roman"/>
      <w:b/>
      <w:bCs/>
      <w:sz w:val="32"/>
      <w:szCs w:val="32"/>
    </w:rPr>
  </w:style>
  <w:style w:type="character" w:customStyle="1" w:styleId="44">
    <w:name w:val="标题 4 Char"/>
    <w:basedOn w:val="27"/>
    <w:link w:val="5"/>
    <w:qFormat/>
    <w:locked/>
    <w:uiPriority w:val="99"/>
    <w:rPr>
      <w:rFonts w:ascii="Cambria" w:hAnsi="Cambria" w:eastAsia="宋体" w:cs="Cambria"/>
      <w:b/>
      <w:bCs/>
      <w:sz w:val="28"/>
      <w:szCs w:val="28"/>
    </w:rPr>
  </w:style>
  <w:style w:type="character" w:customStyle="1" w:styleId="45">
    <w:name w:val="文档结构图 Char"/>
    <w:basedOn w:val="27"/>
    <w:link w:val="7"/>
    <w:semiHidden/>
    <w:qFormat/>
    <w:locked/>
    <w:uiPriority w:val="99"/>
    <w:rPr>
      <w:rFonts w:ascii="Times New Roman" w:hAnsi="Times New Roman" w:eastAsia="宋体" w:cs="Times New Roman"/>
      <w:sz w:val="24"/>
      <w:szCs w:val="24"/>
      <w:shd w:val="clear" w:color="auto" w:fill="000080"/>
    </w:rPr>
  </w:style>
  <w:style w:type="character" w:customStyle="1" w:styleId="46">
    <w:name w:val="批注文字 Char1"/>
    <w:basedOn w:val="27"/>
    <w:link w:val="8"/>
    <w:qFormat/>
    <w:locked/>
    <w:uiPriority w:val="99"/>
    <w:rPr>
      <w:sz w:val="18"/>
      <w:szCs w:val="18"/>
    </w:rPr>
  </w:style>
  <w:style w:type="character" w:customStyle="1" w:styleId="47">
    <w:name w:val="正文文本 Char"/>
    <w:basedOn w:val="27"/>
    <w:link w:val="9"/>
    <w:qFormat/>
    <w:locked/>
    <w:uiPriority w:val="99"/>
    <w:rPr>
      <w:rFonts w:eastAsia="宋体"/>
      <w:sz w:val="24"/>
      <w:szCs w:val="24"/>
    </w:rPr>
  </w:style>
  <w:style w:type="character" w:customStyle="1" w:styleId="48">
    <w:name w:val="正文文本缩进 Char"/>
    <w:basedOn w:val="27"/>
    <w:link w:val="10"/>
    <w:qFormat/>
    <w:locked/>
    <w:uiPriority w:val="99"/>
    <w:rPr>
      <w:rFonts w:eastAsia="宋体"/>
      <w:sz w:val="32"/>
      <w:szCs w:val="32"/>
    </w:rPr>
  </w:style>
  <w:style w:type="character" w:customStyle="1" w:styleId="49">
    <w:name w:val="纯文本 Char"/>
    <w:basedOn w:val="27"/>
    <w:link w:val="12"/>
    <w:qFormat/>
    <w:locked/>
    <w:uiPriority w:val="99"/>
    <w:rPr>
      <w:rFonts w:ascii="宋体" w:hAnsi="Tms Rmn" w:eastAsia="宋体" w:cs="宋体"/>
    </w:rPr>
  </w:style>
  <w:style w:type="character" w:customStyle="1" w:styleId="50">
    <w:name w:val="日期 Char"/>
    <w:basedOn w:val="27"/>
    <w:link w:val="13"/>
    <w:qFormat/>
    <w:locked/>
    <w:uiPriority w:val="99"/>
    <w:rPr>
      <w:rFonts w:ascii="Times New Roman" w:hAnsi="Times New Roman" w:eastAsia="黑体" w:cs="Times New Roman"/>
      <w:sz w:val="24"/>
      <w:szCs w:val="24"/>
    </w:rPr>
  </w:style>
  <w:style w:type="character" w:customStyle="1" w:styleId="51">
    <w:name w:val="正文文本缩进 2 Char"/>
    <w:basedOn w:val="27"/>
    <w:link w:val="14"/>
    <w:qFormat/>
    <w:locked/>
    <w:uiPriority w:val="99"/>
    <w:rPr>
      <w:rFonts w:eastAsia="宋体"/>
      <w:sz w:val="24"/>
      <w:szCs w:val="24"/>
    </w:rPr>
  </w:style>
  <w:style w:type="character" w:customStyle="1" w:styleId="52">
    <w:name w:val="批注框文本 Char"/>
    <w:basedOn w:val="27"/>
    <w:link w:val="15"/>
    <w:semiHidden/>
    <w:qFormat/>
    <w:locked/>
    <w:uiPriority w:val="99"/>
    <w:rPr>
      <w:rFonts w:eastAsia="宋体"/>
      <w:sz w:val="18"/>
      <w:szCs w:val="18"/>
    </w:rPr>
  </w:style>
  <w:style w:type="character" w:customStyle="1" w:styleId="53">
    <w:name w:val="页脚 Char1"/>
    <w:basedOn w:val="27"/>
    <w:link w:val="16"/>
    <w:qFormat/>
    <w:locked/>
    <w:uiPriority w:val="99"/>
    <w:rPr>
      <w:rFonts w:eastAsia="宋体"/>
      <w:sz w:val="18"/>
      <w:szCs w:val="18"/>
    </w:rPr>
  </w:style>
  <w:style w:type="character" w:customStyle="1" w:styleId="54">
    <w:name w:val="页眉 Char1"/>
    <w:basedOn w:val="27"/>
    <w:link w:val="17"/>
    <w:qFormat/>
    <w:locked/>
    <w:uiPriority w:val="99"/>
    <w:rPr>
      <w:rFonts w:eastAsia="宋体"/>
      <w:sz w:val="18"/>
      <w:szCs w:val="18"/>
    </w:rPr>
  </w:style>
  <w:style w:type="character" w:customStyle="1" w:styleId="55">
    <w:name w:val="正文文本缩进 3 Char"/>
    <w:basedOn w:val="27"/>
    <w:link w:val="19"/>
    <w:qFormat/>
    <w:locked/>
    <w:uiPriority w:val="99"/>
    <w:rPr>
      <w:rFonts w:eastAsia="宋体"/>
      <w:sz w:val="16"/>
      <w:szCs w:val="16"/>
    </w:rPr>
  </w:style>
  <w:style w:type="character" w:customStyle="1" w:styleId="56">
    <w:name w:val="批注主题 Char"/>
    <w:basedOn w:val="46"/>
    <w:link w:val="23"/>
    <w:qFormat/>
    <w:locked/>
    <w:uiPriority w:val="99"/>
    <w:rPr>
      <w:b/>
      <w:bCs/>
      <w:sz w:val="24"/>
      <w:szCs w:val="24"/>
    </w:rPr>
  </w:style>
  <w:style w:type="character" w:customStyle="1" w:styleId="57">
    <w:name w:val="标题 2 Char"/>
    <w:basedOn w:val="27"/>
    <w:qFormat/>
    <w:uiPriority w:val="99"/>
    <w:rPr>
      <w:rFonts w:ascii="Cambria" w:hAnsi="Cambria" w:eastAsia="宋体" w:cs="Cambria"/>
      <w:b/>
      <w:bCs/>
      <w:sz w:val="32"/>
      <w:szCs w:val="32"/>
    </w:rPr>
  </w:style>
  <w:style w:type="character" w:customStyle="1" w:styleId="58">
    <w:name w:val="（符号）三标题1.1 Char"/>
    <w:link w:val="59"/>
    <w:qFormat/>
    <w:locked/>
    <w:uiPriority w:val="99"/>
    <w:rPr>
      <w:rFonts w:ascii="宋体" w:hAnsi="宋体" w:eastAsia="宋体" w:cs="宋体"/>
      <w:sz w:val="24"/>
      <w:szCs w:val="24"/>
    </w:rPr>
  </w:style>
  <w:style w:type="paragraph" w:customStyle="1" w:styleId="59">
    <w:name w:val="（符号）三标题1.1"/>
    <w:basedOn w:val="1"/>
    <w:link w:val="58"/>
    <w:qFormat/>
    <w:uiPriority w:val="99"/>
    <w:pPr>
      <w:tabs>
        <w:tab w:val="left" w:pos="700"/>
        <w:tab w:val="left" w:pos="840"/>
      </w:tabs>
      <w:spacing w:line="500" w:lineRule="exact"/>
      <w:ind w:left="840" w:hanging="420"/>
    </w:pPr>
    <w:rPr>
      <w:rFonts w:ascii="宋体" w:hAnsi="宋体" w:cs="宋体"/>
      <w:kern w:val="0"/>
      <w:sz w:val="24"/>
      <w:szCs w:val="24"/>
    </w:rPr>
  </w:style>
  <w:style w:type="character" w:customStyle="1" w:styleId="60">
    <w:name w:val="页眉 Char"/>
    <w:qFormat/>
    <w:uiPriority w:val="99"/>
    <w:rPr>
      <w:rFonts w:eastAsia="宋体"/>
      <w:sz w:val="18"/>
      <w:szCs w:val="18"/>
      <w:lang w:val="en-US" w:eastAsia="zh-CN"/>
    </w:rPr>
  </w:style>
  <w:style w:type="character" w:customStyle="1" w:styleId="61">
    <w:name w:val="Char Char9"/>
    <w:qFormat/>
    <w:uiPriority w:val="99"/>
    <w:rPr>
      <w:kern w:val="2"/>
      <w:sz w:val="21"/>
      <w:szCs w:val="21"/>
    </w:rPr>
  </w:style>
  <w:style w:type="character" w:customStyle="1" w:styleId="62">
    <w:name w:val="List Paragraph Char"/>
    <w:link w:val="63"/>
    <w:qFormat/>
    <w:locked/>
    <w:uiPriority w:val="99"/>
    <w:rPr>
      <w:rFonts w:eastAsia="宋体"/>
      <w:sz w:val="24"/>
      <w:szCs w:val="24"/>
    </w:rPr>
  </w:style>
  <w:style w:type="paragraph" w:customStyle="1" w:styleId="63">
    <w:name w:val="列出段落1"/>
    <w:basedOn w:val="1"/>
    <w:link w:val="62"/>
    <w:qFormat/>
    <w:uiPriority w:val="99"/>
    <w:pPr>
      <w:ind w:firstLine="420" w:firstLineChars="200"/>
    </w:pPr>
    <w:rPr>
      <w:kern w:val="0"/>
      <w:sz w:val="24"/>
      <w:szCs w:val="24"/>
    </w:rPr>
  </w:style>
  <w:style w:type="character" w:customStyle="1" w:styleId="64">
    <w:name w:val="ariticlecontent"/>
    <w:qFormat/>
    <w:uiPriority w:val="99"/>
    <w:rPr>
      <w:rFonts w:ascii="Times New Roman" w:hAnsi="Times New Roman" w:cs="Times New Roman"/>
    </w:rPr>
  </w:style>
  <w:style w:type="character" w:customStyle="1" w:styleId="65">
    <w:name w:val="标题 1 Char1"/>
    <w:qFormat/>
    <w:uiPriority w:val="99"/>
    <w:rPr>
      <w:b/>
      <w:bCs/>
      <w:kern w:val="44"/>
      <w:sz w:val="44"/>
      <w:szCs w:val="44"/>
    </w:rPr>
  </w:style>
  <w:style w:type="character" w:customStyle="1" w:styleId="66">
    <w:name w:val="批注文字 Char"/>
    <w:qFormat/>
    <w:uiPriority w:val="99"/>
    <w:rPr>
      <w:kern w:val="2"/>
      <w:sz w:val="18"/>
      <w:szCs w:val="18"/>
    </w:rPr>
  </w:style>
  <w:style w:type="character" w:customStyle="1" w:styleId="67">
    <w:name w:val="GW-正文 Char"/>
    <w:link w:val="68"/>
    <w:qFormat/>
    <w:locked/>
    <w:uiPriority w:val="99"/>
    <w:rPr>
      <w:rFonts w:eastAsia="仿宋_GB2312"/>
      <w:sz w:val="24"/>
      <w:szCs w:val="24"/>
    </w:rPr>
  </w:style>
  <w:style w:type="paragraph" w:customStyle="1" w:styleId="68">
    <w:name w:val="GW-正文"/>
    <w:basedOn w:val="1"/>
    <w:link w:val="67"/>
    <w:qFormat/>
    <w:uiPriority w:val="99"/>
    <w:pPr>
      <w:spacing w:line="360" w:lineRule="auto"/>
      <w:ind w:firstLine="200" w:firstLineChars="200"/>
    </w:pPr>
    <w:rPr>
      <w:rFonts w:eastAsia="仿宋_GB2312"/>
      <w:kern w:val="0"/>
      <w:sz w:val="24"/>
      <w:szCs w:val="24"/>
    </w:rPr>
  </w:style>
  <w:style w:type="character" w:customStyle="1" w:styleId="69">
    <w:name w:val="（符号）邀请函中一、"/>
    <w:qFormat/>
    <w:uiPriority w:val="99"/>
    <w:rPr>
      <w:rFonts w:ascii="黑体" w:hAnsi="黑体" w:eastAsia="黑体" w:cs="黑体"/>
      <w:b/>
      <w:bCs/>
      <w:sz w:val="24"/>
      <w:szCs w:val="24"/>
    </w:rPr>
  </w:style>
  <w:style w:type="character" w:customStyle="1" w:styleId="70">
    <w:name w:val="apple-style-span"/>
    <w:basedOn w:val="27"/>
    <w:qFormat/>
    <w:uiPriority w:val="99"/>
  </w:style>
  <w:style w:type="character" w:customStyle="1" w:styleId="71">
    <w:name w:val="label"/>
    <w:qFormat/>
    <w:uiPriority w:val="99"/>
    <w:rPr>
      <w:color w:val="auto"/>
    </w:rPr>
  </w:style>
  <w:style w:type="character" w:customStyle="1" w:styleId="72">
    <w:name w:val="modifier"/>
    <w:qFormat/>
    <w:uiPriority w:val="99"/>
    <w:rPr>
      <w:color w:val="FF0000"/>
    </w:rPr>
  </w:style>
  <w:style w:type="character" w:customStyle="1" w:styleId="73">
    <w:name w:val="标题 2 Char Char"/>
    <w:qFormat/>
    <w:uiPriority w:val="99"/>
    <w:rPr>
      <w:rFonts w:ascii="Arial" w:hAnsi="Arial" w:eastAsia="黑体" w:cs="Arial"/>
      <w:b/>
      <w:bCs/>
      <w:kern w:val="2"/>
      <w:sz w:val="28"/>
      <w:szCs w:val="28"/>
      <w:lang w:val="en-US" w:eastAsia="zh-CN"/>
    </w:rPr>
  </w:style>
  <w:style w:type="character" w:customStyle="1" w:styleId="74">
    <w:name w:val="正文缩进 Char"/>
    <w:link w:val="6"/>
    <w:qFormat/>
    <w:locked/>
    <w:uiPriority w:val="99"/>
    <w:rPr>
      <w:rFonts w:eastAsia="宋体"/>
      <w:sz w:val="24"/>
      <w:szCs w:val="24"/>
    </w:rPr>
  </w:style>
  <w:style w:type="character" w:customStyle="1" w:styleId="75">
    <w:name w:val="页脚 Char"/>
    <w:qFormat/>
    <w:uiPriority w:val="99"/>
    <w:rPr>
      <w:sz w:val="18"/>
      <w:szCs w:val="18"/>
    </w:rPr>
  </w:style>
  <w:style w:type="character" w:customStyle="1" w:styleId="76">
    <w:name w:val="页脚 Char2"/>
    <w:basedOn w:val="27"/>
    <w:semiHidden/>
    <w:qFormat/>
    <w:uiPriority w:val="99"/>
    <w:rPr>
      <w:rFonts w:ascii="Times New Roman" w:hAnsi="Times New Roman" w:eastAsia="宋体" w:cs="Times New Roman"/>
      <w:sz w:val="18"/>
      <w:szCs w:val="18"/>
    </w:rPr>
  </w:style>
  <w:style w:type="character" w:customStyle="1" w:styleId="77">
    <w:name w:val="正文文本缩进 2 Char1"/>
    <w:basedOn w:val="27"/>
    <w:semiHidden/>
    <w:qFormat/>
    <w:uiPriority w:val="99"/>
    <w:rPr>
      <w:rFonts w:ascii="Times New Roman" w:hAnsi="Times New Roman" w:eastAsia="宋体" w:cs="Times New Roman"/>
      <w:sz w:val="24"/>
      <w:szCs w:val="24"/>
    </w:rPr>
  </w:style>
  <w:style w:type="character" w:customStyle="1" w:styleId="78">
    <w:name w:val="纯文本 Char1"/>
    <w:basedOn w:val="27"/>
    <w:semiHidden/>
    <w:qFormat/>
    <w:uiPriority w:val="99"/>
    <w:rPr>
      <w:rFonts w:ascii="宋体" w:hAnsi="Courier New" w:eastAsia="宋体" w:cs="宋体"/>
      <w:sz w:val="21"/>
      <w:szCs w:val="21"/>
    </w:rPr>
  </w:style>
  <w:style w:type="character" w:customStyle="1" w:styleId="79">
    <w:name w:val="批注框文本 Char1"/>
    <w:basedOn w:val="27"/>
    <w:semiHidden/>
    <w:qFormat/>
    <w:uiPriority w:val="99"/>
    <w:rPr>
      <w:rFonts w:ascii="Times New Roman" w:hAnsi="Times New Roman" w:eastAsia="宋体" w:cs="Times New Roman"/>
      <w:sz w:val="18"/>
      <w:szCs w:val="18"/>
    </w:rPr>
  </w:style>
  <w:style w:type="character" w:customStyle="1" w:styleId="80">
    <w:name w:val="正文文本缩进 3 Char1"/>
    <w:basedOn w:val="27"/>
    <w:semiHidden/>
    <w:qFormat/>
    <w:uiPriority w:val="99"/>
    <w:rPr>
      <w:rFonts w:ascii="Times New Roman" w:hAnsi="Times New Roman" w:eastAsia="宋体" w:cs="Times New Roman"/>
      <w:sz w:val="16"/>
      <w:szCs w:val="16"/>
    </w:rPr>
  </w:style>
  <w:style w:type="character" w:customStyle="1" w:styleId="81">
    <w:name w:val="页眉 Char2"/>
    <w:basedOn w:val="27"/>
    <w:semiHidden/>
    <w:qFormat/>
    <w:uiPriority w:val="99"/>
    <w:rPr>
      <w:rFonts w:ascii="Times New Roman" w:hAnsi="Times New Roman" w:eastAsia="宋体" w:cs="Times New Roman"/>
      <w:sz w:val="18"/>
      <w:szCs w:val="18"/>
    </w:rPr>
  </w:style>
  <w:style w:type="character" w:customStyle="1" w:styleId="82">
    <w:name w:val="批注文字 Char2"/>
    <w:basedOn w:val="27"/>
    <w:semiHidden/>
    <w:qFormat/>
    <w:uiPriority w:val="99"/>
    <w:rPr>
      <w:rFonts w:ascii="Times New Roman" w:hAnsi="Times New Roman" w:eastAsia="宋体" w:cs="Times New Roman"/>
      <w:sz w:val="24"/>
      <w:szCs w:val="24"/>
    </w:rPr>
  </w:style>
  <w:style w:type="character" w:customStyle="1" w:styleId="83">
    <w:name w:val="批注主题 Char1"/>
    <w:basedOn w:val="82"/>
    <w:semiHidden/>
    <w:qFormat/>
    <w:uiPriority w:val="99"/>
    <w:rPr>
      <w:b/>
      <w:bCs/>
    </w:rPr>
  </w:style>
  <w:style w:type="character" w:customStyle="1" w:styleId="84">
    <w:name w:val="正文文本 Char1"/>
    <w:basedOn w:val="27"/>
    <w:semiHidden/>
    <w:qFormat/>
    <w:uiPriority w:val="99"/>
    <w:rPr>
      <w:rFonts w:ascii="Times New Roman" w:hAnsi="Times New Roman" w:eastAsia="宋体" w:cs="Times New Roman"/>
      <w:sz w:val="24"/>
      <w:szCs w:val="24"/>
    </w:rPr>
  </w:style>
  <w:style w:type="character" w:customStyle="1" w:styleId="85">
    <w:name w:val="正文文本缩进 Char1"/>
    <w:basedOn w:val="27"/>
    <w:semiHidden/>
    <w:qFormat/>
    <w:uiPriority w:val="99"/>
    <w:rPr>
      <w:rFonts w:ascii="Times New Roman" w:hAnsi="Times New Roman" w:eastAsia="宋体" w:cs="Times New Roman"/>
      <w:sz w:val="24"/>
      <w:szCs w:val="24"/>
    </w:rPr>
  </w:style>
  <w:style w:type="paragraph" w:customStyle="1" w:styleId="86">
    <w:name w:val="正文2"/>
    <w:next w:val="1"/>
    <w:qFormat/>
    <w:uiPriority w:val="99"/>
    <w:pPr>
      <w:widowControl w:val="0"/>
      <w:adjustRightInd w:val="0"/>
      <w:spacing w:line="312" w:lineRule="atLeast"/>
      <w:jc w:val="both"/>
      <w:textAlignment w:val="baseline"/>
    </w:pPr>
    <w:rPr>
      <w:rFonts w:ascii="宋体" w:hAnsi="Calibri" w:eastAsia="宋体" w:cs="宋体"/>
      <w:sz w:val="34"/>
      <w:szCs w:val="34"/>
      <w:lang w:val="en-US" w:eastAsia="zh-CN" w:bidi="ar-SA"/>
    </w:rPr>
  </w:style>
  <w:style w:type="paragraph" w:customStyle="1" w:styleId="87">
    <w:name w:val="Char2 Char Char"/>
    <w:basedOn w:val="7"/>
    <w:qFormat/>
    <w:uiPriority w:val="99"/>
    <w:rPr>
      <w:rFonts w:ascii="Tahoma" w:hAnsi="Tahoma" w:cs="Tahoma"/>
      <w:sz w:val="24"/>
      <w:szCs w:val="24"/>
    </w:rPr>
  </w:style>
  <w:style w:type="paragraph" w:customStyle="1" w:styleId="88">
    <w:name w:val="正文首行缩进两字符"/>
    <w:basedOn w:val="1"/>
    <w:qFormat/>
    <w:uiPriority w:val="99"/>
    <w:pPr>
      <w:spacing w:line="360" w:lineRule="auto"/>
      <w:ind w:firstLine="200" w:firstLineChars="200"/>
    </w:pPr>
  </w:style>
  <w:style w:type="paragraph" w:customStyle="1" w:styleId="89">
    <w:name w:val="正文文本 21"/>
    <w:basedOn w:val="1"/>
    <w:qFormat/>
    <w:uiPriority w:val="99"/>
    <w:pPr>
      <w:adjustRightInd w:val="0"/>
      <w:spacing w:line="300" w:lineRule="auto"/>
      <w:jc w:val="center"/>
      <w:textAlignment w:val="baseline"/>
    </w:pPr>
    <w:rPr>
      <w:rFonts w:ascii="宋体" w:hAnsi="宋体" w:cs="宋体"/>
      <w:sz w:val="24"/>
      <w:szCs w:val="24"/>
    </w:rPr>
  </w:style>
  <w:style w:type="paragraph" w:customStyle="1" w:styleId="90">
    <w:name w:val="正文11"/>
    <w:qFormat/>
    <w:uiPriority w:val="99"/>
    <w:pPr>
      <w:widowControl w:val="0"/>
      <w:adjustRightInd w:val="0"/>
      <w:spacing w:line="312" w:lineRule="atLeast"/>
      <w:jc w:val="both"/>
    </w:pPr>
    <w:rPr>
      <w:rFonts w:ascii="宋体" w:hAnsi="Times New Roman" w:eastAsia="宋体" w:cs="宋体"/>
      <w:sz w:val="34"/>
      <w:szCs w:val="34"/>
      <w:lang w:val="en-US" w:eastAsia="zh-CN" w:bidi="ar-SA"/>
    </w:rPr>
  </w:style>
  <w:style w:type="paragraph" w:customStyle="1" w:styleId="91">
    <w:name w:val="Char2 Char Char1"/>
    <w:basedOn w:val="7"/>
    <w:qFormat/>
    <w:uiPriority w:val="99"/>
    <w:rPr>
      <w:rFonts w:ascii="Tahoma" w:hAnsi="Tahoma" w:cs="Tahoma"/>
      <w:sz w:val="24"/>
      <w:szCs w:val="24"/>
    </w:rPr>
  </w:style>
  <w:style w:type="paragraph" w:customStyle="1" w:styleId="92">
    <w:name w:val="样式 首行缩进:  2 字符"/>
    <w:basedOn w:val="1"/>
    <w:qFormat/>
    <w:uiPriority w:val="99"/>
    <w:pPr>
      <w:spacing w:line="400" w:lineRule="exact"/>
      <w:ind w:firstLine="200" w:firstLineChars="200"/>
    </w:pPr>
    <w:rPr>
      <w:sz w:val="24"/>
      <w:szCs w:val="24"/>
    </w:rPr>
  </w:style>
  <w:style w:type="paragraph" w:customStyle="1" w:styleId="93">
    <w:name w:val="列出段落11"/>
    <w:basedOn w:val="1"/>
    <w:qFormat/>
    <w:uiPriority w:val="99"/>
    <w:pPr>
      <w:ind w:firstLine="420" w:firstLineChars="200"/>
    </w:pPr>
  </w:style>
  <w:style w:type="paragraph" w:customStyle="1" w:styleId="94">
    <w:name w:val="Char1"/>
    <w:basedOn w:val="1"/>
    <w:qFormat/>
    <w:uiPriority w:val="99"/>
  </w:style>
  <w:style w:type="paragraph" w:customStyle="1" w:styleId="95">
    <w:name w:val="标3"/>
    <w:basedOn w:val="1"/>
    <w:qFormat/>
    <w:uiPriority w:val="99"/>
    <w:pPr>
      <w:tabs>
        <w:tab w:val="left" w:pos="1740"/>
      </w:tabs>
      <w:adjustRightInd w:val="0"/>
      <w:snapToGrid w:val="0"/>
      <w:spacing w:before="50"/>
      <w:ind w:left="1740" w:hanging="420"/>
      <w:outlineLvl w:val="2"/>
    </w:pPr>
    <w:rPr>
      <w:rFonts w:ascii="Arial Narrow" w:hAnsi="Arial Narrow" w:eastAsia="仿宋_GB2312" w:cs="Arial Narrow"/>
      <w:sz w:val="28"/>
      <w:szCs w:val="28"/>
    </w:rPr>
  </w:style>
  <w:style w:type="paragraph" w:customStyle="1" w:styleId="96">
    <w:name w:val="样式"/>
    <w:qFormat/>
    <w:uiPriority w:val="99"/>
    <w:pPr>
      <w:widowControl w:val="0"/>
      <w:autoSpaceDE w:val="0"/>
      <w:autoSpaceDN w:val="0"/>
      <w:adjustRightInd w:val="0"/>
    </w:pPr>
    <w:rPr>
      <w:rFonts w:ascii="宋体" w:hAnsi="宋体" w:eastAsia="宋体" w:cs="宋体"/>
      <w:sz w:val="24"/>
      <w:szCs w:val="24"/>
      <w:lang w:val="en-US" w:eastAsia="zh-CN" w:bidi="ar-SA"/>
    </w:rPr>
  </w:style>
  <w:style w:type="paragraph" w:customStyle="1" w:styleId="97">
    <w:name w:val="无间隔1"/>
    <w:qFormat/>
    <w:uiPriority w:val="99"/>
    <w:pPr>
      <w:widowControl w:val="0"/>
      <w:jc w:val="both"/>
    </w:pPr>
    <w:rPr>
      <w:rFonts w:ascii="Calibri" w:hAnsi="Calibri" w:eastAsia="宋体" w:cs="Calibri"/>
      <w:kern w:val="2"/>
      <w:sz w:val="21"/>
      <w:szCs w:val="21"/>
      <w:lang w:val="en-US" w:eastAsia="zh-CN" w:bidi="ar-SA"/>
    </w:rPr>
  </w:style>
  <w:style w:type="paragraph" w:customStyle="1" w:styleId="98">
    <w:name w:val="正文12"/>
    <w:qFormat/>
    <w:uiPriority w:val="99"/>
    <w:pPr>
      <w:widowControl w:val="0"/>
      <w:adjustRightInd w:val="0"/>
      <w:spacing w:line="312" w:lineRule="atLeast"/>
      <w:jc w:val="both"/>
    </w:pPr>
    <w:rPr>
      <w:rFonts w:ascii="宋体" w:hAnsi="Times New Roman" w:eastAsia="宋体" w:cs="宋体"/>
      <w:sz w:val="34"/>
      <w:szCs w:val="34"/>
      <w:lang w:val="en-US" w:eastAsia="zh-CN" w:bidi="ar-SA"/>
    </w:rPr>
  </w:style>
  <w:style w:type="paragraph" w:customStyle="1" w:styleId="99">
    <w:name w:val="Char2"/>
    <w:basedOn w:val="1"/>
    <w:qFormat/>
    <w:uiPriority w:val="99"/>
    <w:pPr>
      <w:adjustRightInd w:val="0"/>
      <w:spacing w:line="400" w:lineRule="exact"/>
      <w:ind w:firstLine="514" w:firstLineChars="200"/>
    </w:pPr>
    <w:rPr>
      <w:rFonts w:ascii="宋体" w:hAnsi="宋体" w:cs="宋体"/>
      <w:b/>
      <w:bCs/>
      <w:spacing w:val="8"/>
      <w:kern w:val="0"/>
      <w:sz w:val="24"/>
      <w:szCs w:val="24"/>
    </w:rPr>
  </w:style>
  <w:style w:type="paragraph" w:customStyle="1" w:styleId="100">
    <w:name w:val="表格"/>
    <w:basedOn w:val="1"/>
    <w:qFormat/>
    <w:uiPriority w:val="99"/>
    <w:pPr>
      <w:spacing w:line="400" w:lineRule="exact"/>
    </w:pPr>
    <w:rPr>
      <w:sz w:val="24"/>
      <w:szCs w:val="24"/>
    </w:rPr>
  </w:style>
  <w:style w:type="paragraph" w:customStyle="1" w:styleId="101">
    <w:name w:val="Char Char Char Char Char Char Char Char Char Char Char Char Char Char1 Char Char Char Char"/>
    <w:basedOn w:val="1"/>
    <w:qFormat/>
    <w:uiPriority w:val="99"/>
  </w:style>
  <w:style w:type="character" w:customStyle="1" w:styleId="102">
    <w:name w:val="font01"/>
    <w:basedOn w:val="27"/>
    <w:qFormat/>
    <w:uiPriority w:val="99"/>
    <w:rPr>
      <w:rFonts w:ascii="宋体" w:hAnsi="宋体" w:eastAsia="宋体" w:cs="宋体"/>
      <w:color w:val="000000"/>
      <w:sz w:val="21"/>
      <w:szCs w:val="21"/>
      <w:u w:val="none"/>
    </w:rPr>
  </w:style>
  <w:style w:type="character" w:customStyle="1" w:styleId="103">
    <w:name w:val="Char Char1"/>
    <w:qFormat/>
    <w:uiPriority w:val="99"/>
    <w:rPr>
      <w:rFonts w:eastAsia="宋体"/>
      <w:kern w:val="2"/>
      <w:sz w:val="24"/>
      <w:szCs w:val="24"/>
      <w:lang w:val="en-US" w:eastAsia="zh-CN"/>
    </w:rPr>
  </w:style>
  <w:style w:type="paragraph" w:customStyle="1" w:styleId="104">
    <w:name w:val="标题 5（有编号）（绿盟科技）"/>
    <w:basedOn w:val="1"/>
    <w:next w:val="105"/>
    <w:qFormat/>
    <w:uiPriority w:val="99"/>
    <w:pPr>
      <w:keepNext/>
      <w:keepLines/>
      <w:numPr>
        <w:ilvl w:val="4"/>
        <w:numId w:val="1"/>
      </w:numPr>
      <w:tabs>
        <w:tab w:val="left" w:pos="0"/>
      </w:tabs>
      <w:spacing w:before="280" w:after="156" w:line="377" w:lineRule="auto"/>
      <w:jc w:val="left"/>
      <w:outlineLvl w:val="4"/>
    </w:pPr>
    <w:rPr>
      <w:rFonts w:ascii="Arial" w:hAnsi="Arial" w:eastAsia="黑体" w:cs="Arial"/>
      <w:b/>
      <w:bCs/>
      <w:kern w:val="0"/>
      <w:sz w:val="24"/>
      <w:szCs w:val="24"/>
    </w:rPr>
  </w:style>
  <w:style w:type="paragraph" w:customStyle="1" w:styleId="105">
    <w:name w:val="正文（绿盟科技）"/>
    <w:qFormat/>
    <w:uiPriority w:val="99"/>
    <w:pPr>
      <w:spacing w:line="300" w:lineRule="auto"/>
    </w:pPr>
    <w:rPr>
      <w:rFonts w:ascii="Arial" w:hAnsi="Arial" w:eastAsia="宋体" w:cs="Arial"/>
      <w:sz w:val="21"/>
      <w:szCs w:val="21"/>
      <w:lang w:val="en-US" w:eastAsia="zh-CN" w:bidi="ar-SA"/>
    </w:rPr>
  </w:style>
  <w:style w:type="paragraph" w:customStyle="1" w:styleId="106">
    <w:name w:val="Normal1"/>
    <w:qFormat/>
    <w:uiPriority w:val="99"/>
    <w:pPr>
      <w:widowControl w:val="0"/>
      <w:adjustRightInd w:val="0"/>
      <w:spacing w:line="312" w:lineRule="atLeast"/>
      <w:jc w:val="both"/>
      <w:textAlignment w:val="baseline"/>
    </w:pPr>
    <w:rPr>
      <w:rFonts w:ascii="宋体" w:hAnsi="Times New Roman" w:eastAsia="宋体" w:cs="宋体"/>
      <w:sz w:val="34"/>
      <w:szCs w:val="34"/>
      <w:lang w:val="en-US" w:eastAsia="zh-CN" w:bidi="ar-SA"/>
    </w:rPr>
  </w:style>
  <w:style w:type="paragraph" w:customStyle="1" w:styleId="107">
    <w:name w:val="Body Text 21"/>
    <w:basedOn w:val="1"/>
    <w:qFormat/>
    <w:uiPriority w:val="99"/>
    <w:pPr>
      <w:adjustRightInd w:val="0"/>
      <w:spacing w:line="300" w:lineRule="auto"/>
      <w:jc w:val="center"/>
      <w:textAlignment w:val="baseline"/>
    </w:pPr>
    <w:rPr>
      <w:rFonts w:ascii="宋体" w:hAnsi="宋体" w:cs="宋体"/>
      <w:sz w:val="24"/>
      <w:szCs w:val="24"/>
    </w:rPr>
  </w:style>
  <w:style w:type="character" w:customStyle="1" w:styleId="108">
    <w:name w:val="img"/>
    <w:basedOn w:val="27"/>
    <w:qFormat/>
    <w:uiPriority w:val="0"/>
  </w:style>
  <w:style w:type="character" w:customStyle="1" w:styleId="109">
    <w:name w:val="img1"/>
    <w:basedOn w:val="27"/>
    <w:qFormat/>
    <w:uiPriority w:val="0"/>
  </w:style>
  <w:style w:type="character" w:customStyle="1" w:styleId="110">
    <w:name w:val="无"/>
    <w:qFormat/>
    <w:uiPriority w:val="0"/>
  </w:style>
  <w:style w:type="character" w:customStyle="1" w:styleId="111">
    <w:name w:val="Hyperlink.0"/>
    <w:basedOn w:val="110"/>
    <w:qFormat/>
    <w:uiPriority w:val="0"/>
    <w:rPr>
      <w:rFonts w:ascii="宋体" w:hAnsi="宋体" w:eastAsia="宋体" w:cs="宋体"/>
      <w:lang w:val="zh-TW" w:eastAsia="zh-TW"/>
    </w:rPr>
  </w:style>
  <w:style w:type="paragraph" w:customStyle="1" w:styleId="112">
    <w:name w:val="Table Paragraph"/>
    <w:basedOn w:val="1"/>
    <w:qFormat/>
    <w:uiPriority w:val="1"/>
  </w:style>
  <w:style w:type="paragraph" w:customStyle="1" w:styleId="113">
    <w:name w:val="列表段落1"/>
    <w:basedOn w:val="1"/>
    <w:qFormat/>
    <w:uiPriority w:val="99"/>
    <w:pPr>
      <w:ind w:firstLine="420" w:firstLineChars="200"/>
    </w:pPr>
    <w:rPr>
      <w:kern w:val="0"/>
      <w:sz w:val="24"/>
      <w:szCs w:val="24"/>
    </w:rPr>
  </w:style>
  <w:style w:type="paragraph" w:customStyle="1" w:styleId="114">
    <w:name w:val="List Paragraph1"/>
    <w:basedOn w:val="1"/>
    <w:qFormat/>
    <w:uiPriority w:val="0"/>
    <w:pPr>
      <w:ind w:firstLine="420" w:firstLineChars="200"/>
    </w:pPr>
    <w:rPr>
      <w:szCs w:val="24"/>
    </w:rPr>
  </w:style>
  <w:style w:type="paragraph" w:customStyle="1" w:styleId="115">
    <w:name w:val="No Spacing"/>
    <w:qFormat/>
    <w:uiPriority w:val="1"/>
    <w:pPr>
      <w:adjustRightInd w:val="0"/>
      <w:snapToGrid w:val="0"/>
    </w:pPr>
    <w:rPr>
      <w:rFonts w:ascii="Tahoma" w:hAnsi="Tahoma" w:eastAsia="微软雅黑" w:cs="Times New Roman"/>
      <w:sz w:val="22"/>
      <w:szCs w:val="22"/>
      <w:lang w:val="en-US" w:eastAsia="zh-CN" w:bidi="ar-SA"/>
    </w:rPr>
  </w:style>
  <w:style w:type="character" w:customStyle="1" w:styleId="116">
    <w:name w:val="font11"/>
    <w:basedOn w:val="27"/>
    <w:qFormat/>
    <w:uiPriority w:val="0"/>
    <w:rPr>
      <w:rFonts w:hint="default" w:ascii="方正仿宋_GB2312" w:hAnsi="方正仿宋_GB2312" w:eastAsia="方正仿宋_GB2312" w:cs="方正仿宋_GB2312"/>
      <w:color w:val="000000"/>
      <w:sz w:val="32"/>
      <w:szCs w:val="32"/>
      <w:u w:val="none"/>
    </w:rPr>
  </w:style>
  <w:style w:type="paragraph" w:styleId="117">
    <w:name w:val="List Paragraph"/>
    <w:basedOn w:val="1"/>
    <w:qFormat/>
    <w:uiPriority w:val="34"/>
    <w:pPr>
      <w:ind w:firstLine="420" w:firstLineChars="200"/>
    </w:pPr>
  </w:style>
  <w:style w:type="character" w:customStyle="1" w:styleId="118">
    <w:name w:val="font91"/>
    <w:basedOn w:val="27"/>
    <w:qFormat/>
    <w:uiPriority w:val="0"/>
    <w:rPr>
      <w:rFonts w:hint="eastAsia" w:ascii="宋体" w:hAnsi="宋体" w:eastAsia="宋体" w:cs="宋体"/>
      <w:color w:val="FF0000"/>
      <w:sz w:val="21"/>
      <w:szCs w:val="21"/>
      <w:u w:val="single"/>
    </w:rPr>
  </w:style>
  <w:style w:type="character" w:customStyle="1" w:styleId="119">
    <w:name w:val="font112"/>
    <w:basedOn w:val="27"/>
    <w:qFormat/>
    <w:uiPriority w:val="0"/>
    <w:rPr>
      <w:rFonts w:hint="eastAsia" w:ascii="宋体" w:hAnsi="宋体" w:eastAsia="宋体" w:cs="宋体"/>
      <w:color w:val="000000"/>
      <w:sz w:val="21"/>
      <w:szCs w:val="21"/>
      <w:u w:val="single"/>
    </w:rPr>
  </w:style>
  <w:style w:type="paragraph" w:customStyle="1" w:styleId="120">
    <w:name w:val="Normal"/>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21">
    <w:name w:val="13、表格内居中正文"/>
    <w:basedOn w:val="1"/>
    <w:qFormat/>
    <w:uiPriority w:val="0"/>
    <w:pPr>
      <w:tabs>
        <w:tab w:val="left" w:pos="0"/>
      </w:tabs>
      <w:wordWrap w:val="0"/>
      <w:topLinePunct/>
      <w:spacing w:line="360" w:lineRule="exact"/>
      <w:jc w:val="center"/>
    </w:pPr>
  </w:style>
  <w:style w:type="paragraph" w:customStyle="1" w:styleId="122">
    <w:name w:val="12、表格内左对齐正文"/>
    <w:basedOn w:val="1"/>
    <w:qFormat/>
    <w:uiPriority w:val="0"/>
    <w:pPr>
      <w:tabs>
        <w:tab w:val="left" w:pos="0"/>
      </w:tabs>
      <w:wordWrap w:val="0"/>
      <w:topLinePunct/>
      <w:spacing w:line="360" w:lineRule="exact"/>
      <w:ind w:left="48" w:leftChars="20"/>
    </w:pPr>
    <w:rPr>
      <w:snapToGrid w:val="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6.png"/><Relationship Id="rId5" Type="http://schemas.openxmlformats.org/officeDocument/2006/relationships/footer" Target="footer1.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header" Target="header2.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3074"/>
    <customShpInfo spid="_x0000_s1026"/>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72</Pages>
  <Words>5618</Words>
  <Characters>32025</Characters>
  <Lines>266</Lines>
  <Paragraphs>75</Paragraphs>
  <TotalTime>3</TotalTime>
  <ScaleCrop>false</ScaleCrop>
  <LinksUpToDate>false</LinksUpToDate>
  <CharactersWithSpaces>37568</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2021-04-09T02:24:00Z</dcterms:created>
  <dc:creator>PC</dc:creator>
  <cp:lastModifiedBy>簡愛</cp:lastModifiedBy>
  <cp:lastPrinted>2021-10-11T09:43:00Z</cp:lastPrinted>
  <dcterms:modified xsi:type="dcterms:W3CDTF">2021-11-15T08:35:51Z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121E5C5DDC0143609BD68882BD584FA5</vt:lpwstr>
  </property>
</Properties>
</file>