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DC" w:rsidRDefault="000F252D" w:rsidP="008360D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</w:t>
      </w:r>
      <w:r w:rsidR="008360DC">
        <w:rPr>
          <w:rFonts w:ascii="华文中宋" w:eastAsia="华文中宋" w:hAnsi="华文中宋" w:hint="eastAsia"/>
        </w:rPr>
        <w:t>结果公告</w:t>
      </w:r>
      <w:bookmarkEnd w:id="0"/>
      <w:bookmarkEnd w:id="1"/>
    </w:p>
    <w:p w:rsidR="0067478F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721653" w:rsidRPr="00721653">
        <w:rPr>
          <w:rFonts w:ascii="黑体" w:eastAsia="黑体" w:hAnsi="黑体"/>
          <w:sz w:val="28"/>
          <w:szCs w:val="28"/>
        </w:rPr>
        <w:t>510184202100255</w:t>
      </w:r>
    </w:p>
    <w:p w:rsidR="008360DC" w:rsidRDefault="008360DC" w:rsidP="008360DC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721653" w:rsidRPr="00721653">
        <w:rPr>
          <w:rFonts w:ascii="黑体" w:eastAsia="黑体" w:hAnsi="黑体" w:hint="eastAsia"/>
          <w:sz w:val="28"/>
          <w:szCs w:val="28"/>
        </w:rPr>
        <w:t>崇州市人民医院2021年超声乳化治疗仪等设备政府采购项目</w:t>
      </w:r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9E5079">
        <w:rPr>
          <w:rFonts w:ascii="黑体" w:eastAsia="黑体" w:hAnsi="黑体" w:hint="eastAsia"/>
          <w:sz w:val="28"/>
          <w:szCs w:val="28"/>
        </w:rPr>
        <w:t>成交</w:t>
      </w:r>
      <w:r>
        <w:rPr>
          <w:rFonts w:ascii="黑体" w:eastAsia="黑体" w:hAnsi="黑体" w:hint="eastAsia"/>
          <w:sz w:val="28"/>
          <w:szCs w:val="28"/>
        </w:rPr>
        <w:t>信息</w:t>
      </w:r>
    </w:p>
    <w:p w:rsidR="00F63B9E" w:rsidRDefault="008360DC" w:rsidP="008360D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721653" w:rsidRPr="00721653">
        <w:rPr>
          <w:rFonts w:ascii="仿宋" w:eastAsia="仿宋" w:hAnsi="仿宋" w:hint="eastAsia"/>
          <w:sz w:val="28"/>
          <w:szCs w:val="28"/>
        </w:rPr>
        <w:t>四川合创聚</w:t>
      </w:r>
      <w:proofErr w:type="gramStart"/>
      <w:r w:rsidR="00721653" w:rsidRPr="00721653">
        <w:rPr>
          <w:rFonts w:ascii="仿宋" w:eastAsia="仿宋" w:hAnsi="仿宋" w:hint="eastAsia"/>
          <w:sz w:val="28"/>
          <w:szCs w:val="28"/>
        </w:rPr>
        <w:t>源供应</w:t>
      </w:r>
      <w:proofErr w:type="gramEnd"/>
      <w:r w:rsidR="00721653" w:rsidRPr="00721653">
        <w:rPr>
          <w:rFonts w:ascii="仿宋" w:eastAsia="仿宋" w:hAnsi="仿宋" w:hint="eastAsia"/>
          <w:sz w:val="28"/>
          <w:szCs w:val="28"/>
        </w:rPr>
        <w:t>链管理有限公司</w:t>
      </w:r>
    </w:p>
    <w:p w:rsidR="008360DC" w:rsidRDefault="008360DC" w:rsidP="008360D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21653" w:rsidRPr="00721653">
        <w:rPr>
          <w:rFonts w:ascii="仿宋" w:eastAsia="仿宋" w:hAnsi="仿宋" w:hint="eastAsia"/>
          <w:sz w:val="28"/>
          <w:szCs w:val="28"/>
        </w:rPr>
        <w:t>成都金牛高新技术产业园区</w:t>
      </w:r>
      <w:proofErr w:type="gramStart"/>
      <w:r w:rsidR="00721653" w:rsidRPr="00721653">
        <w:rPr>
          <w:rFonts w:ascii="仿宋" w:eastAsia="仿宋" w:hAnsi="仿宋" w:hint="eastAsia"/>
          <w:sz w:val="28"/>
          <w:szCs w:val="28"/>
        </w:rPr>
        <w:t>蜀</w:t>
      </w:r>
      <w:proofErr w:type="gramEnd"/>
      <w:r w:rsidR="00721653" w:rsidRPr="00721653">
        <w:rPr>
          <w:rFonts w:ascii="仿宋" w:eastAsia="仿宋" w:hAnsi="仿宋" w:hint="eastAsia"/>
          <w:sz w:val="28"/>
          <w:szCs w:val="28"/>
        </w:rPr>
        <w:t>西路42号5号楼5栋2单元11楼1106号</w:t>
      </w:r>
    </w:p>
    <w:p w:rsidR="008360DC" w:rsidRDefault="000F252D" w:rsidP="008360DC">
      <w:pPr>
        <w:ind w:firstLineChars="200" w:firstLine="560"/>
        <w:rPr>
          <w:rFonts w:ascii="仿宋" w:eastAsia="仿宋" w:hAnsi="仿宋"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</w:t>
      </w:r>
      <w:r w:rsidR="008360DC">
        <w:rPr>
          <w:rFonts w:ascii="仿宋" w:eastAsia="仿宋" w:hAnsi="仿宋" w:hint="eastAsia"/>
          <w:sz w:val="28"/>
          <w:szCs w:val="28"/>
        </w:rPr>
        <w:t>金额：</w:t>
      </w:r>
      <w:r w:rsidR="00721653" w:rsidRPr="00721653">
        <w:rPr>
          <w:rFonts w:ascii="仿宋" w:eastAsia="仿宋" w:hAnsi="仿宋" w:hint="eastAsia"/>
          <w:iCs/>
          <w:sz w:val="28"/>
          <w:szCs w:val="28"/>
          <w:u w:val="single"/>
        </w:rPr>
        <w:t>187.64 万元</w:t>
      </w:r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4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8360DC" w:rsidTr="008360DC">
        <w:tc>
          <w:tcPr>
            <w:tcW w:w="8613" w:type="dxa"/>
          </w:tcPr>
          <w:p w:rsidR="008360DC" w:rsidRDefault="008360DC" w:rsidP="008516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货物类</w:t>
            </w:r>
          </w:p>
        </w:tc>
      </w:tr>
      <w:tr w:rsidR="008360DC" w:rsidTr="008360DC">
        <w:tc>
          <w:tcPr>
            <w:tcW w:w="8613" w:type="dxa"/>
          </w:tcPr>
          <w:p w:rsidR="008360DC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8360DC"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2F58CF">
              <w:rPr>
                <w:rFonts w:ascii="仿宋" w:eastAsia="仿宋" w:hAnsi="仿宋" w:hint="eastAsia"/>
                <w:sz w:val="28"/>
                <w:szCs w:val="28"/>
              </w:rPr>
              <w:t>超声眼科乳化治疗仪</w:t>
            </w:r>
          </w:p>
          <w:p w:rsidR="008360DC" w:rsidRPr="00AC1094" w:rsidRDefault="008360DC" w:rsidP="0085165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品牌：</w:t>
            </w:r>
            <w:r w:rsidR="00721653" w:rsidRPr="00721653">
              <w:rPr>
                <w:rFonts w:ascii="仿宋" w:eastAsia="仿宋" w:hAnsi="仿宋" w:hint="eastAsia"/>
                <w:sz w:val="28"/>
                <w:szCs w:val="28"/>
              </w:rPr>
              <w:t>爱尔康</w:t>
            </w:r>
          </w:p>
          <w:p w:rsidR="008360DC" w:rsidRDefault="008360DC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</w:t>
            </w:r>
            <w:r w:rsidR="00721653">
              <w:rPr>
                <w:rFonts w:ascii="仿宋" w:eastAsia="仿宋" w:hAnsi="仿宋"/>
                <w:sz w:val="28"/>
                <w:szCs w:val="28"/>
              </w:rPr>
              <w:t>Centurion</w:t>
            </w:r>
            <w:r w:rsidR="0072165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721653" w:rsidRPr="00721653">
              <w:rPr>
                <w:rFonts w:ascii="仿宋" w:eastAsia="仿宋" w:hAnsi="仿宋"/>
                <w:sz w:val="28"/>
                <w:szCs w:val="28"/>
              </w:rPr>
              <w:t>Silver</w:t>
            </w:r>
          </w:p>
          <w:p w:rsidR="008360DC" w:rsidRDefault="008360DC" w:rsidP="0085165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</w:t>
            </w:r>
            <w:r w:rsidR="00721653" w:rsidRPr="00721653">
              <w:rPr>
                <w:rFonts w:ascii="仿宋" w:eastAsia="仿宋" w:hAnsi="仿宋" w:hint="eastAsia"/>
                <w:sz w:val="28"/>
                <w:szCs w:val="28"/>
              </w:rPr>
              <w:t>1 台</w:t>
            </w:r>
          </w:p>
          <w:p w:rsidR="00F95B64" w:rsidRDefault="008360DC" w:rsidP="00F95B6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  <w:r w:rsidR="00721653" w:rsidRPr="00721653">
              <w:rPr>
                <w:rFonts w:ascii="仿宋" w:eastAsia="仿宋" w:hAnsi="仿宋" w:hint="eastAsia"/>
                <w:sz w:val="28"/>
                <w:szCs w:val="28"/>
              </w:rPr>
              <w:t>1246000 元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2、名称：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>胸腹腔内窥镜</w:t>
            </w:r>
          </w:p>
          <w:p w:rsidR="00721653" w:rsidRPr="00AC1094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品牌：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>奥林巴斯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</w:t>
            </w:r>
            <w:r w:rsidRPr="00721653">
              <w:rPr>
                <w:rFonts w:ascii="仿宋" w:eastAsia="仿宋" w:hAnsi="仿宋"/>
                <w:sz w:val="28"/>
                <w:szCs w:val="28"/>
              </w:rPr>
              <w:t>WA53005A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数量：3件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>85600 元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3、名称：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>高频手术系统</w:t>
            </w:r>
          </w:p>
          <w:p w:rsidR="00721653" w:rsidRPr="00AC1094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品牌：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>爱尔博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</w:t>
            </w:r>
            <w:r w:rsidRPr="00721653">
              <w:rPr>
                <w:rFonts w:ascii="仿宋" w:eastAsia="仿宋" w:hAnsi="仿宋"/>
                <w:sz w:val="28"/>
                <w:szCs w:val="28"/>
              </w:rPr>
              <w:t>VIO300S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>1 台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>146000 元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4、名称：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>胰岛素注射泵</w:t>
            </w:r>
          </w:p>
          <w:p w:rsidR="00721653" w:rsidRPr="00AC1094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品牌：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>美</w:t>
            </w:r>
            <w:proofErr w:type="gramStart"/>
            <w:r w:rsidRPr="00721653">
              <w:rPr>
                <w:rFonts w:ascii="仿宋" w:eastAsia="仿宋" w:hAnsi="仿宋" w:hint="eastAsia"/>
                <w:sz w:val="28"/>
                <w:szCs w:val="28"/>
              </w:rPr>
              <w:t>敦</w:t>
            </w:r>
            <w:proofErr w:type="gramEnd"/>
            <w:r w:rsidRPr="00721653">
              <w:rPr>
                <w:rFonts w:ascii="仿宋" w:eastAsia="仿宋" w:hAnsi="仿宋" w:hint="eastAsia"/>
                <w:sz w:val="28"/>
                <w:szCs w:val="28"/>
              </w:rPr>
              <w:t>力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</w:t>
            </w:r>
            <w:r w:rsidRPr="00721653">
              <w:rPr>
                <w:rFonts w:ascii="仿宋" w:eastAsia="仿宋" w:hAnsi="仿宋"/>
                <w:sz w:val="28"/>
                <w:szCs w:val="28"/>
              </w:rPr>
              <w:t>MMT-712EWS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数量：5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>35600 元</w:t>
            </w:r>
          </w:p>
          <w:p w:rsidR="00721653" w:rsidRDefault="002F41FB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721653">
              <w:rPr>
                <w:rFonts w:ascii="仿宋" w:eastAsia="仿宋" w:hAnsi="仿宋" w:hint="eastAsia"/>
                <w:sz w:val="28"/>
                <w:szCs w:val="28"/>
              </w:rPr>
              <w:t>、名称：</w:t>
            </w:r>
            <w:r w:rsidR="00721653" w:rsidRPr="00721653">
              <w:rPr>
                <w:rFonts w:ascii="仿宋" w:eastAsia="仿宋" w:hAnsi="仿宋" w:hint="eastAsia"/>
                <w:sz w:val="28"/>
                <w:szCs w:val="28"/>
              </w:rPr>
              <w:t>腹腔镜有源器械</w:t>
            </w:r>
          </w:p>
          <w:p w:rsidR="00721653" w:rsidRPr="00AC1094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品牌：</w:t>
            </w:r>
            <w:proofErr w:type="gramStart"/>
            <w:r w:rsidRPr="00721653">
              <w:rPr>
                <w:rFonts w:ascii="仿宋" w:eastAsia="仿宋" w:hAnsi="仿宋" w:hint="eastAsia"/>
                <w:sz w:val="28"/>
                <w:szCs w:val="28"/>
              </w:rPr>
              <w:t>卡尔史托</w:t>
            </w:r>
            <w:proofErr w:type="gramEnd"/>
            <w:r w:rsidRPr="00721653">
              <w:rPr>
                <w:rFonts w:ascii="仿宋" w:eastAsia="仿宋" w:hAnsi="仿宋" w:hint="eastAsia"/>
                <w:sz w:val="28"/>
                <w:szCs w:val="28"/>
              </w:rPr>
              <w:t>斯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</w:t>
            </w:r>
            <w:r w:rsidRPr="00721653">
              <w:rPr>
                <w:rFonts w:ascii="仿宋" w:eastAsia="仿宋" w:hAnsi="仿宋"/>
                <w:sz w:val="28"/>
                <w:szCs w:val="28"/>
              </w:rPr>
              <w:t>38651MD</w:t>
            </w:r>
          </w:p>
          <w:p w:rsidR="00721653" w:rsidRDefault="00721653" w:rsidP="0072165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 xml:space="preserve">1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件</w:t>
            </w:r>
          </w:p>
          <w:p w:rsidR="00721653" w:rsidRDefault="00721653" w:rsidP="00F95B6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  <w:r w:rsidRPr="00721653">
              <w:rPr>
                <w:rFonts w:ascii="仿宋" w:eastAsia="仿宋" w:hAnsi="仿宋" w:hint="eastAsia"/>
                <w:sz w:val="28"/>
                <w:szCs w:val="28"/>
              </w:rPr>
              <w:t>49600 元</w:t>
            </w:r>
          </w:p>
        </w:tc>
      </w:tr>
    </w:tbl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五、评审专家（单一来源采购人员）名单：</w:t>
      </w:r>
      <w:r w:rsidR="002F41FB" w:rsidRPr="002F41FB">
        <w:rPr>
          <w:rFonts w:ascii="黑体" w:eastAsia="黑体" w:hAnsi="黑体"/>
          <w:sz w:val="28"/>
          <w:szCs w:val="28"/>
        </w:rPr>
        <w:t>张国</w:t>
      </w:r>
      <w:r w:rsidR="004A6A16">
        <w:rPr>
          <w:rFonts w:ascii="黑体" w:eastAsia="黑体" w:hAnsi="黑体" w:hint="eastAsia"/>
          <w:sz w:val="28"/>
          <w:szCs w:val="28"/>
        </w:rPr>
        <w:t>，</w:t>
      </w:r>
      <w:r w:rsidR="002F41FB" w:rsidRPr="002F41FB">
        <w:rPr>
          <w:rFonts w:ascii="黑体" w:eastAsia="黑体" w:hAnsi="黑体"/>
          <w:sz w:val="28"/>
          <w:szCs w:val="28"/>
        </w:rPr>
        <w:t>唐棣</w:t>
      </w:r>
      <w:r w:rsidR="002F41FB" w:rsidRPr="002F41FB">
        <w:rPr>
          <w:rFonts w:ascii="黑体" w:eastAsia="黑体" w:hAnsi="黑体" w:hint="eastAsia"/>
          <w:sz w:val="28"/>
          <w:szCs w:val="28"/>
        </w:rPr>
        <w:t>，</w:t>
      </w:r>
      <w:r w:rsidR="002F41FB" w:rsidRPr="002F41FB">
        <w:rPr>
          <w:rFonts w:ascii="黑体" w:eastAsia="黑体" w:hAnsi="黑体"/>
          <w:sz w:val="28"/>
          <w:szCs w:val="28"/>
        </w:rPr>
        <w:t>陈永生</w:t>
      </w:r>
      <w:r w:rsidR="002F41FB" w:rsidRPr="002F41FB">
        <w:rPr>
          <w:rFonts w:ascii="黑体" w:eastAsia="黑体" w:hAnsi="黑体" w:hint="eastAsia"/>
          <w:sz w:val="28"/>
          <w:szCs w:val="28"/>
        </w:rPr>
        <w:t>，</w:t>
      </w:r>
      <w:r w:rsidR="002F41FB" w:rsidRPr="002F41FB">
        <w:rPr>
          <w:rFonts w:ascii="黑体" w:eastAsia="黑体" w:hAnsi="黑体"/>
          <w:sz w:val="28"/>
          <w:szCs w:val="28"/>
        </w:rPr>
        <w:t>李玉英</w:t>
      </w:r>
      <w:r w:rsidR="002F41FB">
        <w:rPr>
          <w:rFonts w:ascii="黑体" w:eastAsia="黑体" w:hAnsi="黑体" w:hint="eastAsia"/>
          <w:sz w:val="28"/>
          <w:szCs w:val="28"/>
        </w:rPr>
        <w:t>，</w:t>
      </w:r>
      <w:r w:rsidR="002F41FB" w:rsidRPr="002F41FB">
        <w:rPr>
          <w:rFonts w:ascii="黑体" w:eastAsia="黑体" w:hAnsi="黑体"/>
          <w:sz w:val="28"/>
          <w:szCs w:val="28"/>
        </w:rPr>
        <w:t>李波</w:t>
      </w:r>
      <w:r w:rsidR="00553A3D" w:rsidRPr="00553A3D">
        <w:rPr>
          <w:rFonts w:ascii="黑体" w:eastAsia="黑体" w:hAnsi="黑体" w:hint="eastAsia"/>
          <w:sz w:val="28"/>
          <w:szCs w:val="28"/>
        </w:rPr>
        <w:t>(采购人代表)</w:t>
      </w:r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2F41FB" w:rsidRPr="002F41FB">
        <w:rPr>
          <w:rFonts w:ascii="黑体" w:eastAsia="黑体" w:hAnsi="黑体" w:hint="eastAsia"/>
          <w:sz w:val="28"/>
          <w:szCs w:val="28"/>
        </w:rPr>
        <w:t>根据成本加合理利润原则，定额向中标人收取招标代理服务费19580</w:t>
      </w:r>
      <w:r w:rsidR="002F41FB">
        <w:rPr>
          <w:rFonts w:ascii="黑体" w:eastAsia="黑体" w:hAnsi="黑体" w:hint="eastAsia"/>
          <w:sz w:val="28"/>
          <w:szCs w:val="28"/>
        </w:rPr>
        <w:t>元</w:t>
      </w:r>
      <w:r w:rsidR="005E15F2">
        <w:rPr>
          <w:rFonts w:ascii="黑体" w:eastAsia="黑体" w:hAnsi="黑体" w:hint="eastAsia"/>
          <w:sz w:val="28"/>
          <w:szCs w:val="28"/>
        </w:rPr>
        <w:t>。</w:t>
      </w:r>
    </w:p>
    <w:p w:rsidR="008360DC" w:rsidRDefault="008360DC" w:rsidP="008360D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8360DC" w:rsidRDefault="008360DC" w:rsidP="008360DC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8360DC" w:rsidRPr="008360DC" w:rsidRDefault="00D822CB" w:rsidP="00D822C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D822C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1、采购计划表备案号：(2021)0692号。2、崇州市财政监督电话：028-82313883。3、中标（成交）供应商为中小</w:t>
      </w:r>
      <w:proofErr w:type="gramStart"/>
      <w:r w:rsidRPr="00D822CB">
        <w:rPr>
          <w:rFonts w:ascii="仿宋" w:eastAsia="仿宋" w:hAnsi="仿宋" w:cs="宋体" w:hint="eastAsia"/>
          <w:kern w:val="0"/>
          <w:sz w:val="28"/>
          <w:szCs w:val="28"/>
        </w:rPr>
        <w:t>微企业</w:t>
      </w:r>
      <w:proofErr w:type="gramEnd"/>
      <w:r w:rsidRPr="00D822CB">
        <w:rPr>
          <w:rFonts w:ascii="仿宋" w:eastAsia="仿宋" w:hAnsi="仿宋" w:cs="宋体" w:hint="eastAsia"/>
          <w:kern w:val="0"/>
          <w:sz w:val="28"/>
          <w:szCs w:val="28"/>
        </w:rPr>
        <w:t xml:space="preserve">的，可依据政府采、购合同申请政府采购信用融资。按照崇州市级支持中小企业政府采购信息融资实施方案，提供以下单位联系方式：成都农商银行崇州支行，业务部客户经理 </w:t>
      </w:r>
      <w:proofErr w:type="gramStart"/>
      <w:r w:rsidRPr="00D822CB">
        <w:rPr>
          <w:rFonts w:ascii="仿宋" w:eastAsia="仿宋" w:hAnsi="仿宋" w:cs="宋体" w:hint="eastAsia"/>
          <w:kern w:val="0"/>
          <w:sz w:val="28"/>
          <w:szCs w:val="28"/>
        </w:rPr>
        <w:t>任艳菊</w:t>
      </w:r>
      <w:proofErr w:type="gramEnd"/>
      <w:r w:rsidRPr="00D822CB">
        <w:rPr>
          <w:rFonts w:ascii="仿宋" w:eastAsia="仿宋" w:hAnsi="仿宋" w:cs="宋体" w:hint="eastAsia"/>
          <w:kern w:val="0"/>
          <w:sz w:val="28"/>
          <w:szCs w:val="28"/>
        </w:rPr>
        <w:t xml:space="preserve">13881851255；崇州上银村镇银行，部门总经理 杨彦铭13981735391；中国农业银行崇州支行，部门经理 何莉15982110977；中国银行崇州支行，分管主任 龚才兵18081054180；重庆银行崇州支行，业务部经理 李盛18108259677;工商银行崇州支行, 分管科长 </w:t>
      </w:r>
      <w:proofErr w:type="gramStart"/>
      <w:r w:rsidRPr="00D822CB">
        <w:rPr>
          <w:rFonts w:ascii="仿宋" w:eastAsia="仿宋" w:hAnsi="仿宋" w:cs="宋体" w:hint="eastAsia"/>
          <w:kern w:val="0"/>
          <w:sz w:val="28"/>
          <w:szCs w:val="28"/>
        </w:rPr>
        <w:t>曲希</w:t>
      </w:r>
      <w:proofErr w:type="gramEnd"/>
      <w:r w:rsidRPr="00D822CB">
        <w:rPr>
          <w:rFonts w:ascii="仿宋" w:eastAsia="仿宋" w:hAnsi="仿宋" w:cs="宋体" w:hint="eastAsia"/>
          <w:kern w:val="0"/>
          <w:sz w:val="28"/>
          <w:szCs w:val="28"/>
        </w:rPr>
        <w:t xml:space="preserve"> 17760374425</w:t>
      </w:r>
      <w:r w:rsidR="00553A3D" w:rsidRPr="00553A3D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360DC" w:rsidRDefault="008360DC" w:rsidP="008360DC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8360DC" w:rsidRDefault="008360DC" w:rsidP="008360DC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8360DC" w:rsidRDefault="008360DC" w:rsidP="008360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506969" w:rsidRPr="00506969">
        <w:rPr>
          <w:rFonts w:ascii="仿宋" w:eastAsia="仿宋" w:hAnsi="仿宋" w:hint="eastAsia"/>
          <w:sz w:val="28"/>
          <w:szCs w:val="28"/>
          <w:u w:val="single"/>
        </w:rPr>
        <w:t>崇州市人民医院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360DC" w:rsidRDefault="008360DC" w:rsidP="008360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506969" w:rsidRPr="00506969">
        <w:rPr>
          <w:rFonts w:ascii="仿宋" w:eastAsia="仿宋" w:hAnsi="仿宋" w:hint="eastAsia"/>
          <w:sz w:val="28"/>
          <w:szCs w:val="28"/>
          <w:u w:val="single"/>
        </w:rPr>
        <w:t>四川省崇州市崇阳街道永康东路318号</w:t>
      </w:r>
    </w:p>
    <w:p w:rsidR="008360DC" w:rsidRDefault="008360DC" w:rsidP="008360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506969">
        <w:rPr>
          <w:rFonts w:ascii="仿宋" w:eastAsia="仿宋" w:hAnsi="仿宋" w:hint="eastAsia"/>
          <w:sz w:val="28"/>
          <w:szCs w:val="28"/>
          <w:u w:val="single"/>
        </w:rPr>
        <w:t>程</w:t>
      </w:r>
      <w:r w:rsidR="00C34B6D" w:rsidRPr="00C34B6D">
        <w:rPr>
          <w:rFonts w:ascii="仿宋" w:eastAsia="仿宋" w:hAnsi="仿宋" w:hint="eastAsia"/>
          <w:sz w:val="28"/>
          <w:szCs w:val="28"/>
          <w:u w:val="single"/>
        </w:rPr>
        <w:t>老师</w:t>
      </w:r>
      <w:r w:rsidR="0070131A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506969" w:rsidRPr="00506969">
        <w:rPr>
          <w:rFonts w:ascii="仿宋" w:eastAsia="仿宋" w:hAnsi="仿宋"/>
          <w:sz w:val="28"/>
          <w:szCs w:val="28"/>
          <w:u w:val="single"/>
        </w:rPr>
        <w:t>028-82</w:t>
      </w:r>
      <w:bookmarkStart w:id="6" w:name="_GoBack"/>
      <w:bookmarkEnd w:id="6"/>
      <w:r w:rsidR="00506969" w:rsidRPr="00506969">
        <w:rPr>
          <w:rFonts w:ascii="仿宋" w:eastAsia="仿宋" w:hAnsi="仿宋"/>
          <w:sz w:val="28"/>
          <w:szCs w:val="28"/>
          <w:u w:val="single"/>
        </w:rPr>
        <w:t>272142</w:t>
      </w:r>
    </w:p>
    <w:p w:rsidR="008360DC" w:rsidRDefault="008360DC" w:rsidP="008360DC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8360DC" w:rsidRDefault="008360DC" w:rsidP="008360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8360DC">
        <w:rPr>
          <w:rFonts w:ascii="仿宋" w:eastAsia="仿宋" w:hAnsi="仿宋" w:hint="eastAsia"/>
          <w:sz w:val="28"/>
          <w:szCs w:val="28"/>
          <w:u w:val="single"/>
        </w:rPr>
        <w:t>四川采易通招标代理有限公司</w:t>
      </w:r>
    </w:p>
    <w:p w:rsidR="008360DC" w:rsidRDefault="008360DC" w:rsidP="008360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8360DC">
        <w:rPr>
          <w:rFonts w:ascii="仿宋" w:eastAsia="仿宋" w:hAnsi="仿宋" w:hint="eastAsia"/>
          <w:sz w:val="28"/>
          <w:szCs w:val="28"/>
          <w:u w:val="single"/>
        </w:rPr>
        <w:t>中国（四川）自由贸易试验区成都高新区天府二街166号雄川金融中心1栋09层05号</w:t>
      </w:r>
    </w:p>
    <w:p w:rsidR="008360DC" w:rsidRDefault="008360DC" w:rsidP="008360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730F25">
        <w:rPr>
          <w:rFonts w:ascii="仿宋" w:eastAsia="仿宋" w:hAnsi="仿宋" w:hint="eastAsia"/>
          <w:sz w:val="28"/>
          <w:szCs w:val="28"/>
          <w:u w:val="single"/>
        </w:rPr>
        <w:t>许</w:t>
      </w:r>
      <w:r w:rsidRPr="008360DC">
        <w:rPr>
          <w:rFonts w:ascii="仿宋" w:eastAsia="仿宋" w:hAnsi="仿宋" w:hint="eastAsia"/>
          <w:sz w:val="28"/>
          <w:szCs w:val="28"/>
          <w:u w:val="single"/>
        </w:rPr>
        <w:t>老师； 028-62093108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8360DC" w:rsidRDefault="008360DC" w:rsidP="008360DC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8360DC" w:rsidRDefault="008360DC" w:rsidP="008360D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730F25">
        <w:rPr>
          <w:rFonts w:ascii="仿宋" w:eastAsia="仿宋" w:hAnsi="仿宋" w:hint="eastAsia"/>
          <w:sz w:val="28"/>
          <w:szCs w:val="28"/>
          <w:u w:val="single"/>
        </w:rPr>
        <w:t>许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360DC" w:rsidRDefault="008360DC" w:rsidP="008360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8360DC">
        <w:rPr>
          <w:rFonts w:ascii="仿宋" w:eastAsia="仿宋" w:hAnsi="仿宋" w:hint="eastAsia"/>
          <w:sz w:val="28"/>
          <w:szCs w:val="28"/>
          <w:u w:val="single"/>
        </w:rPr>
        <w:t>028-62093108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360DC" w:rsidRDefault="008360DC" w:rsidP="008360DC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已公告的可不重复公告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0F252D" w:rsidRDefault="008360DC" w:rsidP="00CC2AA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F90632" w:rsidRDefault="00D266A2" w:rsidP="00D266A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5274310" cy="2003495"/>
            <wp:effectExtent l="0" t="0" r="2540" b="0"/>
            <wp:docPr id="2" name="图片 2" descr="C:\Users\msi\Documents\Tencent Files\970234618\FileRecv\MobileFile\扫描全能王 2021-12-09 09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cuments\Tencent Files\970234618\FileRecv\MobileFile\扫描全能王 2021-12-09 09.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5A8" w:rsidRDefault="008360DC" w:rsidP="00D266A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4.中标、成交供应商为残疾人福利性单位的，应公告其《残疾人福利性单位声明函》</w:t>
      </w:r>
    </w:p>
    <w:p w:rsidR="008360DC" w:rsidRDefault="008360DC" w:rsidP="008360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人员具体数量的证明。</w:t>
      </w:r>
    </w:p>
    <w:p w:rsidR="00D4766C" w:rsidRDefault="00D4766C"/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4A" w:rsidRDefault="00C4684A" w:rsidP="0006106B">
      <w:r>
        <w:separator/>
      </w:r>
    </w:p>
  </w:endnote>
  <w:endnote w:type="continuationSeparator" w:id="0">
    <w:p w:rsidR="00C4684A" w:rsidRDefault="00C4684A" w:rsidP="0006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4A" w:rsidRDefault="00C4684A" w:rsidP="0006106B">
      <w:r>
        <w:separator/>
      </w:r>
    </w:p>
  </w:footnote>
  <w:footnote w:type="continuationSeparator" w:id="0">
    <w:p w:rsidR="00C4684A" w:rsidRDefault="00C4684A" w:rsidP="0006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DC"/>
    <w:rsid w:val="00060581"/>
    <w:rsid w:val="0006106B"/>
    <w:rsid w:val="000B3A8E"/>
    <w:rsid w:val="000F252D"/>
    <w:rsid w:val="001176E9"/>
    <w:rsid w:val="00141CEA"/>
    <w:rsid w:val="00187864"/>
    <w:rsid w:val="00193AFB"/>
    <w:rsid w:val="001D7868"/>
    <w:rsid w:val="001F1006"/>
    <w:rsid w:val="00232706"/>
    <w:rsid w:val="00237162"/>
    <w:rsid w:val="00267158"/>
    <w:rsid w:val="00280A1A"/>
    <w:rsid w:val="0029224C"/>
    <w:rsid w:val="002C17B4"/>
    <w:rsid w:val="002E2291"/>
    <w:rsid w:val="002F41FB"/>
    <w:rsid w:val="002F58CF"/>
    <w:rsid w:val="0031129F"/>
    <w:rsid w:val="00380AF5"/>
    <w:rsid w:val="003A6CD7"/>
    <w:rsid w:val="003B608E"/>
    <w:rsid w:val="004521DD"/>
    <w:rsid w:val="00457CD9"/>
    <w:rsid w:val="004668F1"/>
    <w:rsid w:val="004820DE"/>
    <w:rsid w:val="004A0B95"/>
    <w:rsid w:val="004A6A16"/>
    <w:rsid w:val="00506969"/>
    <w:rsid w:val="00515FA0"/>
    <w:rsid w:val="00553A3D"/>
    <w:rsid w:val="005D4CE2"/>
    <w:rsid w:val="005D6F5B"/>
    <w:rsid w:val="005E15F2"/>
    <w:rsid w:val="00603243"/>
    <w:rsid w:val="006344FD"/>
    <w:rsid w:val="00650ABF"/>
    <w:rsid w:val="0067478F"/>
    <w:rsid w:val="0070131A"/>
    <w:rsid w:val="00710684"/>
    <w:rsid w:val="00712172"/>
    <w:rsid w:val="00721653"/>
    <w:rsid w:val="00726867"/>
    <w:rsid w:val="00730F25"/>
    <w:rsid w:val="00731831"/>
    <w:rsid w:val="0075251A"/>
    <w:rsid w:val="007765A8"/>
    <w:rsid w:val="007B3899"/>
    <w:rsid w:val="008360DC"/>
    <w:rsid w:val="008B6075"/>
    <w:rsid w:val="008B62D1"/>
    <w:rsid w:val="008B6988"/>
    <w:rsid w:val="00905D50"/>
    <w:rsid w:val="009973F3"/>
    <w:rsid w:val="009E5079"/>
    <w:rsid w:val="00A740AA"/>
    <w:rsid w:val="00AB5FC3"/>
    <w:rsid w:val="00AC1094"/>
    <w:rsid w:val="00AC3406"/>
    <w:rsid w:val="00AF400D"/>
    <w:rsid w:val="00B50BEC"/>
    <w:rsid w:val="00B63F1F"/>
    <w:rsid w:val="00C34B6D"/>
    <w:rsid w:val="00C4684A"/>
    <w:rsid w:val="00CC2AAF"/>
    <w:rsid w:val="00CF4A23"/>
    <w:rsid w:val="00D266A2"/>
    <w:rsid w:val="00D4766C"/>
    <w:rsid w:val="00D67E6B"/>
    <w:rsid w:val="00D822CB"/>
    <w:rsid w:val="00DA3188"/>
    <w:rsid w:val="00DE096B"/>
    <w:rsid w:val="00E869C2"/>
    <w:rsid w:val="00E97C2D"/>
    <w:rsid w:val="00EC6B16"/>
    <w:rsid w:val="00EF0C9A"/>
    <w:rsid w:val="00F10DFC"/>
    <w:rsid w:val="00F63B9E"/>
    <w:rsid w:val="00F90632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36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360D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360D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360D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8360D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8360DC"/>
    <w:rPr>
      <w:rFonts w:ascii="宋体" w:hAnsi="Courier New"/>
    </w:rPr>
  </w:style>
  <w:style w:type="table" w:styleId="a4">
    <w:name w:val="Table Grid"/>
    <w:basedOn w:val="a1"/>
    <w:qFormat/>
    <w:rsid w:val="008360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360D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360D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6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6106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6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610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36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360D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360D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360DC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8360DC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8360DC"/>
    <w:rPr>
      <w:rFonts w:ascii="宋体" w:hAnsi="Courier New"/>
    </w:rPr>
  </w:style>
  <w:style w:type="table" w:styleId="a4">
    <w:name w:val="Table Grid"/>
    <w:basedOn w:val="a1"/>
    <w:qFormat/>
    <w:rsid w:val="008360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8360D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360D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6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6106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6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610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dcterms:created xsi:type="dcterms:W3CDTF">2021-06-10T06:50:00Z</dcterms:created>
  <dcterms:modified xsi:type="dcterms:W3CDTF">2021-12-09T02:12:00Z</dcterms:modified>
</cp:coreProperties>
</file>