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ascii="微软雅黑" w:hAnsi="微软雅黑" w:eastAsia="微软雅黑" w:cs="微软雅黑"/>
          <w:i w:val="0"/>
          <w:iCs w:val="0"/>
          <w:caps w:val="0"/>
          <w:color w:val="666666"/>
          <w:spacing w:val="0"/>
          <w:sz w:val="18"/>
          <w:szCs w:val="18"/>
          <w:shd w:val="clear" w:fill="FFFFFF"/>
        </w:rPr>
        <w:t>    1、资金来源：财政性资金，已落实。2、成都市双流区政府采购实施计划备案表编号：(2021)0780号。3、双流区财政局联系电话：028-85804726。4、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5、信用融资：（1）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具体内容详见招标文件附件“川财采[2018]123号”）。（2）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供应商为中小微企业的，可依据政府采购合同申请政府采购信用融资（具体内容详见招标文件附件“成财采[2019]17号”、“成财采发〔2020〕20号”）中标（成交）供应商为中小微企业的，可依据政府采购合同申请政府采购信用融资。（3）在四川省、成都市确定的首期开展“政采贷”业务银行的基础上，双流区另有10家银行机构自愿开展政府采购信用融资业务，双流区银行机构名单如下：1）成都银行双流支行；2）中国建设银行双流分行 ；3）交通银行双流分行；4）中国农业银行双流支行；5）成都农商银行双流支行；6）中国银行双流分行；7）上海银行成都双流支行；8）浙商银行成都双流支行；9）中国工商银行成都双流支行；10）中国邮政储蓄银行成都双流支行。6、节约能源、保护环境政策；扶持不发达地区和少数民族地区、促进中小企业发展等政府采购政策、信用融资政策。</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F1480B"/>
    <w:rsid w:val="18F14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2021-09-14T03:02:00Z</dcterms:created>
  <dc:creator>L</dc:creator>
  <cp:lastModifiedBy>L</cp:lastModifiedBy>
  <dcterms:modified xsi:type="dcterms:W3CDTF">2021-09-14T03:03:07Z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C00D4E85F3634D42A45AE6A76B1D83C3</vt:lpwstr>
  </property>
</Properties>
</file>