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65"/>
        </w:tabs>
        <w:spacing w:line="360" w:lineRule="auto"/>
        <w:rPr>
          <w:rFonts w:hint="eastAsia" w:ascii="宋体" w:hAnsi="宋体" w:eastAsia="宋体" w:cs="宋体"/>
          <w:b/>
          <w:bCs/>
          <w:color w:val="000000"/>
          <w:sz w:val="24"/>
          <w:lang w:eastAsia="zh-CN"/>
        </w:rPr>
      </w:pPr>
      <w:bookmarkStart w:id="0" w:name="_Toc217446094"/>
      <w:r>
        <w:rPr>
          <w:rFonts w:hint="eastAsia" w:ascii="宋体" w:hAnsi="宋体" w:cs="宋体"/>
          <w:b/>
          <w:bCs/>
          <w:color w:val="000000"/>
          <w:sz w:val="24"/>
          <w:lang w:eastAsia="zh-CN"/>
        </w:rPr>
        <w:t>项目名称：成都市龙泉驿生态环境局龙泉驿区国家生态文明示范区创建规划编制项目</w:t>
      </w:r>
    </w:p>
    <w:p>
      <w:pPr>
        <w:tabs>
          <w:tab w:val="left" w:pos="7665"/>
        </w:tabs>
        <w:spacing w:line="360" w:lineRule="auto"/>
        <w:rPr>
          <w:rFonts w:hint="eastAsia" w:ascii="宋体" w:hAnsi="宋体" w:cs="宋体"/>
          <w:b/>
          <w:bCs/>
          <w:color w:val="000000"/>
          <w:sz w:val="24"/>
          <w:lang w:val="en-US" w:eastAsia="zh-CN"/>
        </w:rPr>
      </w:pPr>
      <w:r>
        <w:rPr>
          <w:rFonts w:hint="eastAsia" w:ascii="宋体" w:hAnsi="宋体" w:cs="宋体"/>
          <w:b/>
          <w:bCs/>
          <w:color w:val="000000"/>
          <w:sz w:val="24"/>
          <w:lang w:val="en-US" w:eastAsia="zh-CN"/>
        </w:rPr>
        <w:t>采购预算：人民币100万元</w:t>
      </w:r>
    </w:p>
    <w:p>
      <w:pPr>
        <w:tabs>
          <w:tab w:val="left" w:pos="7665"/>
        </w:tabs>
        <w:spacing w:line="360" w:lineRule="auto"/>
        <w:ind w:firstLine="703" w:firstLineChars="250"/>
        <w:jc w:val="center"/>
        <w:rPr>
          <w:rFonts w:hint="eastAsia" w:ascii="宋体" w:hAnsi="宋体" w:cs="宋体"/>
          <w:b/>
          <w:bCs/>
          <w:color w:val="000000"/>
          <w:sz w:val="28"/>
          <w:szCs w:val="28"/>
          <w:lang w:val="en-US" w:eastAsia="zh-CN"/>
        </w:rPr>
      </w:pPr>
    </w:p>
    <w:p>
      <w:pPr>
        <w:tabs>
          <w:tab w:val="left" w:pos="7665"/>
        </w:tabs>
        <w:spacing w:line="360" w:lineRule="auto"/>
        <w:ind w:firstLine="703" w:firstLineChars="250"/>
        <w:jc w:val="center"/>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资格条件</w:t>
      </w:r>
    </w:p>
    <w:p>
      <w:pPr>
        <w:tabs>
          <w:tab w:val="left" w:pos="7665"/>
        </w:tabs>
        <w:spacing w:line="360" w:lineRule="auto"/>
        <w:ind w:firstLine="600" w:firstLineChars="250"/>
        <w:rPr>
          <w:rFonts w:hint="eastAsia" w:ascii="宋体" w:hAnsi="宋体" w:cs="宋体"/>
          <w:color w:val="000000"/>
          <w:sz w:val="24"/>
        </w:rPr>
      </w:pPr>
      <w:r>
        <w:rPr>
          <w:rFonts w:hint="eastAsia" w:ascii="宋体" w:hAnsi="宋体" w:cs="宋体"/>
          <w:color w:val="000000"/>
          <w:sz w:val="24"/>
        </w:rPr>
        <w:t>（一）资格条件</w:t>
      </w:r>
    </w:p>
    <w:p>
      <w:pPr>
        <w:spacing w:after="50" w:line="360" w:lineRule="auto"/>
        <w:ind w:firstLine="420"/>
        <w:rPr>
          <w:rFonts w:hint="eastAsia" w:ascii="宋体" w:hAnsi="宋体" w:cs="宋体"/>
          <w:sz w:val="24"/>
        </w:rPr>
      </w:pPr>
      <w:r>
        <w:rPr>
          <w:rFonts w:hint="eastAsia" w:ascii="宋体" w:hAnsi="宋体" w:cs="宋体"/>
          <w:sz w:val="24"/>
        </w:rPr>
        <w:t>1、具有独立承担民事责任的能力；</w:t>
      </w:r>
    </w:p>
    <w:p>
      <w:pPr>
        <w:spacing w:after="50" w:line="360" w:lineRule="auto"/>
        <w:ind w:firstLine="420"/>
        <w:rPr>
          <w:rFonts w:hint="eastAsia" w:ascii="宋体" w:hAnsi="宋体" w:cs="宋体"/>
          <w:sz w:val="24"/>
        </w:rPr>
      </w:pPr>
      <w:r>
        <w:rPr>
          <w:rFonts w:hint="eastAsia" w:ascii="宋体" w:hAnsi="宋体" w:cs="宋体"/>
          <w:sz w:val="24"/>
        </w:rPr>
        <w:t>2、具有良好的商业信誉和健全的财务会计制度；</w:t>
      </w:r>
    </w:p>
    <w:p>
      <w:pPr>
        <w:spacing w:after="50" w:line="360" w:lineRule="auto"/>
        <w:ind w:firstLine="420"/>
        <w:rPr>
          <w:rFonts w:hint="eastAsia" w:ascii="宋体" w:hAnsi="宋体" w:cs="宋体"/>
          <w:sz w:val="24"/>
        </w:rPr>
      </w:pPr>
      <w:r>
        <w:rPr>
          <w:rFonts w:hint="eastAsia" w:ascii="宋体" w:hAnsi="宋体" w:cs="宋体"/>
          <w:sz w:val="24"/>
        </w:rPr>
        <w:t>3、具有履行合同所必需的设备和专业技术能力；</w:t>
      </w:r>
    </w:p>
    <w:p>
      <w:pPr>
        <w:spacing w:after="50" w:line="360" w:lineRule="auto"/>
        <w:ind w:firstLine="420"/>
        <w:rPr>
          <w:rFonts w:hint="eastAsia" w:ascii="宋体" w:hAnsi="宋体" w:cs="宋体"/>
          <w:sz w:val="24"/>
        </w:rPr>
      </w:pPr>
      <w:r>
        <w:rPr>
          <w:rFonts w:hint="eastAsia" w:ascii="宋体" w:hAnsi="宋体" w:cs="宋体"/>
          <w:sz w:val="24"/>
        </w:rPr>
        <w:t>4、具有依法缴纳税收和社会保障资金的良好记录；</w:t>
      </w:r>
    </w:p>
    <w:p>
      <w:pPr>
        <w:spacing w:after="50" w:line="360" w:lineRule="auto"/>
        <w:ind w:firstLine="420"/>
        <w:rPr>
          <w:rFonts w:hint="eastAsia" w:ascii="宋体" w:hAnsi="宋体" w:cs="宋体"/>
          <w:sz w:val="24"/>
        </w:rPr>
      </w:pPr>
      <w:r>
        <w:rPr>
          <w:rFonts w:hint="eastAsia" w:ascii="宋体" w:hAnsi="宋体" w:cs="宋体"/>
          <w:sz w:val="24"/>
        </w:rPr>
        <w:t>5、参加政府采购活动前三年内，在经营活动中没有重大违法记录；</w:t>
      </w:r>
    </w:p>
    <w:p>
      <w:pPr>
        <w:spacing w:after="50" w:line="360" w:lineRule="auto"/>
        <w:ind w:firstLine="420"/>
        <w:rPr>
          <w:rFonts w:hint="eastAsia" w:ascii="宋体" w:hAnsi="宋体" w:cs="宋体"/>
          <w:sz w:val="24"/>
        </w:rPr>
      </w:pPr>
      <w:r>
        <w:rPr>
          <w:rFonts w:hint="eastAsia" w:ascii="宋体" w:hAnsi="宋体" w:cs="宋体"/>
          <w:sz w:val="24"/>
        </w:rPr>
        <w:t>6、法律、行政法规规定的其他条件。</w:t>
      </w:r>
    </w:p>
    <w:p>
      <w:pPr>
        <w:tabs>
          <w:tab w:val="left" w:pos="7665"/>
        </w:tabs>
        <w:spacing w:line="360" w:lineRule="auto"/>
        <w:ind w:firstLine="600" w:firstLineChars="250"/>
        <w:rPr>
          <w:rFonts w:hint="eastAsia" w:ascii="宋体" w:hAnsi="宋体" w:cs="宋体"/>
          <w:color w:val="000000"/>
          <w:sz w:val="24"/>
        </w:rPr>
      </w:pPr>
      <w:r>
        <w:rPr>
          <w:rFonts w:hint="eastAsia" w:ascii="宋体" w:hAnsi="宋体" w:cs="宋体"/>
          <w:color w:val="000000"/>
          <w:sz w:val="24"/>
        </w:rPr>
        <w:t>（二）本项目规定的特定条件：</w:t>
      </w:r>
    </w:p>
    <w:p>
      <w:pPr>
        <w:spacing w:line="360" w:lineRule="auto"/>
        <w:ind w:firstLine="480" w:firstLineChars="200"/>
        <w:rPr>
          <w:rFonts w:hint="eastAsia" w:ascii="宋体" w:hAnsi="宋体" w:cs="宋体"/>
          <w:color w:val="0D0D0D"/>
          <w:sz w:val="24"/>
        </w:rPr>
      </w:pPr>
      <w:r>
        <w:rPr>
          <w:rFonts w:hint="eastAsia" w:ascii="宋体" w:hAnsi="宋体" w:cs="宋体"/>
          <w:color w:val="0D0D0D"/>
          <w:sz w:val="24"/>
          <w:lang w:val="en-US" w:eastAsia="zh-CN"/>
        </w:rPr>
        <w:t>1</w:t>
      </w:r>
      <w:r>
        <w:rPr>
          <w:rFonts w:hint="eastAsia" w:ascii="宋体" w:hAnsi="宋体" w:cs="宋体"/>
          <w:color w:val="0D0D0D"/>
          <w:sz w:val="24"/>
        </w:rPr>
        <w:t>、供应商单位及其现任法定代表人、主要负责人近三年不具有行贿犯罪记录。</w:t>
      </w:r>
    </w:p>
    <w:p>
      <w:pPr>
        <w:spacing w:line="360" w:lineRule="auto"/>
        <w:ind w:firstLine="480" w:firstLineChars="200"/>
        <w:rPr>
          <w:rFonts w:hint="eastAsia" w:ascii="宋体" w:hAnsi="宋体" w:cs="宋体"/>
          <w:color w:val="0D0D0D"/>
          <w:sz w:val="24"/>
          <w:highlight w:val="none"/>
        </w:rPr>
      </w:pPr>
      <w:r>
        <w:rPr>
          <w:rFonts w:hint="eastAsia" w:ascii="宋体" w:hAnsi="宋体" w:cs="宋体"/>
          <w:color w:val="0D0D0D"/>
          <w:sz w:val="24"/>
          <w:lang w:val="en-US" w:eastAsia="zh-CN"/>
        </w:rPr>
        <w:t>2</w:t>
      </w:r>
      <w:r>
        <w:rPr>
          <w:rFonts w:hint="eastAsia" w:ascii="宋体" w:hAnsi="宋体" w:cs="宋体"/>
          <w:color w:val="0D0D0D"/>
          <w:sz w:val="24"/>
        </w:rPr>
        <w:t>、本项目不接受联合体</w:t>
      </w:r>
      <w:r>
        <w:rPr>
          <w:rFonts w:hint="eastAsia" w:ascii="宋体" w:hAnsi="宋体" w:cs="宋体"/>
          <w:color w:val="0D0D0D"/>
          <w:sz w:val="24"/>
          <w:highlight w:val="none"/>
        </w:rPr>
        <w:t>磋商。</w:t>
      </w:r>
    </w:p>
    <w:p>
      <w:pPr>
        <w:spacing w:line="360" w:lineRule="auto"/>
        <w:ind w:firstLine="480" w:firstLineChars="200"/>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3、按照规定</w:t>
      </w:r>
      <w:r>
        <w:rPr>
          <w:rFonts w:hint="eastAsia" w:ascii="宋体" w:hAnsi="宋体" w:eastAsia="宋体" w:cs="宋体"/>
          <w:b w:val="0"/>
          <w:bCs w:val="0"/>
          <w:color w:val="0D0D0D"/>
          <w:kern w:val="2"/>
          <w:sz w:val="24"/>
          <w:szCs w:val="24"/>
          <w:lang w:val="en-US" w:eastAsia="zh-Hans" w:bidi="ar-SA"/>
        </w:rPr>
        <w:t>获取</w:t>
      </w:r>
      <w:r>
        <w:rPr>
          <w:rFonts w:hint="eastAsia" w:ascii="宋体" w:hAnsi="宋体" w:eastAsia="宋体" w:cs="宋体"/>
          <w:b w:val="0"/>
          <w:bCs w:val="0"/>
          <w:color w:val="0D0D0D"/>
          <w:kern w:val="2"/>
          <w:sz w:val="24"/>
          <w:szCs w:val="24"/>
          <w:lang w:val="en-US" w:eastAsia="zh-CN" w:bidi="ar-SA"/>
        </w:rPr>
        <w:t>了磋商文件。</w:t>
      </w:r>
    </w:p>
    <w:p>
      <w:pPr>
        <w:pStyle w:val="3"/>
        <w:spacing w:line="400" w:lineRule="exact"/>
        <w:ind w:firstLine="236" w:firstLineChars="98"/>
        <w:rPr>
          <w:rFonts w:hint="eastAsia" w:ascii="宋体" w:hAnsi="宋体" w:cs="宋体"/>
          <w:color w:val="0D0D0D"/>
          <w:sz w:val="24"/>
          <w:lang w:eastAsia="zh-CN"/>
        </w:rPr>
      </w:pPr>
    </w:p>
    <w:p>
      <w:pPr>
        <w:rPr>
          <w:rFonts w:hint="eastAsia" w:ascii="宋体" w:hAnsi="宋体" w:cs="宋体"/>
          <w:color w:val="0D0D0D"/>
          <w:sz w:val="24"/>
          <w:lang w:eastAsia="zh-CN"/>
        </w:rPr>
      </w:pPr>
    </w:p>
    <w:p>
      <w:pPr>
        <w:pStyle w:val="2"/>
        <w:rPr>
          <w:rFonts w:hint="eastAsia" w:ascii="宋体" w:hAnsi="宋体" w:cs="宋体"/>
          <w:color w:val="0D0D0D"/>
          <w:sz w:val="24"/>
          <w:lang w:eastAsia="zh-CN"/>
        </w:rPr>
      </w:pPr>
    </w:p>
    <w:p>
      <w:pPr>
        <w:rPr>
          <w:rFonts w:hint="eastAsia" w:ascii="宋体" w:hAnsi="宋体" w:cs="宋体"/>
          <w:color w:val="0D0D0D"/>
          <w:sz w:val="24"/>
          <w:lang w:eastAsia="zh-CN"/>
        </w:rPr>
      </w:pPr>
    </w:p>
    <w:p>
      <w:pPr>
        <w:pStyle w:val="2"/>
        <w:rPr>
          <w:rFonts w:hint="eastAsia" w:ascii="宋体" w:hAnsi="宋体" w:cs="宋体"/>
          <w:color w:val="0D0D0D"/>
          <w:sz w:val="24"/>
          <w:lang w:eastAsia="zh-CN"/>
        </w:rPr>
      </w:pPr>
    </w:p>
    <w:p>
      <w:pPr>
        <w:rPr>
          <w:rFonts w:hint="eastAsia" w:ascii="宋体" w:hAnsi="宋体" w:cs="宋体"/>
          <w:color w:val="0D0D0D"/>
          <w:sz w:val="24"/>
          <w:lang w:eastAsia="zh-CN"/>
        </w:rPr>
      </w:pPr>
    </w:p>
    <w:p>
      <w:pPr>
        <w:pStyle w:val="2"/>
        <w:rPr>
          <w:rFonts w:hint="eastAsia" w:ascii="宋体" w:hAnsi="宋体" w:cs="宋体"/>
          <w:color w:val="0D0D0D"/>
          <w:sz w:val="24"/>
          <w:lang w:eastAsia="zh-CN"/>
        </w:rPr>
      </w:pPr>
    </w:p>
    <w:p>
      <w:pPr>
        <w:rPr>
          <w:rFonts w:hint="eastAsia" w:ascii="宋体" w:hAnsi="宋体" w:cs="宋体"/>
          <w:color w:val="0D0D0D"/>
          <w:sz w:val="24"/>
          <w:lang w:eastAsia="zh-CN"/>
        </w:rPr>
      </w:pPr>
    </w:p>
    <w:p>
      <w:pPr>
        <w:pStyle w:val="2"/>
        <w:rPr>
          <w:rFonts w:hint="eastAsia" w:ascii="宋体" w:hAnsi="宋体" w:cs="宋体"/>
          <w:color w:val="0D0D0D"/>
          <w:sz w:val="24"/>
          <w:lang w:eastAsia="zh-CN"/>
        </w:rPr>
      </w:pPr>
    </w:p>
    <w:p>
      <w:pPr>
        <w:rPr>
          <w:rFonts w:hint="eastAsia" w:ascii="宋体" w:hAnsi="宋体" w:cs="宋体"/>
          <w:color w:val="0D0D0D"/>
          <w:sz w:val="24"/>
          <w:lang w:eastAsia="zh-CN"/>
        </w:rPr>
      </w:pPr>
    </w:p>
    <w:p>
      <w:pPr>
        <w:rPr>
          <w:rFonts w:hint="eastAsia"/>
          <w:lang w:eastAsia="zh-CN"/>
        </w:rPr>
      </w:pPr>
    </w:p>
    <w:p>
      <w:pPr>
        <w:pStyle w:val="3"/>
        <w:spacing w:line="400" w:lineRule="exact"/>
        <w:ind w:firstLine="275" w:firstLineChars="98"/>
        <w:jc w:val="center"/>
        <w:rPr>
          <w:rFonts w:hint="eastAsia" w:ascii="宋体" w:hAnsi="宋体" w:eastAsia="宋体" w:cs="宋体"/>
          <w:color w:val="0D0D0D"/>
          <w:sz w:val="28"/>
          <w:szCs w:val="36"/>
          <w:lang w:eastAsia="zh-CN"/>
        </w:rPr>
      </w:pPr>
      <w:r>
        <w:rPr>
          <w:rFonts w:hint="eastAsia" w:ascii="宋体" w:hAnsi="宋体" w:eastAsia="宋体" w:cs="宋体"/>
          <w:color w:val="0D0D0D"/>
          <w:sz w:val="28"/>
          <w:szCs w:val="36"/>
          <w:lang w:eastAsia="zh-CN"/>
        </w:rPr>
        <w:t>项目商务、服务要求</w:t>
      </w:r>
    </w:p>
    <w:p>
      <w:pPr>
        <w:pStyle w:val="3"/>
        <w:spacing w:line="400" w:lineRule="exact"/>
        <w:ind w:firstLine="236" w:firstLineChars="98"/>
        <w:rPr>
          <w:rFonts w:hint="eastAsia" w:ascii="宋体" w:hAnsi="宋体" w:eastAsia="宋体" w:cs="宋体"/>
          <w:sz w:val="24"/>
          <w:szCs w:val="24"/>
        </w:rPr>
      </w:pPr>
      <w:r>
        <w:rPr>
          <w:rFonts w:hint="eastAsia" w:ascii="宋体" w:hAnsi="宋体" w:eastAsia="宋体" w:cs="宋体"/>
          <w:sz w:val="24"/>
          <w:szCs w:val="24"/>
        </w:rPr>
        <w:t>一、项目概述</w:t>
      </w:r>
      <w:bookmarkEnd w:id="0"/>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党的十八大以来，以习近平同志为核心的党中央开展一系列根本性、开创性、长远性工作，推动生态环境保护和生态文明建设发生历史性、转折性、全局性变化。随着党的十九大把坚持人与自然和谐共生作为新时代中国特色社会主义建设的基本方略之一，并进一步明确了建设生态文明的目标指向和任务要求；全国人大把生态文明写入宪法；全国生态环境保护大会确立习近平生态文明思想，生态文明建设作为新时代中国特色社会主义建设重要内容和根本任务的地位进一步凸显。</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为贯彻落实党中央、国务院关于加快推进生态文明建设的决策部署，以国家生态文明建设示范区为载体，</w:t>
      </w:r>
      <w:r>
        <w:rPr>
          <w:rFonts w:hint="eastAsia" w:ascii="宋体" w:hAnsi="宋体" w:eastAsia="宋体" w:cs="宋体"/>
          <w:sz w:val="24"/>
          <w:szCs w:val="24"/>
          <w:lang w:eastAsia="zh-CN"/>
        </w:rPr>
        <w:t>全</w:t>
      </w:r>
      <w:r>
        <w:rPr>
          <w:rFonts w:hint="eastAsia" w:ascii="宋体" w:hAnsi="宋体" w:eastAsia="宋体" w:cs="宋体"/>
          <w:sz w:val="24"/>
          <w:szCs w:val="24"/>
        </w:rPr>
        <w:t>面践行“绿水青山就是金山银山”理念，积极推进绿色发展，不断提升区域生态文明建设水平，</w:t>
      </w:r>
      <w:r>
        <w:rPr>
          <w:rFonts w:hint="eastAsia" w:ascii="宋体" w:hAnsi="宋体" w:eastAsia="宋体" w:cs="宋体"/>
          <w:sz w:val="24"/>
          <w:szCs w:val="24"/>
          <w:lang w:eastAsia="zh-CN"/>
        </w:rPr>
        <w:t>龙泉驿</w:t>
      </w:r>
      <w:r>
        <w:rPr>
          <w:rFonts w:hint="eastAsia" w:ascii="宋体" w:hAnsi="宋体" w:eastAsia="宋体" w:cs="宋体"/>
          <w:sz w:val="24"/>
          <w:szCs w:val="24"/>
        </w:rPr>
        <w:t>区</w:t>
      </w:r>
      <w:r>
        <w:rPr>
          <w:rFonts w:hint="eastAsia" w:ascii="宋体" w:hAnsi="宋体" w:eastAsia="宋体" w:cs="宋体"/>
          <w:sz w:val="24"/>
          <w:szCs w:val="24"/>
          <w:lang w:eastAsia="zh-CN"/>
        </w:rPr>
        <w:t>需要尽快启动</w:t>
      </w:r>
      <w:r>
        <w:rPr>
          <w:rFonts w:hint="eastAsia" w:ascii="宋体" w:hAnsi="宋体" w:eastAsia="宋体" w:cs="宋体"/>
          <w:sz w:val="24"/>
          <w:szCs w:val="24"/>
        </w:rPr>
        <w:t>国家生态文明建设示范区创建</w:t>
      </w:r>
      <w:r>
        <w:rPr>
          <w:rFonts w:hint="eastAsia" w:ascii="宋体" w:hAnsi="宋体" w:eastAsia="宋体" w:cs="宋体"/>
          <w:sz w:val="24"/>
          <w:szCs w:val="24"/>
          <w:lang w:eastAsia="zh-CN"/>
        </w:rPr>
        <w:t>工作。</w:t>
      </w:r>
      <w:r>
        <w:rPr>
          <w:rFonts w:hint="eastAsia" w:ascii="宋体" w:hAnsi="宋体" w:eastAsia="宋体" w:cs="宋体"/>
          <w:sz w:val="24"/>
          <w:szCs w:val="24"/>
        </w:rPr>
        <w:t>国家生态文明建设示范区创建是深入贯彻落实习近平生态文明思想的具体行动，也是立足</w:t>
      </w:r>
      <w:r>
        <w:rPr>
          <w:rFonts w:hint="eastAsia" w:ascii="宋体" w:hAnsi="宋体" w:eastAsia="宋体" w:cs="宋体"/>
          <w:sz w:val="24"/>
          <w:szCs w:val="24"/>
          <w:lang w:eastAsia="zh-CN"/>
        </w:rPr>
        <w:t>龙泉驿区</w:t>
      </w:r>
      <w:r>
        <w:rPr>
          <w:rFonts w:hint="eastAsia" w:ascii="宋体" w:hAnsi="宋体" w:eastAsia="宋体" w:cs="宋体"/>
          <w:sz w:val="24"/>
          <w:szCs w:val="24"/>
        </w:rPr>
        <w:t>实际、着眼长远发展，加快建设公园城市的重要载体，更是满足人民群众对美好生活向往的现实需要。</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高标准</w:t>
      </w:r>
      <w:r>
        <w:rPr>
          <w:rFonts w:hint="eastAsia" w:ascii="宋体" w:hAnsi="宋体" w:eastAsia="宋体" w:cs="宋体"/>
          <w:sz w:val="24"/>
          <w:szCs w:val="24"/>
        </w:rPr>
        <w:t>编制</w:t>
      </w:r>
      <w:r>
        <w:rPr>
          <w:rFonts w:hint="eastAsia" w:ascii="宋体" w:hAnsi="宋体" w:eastAsia="宋体" w:cs="宋体"/>
          <w:sz w:val="24"/>
          <w:szCs w:val="24"/>
          <w:lang w:val="en-US" w:eastAsia="zh-CN"/>
        </w:rPr>
        <w:t>《龙泉驿区国家生态文明建设示范县规划》</w:t>
      </w:r>
      <w:r>
        <w:rPr>
          <w:rFonts w:hint="eastAsia" w:ascii="宋体" w:hAnsi="宋体" w:eastAsia="宋体" w:cs="宋体"/>
          <w:sz w:val="24"/>
          <w:szCs w:val="24"/>
        </w:rPr>
        <w:t>旨在通过</w:t>
      </w:r>
      <w:r>
        <w:rPr>
          <w:rFonts w:hint="eastAsia" w:ascii="宋体" w:hAnsi="宋体" w:eastAsia="宋体" w:cs="宋体"/>
          <w:sz w:val="24"/>
          <w:szCs w:val="24"/>
          <w:lang w:eastAsia="zh-CN"/>
        </w:rPr>
        <w:t>规划引领龙泉驿区</w:t>
      </w:r>
      <w:r>
        <w:rPr>
          <w:rFonts w:hint="eastAsia" w:ascii="宋体" w:hAnsi="宋体" w:eastAsia="宋体" w:cs="宋体"/>
          <w:sz w:val="24"/>
          <w:szCs w:val="24"/>
        </w:rPr>
        <w:t>建设形成符合主体功能定位的开发格局，建立资源循环利用体系，着力优化国土空间</w:t>
      </w:r>
      <w:r>
        <w:rPr>
          <w:rFonts w:hint="eastAsia" w:ascii="宋体" w:hAnsi="宋体" w:eastAsia="宋体" w:cs="宋体"/>
          <w:sz w:val="24"/>
          <w:szCs w:val="24"/>
          <w:lang w:eastAsia="zh-CN"/>
        </w:rPr>
        <w:t>，</w:t>
      </w:r>
      <w:r>
        <w:rPr>
          <w:rFonts w:hint="eastAsia" w:ascii="宋体" w:hAnsi="宋体" w:eastAsia="宋体" w:cs="宋体"/>
          <w:sz w:val="24"/>
          <w:szCs w:val="24"/>
        </w:rPr>
        <w:t>全面提升生态经济</w:t>
      </w:r>
      <w:r>
        <w:rPr>
          <w:rFonts w:hint="eastAsia" w:ascii="宋体" w:hAnsi="宋体" w:eastAsia="宋体" w:cs="宋体"/>
          <w:sz w:val="24"/>
          <w:szCs w:val="24"/>
          <w:lang w:eastAsia="zh-CN"/>
        </w:rPr>
        <w:t>，</w:t>
      </w:r>
      <w:r>
        <w:rPr>
          <w:rFonts w:hint="eastAsia" w:ascii="宋体" w:hAnsi="宋体" w:eastAsia="宋体" w:cs="宋体"/>
          <w:sz w:val="24"/>
          <w:szCs w:val="24"/>
        </w:rPr>
        <w:t>持续改善生态环境</w:t>
      </w:r>
      <w:r>
        <w:rPr>
          <w:rFonts w:hint="eastAsia" w:ascii="宋体" w:hAnsi="宋体" w:eastAsia="宋体" w:cs="宋体"/>
          <w:sz w:val="24"/>
          <w:szCs w:val="24"/>
          <w:lang w:eastAsia="zh-CN"/>
        </w:rPr>
        <w:t>，</w:t>
      </w:r>
      <w:r>
        <w:rPr>
          <w:rFonts w:hint="eastAsia" w:ascii="宋体" w:hAnsi="宋体" w:eastAsia="宋体" w:cs="宋体"/>
          <w:sz w:val="24"/>
          <w:szCs w:val="24"/>
        </w:rPr>
        <w:t>积极倡导生态生活</w:t>
      </w:r>
      <w:r>
        <w:rPr>
          <w:rFonts w:hint="eastAsia" w:ascii="宋体" w:hAnsi="宋体" w:eastAsia="宋体" w:cs="宋体"/>
          <w:sz w:val="24"/>
          <w:szCs w:val="24"/>
          <w:lang w:eastAsia="zh-CN"/>
        </w:rPr>
        <w:t>，</w:t>
      </w:r>
      <w:r>
        <w:rPr>
          <w:rFonts w:hint="eastAsia" w:ascii="宋体" w:hAnsi="宋体" w:eastAsia="宋体" w:cs="宋体"/>
          <w:sz w:val="24"/>
          <w:szCs w:val="24"/>
        </w:rPr>
        <w:t>培育发展生态文化体系</w:t>
      </w:r>
      <w:r>
        <w:rPr>
          <w:rFonts w:hint="eastAsia" w:ascii="宋体" w:hAnsi="宋体" w:eastAsia="宋体" w:cs="宋体"/>
          <w:sz w:val="24"/>
          <w:szCs w:val="24"/>
          <w:lang w:eastAsia="zh-CN"/>
        </w:rPr>
        <w:t>，</w:t>
      </w:r>
      <w:r>
        <w:rPr>
          <w:rFonts w:hint="eastAsia" w:ascii="宋体" w:hAnsi="宋体" w:eastAsia="宋体" w:cs="宋体"/>
          <w:sz w:val="24"/>
          <w:szCs w:val="24"/>
        </w:rPr>
        <w:t>加快完善生态文明制度体系</w:t>
      </w:r>
      <w:r>
        <w:rPr>
          <w:rFonts w:hint="eastAsia" w:ascii="宋体" w:hAnsi="宋体" w:eastAsia="宋体" w:cs="宋体"/>
          <w:sz w:val="24"/>
          <w:szCs w:val="24"/>
          <w:lang w:eastAsia="zh-CN"/>
        </w:rPr>
        <w:t>科学指导生态文明示范创建，</w:t>
      </w:r>
      <w:r>
        <w:rPr>
          <w:rFonts w:hint="eastAsia" w:ascii="宋体" w:hAnsi="宋体" w:eastAsia="宋体" w:cs="宋体"/>
          <w:sz w:val="24"/>
          <w:szCs w:val="24"/>
        </w:rPr>
        <w:t>确保习近平生态文明思想在</w:t>
      </w:r>
      <w:r>
        <w:rPr>
          <w:rFonts w:hint="eastAsia" w:ascii="宋体" w:hAnsi="宋体" w:eastAsia="宋体" w:cs="宋体"/>
          <w:sz w:val="24"/>
          <w:szCs w:val="24"/>
          <w:lang w:eastAsia="zh-CN"/>
        </w:rPr>
        <w:t>龙泉驿区</w:t>
      </w:r>
      <w:r>
        <w:rPr>
          <w:rFonts w:hint="eastAsia" w:ascii="宋体" w:hAnsi="宋体" w:eastAsia="宋体" w:cs="宋体"/>
          <w:sz w:val="24"/>
          <w:szCs w:val="24"/>
        </w:rPr>
        <w:t>落地生根，确保人民群众更多享受创建工作带来的幸福感、获得感、归宿感。</w:t>
      </w:r>
    </w:p>
    <w:p>
      <w:pPr>
        <w:pStyle w:val="3"/>
        <w:spacing w:line="400" w:lineRule="exact"/>
        <w:ind w:firstLine="236" w:firstLineChars="98"/>
        <w:rPr>
          <w:rFonts w:hint="eastAsia" w:ascii="宋体" w:hAnsi="宋体" w:eastAsia="宋体" w:cs="宋体"/>
          <w:sz w:val="24"/>
          <w:szCs w:val="24"/>
        </w:rPr>
      </w:pPr>
      <w:r>
        <w:rPr>
          <w:rFonts w:hint="eastAsia" w:ascii="宋体" w:hAnsi="宋体" w:eastAsia="宋体" w:cs="宋体"/>
          <w:sz w:val="24"/>
          <w:szCs w:val="24"/>
        </w:rPr>
        <w:t>二、商务要求</w:t>
      </w:r>
      <w:r>
        <w:rPr>
          <w:rFonts w:hint="eastAsia" w:ascii="宋体" w:hAnsi="宋体" w:eastAsia="宋体" w:cs="宋体"/>
          <w:b/>
          <w:bCs/>
          <w:kern w:val="2"/>
          <w:sz w:val="24"/>
          <w:szCs w:val="24"/>
          <w:lang w:eastAsia="zh-CN" w:bidi="ar-SA"/>
        </w:rPr>
        <w:t>（</w:t>
      </w:r>
      <w:r>
        <w:rPr>
          <w:rFonts w:hint="eastAsia" w:ascii="宋体" w:hAnsi="宋体" w:eastAsia="宋体" w:cs="宋体"/>
          <w:b/>
          <w:bCs/>
          <w:kern w:val="2"/>
          <w:sz w:val="24"/>
          <w:szCs w:val="24"/>
          <w:lang w:val="en-US" w:eastAsia="zh-Hans" w:bidi="ar-SA"/>
        </w:rPr>
        <w:t>实质性条款</w:t>
      </w:r>
      <w:r>
        <w:rPr>
          <w:rFonts w:hint="default" w:ascii="宋体" w:hAnsi="宋体" w:eastAsia="宋体" w:cs="宋体"/>
          <w:b/>
          <w:bCs/>
          <w:kern w:val="2"/>
          <w:sz w:val="24"/>
          <w:szCs w:val="24"/>
          <w:lang w:eastAsia="zh-Hans" w:bidi="ar-SA"/>
        </w:rPr>
        <w:t>）</w:t>
      </w:r>
    </w:p>
    <w:p>
      <w:pPr>
        <w:pStyle w:val="4"/>
        <w:spacing w:line="360" w:lineRule="auto"/>
        <w:ind w:firstLine="480" w:firstLineChars="0"/>
        <w:rPr>
          <w:rFonts w:hint="default" w:hAnsi="宋体" w:eastAsia="宋体"/>
          <w:sz w:val="24"/>
          <w:lang w:val="en-US" w:eastAsia="zh-CN"/>
        </w:rPr>
      </w:pPr>
      <w:r>
        <w:rPr>
          <w:rFonts w:hint="eastAsia" w:hAnsi="宋体"/>
          <w:sz w:val="24"/>
        </w:rPr>
        <w:t>1、</w:t>
      </w:r>
      <w:r>
        <w:rPr>
          <w:rFonts w:hint="eastAsia" w:hAnsi="宋体"/>
          <w:sz w:val="24"/>
          <w:lang w:eastAsia="zh-CN"/>
        </w:rPr>
        <w:t>服务期限</w:t>
      </w:r>
      <w:r>
        <w:rPr>
          <w:rFonts w:hint="eastAsia" w:hAnsi="宋体"/>
          <w:sz w:val="24"/>
        </w:rPr>
        <w:t>：</w:t>
      </w:r>
      <w:r>
        <w:rPr>
          <w:rFonts w:hint="eastAsia" w:hAnsi="宋体"/>
          <w:sz w:val="24"/>
          <w:lang w:eastAsia="zh-CN"/>
        </w:rPr>
        <w:t>合同签订后</w:t>
      </w:r>
      <w:r>
        <w:rPr>
          <w:rFonts w:hint="eastAsia" w:hAnsi="宋体"/>
          <w:sz w:val="24"/>
          <w:lang w:val="en-US" w:eastAsia="zh-CN"/>
        </w:rPr>
        <w:t>1年内（以最终提交规划设计成果为止）。</w:t>
      </w:r>
    </w:p>
    <w:p>
      <w:pPr>
        <w:pStyle w:val="4"/>
        <w:spacing w:line="360" w:lineRule="auto"/>
        <w:ind w:firstLine="480" w:firstLineChars="0"/>
        <w:rPr>
          <w:rFonts w:hint="eastAsia" w:hAnsi="宋体" w:eastAsia="宋体"/>
          <w:sz w:val="24"/>
          <w:lang w:eastAsia="zh-CN"/>
        </w:rPr>
      </w:pPr>
      <w:r>
        <w:rPr>
          <w:rFonts w:hint="eastAsia" w:hAnsi="宋体"/>
          <w:sz w:val="24"/>
        </w:rPr>
        <w:t>2、服务地点：</w:t>
      </w:r>
      <w:r>
        <w:rPr>
          <w:rFonts w:hint="eastAsia" w:hAnsi="宋体"/>
          <w:sz w:val="24"/>
          <w:lang w:eastAsia="zh-CN"/>
        </w:rPr>
        <w:t>采购人指定地点。</w:t>
      </w:r>
    </w:p>
    <w:p>
      <w:pPr>
        <w:pStyle w:val="4"/>
        <w:spacing w:line="360" w:lineRule="auto"/>
        <w:ind w:firstLine="480" w:firstLineChars="0"/>
        <w:rPr>
          <w:rFonts w:hint="eastAsia" w:hAnsi="宋体"/>
          <w:sz w:val="24"/>
        </w:rPr>
      </w:pPr>
      <w:r>
        <w:rPr>
          <w:rFonts w:hint="eastAsia" w:hAnsi="宋体"/>
          <w:sz w:val="24"/>
        </w:rPr>
        <w:t>3、付款方式：合同签订后10日内支付总合同金额的50%款项，方案通过四川省生态环境厅组织论证验收合格后支付合同总额50%款项。(采购人逾期支付采购资金将承担相应违约责任）</w:t>
      </w:r>
    </w:p>
    <w:p>
      <w:pPr>
        <w:pStyle w:val="4"/>
        <w:spacing w:line="360" w:lineRule="auto"/>
        <w:ind w:firstLine="480" w:firstLineChars="0"/>
        <w:rPr>
          <w:rFonts w:hint="eastAsia" w:ascii="Times New Roman" w:hAnsi="宋体" w:eastAsia="宋体" w:cs="Times New Roman"/>
          <w:sz w:val="24"/>
          <w:lang w:val="en-US" w:eastAsia="zh-CN"/>
        </w:rPr>
      </w:pPr>
      <w:r>
        <w:rPr>
          <w:rFonts w:hint="eastAsia" w:ascii="Times New Roman" w:hAnsi="宋体" w:cs="Times New Roman"/>
          <w:sz w:val="24"/>
          <w:lang w:val="en-US" w:eastAsia="zh-CN"/>
        </w:rPr>
        <w:t>4、验收</w:t>
      </w:r>
    </w:p>
    <w:p>
      <w:pPr>
        <w:pStyle w:val="4"/>
        <w:spacing w:line="360" w:lineRule="auto"/>
        <w:ind w:firstLine="480" w:firstLineChars="0"/>
        <w:rPr>
          <w:rFonts w:hint="eastAsia" w:ascii="Times New Roman" w:hAnsi="宋体" w:cs="Times New Roman"/>
          <w:sz w:val="24"/>
        </w:rPr>
      </w:pPr>
      <w:r>
        <w:rPr>
          <w:rFonts w:hint="eastAsia" w:ascii="Times New Roman" w:hAnsi="宋体" w:cs="Times New Roman"/>
          <w:sz w:val="24"/>
          <w:lang w:val="en-US" w:eastAsia="zh-CN"/>
        </w:rPr>
        <w:t>4.1</w:t>
      </w:r>
      <w:r>
        <w:rPr>
          <w:rFonts w:hint="eastAsia" w:ascii="Times New Roman" w:hAnsi="宋体" w:cs="Times New Roman"/>
          <w:sz w:val="24"/>
        </w:rPr>
        <w:t>验收标准</w:t>
      </w:r>
    </w:p>
    <w:p>
      <w:pPr>
        <w:pStyle w:val="4"/>
        <w:spacing w:line="360" w:lineRule="auto"/>
        <w:ind w:firstLine="480" w:firstLineChars="0"/>
        <w:rPr>
          <w:rFonts w:hint="eastAsia" w:ascii="Times New Roman" w:hAnsi="宋体" w:cs="Times New Roman"/>
          <w:sz w:val="24"/>
        </w:rPr>
      </w:pPr>
      <w:r>
        <w:rPr>
          <w:rFonts w:hint="eastAsia" w:ascii="Times New Roman" w:hAnsi="宋体" w:cs="Times New Roman"/>
          <w:sz w:val="24"/>
        </w:rPr>
        <w:t>由采购人组织按照法律法规、技术规范和本项目要求进行验收。</w:t>
      </w:r>
    </w:p>
    <w:p>
      <w:pPr>
        <w:pStyle w:val="4"/>
        <w:spacing w:line="360" w:lineRule="auto"/>
        <w:ind w:firstLine="480" w:firstLineChars="0"/>
        <w:rPr>
          <w:rFonts w:hint="eastAsia" w:ascii="Times New Roman" w:hAnsi="宋体" w:cs="Times New Roman"/>
          <w:sz w:val="24"/>
        </w:rPr>
      </w:pPr>
      <w:r>
        <w:rPr>
          <w:rFonts w:hint="eastAsia" w:ascii="Times New Roman" w:hAnsi="宋体" w:cs="Times New Roman"/>
          <w:sz w:val="24"/>
        </w:rPr>
        <w:t>严格按照政府采购相关法律法规以及</w:t>
      </w:r>
      <w:r>
        <w:rPr>
          <w:rFonts w:hint="eastAsia" w:ascii="宋体" w:hAnsi="宋体" w:cs="宋体"/>
          <w:sz w:val="24"/>
        </w:rPr>
        <w:t>《财政部关于进一步加强政府采购需求和履约验收管理的指导意见》（财库〔2016〕205号）</w:t>
      </w:r>
      <w:r>
        <w:rPr>
          <w:rFonts w:hint="eastAsia" w:ascii="Times New Roman" w:hAnsi="宋体" w:cs="Times New Roman"/>
          <w:sz w:val="24"/>
        </w:rPr>
        <w:t>的要求进行验收。</w:t>
      </w:r>
    </w:p>
    <w:p>
      <w:pPr>
        <w:pStyle w:val="4"/>
        <w:spacing w:line="360" w:lineRule="auto"/>
        <w:ind w:firstLine="480" w:firstLineChars="0"/>
        <w:rPr>
          <w:rFonts w:hint="eastAsia" w:ascii="Times New Roman" w:hAnsi="宋体" w:cs="Times New Roman"/>
          <w:sz w:val="24"/>
        </w:rPr>
      </w:pPr>
      <w:r>
        <w:rPr>
          <w:rFonts w:hint="eastAsia" w:ascii="Times New Roman" w:hAnsi="宋体" w:cs="Times New Roman"/>
          <w:sz w:val="24"/>
        </w:rPr>
        <w:t>存在国家强制规定或行业标准的遵照相关规定执行。</w:t>
      </w:r>
    </w:p>
    <w:p>
      <w:pPr>
        <w:pStyle w:val="4"/>
        <w:spacing w:line="360" w:lineRule="auto"/>
        <w:ind w:firstLine="480" w:firstLineChars="0"/>
        <w:rPr>
          <w:rFonts w:hint="eastAsia" w:ascii="Times New Roman" w:hAnsi="宋体" w:cs="Times New Roman"/>
          <w:sz w:val="24"/>
        </w:rPr>
      </w:pPr>
      <w:r>
        <w:rPr>
          <w:rFonts w:hint="eastAsia" w:ascii="Times New Roman" w:hAnsi="宋体" w:cs="Times New Roman"/>
          <w:sz w:val="24"/>
          <w:lang w:val="en-US" w:eastAsia="zh-CN"/>
        </w:rPr>
        <w:t>4.2</w:t>
      </w:r>
      <w:r>
        <w:rPr>
          <w:rFonts w:hint="eastAsia" w:ascii="Times New Roman" w:hAnsi="宋体" w:cs="Times New Roman"/>
          <w:sz w:val="24"/>
        </w:rPr>
        <w:t>验收方式</w:t>
      </w:r>
    </w:p>
    <w:p>
      <w:pPr>
        <w:pStyle w:val="4"/>
        <w:spacing w:line="360" w:lineRule="auto"/>
        <w:ind w:firstLine="480" w:firstLineChars="0"/>
        <w:rPr>
          <w:rFonts w:hint="eastAsia" w:ascii="Times New Roman" w:hAnsi="宋体" w:cs="Times New Roman"/>
          <w:sz w:val="24"/>
        </w:rPr>
      </w:pPr>
      <w:r>
        <w:rPr>
          <w:rFonts w:hint="eastAsia" w:ascii="Times New Roman" w:hAnsi="宋体" w:cs="Times New Roman"/>
          <w:sz w:val="24"/>
        </w:rPr>
        <w:t>由成交供应商向采购</w:t>
      </w:r>
      <w:r>
        <w:rPr>
          <w:rFonts w:hint="eastAsia" w:ascii="Times New Roman" w:hAnsi="宋体" w:cs="Times New Roman"/>
          <w:sz w:val="24"/>
          <w:lang w:val="en-US" w:eastAsia="zh-Hans"/>
        </w:rPr>
        <w:t>人</w:t>
      </w:r>
      <w:r>
        <w:rPr>
          <w:rFonts w:hint="eastAsia" w:ascii="Times New Roman" w:hAnsi="宋体" w:cs="Times New Roman"/>
          <w:sz w:val="24"/>
        </w:rPr>
        <w:t>提交《龙泉驿区国家生态文明示范区建设规划》文本及报告，以通过四川省生态环境厅组织论证为验收合格。</w:t>
      </w:r>
    </w:p>
    <w:p>
      <w:pPr>
        <w:pStyle w:val="4"/>
        <w:spacing w:line="360" w:lineRule="auto"/>
        <w:ind w:firstLine="480" w:firstLineChars="0"/>
        <w:rPr>
          <w:rFonts w:hint="default" w:ascii="Times New Roman" w:hAnsi="宋体" w:eastAsia="宋体" w:cs="Times New Roman"/>
          <w:sz w:val="24"/>
          <w:lang w:val="en-US" w:eastAsia="zh-CN"/>
        </w:rPr>
      </w:pPr>
      <w:r>
        <w:rPr>
          <w:rFonts w:hint="eastAsia" w:ascii="Times New Roman" w:hAnsi="宋体" w:cs="Times New Roman"/>
          <w:sz w:val="24"/>
          <w:lang w:val="en-US" w:eastAsia="zh-CN"/>
        </w:rPr>
        <w:t>4.3验收时间：项目完成后2个月内。</w:t>
      </w:r>
    </w:p>
    <w:p>
      <w:pPr>
        <w:pStyle w:val="4"/>
        <w:spacing w:line="360" w:lineRule="auto"/>
        <w:ind w:firstLine="480" w:firstLineChars="0"/>
        <w:rPr>
          <w:rFonts w:hint="eastAsia" w:ascii="Times New Roman" w:hAnsi="宋体" w:eastAsia="宋体" w:cs="Times New Roman"/>
          <w:sz w:val="24"/>
          <w:lang w:val="en-US" w:eastAsia="zh-CN"/>
        </w:rPr>
      </w:pPr>
      <w:r>
        <w:rPr>
          <w:rFonts w:hint="eastAsia" w:ascii="Times New Roman" w:hAnsi="宋体" w:cs="Times New Roman"/>
          <w:sz w:val="24"/>
          <w:lang w:val="en-US" w:eastAsia="zh-CN"/>
        </w:rPr>
        <w:t>5、</w:t>
      </w:r>
      <w:r>
        <w:rPr>
          <w:rFonts w:hint="eastAsia" w:ascii="宋体" w:hAnsi="宋体" w:cs="宋体"/>
          <w:color w:val="000000"/>
          <w:kern w:val="2"/>
          <w:sz w:val="24"/>
          <w:szCs w:val="24"/>
          <w:lang w:val="en-US" w:eastAsia="zh-CN" w:bidi="ar-SA"/>
        </w:rPr>
        <w:t>合同履行期限：合同签订后</w:t>
      </w:r>
      <w:r>
        <w:rPr>
          <w:rFonts w:hint="eastAsia" w:hAnsi="宋体" w:cs="宋体"/>
          <w:color w:val="000000"/>
          <w:kern w:val="2"/>
          <w:sz w:val="24"/>
          <w:szCs w:val="24"/>
          <w:lang w:val="en-US" w:eastAsia="zh-CN" w:bidi="ar-SA"/>
        </w:rPr>
        <w:t>12</w:t>
      </w:r>
      <w:r>
        <w:rPr>
          <w:rFonts w:hint="eastAsia" w:ascii="宋体" w:hAnsi="宋体" w:cs="宋体"/>
          <w:color w:val="000000"/>
          <w:kern w:val="2"/>
          <w:sz w:val="24"/>
          <w:szCs w:val="24"/>
          <w:lang w:val="en-US" w:eastAsia="zh-CN" w:bidi="ar-SA"/>
        </w:rPr>
        <w:t>个月内。</w:t>
      </w:r>
    </w:p>
    <w:p>
      <w:pPr>
        <w:pStyle w:val="3"/>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、服务</w:t>
      </w:r>
      <w:r>
        <w:rPr>
          <w:rFonts w:hint="eastAsia" w:ascii="宋体" w:hAnsi="宋体" w:eastAsia="宋体" w:cs="宋体"/>
          <w:sz w:val="24"/>
          <w:szCs w:val="24"/>
          <w:lang w:eastAsia="zh-CN"/>
        </w:rPr>
        <w:t>要求</w:t>
      </w:r>
      <w:r>
        <w:rPr>
          <w:rFonts w:hint="eastAsia" w:ascii="宋体" w:hAnsi="宋体" w:eastAsia="宋体" w:cs="宋体"/>
          <w:b/>
          <w:bCs/>
          <w:kern w:val="2"/>
          <w:sz w:val="24"/>
          <w:szCs w:val="24"/>
          <w:lang w:eastAsia="zh-CN" w:bidi="ar-SA"/>
        </w:rPr>
        <w:t>（</w:t>
      </w:r>
      <w:r>
        <w:rPr>
          <w:rFonts w:hint="eastAsia" w:ascii="宋体" w:hAnsi="宋体" w:eastAsia="宋体" w:cs="宋体"/>
          <w:b/>
          <w:bCs/>
          <w:kern w:val="2"/>
          <w:sz w:val="24"/>
          <w:szCs w:val="24"/>
          <w:lang w:val="en-US" w:eastAsia="zh-Hans" w:bidi="ar-SA"/>
        </w:rPr>
        <w:t>实质性条款</w:t>
      </w:r>
      <w:r>
        <w:rPr>
          <w:rFonts w:hint="default" w:ascii="宋体" w:hAnsi="宋体" w:eastAsia="宋体" w:cs="宋体"/>
          <w:b/>
          <w:bCs/>
          <w:kern w:val="2"/>
          <w:sz w:val="24"/>
          <w:szCs w:val="24"/>
          <w:lang w:eastAsia="zh-Hans" w:bidi="ar-SA"/>
        </w:rPr>
        <w:t>）</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编制思路</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生态环境部下发的指标体系及地方环境管理要求及基本思路，在分析龙泉驿区经济社会发展现状及环境质量状况的基础上，科学分析龙泉驿区经生态文明建设所具备的优势及存在的问题，提出龙泉驿区经生态文明建设的定位及目标和指标体系，明确生态文明建设的主要领域及重点任务设定，提出规划顺利实施的保障机制及对策。</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主要内容</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根据生态环境部下发的指标体系及地方环境管理要求及基本思路，在分析龙泉驿区经济社会发展现状及环境质量状况的基础上，科学分析龙泉驿区生态文明建设所具备的优势及存在的问题，提出龙泉驿区生态文明建设的定位及目标和指标体系，明确生态文明建设的主要领域及重点任务设定，提出规划顺利实施的保障机制及对策。</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根据生态环境部下发的生态文明示范县建设指标体系，结合龙泉驿区经济发展水平与资源环境特点，针对主要环境问题，提出规划目标。在构建规划目标体系过程中，注重目标的系统化及指标之间的关联性。根据国家生态文明建设示范区指标，从加强生态制度建设、提升生态环境质量、构建生态安全格局、发展低碳生态经济、美化人居生活环境、培育生态文化体系等方面提出规划的主要任务。</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服务要求</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准确理解把握国家、省相关政策文件和指标，立足龙泉驿区实际，科学分析川内已创建成功地方的经验，把握开展创建的重点指标和关键环节，提出龙泉驿区突出特色、创建难点和突破重点，形成龙泉驿区国家生态文明建设示范县创建规划。</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2、更新规划编制理念，明确规划编制方法，提出可操作性规划思路、项目实施的方法和内容，形成龙泉驿区国家生态文明建设示范县创建规划，为龙泉驿区国家生态文明建设指明方向。</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3、规范规划编制程序。严格遵循规划编制各个环节的要求，明确规范规划编制的调查研究、信息搜集、项目论证等工作方式。</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4、按照国家和四川省关于生态文明建设的要求，形成《龙泉驿区国家生态文明建设示范县规划》，广泛征求各方面意见，提交政府常务会、市委常委会审议，提交省生态环境厅专家评审通过。</w:t>
      </w:r>
    </w:p>
    <w:p>
      <w:pPr>
        <w:pStyle w:val="4"/>
        <w:spacing w:line="360" w:lineRule="auto"/>
        <w:ind w:firstLine="480" w:firstLineChars="0"/>
        <w:rPr>
          <w:rFonts w:hint="eastAsia" w:hAnsi="宋体" w:eastAsia="宋体"/>
          <w:sz w:val="24"/>
          <w:lang w:val="en-US" w:eastAsia="zh-CN"/>
        </w:rPr>
      </w:pPr>
      <w:r>
        <w:rPr>
          <w:rFonts w:hint="eastAsia" w:hAnsi="宋体"/>
          <w:sz w:val="24"/>
          <w:lang w:val="en-US" w:eastAsia="zh-CN"/>
        </w:rPr>
        <w:t>4、履约时间要求</w:t>
      </w:r>
    </w:p>
    <w:p>
      <w:pPr>
        <w:pStyle w:val="4"/>
        <w:spacing w:line="360" w:lineRule="auto"/>
        <w:ind w:firstLine="480" w:firstLineChars="0"/>
        <w:rPr>
          <w:rFonts w:hint="eastAsia"/>
        </w:rPr>
      </w:pPr>
      <w:r>
        <w:rPr>
          <w:rFonts w:hint="eastAsia" w:hAnsi="宋体"/>
          <w:sz w:val="24"/>
        </w:rPr>
        <w:t>成交供应商在领取成交通知书后6个月内，编制完成《龙泉驿区国家生态文明示范区建设规划》，并提交省生态环境厅专家评审，评审通过并后15 个工作日内提交全套的最终规划设计成果。</w:t>
      </w:r>
    </w:p>
    <w:p>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规划编制成果提交</w:t>
      </w:r>
    </w:p>
    <w:p>
      <w:pPr>
        <w:overflowPunct w:val="0"/>
        <w:topLinePunct/>
        <w:spacing w:line="360" w:lineRule="auto"/>
        <w:ind w:firstLine="480" w:firstLineChars="200"/>
        <w:rPr>
          <w:rFonts w:hint="eastAsia"/>
        </w:rPr>
      </w:pPr>
      <w:r>
        <w:rPr>
          <w:rFonts w:hint="eastAsia" w:ascii="宋体" w:hAnsi="宋体" w:eastAsia="宋体" w:cs="宋体"/>
          <w:sz w:val="24"/>
          <w:szCs w:val="24"/>
        </w:rPr>
        <w:t>综合以上研究成果，形成龙泉驿区国家生态文明建设示范县创建研究报告、龙泉驿区生态文明建设示范县规划文本（草案）、规划图集3项成果，以及协助制定龙泉驿区创建国家级生态文明建设示范区实施方案。提交盖鲜章研究报告纸质3份、电子档1份、正式稿《龙泉驿区国家生态文明建设示范县规划》和规划图集纸质40份，电子档1份。</w:t>
      </w:r>
    </w:p>
    <w:p>
      <w:pPr>
        <w:pStyle w:val="4"/>
        <w:spacing w:line="360" w:lineRule="auto"/>
        <w:ind w:firstLine="480"/>
        <w:rPr>
          <w:rFonts w:hint="eastAsia" w:ascii="宋体" w:hAnsi="宋体" w:cs="宋体"/>
          <w:b/>
          <w:bCs/>
          <w:color w:val="000000"/>
          <w:sz w:val="24"/>
          <w:lang w:val="en-US" w:eastAsia="zh-Hans"/>
        </w:rPr>
      </w:pPr>
    </w:p>
    <w:p>
      <w:pPr>
        <w:pStyle w:val="4"/>
        <w:spacing w:line="360" w:lineRule="auto"/>
        <w:ind w:firstLine="480"/>
        <w:rPr>
          <w:rFonts w:hint="eastAsia" w:ascii="宋体" w:hAnsi="宋体" w:eastAsia="宋体" w:cs="宋体"/>
          <w:b/>
          <w:bCs/>
          <w:color w:val="000000"/>
          <w:sz w:val="24"/>
          <w:lang w:val="en-US" w:eastAsia="zh-Hans"/>
        </w:rPr>
      </w:pPr>
      <w:r>
        <w:rPr>
          <w:rFonts w:hint="eastAsia" w:ascii="宋体" w:hAnsi="宋体" w:cs="宋体"/>
          <w:b/>
          <w:bCs/>
          <w:color w:val="000000"/>
          <w:sz w:val="24"/>
          <w:lang w:val="en-US" w:eastAsia="zh-Hans"/>
        </w:rPr>
        <w:t>注</w:t>
      </w:r>
      <w:r>
        <w:rPr>
          <w:rFonts w:hint="default" w:ascii="宋体" w:hAnsi="宋体" w:cs="宋体"/>
          <w:b/>
          <w:bCs/>
          <w:color w:val="000000"/>
          <w:sz w:val="24"/>
          <w:lang w:eastAsia="zh-Hans"/>
        </w:rPr>
        <w:t>：</w:t>
      </w:r>
      <w:r>
        <w:rPr>
          <w:rFonts w:hint="eastAsia" w:ascii="宋体" w:hAnsi="宋体" w:cs="宋体"/>
          <w:b/>
          <w:bCs/>
          <w:color w:val="000000"/>
          <w:sz w:val="24"/>
          <w:lang w:val="en-US" w:eastAsia="zh-Hans"/>
        </w:rPr>
        <w:t>以上商务</w:t>
      </w:r>
      <w:r>
        <w:rPr>
          <w:rFonts w:hint="default" w:ascii="宋体" w:hAnsi="宋体" w:cs="宋体"/>
          <w:b/>
          <w:bCs/>
          <w:color w:val="000000"/>
          <w:sz w:val="24"/>
          <w:lang w:eastAsia="zh-Hans"/>
        </w:rPr>
        <w:t>、</w:t>
      </w:r>
      <w:r>
        <w:rPr>
          <w:rFonts w:hint="eastAsia" w:ascii="宋体" w:hAnsi="宋体" w:cs="宋体"/>
          <w:b/>
          <w:bCs/>
          <w:color w:val="000000"/>
          <w:sz w:val="24"/>
          <w:lang w:val="en-US" w:eastAsia="zh-Hans"/>
        </w:rPr>
        <w:t>服务要求为本项目实质性要求不允许负偏离</w:t>
      </w:r>
      <w:r>
        <w:rPr>
          <w:rFonts w:hint="default" w:ascii="宋体" w:hAnsi="宋体" w:cs="宋体"/>
          <w:b/>
          <w:bCs/>
          <w:color w:val="000000"/>
          <w:sz w:val="24"/>
          <w:lang w:eastAsia="zh-Hans"/>
        </w:rPr>
        <w:t>，</w:t>
      </w:r>
      <w:r>
        <w:rPr>
          <w:rFonts w:hint="eastAsia" w:ascii="宋体" w:hAnsi="宋体" w:cs="宋体"/>
          <w:b/>
          <w:bCs/>
          <w:color w:val="000000"/>
          <w:sz w:val="24"/>
          <w:lang w:val="en-US" w:eastAsia="zh-Hans"/>
        </w:rPr>
        <w:t>否则按无效响应处理</w:t>
      </w:r>
      <w:r>
        <w:rPr>
          <w:rFonts w:hint="default" w:ascii="宋体" w:hAnsi="宋体" w:cs="宋体"/>
          <w:b/>
          <w:bCs/>
          <w:color w:val="000000"/>
          <w:sz w:val="24"/>
          <w:lang w:eastAsia="zh-Hans"/>
        </w:rPr>
        <w:t>。</w:t>
      </w:r>
    </w:p>
    <w:p/>
    <w:p>
      <w:pPr>
        <w:pStyle w:val="2"/>
      </w:pPr>
    </w:p>
    <w:p>
      <w:pPr>
        <w:pStyle w:val="2"/>
      </w:pPr>
    </w:p>
    <w:p>
      <w:pPr>
        <w:pStyle w:val="3"/>
        <w:keepNext w:val="0"/>
        <w:keepLines w:val="0"/>
        <w:spacing w:before="0" w:after="0" w:line="360" w:lineRule="auto"/>
        <w:ind w:firstLine="472" w:firstLineChars="196"/>
        <w:jc w:val="center"/>
        <w:rPr>
          <w:rFonts w:hint="eastAsia" w:ascii="宋体" w:hAnsi="宋体" w:eastAsia="宋体" w:cs="宋体"/>
          <w:b/>
          <w:bCs w:val="0"/>
          <w:sz w:val="24"/>
          <w:szCs w:val="24"/>
        </w:rPr>
      </w:pPr>
      <w:bookmarkStart w:id="1" w:name="_GoBack"/>
      <w:r>
        <w:rPr>
          <w:rFonts w:hint="eastAsia" w:ascii="宋体" w:hAnsi="宋体" w:eastAsia="宋体" w:cs="宋体"/>
          <w:b/>
          <w:bCs w:val="0"/>
          <w:sz w:val="24"/>
          <w:szCs w:val="24"/>
        </w:rPr>
        <w:t>综合评分明细表</w:t>
      </w:r>
    </w:p>
    <w:bookmarkEnd w:id="1"/>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79"/>
        <w:gridCol w:w="539"/>
        <w:gridCol w:w="3767"/>
        <w:gridCol w:w="2632"/>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9" w:type="dxa"/>
            <w:noWrap w:val="0"/>
            <w:vAlign w:val="center"/>
          </w:tcPr>
          <w:p>
            <w:pPr>
              <w:spacing w:line="360" w:lineRule="auto"/>
              <w:ind w:firstLine="28"/>
              <w:jc w:val="center"/>
              <w:rPr>
                <w:rFonts w:hint="eastAsia" w:ascii="宋体" w:hAnsi="宋体" w:cs="宋体"/>
                <w:szCs w:val="21"/>
              </w:rPr>
            </w:pPr>
            <w:r>
              <w:rPr>
                <w:rFonts w:hint="eastAsia" w:ascii="宋体" w:hAnsi="宋体" w:cs="宋体"/>
                <w:szCs w:val="21"/>
              </w:rPr>
              <w:t>序号</w:t>
            </w:r>
          </w:p>
        </w:tc>
        <w:tc>
          <w:tcPr>
            <w:tcW w:w="1079" w:type="dxa"/>
            <w:noWrap w:val="0"/>
            <w:vAlign w:val="center"/>
          </w:tcPr>
          <w:p>
            <w:pPr>
              <w:spacing w:line="360" w:lineRule="auto"/>
              <w:ind w:firstLine="28"/>
              <w:jc w:val="center"/>
              <w:rPr>
                <w:rFonts w:hint="eastAsia" w:ascii="宋体" w:hAnsi="宋体" w:cs="宋体"/>
                <w:szCs w:val="21"/>
              </w:rPr>
            </w:pPr>
            <w:r>
              <w:rPr>
                <w:rFonts w:hint="eastAsia" w:ascii="宋体" w:hAnsi="宋体" w:cs="宋体"/>
                <w:szCs w:val="21"/>
              </w:rPr>
              <w:t>评分因素</w:t>
            </w:r>
          </w:p>
          <w:p>
            <w:pPr>
              <w:spacing w:line="360" w:lineRule="auto"/>
              <w:ind w:firstLine="28"/>
              <w:jc w:val="center"/>
              <w:rPr>
                <w:rFonts w:hint="eastAsia" w:ascii="宋体" w:hAnsi="宋体" w:cs="宋体"/>
                <w:szCs w:val="21"/>
              </w:rPr>
            </w:pPr>
            <w:r>
              <w:rPr>
                <w:rFonts w:hint="eastAsia" w:ascii="宋体" w:hAnsi="宋体" w:cs="宋体"/>
                <w:szCs w:val="21"/>
              </w:rPr>
              <w:t>及权重</w:t>
            </w:r>
          </w:p>
        </w:tc>
        <w:tc>
          <w:tcPr>
            <w:tcW w:w="539" w:type="dxa"/>
            <w:noWrap w:val="0"/>
            <w:vAlign w:val="center"/>
          </w:tcPr>
          <w:p>
            <w:pPr>
              <w:spacing w:line="360" w:lineRule="auto"/>
              <w:ind w:firstLine="28"/>
              <w:jc w:val="center"/>
              <w:rPr>
                <w:rFonts w:hint="eastAsia" w:ascii="宋体" w:hAnsi="宋体" w:cs="宋体"/>
                <w:szCs w:val="21"/>
              </w:rPr>
            </w:pPr>
            <w:r>
              <w:rPr>
                <w:rFonts w:hint="eastAsia" w:ascii="宋体" w:hAnsi="宋体" w:cs="宋体"/>
                <w:szCs w:val="21"/>
              </w:rPr>
              <w:t>分　值</w:t>
            </w:r>
          </w:p>
        </w:tc>
        <w:tc>
          <w:tcPr>
            <w:tcW w:w="3767" w:type="dxa"/>
            <w:noWrap w:val="0"/>
            <w:vAlign w:val="center"/>
          </w:tcPr>
          <w:p>
            <w:pPr>
              <w:spacing w:line="360" w:lineRule="auto"/>
              <w:ind w:firstLine="28"/>
              <w:jc w:val="center"/>
              <w:rPr>
                <w:rFonts w:hint="eastAsia" w:ascii="宋体" w:hAnsi="宋体" w:cs="宋体"/>
                <w:szCs w:val="21"/>
              </w:rPr>
            </w:pPr>
            <w:r>
              <w:rPr>
                <w:rFonts w:hint="eastAsia" w:ascii="宋体" w:hAnsi="宋体" w:cs="宋体"/>
                <w:szCs w:val="21"/>
              </w:rPr>
              <w:t>评分标准</w:t>
            </w:r>
          </w:p>
        </w:tc>
        <w:tc>
          <w:tcPr>
            <w:tcW w:w="2632" w:type="dxa"/>
            <w:noWrap w:val="0"/>
            <w:vAlign w:val="center"/>
          </w:tcPr>
          <w:p>
            <w:pPr>
              <w:spacing w:line="360" w:lineRule="auto"/>
              <w:jc w:val="center"/>
              <w:rPr>
                <w:rFonts w:hint="eastAsia" w:ascii="宋体" w:hAnsi="宋体" w:cs="宋体"/>
                <w:szCs w:val="21"/>
              </w:rPr>
            </w:pPr>
            <w:r>
              <w:rPr>
                <w:rFonts w:hint="eastAsia" w:ascii="宋体" w:hAnsi="宋体" w:cs="宋体"/>
                <w:szCs w:val="21"/>
              </w:rPr>
              <w:t>备注</w:t>
            </w:r>
          </w:p>
        </w:tc>
        <w:tc>
          <w:tcPr>
            <w:tcW w:w="734" w:type="dxa"/>
            <w:noWrap w:val="0"/>
            <w:vAlign w:val="center"/>
          </w:tcPr>
          <w:p>
            <w:pPr>
              <w:spacing w:line="360" w:lineRule="auto"/>
              <w:jc w:val="center"/>
              <w:rPr>
                <w:rFonts w:hint="eastAsia"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9" w:type="dxa"/>
            <w:noWrap w:val="0"/>
            <w:vAlign w:val="center"/>
          </w:tcPr>
          <w:p>
            <w:pPr>
              <w:spacing w:line="360" w:lineRule="auto"/>
              <w:ind w:firstLine="28"/>
              <w:jc w:val="center"/>
              <w:rPr>
                <w:rFonts w:hint="eastAsia" w:ascii="宋体" w:hAnsi="宋体" w:cs="宋体"/>
                <w:szCs w:val="21"/>
              </w:rPr>
            </w:pPr>
            <w:r>
              <w:rPr>
                <w:rFonts w:hint="eastAsia" w:ascii="宋体" w:hAnsi="宋体" w:cs="宋体"/>
                <w:szCs w:val="21"/>
              </w:rPr>
              <w:t>1</w:t>
            </w:r>
          </w:p>
        </w:tc>
        <w:tc>
          <w:tcPr>
            <w:tcW w:w="1079" w:type="dxa"/>
            <w:noWrap w:val="0"/>
            <w:vAlign w:val="center"/>
          </w:tcPr>
          <w:p>
            <w:pPr>
              <w:spacing w:line="360" w:lineRule="auto"/>
              <w:ind w:firstLine="28"/>
              <w:jc w:val="center"/>
              <w:rPr>
                <w:rFonts w:hint="eastAsia" w:ascii="宋体" w:hAnsi="宋体" w:cs="宋体"/>
                <w:szCs w:val="21"/>
              </w:rPr>
            </w:pPr>
            <w:r>
              <w:rPr>
                <w:rFonts w:hint="eastAsia" w:ascii="宋体" w:hAnsi="宋体" w:cs="宋体"/>
                <w:szCs w:val="21"/>
              </w:rPr>
              <w:t>报价1</w:t>
            </w:r>
            <w:r>
              <w:rPr>
                <w:rFonts w:hint="eastAsia" w:ascii="宋体" w:hAnsi="宋体" w:cs="宋体"/>
                <w:szCs w:val="21"/>
                <w:lang w:val="en-US" w:eastAsia="zh-CN"/>
              </w:rPr>
              <w:t>0</w:t>
            </w:r>
            <w:r>
              <w:rPr>
                <w:rFonts w:hint="eastAsia" w:ascii="宋体" w:hAnsi="宋体" w:cs="宋体"/>
                <w:szCs w:val="21"/>
              </w:rPr>
              <w:t>%</w:t>
            </w:r>
          </w:p>
          <w:p>
            <w:pPr>
              <w:spacing w:line="360" w:lineRule="auto"/>
              <w:ind w:firstLine="28"/>
              <w:jc w:val="center"/>
              <w:rPr>
                <w:rFonts w:hint="eastAsia" w:ascii="宋体" w:hAnsi="宋体" w:cs="宋体"/>
                <w:szCs w:val="21"/>
              </w:rPr>
            </w:pPr>
          </w:p>
        </w:tc>
        <w:tc>
          <w:tcPr>
            <w:tcW w:w="539" w:type="dxa"/>
            <w:noWrap w:val="0"/>
            <w:vAlign w:val="center"/>
          </w:tcPr>
          <w:p>
            <w:pPr>
              <w:spacing w:line="360" w:lineRule="auto"/>
              <w:ind w:firstLine="28"/>
              <w:jc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分</w:t>
            </w:r>
          </w:p>
        </w:tc>
        <w:tc>
          <w:tcPr>
            <w:tcW w:w="3767" w:type="dxa"/>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以本次有效的最低报价为基准价，报价得分=(基准价／报价)*1</w:t>
            </w:r>
            <w:r>
              <w:rPr>
                <w:rFonts w:hint="eastAsia" w:ascii="宋体" w:hAnsi="宋体" w:cs="宋体"/>
                <w:szCs w:val="21"/>
                <w:lang w:val="en-US" w:eastAsia="zh-CN"/>
              </w:rPr>
              <w:t>0</w:t>
            </w:r>
          </w:p>
        </w:tc>
        <w:tc>
          <w:tcPr>
            <w:tcW w:w="2632" w:type="dxa"/>
            <w:noWrap w:val="0"/>
            <w:vAlign w:val="center"/>
          </w:tcPr>
          <w:p>
            <w:pPr>
              <w:spacing w:line="360" w:lineRule="auto"/>
              <w:ind w:left="-38"/>
              <w:rPr>
                <w:rFonts w:hint="eastAsia" w:ascii="宋体" w:hAnsi="宋体" w:cs="宋体"/>
                <w:szCs w:val="21"/>
              </w:rPr>
            </w:pPr>
            <w:r>
              <w:rPr>
                <w:rFonts w:hint="eastAsia" w:ascii="宋体" w:hAnsi="宋体" w:cs="宋体"/>
                <w:szCs w:val="21"/>
              </w:rPr>
              <w:t>根据川财采[2015]33号文，对失信行为供应商给予6%/次的报价累加加成，用加成后的价格参与评审，若加成后的报价超过预算的，视为无效响应。</w:t>
            </w:r>
          </w:p>
        </w:tc>
        <w:tc>
          <w:tcPr>
            <w:tcW w:w="734" w:type="dxa"/>
            <w:noWrap w:val="0"/>
            <w:vAlign w:val="center"/>
          </w:tcPr>
          <w:p>
            <w:pPr>
              <w:spacing w:line="360" w:lineRule="auto"/>
              <w:ind w:left="-38"/>
              <w:rPr>
                <w:rFonts w:hint="eastAsia"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9" w:type="dxa"/>
            <w:noWrap w:val="0"/>
            <w:vAlign w:val="center"/>
          </w:tcPr>
          <w:p>
            <w:pPr>
              <w:spacing w:line="360" w:lineRule="auto"/>
              <w:ind w:firstLine="28"/>
              <w:jc w:val="center"/>
              <w:rPr>
                <w:rFonts w:hint="eastAsia" w:ascii="宋体" w:hAnsi="宋体" w:cs="宋体"/>
                <w:szCs w:val="21"/>
              </w:rPr>
            </w:pPr>
            <w:r>
              <w:rPr>
                <w:rFonts w:hint="default" w:ascii="宋体" w:hAnsi="宋体" w:cs="宋体"/>
                <w:szCs w:val="21"/>
              </w:rPr>
              <w:t>2</w:t>
            </w:r>
          </w:p>
        </w:tc>
        <w:tc>
          <w:tcPr>
            <w:tcW w:w="1079" w:type="dxa"/>
            <w:noWrap w:val="0"/>
            <w:vAlign w:val="center"/>
          </w:tcPr>
          <w:p>
            <w:pPr>
              <w:spacing w:line="360" w:lineRule="auto"/>
              <w:ind w:firstLine="28"/>
              <w:jc w:val="center"/>
              <w:rPr>
                <w:rFonts w:hint="eastAsia" w:ascii="宋体" w:hAnsi="宋体" w:eastAsia="Times New Roman" w:cs="宋体"/>
                <w:szCs w:val="21"/>
                <w:lang w:val="en-US" w:eastAsia="zh-Hans"/>
              </w:rPr>
            </w:pPr>
            <w:r>
              <w:rPr>
                <w:rFonts w:hint="eastAsia" w:ascii="宋体" w:hAnsi="宋体" w:cs="宋体"/>
                <w:szCs w:val="21"/>
                <w:lang w:val="en-US" w:eastAsia="zh-Hans"/>
              </w:rPr>
              <w:t>企业实力</w:t>
            </w:r>
            <w:r>
              <w:rPr>
                <w:rFonts w:hint="default" w:ascii="宋体" w:hAnsi="宋体" w:cs="宋体"/>
                <w:szCs w:val="21"/>
                <w:lang w:eastAsia="zh-Hans"/>
              </w:rPr>
              <w:t>1</w:t>
            </w:r>
            <w:r>
              <w:rPr>
                <w:rFonts w:hint="eastAsia" w:ascii="宋体" w:hAnsi="宋体" w:cs="宋体"/>
                <w:szCs w:val="21"/>
                <w:lang w:val="en-US" w:eastAsia="zh-CN"/>
              </w:rPr>
              <w:t>2</w:t>
            </w:r>
            <w:r>
              <w:rPr>
                <w:rFonts w:hint="default" w:ascii="宋体" w:hAnsi="宋体" w:cs="宋体"/>
                <w:szCs w:val="21"/>
                <w:lang w:eastAsia="zh-Hans"/>
              </w:rPr>
              <w:t>%</w:t>
            </w:r>
          </w:p>
        </w:tc>
        <w:tc>
          <w:tcPr>
            <w:tcW w:w="539" w:type="dxa"/>
            <w:noWrap w:val="0"/>
            <w:vAlign w:val="center"/>
          </w:tcPr>
          <w:p>
            <w:pPr>
              <w:spacing w:line="360" w:lineRule="auto"/>
              <w:ind w:firstLine="28"/>
              <w:jc w:val="center"/>
              <w:rPr>
                <w:rFonts w:hint="eastAsia" w:ascii="宋体" w:hAnsi="宋体" w:cs="宋体"/>
                <w:szCs w:val="21"/>
              </w:rPr>
            </w:pPr>
            <w:r>
              <w:rPr>
                <w:rFonts w:hint="default" w:ascii="宋体" w:hAnsi="宋体" w:cs="宋体"/>
                <w:szCs w:val="21"/>
              </w:rPr>
              <w:t>1</w:t>
            </w:r>
            <w:r>
              <w:rPr>
                <w:rFonts w:hint="eastAsia" w:ascii="宋体" w:hAnsi="宋体" w:cs="宋体"/>
                <w:szCs w:val="21"/>
                <w:lang w:val="en-US" w:eastAsia="zh-CN"/>
              </w:rPr>
              <w:t>2</w:t>
            </w:r>
            <w:r>
              <w:rPr>
                <w:rFonts w:hint="eastAsia" w:ascii="宋体" w:hAnsi="宋体" w:cs="宋体"/>
                <w:szCs w:val="21"/>
                <w:lang w:val="en-US" w:eastAsia="zh-Hans"/>
              </w:rPr>
              <w:t>分</w:t>
            </w:r>
          </w:p>
        </w:tc>
        <w:tc>
          <w:tcPr>
            <w:tcW w:w="3767" w:type="dxa"/>
            <w:noWrap w:val="0"/>
            <w:vAlign w:val="center"/>
          </w:tcPr>
          <w:p>
            <w:pPr>
              <w:spacing w:line="360" w:lineRule="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、具有</w:t>
            </w:r>
            <w:r>
              <w:rPr>
                <w:rFonts w:hint="eastAsia" w:ascii="宋体" w:hAnsi="宋体" w:cs="宋体"/>
                <w:szCs w:val="21"/>
                <w:lang w:val="en-US" w:eastAsia="zh-Hans"/>
              </w:rPr>
              <w:t>有效的</w:t>
            </w:r>
            <w:r>
              <w:rPr>
                <w:rFonts w:hint="eastAsia" w:ascii="宋体" w:hAnsi="宋体" w:cs="宋体"/>
                <w:szCs w:val="21"/>
              </w:rPr>
              <w:t>职业健康与安全管理体系认证证书的得</w:t>
            </w:r>
            <w:r>
              <w:rPr>
                <w:rFonts w:hint="eastAsia" w:ascii="宋体" w:hAnsi="宋体" w:cs="宋体"/>
                <w:szCs w:val="21"/>
                <w:lang w:val="en-US" w:eastAsia="zh-CN"/>
              </w:rPr>
              <w:t>4</w:t>
            </w:r>
            <w:r>
              <w:rPr>
                <w:rFonts w:hint="eastAsia" w:ascii="宋体" w:hAnsi="宋体" w:cs="宋体"/>
                <w:szCs w:val="21"/>
              </w:rPr>
              <w:t>分</w:t>
            </w:r>
            <w:r>
              <w:rPr>
                <w:rFonts w:hint="default" w:ascii="宋体" w:hAnsi="宋体" w:cs="宋体"/>
                <w:szCs w:val="21"/>
              </w:rPr>
              <w:t>。</w:t>
            </w:r>
          </w:p>
          <w:p>
            <w:pPr>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、具有</w:t>
            </w:r>
            <w:r>
              <w:rPr>
                <w:rFonts w:hint="eastAsia" w:ascii="宋体" w:hAnsi="宋体" w:cs="宋体"/>
                <w:szCs w:val="21"/>
                <w:lang w:val="en-US" w:eastAsia="zh-Hans"/>
              </w:rPr>
              <w:t>有效的</w:t>
            </w:r>
            <w:r>
              <w:rPr>
                <w:rFonts w:hint="eastAsia" w:ascii="宋体" w:hAnsi="宋体" w:cs="宋体"/>
                <w:szCs w:val="21"/>
              </w:rPr>
              <w:t>环境管理体系认证证书的得</w:t>
            </w:r>
            <w:r>
              <w:rPr>
                <w:rFonts w:hint="eastAsia" w:ascii="宋体" w:hAnsi="宋体" w:cs="宋体"/>
                <w:szCs w:val="21"/>
                <w:lang w:val="en-US" w:eastAsia="zh-CN"/>
              </w:rPr>
              <w:t>4</w:t>
            </w:r>
            <w:r>
              <w:rPr>
                <w:rFonts w:hint="eastAsia" w:ascii="宋体" w:hAnsi="宋体" w:cs="宋体"/>
                <w:szCs w:val="21"/>
              </w:rPr>
              <w:t>分</w:t>
            </w:r>
            <w:r>
              <w:rPr>
                <w:rFonts w:hint="default" w:ascii="宋体" w:hAnsi="宋体" w:cs="宋体"/>
                <w:szCs w:val="21"/>
              </w:rPr>
              <w:t>。</w:t>
            </w:r>
          </w:p>
          <w:p>
            <w:pPr>
              <w:spacing w:line="360"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、具有</w:t>
            </w:r>
            <w:r>
              <w:rPr>
                <w:rFonts w:hint="eastAsia" w:ascii="宋体" w:hAnsi="宋体" w:cs="宋体"/>
                <w:szCs w:val="21"/>
                <w:lang w:val="en-US" w:eastAsia="zh-Hans"/>
              </w:rPr>
              <w:t>有效的</w:t>
            </w:r>
            <w:r>
              <w:rPr>
                <w:rFonts w:hint="eastAsia" w:ascii="宋体" w:hAnsi="宋体" w:cs="宋体"/>
                <w:szCs w:val="21"/>
              </w:rPr>
              <w:t>质量管理体系认证证书的得</w:t>
            </w:r>
            <w:r>
              <w:rPr>
                <w:rFonts w:hint="eastAsia" w:ascii="宋体" w:hAnsi="宋体" w:cs="宋体"/>
                <w:szCs w:val="21"/>
                <w:lang w:val="en-US" w:eastAsia="zh-CN"/>
              </w:rPr>
              <w:t>4</w:t>
            </w:r>
            <w:r>
              <w:rPr>
                <w:rFonts w:hint="eastAsia" w:ascii="宋体" w:hAnsi="宋体" w:cs="宋体"/>
                <w:szCs w:val="21"/>
              </w:rPr>
              <w:t>分</w:t>
            </w:r>
            <w:r>
              <w:rPr>
                <w:rFonts w:hint="default" w:ascii="宋体" w:hAnsi="宋体" w:cs="宋体"/>
                <w:szCs w:val="21"/>
              </w:rPr>
              <w:t>。</w:t>
            </w:r>
          </w:p>
        </w:tc>
        <w:tc>
          <w:tcPr>
            <w:tcW w:w="2632" w:type="dxa"/>
            <w:noWrap w:val="0"/>
            <w:vAlign w:val="center"/>
          </w:tcPr>
          <w:p>
            <w:pPr>
              <w:spacing w:line="360" w:lineRule="auto"/>
              <w:ind w:left="-38"/>
              <w:rPr>
                <w:rFonts w:hint="eastAsia" w:ascii="宋体" w:hAnsi="宋体" w:cs="宋体"/>
                <w:szCs w:val="21"/>
              </w:rPr>
            </w:pPr>
            <w:r>
              <w:rPr>
                <w:rFonts w:hint="eastAsia" w:ascii="宋体" w:hAnsi="宋体" w:cs="宋体"/>
                <w:szCs w:val="21"/>
              </w:rPr>
              <w:t>提供证书复印件加盖公章</w:t>
            </w:r>
          </w:p>
        </w:tc>
        <w:tc>
          <w:tcPr>
            <w:tcW w:w="734" w:type="dxa"/>
            <w:noWrap w:val="0"/>
            <w:vAlign w:val="center"/>
          </w:tcPr>
          <w:p>
            <w:pPr>
              <w:spacing w:line="360" w:lineRule="auto"/>
              <w:ind w:left="-38"/>
              <w:rPr>
                <w:rFonts w:hint="eastAsia" w:ascii="宋体" w:hAnsi="宋体" w:eastAsia="Times New Roman" w:cs="宋体"/>
                <w:szCs w:val="21"/>
                <w:lang w:val="en-US" w:eastAsia="zh-Hans"/>
              </w:rPr>
            </w:pPr>
            <w:r>
              <w:rPr>
                <w:rFonts w:hint="eastAsia" w:ascii="宋体" w:hAnsi="宋体" w:cs="宋体"/>
                <w:szCs w:val="21"/>
                <w:lang w:val="en-US" w:eastAsia="zh-Han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9" w:type="dxa"/>
            <w:noWrap w:val="0"/>
            <w:vAlign w:val="center"/>
          </w:tcPr>
          <w:p>
            <w:pPr>
              <w:spacing w:line="360" w:lineRule="auto"/>
              <w:ind w:firstLine="28"/>
              <w:jc w:val="center"/>
              <w:rPr>
                <w:rFonts w:hint="default" w:ascii="宋体" w:hAnsi="宋体" w:cs="宋体"/>
                <w:szCs w:val="21"/>
              </w:rPr>
            </w:pPr>
            <w:r>
              <w:rPr>
                <w:rFonts w:hint="default" w:ascii="宋体" w:hAnsi="宋体" w:cs="宋体"/>
                <w:szCs w:val="21"/>
              </w:rPr>
              <w:t>3</w:t>
            </w:r>
          </w:p>
        </w:tc>
        <w:tc>
          <w:tcPr>
            <w:tcW w:w="1079" w:type="dxa"/>
            <w:noWrap w:val="0"/>
            <w:vAlign w:val="center"/>
          </w:tcPr>
          <w:p>
            <w:pPr>
              <w:spacing w:line="360" w:lineRule="auto"/>
              <w:ind w:firstLine="28"/>
              <w:jc w:val="center"/>
              <w:rPr>
                <w:rFonts w:hint="eastAsia" w:ascii="宋体" w:hAnsi="宋体" w:cs="宋体"/>
                <w:szCs w:val="21"/>
                <w:lang w:val="en-US" w:eastAsia="zh-Hans"/>
              </w:rPr>
            </w:pPr>
            <w:r>
              <w:rPr>
                <w:rFonts w:hint="eastAsia" w:ascii="宋体" w:hAnsi="宋体" w:cs="宋体"/>
                <w:szCs w:val="21"/>
                <w:lang w:val="en-US" w:eastAsia="zh-Hans"/>
              </w:rPr>
              <w:t>人员配置</w:t>
            </w:r>
            <w:r>
              <w:rPr>
                <w:rFonts w:hint="default" w:ascii="宋体" w:hAnsi="宋体" w:cs="宋体"/>
                <w:szCs w:val="21"/>
                <w:lang w:eastAsia="zh-Hans"/>
              </w:rPr>
              <w:t>26%</w:t>
            </w:r>
          </w:p>
        </w:tc>
        <w:tc>
          <w:tcPr>
            <w:tcW w:w="539" w:type="dxa"/>
            <w:noWrap w:val="0"/>
            <w:vAlign w:val="center"/>
          </w:tcPr>
          <w:p>
            <w:pPr>
              <w:spacing w:line="360" w:lineRule="auto"/>
              <w:ind w:firstLine="28"/>
              <w:jc w:val="center"/>
              <w:rPr>
                <w:rFonts w:hint="eastAsia" w:ascii="宋体" w:hAnsi="宋体" w:cs="宋体"/>
                <w:szCs w:val="21"/>
              </w:rPr>
            </w:pPr>
            <w:r>
              <w:rPr>
                <w:rFonts w:hint="default" w:ascii="宋体" w:hAnsi="宋体" w:cs="宋体"/>
                <w:szCs w:val="21"/>
              </w:rPr>
              <w:t>26</w:t>
            </w:r>
            <w:r>
              <w:rPr>
                <w:rFonts w:hint="eastAsia" w:ascii="宋体" w:hAnsi="宋体" w:cs="宋体"/>
                <w:szCs w:val="21"/>
                <w:lang w:val="en-US" w:eastAsia="zh-Hans"/>
              </w:rPr>
              <w:t>分</w:t>
            </w:r>
          </w:p>
        </w:tc>
        <w:tc>
          <w:tcPr>
            <w:tcW w:w="3767" w:type="dxa"/>
            <w:noWrap w:val="0"/>
            <w:vAlign w:val="center"/>
          </w:tcPr>
          <w:p>
            <w:pPr>
              <w:spacing w:line="360" w:lineRule="auto"/>
              <w:rPr>
                <w:rFonts w:hint="eastAsia" w:ascii="宋体" w:hAnsi="宋体" w:cs="宋体"/>
                <w:szCs w:val="21"/>
              </w:rPr>
            </w:pPr>
            <w:r>
              <w:rPr>
                <w:rFonts w:hint="eastAsia" w:ascii="宋体" w:hAnsi="宋体" w:cs="宋体"/>
                <w:szCs w:val="21"/>
              </w:rPr>
              <w:t>1、项目负责人为高级职称及以上且为环保工程（或环境工程）专业，得4分；为中级职称且为环保工程（或环境工程）专业，得3分；</w:t>
            </w:r>
            <w:r>
              <w:rPr>
                <w:rFonts w:hint="eastAsia" w:ascii="宋体" w:hAnsi="宋体" w:cs="宋体"/>
                <w:szCs w:val="21"/>
                <w:lang w:val="en-US" w:eastAsia="zh-Hans"/>
              </w:rPr>
              <w:t>其余不得分</w:t>
            </w:r>
            <w:r>
              <w:rPr>
                <w:rFonts w:hint="default" w:ascii="宋体" w:hAnsi="宋体" w:cs="宋体"/>
                <w:szCs w:val="21"/>
                <w:lang w:eastAsia="zh-Hans"/>
              </w:rPr>
              <w:t>，</w:t>
            </w:r>
            <w:r>
              <w:rPr>
                <w:rFonts w:hint="eastAsia" w:ascii="宋体" w:hAnsi="宋体" w:cs="宋体"/>
                <w:szCs w:val="21"/>
              </w:rPr>
              <w:t>本项满分得4分。</w:t>
            </w:r>
          </w:p>
          <w:p>
            <w:pPr>
              <w:spacing w:line="360" w:lineRule="auto"/>
              <w:rPr>
                <w:rFonts w:hint="eastAsia" w:ascii="宋体" w:hAnsi="宋体" w:cs="宋体"/>
                <w:szCs w:val="21"/>
              </w:rPr>
            </w:pPr>
            <w:r>
              <w:rPr>
                <w:rFonts w:hint="eastAsia" w:ascii="宋体" w:hAnsi="宋体" w:cs="宋体"/>
                <w:szCs w:val="21"/>
              </w:rPr>
              <w:t>2、团队成员中（不含项目负责人），</w:t>
            </w:r>
            <w:r>
              <w:rPr>
                <w:rFonts w:hint="eastAsia" w:ascii="宋体" w:hAnsi="宋体" w:cs="宋体"/>
                <w:szCs w:val="21"/>
                <w:lang w:val="en-US" w:eastAsia="zh-Hans"/>
              </w:rPr>
              <w:t>每有一个具有</w:t>
            </w:r>
            <w:r>
              <w:rPr>
                <w:rFonts w:hint="eastAsia" w:ascii="宋体" w:hAnsi="宋体" w:cs="宋体"/>
                <w:szCs w:val="21"/>
              </w:rPr>
              <w:t>高级</w:t>
            </w:r>
            <w:r>
              <w:rPr>
                <w:rFonts w:hint="eastAsia" w:ascii="宋体" w:hAnsi="宋体" w:cs="宋体"/>
                <w:szCs w:val="21"/>
                <w:lang w:val="en-US" w:eastAsia="zh-Hans"/>
              </w:rPr>
              <w:t>及以上</w:t>
            </w:r>
            <w:r>
              <w:rPr>
                <w:rFonts w:hint="eastAsia" w:ascii="宋体" w:hAnsi="宋体" w:cs="宋体"/>
                <w:szCs w:val="21"/>
              </w:rPr>
              <w:t>职称且为环保工程（或环境工程）专业</w:t>
            </w:r>
            <w:r>
              <w:rPr>
                <w:rFonts w:hint="eastAsia" w:ascii="宋体" w:hAnsi="宋体" w:cs="宋体"/>
                <w:szCs w:val="21"/>
                <w:lang w:val="en-US" w:eastAsia="zh-Hans"/>
              </w:rPr>
              <w:t>的</w:t>
            </w:r>
            <w:r>
              <w:rPr>
                <w:rFonts w:hint="eastAsia" w:ascii="宋体" w:hAnsi="宋体" w:cs="宋体"/>
                <w:szCs w:val="21"/>
              </w:rPr>
              <w:t>得3分；</w:t>
            </w:r>
            <w:r>
              <w:rPr>
                <w:rFonts w:hint="eastAsia" w:ascii="宋体" w:hAnsi="宋体" w:cs="宋体"/>
                <w:szCs w:val="21"/>
                <w:lang w:val="en-US" w:eastAsia="zh-Hans"/>
              </w:rPr>
              <w:t>每有一个具有</w:t>
            </w:r>
            <w:r>
              <w:rPr>
                <w:rFonts w:hint="eastAsia" w:ascii="宋体" w:hAnsi="宋体" w:cs="宋体"/>
                <w:szCs w:val="21"/>
              </w:rPr>
              <w:t>中级职称且为环保工程（或环境工程）专业</w:t>
            </w:r>
            <w:r>
              <w:rPr>
                <w:rFonts w:hint="eastAsia" w:ascii="宋体" w:hAnsi="宋体" w:cs="宋体"/>
                <w:szCs w:val="21"/>
                <w:lang w:val="en-US" w:eastAsia="zh-Hans"/>
              </w:rPr>
              <w:t>的</w:t>
            </w:r>
            <w:r>
              <w:rPr>
                <w:rFonts w:hint="eastAsia" w:ascii="宋体" w:hAnsi="宋体" w:cs="宋体"/>
                <w:szCs w:val="21"/>
              </w:rPr>
              <w:t>得2分；</w:t>
            </w:r>
            <w:r>
              <w:rPr>
                <w:rFonts w:hint="eastAsia" w:ascii="宋体" w:hAnsi="宋体" w:cs="宋体"/>
                <w:szCs w:val="21"/>
                <w:lang w:val="en-US" w:eastAsia="zh-Hans"/>
              </w:rPr>
              <w:t>其余不得分</w:t>
            </w:r>
            <w:r>
              <w:rPr>
                <w:rFonts w:hint="default" w:ascii="宋体" w:hAnsi="宋体" w:cs="宋体"/>
                <w:szCs w:val="21"/>
                <w:lang w:eastAsia="zh-Hans"/>
              </w:rPr>
              <w:t>，</w:t>
            </w:r>
            <w:r>
              <w:rPr>
                <w:rFonts w:hint="eastAsia" w:ascii="宋体" w:hAnsi="宋体" w:cs="宋体"/>
                <w:szCs w:val="21"/>
              </w:rPr>
              <w:t>本项满分1</w:t>
            </w:r>
            <w:r>
              <w:rPr>
                <w:rFonts w:hint="default" w:ascii="宋体" w:hAnsi="宋体" w:cs="宋体"/>
                <w:szCs w:val="21"/>
              </w:rPr>
              <w:t>2</w:t>
            </w:r>
            <w:r>
              <w:rPr>
                <w:rFonts w:hint="eastAsia" w:ascii="宋体" w:hAnsi="宋体" w:cs="宋体"/>
                <w:szCs w:val="21"/>
              </w:rPr>
              <w:t>分。</w:t>
            </w:r>
          </w:p>
          <w:p>
            <w:pPr>
              <w:spacing w:line="360" w:lineRule="auto"/>
              <w:rPr>
                <w:rFonts w:hint="eastAsia" w:ascii="宋体" w:hAnsi="宋体" w:cs="宋体"/>
                <w:szCs w:val="21"/>
              </w:rPr>
            </w:pPr>
            <w:r>
              <w:rPr>
                <w:rFonts w:hint="eastAsia" w:hAnsi="宋体" w:cs="宋体"/>
                <w:kern w:val="2"/>
                <w:sz w:val="21"/>
                <w:szCs w:val="21"/>
              </w:rPr>
              <w:t>3、团队成员中（不含项目负责人），</w:t>
            </w:r>
            <w:r>
              <w:rPr>
                <w:rFonts w:hint="eastAsia" w:hAnsi="宋体" w:cs="宋体"/>
                <w:kern w:val="2"/>
                <w:sz w:val="21"/>
                <w:szCs w:val="21"/>
                <w:lang w:val="en-US" w:eastAsia="zh-Hans"/>
              </w:rPr>
              <w:t>每有一个</w:t>
            </w:r>
            <w:r>
              <w:rPr>
                <w:rFonts w:hint="eastAsia" w:hAnsi="宋体" w:cs="宋体"/>
                <w:kern w:val="2"/>
                <w:sz w:val="21"/>
                <w:szCs w:val="21"/>
              </w:rPr>
              <w:t>注册咨询师得2分</w:t>
            </w:r>
            <w:r>
              <w:rPr>
                <w:rFonts w:hint="default" w:hAnsi="宋体" w:cs="宋体"/>
                <w:kern w:val="2"/>
                <w:sz w:val="21"/>
                <w:szCs w:val="21"/>
                <w:lang w:eastAsia="zh-Hans"/>
              </w:rPr>
              <w:t>，</w:t>
            </w:r>
            <w:r>
              <w:rPr>
                <w:rFonts w:hint="eastAsia" w:hAnsi="宋体" w:cs="宋体"/>
                <w:kern w:val="2"/>
                <w:sz w:val="21"/>
                <w:szCs w:val="21"/>
              </w:rPr>
              <w:t>满分</w:t>
            </w:r>
            <w:r>
              <w:rPr>
                <w:rFonts w:hint="eastAsia" w:hAnsi="宋体" w:cs="宋体"/>
                <w:kern w:val="2"/>
                <w:sz w:val="21"/>
                <w:szCs w:val="21"/>
                <w:lang w:val="en-US" w:eastAsia="zh-CN"/>
              </w:rPr>
              <w:t>10</w:t>
            </w:r>
            <w:r>
              <w:rPr>
                <w:rFonts w:hint="eastAsia" w:hAnsi="宋体" w:cs="宋体"/>
                <w:kern w:val="2"/>
                <w:sz w:val="21"/>
                <w:szCs w:val="21"/>
              </w:rPr>
              <w:t>分。</w:t>
            </w:r>
          </w:p>
        </w:tc>
        <w:tc>
          <w:tcPr>
            <w:tcW w:w="2632" w:type="dxa"/>
            <w:noWrap w:val="0"/>
            <w:vAlign w:val="center"/>
          </w:tcPr>
          <w:p>
            <w:pPr>
              <w:spacing w:line="360" w:lineRule="auto"/>
              <w:rPr>
                <w:rFonts w:hint="eastAsia" w:ascii="宋体" w:hAnsi="宋体" w:cs="宋体"/>
                <w:szCs w:val="21"/>
              </w:rPr>
            </w:pPr>
            <w:r>
              <w:rPr>
                <w:rFonts w:hint="eastAsia" w:ascii="宋体" w:hAnsi="宋体" w:cs="宋体"/>
                <w:szCs w:val="21"/>
              </w:rPr>
              <w:t>1、人员不重复计分，提供在职证明；</w:t>
            </w:r>
          </w:p>
          <w:p>
            <w:pPr>
              <w:spacing w:line="360" w:lineRule="auto"/>
              <w:ind w:left="-38"/>
              <w:rPr>
                <w:rFonts w:hint="eastAsia" w:ascii="宋体" w:hAnsi="宋体" w:cs="宋体"/>
                <w:szCs w:val="21"/>
              </w:rPr>
            </w:pPr>
            <w:r>
              <w:rPr>
                <w:rFonts w:hint="eastAsia" w:ascii="宋体" w:hAnsi="宋体" w:cs="宋体"/>
                <w:szCs w:val="21"/>
              </w:rPr>
              <w:t>2、提供项目负责人及团队成员职称证书复印件加盖公章。</w:t>
            </w:r>
          </w:p>
        </w:tc>
        <w:tc>
          <w:tcPr>
            <w:tcW w:w="734" w:type="dxa"/>
            <w:noWrap w:val="0"/>
            <w:vAlign w:val="center"/>
          </w:tcPr>
          <w:p>
            <w:pPr>
              <w:spacing w:line="360" w:lineRule="auto"/>
              <w:ind w:left="-38"/>
              <w:rPr>
                <w:rFonts w:hint="eastAsia" w:ascii="宋体" w:hAnsi="宋体" w:cs="宋体"/>
                <w:szCs w:val="21"/>
                <w:lang w:val="en-US" w:eastAsia="zh-Hans"/>
              </w:rPr>
            </w:pPr>
            <w:r>
              <w:rPr>
                <w:rFonts w:hint="eastAsia" w:ascii="宋体" w:hAnsi="宋体" w:cs="宋体"/>
                <w:szCs w:val="21"/>
                <w:lang w:val="en-US" w:eastAsia="zh-Han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9" w:type="dxa"/>
            <w:noWrap w:val="0"/>
            <w:vAlign w:val="center"/>
          </w:tcPr>
          <w:p>
            <w:pPr>
              <w:widowControl/>
              <w:adjustRightInd w:val="0"/>
              <w:snapToGrid w:val="0"/>
              <w:spacing w:line="360" w:lineRule="auto"/>
              <w:jc w:val="center"/>
              <w:rPr>
                <w:rFonts w:hint="eastAsia" w:ascii="宋体" w:hAnsi="宋体" w:cs="宋体"/>
                <w:color w:val="000000"/>
                <w:szCs w:val="21"/>
              </w:rPr>
            </w:pPr>
            <w:r>
              <w:rPr>
                <w:rFonts w:hint="default" w:ascii="宋体" w:hAnsi="宋体" w:cs="宋体"/>
                <w:color w:val="000000"/>
                <w:szCs w:val="21"/>
              </w:rPr>
              <w:t>4</w:t>
            </w:r>
          </w:p>
        </w:tc>
        <w:tc>
          <w:tcPr>
            <w:tcW w:w="1079" w:type="dxa"/>
            <w:noWrap w:val="0"/>
            <w:vAlign w:val="center"/>
          </w:tcPr>
          <w:p>
            <w:pPr>
              <w:widowControl/>
              <w:adjustRightInd w:val="0"/>
              <w:snapToGrid w:val="0"/>
              <w:spacing w:line="360" w:lineRule="auto"/>
              <w:jc w:val="center"/>
              <w:rPr>
                <w:rFonts w:hint="eastAsia" w:ascii="宋体" w:hAnsi="宋体" w:eastAsia="Times New Roman" w:cs="宋体"/>
                <w:b w:val="0"/>
                <w:bCs w:val="0"/>
                <w:szCs w:val="21"/>
                <w:lang w:val="en-US" w:eastAsia="zh-Hans"/>
              </w:rPr>
            </w:pPr>
            <w:r>
              <w:rPr>
                <w:rFonts w:hint="eastAsia" w:ascii="宋体" w:hAnsi="宋体" w:cs="宋体"/>
                <w:b w:val="0"/>
                <w:bCs w:val="0"/>
                <w:szCs w:val="21"/>
                <w:lang w:val="en-US" w:eastAsia="zh-Hans"/>
              </w:rPr>
              <w:t>履约能力</w:t>
            </w:r>
            <w:r>
              <w:rPr>
                <w:rFonts w:hint="default" w:ascii="宋体" w:hAnsi="宋体" w:cs="宋体"/>
                <w:b w:val="0"/>
                <w:bCs w:val="0"/>
                <w:szCs w:val="21"/>
                <w:lang w:eastAsia="zh-Hans"/>
              </w:rPr>
              <w:t>18%</w:t>
            </w:r>
          </w:p>
        </w:tc>
        <w:tc>
          <w:tcPr>
            <w:tcW w:w="539" w:type="dxa"/>
            <w:noWrap w:val="0"/>
            <w:vAlign w:val="center"/>
          </w:tcPr>
          <w:p>
            <w:pPr>
              <w:spacing w:line="360" w:lineRule="auto"/>
              <w:jc w:val="center"/>
              <w:rPr>
                <w:rFonts w:hint="eastAsia" w:ascii="宋体" w:hAnsi="宋体" w:cs="宋体"/>
                <w:b w:val="0"/>
                <w:bCs w:val="0"/>
                <w:szCs w:val="21"/>
              </w:rPr>
            </w:pPr>
            <w:r>
              <w:rPr>
                <w:rFonts w:hint="default" w:ascii="宋体" w:hAnsi="宋体" w:cs="宋体"/>
                <w:b w:val="0"/>
                <w:bCs w:val="0"/>
                <w:szCs w:val="21"/>
              </w:rPr>
              <w:t>1</w:t>
            </w:r>
            <w:r>
              <w:rPr>
                <w:rFonts w:hint="eastAsia" w:ascii="宋体" w:hAnsi="宋体" w:cs="宋体"/>
                <w:b w:val="0"/>
                <w:bCs w:val="0"/>
                <w:szCs w:val="21"/>
                <w:lang w:val="en-US" w:eastAsia="zh-CN"/>
              </w:rPr>
              <w:t>8</w:t>
            </w:r>
            <w:r>
              <w:rPr>
                <w:rFonts w:hint="eastAsia" w:ascii="宋体" w:hAnsi="宋体" w:cs="宋体"/>
                <w:b w:val="0"/>
                <w:bCs w:val="0"/>
                <w:szCs w:val="21"/>
                <w:lang w:val="en-US" w:eastAsia="zh-Hans"/>
              </w:rPr>
              <w:t>分</w:t>
            </w:r>
          </w:p>
        </w:tc>
        <w:tc>
          <w:tcPr>
            <w:tcW w:w="3767" w:type="dxa"/>
            <w:noWrap w:val="0"/>
            <w:vAlign w:val="center"/>
          </w:tcPr>
          <w:p>
            <w:pPr>
              <w:spacing w:line="360" w:lineRule="auto"/>
              <w:ind w:firstLine="28"/>
              <w:jc w:val="left"/>
              <w:rPr>
                <w:rFonts w:hint="eastAsia" w:ascii="宋体" w:hAnsi="宋体" w:cs="宋体"/>
                <w:b w:val="0"/>
                <w:bCs w:val="0"/>
                <w:szCs w:val="21"/>
              </w:rPr>
            </w:pPr>
            <w:r>
              <w:rPr>
                <w:rFonts w:hint="eastAsia" w:ascii="宋体" w:hAnsi="宋体" w:cs="宋体"/>
                <w:b w:val="0"/>
                <w:bCs w:val="0"/>
                <w:szCs w:val="21"/>
                <w:lang w:val="en-US" w:eastAsia="zh-Hans"/>
              </w:rPr>
              <w:t>供应商近五年</w:t>
            </w:r>
            <w:r>
              <w:rPr>
                <w:rFonts w:hint="eastAsia" w:ascii="宋体" w:hAnsi="宋体" w:cs="宋体"/>
                <w:b w:val="0"/>
                <w:bCs w:val="0"/>
                <w:szCs w:val="21"/>
                <w:lang w:eastAsia="zh-Hans"/>
              </w:rPr>
              <w:t>（</w:t>
            </w:r>
            <w:r>
              <w:rPr>
                <w:rFonts w:hint="eastAsia" w:ascii="宋体" w:hAnsi="宋体" w:cs="宋体"/>
                <w:b w:val="0"/>
                <w:bCs w:val="0"/>
                <w:szCs w:val="21"/>
                <w:lang w:val="en-US" w:eastAsia="zh-Hans"/>
              </w:rPr>
              <w:t>从</w:t>
            </w:r>
            <w:r>
              <w:rPr>
                <w:rFonts w:hint="eastAsia" w:ascii="宋体" w:hAnsi="宋体" w:cs="宋体"/>
                <w:b w:val="0"/>
                <w:bCs w:val="0"/>
                <w:szCs w:val="21"/>
                <w:lang w:eastAsia="zh-Hans"/>
              </w:rPr>
              <w:t>2016</w:t>
            </w:r>
            <w:r>
              <w:rPr>
                <w:rFonts w:hint="eastAsia" w:ascii="宋体" w:hAnsi="宋体" w:cs="宋体"/>
                <w:b w:val="0"/>
                <w:bCs w:val="0"/>
                <w:szCs w:val="21"/>
                <w:lang w:val="en-US" w:eastAsia="zh-Hans"/>
              </w:rPr>
              <w:t>年</w:t>
            </w:r>
            <w:r>
              <w:rPr>
                <w:rFonts w:hint="eastAsia" w:ascii="宋体" w:hAnsi="宋体" w:cs="宋体"/>
                <w:b w:val="0"/>
                <w:bCs w:val="0"/>
                <w:szCs w:val="21"/>
                <w:lang w:eastAsia="zh-Hans"/>
              </w:rPr>
              <w:t>1</w:t>
            </w:r>
            <w:r>
              <w:rPr>
                <w:rFonts w:hint="eastAsia" w:ascii="宋体" w:hAnsi="宋体" w:cs="宋体"/>
                <w:b w:val="0"/>
                <w:bCs w:val="0"/>
                <w:szCs w:val="21"/>
                <w:lang w:val="en-US" w:eastAsia="zh-Hans"/>
              </w:rPr>
              <w:t>月</w:t>
            </w:r>
            <w:r>
              <w:rPr>
                <w:rFonts w:hint="eastAsia" w:ascii="宋体" w:hAnsi="宋体" w:cs="宋体"/>
                <w:b w:val="0"/>
                <w:bCs w:val="0"/>
                <w:szCs w:val="21"/>
                <w:lang w:eastAsia="zh-Hans"/>
              </w:rPr>
              <w:t>1</w:t>
            </w:r>
            <w:r>
              <w:rPr>
                <w:rFonts w:hint="eastAsia" w:ascii="宋体" w:hAnsi="宋体" w:cs="宋体"/>
                <w:b w:val="0"/>
                <w:bCs w:val="0"/>
                <w:szCs w:val="21"/>
                <w:lang w:val="en-US" w:eastAsia="zh-Hans"/>
              </w:rPr>
              <w:t>日至今</w:t>
            </w:r>
            <w:r>
              <w:rPr>
                <w:rFonts w:hint="eastAsia" w:ascii="宋体" w:hAnsi="宋体" w:cs="宋体"/>
                <w:b w:val="0"/>
                <w:bCs w:val="0"/>
                <w:szCs w:val="21"/>
                <w:lang w:eastAsia="zh-Hans"/>
              </w:rPr>
              <w:t>）</w:t>
            </w:r>
            <w:r>
              <w:rPr>
                <w:rFonts w:hint="eastAsia" w:ascii="宋体" w:hAnsi="宋体" w:cs="宋体"/>
                <w:b w:val="0"/>
                <w:bCs w:val="0"/>
                <w:szCs w:val="21"/>
                <w:lang w:val="en-US" w:eastAsia="zh-Hans"/>
              </w:rPr>
              <w:t>每具有一个类似业绩</w:t>
            </w:r>
            <w:r>
              <w:rPr>
                <w:rFonts w:hint="eastAsia" w:ascii="宋体" w:hAnsi="宋体" w:cs="宋体"/>
                <w:b w:val="0"/>
                <w:bCs w:val="0"/>
                <w:szCs w:val="21"/>
                <w:highlight w:val="none"/>
                <w:lang w:val="en-US" w:eastAsia="zh-Hans"/>
              </w:rPr>
              <w:t>得</w:t>
            </w:r>
            <w:r>
              <w:rPr>
                <w:rFonts w:hint="eastAsia" w:ascii="宋体" w:hAnsi="宋体" w:cs="宋体"/>
                <w:b w:val="0"/>
                <w:bCs w:val="0"/>
                <w:szCs w:val="21"/>
                <w:highlight w:val="none"/>
                <w:lang w:eastAsia="zh-Hans"/>
              </w:rPr>
              <w:t>3</w:t>
            </w:r>
            <w:r>
              <w:rPr>
                <w:rFonts w:hint="eastAsia" w:ascii="宋体" w:hAnsi="宋体" w:cs="宋体"/>
                <w:b w:val="0"/>
                <w:bCs w:val="0"/>
                <w:szCs w:val="21"/>
                <w:highlight w:val="none"/>
                <w:lang w:val="en-US" w:eastAsia="zh-Hans"/>
              </w:rPr>
              <w:t>分</w:t>
            </w:r>
            <w:r>
              <w:rPr>
                <w:rFonts w:hint="eastAsia" w:ascii="宋体" w:hAnsi="宋体" w:cs="宋体"/>
                <w:b w:val="0"/>
                <w:bCs w:val="0"/>
                <w:szCs w:val="21"/>
                <w:highlight w:val="none"/>
                <w:lang w:eastAsia="zh-Hans"/>
              </w:rPr>
              <w:t>，</w:t>
            </w:r>
            <w:r>
              <w:rPr>
                <w:rFonts w:hint="eastAsia" w:ascii="宋体" w:hAnsi="宋体" w:cs="宋体"/>
                <w:b w:val="0"/>
                <w:bCs w:val="0"/>
                <w:szCs w:val="21"/>
                <w:highlight w:val="none"/>
                <w:lang w:val="en-US" w:eastAsia="zh-Hans"/>
              </w:rPr>
              <w:t>本项满</w:t>
            </w:r>
            <w:r>
              <w:rPr>
                <w:rFonts w:hint="eastAsia" w:ascii="宋体" w:hAnsi="宋体" w:cs="宋体"/>
                <w:b w:val="0"/>
                <w:bCs w:val="0"/>
                <w:szCs w:val="21"/>
                <w:lang w:val="en-US" w:eastAsia="zh-Hans"/>
              </w:rPr>
              <w:t>分</w:t>
            </w:r>
            <w:r>
              <w:rPr>
                <w:rFonts w:hint="eastAsia" w:ascii="宋体" w:hAnsi="宋体" w:cs="宋体"/>
                <w:b w:val="0"/>
                <w:bCs w:val="0"/>
                <w:szCs w:val="21"/>
                <w:lang w:eastAsia="zh-Hans"/>
              </w:rPr>
              <w:t>1</w:t>
            </w:r>
            <w:r>
              <w:rPr>
                <w:rFonts w:hint="default" w:ascii="宋体" w:hAnsi="宋体" w:cs="宋体"/>
                <w:b w:val="0"/>
                <w:bCs w:val="0"/>
                <w:szCs w:val="21"/>
                <w:lang w:eastAsia="zh-Hans"/>
              </w:rPr>
              <w:t>8</w:t>
            </w:r>
            <w:r>
              <w:rPr>
                <w:rFonts w:hint="eastAsia" w:ascii="宋体" w:hAnsi="宋体" w:cs="宋体"/>
                <w:b w:val="0"/>
                <w:bCs w:val="0"/>
                <w:szCs w:val="21"/>
                <w:lang w:val="en-US" w:eastAsia="zh-Hans"/>
              </w:rPr>
              <w:t>分</w:t>
            </w:r>
            <w:r>
              <w:rPr>
                <w:rFonts w:hint="eastAsia" w:ascii="宋体" w:hAnsi="宋体" w:cs="宋体"/>
                <w:b w:val="0"/>
                <w:bCs w:val="0"/>
                <w:szCs w:val="21"/>
                <w:lang w:eastAsia="zh-Hans"/>
              </w:rPr>
              <w:t>。</w:t>
            </w:r>
          </w:p>
        </w:tc>
        <w:tc>
          <w:tcPr>
            <w:tcW w:w="2632" w:type="dxa"/>
            <w:noWrap w:val="0"/>
            <w:vAlign w:val="center"/>
          </w:tcPr>
          <w:p>
            <w:pPr>
              <w:widowControl/>
              <w:numPr>
                <w:ilvl w:val="0"/>
                <w:numId w:val="1"/>
              </w:numPr>
              <w:adjustRightInd w:val="0"/>
              <w:snapToGrid w:val="0"/>
              <w:spacing w:line="360" w:lineRule="auto"/>
              <w:rPr>
                <w:rFonts w:hint="eastAsia" w:ascii="宋体" w:hAnsi="宋体" w:cs="宋体"/>
                <w:b w:val="0"/>
                <w:bCs w:val="0"/>
                <w:szCs w:val="21"/>
              </w:rPr>
            </w:pPr>
            <w:r>
              <w:rPr>
                <w:rFonts w:hint="eastAsia" w:ascii="宋体" w:hAnsi="宋体" w:cs="宋体"/>
                <w:b w:val="0"/>
                <w:bCs w:val="0"/>
                <w:szCs w:val="21"/>
              </w:rPr>
              <w:t>须提供合同</w:t>
            </w:r>
            <w:r>
              <w:rPr>
                <w:rFonts w:hint="eastAsia" w:ascii="宋体" w:hAnsi="宋体" w:cs="宋体"/>
                <w:b w:val="0"/>
                <w:bCs w:val="0"/>
                <w:szCs w:val="21"/>
                <w:lang w:val="en-US" w:eastAsia="zh-Hans"/>
              </w:rPr>
              <w:t>或中标</w:t>
            </w:r>
            <w:r>
              <w:rPr>
                <w:rFonts w:hint="default" w:ascii="宋体" w:hAnsi="宋体" w:cs="宋体"/>
                <w:b w:val="0"/>
                <w:bCs w:val="0"/>
                <w:szCs w:val="21"/>
                <w:lang w:eastAsia="zh-Hans"/>
              </w:rPr>
              <w:t>（</w:t>
            </w:r>
            <w:r>
              <w:rPr>
                <w:rFonts w:hint="eastAsia" w:ascii="宋体" w:hAnsi="宋体" w:cs="宋体"/>
                <w:b w:val="0"/>
                <w:bCs w:val="0"/>
                <w:szCs w:val="21"/>
                <w:lang w:val="en-US" w:eastAsia="zh-Hans"/>
              </w:rPr>
              <w:t>成交</w:t>
            </w:r>
            <w:r>
              <w:rPr>
                <w:rFonts w:hint="default" w:ascii="宋体" w:hAnsi="宋体" w:cs="宋体"/>
                <w:b w:val="0"/>
                <w:bCs w:val="0"/>
                <w:szCs w:val="21"/>
                <w:lang w:eastAsia="zh-Hans"/>
              </w:rPr>
              <w:t>）</w:t>
            </w:r>
            <w:r>
              <w:rPr>
                <w:rFonts w:hint="eastAsia" w:ascii="宋体" w:hAnsi="宋体" w:cs="宋体"/>
                <w:b w:val="0"/>
                <w:bCs w:val="0"/>
                <w:szCs w:val="21"/>
                <w:lang w:val="en-US" w:eastAsia="zh-Hans"/>
              </w:rPr>
              <w:t>通知书</w:t>
            </w:r>
            <w:r>
              <w:rPr>
                <w:rFonts w:hint="eastAsia" w:ascii="宋体" w:hAnsi="宋体" w:cs="宋体"/>
                <w:b w:val="0"/>
                <w:bCs w:val="0"/>
                <w:szCs w:val="21"/>
              </w:rPr>
              <w:t>复印件并加盖公章</w:t>
            </w:r>
          </w:p>
          <w:p>
            <w:pPr>
              <w:widowControl/>
              <w:numPr>
                <w:ilvl w:val="0"/>
                <w:numId w:val="1"/>
              </w:numPr>
              <w:adjustRightInd w:val="0"/>
              <w:snapToGrid w:val="0"/>
              <w:spacing w:line="360" w:lineRule="auto"/>
              <w:rPr>
                <w:rFonts w:hint="eastAsia" w:ascii="宋体" w:hAnsi="宋体" w:cs="宋体"/>
                <w:b w:val="0"/>
                <w:bCs w:val="0"/>
                <w:szCs w:val="21"/>
              </w:rPr>
            </w:pPr>
            <w:r>
              <w:rPr>
                <w:rFonts w:hint="eastAsia" w:ascii="宋体" w:hAnsi="宋体" w:cs="宋体"/>
                <w:b w:val="0"/>
                <w:bCs w:val="0"/>
                <w:szCs w:val="21"/>
              </w:rPr>
              <w:t>同一业绩不重复计分。</w:t>
            </w:r>
          </w:p>
        </w:tc>
        <w:tc>
          <w:tcPr>
            <w:tcW w:w="734" w:type="dxa"/>
            <w:noWrap w:val="0"/>
            <w:vAlign w:val="center"/>
          </w:tcPr>
          <w:p>
            <w:pPr>
              <w:widowControl/>
              <w:adjustRightInd w:val="0"/>
              <w:snapToGrid w:val="0"/>
              <w:spacing w:line="360" w:lineRule="auto"/>
              <w:rPr>
                <w:rFonts w:hint="eastAsia" w:ascii="宋体" w:hAnsi="宋体" w:eastAsia="Times New Roman" w:cs="宋体"/>
                <w:szCs w:val="21"/>
                <w:lang w:val="en-US" w:eastAsia="zh-Hans"/>
              </w:rPr>
            </w:pPr>
            <w:r>
              <w:rPr>
                <w:rFonts w:hint="eastAsia" w:ascii="宋体" w:hAnsi="宋体" w:cs="宋体"/>
                <w:szCs w:val="21"/>
                <w:lang w:val="en-US" w:eastAsia="zh-Han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9" w:type="dxa"/>
            <w:noWrap w:val="0"/>
            <w:vAlign w:val="center"/>
          </w:tcPr>
          <w:p>
            <w:pPr>
              <w:widowControl/>
              <w:adjustRightInd w:val="0"/>
              <w:snapToGrid w:val="0"/>
              <w:spacing w:line="360" w:lineRule="auto"/>
              <w:jc w:val="center"/>
              <w:rPr>
                <w:rFonts w:hint="eastAsia" w:ascii="宋体" w:hAnsi="宋体" w:cs="宋体"/>
                <w:szCs w:val="21"/>
              </w:rPr>
            </w:pPr>
            <w:r>
              <w:rPr>
                <w:rFonts w:hint="default" w:ascii="宋体" w:hAnsi="宋体" w:cs="宋体"/>
                <w:color w:val="000000"/>
                <w:szCs w:val="21"/>
              </w:rPr>
              <w:t>5</w:t>
            </w:r>
          </w:p>
        </w:tc>
        <w:tc>
          <w:tcPr>
            <w:tcW w:w="1079" w:type="dxa"/>
            <w:noWrap w:val="0"/>
            <w:vAlign w:val="center"/>
          </w:tcPr>
          <w:p>
            <w:pPr>
              <w:widowControl/>
              <w:adjustRightInd w:val="0"/>
              <w:snapToGrid w:val="0"/>
              <w:spacing w:line="360" w:lineRule="auto"/>
              <w:jc w:val="center"/>
              <w:rPr>
                <w:rFonts w:hint="eastAsia" w:ascii="宋体" w:hAnsi="宋体" w:cs="宋体"/>
                <w:szCs w:val="21"/>
              </w:rPr>
            </w:pPr>
            <w:r>
              <w:rPr>
                <w:rFonts w:hint="eastAsia" w:ascii="宋体" w:hAnsi="宋体" w:cs="宋体"/>
                <w:color w:val="000000"/>
                <w:szCs w:val="21"/>
              </w:rPr>
              <w:t>进度安排</w:t>
            </w:r>
            <w:r>
              <w:rPr>
                <w:rFonts w:hint="default" w:ascii="宋体" w:hAnsi="宋体" w:cs="宋体"/>
                <w:color w:val="000000"/>
                <w:szCs w:val="21"/>
              </w:rPr>
              <w:t>8</w:t>
            </w:r>
            <w:r>
              <w:rPr>
                <w:rFonts w:hint="eastAsia" w:ascii="宋体" w:hAnsi="宋体" w:cs="宋体"/>
                <w:color w:val="000000"/>
                <w:szCs w:val="21"/>
              </w:rPr>
              <w:t>%</w:t>
            </w:r>
          </w:p>
        </w:tc>
        <w:tc>
          <w:tcPr>
            <w:tcW w:w="539" w:type="dxa"/>
            <w:noWrap w:val="0"/>
            <w:vAlign w:val="center"/>
          </w:tcPr>
          <w:p>
            <w:pPr>
              <w:spacing w:line="360" w:lineRule="auto"/>
              <w:jc w:val="center"/>
              <w:rPr>
                <w:rFonts w:hint="eastAsia" w:ascii="宋体" w:hAnsi="宋体" w:cs="宋体"/>
                <w:szCs w:val="21"/>
              </w:rPr>
            </w:pPr>
            <w:r>
              <w:rPr>
                <w:rFonts w:hint="default" w:ascii="宋体" w:hAnsi="宋体" w:cs="宋体"/>
                <w:color w:val="000000"/>
                <w:szCs w:val="21"/>
              </w:rPr>
              <w:t>8</w:t>
            </w:r>
            <w:r>
              <w:rPr>
                <w:rFonts w:hint="eastAsia" w:ascii="宋体" w:hAnsi="宋体" w:cs="宋体"/>
                <w:color w:val="000000"/>
                <w:szCs w:val="21"/>
              </w:rPr>
              <w:t>分</w:t>
            </w:r>
          </w:p>
        </w:tc>
        <w:tc>
          <w:tcPr>
            <w:tcW w:w="3767" w:type="dxa"/>
            <w:noWrap w:val="0"/>
            <w:vAlign w:val="center"/>
          </w:tcPr>
          <w:p>
            <w:pPr>
              <w:spacing w:line="360" w:lineRule="auto"/>
              <w:ind w:firstLine="28"/>
              <w:jc w:val="left"/>
              <w:rPr>
                <w:rFonts w:hint="eastAsia" w:ascii="宋体" w:hAnsi="宋体" w:cs="宋体"/>
                <w:b/>
                <w:bCs/>
                <w:szCs w:val="21"/>
              </w:rPr>
            </w:pPr>
            <w:r>
              <w:rPr>
                <w:rFonts w:hint="eastAsia" w:ascii="宋体" w:hAnsi="宋体" w:cs="宋体"/>
                <w:szCs w:val="21"/>
              </w:rPr>
              <w:t>根据供应商提供的设计进度计划及控制措施（包括：①各个节点详细工作安排；②工期计划目标；③具体工期进度保障措施；④工期进度安排等）进行评分，符合采购文件要求的得8分；有一项未提供的扣2分；方案存在缺陷或漏洞的，每有一项扣1分，扣完为止。</w:t>
            </w:r>
          </w:p>
        </w:tc>
        <w:tc>
          <w:tcPr>
            <w:tcW w:w="2632" w:type="dxa"/>
            <w:noWrap w:val="0"/>
            <w:vAlign w:val="center"/>
          </w:tcPr>
          <w:p>
            <w:pPr>
              <w:widowControl/>
              <w:adjustRightInd w:val="0"/>
              <w:snapToGrid w:val="0"/>
              <w:spacing w:line="360" w:lineRule="auto"/>
              <w:rPr>
                <w:rFonts w:hint="eastAsia" w:ascii="宋体" w:hAnsi="宋体" w:cs="宋体"/>
                <w:szCs w:val="21"/>
              </w:rPr>
            </w:pPr>
          </w:p>
        </w:tc>
        <w:tc>
          <w:tcPr>
            <w:tcW w:w="734"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9" w:type="dxa"/>
            <w:noWrap w:val="0"/>
            <w:vAlign w:val="center"/>
          </w:tcPr>
          <w:p>
            <w:pPr>
              <w:adjustRightInd w:val="0"/>
              <w:snapToGrid w:val="0"/>
              <w:spacing w:line="360" w:lineRule="auto"/>
              <w:jc w:val="center"/>
              <w:rPr>
                <w:rFonts w:hint="eastAsia" w:ascii="宋体" w:hAnsi="宋体" w:cs="宋体"/>
                <w:color w:val="000000"/>
                <w:szCs w:val="21"/>
              </w:rPr>
            </w:pPr>
            <w:r>
              <w:rPr>
                <w:rFonts w:hint="default" w:ascii="宋体" w:hAnsi="宋体" w:cs="宋体"/>
                <w:color w:val="000000"/>
                <w:szCs w:val="21"/>
              </w:rPr>
              <w:t>6</w:t>
            </w:r>
          </w:p>
        </w:tc>
        <w:tc>
          <w:tcPr>
            <w:tcW w:w="1079" w:type="dxa"/>
            <w:noWrap w:val="0"/>
            <w:vAlign w:val="center"/>
          </w:tcPr>
          <w:p>
            <w:pPr>
              <w:adjustRightInd w:val="0"/>
              <w:snapToGrid w:val="0"/>
              <w:spacing w:line="360" w:lineRule="auto"/>
              <w:jc w:val="center"/>
              <w:rPr>
                <w:rFonts w:hint="eastAsia" w:ascii="宋体" w:hAnsi="宋体" w:cs="宋体"/>
                <w:sz w:val="22"/>
                <w:szCs w:val="22"/>
              </w:rPr>
            </w:pPr>
            <w:r>
              <w:rPr>
                <w:rFonts w:hint="eastAsia" w:ascii="宋体" w:hAnsi="宋体" w:cs="宋体"/>
                <w:sz w:val="22"/>
                <w:szCs w:val="22"/>
              </w:rPr>
              <w:t>工作方案25%</w:t>
            </w:r>
          </w:p>
        </w:tc>
        <w:tc>
          <w:tcPr>
            <w:tcW w:w="539" w:type="dxa"/>
            <w:noWrap w:val="0"/>
            <w:vAlign w:val="center"/>
          </w:tcPr>
          <w:p>
            <w:pPr>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25分</w:t>
            </w:r>
          </w:p>
        </w:tc>
        <w:tc>
          <w:tcPr>
            <w:tcW w:w="3767" w:type="dxa"/>
            <w:noWrap w:val="0"/>
            <w:vAlign w:val="center"/>
          </w:tcPr>
          <w:p>
            <w:pPr>
              <w:widowControl/>
              <w:numPr>
                <w:ilvl w:val="0"/>
                <w:numId w:val="2"/>
              </w:numPr>
              <w:spacing w:line="360" w:lineRule="auto"/>
              <w:rPr>
                <w:rFonts w:hint="eastAsia" w:ascii="宋体" w:hAnsi="宋体" w:cs="宋体"/>
                <w:szCs w:val="21"/>
              </w:rPr>
            </w:pPr>
            <w:r>
              <w:rPr>
                <w:rFonts w:hint="eastAsia" w:ascii="宋体" w:hAnsi="宋体" w:cs="宋体"/>
                <w:szCs w:val="21"/>
              </w:rPr>
              <w:t>根据供应商提供的项目设计依据和技术路线（包括①对本项目的理解和认识；②目标定位；③对国家、省相关政策文件和指标的总体理解程度；④对龙泉驿区创建“国家生态文明示范县”提出有针对性规划思路、项目实施的方法和内容；⑤工作流程及方法等）进行评分：内容完整，符合采购文件要求的得5分；有一项未提供的扣1分；方案存在缺陷或漏洞的，每有一项扣0.5，扣完为止。</w:t>
            </w:r>
          </w:p>
          <w:p>
            <w:pPr>
              <w:widowControl/>
              <w:numPr>
                <w:ilvl w:val="0"/>
                <w:numId w:val="2"/>
              </w:numPr>
              <w:spacing w:line="360" w:lineRule="auto"/>
              <w:rPr>
                <w:rFonts w:hint="eastAsia" w:ascii="宋体" w:hAnsi="宋体" w:cs="宋体"/>
                <w:szCs w:val="21"/>
              </w:rPr>
            </w:pPr>
            <w:r>
              <w:rPr>
                <w:rFonts w:hint="eastAsia" w:ascii="宋体" w:hAnsi="宋体" w:cs="宋体"/>
                <w:szCs w:val="21"/>
              </w:rPr>
              <w:t>根据供应商提供的人员配备计划及控制措施（包括①项目人员安排；②拟配备项目负责人及其他实施人员的基本情况；③项目实施人员的素质、经验；④提供具体的配备人员名单和职称；⑤人员职能分工；）进行评分：内容完整、表述清晰，符合采购文件要求的得5分；有一项未提供的扣1分；方案存在缺陷或漏洞的，每有一项扣0.5分，扣完为止。</w:t>
            </w:r>
          </w:p>
          <w:p>
            <w:pPr>
              <w:widowControl/>
              <w:numPr>
                <w:ilvl w:val="0"/>
                <w:numId w:val="2"/>
              </w:numPr>
              <w:spacing w:line="360" w:lineRule="auto"/>
              <w:rPr>
                <w:rFonts w:hint="eastAsia" w:ascii="宋体" w:hAnsi="宋体" w:cs="宋体"/>
                <w:szCs w:val="21"/>
              </w:rPr>
            </w:pPr>
            <w:r>
              <w:rPr>
                <w:rFonts w:hint="eastAsia" w:ascii="宋体" w:hAnsi="宋体" w:cs="宋体"/>
                <w:szCs w:val="21"/>
              </w:rPr>
              <w:t>根据供应商提供的设计成果质量保障方案（包括①提出的规划大纲详细全面，符合国家和四川省关于生态文明建设的要求；②工作方案框架；③成果后续合理化应用规划建议；④项目成果内容；）进行评分：内容完整、表述清晰，符合采购文件要求的得10分；有一项未提供的扣</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分；方案存在缺陷或漏洞的，每有一项扣1分，扣完为止。</w:t>
            </w:r>
          </w:p>
          <w:p>
            <w:pPr>
              <w:spacing w:line="360" w:lineRule="auto"/>
              <w:rPr>
                <w:rFonts w:hint="eastAsia" w:ascii="宋体" w:hAnsi="宋体" w:cs="宋体"/>
                <w:szCs w:val="21"/>
              </w:rPr>
            </w:pPr>
            <w:r>
              <w:rPr>
                <w:rFonts w:hint="eastAsia" w:ascii="宋体" w:hAnsi="宋体" w:cs="宋体"/>
                <w:szCs w:val="21"/>
              </w:rPr>
              <w:t>4、根据供应商提供的后续服务计划安排（包括①技术支持；②后续服务保障措施；③服务电话和服务人员名单；④服务响应时间；⑤后续服务内容与范围等）进行评分：内容完整、表述清晰，符合采购文件要求的得5分；有一项未提供的扣1分；方案存在缺陷或漏洞的，每有一项扣0.5分，扣完为止。</w:t>
            </w:r>
          </w:p>
        </w:tc>
        <w:tc>
          <w:tcPr>
            <w:tcW w:w="2632" w:type="dxa"/>
            <w:noWrap w:val="0"/>
            <w:vAlign w:val="center"/>
          </w:tcPr>
          <w:p>
            <w:pPr>
              <w:widowControl/>
              <w:adjustRightInd w:val="0"/>
              <w:snapToGrid w:val="0"/>
              <w:spacing w:line="360" w:lineRule="auto"/>
              <w:rPr>
                <w:rFonts w:hint="eastAsia" w:ascii="宋体" w:hAnsi="宋体" w:cs="宋体"/>
                <w:szCs w:val="21"/>
              </w:rPr>
            </w:pPr>
          </w:p>
        </w:tc>
        <w:tc>
          <w:tcPr>
            <w:tcW w:w="734" w:type="dxa"/>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szCs w:val="21"/>
              </w:rPr>
            </w:pPr>
            <w:r>
              <w:rPr>
                <w:rFonts w:hint="default" w:ascii="宋体" w:hAnsi="宋体" w:cs="宋体"/>
                <w:szCs w:val="21"/>
              </w:rPr>
              <w:t>7</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szCs w:val="21"/>
              </w:rPr>
            </w:pPr>
            <w:r>
              <w:rPr>
                <w:rFonts w:hint="eastAsia" w:ascii="宋体" w:hAnsi="宋体" w:cs="宋体"/>
                <w:szCs w:val="21"/>
              </w:rPr>
              <w:t>响应文件的规范性</w:t>
            </w:r>
            <w:r>
              <w:rPr>
                <w:rFonts w:hint="default" w:ascii="宋体" w:hAnsi="宋体" w:cs="宋体"/>
                <w:szCs w:val="21"/>
              </w:rPr>
              <w:t>1</w:t>
            </w:r>
            <w:r>
              <w:rPr>
                <w:rFonts w:hint="eastAsia" w:ascii="宋体" w:hAnsi="宋体" w:cs="宋体"/>
                <w:szCs w:val="21"/>
              </w:rPr>
              <w:t>%</w:t>
            </w:r>
          </w:p>
        </w:tc>
        <w:tc>
          <w:tcPr>
            <w:tcW w:w="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szCs w:val="21"/>
              </w:rPr>
            </w:pPr>
            <w:r>
              <w:rPr>
                <w:rFonts w:hint="default" w:ascii="宋体" w:hAnsi="宋体" w:cs="宋体"/>
                <w:szCs w:val="21"/>
              </w:rPr>
              <w:t>1</w:t>
            </w:r>
            <w:r>
              <w:rPr>
                <w:rFonts w:hint="eastAsia" w:ascii="宋体" w:hAnsi="宋体" w:cs="宋体"/>
                <w:szCs w:val="21"/>
              </w:rPr>
              <w:t>分</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rPr>
                <w:rFonts w:hint="eastAsia" w:ascii="宋体" w:hAnsi="宋体" w:cs="宋体"/>
                <w:szCs w:val="21"/>
              </w:rPr>
            </w:pPr>
            <w:r>
              <w:rPr>
                <w:rFonts w:hint="eastAsia" w:ascii="宋体" w:hAnsi="宋体" w:cs="宋体"/>
                <w:szCs w:val="21"/>
              </w:rPr>
              <w:t>响应文件制作规范，没有细微偏差情形的得</w:t>
            </w:r>
            <w:r>
              <w:rPr>
                <w:rFonts w:hint="default" w:ascii="宋体" w:hAnsi="宋体" w:cs="宋体"/>
                <w:szCs w:val="21"/>
              </w:rPr>
              <w:t>1</w:t>
            </w:r>
            <w:r>
              <w:rPr>
                <w:rFonts w:hint="eastAsia" w:ascii="宋体" w:hAnsi="宋体" w:cs="宋体"/>
                <w:szCs w:val="21"/>
              </w:rPr>
              <w:t>分；有一项细微偏差扣</w:t>
            </w:r>
            <w:r>
              <w:rPr>
                <w:rFonts w:hint="default" w:ascii="宋体" w:hAnsi="宋体" w:cs="宋体"/>
                <w:szCs w:val="21"/>
              </w:rPr>
              <w:t>0</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分，直至该项分值扣完为止。</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8"/>
              <w:rPr>
                <w:rFonts w:hint="eastAsia" w:ascii="宋体" w:hAnsi="宋体" w:cs="宋体"/>
                <w:szCs w:val="21"/>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8"/>
              <w:rPr>
                <w:rFonts w:hint="eastAsia" w:ascii="宋体" w:hAnsi="宋体" w:cs="宋体"/>
                <w:szCs w:val="21"/>
              </w:rPr>
            </w:pPr>
            <w:r>
              <w:rPr>
                <w:rFonts w:hint="eastAsia" w:ascii="宋体" w:hAnsi="宋体" w:cs="宋体"/>
                <w:szCs w:val="21"/>
              </w:rPr>
              <w:t>共同评分因素</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532557"/>
    <w:multiLevelType w:val="singleLevel"/>
    <w:tmpl w:val="EB532557"/>
    <w:lvl w:ilvl="0" w:tentative="0">
      <w:start w:val="1"/>
      <w:numFmt w:val="decimal"/>
      <w:suff w:val="nothing"/>
      <w:lvlText w:val="%1、"/>
      <w:lvlJc w:val="left"/>
    </w:lvl>
  </w:abstractNum>
  <w:abstractNum w:abstractNumId="1">
    <w:nsid w:val="0DC57238"/>
    <w:multiLevelType w:val="multilevel"/>
    <w:tmpl w:val="0DC572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3360E"/>
    <w:rsid w:val="130610C0"/>
    <w:rsid w:val="15E97172"/>
    <w:rsid w:val="1DB063B7"/>
    <w:rsid w:val="235A78DD"/>
    <w:rsid w:val="369D1962"/>
    <w:rsid w:val="3C512CA4"/>
    <w:rsid w:val="3CE06411"/>
    <w:rsid w:val="3DAF5B2B"/>
    <w:rsid w:val="40B35581"/>
    <w:rsid w:val="4163360E"/>
    <w:rsid w:val="565E18A5"/>
    <w:rsid w:val="618F37B8"/>
    <w:rsid w:val="65321DE2"/>
    <w:rsid w:val="66934A96"/>
    <w:rsid w:val="70ED7525"/>
    <w:rsid w:val="7FC2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宋体"/>
      <w:kern w:val="0"/>
      <w:sz w:val="34"/>
      <w:szCs w:val="20"/>
    </w:rPr>
  </w:style>
  <w:style w:type="paragraph" w:styleId="4">
    <w:name w:val="Normal Indent"/>
    <w:basedOn w:val="1"/>
    <w:qFormat/>
    <w:uiPriority w:val="0"/>
    <w:pPr>
      <w:ind w:firstLine="420" w:firstLineChars="200"/>
    </w:pPr>
    <w:rPr>
      <w:rFonts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2021-04-14T13:19:00Z</dcterms:created>
  <dc:creator>Administrator</dc:creator>
  <cp:lastModifiedBy>Administrator</cp:lastModifiedBy>
  <dcterms:modified xsi:type="dcterms:W3CDTF">2021-04-14T13:52:16Z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