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ascii="宋体" w:hAnsi="宋体" w:eastAsia="华文中宋" w:cs="宋体"/>
          <w:b/>
          <w:color w:val="auto"/>
          <w:highlight w:val="none"/>
        </w:rPr>
      </w:pPr>
      <w:r>
        <w:rPr>
          <w:rFonts w:hint="eastAsia" w:ascii="华文中宋" w:hAnsi="华文中宋" w:eastAsia="华文中宋"/>
          <w:color w:val="auto"/>
          <w:spacing w:val="20"/>
          <w:sz w:val="32"/>
          <w:szCs w:val="32"/>
          <w:highlight w:val="none"/>
        </w:rPr>
        <w:t xml:space="preserve">项目名称：成都市龙泉驿区水务局水务综合规划（2021-2035）修编服务采购项目 </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510112202200015</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pacing w:val="20"/>
          <w:sz w:val="32"/>
          <w:szCs w:val="32"/>
          <w:highlight w:val="none"/>
        </w:rPr>
        <w:t>成都市龙泉驿区水务局、</w:t>
      </w:r>
      <w:r>
        <w:rPr>
          <w:rFonts w:hint="eastAsia" w:ascii="华文中宋" w:hAnsi="华文中宋" w:eastAsia="华文中宋"/>
          <w:color w:val="auto"/>
          <w:sz w:val="32"/>
          <w:szCs w:val="32"/>
          <w:highlight w:val="none"/>
        </w:rPr>
        <w:t xml:space="preserve">四川世科工程咨询有限公司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jc w:val="center"/>
        <w:rPr>
          <w:rFonts w:ascii="宋体" w:hAnsi="宋体"/>
          <w:color w:val="auto"/>
          <w:sz w:val="32"/>
          <w:szCs w:val="32"/>
          <w:highlight w:val="none"/>
        </w:rPr>
      </w:pPr>
      <w:r>
        <w:rPr>
          <w:rFonts w:hint="eastAsia" w:ascii="宋体" w:hAnsi="宋体"/>
          <w:color w:val="auto"/>
          <w:sz w:val="32"/>
          <w:szCs w:val="32"/>
          <w:highlight w:val="none"/>
        </w:rPr>
        <w:t>二〇二二年</w:t>
      </w:r>
      <w:r>
        <w:rPr>
          <w:rFonts w:hint="eastAsia" w:ascii="宋体" w:hAnsi="宋体"/>
          <w:color w:val="auto"/>
          <w:sz w:val="32"/>
          <w:szCs w:val="32"/>
          <w:highlight w:val="none"/>
          <w:lang w:val="en-US" w:eastAsia="zh-CN"/>
        </w:rPr>
        <w:t>三</w:t>
      </w:r>
      <w:r>
        <w:rPr>
          <w:rFonts w:hint="eastAsia" w:ascii="宋体" w:hAnsi="宋体"/>
          <w:color w:val="auto"/>
          <w:sz w:val="32"/>
          <w:szCs w:val="32"/>
          <w:highlight w:val="none"/>
        </w:rPr>
        <w:t>月</w:t>
      </w:r>
    </w:p>
    <w:p>
      <w:pPr>
        <w:tabs>
          <w:tab w:val="center" w:pos="4153"/>
          <w:tab w:val="right" w:pos="8306"/>
        </w:tabs>
        <w:spacing w:line="360" w:lineRule="auto"/>
        <w:rPr>
          <w:rFonts w:ascii="华文中宋" w:hAnsi="华文中宋" w:eastAsia="华文中宋"/>
          <w:bCs/>
          <w:color w:val="auto"/>
          <w:sz w:val="32"/>
          <w:szCs w:val="32"/>
          <w:highlight w:val="none"/>
        </w:rPr>
      </w:pPr>
    </w:p>
    <w:p>
      <w:pPr>
        <w:rPr>
          <w:rFonts w:ascii="宋体" w:hAnsi="宋体"/>
          <w:b/>
          <w:bCs/>
          <w:color w:val="auto"/>
          <w:sz w:val="36"/>
          <w:szCs w:val="36"/>
          <w:highlight w:val="none"/>
        </w:rPr>
      </w:pPr>
    </w:p>
    <w:p>
      <w:pPr>
        <w:pStyle w:val="5"/>
        <w:numPr>
          <w:ilvl w:val="1"/>
          <w:numId w:val="0"/>
        </w:numPr>
        <w:tabs>
          <w:tab w:val="clear" w:pos="426"/>
        </w:tabs>
        <w:jc w:val="center"/>
        <w:rPr>
          <w:rFonts w:cs="宋体"/>
          <w:bCs w:val="0"/>
          <w:color w:val="auto"/>
          <w:sz w:val="36"/>
          <w:szCs w:val="36"/>
          <w:highlight w:val="none"/>
        </w:rPr>
      </w:pPr>
      <w:bookmarkStart w:id="0" w:name="_Toc14064"/>
      <w:bookmarkStart w:id="1" w:name="_Toc8149"/>
      <w:bookmarkStart w:id="2" w:name="_Toc30234"/>
      <w:bookmarkStart w:id="3" w:name="_Toc6222"/>
      <w:bookmarkStart w:id="4" w:name="_Toc19199"/>
      <w:bookmarkStart w:id="5" w:name="_Toc8202"/>
      <w:bookmarkStart w:id="6" w:name="_Toc31100"/>
      <w:bookmarkStart w:id="7" w:name="_Toc30374"/>
      <w:bookmarkStart w:id="8" w:name="_Toc25145"/>
      <w:bookmarkStart w:id="9" w:name="_Toc12592"/>
      <w:bookmarkStart w:id="10" w:name="_Toc14670"/>
      <w:bookmarkStart w:id="11" w:name="_Toc13967"/>
      <w:bookmarkStart w:id="12" w:name="_Toc26716"/>
      <w:bookmarkStart w:id="13" w:name="_Toc9012"/>
      <w:bookmarkStart w:id="14" w:name="_Toc15564"/>
      <w:bookmarkStart w:id="15" w:name="_Toc779"/>
      <w:bookmarkStart w:id="16" w:name="_Toc11345"/>
      <w:bookmarkStart w:id="17" w:name="_Toc16046"/>
      <w:bookmarkStart w:id="18" w:name="_Toc28972"/>
      <w:r>
        <w:rPr>
          <w:rFonts w:hint="eastAsia" w:cs="宋体"/>
          <w:bCs w:val="0"/>
          <w:color w:val="auto"/>
          <w:sz w:val="36"/>
          <w:szCs w:val="36"/>
          <w:highlight w:val="none"/>
        </w:rPr>
        <w:t>“政采贷”业务介绍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5"/>
        <w:numPr>
          <w:ilvl w:val="1"/>
          <w:numId w:val="0"/>
        </w:numPr>
        <w:tabs>
          <w:tab w:val="clear" w:pos="426"/>
        </w:tabs>
        <w:ind w:firstLine="480" w:firstLineChars="200"/>
        <w:rPr>
          <w:rFonts w:cs="宋体"/>
          <w:b w:val="0"/>
          <w:bCs w:val="0"/>
          <w:color w:val="auto"/>
          <w:sz w:val="24"/>
          <w:szCs w:val="24"/>
          <w:highlight w:val="none"/>
        </w:rPr>
      </w:pPr>
      <w:bookmarkStart w:id="19" w:name="_Toc15063"/>
      <w:bookmarkStart w:id="20" w:name="_Toc7667"/>
      <w:bookmarkStart w:id="21" w:name="_Toc12919"/>
      <w:bookmarkStart w:id="22" w:name="_Toc2618"/>
      <w:bookmarkStart w:id="23" w:name="_Toc13947"/>
      <w:bookmarkStart w:id="24" w:name="_Toc8671"/>
      <w:bookmarkStart w:id="25" w:name="_Toc24259"/>
      <w:bookmarkStart w:id="26" w:name="_Toc28770"/>
      <w:bookmarkStart w:id="27" w:name="_Toc26503"/>
      <w:bookmarkStart w:id="28" w:name="_Toc17149"/>
      <w:bookmarkStart w:id="29" w:name="_Toc12221"/>
      <w:bookmarkStart w:id="30" w:name="_Toc5345"/>
      <w:bookmarkStart w:id="31" w:name="_Toc17493"/>
      <w:bookmarkStart w:id="32" w:name="_Toc5582"/>
      <w:bookmarkStart w:id="33" w:name="_Toc7680"/>
      <w:bookmarkStart w:id="34" w:name="_Toc26689"/>
      <w:bookmarkStart w:id="35" w:name="_Toc5797"/>
      <w:bookmarkStart w:id="36" w:name="_Toc5893"/>
      <w:bookmarkStart w:id="37" w:name="_Toc7856"/>
      <w:r>
        <w:rPr>
          <w:rFonts w:hint="eastAsia" w:cs="宋体"/>
          <w:b w:val="0"/>
          <w:bCs w:val="0"/>
          <w:color w:val="auto"/>
          <w:sz w:val="24"/>
          <w:szCs w:val="24"/>
          <w:highlight w:val="none"/>
        </w:rPr>
        <w:t>为助力解决政府采购中标、成交供应商资金不足、融资难、融资贵的困难，促进供应商依法诚信参加政府采购活动、营造良好的营商环境，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中国建设银行四川省分行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中国工商银行四川省分行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中国农业银行四川省分行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中国银行四川省分行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交通银行四川省分行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中国邮储银行四川省分行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华夏银行成都分行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民生银行成都分行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四川天府银行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兴业银行成都分行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成都银行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成都农村商业银行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spacing w:line="360" w:lineRule="auto"/>
              <w:jc w:val="both"/>
              <w:rPr>
                <w:rFonts w:ascii="宋体" w:hAnsi="宋体" w:cs="宋体"/>
                <w:bCs/>
                <w:color w:val="auto"/>
                <w:highlight w:val="none"/>
                <w:lang w:val="zh-CN"/>
              </w:rPr>
            </w:pPr>
            <w:r>
              <w:rPr>
                <w:rFonts w:hint="eastAsia" w:ascii="宋体" w:hAnsi="宋体" w:cs="宋体"/>
                <w:bCs/>
                <w:color w:val="auto"/>
                <w:highlight w:val="none"/>
                <w:lang w:val="zh-CN"/>
              </w:rPr>
              <w:t>上海银行成都分行</w:t>
            </w:r>
          </w:p>
        </w:tc>
        <w:tc>
          <w:tcPr>
            <w:tcW w:w="531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宜宾市商业银行股份有限公司</w:t>
            </w:r>
          </w:p>
        </w:tc>
      </w:tr>
    </w:tbl>
    <w:p>
      <w:pPr>
        <w:spacing w:line="360" w:lineRule="auto"/>
        <w:rPr>
          <w:rFonts w:ascii="宋体" w:hAnsi="宋体" w:cs="宋体"/>
          <w:bCs/>
          <w:color w:val="auto"/>
          <w:highlight w:val="none"/>
          <w:lang w:val="zh-CN"/>
        </w:rPr>
      </w:pPr>
    </w:p>
    <w:p>
      <w:pPr>
        <w:pStyle w:val="2"/>
        <w:rPr>
          <w:rFonts w:ascii="宋体" w:hAnsi="宋体" w:cs="宋体"/>
          <w:bCs/>
          <w:color w:val="auto"/>
          <w:highlight w:val="none"/>
          <w:lang w:val="zh-CN"/>
        </w:rPr>
      </w:pPr>
    </w:p>
    <w:p>
      <w:pPr>
        <w:rPr>
          <w:rFonts w:ascii="宋体" w:hAnsi="宋体" w:cs="宋体"/>
          <w:bCs/>
          <w:color w:val="auto"/>
          <w:highlight w:val="none"/>
          <w:lang w:val="zh-CN"/>
        </w:rPr>
      </w:pPr>
    </w:p>
    <w:p>
      <w:pPr>
        <w:pStyle w:val="2"/>
        <w:rPr>
          <w:rFonts w:ascii="宋体" w:hAnsi="宋体" w:cs="宋体"/>
          <w:bCs/>
          <w:color w:val="auto"/>
          <w:highlight w:val="none"/>
          <w:lang w:val="zh-CN"/>
        </w:rPr>
      </w:pPr>
    </w:p>
    <w:p>
      <w:pPr>
        <w:rPr>
          <w:rFonts w:ascii="宋体" w:hAnsi="宋体" w:cs="宋体"/>
          <w:bCs/>
          <w:color w:val="auto"/>
          <w:highlight w:val="none"/>
          <w:lang w:val="zh-CN"/>
        </w:rPr>
      </w:pPr>
    </w:p>
    <w:p>
      <w:pPr>
        <w:pStyle w:val="2"/>
        <w:rPr>
          <w:rFonts w:ascii="宋体" w:hAnsi="宋体" w:cs="宋体"/>
          <w:bCs/>
          <w:color w:val="auto"/>
          <w:highlight w:val="none"/>
          <w:lang w:val="zh-CN"/>
        </w:rPr>
      </w:pPr>
    </w:p>
    <w:p>
      <w:pPr>
        <w:rPr>
          <w:rFonts w:ascii="宋体" w:hAnsi="宋体" w:cs="宋体"/>
          <w:bCs/>
          <w:color w:val="auto"/>
          <w:highlight w:val="none"/>
          <w:lang w:val="zh-CN"/>
        </w:rPr>
      </w:pPr>
    </w:p>
    <w:p>
      <w:pPr>
        <w:pStyle w:val="2"/>
        <w:rPr>
          <w:color w:val="auto"/>
          <w:highlight w:val="none"/>
          <w:lang w:val="zh-CN"/>
        </w:rPr>
      </w:pPr>
    </w:p>
    <w:p>
      <w:pPr>
        <w:rPr>
          <w:rFonts w:ascii="宋体" w:hAnsi="宋体" w:cs="宋体"/>
          <w:bCs/>
          <w:color w:val="auto"/>
          <w:highlight w:val="none"/>
          <w:lang w:val="zh-CN"/>
        </w:rPr>
      </w:pPr>
    </w:p>
    <w:p>
      <w:pPr>
        <w:pStyle w:val="5"/>
        <w:numPr>
          <w:ilvl w:val="1"/>
          <w:numId w:val="0"/>
        </w:numPr>
        <w:tabs>
          <w:tab w:val="clear" w:pos="426"/>
        </w:tabs>
        <w:ind w:firstLine="2891" w:firstLineChars="900"/>
        <w:jc w:val="both"/>
        <w:rPr>
          <w:rFonts w:cs="宋体"/>
          <w:bCs w:val="0"/>
          <w:color w:val="auto"/>
          <w:sz w:val="32"/>
          <w:szCs w:val="32"/>
          <w:highlight w:val="none"/>
        </w:rPr>
      </w:pPr>
      <w:bookmarkStart w:id="38" w:name="_Toc15662"/>
      <w:bookmarkStart w:id="39" w:name="_Toc3415"/>
      <w:bookmarkStart w:id="40" w:name="_Toc10298"/>
      <w:bookmarkStart w:id="41" w:name="_Toc23453"/>
      <w:bookmarkStart w:id="42" w:name="_Toc28541"/>
      <w:bookmarkStart w:id="43" w:name="_Toc28336"/>
      <w:bookmarkStart w:id="44" w:name="_Toc13945"/>
      <w:bookmarkStart w:id="45" w:name="_Toc3992"/>
      <w:bookmarkStart w:id="46" w:name="_Toc6362"/>
      <w:bookmarkStart w:id="47" w:name="_Toc25160"/>
      <w:bookmarkStart w:id="48" w:name="_Toc25577"/>
      <w:bookmarkStart w:id="49" w:name="_Toc8421"/>
      <w:bookmarkStart w:id="50" w:name="_Toc1125"/>
      <w:bookmarkStart w:id="51" w:name="_Toc29303"/>
      <w:bookmarkStart w:id="52" w:name="_Toc5414"/>
      <w:bookmarkStart w:id="53" w:name="_Toc22630"/>
      <w:bookmarkStart w:id="54" w:name="_Toc11470"/>
      <w:bookmarkStart w:id="55" w:name="_Toc23043"/>
      <w:bookmarkStart w:id="56" w:name="_Toc20622"/>
      <w:r>
        <w:rPr>
          <w:rFonts w:hint="eastAsia" w:cs="宋体"/>
          <w:bCs w:val="0"/>
          <w:color w:val="auto"/>
          <w:sz w:val="32"/>
          <w:szCs w:val="32"/>
          <w:highlight w:val="none"/>
        </w:rPr>
        <w:t>“蓉采贷”业务介绍</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widowControl w:val="0"/>
        <w:snapToGrid w:val="0"/>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银行名称</w:t>
            </w:r>
          </w:p>
        </w:tc>
        <w:tc>
          <w:tcPr>
            <w:tcW w:w="280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联系部门</w:t>
            </w:r>
          </w:p>
        </w:tc>
        <w:tc>
          <w:tcPr>
            <w:tcW w:w="2226"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95"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成都银行</w:t>
            </w:r>
          </w:p>
        </w:tc>
        <w:tc>
          <w:tcPr>
            <w:tcW w:w="2808"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中小企业部</w:t>
            </w:r>
          </w:p>
        </w:tc>
        <w:tc>
          <w:tcPr>
            <w:tcW w:w="2226" w:type="dxa"/>
            <w:vAlign w:val="center"/>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中国建设银行成都第六支行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小企业部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交通银行四川省分行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普惠金融事业部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中国农业银行成都天府新区分行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公司业务部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四川天府银行成都分行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普惠金融事业部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浦发银行成都分行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普惠金融部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上海银行成都分行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公司业务部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成都农村商业银行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公司金融部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中国民生银行成都分行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公司业务部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中国工商银行成都分行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普惠部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中国邮政储蓄银行成都分行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小企业金融部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中国银行四川省分行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普惠金融事业部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招商银行成都分行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小企业金融部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广发银行成都分行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东大街支部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重庆银行成都分行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小微企业银行部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渤海银行成都分行</w:t>
            </w:r>
          </w:p>
        </w:tc>
        <w:tc>
          <w:tcPr>
            <w:tcW w:w="2808"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普惠金融事业部</w:t>
            </w:r>
          </w:p>
        </w:tc>
        <w:tc>
          <w:tcPr>
            <w:tcW w:w="2226" w:type="dxa"/>
          </w:tcPr>
          <w:p>
            <w:pPr>
              <w:spacing w:line="360" w:lineRule="auto"/>
              <w:jc w:val="center"/>
              <w:rPr>
                <w:rFonts w:ascii="宋体" w:hAnsi="宋体" w:cs="宋体"/>
                <w:bCs/>
                <w:color w:val="auto"/>
                <w:highlight w:val="none"/>
                <w:lang w:val="zh-CN"/>
              </w:rPr>
            </w:pPr>
            <w:r>
              <w:rPr>
                <w:rFonts w:hint="eastAsia" w:ascii="宋体" w:hAnsi="宋体" w:cs="宋体"/>
                <w:bCs/>
                <w:color w:val="auto"/>
                <w:highlight w:val="none"/>
                <w:lang w:val="zh-CN"/>
              </w:rPr>
              <w:t>028-86772083</w:t>
            </w:r>
          </w:p>
        </w:tc>
      </w:tr>
    </w:tbl>
    <w:p>
      <w:pPr>
        <w:pStyle w:val="4"/>
        <w:rPr>
          <w:color w:val="auto"/>
          <w:highlight w:val="none"/>
        </w:rPr>
        <w:sectPr>
          <w:headerReference r:id="rId4" w:type="first"/>
          <w:headerReference r:id="rId3" w:type="default"/>
          <w:footerReference r:id="rId5"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Cs/>
          <w:color w:val="auto"/>
          <w:szCs w:val="36"/>
          <w:highlight w:val="none"/>
        </w:rPr>
      </w:pPr>
      <w:r>
        <w:rPr>
          <w:rFonts w:hint="eastAsia" w:ascii="宋体" w:hAnsi="宋体"/>
          <w:b/>
          <w:bCs/>
          <w:color w:val="auto"/>
          <w:sz w:val="36"/>
          <w:szCs w:val="36"/>
          <w:highlight w:val="none"/>
        </w:rPr>
        <w:t>目 录</w:t>
      </w: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rPr>
          <w:color w:val="auto"/>
          <w:highlight w:val="none"/>
        </w:rPr>
      </w:pPr>
      <w:r>
        <w:rPr>
          <w:color w:val="auto"/>
          <w:highlight w:val="none"/>
        </w:rPr>
        <w:fldChar w:fldCharType="begin"/>
      </w:r>
      <w:r>
        <w:rPr>
          <w:color w:val="auto"/>
          <w:highlight w:val="none"/>
        </w:rPr>
        <w:instrText xml:space="preserve"> HYPERLINK \l "_Toc8275" </w:instrText>
      </w:r>
      <w:r>
        <w:rPr>
          <w:color w:val="auto"/>
          <w:highlight w:val="none"/>
        </w:rPr>
        <w:fldChar w:fldCharType="separate"/>
      </w:r>
      <w:r>
        <w:rPr>
          <w:color w:val="auto"/>
          <w:szCs w:val="32"/>
          <w:highlight w:val="none"/>
        </w:rPr>
        <w:t xml:space="preserve">第1章 </w:t>
      </w:r>
      <w:r>
        <w:rPr>
          <w:rFonts w:hint="eastAsia"/>
          <w:color w:val="auto"/>
          <w:highlight w:val="none"/>
        </w:rPr>
        <w:t>竞争性磋商邀请</w:t>
      </w:r>
      <w:r>
        <w:rPr>
          <w:color w:val="auto"/>
          <w:highlight w:val="none"/>
        </w:rPr>
        <w:tab/>
      </w:r>
      <w:r>
        <w:rPr>
          <w:color w:val="auto"/>
          <w:highlight w:val="none"/>
        </w:rPr>
        <w:fldChar w:fldCharType="begin"/>
      </w:r>
      <w:r>
        <w:rPr>
          <w:color w:val="auto"/>
          <w:highlight w:val="none"/>
        </w:rPr>
        <w:instrText xml:space="preserve"> PAGEREF _Toc8275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1"/>
        <w:tabs>
          <w:tab w:val="right" w:leader="dot" w:pos="9214"/>
          <w:tab w:val="clear" w:pos="840"/>
          <w:tab w:val="clear" w:pos="9204"/>
        </w:tabs>
        <w:rPr>
          <w:color w:val="auto"/>
          <w:highlight w:val="none"/>
        </w:rPr>
      </w:pPr>
      <w:r>
        <w:rPr>
          <w:color w:val="auto"/>
          <w:highlight w:val="none"/>
        </w:rPr>
        <w:fldChar w:fldCharType="begin"/>
      </w:r>
      <w:r>
        <w:rPr>
          <w:color w:val="auto"/>
          <w:highlight w:val="none"/>
        </w:rPr>
        <w:instrText xml:space="preserve"> HYPERLINK \l "_Toc24977" </w:instrText>
      </w:r>
      <w:r>
        <w:rPr>
          <w:color w:val="auto"/>
          <w:highlight w:val="none"/>
        </w:rPr>
        <w:fldChar w:fldCharType="separate"/>
      </w:r>
      <w:r>
        <w:rPr>
          <w:color w:val="auto"/>
          <w:szCs w:val="32"/>
          <w:highlight w:val="none"/>
        </w:rPr>
        <w:t xml:space="preserve">第2章 </w:t>
      </w:r>
      <w:r>
        <w:rPr>
          <w:rFonts w:hint="eastAsia"/>
          <w:color w:val="auto"/>
          <w:highlight w:val="none"/>
        </w:rPr>
        <w:t>磋商供应商须知</w:t>
      </w:r>
      <w:r>
        <w:rPr>
          <w:color w:val="auto"/>
          <w:highlight w:val="none"/>
        </w:rPr>
        <w:tab/>
      </w:r>
      <w:r>
        <w:rPr>
          <w:color w:val="auto"/>
          <w:highlight w:val="none"/>
        </w:rPr>
        <w:fldChar w:fldCharType="begin"/>
      </w:r>
      <w:r>
        <w:rPr>
          <w:color w:val="auto"/>
          <w:highlight w:val="none"/>
        </w:rPr>
        <w:instrText xml:space="preserve"> PAGEREF _Toc24977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"_Toc27812" </w:instrText>
      </w:r>
      <w:r>
        <w:rPr>
          <w:color w:val="auto"/>
          <w:highlight w:val="none"/>
        </w:rPr>
        <w:fldChar w:fldCharType="separate"/>
      </w:r>
      <w:r>
        <w:rPr>
          <w:color w:val="auto"/>
          <w:szCs w:val="28"/>
          <w:highlight w:val="none"/>
        </w:rPr>
        <w:t xml:space="preserve">2.1 </w:t>
      </w:r>
      <w:r>
        <w:rPr>
          <w:rFonts w:hint="eastAsia"/>
          <w:color w:val="auto"/>
          <w:szCs w:val="24"/>
          <w:highlight w:val="none"/>
        </w:rPr>
        <w:t>磋商供应商须知附表</w:t>
      </w:r>
      <w:r>
        <w:rPr>
          <w:color w:val="auto"/>
          <w:highlight w:val="none"/>
        </w:rPr>
        <w:tab/>
      </w:r>
      <w:r>
        <w:rPr>
          <w:color w:val="auto"/>
          <w:highlight w:val="none"/>
        </w:rPr>
        <w:fldChar w:fldCharType="begin"/>
      </w:r>
      <w:r>
        <w:rPr>
          <w:color w:val="auto"/>
          <w:highlight w:val="none"/>
        </w:rPr>
        <w:instrText xml:space="preserve"> PAGEREF _Toc27812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"_Toc8562" </w:instrText>
      </w:r>
      <w:r>
        <w:rPr>
          <w:color w:val="auto"/>
          <w:highlight w:val="none"/>
        </w:rPr>
        <w:fldChar w:fldCharType="separate"/>
      </w:r>
      <w:r>
        <w:rPr>
          <w:color w:val="auto"/>
          <w:szCs w:val="28"/>
          <w:highlight w:val="none"/>
        </w:rPr>
        <w:t xml:space="preserve">2.2 </w:t>
      </w:r>
      <w:r>
        <w:rPr>
          <w:rFonts w:hint="eastAsia"/>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_Toc8562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"_Toc31143" </w:instrText>
      </w:r>
      <w:r>
        <w:rPr>
          <w:color w:val="auto"/>
          <w:highlight w:val="none"/>
        </w:rPr>
        <w:fldChar w:fldCharType="separate"/>
      </w:r>
      <w:r>
        <w:rPr>
          <w:color w:val="auto"/>
          <w:szCs w:val="28"/>
          <w:highlight w:val="none"/>
        </w:rPr>
        <w:t xml:space="preserve">2.3 </w:t>
      </w:r>
      <w:r>
        <w:rPr>
          <w:rFonts w:hint="eastAsia"/>
          <w:color w:val="auto"/>
          <w:szCs w:val="24"/>
          <w:highlight w:val="none"/>
        </w:rPr>
        <w:t>磋商文件</w:t>
      </w:r>
      <w:r>
        <w:rPr>
          <w:color w:val="auto"/>
          <w:highlight w:val="none"/>
        </w:rPr>
        <w:tab/>
      </w:r>
      <w:r>
        <w:rPr>
          <w:color w:val="auto"/>
          <w:highlight w:val="none"/>
        </w:rPr>
        <w:fldChar w:fldCharType="begin"/>
      </w:r>
      <w:r>
        <w:rPr>
          <w:color w:val="auto"/>
          <w:highlight w:val="none"/>
        </w:rPr>
        <w:instrText xml:space="preserve"> PAGEREF _Toc31143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"_Toc25377" </w:instrText>
      </w:r>
      <w:r>
        <w:rPr>
          <w:color w:val="auto"/>
          <w:highlight w:val="none"/>
        </w:rPr>
        <w:fldChar w:fldCharType="separate"/>
      </w:r>
      <w:r>
        <w:rPr>
          <w:color w:val="auto"/>
          <w:szCs w:val="28"/>
          <w:highlight w:val="none"/>
        </w:rPr>
        <w:t xml:space="preserve">2.4 </w:t>
      </w:r>
      <w:r>
        <w:rPr>
          <w:rFonts w:hint="eastAsia"/>
          <w:color w:val="auto"/>
          <w:szCs w:val="24"/>
          <w:highlight w:val="none"/>
        </w:rPr>
        <w:t>响应文件</w:t>
      </w:r>
      <w:r>
        <w:rPr>
          <w:color w:val="auto"/>
          <w:highlight w:val="none"/>
        </w:rPr>
        <w:tab/>
      </w:r>
      <w:r>
        <w:rPr>
          <w:color w:val="auto"/>
          <w:highlight w:val="none"/>
        </w:rPr>
        <w:fldChar w:fldCharType="begin"/>
      </w:r>
      <w:r>
        <w:rPr>
          <w:color w:val="auto"/>
          <w:highlight w:val="none"/>
        </w:rPr>
        <w:instrText xml:space="preserve"> PAGEREF _Toc25377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"_Toc3733" </w:instrText>
      </w:r>
      <w:r>
        <w:rPr>
          <w:color w:val="auto"/>
          <w:highlight w:val="none"/>
        </w:rPr>
        <w:fldChar w:fldCharType="separate"/>
      </w:r>
      <w:r>
        <w:rPr>
          <w:color w:val="auto"/>
          <w:szCs w:val="28"/>
          <w:highlight w:val="none"/>
        </w:rPr>
        <w:t xml:space="preserve">2.5 </w:t>
      </w:r>
      <w:r>
        <w:rPr>
          <w:rFonts w:hint="eastAsia"/>
          <w:color w:val="auto"/>
          <w:szCs w:val="24"/>
          <w:highlight w:val="none"/>
        </w:rPr>
        <w:t>竞争性磋商程序</w:t>
      </w:r>
      <w:r>
        <w:rPr>
          <w:color w:val="auto"/>
          <w:highlight w:val="none"/>
        </w:rPr>
        <w:tab/>
      </w:r>
      <w:r>
        <w:rPr>
          <w:color w:val="auto"/>
          <w:highlight w:val="none"/>
        </w:rPr>
        <w:fldChar w:fldCharType="begin"/>
      </w:r>
      <w:r>
        <w:rPr>
          <w:color w:val="auto"/>
          <w:highlight w:val="none"/>
        </w:rPr>
        <w:instrText xml:space="preserve"> PAGEREF _Toc3733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"_Toc23040" </w:instrText>
      </w:r>
      <w:r>
        <w:rPr>
          <w:color w:val="auto"/>
          <w:highlight w:val="none"/>
        </w:rPr>
        <w:fldChar w:fldCharType="separate"/>
      </w:r>
      <w:r>
        <w:rPr>
          <w:color w:val="auto"/>
          <w:szCs w:val="28"/>
          <w:highlight w:val="none"/>
        </w:rPr>
        <w:t xml:space="preserve">2.6 </w:t>
      </w:r>
      <w:r>
        <w:rPr>
          <w:rFonts w:hint="eastAsia"/>
          <w:color w:val="auto"/>
          <w:szCs w:val="24"/>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_Toc23040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"_Toc15896" </w:instrText>
      </w:r>
      <w:r>
        <w:rPr>
          <w:color w:val="auto"/>
          <w:highlight w:val="none"/>
        </w:rPr>
        <w:fldChar w:fldCharType="separate"/>
      </w:r>
      <w:r>
        <w:rPr>
          <w:color w:val="auto"/>
          <w:szCs w:val="28"/>
          <w:highlight w:val="none"/>
        </w:rPr>
        <w:t xml:space="preserve">2.7 </w:t>
      </w:r>
      <w:r>
        <w:rPr>
          <w:rFonts w:hint="eastAsia"/>
          <w:color w:val="auto"/>
          <w:szCs w:val="24"/>
          <w:highlight w:val="none"/>
        </w:rPr>
        <w:t>成交结果</w:t>
      </w:r>
      <w:r>
        <w:rPr>
          <w:color w:val="auto"/>
          <w:highlight w:val="none"/>
        </w:rPr>
        <w:tab/>
      </w:r>
      <w:r>
        <w:rPr>
          <w:color w:val="auto"/>
          <w:highlight w:val="none"/>
        </w:rPr>
        <w:fldChar w:fldCharType="begin"/>
      </w:r>
      <w:r>
        <w:rPr>
          <w:color w:val="auto"/>
          <w:highlight w:val="none"/>
        </w:rPr>
        <w:instrText xml:space="preserve"> PAGEREF _Toc15896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"_Toc28600" </w:instrText>
      </w:r>
      <w:r>
        <w:rPr>
          <w:color w:val="auto"/>
          <w:highlight w:val="none"/>
        </w:rPr>
        <w:fldChar w:fldCharType="separate"/>
      </w:r>
      <w:r>
        <w:rPr>
          <w:color w:val="auto"/>
          <w:szCs w:val="28"/>
          <w:highlight w:val="none"/>
        </w:rPr>
        <w:t xml:space="preserve">2.8 </w:t>
      </w:r>
      <w:r>
        <w:rPr>
          <w:rFonts w:hint="eastAsia"/>
          <w:color w:val="auto"/>
          <w:szCs w:val="24"/>
          <w:highlight w:val="none"/>
        </w:rPr>
        <w:t>询问、质疑和投诉</w:t>
      </w:r>
      <w:r>
        <w:rPr>
          <w:color w:val="auto"/>
          <w:highlight w:val="none"/>
        </w:rPr>
        <w:tab/>
      </w:r>
      <w:r>
        <w:rPr>
          <w:color w:val="auto"/>
          <w:highlight w:val="none"/>
        </w:rPr>
        <w:fldChar w:fldCharType="begin"/>
      </w:r>
      <w:r>
        <w:rPr>
          <w:color w:val="auto"/>
          <w:highlight w:val="none"/>
        </w:rPr>
        <w:instrText xml:space="preserve"> PAGEREF _Toc28600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"_Toc28235" </w:instrText>
      </w:r>
      <w:r>
        <w:rPr>
          <w:color w:val="auto"/>
          <w:highlight w:val="none"/>
        </w:rPr>
        <w:fldChar w:fldCharType="separate"/>
      </w:r>
      <w:r>
        <w:rPr>
          <w:color w:val="auto"/>
          <w:szCs w:val="28"/>
          <w:highlight w:val="none"/>
        </w:rPr>
        <w:t xml:space="preserve">2.9 </w:t>
      </w:r>
      <w:r>
        <w:rPr>
          <w:rFonts w:hint="eastAsia" w:ascii="宋体" w:hAnsi="宋体" w:cs="宋体"/>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_Toc28235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"_Toc28841" </w:instrText>
      </w:r>
      <w:r>
        <w:rPr>
          <w:color w:val="auto"/>
          <w:highlight w:val="none"/>
        </w:rPr>
        <w:fldChar w:fldCharType="separate"/>
      </w:r>
      <w:r>
        <w:rPr>
          <w:color w:val="auto"/>
          <w:szCs w:val="28"/>
          <w:highlight w:val="none"/>
        </w:rPr>
        <w:t xml:space="preserve">2.10 </w:t>
      </w:r>
      <w:r>
        <w:rPr>
          <w:rFonts w:hint="eastAsia"/>
          <w:color w:val="auto"/>
          <w:szCs w:val="24"/>
          <w:highlight w:val="none"/>
        </w:rPr>
        <w:t>采购人增加合同的权利</w:t>
      </w:r>
      <w:r>
        <w:rPr>
          <w:color w:val="auto"/>
          <w:highlight w:val="none"/>
        </w:rPr>
        <w:tab/>
      </w:r>
      <w:r>
        <w:rPr>
          <w:color w:val="auto"/>
          <w:highlight w:val="none"/>
        </w:rPr>
        <w:fldChar w:fldCharType="begin"/>
      </w:r>
      <w:r>
        <w:rPr>
          <w:color w:val="auto"/>
          <w:highlight w:val="none"/>
        </w:rPr>
        <w:instrText xml:space="preserve"> PAGEREF _Toc28841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"_Toc1535" </w:instrText>
      </w:r>
      <w:r>
        <w:rPr>
          <w:color w:val="auto"/>
          <w:highlight w:val="none"/>
        </w:rPr>
        <w:fldChar w:fldCharType="separate"/>
      </w:r>
      <w:r>
        <w:rPr>
          <w:color w:val="auto"/>
          <w:szCs w:val="28"/>
          <w:highlight w:val="none"/>
        </w:rPr>
        <w:t xml:space="preserve">2.11 </w:t>
      </w:r>
      <w:r>
        <w:rPr>
          <w:rFonts w:hint="eastAsia"/>
          <w:color w:val="auto"/>
          <w:szCs w:val="24"/>
          <w:highlight w:val="none"/>
        </w:rPr>
        <w:t>履行合同</w:t>
      </w:r>
      <w:r>
        <w:rPr>
          <w:color w:val="auto"/>
          <w:highlight w:val="none"/>
        </w:rPr>
        <w:tab/>
      </w:r>
      <w:r>
        <w:rPr>
          <w:color w:val="auto"/>
          <w:highlight w:val="none"/>
        </w:rPr>
        <w:fldChar w:fldCharType="begin"/>
      </w:r>
      <w:r>
        <w:rPr>
          <w:color w:val="auto"/>
          <w:highlight w:val="none"/>
        </w:rPr>
        <w:instrText xml:space="preserve"> PAGEREF _Toc1535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"_Toc27810" </w:instrText>
      </w:r>
      <w:r>
        <w:rPr>
          <w:color w:val="auto"/>
          <w:highlight w:val="none"/>
        </w:rPr>
        <w:fldChar w:fldCharType="separate"/>
      </w:r>
      <w:r>
        <w:rPr>
          <w:color w:val="auto"/>
          <w:szCs w:val="28"/>
          <w:highlight w:val="none"/>
        </w:rPr>
        <w:t xml:space="preserve">2.12 </w:t>
      </w:r>
      <w:r>
        <w:rPr>
          <w:rFonts w:hint="eastAsia"/>
          <w:color w:val="auto"/>
          <w:szCs w:val="24"/>
          <w:highlight w:val="none"/>
        </w:rPr>
        <w:t>竞争性磋商工作纪律及要求</w:t>
      </w:r>
      <w:r>
        <w:rPr>
          <w:color w:val="auto"/>
          <w:highlight w:val="none"/>
        </w:rPr>
        <w:tab/>
      </w:r>
      <w:r>
        <w:rPr>
          <w:color w:val="auto"/>
          <w:highlight w:val="none"/>
        </w:rPr>
        <w:fldChar w:fldCharType="begin"/>
      </w:r>
      <w:r>
        <w:rPr>
          <w:color w:val="auto"/>
          <w:highlight w:val="none"/>
        </w:rPr>
        <w:instrText xml:space="preserve"> PAGEREF _Toc27810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"_Toc4344" </w:instrText>
      </w:r>
      <w:r>
        <w:rPr>
          <w:color w:val="auto"/>
          <w:highlight w:val="none"/>
        </w:rPr>
        <w:fldChar w:fldCharType="separate"/>
      </w:r>
      <w:r>
        <w:rPr>
          <w:color w:val="auto"/>
          <w:szCs w:val="28"/>
          <w:highlight w:val="none"/>
        </w:rPr>
        <w:t xml:space="preserve">2.13 </w:t>
      </w:r>
      <w:r>
        <w:rPr>
          <w:rFonts w:hint="eastAsia"/>
          <w:color w:val="auto"/>
          <w:szCs w:val="24"/>
          <w:highlight w:val="none"/>
        </w:rPr>
        <w:t>回避</w:t>
      </w:r>
      <w:r>
        <w:rPr>
          <w:color w:val="auto"/>
          <w:highlight w:val="none"/>
        </w:rPr>
        <w:tab/>
      </w:r>
      <w:r>
        <w:rPr>
          <w:color w:val="auto"/>
          <w:highlight w:val="none"/>
        </w:rPr>
        <w:fldChar w:fldCharType="begin"/>
      </w:r>
      <w:r>
        <w:rPr>
          <w:color w:val="auto"/>
          <w:highlight w:val="none"/>
        </w:rPr>
        <w:instrText xml:space="preserve"> PAGEREF _Toc4344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"_Toc31548" </w:instrText>
      </w:r>
      <w:r>
        <w:rPr>
          <w:color w:val="auto"/>
          <w:highlight w:val="none"/>
        </w:rPr>
        <w:fldChar w:fldCharType="separate"/>
      </w:r>
      <w:r>
        <w:rPr>
          <w:color w:val="auto"/>
          <w:szCs w:val="28"/>
          <w:highlight w:val="none"/>
        </w:rPr>
        <w:t xml:space="preserve">2.14 </w:t>
      </w:r>
      <w:r>
        <w:rPr>
          <w:rFonts w:hint="eastAsia"/>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_Toc31548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1"/>
        <w:tabs>
          <w:tab w:val="right" w:leader="dot" w:pos="9214"/>
          <w:tab w:val="clear" w:pos="840"/>
          <w:tab w:val="clear" w:pos="9204"/>
        </w:tabs>
        <w:rPr>
          <w:color w:val="auto"/>
          <w:highlight w:val="none"/>
        </w:rPr>
      </w:pPr>
      <w:r>
        <w:rPr>
          <w:color w:val="auto"/>
          <w:highlight w:val="none"/>
        </w:rPr>
        <w:fldChar w:fldCharType="begin"/>
      </w:r>
      <w:r>
        <w:rPr>
          <w:color w:val="auto"/>
          <w:highlight w:val="none"/>
        </w:rPr>
        <w:instrText xml:space="preserve"> HYPERLINK \l "_Toc905" </w:instrText>
      </w:r>
      <w:r>
        <w:rPr>
          <w:color w:val="auto"/>
          <w:highlight w:val="none"/>
        </w:rPr>
        <w:fldChar w:fldCharType="separate"/>
      </w:r>
      <w:r>
        <w:rPr>
          <w:color w:val="auto"/>
          <w:szCs w:val="32"/>
          <w:highlight w:val="none"/>
        </w:rPr>
        <w:t xml:space="preserve">第3章 </w:t>
      </w:r>
      <w:r>
        <w:rPr>
          <w:rFonts w:hint="eastAsia"/>
          <w:color w:val="auto"/>
          <w:highlight w:val="none"/>
        </w:rPr>
        <w:t>项目技术、服务及其他要求</w:t>
      </w:r>
      <w:r>
        <w:rPr>
          <w:color w:val="auto"/>
          <w:highlight w:val="none"/>
        </w:rPr>
        <w:tab/>
      </w:r>
      <w:r>
        <w:rPr>
          <w:color w:val="auto"/>
          <w:highlight w:val="none"/>
        </w:rPr>
        <w:fldChar w:fldCharType="begin"/>
      </w:r>
      <w:r>
        <w:rPr>
          <w:color w:val="auto"/>
          <w:highlight w:val="none"/>
        </w:rPr>
        <w:instrText xml:space="preserve"> PAGEREF _Toc905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"_Toc17321" </w:instrText>
      </w:r>
      <w:r>
        <w:rPr>
          <w:color w:val="auto"/>
          <w:highlight w:val="none"/>
        </w:rPr>
        <w:fldChar w:fldCharType="separate"/>
      </w:r>
      <w:r>
        <w:rPr>
          <w:color w:val="auto"/>
          <w:szCs w:val="28"/>
          <w:highlight w:val="none"/>
        </w:rPr>
        <w:t xml:space="preserve">3.1 </w:t>
      </w:r>
      <w:r>
        <w:rPr>
          <w:rFonts w:hint="eastAsia"/>
          <w:color w:val="auto"/>
          <w:szCs w:val="24"/>
          <w:highlight w:val="none"/>
        </w:rPr>
        <w:t>项目概述</w:t>
      </w:r>
      <w:r>
        <w:rPr>
          <w:color w:val="auto"/>
          <w:highlight w:val="none"/>
        </w:rPr>
        <w:tab/>
      </w:r>
      <w:r>
        <w:rPr>
          <w:color w:val="auto"/>
          <w:highlight w:val="none"/>
        </w:rPr>
        <w:fldChar w:fldCharType="begin"/>
      </w:r>
      <w:r>
        <w:rPr>
          <w:color w:val="auto"/>
          <w:highlight w:val="none"/>
        </w:rPr>
        <w:instrText xml:space="preserve"> PAGEREF _Toc17321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"_Toc26270" </w:instrText>
      </w:r>
      <w:r>
        <w:rPr>
          <w:color w:val="auto"/>
          <w:highlight w:val="none"/>
        </w:rPr>
        <w:fldChar w:fldCharType="separate"/>
      </w:r>
      <w:r>
        <w:rPr>
          <w:color w:val="auto"/>
          <w:szCs w:val="28"/>
          <w:highlight w:val="none"/>
        </w:rPr>
        <w:t xml:space="preserve">3.2 </w:t>
      </w:r>
      <w:r>
        <w:rPr>
          <w:rFonts w:hint="eastAsia"/>
          <w:color w:val="auto"/>
          <w:szCs w:val="24"/>
          <w:highlight w:val="none"/>
        </w:rPr>
        <w:t>服务要求：水系综合治理规划（2021—2035）修编</w:t>
      </w:r>
      <w:r>
        <w:rPr>
          <w:color w:val="auto"/>
          <w:highlight w:val="none"/>
        </w:rPr>
        <w:tab/>
      </w:r>
      <w:r>
        <w:rPr>
          <w:color w:val="auto"/>
          <w:highlight w:val="none"/>
        </w:rPr>
        <w:fldChar w:fldCharType="begin"/>
      </w:r>
      <w:r>
        <w:rPr>
          <w:color w:val="auto"/>
          <w:highlight w:val="none"/>
        </w:rPr>
        <w:instrText xml:space="preserve"> PAGEREF _Toc26270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"_Toc18543" </w:instrText>
      </w:r>
      <w:r>
        <w:rPr>
          <w:color w:val="auto"/>
          <w:highlight w:val="none"/>
        </w:rPr>
        <w:fldChar w:fldCharType="separate"/>
      </w:r>
      <w:r>
        <w:rPr>
          <w:color w:val="auto"/>
          <w:szCs w:val="28"/>
          <w:highlight w:val="none"/>
        </w:rPr>
        <w:t xml:space="preserve">3.3 </w:t>
      </w:r>
      <w:r>
        <w:rPr>
          <w:rFonts w:hint="eastAsia"/>
          <w:color w:val="auto"/>
          <w:szCs w:val="24"/>
          <w:highlight w:val="none"/>
        </w:rPr>
        <w:t>各包商务要求</w:t>
      </w:r>
      <w:r>
        <w:rPr>
          <w:color w:val="auto"/>
          <w:highlight w:val="none"/>
        </w:rPr>
        <w:tab/>
      </w:r>
      <w:r>
        <w:rPr>
          <w:color w:val="auto"/>
          <w:highlight w:val="none"/>
        </w:rPr>
        <w:fldChar w:fldCharType="begin"/>
      </w:r>
      <w:r>
        <w:rPr>
          <w:color w:val="auto"/>
          <w:highlight w:val="none"/>
        </w:rPr>
        <w:instrText xml:space="preserve"> PAGEREF _Toc18543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1"/>
        <w:tabs>
          <w:tab w:val="right" w:leader="dot" w:pos="9214"/>
          <w:tab w:val="clear" w:pos="840"/>
          <w:tab w:val="clear" w:pos="9204"/>
        </w:tabs>
        <w:rPr>
          <w:color w:val="auto"/>
          <w:highlight w:val="none"/>
        </w:rPr>
      </w:pPr>
      <w:r>
        <w:rPr>
          <w:color w:val="auto"/>
          <w:highlight w:val="none"/>
        </w:rPr>
        <w:fldChar w:fldCharType="begin"/>
      </w:r>
      <w:r>
        <w:rPr>
          <w:color w:val="auto"/>
          <w:highlight w:val="none"/>
        </w:rPr>
        <w:instrText xml:space="preserve"> HYPERLINK \l "_Toc9438" </w:instrText>
      </w:r>
      <w:r>
        <w:rPr>
          <w:color w:val="auto"/>
          <w:highlight w:val="none"/>
        </w:rPr>
        <w:fldChar w:fldCharType="separate"/>
      </w:r>
      <w:r>
        <w:rPr>
          <w:color w:val="auto"/>
          <w:szCs w:val="32"/>
          <w:highlight w:val="none"/>
        </w:rPr>
        <w:t xml:space="preserve">第4章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_Toc9438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"_Toc9246" </w:instrText>
      </w:r>
      <w:r>
        <w:rPr>
          <w:color w:val="auto"/>
          <w:highlight w:val="none"/>
        </w:rPr>
        <w:fldChar w:fldCharType="separate"/>
      </w:r>
      <w:r>
        <w:rPr>
          <w:color w:val="auto"/>
          <w:szCs w:val="28"/>
          <w:highlight w:val="none"/>
        </w:rPr>
        <w:t xml:space="preserve">4.1 </w:t>
      </w:r>
      <w:r>
        <w:rPr>
          <w:rFonts w:hint="eastAsia"/>
          <w:color w:val="auto"/>
          <w:highlight w:val="none"/>
        </w:rPr>
        <w:t>资格性响应文件格式</w:t>
      </w:r>
      <w:r>
        <w:rPr>
          <w:color w:val="auto"/>
          <w:highlight w:val="none"/>
        </w:rPr>
        <w:tab/>
      </w:r>
      <w:r>
        <w:rPr>
          <w:color w:val="auto"/>
          <w:highlight w:val="none"/>
        </w:rPr>
        <w:fldChar w:fldCharType="begin"/>
      </w:r>
      <w:r>
        <w:rPr>
          <w:color w:val="auto"/>
          <w:highlight w:val="none"/>
        </w:rPr>
        <w:instrText xml:space="preserve"> PAGEREF _Toc9246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"_Toc23077" </w:instrText>
      </w:r>
      <w:r>
        <w:rPr>
          <w:color w:val="auto"/>
          <w:highlight w:val="none"/>
        </w:rPr>
        <w:fldChar w:fldCharType="separate"/>
      </w:r>
      <w:r>
        <w:rPr>
          <w:color w:val="auto"/>
          <w:szCs w:val="28"/>
          <w:highlight w:val="none"/>
        </w:rPr>
        <w:t xml:space="preserve">4.2 </w:t>
      </w:r>
      <w:r>
        <w:rPr>
          <w:rFonts w:hint="eastAsia"/>
          <w:color w:val="auto"/>
          <w:highlight w:val="none"/>
        </w:rPr>
        <w:t>技术、服务性响应文件格式</w:t>
      </w:r>
      <w:r>
        <w:rPr>
          <w:color w:val="auto"/>
          <w:highlight w:val="none"/>
        </w:rPr>
        <w:tab/>
      </w:r>
      <w:r>
        <w:rPr>
          <w:color w:val="auto"/>
          <w:highlight w:val="none"/>
        </w:rPr>
        <w:fldChar w:fldCharType="begin"/>
      </w:r>
      <w:r>
        <w:rPr>
          <w:color w:val="auto"/>
          <w:highlight w:val="none"/>
        </w:rPr>
        <w:instrText xml:space="preserve"> PAGEREF _Toc23077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color w:val="auto"/>
          <w:szCs w:val="28"/>
          <w:highlight w:val="none"/>
        </w:rPr>
        <w:t xml:space="preserve">4.3 </w:t>
      </w:r>
      <w:r>
        <w:rPr>
          <w:rFonts w:hint="eastAsia"/>
          <w:color w:val="auto"/>
          <w:highlight w:val="none"/>
        </w:rPr>
        <w:t>最后报价（格式）</w:t>
      </w:r>
      <w:r>
        <w:rPr>
          <w:color w:val="auto"/>
          <w:highlight w:val="none"/>
        </w:rPr>
        <w:tab/>
      </w:r>
      <w:r>
        <w:rPr>
          <w:color w:val="auto"/>
          <w:highlight w:val="none"/>
        </w:rPr>
        <w:fldChar w:fldCharType="begin"/>
      </w:r>
      <w:r>
        <w:rPr>
          <w:color w:val="auto"/>
          <w:highlight w:val="none"/>
        </w:rPr>
        <w:instrText xml:space="preserve"> PAGEREF _Toc2155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31"/>
        <w:tabs>
          <w:tab w:val="right" w:leader="dot" w:pos="9214"/>
          <w:tab w:val="clear" w:pos="840"/>
          <w:tab w:val="clear" w:pos="9204"/>
        </w:tabs>
        <w:rPr>
          <w:color w:val="auto"/>
          <w:highlight w:val="none"/>
        </w:rPr>
      </w:pPr>
      <w:r>
        <w:rPr>
          <w:color w:val="auto"/>
          <w:highlight w:val="none"/>
        </w:rPr>
        <w:fldChar w:fldCharType="begin"/>
      </w:r>
      <w:r>
        <w:rPr>
          <w:color w:val="auto"/>
          <w:highlight w:val="none"/>
        </w:rPr>
        <w:instrText xml:space="preserve"> HYPERLINK \l "_Toc2427" </w:instrText>
      </w:r>
      <w:r>
        <w:rPr>
          <w:color w:val="auto"/>
          <w:highlight w:val="none"/>
        </w:rPr>
        <w:fldChar w:fldCharType="separate"/>
      </w:r>
      <w:r>
        <w:rPr>
          <w:color w:val="auto"/>
          <w:szCs w:val="32"/>
          <w:highlight w:val="none"/>
        </w:rPr>
        <w:t xml:space="preserve">第5章 </w:t>
      </w:r>
      <w:r>
        <w:rPr>
          <w:rFonts w:hint="eastAsia"/>
          <w:color w:val="auto"/>
          <w:highlight w:val="none"/>
        </w:rPr>
        <w:t>采购合同（草案）</w:t>
      </w:r>
      <w:r>
        <w:rPr>
          <w:color w:val="auto"/>
          <w:highlight w:val="none"/>
        </w:rPr>
        <w:tab/>
      </w:r>
      <w:r>
        <w:rPr>
          <w:color w:val="auto"/>
          <w:highlight w:val="none"/>
        </w:rPr>
        <w:fldChar w:fldCharType="begin"/>
      </w:r>
      <w:r>
        <w:rPr>
          <w:color w:val="auto"/>
          <w:highlight w:val="none"/>
        </w:rPr>
        <w:instrText xml:space="preserve"> PAGEREF _Toc2427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"_Toc11225" </w:instrText>
      </w:r>
      <w:r>
        <w:rPr>
          <w:color w:val="auto"/>
          <w:highlight w:val="none"/>
        </w:rPr>
        <w:fldChar w:fldCharType="separate"/>
      </w:r>
      <w:r>
        <w:rPr>
          <w:rFonts w:hint="eastAsia" w:ascii="宋体" w:hAnsi="宋体" w:cs="宋体"/>
          <w:bCs/>
          <w:color w:val="auto"/>
          <w:szCs w:val="32"/>
          <w:highlight w:val="none"/>
        </w:rPr>
        <w:t>附件1：政府采购云平台使用介绍</w:t>
      </w:r>
      <w:r>
        <w:rPr>
          <w:color w:val="auto"/>
          <w:highlight w:val="none"/>
        </w:rPr>
        <w:tab/>
      </w:r>
      <w:r>
        <w:rPr>
          <w:color w:val="auto"/>
          <w:highlight w:val="none"/>
        </w:rPr>
        <w:fldChar w:fldCharType="begin"/>
      </w:r>
      <w:r>
        <w:rPr>
          <w:color w:val="auto"/>
          <w:highlight w:val="none"/>
        </w:rPr>
        <w:instrText xml:space="preserve"> PAGEREF _Toc11225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"_Toc14467" </w:instrText>
      </w:r>
      <w:r>
        <w:rPr>
          <w:color w:val="auto"/>
          <w:highlight w:val="none"/>
        </w:rPr>
        <w:fldChar w:fldCharType="separate"/>
      </w:r>
      <w:r>
        <w:rPr>
          <w:rFonts w:hint="eastAsia" w:ascii="宋体" w:hAnsi="宋体" w:cs="宋体"/>
          <w:bCs/>
          <w:color w:val="auto"/>
          <w:szCs w:val="32"/>
          <w:highlight w:val="none"/>
        </w:rPr>
        <w:t>附件2：质疑函范本</w:t>
      </w:r>
      <w:r>
        <w:rPr>
          <w:color w:val="auto"/>
          <w:highlight w:val="none"/>
        </w:rPr>
        <w:tab/>
      </w:r>
      <w:r>
        <w:rPr>
          <w:color w:val="auto"/>
          <w:highlight w:val="none"/>
        </w:rPr>
        <w:fldChar w:fldCharType="begin"/>
      </w:r>
      <w:r>
        <w:rPr>
          <w:color w:val="auto"/>
          <w:highlight w:val="none"/>
        </w:rPr>
        <w:instrText xml:space="preserve"> PAGEREF _Toc14467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36"/>
        <w:tabs>
          <w:tab w:val="right" w:leader="dot" w:pos="9214"/>
        </w:tabs>
        <w:rPr>
          <w:color w:val="auto"/>
          <w:highlight w:val="none"/>
        </w:rPr>
      </w:pPr>
      <w:r>
        <w:rPr>
          <w:color w:val="auto"/>
          <w:highlight w:val="none"/>
        </w:rPr>
        <w:fldChar w:fldCharType="begin"/>
      </w:r>
      <w:r>
        <w:rPr>
          <w:color w:val="auto"/>
          <w:highlight w:val="none"/>
        </w:rPr>
        <w:instrText xml:space="preserve"> HYPERLINK \l "_Toc18919" </w:instrText>
      </w:r>
      <w:r>
        <w:rPr>
          <w:color w:val="auto"/>
          <w:highlight w:val="none"/>
        </w:rPr>
        <w:fldChar w:fldCharType="separate"/>
      </w:r>
      <w:r>
        <w:rPr>
          <w:rFonts w:hint="eastAsia" w:ascii="宋体" w:hAnsi="宋体" w:cs="宋体"/>
          <w:bCs/>
          <w:color w:val="auto"/>
          <w:szCs w:val="32"/>
          <w:highlight w:val="none"/>
        </w:rPr>
        <w:t>附件3：投诉书范本</w:t>
      </w:r>
      <w:r>
        <w:rPr>
          <w:color w:val="auto"/>
          <w:highlight w:val="none"/>
        </w:rPr>
        <w:tab/>
      </w:r>
      <w:r>
        <w:rPr>
          <w:color w:val="auto"/>
          <w:highlight w:val="none"/>
        </w:rPr>
        <w:fldChar w:fldCharType="begin"/>
      </w:r>
      <w:r>
        <w:rPr>
          <w:color w:val="auto"/>
          <w:highlight w:val="none"/>
        </w:rPr>
        <w:instrText xml:space="preserve"> PAGEREF _Toc18919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tabs>
          <w:tab w:val="center" w:pos="4153"/>
          <w:tab w:val="right" w:pos="8306"/>
        </w:tabs>
        <w:spacing w:line="360" w:lineRule="auto"/>
        <w:jc w:val="center"/>
        <w:rPr>
          <w:rFonts w:ascii="宋体" w:hAnsi="宋体"/>
          <w:b/>
          <w:bCs/>
          <w:color w:val="auto"/>
          <w:sz w:val="36"/>
          <w:szCs w:val="36"/>
          <w:highlight w:val="none"/>
        </w:rPr>
        <w:sectPr>
          <w:footerReference r:id="rId7" w:type="first"/>
          <w:footerReference r:id="rId6"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4"/>
        <w:spacing w:line="460" w:lineRule="exact"/>
        <w:rPr>
          <w:color w:val="auto"/>
          <w:highlight w:val="none"/>
        </w:rPr>
      </w:pPr>
      <w:bookmarkStart w:id="57" w:name="_Toc8275"/>
      <w:r>
        <w:rPr>
          <w:rFonts w:hint="eastAsia"/>
          <w:color w:val="auto"/>
          <w:highlight w:val="none"/>
        </w:rPr>
        <w:t>竞争性磋商邀请</w:t>
      </w:r>
      <w:bookmarkEnd w:id="57"/>
    </w:p>
    <w:p>
      <w:pPr>
        <w:spacing w:line="460" w:lineRule="exact"/>
        <w:ind w:firstLine="482" w:firstLineChars="200"/>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rPr>
        <w:t>成都市龙泉驿区水务局</w:t>
      </w:r>
      <w:r>
        <w:rPr>
          <w:rFonts w:hint="eastAsia" w:ascii="宋体" w:hAnsi="宋体"/>
          <w:color w:val="auto"/>
          <w:highlight w:val="none"/>
        </w:rPr>
        <w:t>的委托，拟对</w:t>
      </w:r>
      <w:r>
        <w:rPr>
          <w:rFonts w:hint="eastAsia" w:ascii="宋体" w:hAnsi="宋体"/>
          <w:b/>
          <w:color w:val="auto"/>
          <w:highlight w:val="none"/>
        </w:rPr>
        <w:t>成都市龙泉驿区水务局水务综合规划（2021-2035）修编服务采购项目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numPr>
          <w:ilvl w:val="0"/>
          <w:numId w:val="7"/>
        </w:numPr>
        <w:spacing w:line="460" w:lineRule="exact"/>
        <w:ind w:left="0" w:firstLine="482" w:firstLineChars="200"/>
        <w:rPr>
          <w:rFonts w:ascii="宋体" w:hAnsi="宋体"/>
          <w:b/>
          <w:bCs/>
          <w:color w:val="auto"/>
          <w:highlight w:val="none"/>
        </w:rPr>
      </w:pPr>
      <w:r>
        <w:rPr>
          <w:rFonts w:hint="eastAsia" w:ascii="宋体" w:hAnsi="宋体"/>
          <w:b/>
          <w:bCs/>
          <w:color w:val="auto"/>
          <w:highlight w:val="none"/>
        </w:rPr>
        <w:t>项目基本情况</w:t>
      </w:r>
    </w:p>
    <w:p>
      <w:pPr>
        <w:numPr>
          <w:ilvl w:val="0"/>
          <w:numId w:val="8"/>
        </w:numPr>
        <w:spacing w:line="460" w:lineRule="exact"/>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Cs/>
          <w:color w:val="auto"/>
          <w:highlight w:val="none"/>
          <w:lang w:eastAsia="zh-CN"/>
        </w:rPr>
        <w:t>510112202200015</w:t>
      </w:r>
    </w:p>
    <w:p>
      <w:pPr>
        <w:numPr>
          <w:ilvl w:val="0"/>
          <w:numId w:val="8"/>
        </w:numPr>
        <w:spacing w:line="460" w:lineRule="exact"/>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Cs/>
          <w:color w:val="auto"/>
          <w:highlight w:val="none"/>
        </w:rPr>
        <w:t xml:space="preserve">成都市龙泉驿区水务局水务综合规划（2021-2035）修编服务采购项目 </w:t>
      </w:r>
    </w:p>
    <w:p>
      <w:pPr>
        <w:numPr>
          <w:ilvl w:val="0"/>
          <w:numId w:val="8"/>
        </w:numPr>
        <w:spacing w:line="460" w:lineRule="exact"/>
        <w:rPr>
          <w:rFonts w:ascii="宋体" w:hAnsi="宋体"/>
          <w:color w:val="auto"/>
          <w:highlight w:val="none"/>
        </w:rPr>
      </w:pPr>
      <w:r>
        <w:rPr>
          <w:rFonts w:hint="eastAsia" w:ascii="宋体" w:hAnsi="宋体"/>
          <w:b/>
          <w:color w:val="auto"/>
          <w:highlight w:val="none"/>
        </w:rPr>
        <w:t>资金来源：</w:t>
      </w:r>
      <w:r>
        <w:rPr>
          <w:rFonts w:hint="eastAsia" w:ascii="宋体" w:hAnsi="宋体"/>
          <w:color w:val="auto"/>
          <w:highlight w:val="none"/>
        </w:rPr>
        <w:t>财政性资金，已落实。</w:t>
      </w:r>
    </w:p>
    <w:p>
      <w:pPr>
        <w:numPr>
          <w:ilvl w:val="0"/>
          <w:numId w:val="8"/>
        </w:numPr>
        <w:spacing w:line="460" w:lineRule="exact"/>
        <w:rPr>
          <w:rFonts w:ascii="宋体" w:hAnsi="宋体"/>
          <w:color w:val="auto"/>
          <w:highlight w:val="none"/>
        </w:rPr>
      </w:pPr>
      <w:r>
        <w:rPr>
          <w:rFonts w:hint="eastAsia" w:ascii="宋体" w:hAnsi="宋体"/>
          <w:b/>
          <w:color w:val="auto"/>
          <w:highlight w:val="none"/>
        </w:rPr>
        <w:t>预算金额</w:t>
      </w:r>
      <w:r>
        <w:rPr>
          <w:rFonts w:hint="eastAsia" w:ascii="宋体" w:hAnsi="宋体"/>
          <w:color w:val="auto"/>
          <w:highlight w:val="none"/>
        </w:rPr>
        <w:t>：</w:t>
      </w:r>
      <w:r>
        <w:rPr>
          <w:rFonts w:ascii="宋体" w:hAnsi="宋体"/>
          <w:color w:val="auto"/>
          <w:highlight w:val="none"/>
        </w:rPr>
        <w:t>160</w:t>
      </w:r>
      <w:r>
        <w:rPr>
          <w:rFonts w:hint="eastAsia" w:ascii="宋体" w:hAnsi="宋体"/>
          <w:color w:val="auto"/>
          <w:highlight w:val="none"/>
        </w:rPr>
        <w:t>万元（其中包件一预算金额：</w:t>
      </w:r>
      <w:r>
        <w:rPr>
          <w:rFonts w:ascii="宋体" w:hAnsi="宋体"/>
          <w:color w:val="auto"/>
          <w:highlight w:val="none"/>
        </w:rPr>
        <w:t>40</w:t>
      </w:r>
      <w:r>
        <w:rPr>
          <w:rFonts w:hint="eastAsia" w:ascii="宋体" w:hAnsi="宋体"/>
          <w:color w:val="auto"/>
          <w:highlight w:val="none"/>
        </w:rPr>
        <w:t>万元；包件二预算金额：</w:t>
      </w:r>
      <w:r>
        <w:rPr>
          <w:rFonts w:ascii="宋体" w:hAnsi="宋体"/>
          <w:color w:val="auto"/>
          <w:highlight w:val="none"/>
        </w:rPr>
        <w:t>35</w:t>
      </w:r>
      <w:r>
        <w:rPr>
          <w:rFonts w:hint="eastAsia" w:ascii="宋体" w:hAnsi="宋体"/>
          <w:color w:val="auto"/>
          <w:highlight w:val="none"/>
        </w:rPr>
        <w:t>万元；包件三预算金额：</w:t>
      </w:r>
      <w:r>
        <w:rPr>
          <w:rFonts w:ascii="宋体" w:hAnsi="宋体"/>
          <w:color w:val="auto"/>
          <w:highlight w:val="none"/>
        </w:rPr>
        <w:t>25</w:t>
      </w:r>
      <w:r>
        <w:rPr>
          <w:rFonts w:hint="eastAsia" w:ascii="宋体" w:hAnsi="宋体"/>
          <w:color w:val="auto"/>
          <w:highlight w:val="none"/>
        </w:rPr>
        <w:t>万元；包件四预算金额：3</w:t>
      </w:r>
      <w:r>
        <w:rPr>
          <w:rFonts w:ascii="宋体" w:hAnsi="宋体"/>
          <w:color w:val="auto"/>
          <w:highlight w:val="none"/>
        </w:rPr>
        <w:t>0</w:t>
      </w:r>
      <w:r>
        <w:rPr>
          <w:rFonts w:hint="eastAsia" w:ascii="宋体" w:hAnsi="宋体"/>
          <w:color w:val="auto"/>
          <w:highlight w:val="none"/>
        </w:rPr>
        <w:t>万元；包件五预算金额：3</w:t>
      </w:r>
      <w:r>
        <w:rPr>
          <w:rFonts w:ascii="宋体" w:hAnsi="宋体"/>
          <w:color w:val="auto"/>
          <w:highlight w:val="none"/>
        </w:rPr>
        <w:t>0</w:t>
      </w:r>
      <w:r>
        <w:rPr>
          <w:rFonts w:hint="eastAsia" w:ascii="宋体" w:hAnsi="宋体"/>
          <w:color w:val="auto"/>
          <w:highlight w:val="none"/>
        </w:rPr>
        <w:t>万元）。</w:t>
      </w:r>
    </w:p>
    <w:p>
      <w:pPr>
        <w:numPr>
          <w:ilvl w:val="0"/>
          <w:numId w:val="8"/>
        </w:numPr>
        <w:spacing w:line="460" w:lineRule="exact"/>
        <w:rPr>
          <w:b/>
          <w:bCs/>
          <w:color w:val="auto"/>
          <w:highlight w:val="none"/>
        </w:rPr>
      </w:pPr>
      <w:r>
        <w:rPr>
          <w:rFonts w:hint="eastAsia"/>
          <w:b/>
          <w:bCs/>
          <w:color w:val="auto"/>
          <w:highlight w:val="none"/>
        </w:rPr>
        <w:t>预算品目：</w:t>
      </w:r>
      <w:r>
        <w:rPr>
          <w:rFonts w:hint="eastAsia"/>
          <w:color w:val="auto"/>
          <w:highlight w:val="none"/>
        </w:rPr>
        <w:t xml:space="preserve"> </w:t>
      </w:r>
      <w:r>
        <w:rPr>
          <w:rFonts w:hint="eastAsia"/>
          <w:color w:val="auto"/>
          <w:highlight w:val="none"/>
          <w:lang w:val="en-US" w:eastAsia="zh-CN"/>
        </w:rPr>
        <w:t>C99其他服务。</w:t>
      </w:r>
    </w:p>
    <w:p>
      <w:pPr>
        <w:numPr>
          <w:ilvl w:val="0"/>
          <w:numId w:val="8"/>
        </w:numPr>
        <w:spacing w:line="460" w:lineRule="exact"/>
        <w:rPr>
          <w:b/>
          <w:bCs/>
          <w:color w:val="auto"/>
          <w:highlight w:val="none"/>
        </w:rPr>
      </w:pPr>
      <w:r>
        <w:rPr>
          <w:rFonts w:hint="eastAsia"/>
          <w:b/>
          <w:bCs/>
          <w:color w:val="auto"/>
          <w:highlight w:val="none"/>
        </w:rPr>
        <w:t>采购项目简介</w:t>
      </w:r>
    </w:p>
    <w:p>
      <w:pPr>
        <w:spacing w:line="360" w:lineRule="auto"/>
        <w:ind w:firstLine="482"/>
        <w:rPr>
          <w:color w:val="auto"/>
          <w:highlight w:val="none"/>
        </w:rPr>
      </w:pPr>
      <w:r>
        <w:rPr>
          <w:rFonts w:hint="eastAsia" w:ascii="宋体" w:hAnsi="宋体" w:cs="宋体"/>
          <w:bCs/>
          <w:color w:val="auto"/>
          <w:highlight w:val="none"/>
        </w:rPr>
        <w:t>成都市龙泉驿区水务局水务综合规划（2021-2035）修编服务采购项目 ，本项目共5个包件，各包确定一名合法供应商。其中包件一：水系综合治理规划（2021—2035）修编；包件二：防洪规划（2021—2035）修编；包件三：水资源综合规划（2021—2035）修编；包件四：城市供水规划（2021—2035）修编；包件五：城乡排水规划（2021—2035）修编，各包供应商必须对所投包件服务内容进行响应，并响应竞争性磋商文件的要求。详细的技术、服务及其他要求见第3章。</w:t>
      </w:r>
    </w:p>
    <w:p>
      <w:pPr>
        <w:numPr>
          <w:ilvl w:val="0"/>
          <w:numId w:val="7"/>
        </w:numPr>
        <w:spacing w:line="460" w:lineRule="exact"/>
        <w:ind w:left="0" w:firstLine="482" w:firstLineChars="200"/>
        <w:rPr>
          <w:rFonts w:ascii="宋体" w:hAnsi="宋体"/>
          <w:b/>
          <w:color w:val="auto"/>
          <w:highlight w:val="none"/>
        </w:rPr>
      </w:pPr>
      <w:r>
        <w:rPr>
          <w:rFonts w:hint="eastAsia" w:ascii="宋体" w:hAnsi="宋体"/>
          <w:b/>
          <w:color w:val="auto"/>
          <w:highlight w:val="none"/>
        </w:rPr>
        <w:t>供应商邀请方式</w:t>
      </w:r>
    </w:p>
    <w:p>
      <w:pPr>
        <w:spacing w:after="120" w:line="460" w:lineRule="exact"/>
        <w:ind w:firstLine="480" w:firstLineChars="200"/>
        <w:rPr>
          <w:color w:val="auto"/>
          <w:highlight w:val="none"/>
        </w:rPr>
      </w:pPr>
      <w:r>
        <w:rPr>
          <w:rFonts w:hint="eastAsia" w:ascii="宋体" w:hAnsi="宋体"/>
          <w:bCs/>
          <w:color w:val="auto"/>
          <w:highlight w:val="none"/>
        </w:rPr>
        <w:t>公告方式：本次竞争性磋商邀请在四川政府采购网（www.sczfcg.com）上以公告形式发布。</w:t>
      </w:r>
      <w:r>
        <w:rPr>
          <w:rFonts w:hint="eastAsia" w:ascii="宋体" w:hAnsi="宋体" w:cs="宋体"/>
          <w:bCs/>
          <w:color w:val="auto"/>
          <w:highlight w:val="none"/>
        </w:rPr>
        <w:t>公告期限为发布之日起5个工作日。</w:t>
      </w:r>
    </w:p>
    <w:p>
      <w:pPr>
        <w:numPr>
          <w:ilvl w:val="0"/>
          <w:numId w:val="7"/>
        </w:numPr>
        <w:spacing w:line="360" w:lineRule="auto"/>
        <w:ind w:left="0" w:firstLine="482" w:firstLineChars="200"/>
        <w:rPr>
          <w:rFonts w:ascii="宋体" w:hAnsi="宋体"/>
          <w:b/>
          <w:color w:val="auto"/>
          <w:highlight w:val="none"/>
        </w:rPr>
      </w:pPr>
      <w:r>
        <w:rPr>
          <w:rFonts w:hint="eastAsia" w:ascii="宋体" w:hAnsi="宋体"/>
          <w:b/>
          <w:color w:val="auto"/>
          <w:highlight w:val="none"/>
        </w:rPr>
        <w:t>各包供应商参加本次政府采购活动应具备的条件</w:t>
      </w:r>
    </w:p>
    <w:p>
      <w:pPr>
        <w:pStyle w:val="172"/>
        <w:numPr>
          <w:ilvl w:val="0"/>
          <w:numId w:val="9"/>
        </w:numPr>
        <w:tabs>
          <w:tab w:val="left" w:pos="1260"/>
        </w:tabs>
        <w:spacing w:line="460" w:lineRule="exact"/>
        <w:ind w:firstLine="240" w:firstLineChars="0"/>
        <w:rPr>
          <w:rFonts w:ascii="宋体" w:hAnsi="宋体" w:cs="宋体"/>
          <w:b/>
          <w:bCs/>
          <w:color w:val="auto"/>
          <w:sz w:val="24"/>
          <w:highlight w:val="none"/>
        </w:rPr>
      </w:pPr>
      <w:r>
        <w:rPr>
          <w:rFonts w:hint="eastAsia" w:ascii="宋体" w:hAnsi="宋体" w:cs="宋体"/>
          <w:b/>
          <w:bCs/>
          <w:color w:val="auto"/>
          <w:sz w:val="24"/>
          <w:highlight w:val="none"/>
        </w:rPr>
        <w:t>满足《中华人民共和国政府采购法》第二十二条规定的条件：</w:t>
      </w:r>
    </w:p>
    <w:p>
      <w:pPr>
        <w:numPr>
          <w:ilvl w:val="0"/>
          <w:numId w:val="10"/>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具有独立承担民事责任的能力；</w:t>
      </w:r>
    </w:p>
    <w:p>
      <w:pPr>
        <w:numPr>
          <w:ilvl w:val="0"/>
          <w:numId w:val="10"/>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具有良好的商业信誉和健全的财务会计制度；</w:t>
      </w:r>
    </w:p>
    <w:p>
      <w:pPr>
        <w:numPr>
          <w:ilvl w:val="0"/>
          <w:numId w:val="10"/>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具有履行合同所必须的设备和专业技术能力；</w:t>
      </w:r>
    </w:p>
    <w:p>
      <w:pPr>
        <w:numPr>
          <w:ilvl w:val="0"/>
          <w:numId w:val="10"/>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具有依法缴纳税收和社会保障资金的良好记录；</w:t>
      </w:r>
    </w:p>
    <w:p>
      <w:pPr>
        <w:numPr>
          <w:ilvl w:val="0"/>
          <w:numId w:val="10"/>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参加本次政府采购活动前三年内，在经营活动中没有重大违法记录。</w:t>
      </w:r>
    </w:p>
    <w:p>
      <w:pPr>
        <w:pStyle w:val="172"/>
        <w:numPr>
          <w:ilvl w:val="0"/>
          <w:numId w:val="9"/>
        </w:numPr>
        <w:tabs>
          <w:tab w:val="left" w:pos="1260"/>
        </w:tabs>
        <w:spacing w:line="460" w:lineRule="exact"/>
        <w:ind w:firstLine="240" w:firstLineChars="0"/>
        <w:rPr>
          <w:rFonts w:ascii="宋体" w:hAnsi="宋体" w:cs="宋体"/>
          <w:b/>
          <w:bCs/>
          <w:color w:val="auto"/>
          <w:sz w:val="24"/>
          <w:highlight w:val="none"/>
        </w:rPr>
      </w:pPr>
      <w:r>
        <w:rPr>
          <w:rFonts w:hint="eastAsia" w:ascii="宋体" w:hAnsi="宋体" w:cs="宋体"/>
          <w:b/>
          <w:bCs/>
          <w:color w:val="auto"/>
          <w:sz w:val="24"/>
          <w:highlight w:val="none"/>
        </w:rPr>
        <w:t>法律法规规定的其他条件：</w:t>
      </w:r>
    </w:p>
    <w:p>
      <w:pPr>
        <w:numPr>
          <w:ilvl w:val="0"/>
          <w:numId w:val="11"/>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 xml:space="preserve">在行贿犯罪信息查询期限内，供应商及其现任法定代表人、主要负责人没有行贿犯罪记录； </w:t>
      </w:r>
    </w:p>
    <w:p>
      <w:pPr>
        <w:numPr>
          <w:ilvl w:val="0"/>
          <w:numId w:val="11"/>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单位负责人为同一人或者存在控股、管理关系的不同供应商，不得参加同一合同项下的政府采购活动；</w:t>
      </w:r>
    </w:p>
    <w:p>
      <w:pPr>
        <w:numPr>
          <w:ilvl w:val="0"/>
          <w:numId w:val="11"/>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 xml:space="preserve">供应商未对本次采购项目提供过整体设计、规范编制或者项目管理、监理、检测等服务； </w:t>
      </w:r>
    </w:p>
    <w:p>
      <w:pPr>
        <w:numPr>
          <w:ilvl w:val="0"/>
          <w:numId w:val="11"/>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供应商不得为列入失信被执行人名单、重大税收违法案件当事人名单、政府采购严重违法失信行为记录名单中的供应商；</w:t>
      </w:r>
    </w:p>
    <w:p>
      <w:pPr>
        <w:numPr>
          <w:ilvl w:val="0"/>
          <w:numId w:val="11"/>
        </w:numPr>
        <w:shd w:val="clear" w:color="auto" w:fill="FFFFFF"/>
        <w:tabs>
          <w:tab w:val="left" w:pos="0"/>
        </w:tabs>
        <w:spacing w:line="460" w:lineRule="exact"/>
        <w:ind w:left="5" w:firstLine="715"/>
        <w:rPr>
          <w:rFonts w:ascii="宋体" w:hAnsi="宋体" w:cs="宋体"/>
          <w:color w:val="auto"/>
          <w:highlight w:val="none"/>
        </w:rPr>
      </w:pPr>
      <w:r>
        <w:rPr>
          <w:rFonts w:hint="eastAsia" w:ascii="宋体" w:hAnsi="宋体" w:cs="宋体"/>
          <w:color w:val="auto"/>
          <w:highlight w:val="none"/>
        </w:rPr>
        <w:t>（除本项1-4点规定以外的）法律、行政法规规定的其他条件。</w:t>
      </w:r>
    </w:p>
    <w:p>
      <w:pPr>
        <w:pStyle w:val="172"/>
        <w:numPr>
          <w:ilvl w:val="0"/>
          <w:numId w:val="9"/>
        </w:numPr>
        <w:tabs>
          <w:tab w:val="left" w:pos="1260"/>
        </w:tabs>
        <w:ind w:firstLine="24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落实政府采购政策需满足的资格要求：</w:t>
      </w:r>
      <w:r>
        <w:rPr>
          <w:rFonts w:hint="eastAsia" w:ascii="宋体" w:hAnsi="宋体" w:cs="宋体"/>
          <w:color w:val="auto"/>
          <w:sz w:val="24"/>
          <w:szCs w:val="24"/>
          <w:highlight w:val="none"/>
        </w:rPr>
        <w:t>无。</w:t>
      </w:r>
    </w:p>
    <w:p>
      <w:pPr>
        <w:pStyle w:val="172"/>
        <w:numPr>
          <w:ilvl w:val="0"/>
          <w:numId w:val="9"/>
        </w:numPr>
        <w:tabs>
          <w:tab w:val="left" w:pos="1260"/>
        </w:tabs>
        <w:ind w:firstLine="240" w:firstLineChars="0"/>
        <w:rPr>
          <w:rFonts w:ascii="宋体" w:hAnsi="宋体" w:cs="宋体"/>
          <w:b/>
          <w:bCs/>
          <w:color w:val="auto"/>
          <w:sz w:val="24"/>
          <w:highlight w:val="none"/>
        </w:rPr>
      </w:pPr>
      <w:r>
        <w:rPr>
          <w:rFonts w:hint="eastAsia" w:ascii="宋体" w:hAnsi="宋体" w:cs="宋体"/>
          <w:b/>
          <w:bCs/>
          <w:color w:val="auto"/>
          <w:sz w:val="24"/>
          <w:highlight w:val="none"/>
        </w:rPr>
        <w:t>本项目不接受联合体磋商。</w:t>
      </w:r>
    </w:p>
    <w:p>
      <w:pPr>
        <w:pStyle w:val="172"/>
        <w:numPr>
          <w:ilvl w:val="0"/>
          <w:numId w:val="9"/>
        </w:numPr>
        <w:tabs>
          <w:tab w:val="left" w:pos="1260"/>
        </w:tabs>
        <w:ind w:firstLine="240" w:firstLineChars="0"/>
        <w:rPr>
          <w:rFonts w:ascii="宋体" w:hAnsi="宋体" w:cs="宋体"/>
          <w:color w:val="auto"/>
          <w:sz w:val="24"/>
          <w:highlight w:val="none"/>
        </w:rPr>
      </w:pPr>
      <w:r>
        <w:rPr>
          <w:rFonts w:hint="eastAsia" w:ascii="宋体" w:hAnsi="宋体" w:cs="宋体"/>
          <w:b/>
          <w:bCs/>
          <w:color w:val="auto"/>
          <w:sz w:val="24"/>
          <w:highlight w:val="none"/>
        </w:rPr>
        <w:t>本项目特定资格条件：</w:t>
      </w:r>
      <w:r>
        <w:rPr>
          <w:rFonts w:hint="eastAsia" w:ascii="宋体" w:hAnsi="宋体" w:cs="宋体"/>
          <w:color w:val="auto"/>
          <w:sz w:val="24"/>
          <w:highlight w:val="none"/>
        </w:rPr>
        <w:t>无。</w:t>
      </w:r>
    </w:p>
    <w:p>
      <w:pPr>
        <w:numPr>
          <w:ilvl w:val="0"/>
          <w:numId w:val="7"/>
        </w:numPr>
        <w:spacing w:line="440" w:lineRule="exact"/>
        <w:ind w:left="0" w:firstLine="482" w:firstLineChars="200"/>
        <w:rPr>
          <w:rFonts w:ascii="宋体" w:hAnsi="宋体"/>
          <w:b/>
          <w:color w:val="auto"/>
          <w:highlight w:val="none"/>
        </w:rPr>
      </w:pPr>
      <w:r>
        <w:rPr>
          <w:rFonts w:hint="eastAsia" w:ascii="宋体" w:hAnsi="宋体" w:cs="宋体"/>
          <w:b/>
          <w:bCs/>
          <w:color w:val="auto"/>
          <w:highlight w:val="none"/>
          <w:lang w:val="zh-CN"/>
        </w:rPr>
        <w:t>磋商文件</w:t>
      </w:r>
      <w:r>
        <w:rPr>
          <w:rFonts w:hint="eastAsia" w:ascii="宋体" w:hAnsi="宋体" w:cs="宋体"/>
          <w:b/>
          <w:color w:val="auto"/>
          <w:highlight w:val="none"/>
        </w:rPr>
        <w:t>获取时间、地点</w:t>
      </w:r>
    </w:p>
    <w:p>
      <w:pPr>
        <w:widowControl w:val="0"/>
        <w:spacing w:line="440" w:lineRule="exact"/>
        <w:ind w:firstLine="494"/>
        <w:rPr>
          <w:rFonts w:ascii="宋体" w:hAnsi="宋体"/>
          <w:color w:val="auto"/>
          <w:highlight w:val="none"/>
        </w:rPr>
      </w:pPr>
      <w:r>
        <w:rPr>
          <w:rFonts w:hint="eastAsia" w:ascii="宋体" w:hAnsi="宋体"/>
          <w:b/>
          <w:color w:val="auto"/>
          <w:highlight w:val="none"/>
        </w:rPr>
        <w:t>磋商文件获取时间：</w:t>
      </w:r>
      <w:r>
        <w:rPr>
          <w:rFonts w:hint="eastAsia" w:ascii="宋体" w:hAnsi="宋体"/>
          <w:color w:val="auto"/>
          <w:highlight w:val="none"/>
        </w:rPr>
        <w:t>2022年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日至2022年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14</w:t>
      </w:r>
      <w:r>
        <w:rPr>
          <w:rFonts w:hint="eastAsia" w:ascii="宋体" w:hAnsi="宋体"/>
          <w:color w:val="auto"/>
          <w:highlight w:val="none"/>
        </w:rPr>
        <w:t>日。</w:t>
      </w:r>
    </w:p>
    <w:p>
      <w:pPr>
        <w:widowControl w:val="0"/>
        <w:spacing w:line="440" w:lineRule="exact"/>
        <w:ind w:firstLine="494"/>
        <w:rPr>
          <w:rFonts w:ascii="宋体" w:hAnsi="宋体"/>
          <w:b/>
          <w:color w:val="auto"/>
          <w:highlight w:val="none"/>
        </w:rPr>
      </w:pPr>
      <w:r>
        <w:rPr>
          <w:rFonts w:hint="eastAsia" w:ascii="宋体" w:hAnsi="宋体"/>
          <w:b/>
          <w:color w:val="auto"/>
          <w:highlight w:val="none"/>
        </w:rPr>
        <w:t>磋商</w:t>
      </w:r>
      <w:r>
        <w:rPr>
          <w:rFonts w:hint="eastAsia" w:ascii="宋体" w:hAnsi="宋体"/>
          <w:b/>
          <w:bCs/>
          <w:color w:val="auto"/>
          <w:highlight w:val="none"/>
        </w:rPr>
        <w:t>文件获取方式：</w:t>
      </w:r>
      <w:r>
        <w:rPr>
          <w:rFonts w:hint="eastAsia" w:ascii="宋体" w:hAnsi="宋体"/>
          <w:b/>
          <w:color w:val="auto"/>
          <w:highlight w:val="none"/>
        </w:rPr>
        <w:t>供应商从“政府采购云平台”获取磋商文件（网址：https://www.zcygov.cn）。登录政府采购云平台—项目采购—获取磋商文件—申请获取磋商文件。</w:t>
      </w:r>
    </w:p>
    <w:p>
      <w:pPr>
        <w:spacing w:after="50" w:line="420" w:lineRule="exact"/>
        <w:ind w:firstLine="480"/>
        <w:rPr>
          <w:rFonts w:ascii="宋体" w:hAnsi="宋体" w:cs="宋体"/>
          <w:b/>
          <w:bCs/>
          <w:color w:val="auto"/>
          <w:highlight w:val="none"/>
        </w:rPr>
      </w:pPr>
      <w:r>
        <w:rPr>
          <w:rFonts w:hint="eastAsia" w:ascii="宋体" w:hAnsi="宋体" w:cs="宋体"/>
          <w:b/>
          <w:bCs/>
          <w:color w:val="auto"/>
          <w:highlight w:val="none"/>
        </w:rPr>
        <w:t>温馨提示：</w:t>
      </w:r>
    </w:p>
    <w:p>
      <w:pPr>
        <w:numPr>
          <w:ilvl w:val="0"/>
          <w:numId w:val="12"/>
        </w:numPr>
        <w:tabs>
          <w:tab w:val="left" w:pos="240"/>
          <w:tab w:val="clear" w:pos="420"/>
        </w:tabs>
        <w:spacing w:after="50" w:line="420" w:lineRule="exact"/>
        <w:ind w:left="5" w:firstLine="715"/>
        <w:rPr>
          <w:rFonts w:ascii="宋体" w:hAnsi="宋体" w:cs="宋体"/>
          <w:color w:val="auto"/>
          <w:highlight w:val="none"/>
        </w:rPr>
      </w:pPr>
      <w:r>
        <w:rPr>
          <w:rFonts w:hint="eastAsia" w:ascii="宋体" w:hAnsi="宋体" w:cs="宋体"/>
          <w:color w:val="auto"/>
          <w:highlight w:val="none"/>
        </w:rPr>
        <w:t>本项目</w:t>
      </w:r>
      <w:r>
        <w:rPr>
          <w:rFonts w:hint="eastAsia" w:ascii="宋体" w:hAnsi="宋体"/>
          <w:color w:val="auto"/>
          <w:highlight w:val="none"/>
        </w:rPr>
        <w:t>磋商文件免费获取（磋商资格不能转让）</w:t>
      </w:r>
      <w:r>
        <w:rPr>
          <w:rFonts w:hint="eastAsia" w:ascii="宋体" w:hAnsi="宋体" w:cs="宋体"/>
          <w:color w:val="auto"/>
          <w:highlight w:val="none"/>
        </w:rPr>
        <w:t>。</w:t>
      </w:r>
    </w:p>
    <w:p>
      <w:pPr>
        <w:numPr>
          <w:ilvl w:val="0"/>
          <w:numId w:val="12"/>
        </w:numPr>
        <w:tabs>
          <w:tab w:val="left" w:pos="240"/>
          <w:tab w:val="clear" w:pos="420"/>
        </w:tabs>
        <w:spacing w:after="50" w:line="420" w:lineRule="exact"/>
        <w:ind w:left="5" w:firstLine="715"/>
        <w:rPr>
          <w:rFonts w:ascii="宋体" w:hAnsi="宋体" w:cs="宋体"/>
          <w:color w:val="auto"/>
          <w:highlight w:val="none"/>
        </w:rPr>
      </w:pPr>
      <w:r>
        <w:rPr>
          <w:rFonts w:hint="eastAsia" w:ascii="宋体" w:hAnsi="宋体" w:cs="宋体"/>
          <w:color w:val="auto"/>
          <w:highlight w:val="none"/>
        </w:rPr>
        <w:t>供应商只有在“政府采购云平台”完成获取磋商文件申请并下载磋商文件后才视作依法参与本项目。如未在“政府采购云平台”内完成相关流程，引起的磋商无效责任自负。</w:t>
      </w:r>
    </w:p>
    <w:p>
      <w:pPr>
        <w:numPr>
          <w:ilvl w:val="0"/>
          <w:numId w:val="12"/>
        </w:numPr>
        <w:tabs>
          <w:tab w:val="left" w:pos="240"/>
          <w:tab w:val="clear" w:pos="420"/>
        </w:tabs>
        <w:spacing w:after="50" w:line="420" w:lineRule="exact"/>
        <w:ind w:left="5" w:firstLine="715"/>
        <w:rPr>
          <w:rFonts w:ascii="宋体" w:hAnsi="宋体"/>
          <w:b/>
          <w:color w:val="auto"/>
          <w:highlight w:val="none"/>
        </w:rPr>
      </w:pPr>
      <w:r>
        <w:rPr>
          <w:rFonts w:hint="eastAsia" w:ascii="宋体" w:hAnsi="宋体" w:cs="宋体"/>
          <w:color w:val="auto"/>
          <w:highlight w:val="none"/>
        </w:rPr>
        <w:t>本项目为电子采购项目，供应商参与本项目全过程中凡涉及系统操作请详见《供应商政府采购项目电子交易操作指南》。（操作指南以政府采购云平台网站发布为准，获取方式详见：</w:t>
      </w:r>
      <w:r>
        <w:rPr>
          <w:rFonts w:hint="eastAsia" w:ascii="宋体" w:hAnsi="宋体" w:cs="宋体"/>
          <w:b/>
          <w:bCs/>
          <w:color w:val="auto"/>
          <w:highlight w:val="none"/>
        </w:rPr>
        <w:t>附件1-政府采购云平台使用介绍</w:t>
      </w:r>
      <w:r>
        <w:rPr>
          <w:rFonts w:hint="eastAsia" w:ascii="宋体" w:hAnsi="宋体" w:cs="宋体"/>
          <w:color w:val="auto"/>
          <w:highlight w:val="none"/>
        </w:rPr>
        <w:t>）</w:t>
      </w:r>
    </w:p>
    <w:p>
      <w:pPr>
        <w:numPr>
          <w:ilvl w:val="0"/>
          <w:numId w:val="7"/>
        </w:numPr>
        <w:spacing w:line="440" w:lineRule="exact"/>
        <w:ind w:left="0" w:firstLine="482" w:firstLineChars="200"/>
        <w:rPr>
          <w:rFonts w:ascii="宋体" w:hAnsi="宋体"/>
          <w:color w:val="auto"/>
          <w:highlight w:val="none"/>
        </w:rPr>
      </w:pPr>
      <w:r>
        <w:rPr>
          <w:rFonts w:hint="eastAsia" w:ascii="宋体" w:hAnsi="宋体" w:cs="宋体"/>
          <w:b/>
          <w:color w:val="auto"/>
          <w:highlight w:val="none"/>
        </w:rPr>
        <w:t>响应文件递交截止时间：2022年</w:t>
      </w:r>
      <w:r>
        <w:rPr>
          <w:rFonts w:hint="eastAsia" w:ascii="宋体" w:hAnsi="宋体" w:cs="宋体"/>
          <w:b/>
          <w:color w:val="auto"/>
          <w:highlight w:val="none"/>
          <w:lang w:val="en-US" w:eastAsia="zh-CN"/>
        </w:rPr>
        <w:t>3</w:t>
      </w:r>
      <w:r>
        <w:rPr>
          <w:rFonts w:hint="eastAsia" w:ascii="宋体" w:hAnsi="宋体" w:cs="宋体"/>
          <w:b/>
          <w:color w:val="auto"/>
          <w:highlight w:val="none"/>
        </w:rPr>
        <w:t xml:space="preserve"> 月 </w:t>
      </w:r>
      <w:r>
        <w:rPr>
          <w:rFonts w:hint="eastAsia" w:ascii="宋体" w:hAnsi="宋体" w:cs="宋体"/>
          <w:b/>
          <w:color w:val="auto"/>
          <w:highlight w:val="none"/>
          <w:lang w:val="en-US" w:eastAsia="zh-CN"/>
        </w:rPr>
        <w:t>22</w:t>
      </w:r>
      <w:r>
        <w:rPr>
          <w:rFonts w:hint="eastAsia" w:ascii="宋体" w:hAnsi="宋体" w:cs="宋体"/>
          <w:b/>
          <w:color w:val="auto"/>
          <w:highlight w:val="none"/>
        </w:rPr>
        <w:t xml:space="preserve"> 日10:30(北京时间)。</w:t>
      </w:r>
    </w:p>
    <w:p>
      <w:pPr>
        <w:spacing w:line="360" w:lineRule="auto"/>
        <w:ind w:firstLine="480" w:firstLineChars="200"/>
        <w:rPr>
          <w:rFonts w:ascii="宋体" w:hAnsi="宋体" w:cs="宋体"/>
          <w:color w:val="auto"/>
          <w:kern w:val="2"/>
          <w:szCs w:val="22"/>
          <w:highlight w:val="none"/>
        </w:rPr>
      </w:pPr>
      <w:r>
        <w:rPr>
          <w:rFonts w:hint="eastAsia" w:hAnsi="宋体" w:cs="宋体"/>
          <w:color w:val="auto"/>
          <w:kern w:val="2"/>
          <w:szCs w:val="22"/>
          <w:highlight w:val="none"/>
        </w:rPr>
        <w:t>磋商</w:t>
      </w:r>
      <w:r>
        <w:rPr>
          <w:rFonts w:hint="eastAsia" w:ascii="宋体" w:hAnsi="宋体" w:cs="宋体"/>
          <w:color w:val="auto"/>
          <w:kern w:val="2"/>
          <w:szCs w:val="22"/>
          <w:highlight w:val="none"/>
        </w:rPr>
        <w:t>截止时间前，</w:t>
      </w:r>
      <w:r>
        <w:rPr>
          <w:rFonts w:hint="eastAsia" w:hAnsi="宋体" w:cs="宋体"/>
          <w:color w:val="auto"/>
          <w:kern w:val="2"/>
          <w:szCs w:val="22"/>
          <w:highlight w:val="none"/>
        </w:rPr>
        <w:t>供应商</w:t>
      </w:r>
      <w:r>
        <w:rPr>
          <w:rFonts w:hint="eastAsia" w:ascii="宋体" w:hAnsi="宋体" w:cs="宋体"/>
          <w:color w:val="auto"/>
          <w:kern w:val="2"/>
          <w:szCs w:val="22"/>
          <w:highlight w:val="none"/>
        </w:rPr>
        <w:t>应将加密的电子</w:t>
      </w:r>
      <w:r>
        <w:rPr>
          <w:rFonts w:hint="eastAsia" w:hAnsi="宋体" w:cs="宋体"/>
          <w:color w:val="auto"/>
          <w:kern w:val="2"/>
          <w:szCs w:val="22"/>
          <w:highlight w:val="none"/>
        </w:rPr>
        <w:t>响应</w:t>
      </w:r>
      <w:r>
        <w:rPr>
          <w:rFonts w:hint="eastAsia" w:ascii="宋体" w:hAnsi="宋体" w:cs="宋体"/>
          <w:color w:val="auto"/>
          <w:kern w:val="2"/>
          <w:szCs w:val="22"/>
          <w:highlight w:val="none"/>
        </w:rPr>
        <w:t>文件递交至“政府采购云平台”对应项目（包件）。本项目只接受供应商加密并提交至“政府采购云平台” （www.zcygov.cn）的响应文件。</w:t>
      </w:r>
    </w:p>
    <w:p>
      <w:pPr>
        <w:numPr>
          <w:ilvl w:val="0"/>
          <w:numId w:val="7"/>
        </w:numPr>
        <w:spacing w:line="420" w:lineRule="exact"/>
        <w:ind w:left="0" w:firstLine="482" w:firstLineChars="200"/>
        <w:rPr>
          <w:rFonts w:ascii="宋体" w:hAnsi="宋体"/>
          <w:b/>
          <w:bCs/>
          <w:color w:val="auto"/>
          <w:highlight w:val="none"/>
        </w:rPr>
      </w:pPr>
      <w:r>
        <w:rPr>
          <w:rFonts w:hint="eastAsia" w:ascii="宋体" w:hAnsi="宋体"/>
          <w:b/>
          <w:bCs/>
          <w:color w:val="auto"/>
          <w:highlight w:val="none"/>
        </w:rPr>
        <w:t>响应文件解密</w:t>
      </w:r>
    </w:p>
    <w:p>
      <w:pPr>
        <w:spacing w:line="420" w:lineRule="exact"/>
        <w:ind w:firstLine="480" w:firstLineChars="200"/>
        <w:rPr>
          <w:rFonts w:ascii="宋体" w:hAnsi="宋体"/>
          <w:color w:val="auto"/>
          <w:highlight w:val="none"/>
        </w:rPr>
      </w:pPr>
      <w:r>
        <w:rPr>
          <w:rFonts w:hint="eastAsia" w:ascii="宋体" w:hAnsi="宋体" w:cs="宋体"/>
          <w:color w:val="auto"/>
          <w:highlight w:val="none"/>
        </w:rPr>
        <w:t>2022年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22</w:t>
      </w:r>
      <w:r>
        <w:rPr>
          <w:rFonts w:hint="eastAsia" w:ascii="宋体" w:hAnsi="宋体" w:cs="宋体"/>
          <w:color w:val="auto"/>
          <w:highlight w:val="none"/>
        </w:rPr>
        <w:t>日10时31分至11时30分（北京时间）。错过开标解密时间的，由供应商自行承担不利后果。</w:t>
      </w:r>
    </w:p>
    <w:p>
      <w:pPr>
        <w:numPr>
          <w:ilvl w:val="0"/>
          <w:numId w:val="7"/>
        </w:numPr>
        <w:spacing w:line="420" w:lineRule="exact"/>
        <w:ind w:left="0" w:firstLine="482" w:firstLineChars="200"/>
        <w:rPr>
          <w:rFonts w:ascii="宋体" w:hAnsi="宋体"/>
          <w:b/>
          <w:color w:val="auto"/>
          <w:highlight w:val="none"/>
        </w:rPr>
      </w:pPr>
      <w:r>
        <w:rPr>
          <w:rFonts w:hint="eastAsia" w:ascii="宋体" w:hAnsi="宋体"/>
          <w:b/>
          <w:color w:val="auto"/>
          <w:highlight w:val="none"/>
        </w:rPr>
        <w:t>磋商地点</w:t>
      </w:r>
    </w:p>
    <w:p>
      <w:pPr>
        <w:spacing w:line="420" w:lineRule="exact"/>
        <w:ind w:firstLine="480" w:firstLineChars="200"/>
        <w:rPr>
          <w:rFonts w:ascii="宋体" w:hAnsi="宋体" w:cs="宋体"/>
          <w:color w:val="auto"/>
          <w:highlight w:val="none"/>
        </w:rPr>
      </w:pPr>
      <w:r>
        <w:rPr>
          <w:rFonts w:hint="eastAsia" w:ascii="宋体" w:hAnsi="宋体" w:cs="宋体"/>
          <w:color w:val="auto"/>
          <w:highlight w:val="none"/>
        </w:rPr>
        <w:t>本项目为不见面磋商。</w:t>
      </w:r>
    </w:p>
    <w:p>
      <w:pPr>
        <w:spacing w:line="420" w:lineRule="exact"/>
        <w:ind w:firstLine="480" w:firstLineChars="200"/>
        <w:rPr>
          <w:rFonts w:ascii="宋体" w:hAnsi="宋体" w:cs="宋体"/>
          <w:color w:val="auto"/>
          <w:highlight w:val="none"/>
        </w:rPr>
      </w:pPr>
      <w:r>
        <w:rPr>
          <w:rFonts w:hint="eastAsia" w:ascii="宋体" w:hAnsi="宋体" w:cs="宋体"/>
          <w:color w:val="auto"/>
          <w:highlight w:val="none"/>
        </w:rPr>
        <w:t>磋商地点：政府采购云平台开标大厅。</w:t>
      </w:r>
    </w:p>
    <w:p>
      <w:pPr>
        <w:numPr>
          <w:ilvl w:val="0"/>
          <w:numId w:val="7"/>
        </w:numPr>
        <w:spacing w:line="420" w:lineRule="exact"/>
        <w:ind w:left="0" w:firstLine="482" w:firstLineChars="200"/>
        <w:rPr>
          <w:rFonts w:ascii="宋体" w:hAnsi="宋体"/>
          <w:b/>
          <w:color w:val="auto"/>
          <w:highlight w:val="none"/>
        </w:rPr>
      </w:pPr>
      <w:r>
        <w:rPr>
          <w:rFonts w:hint="eastAsia" w:ascii="宋体" w:hAnsi="宋体"/>
          <w:b/>
          <w:color w:val="auto"/>
          <w:highlight w:val="none"/>
        </w:rPr>
        <w:t>联系人及联系电话</w:t>
      </w:r>
    </w:p>
    <w:p>
      <w:pPr>
        <w:widowControl w:val="0"/>
        <w:spacing w:line="360" w:lineRule="auto"/>
        <w:ind w:left="480" w:leftChars="200"/>
        <w:jc w:val="both"/>
        <w:rPr>
          <w:color w:val="auto"/>
          <w:kern w:val="2"/>
          <w:highlight w:val="none"/>
        </w:rPr>
      </w:pPr>
      <w:bookmarkStart w:id="58" w:name="_Toc391885334"/>
      <w:bookmarkStart w:id="59" w:name="_Toc287623638"/>
      <w:bookmarkStart w:id="60" w:name="_Toc381263230"/>
      <w:r>
        <w:rPr>
          <w:color w:val="auto"/>
          <w:kern w:val="2"/>
          <w:highlight w:val="none"/>
        </w:rPr>
        <w:t>采 购 人</w:t>
      </w:r>
      <w:r>
        <w:rPr>
          <w:rFonts w:hint="eastAsia" w:ascii="宋体" w:hAnsi="宋体" w:cs="宋体"/>
          <w:bCs/>
          <w:color w:val="auto"/>
          <w:highlight w:val="none"/>
        </w:rPr>
        <w:t xml:space="preserve">：成都市龙泉驿区水务局 </w:t>
      </w:r>
    </w:p>
    <w:p>
      <w:pPr>
        <w:pStyle w:val="172"/>
        <w:ind w:firstLine="484" w:firstLineChars="202"/>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地  址：</w:t>
      </w:r>
      <w:bookmarkStart w:id="61" w:name="单位地址"/>
      <w:r>
        <w:rPr>
          <w:rFonts w:hint="eastAsia" w:ascii="宋体" w:hAnsi="宋体" w:cs="宋体"/>
          <w:bCs/>
          <w:color w:val="auto"/>
          <w:kern w:val="0"/>
          <w:sz w:val="24"/>
          <w:szCs w:val="24"/>
          <w:highlight w:val="none"/>
        </w:rPr>
        <w:t>成都市</w:t>
      </w:r>
      <w:bookmarkEnd w:id="61"/>
      <w:r>
        <w:rPr>
          <w:rFonts w:hint="eastAsia" w:ascii="宋体" w:hAnsi="宋体" w:cs="宋体"/>
          <w:bCs/>
          <w:color w:val="auto"/>
          <w:kern w:val="0"/>
          <w:sz w:val="24"/>
          <w:szCs w:val="24"/>
          <w:highlight w:val="none"/>
        </w:rPr>
        <w:t>龙泉驿区北泉路27号</w:t>
      </w:r>
    </w:p>
    <w:p>
      <w:pPr>
        <w:pStyle w:val="172"/>
        <w:ind w:firstLine="484" w:firstLineChars="202"/>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联系人：张老师</w:t>
      </w:r>
    </w:p>
    <w:p>
      <w:pPr>
        <w:pStyle w:val="172"/>
        <w:ind w:firstLine="484" w:firstLineChars="202"/>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联系电话：028-64159479</w:t>
      </w:r>
    </w:p>
    <w:p>
      <w:pPr>
        <w:pStyle w:val="21"/>
        <w:ind w:firstLine="480" w:firstLineChars="200"/>
        <w:jc w:val="left"/>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1"/>
        <w:ind w:firstLine="480" w:firstLineChars="200"/>
        <w:jc w:val="left"/>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1"/>
        <w:ind w:firstLine="480" w:firstLineChars="200"/>
        <w:jc w:val="left"/>
        <w:rPr>
          <w:rFonts w:hAnsi="宋体" w:cs="宋体"/>
          <w:bCs/>
          <w:color w:val="auto"/>
          <w:sz w:val="24"/>
          <w:highlight w:val="none"/>
        </w:rPr>
      </w:pPr>
      <w:r>
        <w:rPr>
          <w:rFonts w:hint="eastAsia" w:hAnsi="宋体" w:cs="宋体"/>
          <w:bCs/>
          <w:color w:val="auto"/>
          <w:sz w:val="24"/>
          <w:highlight w:val="none"/>
        </w:rPr>
        <w:t>联 系 人：高老师</w:t>
      </w:r>
    </w:p>
    <w:p>
      <w:pPr>
        <w:pStyle w:val="21"/>
        <w:ind w:firstLine="480" w:firstLineChars="200"/>
        <w:jc w:val="left"/>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1"/>
        <w:ind w:firstLine="480" w:firstLineChars="200"/>
        <w:jc w:val="left"/>
        <w:rPr>
          <w:rFonts w:hAnsi="宋体" w:cs="宋体"/>
          <w:bCs/>
          <w:color w:val="auto"/>
          <w:sz w:val="24"/>
          <w:highlight w:val="none"/>
        </w:rPr>
      </w:pPr>
      <w:r>
        <w:rPr>
          <w:rFonts w:hint="eastAsia" w:hAnsi="宋体" w:cs="宋体"/>
          <w:bCs/>
          <w:color w:val="auto"/>
          <w:sz w:val="24"/>
          <w:highlight w:val="none"/>
        </w:rPr>
        <w:t>传    真：028-61032618</w:t>
      </w:r>
    </w:p>
    <w:p>
      <w:pPr>
        <w:pStyle w:val="21"/>
        <w:ind w:firstLine="480" w:firstLineChars="200"/>
        <w:jc w:val="left"/>
        <w:rPr>
          <w:rFonts w:hAnsi="宋体" w:cs="宋体"/>
          <w:bCs/>
          <w:color w:val="auto"/>
          <w:sz w:val="24"/>
          <w:highlight w:val="none"/>
        </w:rPr>
        <w:sectPr>
          <w:footerReference r:id="rId9" w:type="first"/>
          <w:footerReference r:id="rId8" w:type="default"/>
          <w:pgSz w:w="11906" w:h="16838"/>
          <w:pgMar w:top="1417" w:right="1417" w:bottom="1417" w:left="1417" w:header="851" w:footer="850" w:gutter="0"/>
          <w:pgNumType w:start="1"/>
          <w:cols w:space="0" w:num="1"/>
          <w:titlePg/>
          <w:docGrid w:type="lines" w:linePitch="312" w:charSpace="0"/>
        </w:sectPr>
      </w:pPr>
    </w:p>
    <w:p>
      <w:pPr>
        <w:pStyle w:val="4"/>
        <w:rPr>
          <w:color w:val="auto"/>
          <w:highlight w:val="none"/>
        </w:rPr>
      </w:pPr>
      <w:bookmarkStart w:id="62" w:name="_Toc24977"/>
      <w:r>
        <w:rPr>
          <w:rFonts w:hint="eastAsia"/>
          <w:color w:val="auto"/>
          <w:highlight w:val="none"/>
        </w:rPr>
        <w:t>磋商供应商须知</w:t>
      </w:r>
      <w:bookmarkEnd w:id="58"/>
      <w:bookmarkEnd w:id="62"/>
    </w:p>
    <w:p>
      <w:pPr>
        <w:pStyle w:val="5"/>
        <w:rPr>
          <w:color w:val="auto"/>
          <w:sz w:val="24"/>
          <w:szCs w:val="24"/>
          <w:highlight w:val="none"/>
        </w:rPr>
      </w:pPr>
      <w:bookmarkStart w:id="63" w:name="_Toc27812"/>
      <w:r>
        <w:rPr>
          <w:rFonts w:hint="eastAsia"/>
          <w:color w:val="auto"/>
          <w:sz w:val="24"/>
          <w:szCs w:val="24"/>
          <w:highlight w:val="none"/>
        </w:rPr>
        <w:t>磋商供应商须知附表</w:t>
      </w:r>
      <w:bookmarkEnd w:id="63"/>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65"/>
        <w:gridCol w:w="160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1" w:hRule="exact"/>
          <w:tblHeader/>
          <w:jc w:val="center"/>
        </w:trPr>
        <w:tc>
          <w:tcPr>
            <w:tcW w:w="1065" w:type="dxa"/>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605" w:type="dxa"/>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3"/>
              </w:numPr>
              <w:spacing w:line="360" w:lineRule="auto"/>
              <w:jc w:val="center"/>
              <w:rPr>
                <w:rFonts w:ascii="宋体" w:hAnsi="宋体" w:cs="宋体"/>
                <w:color w:val="auto"/>
                <w:highlight w:val="none"/>
              </w:rPr>
            </w:pPr>
          </w:p>
        </w:tc>
        <w:tc>
          <w:tcPr>
            <w:tcW w:w="160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采购预算（实质性要求）</w:t>
            </w:r>
          </w:p>
        </w:tc>
        <w:tc>
          <w:tcPr>
            <w:tcW w:w="7063" w:type="dxa"/>
            <w:vAlign w:val="center"/>
          </w:tcPr>
          <w:p>
            <w:pPr>
              <w:pStyle w:val="21"/>
              <w:spacing w:after="156" w:afterLines="50"/>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Ansi="宋体" w:cs="宋体"/>
                <w:b/>
                <w:bCs/>
                <w:color w:val="auto"/>
                <w:sz w:val="24"/>
                <w:highlight w:val="none"/>
              </w:rPr>
              <w:t>160</w:t>
            </w:r>
            <w:r>
              <w:rPr>
                <w:rFonts w:hint="eastAsia" w:hAnsi="宋体" w:cs="宋体"/>
                <w:b/>
                <w:bCs/>
                <w:color w:val="auto"/>
                <w:sz w:val="24"/>
                <w:highlight w:val="none"/>
              </w:rPr>
              <w:t>万元</w:t>
            </w:r>
            <w:r>
              <w:rPr>
                <w:rFonts w:hint="eastAsia" w:hAnsi="宋体" w:cs="宋体"/>
                <w:color w:val="auto"/>
                <w:sz w:val="24"/>
                <w:highlight w:val="none"/>
              </w:rPr>
              <w:t>（其中包件一预算金额：</w:t>
            </w:r>
            <w:r>
              <w:rPr>
                <w:rFonts w:hAnsi="宋体" w:cs="宋体"/>
                <w:color w:val="auto"/>
                <w:sz w:val="24"/>
                <w:highlight w:val="none"/>
              </w:rPr>
              <w:t>40</w:t>
            </w:r>
            <w:r>
              <w:rPr>
                <w:rFonts w:hint="eastAsia" w:hAnsi="宋体" w:cs="宋体"/>
                <w:color w:val="auto"/>
                <w:sz w:val="24"/>
                <w:highlight w:val="none"/>
              </w:rPr>
              <w:t>万元；包件二预算金额：</w:t>
            </w:r>
            <w:r>
              <w:rPr>
                <w:rFonts w:hAnsi="宋体" w:cs="宋体"/>
                <w:color w:val="auto"/>
                <w:sz w:val="24"/>
                <w:highlight w:val="none"/>
              </w:rPr>
              <w:t>35</w:t>
            </w:r>
            <w:r>
              <w:rPr>
                <w:rFonts w:hint="eastAsia" w:hAnsi="宋体" w:cs="宋体"/>
                <w:color w:val="auto"/>
                <w:sz w:val="24"/>
                <w:highlight w:val="none"/>
              </w:rPr>
              <w:t>万元；包件三预算金额：</w:t>
            </w:r>
            <w:r>
              <w:rPr>
                <w:rFonts w:hAnsi="宋体" w:cs="宋体"/>
                <w:color w:val="auto"/>
                <w:sz w:val="24"/>
                <w:highlight w:val="none"/>
              </w:rPr>
              <w:t>25</w:t>
            </w:r>
            <w:r>
              <w:rPr>
                <w:rFonts w:hint="eastAsia" w:hAnsi="宋体" w:cs="宋体"/>
                <w:color w:val="auto"/>
                <w:sz w:val="24"/>
                <w:highlight w:val="none"/>
              </w:rPr>
              <w:t>万元；包件四预算金额：</w:t>
            </w:r>
            <w:r>
              <w:rPr>
                <w:rFonts w:hAnsi="宋体" w:cs="宋体"/>
                <w:color w:val="auto"/>
                <w:sz w:val="24"/>
                <w:highlight w:val="none"/>
              </w:rPr>
              <w:t>30</w:t>
            </w:r>
            <w:r>
              <w:rPr>
                <w:rFonts w:hint="eastAsia" w:hAnsi="宋体" w:cs="宋体"/>
                <w:color w:val="auto"/>
                <w:sz w:val="24"/>
                <w:highlight w:val="none"/>
              </w:rPr>
              <w:t>万元；包件五预算金额：</w:t>
            </w:r>
            <w:r>
              <w:rPr>
                <w:rFonts w:hAnsi="宋体" w:cs="宋体"/>
                <w:color w:val="auto"/>
                <w:sz w:val="24"/>
                <w:highlight w:val="none"/>
              </w:rPr>
              <w:t>30</w:t>
            </w:r>
            <w:r>
              <w:rPr>
                <w:rFonts w:hint="eastAsia" w:hAnsi="宋体" w:cs="宋体"/>
                <w:color w:val="auto"/>
                <w:sz w:val="24"/>
                <w:highlight w:val="none"/>
              </w:rPr>
              <w:t>万元）</w:t>
            </w:r>
            <w:r>
              <w:rPr>
                <w:rFonts w:hint="eastAsia" w:hAnsi="宋体" w:cs="宋体"/>
                <w:b/>
                <w:bCs/>
                <w:color w:val="auto"/>
                <w:sz w:val="24"/>
                <w:highlight w:val="none"/>
              </w:rPr>
              <w:t>，各包供应商报价超过对应包件采购预算作无效磋商处理。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3"/>
              </w:numPr>
              <w:spacing w:line="360" w:lineRule="auto"/>
              <w:jc w:val="center"/>
              <w:rPr>
                <w:rFonts w:ascii="宋体" w:hAnsi="宋体" w:cs="宋体"/>
                <w:color w:val="auto"/>
                <w:highlight w:val="none"/>
              </w:rPr>
            </w:pPr>
          </w:p>
        </w:tc>
        <w:tc>
          <w:tcPr>
            <w:tcW w:w="160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最高限价（实质性要求）</w:t>
            </w:r>
          </w:p>
        </w:tc>
        <w:tc>
          <w:tcPr>
            <w:tcW w:w="7063" w:type="dxa"/>
            <w:vAlign w:val="center"/>
          </w:tcPr>
          <w:p>
            <w:pPr>
              <w:pStyle w:val="21"/>
              <w:spacing w:after="156" w:afterLines="50"/>
              <w:ind w:firstLine="0" w:firstLineChars="0"/>
              <w:rPr>
                <w:rFonts w:hAnsi="宋体" w:cs="宋体"/>
                <w:color w:val="auto"/>
                <w:sz w:val="24"/>
                <w:highlight w:val="none"/>
              </w:rPr>
            </w:pPr>
            <w:r>
              <w:rPr>
                <w:rFonts w:hint="eastAsia" w:hAnsi="宋体" w:cs="宋体"/>
                <w:bCs/>
                <w:color w:val="auto"/>
                <w:sz w:val="24"/>
                <w:highlight w:val="none"/>
              </w:rPr>
              <w:t>本项目</w:t>
            </w:r>
            <w:r>
              <w:rPr>
                <w:rFonts w:hint="eastAsia" w:hAnsi="宋体" w:cs="宋体"/>
                <w:color w:val="auto"/>
                <w:sz w:val="24"/>
                <w:highlight w:val="none"/>
              </w:rPr>
              <w:t>包件一最高限价：</w:t>
            </w:r>
            <w:r>
              <w:rPr>
                <w:rFonts w:hAnsi="宋体" w:cs="宋体"/>
                <w:color w:val="auto"/>
                <w:sz w:val="24"/>
                <w:highlight w:val="none"/>
              </w:rPr>
              <w:t>35</w:t>
            </w:r>
            <w:r>
              <w:rPr>
                <w:rFonts w:hint="eastAsia" w:hAnsi="宋体" w:cs="宋体"/>
                <w:color w:val="auto"/>
                <w:sz w:val="24"/>
                <w:highlight w:val="none"/>
              </w:rPr>
              <w:t>万元；包件二最高限价：30万元；包件三最高限价：</w:t>
            </w:r>
            <w:r>
              <w:rPr>
                <w:rFonts w:hAnsi="宋体" w:cs="宋体"/>
                <w:color w:val="auto"/>
                <w:sz w:val="24"/>
                <w:highlight w:val="none"/>
              </w:rPr>
              <w:t>25</w:t>
            </w:r>
            <w:r>
              <w:rPr>
                <w:rFonts w:hint="eastAsia" w:hAnsi="宋体" w:cs="宋体"/>
                <w:color w:val="auto"/>
                <w:sz w:val="24"/>
                <w:highlight w:val="none"/>
              </w:rPr>
              <w:t>万元；包件四最高限价：</w:t>
            </w:r>
            <w:r>
              <w:rPr>
                <w:rFonts w:hAnsi="宋体" w:cs="宋体"/>
                <w:color w:val="auto"/>
                <w:sz w:val="24"/>
                <w:highlight w:val="none"/>
              </w:rPr>
              <w:t>30</w:t>
            </w:r>
            <w:r>
              <w:rPr>
                <w:rFonts w:hint="eastAsia" w:hAnsi="宋体" w:cs="宋体"/>
                <w:color w:val="auto"/>
                <w:sz w:val="24"/>
                <w:highlight w:val="none"/>
              </w:rPr>
              <w:t>万元；包件五最高限价：</w:t>
            </w:r>
            <w:r>
              <w:rPr>
                <w:rFonts w:hAnsi="宋体" w:cs="宋体"/>
                <w:color w:val="auto"/>
                <w:sz w:val="24"/>
                <w:highlight w:val="none"/>
              </w:rPr>
              <w:t>30</w:t>
            </w:r>
            <w:r>
              <w:rPr>
                <w:rFonts w:hint="eastAsia" w:hAnsi="宋体" w:cs="宋体"/>
                <w:color w:val="auto"/>
                <w:sz w:val="24"/>
                <w:highlight w:val="none"/>
              </w:rPr>
              <w:t>万元）</w:t>
            </w:r>
            <w:r>
              <w:rPr>
                <w:rFonts w:hint="eastAsia" w:hAnsi="宋体" w:cs="宋体"/>
                <w:b/>
                <w:bCs/>
                <w:color w:val="auto"/>
                <w:sz w:val="24"/>
                <w:highlight w:val="none"/>
              </w:rPr>
              <w:t>，各包</w:t>
            </w:r>
            <w:r>
              <w:rPr>
                <w:rFonts w:hint="eastAsia" w:hAnsi="宋体" w:cs="宋体"/>
                <w:b/>
                <w:color w:val="auto"/>
                <w:sz w:val="24"/>
                <w:highlight w:val="none"/>
              </w:rPr>
              <w:t>供应商</w:t>
            </w:r>
            <w:r>
              <w:rPr>
                <w:rFonts w:hint="eastAsia" w:hAnsi="宋体" w:cs="宋体"/>
                <w:b/>
                <w:color w:val="auto"/>
                <w:sz w:val="24"/>
                <w:highlight w:val="none"/>
                <w:lang w:val="zh-CN"/>
              </w:rPr>
              <w:t>报价超过</w:t>
            </w:r>
            <w:r>
              <w:rPr>
                <w:rFonts w:hint="eastAsia" w:hAnsi="宋体" w:cs="宋体"/>
                <w:b/>
                <w:color w:val="auto"/>
                <w:sz w:val="24"/>
                <w:highlight w:val="none"/>
              </w:rPr>
              <w:t>对应包件</w:t>
            </w:r>
            <w:r>
              <w:rPr>
                <w:rFonts w:hint="eastAsia" w:hAnsi="宋体" w:cs="宋体"/>
                <w:b/>
                <w:color w:val="auto"/>
                <w:sz w:val="24"/>
                <w:highlight w:val="none"/>
                <w:lang w:val="zh-CN"/>
              </w:rPr>
              <w:t>最高限价的作无效</w:t>
            </w:r>
            <w:r>
              <w:rPr>
                <w:rFonts w:hint="eastAsia" w:hAnsi="宋体" w:cs="宋体"/>
                <w:b/>
                <w:color w:val="auto"/>
                <w:sz w:val="24"/>
                <w:highlight w:val="none"/>
              </w:rPr>
              <w:t>磋商</w:t>
            </w:r>
            <w:r>
              <w:rPr>
                <w:rFonts w:hint="eastAsia" w:hAnsi="宋体" w:cs="宋体"/>
                <w:b/>
                <w:color w:val="auto"/>
                <w:sz w:val="24"/>
                <w:highlight w:val="none"/>
                <w:lang w:val="zh-CN"/>
              </w:rPr>
              <w:t>处理。</w:t>
            </w:r>
            <w:r>
              <w:rPr>
                <w:rFonts w:hint="eastAsia" w:hAnsi="宋体" w:cs="宋体"/>
                <w:bCs/>
                <w:color w:val="auto"/>
                <w:sz w:val="24"/>
                <w:highlight w:val="none"/>
                <w:lang w:val="zh-CN"/>
              </w:rPr>
              <w:t>采购项目分包采购的，在采购金额未超过采购项目总预算金额前提下，采购人可以在评</w:t>
            </w:r>
            <w:r>
              <w:rPr>
                <w:rFonts w:hint="eastAsia" w:hAnsi="宋体" w:cs="宋体"/>
                <w:bCs/>
                <w:color w:val="auto"/>
                <w:sz w:val="24"/>
                <w:highlight w:val="none"/>
              </w:rPr>
              <w:t>审</w:t>
            </w:r>
            <w:r>
              <w:rPr>
                <w:rFonts w:hint="eastAsia" w:hAnsi="宋体" w:cs="宋体"/>
                <w:bCs/>
                <w:color w:val="auto"/>
                <w:sz w:val="24"/>
                <w:highlight w:val="none"/>
                <w:lang w:val="zh-CN"/>
              </w:rPr>
              <w:t>过程中临时调剂各包采购限价（预算金额不得调整；财政预算明确到各包的不得调整），临时调剂的内容，在评</w:t>
            </w:r>
            <w:r>
              <w:rPr>
                <w:rFonts w:hint="eastAsia" w:hAnsi="宋体" w:cs="宋体"/>
                <w:bCs/>
                <w:color w:val="auto"/>
                <w:sz w:val="24"/>
                <w:highlight w:val="none"/>
              </w:rPr>
              <w:t>审</w:t>
            </w:r>
            <w:r>
              <w:rPr>
                <w:rFonts w:hint="eastAsia" w:hAnsi="宋体" w:cs="宋体"/>
                <w:bCs/>
                <w:color w:val="auto"/>
                <w:sz w:val="24"/>
                <w:highlight w:val="none"/>
                <w:lang w:val="zh-CN"/>
              </w:rPr>
              <w:t>报告中记录。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3"/>
              </w:numPr>
              <w:spacing w:line="360" w:lineRule="auto"/>
              <w:jc w:val="center"/>
              <w:rPr>
                <w:rFonts w:ascii="宋体" w:hAnsi="宋体" w:cs="宋体"/>
                <w:color w:val="auto"/>
                <w:highlight w:val="none"/>
              </w:rPr>
            </w:pPr>
          </w:p>
        </w:tc>
        <w:tc>
          <w:tcPr>
            <w:tcW w:w="160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低于成本价不正当</w:t>
            </w:r>
          </w:p>
          <w:p>
            <w:pPr>
              <w:spacing w:line="360" w:lineRule="auto"/>
              <w:jc w:val="center"/>
              <w:rPr>
                <w:rFonts w:ascii="宋体" w:hAnsi="宋体" w:cs="宋体"/>
                <w:color w:val="auto"/>
                <w:highlight w:val="none"/>
              </w:rPr>
            </w:pPr>
            <w:r>
              <w:rPr>
                <w:rFonts w:hint="eastAsia" w:ascii="宋体" w:hAnsi="宋体" w:cs="宋体"/>
                <w:color w:val="auto"/>
                <w:highlight w:val="none"/>
              </w:rPr>
              <w:t>竞争预防措施</w:t>
            </w:r>
          </w:p>
          <w:p>
            <w:pPr>
              <w:spacing w:line="360" w:lineRule="auto"/>
              <w:jc w:val="center"/>
              <w:rPr>
                <w:rFonts w:ascii="宋体" w:hAnsi="宋体" w:cs="宋体"/>
                <w:color w:val="auto"/>
                <w:highlight w:val="none"/>
              </w:rPr>
            </w:pPr>
            <w:r>
              <w:rPr>
                <w:rFonts w:hint="eastAsia" w:ascii="宋体" w:hAnsi="宋体" w:cs="宋体"/>
                <w:color w:val="auto"/>
                <w:highlight w:val="none"/>
              </w:rPr>
              <w:t>（实质性要求）</w:t>
            </w:r>
          </w:p>
        </w:tc>
        <w:tc>
          <w:tcPr>
            <w:tcW w:w="7063" w:type="dxa"/>
            <w:vAlign w:val="center"/>
          </w:tcPr>
          <w:p>
            <w:pPr>
              <w:tabs>
                <w:tab w:val="left" w:pos="-2127"/>
                <w:tab w:val="left" w:pos="1134"/>
              </w:tabs>
              <w:snapToGrid w:val="0"/>
              <w:spacing w:after="200" w:line="360" w:lineRule="auto"/>
              <w:ind w:firstLine="480" w:firstLineChars="200"/>
              <w:rPr>
                <w:color w:val="auto"/>
                <w:highlight w:val="none"/>
              </w:rPr>
            </w:pPr>
            <w:r>
              <w:rPr>
                <w:rFonts w:hint="eastAsia" w:ascii="宋体" w:hAnsi="宋体" w:cs="宋体"/>
                <w:color w:val="auto"/>
                <w:highlight w:val="none"/>
                <w:lang w:val="zh-CN"/>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提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shd w:val="clear" w:color="auto" w:fill="auto"/>
            <w:vAlign w:val="center"/>
          </w:tcPr>
          <w:p>
            <w:pPr>
              <w:pStyle w:val="126"/>
              <w:spacing w:line="360" w:lineRule="auto"/>
              <w:jc w:val="center"/>
              <w:rPr>
                <w:color w:val="auto"/>
                <w:kern w:val="2"/>
                <w:highlight w:val="none"/>
              </w:rPr>
            </w:pPr>
            <w:r>
              <w:rPr>
                <w:rFonts w:hint="eastAsia"/>
                <w:color w:val="auto"/>
                <w:kern w:val="2"/>
                <w:highlight w:val="none"/>
                <w:lang w:val="zh-CN"/>
              </w:rPr>
              <w:t>失信企业</w:t>
            </w:r>
            <w:r>
              <w:rPr>
                <w:rFonts w:hint="eastAsia"/>
                <w:color w:val="auto"/>
                <w:kern w:val="2"/>
                <w:highlight w:val="none"/>
              </w:rPr>
              <w:t>惩戒措施</w:t>
            </w:r>
          </w:p>
          <w:p>
            <w:pPr>
              <w:pStyle w:val="126"/>
              <w:spacing w:line="360" w:lineRule="auto"/>
              <w:jc w:val="both"/>
              <w:rPr>
                <w:color w:val="auto"/>
                <w:highlight w:val="none"/>
                <w:lang w:val="zh-CN"/>
              </w:rPr>
            </w:pPr>
          </w:p>
        </w:tc>
        <w:tc>
          <w:tcPr>
            <w:tcW w:w="7063" w:type="dxa"/>
            <w:shd w:val="clear" w:color="auto" w:fill="auto"/>
            <w:vAlign w:val="center"/>
          </w:tcPr>
          <w:p>
            <w:pPr>
              <w:spacing w:line="360" w:lineRule="auto"/>
              <w:rPr>
                <w:rFonts w:ascii="宋体" w:hAnsi="宋体" w:cs="宋体"/>
                <w:color w:val="auto"/>
                <w:highlight w:val="none"/>
                <w:lang w:val="zh-CN"/>
              </w:rPr>
            </w:pPr>
            <w:r>
              <w:rPr>
                <w:rFonts w:hint="eastAsia" w:ascii="宋体" w:hAnsi="宋体" w:cs="宋体"/>
                <w:color w:val="auto"/>
                <w:highlight w:val="none"/>
              </w:rPr>
              <w:t>严格按照《四川省公共资源交易领域严重失信联合惩戒实施办法》（川发改信用规〔2019〕405号）、《关于对政府采购领域严重违法失信主体开展联合惩戒的合作备案录》（发改财金〔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shd w:val="clear" w:color="auto" w:fill="auto"/>
            <w:vAlign w:val="center"/>
          </w:tcPr>
          <w:p>
            <w:pPr>
              <w:tabs>
                <w:tab w:val="left" w:pos="7665"/>
              </w:tabs>
              <w:spacing w:line="360" w:lineRule="auto"/>
              <w:contextualSpacing/>
              <w:jc w:val="center"/>
              <w:rPr>
                <w:rFonts w:ascii="宋体" w:hAnsi="宋体" w:cs="宋体"/>
                <w:color w:val="auto"/>
                <w:highlight w:val="none"/>
                <w:lang w:val="zh-CN"/>
              </w:rPr>
            </w:pPr>
            <w:r>
              <w:rPr>
                <w:rFonts w:hint="eastAsia" w:ascii="宋体" w:hAnsi="宋体" w:cs="宋体"/>
                <w:color w:val="auto"/>
                <w:highlight w:val="none"/>
              </w:rPr>
              <w:t>中小企业扶持政策</w:t>
            </w:r>
          </w:p>
        </w:tc>
        <w:tc>
          <w:tcPr>
            <w:tcW w:w="7063" w:type="dxa"/>
            <w:shd w:val="clear" w:color="auto" w:fill="auto"/>
            <w:vAlign w:val="center"/>
          </w:tcPr>
          <w:p>
            <w:pPr>
              <w:widowControl w:val="0"/>
              <w:numPr>
                <w:ilvl w:val="0"/>
                <w:numId w:val="14"/>
              </w:numPr>
              <w:tabs>
                <w:tab w:val="left" w:pos="1134"/>
              </w:tabs>
              <w:snapToGrid w:val="0"/>
              <w:spacing w:line="360" w:lineRule="auto"/>
              <w:ind w:left="5" w:hanging="5"/>
              <w:jc w:val="both"/>
              <w:rPr>
                <w:rFonts w:ascii="宋体" w:hAnsi="宋体" w:cs="宋体"/>
                <w:color w:val="auto"/>
                <w:highlight w:val="none"/>
              </w:rPr>
            </w:pPr>
            <w:r>
              <w:rPr>
                <w:rFonts w:hint="eastAsia" w:ascii="宋体" w:hAnsi="宋体" w:cs="宋体"/>
                <w:color w:val="auto"/>
                <w:highlight w:val="none"/>
              </w:rPr>
              <w:t>本项目非专门面向中小企业采购。</w:t>
            </w:r>
          </w:p>
          <w:p>
            <w:pPr>
              <w:widowControl w:val="0"/>
              <w:numPr>
                <w:ilvl w:val="0"/>
                <w:numId w:val="14"/>
              </w:numPr>
              <w:tabs>
                <w:tab w:val="left" w:pos="1134"/>
              </w:tabs>
              <w:snapToGrid w:val="0"/>
              <w:spacing w:line="360" w:lineRule="auto"/>
              <w:ind w:left="5" w:hanging="5"/>
              <w:jc w:val="both"/>
              <w:rPr>
                <w:rFonts w:ascii="宋体" w:hAnsi="宋体" w:cs="宋体"/>
                <w:color w:val="auto"/>
                <w:highlight w:val="none"/>
              </w:rPr>
            </w:pPr>
            <w:r>
              <w:rPr>
                <w:rFonts w:hint="eastAsia" w:ascii="宋体" w:hAnsi="宋体" w:cs="宋体"/>
                <w:color w:val="auto"/>
                <w:highlight w:val="none"/>
              </w:rPr>
              <w:t>根据《政府采购促进中小企业发展管理办法》（财库〔2020〕46号）的规定：</w:t>
            </w:r>
            <w:r>
              <w:rPr>
                <w:rFonts w:hint="eastAsia" w:ascii="宋体" w:hAnsi="宋体" w:cs="宋体"/>
                <w:color w:val="auto"/>
                <w:highlight w:val="none"/>
                <w:lang w:val="zh-CN"/>
              </w:rPr>
              <w:t>货物由中小企业制造，即货物由中小企业生产且使用该中小企业商号或者注册商标</w:t>
            </w:r>
            <w:r>
              <w:rPr>
                <w:rFonts w:hint="eastAsia" w:ascii="宋体" w:hAnsi="宋体" w:cs="宋体"/>
                <w:color w:val="auto"/>
                <w:highlight w:val="none"/>
              </w:rPr>
              <w:t>，享受本办法规定的中小企业扶持政策（残疾人福利性单位、监狱企业视同小微企业），对小微企业报价给予10%的扣除，用扣除后的价格参加评审。</w:t>
            </w:r>
          </w:p>
          <w:p>
            <w:pPr>
              <w:numPr>
                <w:ilvl w:val="0"/>
                <w:numId w:val="14"/>
              </w:numPr>
              <w:spacing w:line="360" w:lineRule="auto"/>
              <w:ind w:left="5" w:hanging="5"/>
              <w:contextualSpacing/>
              <w:rPr>
                <w:rFonts w:ascii="宋体" w:hAnsi="宋体" w:cs="宋体"/>
                <w:color w:val="auto"/>
                <w:highlight w:val="none"/>
              </w:rPr>
            </w:pPr>
            <w:r>
              <w:rPr>
                <w:rFonts w:hint="eastAsia" w:ascii="宋体" w:hAnsi="宋体" w:cs="宋体"/>
                <w:color w:val="auto"/>
                <w:highlight w:val="none"/>
              </w:rPr>
              <w:t>参加政府采购活动的中小企业应当提供《中小企业声明函》原件。</w:t>
            </w:r>
          </w:p>
          <w:p>
            <w:pPr>
              <w:numPr>
                <w:ilvl w:val="0"/>
                <w:numId w:val="14"/>
              </w:numPr>
              <w:spacing w:line="360" w:lineRule="auto"/>
              <w:ind w:left="5" w:hanging="5"/>
              <w:contextualSpacing/>
              <w:rPr>
                <w:rFonts w:ascii="宋体" w:hAnsi="宋体" w:cs="宋体"/>
                <w:color w:val="auto"/>
                <w:highlight w:val="none"/>
              </w:rPr>
            </w:pPr>
            <w:r>
              <w:rPr>
                <w:rFonts w:hint="eastAsia" w:ascii="宋体" w:hAnsi="宋体" w:cs="宋体"/>
                <w:color w:val="auto"/>
                <w:highlight w:val="none"/>
              </w:rPr>
              <w:t>符合条件的残疾人福利性单位在参加政府采购活动时，应当提供本通知规定的《残疾人福利性单位声明函》原件。</w:t>
            </w:r>
          </w:p>
          <w:p>
            <w:pPr>
              <w:pStyle w:val="126"/>
              <w:numPr>
                <w:ilvl w:val="0"/>
                <w:numId w:val="14"/>
              </w:numPr>
              <w:spacing w:line="360" w:lineRule="auto"/>
              <w:ind w:left="5" w:hanging="5"/>
              <w:rPr>
                <w:color w:val="auto"/>
                <w:highlight w:val="none"/>
                <w:lang w:val="zh-CN"/>
              </w:rPr>
            </w:pPr>
            <w:r>
              <w:rPr>
                <w:rFonts w:hint="eastAsia"/>
                <w:color w:val="auto"/>
                <w:highlight w:val="none"/>
              </w:rPr>
              <w:t>监狱企业参加政府采购活动时，应当提供由省级以上监狱管理局、戒毒管理局（含新疆生产建设兵团）出具的属于监狱企业的证明文件复印件。</w:t>
            </w:r>
          </w:p>
          <w:p>
            <w:pPr>
              <w:pStyle w:val="2"/>
              <w:numPr>
                <w:ilvl w:val="0"/>
                <w:numId w:val="14"/>
              </w:numPr>
              <w:spacing w:line="360" w:lineRule="auto"/>
              <w:ind w:left="5" w:hanging="5"/>
              <w:rPr>
                <w:rFonts w:ascii="宋体" w:hAnsi="宋体" w:cs="宋体"/>
                <w:color w:val="auto"/>
                <w:highlight w:val="none"/>
              </w:rPr>
            </w:pPr>
            <w:r>
              <w:rPr>
                <w:rFonts w:hint="eastAsia" w:ascii="宋体" w:hAnsi="宋体" w:cs="宋体"/>
                <w:color w:val="auto"/>
                <w:highlight w:val="none"/>
                <w:lang w:val="zh-CN"/>
              </w:rPr>
              <w:t>监狱企业、残疾人福利性单位</w:t>
            </w:r>
            <w:r>
              <w:rPr>
                <w:rFonts w:hint="eastAsia" w:ascii="宋体" w:hAnsi="宋体" w:cs="宋体"/>
                <w:color w:val="auto"/>
                <w:highlight w:val="none"/>
              </w:rPr>
              <w:t>视同小型、微型企业。</w:t>
            </w:r>
          </w:p>
          <w:p>
            <w:pPr>
              <w:pStyle w:val="2"/>
              <w:numPr>
                <w:ilvl w:val="0"/>
                <w:numId w:val="14"/>
              </w:numPr>
              <w:spacing w:line="360" w:lineRule="auto"/>
              <w:ind w:left="5" w:hanging="5"/>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shd w:val="clear" w:color="auto" w:fill="auto"/>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采购项目需要落实的政府采购政策</w:t>
            </w:r>
          </w:p>
        </w:tc>
        <w:tc>
          <w:tcPr>
            <w:tcW w:w="7063" w:type="dxa"/>
            <w:shd w:val="clear" w:color="auto" w:fill="auto"/>
            <w:vAlign w:val="center"/>
          </w:tcPr>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鼓励节能政策</w:t>
            </w:r>
            <w:r>
              <w:rPr>
                <w:rFonts w:hint="eastAsia" w:ascii="宋体" w:hAnsi="宋体" w:cs="宋体"/>
                <w:color w:val="auto"/>
                <w:highlight w:val="none"/>
              </w:rPr>
              <w:t>：《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bCs/>
                <w:color w:val="auto"/>
                <w:highlight w:val="none"/>
              </w:rPr>
              <w:t>（本项目不适用）</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鼓励环保政策：</w:t>
            </w:r>
            <w:r>
              <w:rPr>
                <w:rFonts w:hint="eastAsia" w:ascii="宋体" w:hAnsi="宋体" w:cs="宋体"/>
                <w:color w:val="auto"/>
                <w:highlight w:val="none"/>
              </w:rPr>
              <w:t>《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r>
              <w:rPr>
                <w:rFonts w:hint="eastAsia" w:ascii="宋体" w:hAnsi="宋体" w:cs="宋体"/>
                <w:b/>
                <w:bCs/>
                <w:color w:val="auto"/>
                <w:highlight w:val="none"/>
              </w:rPr>
              <w:t>（本项目不适用）</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无线局域网产品政府采购政策：</w:t>
            </w:r>
            <w:r>
              <w:rPr>
                <w:rFonts w:hint="eastAsia" w:ascii="宋体" w:hAnsi="宋体" w:cs="宋体"/>
                <w:color w:val="auto"/>
                <w:highlight w:val="none"/>
              </w:rPr>
              <w:t>本项目采购的产品属于中国政府采购网公布的《无线局域网认证产品政府采购清单》的，按照本项目评分标准的规则进行加分。</w:t>
            </w:r>
            <w:r>
              <w:rPr>
                <w:rFonts w:hint="eastAsia" w:ascii="宋体" w:hAnsi="宋体" w:cs="宋体"/>
                <w:b/>
                <w:bCs/>
                <w:color w:val="auto"/>
                <w:highlight w:val="none"/>
              </w:rPr>
              <w:t>（本项目不适用）</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扶持中小企业政策</w:t>
            </w:r>
            <w:r>
              <w:rPr>
                <w:rFonts w:hint="eastAsia" w:ascii="宋体" w:hAnsi="宋体" w:cs="宋体"/>
                <w:color w:val="auto"/>
                <w:highlight w:val="none"/>
              </w:rPr>
              <w:t>：按照《政府采购促进中小企业发展管理办法》（财库〔2020〕46 号）规定执行。</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支持监狱企业政策：</w:t>
            </w:r>
            <w:r>
              <w:rPr>
                <w:rFonts w:hint="eastAsia" w:ascii="宋体" w:hAnsi="宋体" w:cs="宋体"/>
                <w:color w:val="auto"/>
                <w:highlight w:val="none"/>
              </w:rPr>
              <w:t>按照《财政部、司法部关于政府采购支持监狱企业发展有关问题的通知》（财库〔2014〕68号）规定执行。</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促进残疾人就业政府采购政策：</w:t>
            </w:r>
            <w:r>
              <w:rPr>
                <w:rFonts w:hint="eastAsia" w:ascii="宋体" w:hAnsi="宋体" w:cs="宋体"/>
                <w:color w:val="auto"/>
                <w:highlight w:val="none"/>
              </w:rPr>
              <w:t>按照《民政部、财政部、中国残疾人联合会关于促进残疾人就业政府采购政策的通知》（财库〔2017〕141号）规定执行。</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扶持不发达地区或少数民族地区政府采购政策</w:t>
            </w:r>
            <w:r>
              <w:rPr>
                <w:rFonts w:hint="eastAsia" w:ascii="宋体" w:hAnsi="宋体" w:cs="宋体"/>
                <w:color w:val="auto"/>
                <w:highlight w:val="none"/>
              </w:rPr>
              <w:t>：得分和报价相同且满足磋商文件全部实质性要求，评审委员会优先推荐企业注册地在不发达地区或少数民族地区的供应商。</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推进四川省政府采购供应商信用融资</w:t>
            </w:r>
            <w:r>
              <w:rPr>
                <w:rFonts w:hint="eastAsia" w:ascii="宋体" w:hAnsi="宋体" w:cs="宋体"/>
                <w:color w:val="auto"/>
                <w:highlight w:val="none"/>
              </w:rPr>
              <w:t>：根据《四川省财政厅关于推进四川省政府采购供应商信用融资工作的通知》（川财采〔2018〕123号）、《成都市中小企业政府采购信用融资暂行办法》、《成都市级支持中小企业政府采购信用融资实施方案》，有融资需求的供应商可根据中国四川省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numPr>
                <w:ilvl w:val="0"/>
                <w:numId w:val="15"/>
              </w:numPr>
              <w:spacing w:line="360" w:lineRule="auto"/>
              <w:ind w:left="5" w:right="202" w:rightChars="84" w:hanging="5"/>
              <w:rPr>
                <w:rFonts w:ascii="宋体" w:hAnsi="宋体" w:cs="宋体"/>
                <w:color w:val="auto"/>
                <w:highlight w:val="none"/>
              </w:rPr>
            </w:pPr>
            <w:r>
              <w:rPr>
                <w:rFonts w:hint="eastAsia" w:ascii="宋体" w:hAnsi="宋体" w:cs="宋体"/>
                <w:b/>
                <w:bCs/>
                <w:color w:val="auto"/>
                <w:highlight w:val="none"/>
              </w:rPr>
              <w:t>运用政府采购政策支持脱贫攻坚</w:t>
            </w:r>
            <w:r>
              <w:rPr>
                <w:rFonts w:hint="eastAsia" w:ascii="宋体" w:hAnsi="宋体" w:cs="宋体"/>
                <w:color w:val="auto"/>
                <w:highlight w:val="none"/>
              </w:rPr>
              <w:t>：为贯彻《国务院办公厅关于深入开展消费扶贫助力打赢脱贫攻坚战的指导意见》（国办发〔2018〕129号）要求,根据《财政部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shd w:val="clear" w:color="auto" w:fill="auto"/>
            <w:vAlign w:val="center"/>
          </w:tcPr>
          <w:p>
            <w:pPr>
              <w:pStyle w:val="126"/>
              <w:snapToGrid w:val="0"/>
              <w:spacing w:line="360" w:lineRule="auto"/>
              <w:jc w:val="center"/>
              <w:rPr>
                <w:color w:val="auto"/>
                <w:highlight w:val="none"/>
              </w:rPr>
            </w:pPr>
            <w:r>
              <w:rPr>
                <w:rFonts w:hint="eastAsia"/>
                <w:color w:val="auto"/>
                <w:highlight w:val="none"/>
                <w:lang w:val="zh-CN"/>
              </w:rPr>
              <w:t>国家规定的强制、优先采购政策体现</w:t>
            </w:r>
          </w:p>
        </w:tc>
        <w:tc>
          <w:tcPr>
            <w:tcW w:w="7063" w:type="dxa"/>
            <w:shd w:val="clear" w:color="auto" w:fill="auto"/>
            <w:vAlign w:val="center"/>
          </w:tcPr>
          <w:p>
            <w:pPr>
              <w:pStyle w:val="126"/>
              <w:spacing w:line="360" w:lineRule="auto"/>
              <w:contextualSpacing/>
              <w:rPr>
                <w:b/>
                <w:bCs/>
                <w:color w:val="auto"/>
                <w:highlight w:val="none"/>
              </w:rPr>
            </w:pPr>
            <w:r>
              <w:rPr>
                <w:rFonts w:hint="eastAsia"/>
                <w:color w:val="auto"/>
                <w:highlight w:val="none"/>
                <w:lang w:val="zh-CN"/>
              </w:rPr>
              <w:t>本项目采购需求中涉及</w:t>
            </w:r>
            <w:r>
              <w:rPr>
                <w:rFonts w:hint="eastAsia"/>
                <w:color w:val="auto"/>
                <w:highlight w:val="none"/>
              </w:rPr>
              <w:t>国家规定的强制采购范围内产品的，所投产品均应符合国家相关要求。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shd w:val="clear" w:color="auto" w:fill="auto"/>
            <w:vAlign w:val="center"/>
          </w:tcPr>
          <w:p>
            <w:pPr>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进口产品</w:t>
            </w:r>
          </w:p>
        </w:tc>
        <w:tc>
          <w:tcPr>
            <w:tcW w:w="7063" w:type="dxa"/>
            <w:shd w:val="clear" w:color="auto" w:fill="auto"/>
            <w:vAlign w:val="center"/>
          </w:tcPr>
          <w:p>
            <w:pPr>
              <w:spacing w:line="360" w:lineRule="auto"/>
              <w:ind w:right="276" w:rightChars="115"/>
              <w:rPr>
                <w:rFonts w:ascii="宋体" w:hAnsi="宋体" w:cs="宋体"/>
                <w:b/>
                <w:bCs/>
                <w:color w:val="auto"/>
                <w:highlight w:val="none"/>
              </w:rPr>
            </w:pPr>
            <w:r>
              <w:rPr>
                <w:rFonts w:hint="eastAsia" w:ascii="宋体" w:hAnsi="宋体" w:cs="宋体"/>
                <w:b/>
                <w:bCs/>
                <w:color w:val="auto"/>
                <w:highlight w:val="none"/>
              </w:rPr>
              <w:t>本项目不适用。</w:t>
            </w:r>
          </w:p>
          <w:p>
            <w:pPr>
              <w:spacing w:line="360" w:lineRule="auto"/>
              <w:ind w:right="276" w:rightChars="115"/>
              <w:rPr>
                <w:rFonts w:ascii="宋体" w:hAnsi="宋体" w:cs="宋体"/>
                <w:color w:val="auto"/>
                <w:highlight w:val="none"/>
              </w:rPr>
            </w:pPr>
            <w:r>
              <w:rPr>
                <w:rFonts w:hint="eastAsia" w:ascii="宋体" w:hAnsi="宋体" w:cs="宋体"/>
                <w:color w:val="auto"/>
                <w:highlight w:val="none"/>
              </w:rP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p>
          <w:p>
            <w:pPr>
              <w:spacing w:line="360" w:lineRule="auto"/>
              <w:ind w:right="276" w:rightChars="115"/>
              <w:rPr>
                <w:rFonts w:ascii="宋体" w:hAnsi="宋体" w:cs="宋体"/>
                <w:color w:val="auto"/>
                <w:highlight w:val="none"/>
              </w:rPr>
            </w:pPr>
            <w:r>
              <w:rPr>
                <w:rFonts w:hint="eastAsia" w:ascii="宋体" w:hAnsi="宋体" w:cs="宋体"/>
                <w:color w:val="auto"/>
                <w:highlight w:val="none"/>
              </w:rPr>
              <w:t>国产产品定义：在中华人民共和国关境内生产的产品。</w:t>
            </w:r>
          </w:p>
          <w:p>
            <w:pPr>
              <w:spacing w:line="360" w:lineRule="auto"/>
              <w:ind w:right="276" w:rightChars="115"/>
              <w:rPr>
                <w:rFonts w:ascii="宋体" w:hAnsi="宋体" w:cs="宋体"/>
                <w:color w:val="auto"/>
                <w:highlight w:val="none"/>
              </w:rPr>
            </w:pPr>
            <w:r>
              <w:rPr>
                <w:rFonts w:hint="eastAsia" w:ascii="宋体" w:hAnsi="宋体" w:cs="宋体"/>
                <w:color w:val="auto"/>
                <w:highlight w:val="none"/>
              </w:rPr>
              <w:t>根据《中华人民共和国海关法》（以下简称海关法）的规定，我国现行关境是指适用海关法的中华人民共和国行政管辖区域，不包括香港、澳门台湾金马等单独关境地区。</w:t>
            </w:r>
          </w:p>
          <w:p>
            <w:pPr>
              <w:spacing w:line="360" w:lineRule="auto"/>
              <w:ind w:right="276" w:rightChars="115"/>
              <w:rPr>
                <w:rFonts w:ascii="宋体" w:hAnsi="宋体" w:cs="宋体"/>
                <w:color w:val="auto"/>
                <w:highlight w:val="none"/>
              </w:rPr>
            </w:pPr>
            <w:r>
              <w:rPr>
                <w:rFonts w:hint="eastAsia" w:ascii="宋体" w:hAnsi="宋体" w:cs="宋体"/>
                <w:color w:val="auto"/>
                <w:highlight w:val="none"/>
              </w:rPr>
              <w:t>保税区、出口加工区、保税港区、综合保税区等区域，为海关特殊监管区域，这些区域仅在关税待遇及贸易管制方面实施不同于我国关境内其他地区的特殊政策，但仍属于中华人民共和国关境内区域，由海关按照海关法实施监管。</w:t>
            </w:r>
          </w:p>
          <w:p>
            <w:pPr>
              <w:spacing w:line="360" w:lineRule="auto"/>
              <w:ind w:right="276" w:rightChars="115"/>
              <w:rPr>
                <w:rFonts w:ascii="宋体" w:hAnsi="宋体" w:cs="宋体"/>
                <w:color w:val="auto"/>
                <w:highlight w:val="none"/>
              </w:rPr>
            </w:pPr>
            <w:r>
              <w:rPr>
                <w:rFonts w:hint="eastAsia" w:ascii="宋体" w:hAnsi="宋体" w:cs="宋体"/>
                <w:color w:val="auto"/>
                <w:highlight w:val="none"/>
              </w:rPr>
              <w:t>因此，凡在海关特殊监管区域内企业生产或加工（包括从境外进口料件）销往境内其他地区的产品，不作为政府采购项下进口产品。</w:t>
            </w:r>
          </w:p>
          <w:p>
            <w:pPr>
              <w:spacing w:line="360" w:lineRule="auto"/>
              <w:ind w:right="276" w:rightChars="115"/>
              <w:rPr>
                <w:rFonts w:ascii="宋体" w:hAnsi="宋体" w:cs="宋体"/>
                <w:color w:val="auto"/>
                <w:highlight w:val="none"/>
                <w:lang w:val="zh-CN"/>
              </w:rPr>
            </w:pPr>
            <w:r>
              <w:rPr>
                <w:rFonts w:hint="eastAsia" w:ascii="宋体" w:hAnsi="宋体" w:cs="宋体"/>
                <w:color w:val="auto"/>
                <w:highlight w:val="none"/>
              </w:rPr>
              <w:t>对从境外进入海关特殊监管区域，再经办理报关手续后从海关特殊监管区进入境内其他地区的产品，应当认定为进口产品。</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auto"/>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pStyle w:val="21"/>
              <w:ind w:firstLine="0" w:firstLineChars="0"/>
              <w:contextualSpacing/>
              <w:jc w:val="center"/>
              <w:rPr>
                <w:rFonts w:hAnsi="宋体" w:cs="宋体"/>
                <w:color w:val="auto"/>
                <w:sz w:val="24"/>
                <w:highlight w:val="none"/>
              </w:rPr>
            </w:pPr>
            <w:r>
              <w:rPr>
                <w:rFonts w:hint="eastAsia" w:hAnsi="宋体" w:cs="宋体"/>
                <w:bCs/>
                <w:color w:val="auto"/>
                <w:kern w:val="2"/>
                <w:sz w:val="24"/>
                <w:highlight w:val="none"/>
              </w:rPr>
              <w:t>履约保证金</w:t>
            </w:r>
          </w:p>
        </w:tc>
        <w:tc>
          <w:tcPr>
            <w:tcW w:w="7063" w:type="dxa"/>
            <w:vAlign w:val="center"/>
          </w:tcPr>
          <w:p>
            <w:pPr>
              <w:spacing w:line="360" w:lineRule="auto"/>
              <w:contextualSpacing/>
              <w:rPr>
                <w:rFonts w:ascii="宋体" w:hAnsi="宋体" w:cs="宋体"/>
                <w:color w:val="auto"/>
                <w:highlight w:val="none"/>
              </w:rPr>
            </w:pPr>
            <w:r>
              <w:rPr>
                <w:rFonts w:hint="eastAsia" w:ascii="宋体" w:hAnsi="宋体" w:cs="宋体"/>
                <w:color w:val="auto"/>
                <w:kern w:val="2"/>
                <w:highlight w:val="none"/>
              </w:rPr>
              <w:t>本项目无履约保证金。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pStyle w:val="126"/>
              <w:spacing w:line="360" w:lineRule="auto"/>
              <w:jc w:val="center"/>
              <w:rPr>
                <w:color w:val="auto"/>
                <w:highlight w:val="none"/>
              </w:rPr>
            </w:pPr>
            <w:r>
              <w:rPr>
                <w:rFonts w:hint="eastAsia"/>
                <w:color w:val="auto"/>
                <w:kern w:val="2"/>
                <w:highlight w:val="none"/>
              </w:rPr>
              <w:t>采购文件咨询</w:t>
            </w:r>
          </w:p>
        </w:tc>
        <w:tc>
          <w:tcPr>
            <w:tcW w:w="7063" w:type="dxa"/>
          </w:tcPr>
          <w:p>
            <w:pPr>
              <w:spacing w:line="360" w:lineRule="auto"/>
              <w:rPr>
                <w:rFonts w:ascii="宋体" w:hAnsi="宋体" w:cs="宋体"/>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联系电话：028-61032618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jc w:val="center"/>
              <w:outlineLvl w:val="5"/>
              <w:rPr>
                <w:rFonts w:ascii="宋体" w:hAnsi="宋体" w:cs="宋体"/>
                <w:color w:val="auto"/>
                <w:highlight w:val="none"/>
              </w:rPr>
            </w:pPr>
            <w:r>
              <w:rPr>
                <w:rFonts w:hint="eastAsia" w:ascii="宋体" w:hAnsi="宋体" w:cs="宋体"/>
                <w:color w:val="auto"/>
                <w:highlight w:val="none"/>
              </w:rPr>
              <w:t>开标、评审工作咨询</w:t>
            </w:r>
          </w:p>
        </w:tc>
        <w:tc>
          <w:tcPr>
            <w:tcW w:w="7063" w:type="dxa"/>
            <w:vAlign w:val="center"/>
          </w:tcPr>
          <w:p>
            <w:pPr>
              <w:spacing w:line="360" w:lineRule="auto"/>
              <w:outlineLvl w:val="5"/>
              <w:rPr>
                <w:rFonts w:ascii="宋体" w:hAnsi="宋体" w:cs="宋体"/>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联系电话：028-61032618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511"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tabs>
                <w:tab w:val="left" w:pos="7665"/>
              </w:tabs>
              <w:snapToGrid w:val="0"/>
              <w:spacing w:line="360" w:lineRule="auto"/>
              <w:jc w:val="center"/>
              <w:rPr>
                <w:rFonts w:ascii="宋体" w:hAnsi="宋体" w:cs="宋体"/>
                <w:color w:val="auto"/>
                <w:highlight w:val="none"/>
              </w:rPr>
            </w:pPr>
            <w:r>
              <w:rPr>
                <w:rFonts w:hint="eastAsia"/>
                <w:bCs/>
                <w:color w:val="auto"/>
                <w:highlight w:val="none"/>
              </w:rPr>
              <w:t>磋商开启活动程序</w:t>
            </w:r>
          </w:p>
        </w:tc>
        <w:tc>
          <w:tcPr>
            <w:tcW w:w="7063" w:type="dxa"/>
            <w:vAlign w:val="center"/>
          </w:tcPr>
          <w:p>
            <w:pPr>
              <w:snapToGrid w:val="0"/>
              <w:spacing w:line="360" w:lineRule="auto"/>
              <w:rPr>
                <w:rFonts w:ascii="宋体" w:hAnsi="宋体"/>
                <w:bCs/>
                <w:color w:val="auto"/>
                <w:highlight w:val="none"/>
              </w:rPr>
            </w:pPr>
            <w:r>
              <w:rPr>
                <w:rFonts w:hint="eastAsia" w:ascii="宋体" w:hAnsi="宋体"/>
                <w:bCs/>
                <w:color w:val="auto"/>
                <w:highlight w:val="none"/>
              </w:rPr>
              <w:t>响应文件解密：供应商</w:t>
            </w:r>
            <w:r>
              <w:rPr>
                <w:rFonts w:hint="eastAsia" w:ascii="宋体" w:hAnsi="宋体"/>
                <w:color w:val="auto"/>
                <w:highlight w:val="none"/>
              </w:rPr>
              <w:t>登录政府采购云平台，点击“项目采购—开标评标”模块，找到对应项目，进入“开标大厅”，等待</w:t>
            </w:r>
            <w:r>
              <w:rPr>
                <w:rFonts w:hint="eastAsia" w:ascii="宋体" w:hAnsi="宋体"/>
                <w:bCs/>
                <w:color w:val="auto"/>
                <w:highlight w:val="none"/>
              </w:rPr>
              <w:t>开启解密后，供应商应在系统提示的解密开始时间后</w:t>
            </w:r>
            <w:r>
              <w:rPr>
                <w:rFonts w:ascii="宋体" w:hAnsi="宋体"/>
                <w:bCs/>
                <w:color w:val="auto"/>
                <w:highlight w:val="none"/>
              </w:rPr>
              <w:t>60</w:t>
            </w:r>
            <w:r>
              <w:rPr>
                <w:rFonts w:hint="eastAsia" w:ascii="宋体" w:hAnsi="宋体"/>
                <w:bCs/>
                <w:color w:val="auto"/>
                <w:highlight w:val="none"/>
              </w:rPr>
              <w:t>分钟内，使用对响应文件进行加密的</w:t>
            </w:r>
            <w:r>
              <w:rPr>
                <w:rFonts w:ascii="宋体" w:hAnsi="宋体"/>
                <w:bCs/>
                <w:color w:val="auto"/>
                <w:highlight w:val="none"/>
              </w:rPr>
              <w:t>CA证书在线完成对供应商</w:t>
            </w:r>
            <w:r>
              <w:rPr>
                <w:rFonts w:hint="eastAsia" w:ascii="宋体" w:hAnsi="宋体"/>
                <w:bCs/>
                <w:color w:val="auto"/>
                <w:highlight w:val="none"/>
              </w:rPr>
              <w:t>提交至政府采购云平台的响应文件的解密。</w:t>
            </w:r>
          </w:p>
          <w:p>
            <w:pPr>
              <w:tabs>
                <w:tab w:val="left" w:pos="1134"/>
              </w:tabs>
              <w:spacing w:before="120" w:line="360" w:lineRule="auto"/>
              <w:rPr>
                <w:rFonts w:ascii="宋体" w:hAnsi="宋体"/>
                <w:bCs/>
                <w:color w:val="auto"/>
                <w:highlight w:val="none"/>
              </w:rPr>
            </w:pPr>
            <w:r>
              <w:rPr>
                <w:rFonts w:hint="eastAsia" w:ascii="宋体" w:hAnsi="宋体"/>
                <w:bCs/>
                <w:color w:val="auto"/>
                <w:highlight w:val="none"/>
              </w:rPr>
              <w:t>除因断电、断网、系统故障或其他不可抗力等因素，导致系统无法使用外，供应商在规定的解密时间内，未成功解密的响应文件将视为无效响应文件。</w:t>
            </w:r>
          </w:p>
          <w:p>
            <w:pPr>
              <w:snapToGrid w:val="0"/>
              <w:spacing w:line="360" w:lineRule="auto"/>
              <w:rPr>
                <w:rFonts w:ascii="宋体" w:hAnsi="宋体"/>
                <w:bCs/>
                <w:color w:val="auto"/>
                <w:highlight w:val="none"/>
              </w:rPr>
            </w:pPr>
            <w:r>
              <w:rPr>
                <w:rFonts w:hint="eastAsia" w:ascii="宋体" w:hAnsi="宋体"/>
                <w:bCs/>
                <w:color w:val="auto"/>
                <w:highlight w:val="none"/>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spacing w:line="360" w:lineRule="auto"/>
              <w:rPr>
                <w:rFonts w:ascii="宋体" w:hAnsi="宋体" w:cs="宋体"/>
                <w:color w:val="auto"/>
                <w:highlight w:val="none"/>
              </w:rPr>
            </w:pPr>
            <w:r>
              <w:rPr>
                <w:rFonts w:hint="eastAsia" w:ascii="宋体" w:hAnsi="宋体"/>
                <w:bCs/>
                <w:color w:val="auto"/>
                <w:highlight w:val="none"/>
              </w:rPr>
              <w:t>响应文件的解密详见《成都市全流程电子化采购系统操作指南——供应商版》。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60" w:lineRule="auto"/>
              <w:rPr>
                <w:rFonts w:ascii="宋体" w:hAnsi="宋体" w:cs="宋体"/>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727"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contextualSpacing/>
              <w:jc w:val="center"/>
              <w:rPr>
                <w:rFonts w:ascii="宋体" w:hAnsi="宋体" w:cs="宋体"/>
                <w:color w:val="auto"/>
                <w:highlight w:val="none"/>
              </w:rPr>
            </w:pPr>
            <w:r>
              <w:rPr>
                <w:rFonts w:hint="eastAsia" w:ascii="宋体" w:hAnsi="宋体" w:cs="宋体"/>
                <w:color w:val="auto"/>
                <w:highlight w:val="none"/>
                <w:lang w:val="zh-CN"/>
              </w:rPr>
              <w:t>询问</w:t>
            </w:r>
          </w:p>
        </w:tc>
        <w:tc>
          <w:tcPr>
            <w:tcW w:w="7063" w:type="dxa"/>
            <w:vAlign w:val="center"/>
          </w:tcPr>
          <w:p>
            <w:pPr>
              <w:pStyle w:val="126"/>
              <w:spacing w:line="360" w:lineRule="auto"/>
              <w:ind w:firstLine="240" w:firstLineChars="100"/>
              <w:contextualSpacing/>
              <w:rPr>
                <w:color w:val="auto"/>
                <w:highlight w:val="none"/>
                <w:lang w:val="zh-CN"/>
              </w:rPr>
            </w:pPr>
            <w:r>
              <w:rPr>
                <w:rFonts w:hint="eastAsia"/>
                <w:color w:val="auto"/>
                <w:highlight w:val="none"/>
                <w:lang w:val="zh-CN"/>
              </w:rPr>
              <w:t>根据委托代理协议约定，供应商询问由采购代理机构负责答复。</w:t>
            </w:r>
          </w:p>
          <w:p>
            <w:pPr>
              <w:pStyle w:val="126"/>
              <w:spacing w:line="360" w:lineRule="auto"/>
              <w:ind w:firstLine="240" w:firstLineChars="100"/>
              <w:contextualSpacing/>
              <w:rPr>
                <w:color w:val="auto"/>
                <w:highlight w:val="none"/>
                <w:lang w:val="zh-CN"/>
              </w:rPr>
            </w:pPr>
            <w:r>
              <w:rPr>
                <w:rFonts w:hint="eastAsia"/>
                <w:color w:val="auto"/>
                <w:highlight w:val="none"/>
                <w:lang w:val="zh-CN"/>
              </w:rPr>
              <w:t>联 系 人、联系电话、联系地址：详见第</w:t>
            </w:r>
            <w:r>
              <w:rPr>
                <w:rFonts w:hint="eastAsia"/>
                <w:color w:val="auto"/>
                <w:highlight w:val="none"/>
              </w:rPr>
              <w:t>一</w:t>
            </w:r>
            <w:r>
              <w:rPr>
                <w:rFonts w:hint="eastAsia"/>
                <w:color w:val="auto"/>
                <w:highlight w:val="none"/>
                <w:lang w:val="zh-CN"/>
              </w:rPr>
              <w:t>章</w:t>
            </w:r>
            <w:r>
              <w:rPr>
                <w:rFonts w:hint="eastAsia"/>
                <w:color w:val="auto"/>
                <w:highlight w:val="none"/>
              </w:rPr>
              <w:t>竞争性磋商</w:t>
            </w:r>
            <w:r>
              <w:rPr>
                <w:rFonts w:hint="eastAsia"/>
                <w:color w:val="auto"/>
                <w:highlight w:val="none"/>
                <w:lang w:val="zh-CN"/>
              </w:rPr>
              <w:t>邀请中的采购代理机构联系方式。</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07"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contextualSpacing/>
              <w:jc w:val="center"/>
              <w:rPr>
                <w:rFonts w:ascii="宋体" w:hAnsi="宋体" w:cs="宋体"/>
                <w:color w:val="auto"/>
                <w:kern w:val="2"/>
                <w:highlight w:val="none"/>
              </w:rPr>
            </w:pPr>
            <w:r>
              <w:rPr>
                <w:rFonts w:hint="eastAsia" w:ascii="宋体" w:hAnsi="宋体" w:cs="宋体"/>
                <w:color w:val="auto"/>
                <w:highlight w:val="none"/>
                <w:lang w:val="zh-CN"/>
              </w:rPr>
              <w:t>质疑</w:t>
            </w:r>
          </w:p>
        </w:tc>
        <w:tc>
          <w:tcPr>
            <w:tcW w:w="7063" w:type="dxa"/>
            <w:vAlign w:val="center"/>
          </w:tcPr>
          <w:p>
            <w:pPr>
              <w:pStyle w:val="126"/>
              <w:spacing w:line="360" w:lineRule="auto"/>
              <w:contextualSpacing/>
              <w:rPr>
                <w:color w:val="auto"/>
                <w:highlight w:val="none"/>
                <w:lang w:val="zh-CN"/>
              </w:rPr>
            </w:pPr>
            <w:r>
              <w:rPr>
                <w:rFonts w:hint="eastAsia"/>
                <w:color w:val="auto"/>
                <w:highlight w:val="none"/>
                <w:lang w:val="zh-CN"/>
              </w:rPr>
              <w:t>根据委托代理协议约定：</w:t>
            </w:r>
          </w:p>
          <w:p>
            <w:pPr>
              <w:pStyle w:val="39"/>
              <w:spacing w:beforeAutospacing="0" w:afterAutospacing="0" w:line="360" w:lineRule="auto"/>
              <w:jc w:val="both"/>
              <w:rPr>
                <w:rFonts w:cs="宋体"/>
                <w:color w:val="auto"/>
                <w:highlight w:val="none"/>
                <w:lang w:val="zh-CN"/>
              </w:rPr>
            </w:pPr>
            <w:r>
              <w:rPr>
                <w:rFonts w:hint="eastAsia" w:cs="宋体"/>
                <w:color w:val="auto"/>
                <w:highlight w:val="none"/>
              </w:rPr>
              <w:t>对于采购文件、采购过程、采购结果的质疑由</w:t>
            </w:r>
            <w:r>
              <w:rPr>
                <w:rFonts w:hint="eastAsia" w:cs="宋体"/>
                <w:color w:val="auto"/>
                <w:highlight w:val="none"/>
                <w:lang w:val="zh-CN"/>
              </w:rPr>
              <w:t>采购代理机构负责答复</w:t>
            </w:r>
            <w:r>
              <w:rPr>
                <w:rFonts w:hint="eastAsia" w:cs="宋体"/>
                <w:color w:val="auto"/>
                <w:highlight w:val="none"/>
              </w:rPr>
              <w:t>。</w:t>
            </w:r>
          </w:p>
          <w:p>
            <w:pPr>
              <w:pStyle w:val="126"/>
              <w:spacing w:line="360" w:lineRule="auto"/>
              <w:contextualSpacing/>
              <w:rPr>
                <w:color w:val="auto"/>
                <w:highlight w:val="none"/>
                <w:lang w:val="zh-CN"/>
              </w:rPr>
            </w:pPr>
            <w:r>
              <w:rPr>
                <w:rFonts w:hint="eastAsia"/>
                <w:color w:val="auto"/>
                <w:highlight w:val="none"/>
                <w:lang w:val="zh-CN"/>
              </w:rPr>
              <w:t>联 系 人、联系电话、联系地址：详见第</w:t>
            </w:r>
            <w:r>
              <w:rPr>
                <w:rFonts w:hint="eastAsia"/>
                <w:color w:val="auto"/>
                <w:highlight w:val="none"/>
              </w:rPr>
              <w:t>一</w:t>
            </w:r>
            <w:r>
              <w:rPr>
                <w:rFonts w:hint="eastAsia"/>
                <w:color w:val="auto"/>
                <w:highlight w:val="none"/>
                <w:lang w:val="zh-CN"/>
              </w:rPr>
              <w:t>章</w:t>
            </w:r>
            <w:r>
              <w:rPr>
                <w:rFonts w:hint="eastAsia"/>
                <w:color w:val="auto"/>
                <w:highlight w:val="none"/>
              </w:rPr>
              <w:t>竞争性磋商</w:t>
            </w:r>
            <w:r>
              <w:rPr>
                <w:rFonts w:hint="eastAsia"/>
                <w:color w:val="auto"/>
                <w:highlight w:val="none"/>
                <w:lang w:val="zh-CN"/>
              </w:rPr>
              <w:t>邀请中的采购代理机构联系方式。</w:t>
            </w:r>
          </w:p>
          <w:p>
            <w:pPr>
              <w:pStyle w:val="126"/>
              <w:spacing w:line="360" w:lineRule="auto"/>
              <w:ind w:firstLine="240" w:firstLineChars="100"/>
              <w:contextualSpacing/>
              <w:rPr>
                <w:color w:val="auto"/>
                <w:highlight w:val="none"/>
              </w:rPr>
            </w:pPr>
            <w:r>
              <w:rPr>
                <w:rFonts w:hint="eastAsia"/>
                <w:color w:val="auto"/>
                <w:highlight w:val="none"/>
                <w:lang w:val="zh-CN"/>
              </w:rPr>
              <w:t>注：根据《政府采购质疑和投诉办法》（财政部令第94号）等规定，供应商质疑不得超出</w:t>
            </w:r>
            <w:r>
              <w:rPr>
                <w:rFonts w:hint="eastAsia"/>
                <w:color w:val="auto"/>
                <w:highlight w:val="none"/>
              </w:rPr>
              <w:t>磋商</w:t>
            </w:r>
            <w:r>
              <w:rPr>
                <w:rFonts w:hint="eastAsia"/>
                <w:color w:val="auto"/>
                <w:highlight w:val="none"/>
                <w:lang w:val="zh-CN"/>
              </w:rPr>
              <w:t>文件、采购过程、采购结果的范围，供应商应在法定质疑期内一次性提出针对同一采购程序环节的质疑。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28"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contextualSpacing/>
              <w:jc w:val="center"/>
              <w:rPr>
                <w:rFonts w:ascii="宋体" w:hAnsi="宋体" w:cs="宋体"/>
                <w:color w:val="auto"/>
                <w:highlight w:val="none"/>
              </w:rPr>
            </w:pPr>
            <w:r>
              <w:rPr>
                <w:rFonts w:hint="eastAsia" w:ascii="宋体" w:hAnsi="宋体" w:cs="宋体"/>
                <w:color w:val="auto"/>
                <w:highlight w:val="none"/>
                <w:lang w:val="zh-CN"/>
              </w:rPr>
              <w:t>投诉</w:t>
            </w:r>
          </w:p>
        </w:tc>
        <w:tc>
          <w:tcPr>
            <w:tcW w:w="7063" w:type="dxa"/>
            <w:vAlign w:val="center"/>
          </w:tcPr>
          <w:p>
            <w:pPr>
              <w:pStyle w:val="126"/>
              <w:spacing w:line="360" w:lineRule="auto"/>
              <w:ind w:firstLine="240" w:firstLineChars="100"/>
              <w:contextualSpacing/>
              <w:rPr>
                <w:color w:val="auto"/>
                <w:highlight w:val="none"/>
                <w:lang w:val="zh-CN"/>
              </w:rPr>
            </w:pPr>
            <w:r>
              <w:rPr>
                <w:rFonts w:hint="eastAsia"/>
                <w:color w:val="auto"/>
                <w:highlight w:val="none"/>
                <w:lang w:val="zh-CN"/>
              </w:rPr>
              <w:t>投诉受理单位：本项目同级财政部门，即</w:t>
            </w:r>
            <w:r>
              <w:rPr>
                <w:rFonts w:hint="eastAsia"/>
                <w:color w:val="auto"/>
                <w:highlight w:val="none"/>
                <w:u w:val="single"/>
              </w:rPr>
              <w:t>成都市龙泉驿区财政局</w:t>
            </w:r>
            <w:r>
              <w:rPr>
                <w:rFonts w:hint="eastAsia"/>
                <w:color w:val="auto"/>
                <w:highlight w:val="none"/>
                <w:lang w:val="zh-CN"/>
              </w:rPr>
              <w:t>。</w:t>
            </w:r>
          </w:p>
          <w:p>
            <w:pPr>
              <w:pStyle w:val="126"/>
              <w:spacing w:line="360" w:lineRule="auto"/>
              <w:ind w:firstLine="240" w:firstLineChars="100"/>
              <w:contextualSpacing/>
              <w:rPr>
                <w:color w:val="auto"/>
                <w:highlight w:val="none"/>
              </w:rPr>
            </w:pPr>
            <w:r>
              <w:rPr>
                <w:rFonts w:hint="eastAsia"/>
                <w:color w:val="auto"/>
                <w:highlight w:val="none"/>
                <w:lang w:val="zh-CN"/>
              </w:rPr>
              <w:t>联系电话：</w:t>
            </w:r>
            <w:r>
              <w:rPr>
                <w:rFonts w:hint="eastAsia"/>
                <w:color w:val="auto"/>
                <w:highlight w:val="none"/>
              </w:rPr>
              <w:t>028-84636986。</w:t>
            </w:r>
          </w:p>
          <w:p>
            <w:pPr>
              <w:pStyle w:val="126"/>
              <w:spacing w:line="360" w:lineRule="auto"/>
              <w:ind w:firstLine="240" w:firstLineChars="100"/>
              <w:contextualSpacing/>
              <w:rPr>
                <w:color w:val="auto"/>
                <w:highlight w:val="none"/>
              </w:rPr>
            </w:pPr>
            <w:r>
              <w:rPr>
                <w:rFonts w:hint="eastAsia"/>
                <w:color w:val="auto"/>
                <w:highlight w:val="none"/>
                <w:lang w:val="zh-CN"/>
              </w:rPr>
              <w:t>联系地址：</w:t>
            </w:r>
            <w:r>
              <w:rPr>
                <w:rFonts w:hint="eastAsia"/>
                <w:color w:val="auto"/>
                <w:highlight w:val="none"/>
              </w:rPr>
              <w:t>成都市龙泉驿区龙泉街道办事处中街117号。</w:t>
            </w:r>
          </w:p>
          <w:p>
            <w:pPr>
              <w:pStyle w:val="126"/>
              <w:spacing w:line="360" w:lineRule="auto"/>
              <w:ind w:firstLine="240" w:firstLineChars="100"/>
              <w:contextualSpacing/>
              <w:rPr>
                <w:color w:val="auto"/>
                <w:highlight w:val="none"/>
              </w:rPr>
            </w:pPr>
            <w:r>
              <w:rPr>
                <w:rFonts w:hint="eastAsia"/>
                <w:color w:val="auto"/>
                <w:highlight w:val="none"/>
                <w:lang w:val="zh-CN"/>
              </w:rPr>
              <w:t>注：投诉事项不得超出已质疑事项的范围。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28"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pStyle w:val="126"/>
              <w:spacing w:line="360" w:lineRule="auto"/>
              <w:jc w:val="center"/>
              <w:rPr>
                <w:color w:val="auto"/>
                <w:highlight w:val="none"/>
                <w:lang w:val="zh-CN"/>
              </w:rPr>
            </w:pPr>
            <w:r>
              <w:rPr>
                <w:rFonts w:hint="eastAsia"/>
                <w:color w:val="auto"/>
                <w:highlight w:val="none"/>
                <w:lang w:val="zh-CN"/>
              </w:rPr>
              <w:t>政府采购合同公告备案</w:t>
            </w:r>
          </w:p>
        </w:tc>
        <w:tc>
          <w:tcPr>
            <w:tcW w:w="7063" w:type="dxa"/>
            <w:vAlign w:val="center"/>
          </w:tcPr>
          <w:p>
            <w:pPr>
              <w:pStyle w:val="126"/>
              <w:numPr>
                <w:ilvl w:val="0"/>
                <w:numId w:val="16"/>
              </w:numPr>
              <w:spacing w:line="360" w:lineRule="auto"/>
              <w:ind w:left="5" w:hanging="5"/>
              <w:jc w:val="both"/>
              <w:rPr>
                <w:color w:val="auto"/>
                <w:highlight w:val="none"/>
                <w:lang w:val="zh-CN"/>
              </w:rPr>
            </w:pPr>
            <w:r>
              <w:rPr>
                <w:rFonts w:hint="eastAsia"/>
                <w:color w:val="auto"/>
                <w:highlight w:val="none"/>
                <w:lang w:val="zh-CN"/>
              </w:rPr>
              <w:t>政府采购合同签订之日起2个工作日内，政府采购合同将在四川政府采购网公告；政府采购合同签订之日起</w:t>
            </w:r>
            <w:r>
              <w:rPr>
                <w:rFonts w:hint="eastAsia"/>
                <w:color w:val="auto"/>
                <w:highlight w:val="none"/>
              </w:rPr>
              <w:t>7</w:t>
            </w:r>
            <w:r>
              <w:rPr>
                <w:rFonts w:hint="eastAsia"/>
                <w:color w:val="auto"/>
                <w:highlight w:val="none"/>
                <w:lang w:val="zh-CN"/>
              </w:rPr>
              <w:t>个工作日内，政府采购合同将向采购项目同级财政部门备案。</w:t>
            </w:r>
          </w:p>
          <w:p>
            <w:pPr>
              <w:pStyle w:val="126"/>
              <w:numPr>
                <w:ilvl w:val="0"/>
                <w:numId w:val="16"/>
              </w:numPr>
              <w:spacing w:line="360" w:lineRule="auto"/>
              <w:ind w:left="5" w:hanging="5"/>
              <w:jc w:val="both"/>
              <w:rPr>
                <w:color w:val="auto"/>
                <w:highlight w:val="none"/>
                <w:lang w:val="zh-CN"/>
              </w:rPr>
            </w:pPr>
            <w:r>
              <w:rPr>
                <w:rFonts w:hint="eastAsia"/>
                <w:color w:val="auto"/>
                <w:highlight w:val="none"/>
                <w:lang w:val="zh-CN"/>
              </w:rPr>
              <w:t>违规签订政府采购合同将依法追究法律责任。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28" w:hRule="exac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pStyle w:val="126"/>
              <w:spacing w:line="360" w:lineRule="auto"/>
              <w:jc w:val="center"/>
              <w:rPr>
                <w:color w:val="auto"/>
                <w:highlight w:val="none"/>
                <w:lang w:val="zh-CN"/>
              </w:rPr>
            </w:pPr>
            <w:r>
              <w:rPr>
                <w:rFonts w:hint="eastAsia"/>
                <w:color w:val="auto"/>
                <w:highlight w:val="none"/>
                <w:lang w:val="zh-CN"/>
              </w:rPr>
              <w:t>声明承诺提醒</w:t>
            </w:r>
          </w:p>
        </w:tc>
        <w:tc>
          <w:tcPr>
            <w:tcW w:w="7063" w:type="dxa"/>
            <w:vAlign w:val="center"/>
          </w:tcPr>
          <w:p>
            <w:pPr>
              <w:pStyle w:val="126"/>
              <w:spacing w:line="360" w:lineRule="auto"/>
              <w:jc w:val="both"/>
              <w:rPr>
                <w:color w:val="auto"/>
                <w:highlight w:val="none"/>
                <w:lang w:val="zh-CN"/>
              </w:rPr>
            </w:pPr>
            <w:r>
              <w:rPr>
                <w:rFonts w:hint="eastAsia"/>
                <w:color w:val="auto"/>
                <w:highlight w:val="none"/>
              </w:rPr>
              <w:t>供应商响应</w:t>
            </w:r>
            <w:r>
              <w:rPr>
                <w:rFonts w:hint="eastAsia"/>
                <w:color w:val="auto"/>
                <w:highlight w:val="none"/>
                <w:lang w:val="zh-CN"/>
              </w:rPr>
              <w:t>文件中提供的各种声明和承诺应当真实有效，无效声明和承诺、虚假声明和承诺将由</w:t>
            </w:r>
            <w:r>
              <w:rPr>
                <w:rFonts w:hint="eastAsia"/>
                <w:color w:val="auto"/>
                <w:highlight w:val="none"/>
              </w:rPr>
              <w:t>供应商</w:t>
            </w:r>
            <w:r>
              <w:rPr>
                <w:rFonts w:hint="eastAsia"/>
                <w:color w:val="auto"/>
                <w:highlight w:val="none"/>
                <w:lang w:val="zh-CN"/>
              </w:rPr>
              <w:t>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spacing w:line="360" w:lineRule="auto"/>
              <w:jc w:val="center"/>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auto"/>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en-US" w:eastAsia="zh-CN"/>
              </w:rPr>
              <w:t>定额收取25000元，</w:t>
            </w:r>
            <w:r>
              <w:rPr>
                <w:rFonts w:hint="eastAsia" w:ascii="宋体" w:hAnsi="宋体" w:cs="宋体"/>
                <w:color w:val="auto"/>
                <w:highlight w:val="none"/>
              </w:rPr>
              <w:t>由</w:t>
            </w:r>
            <w:r>
              <w:rPr>
                <w:rFonts w:ascii="宋体" w:hAnsi="宋体" w:cs="宋体"/>
                <w:color w:val="auto"/>
                <w:highlight w:val="none"/>
              </w:rPr>
              <w:t>采购人支付。</w:t>
            </w:r>
            <w:bookmarkStart w:id="365" w:name="_GoBack"/>
            <w:bookmarkEnd w:id="365"/>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1065" w:type="dxa"/>
            <w:vAlign w:val="center"/>
          </w:tcPr>
          <w:p>
            <w:pPr>
              <w:numPr>
                <w:ilvl w:val="0"/>
                <w:numId w:val="13"/>
              </w:numPr>
              <w:spacing w:line="360" w:lineRule="auto"/>
              <w:ind w:right="62" w:rightChars="26"/>
              <w:jc w:val="center"/>
              <w:rPr>
                <w:rFonts w:ascii="宋体" w:hAnsi="宋体" w:cs="宋体"/>
                <w:color w:val="auto"/>
                <w:highlight w:val="none"/>
              </w:rPr>
            </w:pPr>
          </w:p>
        </w:tc>
        <w:tc>
          <w:tcPr>
            <w:tcW w:w="1605" w:type="dxa"/>
            <w:vAlign w:val="center"/>
          </w:tcPr>
          <w:p>
            <w:pPr>
              <w:pStyle w:val="126"/>
              <w:spacing w:line="360" w:lineRule="auto"/>
              <w:ind w:left="96"/>
              <w:jc w:val="center"/>
              <w:rPr>
                <w:color w:val="auto"/>
                <w:highlight w:val="none"/>
                <w:lang w:val="zh-CN"/>
              </w:rPr>
            </w:pPr>
            <w:r>
              <w:rPr>
                <w:rFonts w:hint="eastAsia"/>
                <w:color w:val="auto"/>
                <w:kern w:val="2"/>
                <w:highlight w:val="none"/>
                <w:lang w:val="zh-CN"/>
              </w:rPr>
              <w:t>温馨提示</w:t>
            </w:r>
          </w:p>
        </w:tc>
        <w:tc>
          <w:tcPr>
            <w:tcW w:w="7063" w:type="dxa"/>
            <w:vAlign w:val="center"/>
          </w:tcPr>
          <w:p>
            <w:pPr>
              <w:pStyle w:val="126"/>
              <w:numPr>
                <w:ilvl w:val="0"/>
                <w:numId w:val="17"/>
              </w:numPr>
              <w:spacing w:line="360" w:lineRule="auto"/>
              <w:ind w:left="5" w:hanging="5"/>
              <w:rPr>
                <w:color w:val="auto"/>
                <w:kern w:val="2"/>
                <w:highlight w:val="none"/>
                <w:lang w:val="zh-CN"/>
              </w:rPr>
            </w:pPr>
            <w:r>
              <w:rPr>
                <w:rFonts w:hint="eastAsia"/>
                <w:color w:val="auto"/>
                <w:kern w:val="2"/>
                <w:highlight w:val="none"/>
                <w:lang w:val="zh-CN"/>
              </w:rPr>
              <w:t>供应商需准备全流程所必需的硬件设备包括电脑（版本 win7 64位及以上）、麦克风、摄像头、CA证书等。建议使用同一台电脑完成投标、评标相关事宜，推荐安装chrome浏览器，且解密CA必须和加密CA为同一把。</w:t>
            </w:r>
          </w:p>
          <w:p>
            <w:pPr>
              <w:pStyle w:val="126"/>
              <w:numPr>
                <w:ilvl w:val="0"/>
                <w:numId w:val="17"/>
              </w:numPr>
              <w:spacing w:line="360" w:lineRule="auto"/>
              <w:ind w:left="5" w:hanging="5"/>
              <w:jc w:val="both"/>
              <w:rPr>
                <w:color w:val="auto"/>
                <w:kern w:val="2"/>
                <w:highlight w:val="none"/>
                <w:lang w:val="zh-CN"/>
              </w:rPr>
            </w:pPr>
            <w:r>
              <w:rPr>
                <w:rFonts w:hint="eastAsia"/>
                <w:color w:val="auto"/>
                <w:kern w:val="2"/>
                <w:highlight w:val="none"/>
                <w:lang w:val="zh-CN"/>
              </w:rPr>
              <w:t>政府采购云平台供应商注册地址：</w:t>
            </w:r>
          </w:p>
          <w:p>
            <w:pPr>
              <w:pStyle w:val="126"/>
              <w:spacing w:line="360" w:lineRule="auto"/>
              <w:jc w:val="both"/>
              <w:rPr>
                <w:color w:val="auto"/>
                <w:highlight w:val="none"/>
                <w:lang w:val="zh-CN"/>
              </w:rPr>
            </w:pPr>
            <w:r>
              <w:rPr>
                <w:rFonts w:hint="eastAsia"/>
                <w:color w:val="auto"/>
                <w:kern w:val="2"/>
                <w:highlight w:val="none"/>
                <w:lang w:val="zh-CN"/>
              </w:rPr>
              <w:t>https://middle.zcygov.cn/v-settle-front/registry?settleCategory=1&amp;entranceType=119&amp;utm=a0017.b1347.cl50.3.c0de9400b91b11eb870ad7da87d69c97</w:t>
            </w:r>
          </w:p>
        </w:tc>
      </w:tr>
    </w:tbl>
    <w:p>
      <w:pPr>
        <w:pStyle w:val="5"/>
        <w:rPr>
          <w:color w:val="auto"/>
          <w:sz w:val="24"/>
          <w:szCs w:val="24"/>
          <w:highlight w:val="none"/>
        </w:rPr>
      </w:pPr>
      <w:bookmarkStart w:id="64" w:name="_Toc8562"/>
      <w:r>
        <w:rPr>
          <w:rFonts w:hint="eastAsia"/>
          <w:color w:val="auto"/>
          <w:sz w:val="24"/>
          <w:szCs w:val="24"/>
          <w:highlight w:val="none"/>
        </w:rPr>
        <w:t>总则</w:t>
      </w:r>
      <w:bookmarkEnd w:id="64"/>
    </w:p>
    <w:p>
      <w:pPr>
        <w:pStyle w:val="6"/>
        <w:ind w:firstLine="482"/>
        <w:rPr>
          <w:color w:val="auto"/>
          <w:highlight w:val="none"/>
        </w:rPr>
      </w:pPr>
      <w:r>
        <w:rPr>
          <w:rFonts w:hint="eastAsia"/>
          <w:color w:val="auto"/>
          <w:highlight w:val="none"/>
        </w:rPr>
        <w:t>适用范围</w:t>
      </w:r>
      <w:bookmarkEnd w:id="59"/>
      <w:bookmarkEnd w:id="60"/>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本竞争性磋商文件仅适用于本竞争性磋商邀请中所叙述项目的采购。</w:t>
      </w:r>
    </w:p>
    <w:p>
      <w:pPr>
        <w:pStyle w:val="6"/>
        <w:ind w:firstLine="482"/>
        <w:rPr>
          <w:color w:val="auto"/>
          <w:szCs w:val="24"/>
          <w:highlight w:val="none"/>
        </w:rPr>
      </w:pPr>
      <w:bookmarkStart w:id="65" w:name="_Toc287623639"/>
      <w:r>
        <w:rPr>
          <w:rFonts w:hint="eastAsia"/>
          <w:color w:val="auto"/>
          <w:szCs w:val="24"/>
          <w:highlight w:val="none"/>
        </w:rPr>
        <w:t>定义</w:t>
      </w:r>
      <w:bookmarkEnd w:id="65"/>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rPr>
        <w:t>成都市龙泉驿区水务局</w:t>
      </w:r>
      <w:r>
        <w:rPr>
          <w:rFonts w:hint="eastAsia" w:ascii="宋体" w:hAnsi="宋体" w:cs="宋体"/>
          <w:color w:val="auto"/>
          <w:highlight w:val="none"/>
        </w:rPr>
        <w:t>。</w:t>
      </w:r>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6"/>
        <w:ind w:firstLine="482"/>
        <w:rPr>
          <w:color w:val="auto"/>
          <w:szCs w:val="24"/>
          <w:highlight w:val="none"/>
        </w:rPr>
      </w:pPr>
      <w:r>
        <w:rPr>
          <w:rFonts w:hint="eastAsia"/>
          <w:color w:val="auto"/>
          <w:szCs w:val="24"/>
          <w:highlight w:val="none"/>
        </w:rPr>
        <w:t>合格供应商的条件（实质性要求）</w:t>
      </w:r>
    </w:p>
    <w:p>
      <w:pPr>
        <w:numPr>
          <w:ilvl w:val="0"/>
          <w:numId w:val="19"/>
        </w:numPr>
        <w:spacing w:line="360" w:lineRule="auto"/>
        <w:ind w:firstLine="480" w:firstLineChars="200"/>
        <w:rPr>
          <w:rFonts w:ascii="宋体" w:hAnsi="宋体" w:cs="宋体"/>
          <w:color w:val="auto"/>
          <w:highlight w:val="none"/>
        </w:rPr>
      </w:pPr>
      <w:bookmarkStart w:id="66" w:name="_Toc320698717"/>
      <w:r>
        <w:rPr>
          <w:rFonts w:hint="eastAsia" w:ascii="宋体" w:hAnsi="宋体" w:cs="宋体"/>
          <w:color w:val="auto"/>
          <w:highlight w:val="none"/>
        </w:rPr>
        <w:t>本竞争性磋商文件规定的供应商资格条件；</w:t>
      </w:r>
    </w:p>
    <w:p>
      <w:pPr>
        <w:numPr>
          <w:ilvl w:val="0"/>
          <w:numId w:val="19"/>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向采购代理机构购买了竞争性磋商文件并登记备案；</w:t>
      </w:r>
    </w:p>
    <w:p>
      <w:pPr>
        <w:numPr>
          <w:ilvl w:val="0"/>
          <w:numId w:val="19"/>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遵守国家有关的法律、法规、规章和其他政策制度；</w:t>
      </w:r>
    </w:p>
    <w:p>
      <w:pPr>
        <w:numPr>
          <w:ilvl w:val="0"/>
          <w:numId w:val="19"/>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竞争性磋商文件和法律、行政法规规定的其他条件。</w:t>
      </w:r>
    </w:p>
    <w:bookmarkEnd w:id="66"/>
    <w:p>
      <w:pPr>
        <w:pStyle w:val="6"/>
        <w:ind w:firstLine="482"/>
        <w:rPr>
          <w:color w:val="auto"/>
          <w:highlight w:val="none"/>
        </w:rPr>
      </w:pPr>
      <w:bookmarkStart w:id="67" w:name="_Toc287623640"/>
      <w:r>
        <w:rPr>
          <w:rFonts w:hint="eastAsia"/>
          <w:color w:val="auto"/>
          <w:highlight w:val="none"/>
        </w:rPr>
        <w:t>充分、公平竞争保障措施（实质性要求）</w:t>
      </w:r>
    </w:p>
    <w:p>
      <w:pPr>
        <w:numPr>
          <w:ilvl w:val="0"/>
          <w:numId w:val="20"/>
        </w:numPr>
        <w:tabs>
          <w:tab w:val="left" w:pos="851"/>
          <w:tab w:val="left" w:pos="1560"/>
        </w:tabs>
        <w:spacing w:line="360" w:lineRule="auto"/>
        <w:jc w:val="both"/>
        <w:rPr>
          <w:rFonts w:ascii="宋体" w:hAnsi="宋体" w:cs="宋体"/>
          <w:b/>
          <w:color w:val="auto"/>
          <w:highlight w:val="none"/>
        </w:rPr>
      </w:pPr>
      <w:r>
        <w:rPr>
          <w:rFonts w:hint="eastAsia" w:ascii="宋体" w:hAnsi="宋体" w:cs="宋体"/>
          <w:b/>
          <w:color w:val="auto"/>
          <w:highlight w:val="none"/>
        </w:rPr>
        <w:t>提供相同品牌产品处理（本项目不适用）</w:t>
      </w:r>
    </w:p>
    <w:p>
      <w:pPr>
        <w:numPr>
          <w:ilvl w:val="0"/>
          <w:numId w:val="21"/>
        </w:numPr>
        <w:tabs>
          <w:tab w:val="left" w:pos="851"/>
          <w:tab w:val="left" w:pos="1560"/>
        </w:tabs>
        <w:spacing w:line="360" w:lineRule="auto"/>
        <w:jc w:val="both"/>
        <w:rPr>
          <w:rFonts w:ascii="宋体" w:hAnsi="宋体" w:cs="宋体"/>
          <w:bCs/>
          <w:color w:val="auto"/>
          <w:highlight w:val="none"/>
        </w:rPr>
      </w:pPr>
      <w:r>
        <w:rPr>
          <w:rFonts w:hint="eastAsia" w:ascii="宋体" w:hAnsi="宋体" w:cs="宋体"/>
          <w:bCs/>
          <w:color w:val="auto"/>
          <w:highlight w:val="none"/>
        </w:rPr>
        <w:t>采用最低评标价法的采购项目</w:t>
      </w:r>
    </w:p>
    <w:p>
      <w:pPr>
        <w:pStyle w:val="141"/>
        <w:spacing w:line="360" w:lineRule="auto"/>
        <w:ind w:firstLine="480"/>
        <w:rPr>
          <w:rFonts w:hAnsi="宋体" w:cs="宋体"/>
          <w:bCs/>
          <w:color w:val="auto"/>
          <w:sz w:val="24"/>
          <w:szCs w:val="24"/>
          <w:highlight w:val="none"/>
        </w:rPr>
      </w:pPr>
      <w:r>
        <w:rPr>
          <w:rFonts w:hint="eastAsia" w:hAnsi="宋体" w:cs="宋体"/>
          <w:bCs/>
          <w:color w:val="auto"/>
          <w:sz w:val="24"/>
          <w:szCs w:val="24"/>
          <w:highlight w:val="none"/>
        </w:rPr>
        <w:t>提供相同品牌产品的不同供应商参加同一合同项下磋商的，以其中通过资格审查、实质性审查且报价最低的参加评审；报价相同的，由采购人或者采购人委托评审委员会按照磋商文件规定的方式确定一个参加评审的供应商，磋商文件未规定的采取随机抽取方式确定，其他磋商无效。</w:t>
      </w:r>
    </w:p>
    <w:p>
      <w:pPr>
        <w:numPr>
          <w:ilvl w:val="0"/>
          <w:numId w:val="21"/>
        </w:numPr>
        <w:tabs>
          <w:tab w:val="left" w:pos="851"/>
          <w:tab w:val="left" w:pos="1560"/>
        </w:tabs>
        <w:spacing w:line="360" w:lineRule="auto"/>
        <w:jc w:val="both"/>
        <w:rPr>
          <w:rFonts w:ascii="宋体" w:hAnsi="宋体" w:cs="宋体"/>
          <w:bCs/>
          <w:color w:val="auto"/>
          <w:highlight w:val="none"/>
        </w:rPr>
      </w:pPr>
      <w:r>
        <w:rPr>
          <w:rFonts w:hint="eastAsia" w:ascii="宋体" w:hAnsi="宋体" w:cs="宋体"/>
          <w:bCs/>
          <w:color w:val="auto"/>
          <w:highlight w:val="none"/>
        </w:rPr>
        <w:t>采用综合评分法的采购项目</w:t>
      </w:r>
    </w:p>
    <w:p>
      <w:pPr>
        <w:pStyle w:val="141"/>
        <w:spacing w:line="360" w:lineRule="auto"/>
        <w:ind w:firstLine="480"/>
        <w:rPr>
          <w:rFonts w:hAnsi="宋体" w:cs="宋体"/>
          <w:bCs/>
          <w:color w:val="auto"/>
          <w:sz w:val="24"/>
          <w:szCs w:val="24"/>
          <w:highlight w:val="none"/>
        </w:rPr>
      </w:pPr>
      <w:r>
        <w:rPr>
          <w:rFonts w:hint="eastAsia" w:hAnsi="宋体" w:cs="宋体"/>
          <w:bCs/>
          <w:color w:val="auto"/>
          <w:sz w:val="24"/>
          <w:szCs w:val="24"/>
          <w:highlight w:val="none"/>
        </w:rPr>
        <w:t>提供相同品牌产品且通过资格审查、实质性审查的不同供应商参加同一合同项下磋商的，按一家供应商计算，评审后得分最高的同品牌供应商获得成交供应商推荐资格；评审得分相同的，由采购人或者采购人委托评审委员会按照磋商文件规定的方式确定一个供应商获得成交供应商推荐资格，磋商文件未规定的采取随机抽取方式确定，其他同品牌供应商不作为成交候选人。</w:t>
      </w:r>
    </w:p>
    <w:p>
      <w:pPr>
        <w:pStyle w:val="197"/>
        <w:snapToGrid w:val="0"/>
        <w:spacing w:line="360" w:lineRule="auto"/>
        <w:ind w:firstLine="480" w:firstLineChars="200"/>
        <w:rPr>
          <w:rFonts w:hint="default" w:ascii="宋体" w:hAnsi="宋体" w:cs="宋体"/>
          <w:color w:val="auto"/>
          <w:highlight w:val="none"/>
        </w:rPr>
      </w:pPr>
      <w:r>
        <w:rPr>
          <w:rFonts w:ascii="宋体" w:hAnsi="宋体" w:cs="宋体"/>
          <w:bCs/>
          <w:color w:val="auto"/>
          <w:sz w:val="24"/>
          <w:szCs w:val="24"/>
          <w:highlight w:val="none"/>
        </w:rPr>
        <w:t>非单一产品采购项目，采购人应当根据采购项目技术构成、产品价格比重等合理确定核心产品，并在磋商文件中载明。多家供应商提供的任一核心产品品牌相同的，按前两款规定处理。</w:t>
      </w:r>
    </w:p>
    <w:p>
      <w:pPr>
        <w:numPr>
          <w:ilvl w:val="0"/>
          <w:numId w:val="20"/>
        </w:numPr>
        <w:tabs>
          <w:tab w:val="left" w:pos="851"/>
          <w:tab w:val="left" w:pos="1560"/>
        </w:tabs>
        <w:spacing w:line="360" w:lineRule="auto"/>
        <w:jc w:val="both"/>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20"/>
        </w:numPr>
        <w:tabs>
          <w:tab w:val="left" w:pos="851"/>
          <w:tab w:val="left" w:pos="1560"/>
        </w:tabs>
        <w:spacing w:line="360" w:lineRule="auto"/>
        <w:jc w:val="both"/>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20"/>
        </w:numPr>
        <w:tabs>
          <w:tab w:val="left" w:pos="851"/>
          <w:tab w:val="left" w:pos="1560"/>
        </w:tabs>
        <w:spacing w:line="360" w:lineRule="auto"/>
        <w:jc w:val="both"/>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20"/>
        </w:numPr>
        <w:tabs>
          <w:tab w:val="left" w:pos="851"/>
          <w:tab w:val="left" w:pos="1560"/>
        </w:tabs>
        <w:spacing w:line="360" w:lineRule="auto"/>
        <w:jc w:val="both"/>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6"/>
        <w:ind w:firstLine="482"/>
        <w:rPr>
          <w:color w:val="auto"/>
          <w:highlight w:val="none"/>
        </w:rPr>
      </w:pPr>
      <w:r>
        <w:rPr>
          <w:rFonts w:hint="eastAsia"/>
          <w:color w:val="auto"/>
          <w:highlight w:val="none"/>
        </w:rPr>
        <w:t>竞争性磋商采购费用</w:t>
      </w:r>
      <w:bookmarkEnd w:id="67"/>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5"/>
        <w:rPr>
          <w:color w:val="auto"/>
          <w:sz w:val="24"/>
          <w:szCs w:val="24"/>
          <w:highlight w:val="none"/>
        </w:rPr>
      </w:pPr>
      <w:bookmarkStart w:id="68" w:name="_Toc31143"/>
      <w:bookmarkStart w:id="69" w:name="_Toc320698720"/>
      <w:r>
        <w:rPr>
          <w:rFonts w:hint="eastAsia"/>
          <w:color w:val="auto"/>
          <w:sz w:val="24"/>
          <w:szCs w:val="24"/>
          <w:highlight w:val="none"/>
        </w:rPr>
        <w:t>磋商文件</w:t>
      </w:r>
      <w:bookmarkEnd w:id="68"/>
    </w:p>
    <w:p>
      <w:pPr>
        <w:pStyle w:val="6"/>
        <w:ind w:firstLine="482"/>
        <w:rPr>
          <w:color w:val="auto"/>
          <w:highlight w:val="none"/>
        </w:rPr>
      </w:pPr>
      <w:r>
        <w:rPr>
          <w:rFonts w:hint="eastAsia"/>
          <w:color w:val="auto"/>
          <w:highlight w:val="none"/>
        </w:rPr>
        <w:t xml:space="preserve"> 磋商文件的构成（实质性要求）</w:t>
      </w:r>
    </w:p>
    <w:p>
      <w:pPr>
        <w:numPr>
          <w:ilvl w:val="0"/>
          <w:numId w:val="22"/>
        </w:numPr>
        <w:spacing w:line="360" w:lineRule="auto"/>
        <w:rPr>
          <w:rFonts w:ascii="宋体" w:hAnsi="宋体" w:cs="宋体"/>
          <w:color w:val="auto"/>
          <w:highlight w:val="none"/>
        </w:rPr>
      </w:pPr>
      <w:r>
        <w:rPr>
          <w:rFonts w:hint="eastAsia" w:ascii="宋体" w:hAnsi="宋体" w:cs="宋体"/>
          <w:color w:val="auto"/>
          <w:highlight w:val="none"/>
        </w:rPr>
        <w:t>磋商文件是供应商准备响应文件和参加磋商的依据，同时也是磋商的重要依据。磋商文件用以阐明磋商项目所需的资质、技术、服务及报价等要求、磋商程序、有关规定和注意事项以及合同主要条款等。</w:t>
      </w:r>
    </w:p>
    <w:p>
      <w:pPr>
        <w:numPr>
          <w:ilvl w:val="0"/>
          <w:numId w:val="22"/>
        </w:numPr>
        <w:spacing w:line="360" w:lineRule="auto"/>
        <w:rPr>
          <w:rFonts w:ascii="宋体" w:hAnsi="宋体" w:cs="宋体"/>
          <w:color w:val="auto"/>
          <w:highlight w:val="none"/>
        </w:rPr>
      </w:pPr>
      <w:r>
        <w:rPr>
          <w:rFonts w:hint="eastAsia" w:ascii="宋体" w:hAnsi="宋体" w:cs="宋体"/>
          <w:color w:val="auto"/>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ind w:firstLine="482"/>
        <w:rPr>
          <w:rFonts w:cs="宋体"/>
          <w:color w:val="auto"/>
          <w:szCs w:val="24"/>
          <w:highlight w:val="none"/>
        </w:rPr>
      </w:pPr>
      <w:bookmarkStart w:id="70" w:name="_Toc183682348"/>
      <w:bookmarkStart w:id="71" w:name="_Toc183582211"/>
      <w:bookmarkStart w:id="72" w:name="_Toc217446040"/>
      <w:r>
        <w:rPr>
          <w:rFonts w:hint="eastAsia" w:cs="宋体"/>
          <w:color w:val="auto"/>
          <w:szCs w:val="24"/>
          <w:highlight w:val="none"/>
        </w:rPr>
        <w:t xml:space="preserve"> 磋商文件的澄清</w:t>
      </w:r>
      <w:bookmarkEnd w:id="70"/>
      <w:bookmarkEnd w:id="71"/>
      <w:r>
        <w:rPr>
          <w:rFonts w:hint="eastAsia" w:cs="宋体"/>
          <w:color w:val="auto"/>
          <w:szCs w:val="24"/>
          <w:highlight w:val="none"/>
        </w:rPr>
        <w:t>和修改</w:t>
      </w:r>
      <w:bookmarkEnd w:id="72"/>
    </w:p>
    <w:p>
      <w:pPr>
        <w:numPr>
          <w:ilvl w:val="0"/>
          <w:numId w:val="23"/>
        </w:numPr>
        <w:spacing w:line="360" w:lineRule="auto"/>
        <w:rPr>
          <w:rFonts w:ascii="宋体" w:hAnsi="宋体" w:cs="宋体"/>
          <w:color w:val="auto"/>
          <w:highlight w:val="none"/>
        </w:rPr>
      </w:pPr>
      <w:r>
        <w:rPr>
          <w:rFonts w:hint="eastAsia" w:ascii="宋体" w:hAnsi="宋体" w:cs="宋体"/>
          <w:color w:val="auto"/>
          <w:highlight w:val="none"/>
        </w:rPr>
        <w:t>在递交响应文件截止时间前，采购人、采购代理机构可以对磋商文件进行澄清或者修改。</w:t>
      </w:r>
    </w:p>
    <w:p>
      <w:pPr>
        <w:numPr>
          <w:ilvl w:val="0"/>
          <w:numId w:val="23"/>
        </w:numPr>
        <w:spacing w:line="360" w:lineRule="auto"/>
        <w:rPr>
          <w:rFonts w:ascii="宋体" w:hAnsi="宋体" w:cs="宋体"/>
          <w:color w:val="auto"/>
          <w:highlight w:val="none"/>
        </w:rPr>
      </w:pPr>
      <w:r>
        <w:rPr>
          <w:rFonts w:hint="eastAsia" w:ascii="宋体" w:hAnsi="宋体" w:cs="宋体"/>
          <w:color w:val="auto"/>
          <w:highlight w:val="none"/>
        </w:rPr>
        <w:t>澄清或者修改的内容，采购代理机构将在“四川政府采购网”网站上发布澄清公告，同时通过政府采购云平台将澄清或者修改的内容告知所有已获取采购文件的潜在供应商（供应商通过账号或CA证书登录云平台查看），该澄清或者修改的内容为磋商文件的组成部分。</w:t>
      </w:r>
    </w:p>
    <w:p>
      <w:pPr>
        <w:numPr>
          <w:ilvl w:val="0"/>
          <w:numId w:val="23"/>
        </w:numPr>
        <w:spacing w:line="360" w:lineRule="auto"/>
        <w:rPr>
          <w:rFonts w:ascii="宋体" w:hAnsi="宋体" w:cs="宋体"/>
          <w:color w:val="auto"/>
          <w:highlight w:val="none"/>
        </w:rPr>
      </w:pPr>
      <w:r>
        <w:rPr>
          <w:rFonts w:hint="eastAsia" w:ascii="宋体" w:hAnsi="宋体" w:cs="宋体"/>
          <w:color w:val="auto"/>
          <w:highlight w:val="none"/>
        </w:rPr>
        <w:t>澄清或者修改的内容可能影响响应文件编制的，采购代理机构应当在提交首次响应文件截止时间至少5日前，通过政府采购云平台通知所有已获取采购文件的潜在供应商；不足5日的，采购人或采购代理机构应当顺延提交首次响应文件截止时间。</w:t>
      </w:r>
    </w:p>
    <w:p>
      <w:pPr>
        <w:numPr>
          <w:ilvl w:val="0"/>
          <w:numId w:val="23"/>
        </w:numPr>
        <w:spacing w:line="360" w:lineRule="auto"/>
        <w:rPr>
          <w:rFonts w:ascii="宋体" w:hAnsi="宋体" w:cs="宋体"/>
          <w:color w:val="auto"/>
          <w:highlight w:val="none"/>
        </w:rPr>
      </w:pPr>
      <w:r>
        <w:rPr>
          <w:rFonts w:hint="eastAsia" w:ascii="宋体" w:hAnsi="宋体" w:cs="宋体"/>
          <w:color w:val="auto"/>
          <w:highlight w:val="none"/>
        </w:rPr>
        <w:t>供应商应于递交响应文件截止前，在公告发布网站查询本项目的更正公告，以保证其对磋商文件做出正确的响应。供应商未按要求下载相关文件，或由于未及时关注更正公告的信息造成的后果，其责任由供应商自行负责。</w:t>
      </w:r>
    </w:p>
    <w:p>
      <w:pPr>
        <w:numPr>
          <w:ilvl w:val="0"/>
          <w:numId w:val="23"/>
        </w:numPr>
        <w:spacing w:line="360" w:lineRule="auto"/>
        <w:rPr>
          <w:rFonts w:ascii="宋体" w:hAnsi="宋体" w:cs="宋体"/>
          <w:color w:val="auto"/>
          <w:highlight w:val="none"/>
        </w:rPr>
      </w:pPr>
      <w:r>
        <w:rPr>
          <w:rFonts w:hint="eastAsia" w:ascii="宋体" w:hAnsi="宋体" w:cs="宋体"/>
          <w:color w:val="auto"/>
          <w:highlight w:val="none"/>
        </w:rPr>
        <w:t>供应商认为需要对磋商文件进行澄清或者修改的，可以以书面形式向采购人或采购代理机构提出申请，由采购人或采购代理机构决定是否采纳供应商的申请事项。</w:t>
      </w:r>
    </w:p>
    <w:p>
      <w:pPr>
        <w:pStyle w:val="6"/>
        <w:ind w:firstLine="482"/>
        <w:rPr>
          <w:rFonts w:cs="宋体"/>
          <w:color w:val="auto"/>
          <w:szCs w:val="24"/>
          <w:highlight w:val="none"/>
        </w:rPr>
      </w:pPr>
      <w:bookmarkStart w:id="73" w:name="_Toc208848971"/>
      <w:bookmarkStart w:id="74" w:name="_Toc217446041"/>
      <w:r>
        <w:rPr>
          <w:rFonts w:hint="eastAsia" w:cs="宋体"/>
          <w:color w:val="auto"/>
          <w:szCs w:val="24"/>
          <w:highlight w:val="none"/>
        </w:rPr>
        <w:t xml:space="preserve"> 答疑会和现场考察</w:t>
      </w:r>
      <w:bookmarkEnd w:id="73"/>
      <w:bookmarkEnd w:id="74"/>
    </w:p>
    <w:p>
      <w:pPr>
        <w:tabs>
          <w:tab w:val="left" w:pos="851"/>
        </w:tabs>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本项目不组织现场考察会或答疑会。</w:t>
      </w:r>
    </w:p>
    <w:p>
      <w:pPr>
        <w:pStyle w:val="5"/>
        <w:rPr>
          <w:color w:val="auto"/>
          <w:sz w:val="24"/>
          <w:szCs w:val="24"/>
          <w:highlight w:val="none"/>
        </w:rPr>
      </w:pPr>
      <w:bookmarkStart w:id="75" w:name="_Toc25377"/>
      <w:r>
        <w:rPr>
          <w:rFonts w:hint="eastAsia"/>
          <w:color w:val="auto"/>
          <w:sz w:val="24"/>
          <w:szCs w:val="24"/>
          <w:highlight w:val="none"/>
        </w:rPr>
        <w:t>响应文件</w:t>
      </w:r>
      <w:bookmarkEnd w:id="69"/>
      <w:bookmarkEnd w:id="75"/>
    </w:p>
    <w:p>
      <w:pPr>
        <w:pStyle w:val="6"/>
        <w:ind w:left="18" w:firstLine="462" w:firstLineChars="0"/>
        <w:rPr>
          <w:rFonts w:cs="宋体"/>
          <w:color w:val="auto"/>
          <w:szCs w:val="24"/>
          <w:highlight w:val="none"/>
        </w:rPr>
      </w:pPr>
      <w:bookmarkStart w:id="76" w:name="_Toc320698721"/>
      <w:r>
        <w:rPr>
          <w:rFonts w:hint="eastAsia" w:cs="宋体"/>
          <w:color w:val="auto"/>
          <w:szCs w:val="24"/>
          <w:highlight w:val="none"/>
        </w:rPr>
        <w:t>响应文件的语言</w:t>
      </w:r>
      <w:bookmarkEnd w:id="76"/>
      <w:r>
        <w:rPr>
          <w:rFonts w:hint="eastAsia" w:cs="宋体"/>
          <w:color w:val="auto"/>
          <w:szCs w:val="24"/>
          <w:highlight w:val="none"/>
        </w:rPr>
        <w:t>、计量单位</w:t>
      </w:r>
      <w:r>
        <w:rPr>
          <w:rFonts w:hint="eastAsia"/>
          <w:color w:val="auto"/>
          <w:highlight w:val="none"/>
        </w:rPr>
        <w:t>（实质性要求）</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6"/>
        <w:ind w:firstLine="482"/>
        <w:rPr>
          <w:rFonts w:cs="宋体"/>
          <w:color w:val="auto"/>
          <w:szCs w:val="24"/>
          <w:highlight w:val="none"/>
        </w:rPr>
      </w:pPr>
      <w:bookmarkStart w:id="77" w:name="_Toc320698722"/>
      <w:r>
        <w:rPr>
          <w:rFonts w:hint="eastAsia" w:cs="宋体"/>
          <w:color w:val="auto"/>
          <w:szCs w:val="24"/>
          <w:highlight w:val="none"/>
        </w:rPr>
        <w:t>报价货币</w:t>
      </w:r>
      <w:bookmarkEnd w:id="77"/>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78"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6"/>
        <w:ind w:firstLine="482"/>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6"/>
        <w:ind w:firstLine="482"/>
        <w:rPr>
          <w:rFonts w:cs="宋体"/>
          <w:color w:val="auto"/>
          <w:szCs w:val="24"/>
          <w:highlight w:val="none"/>
        </w:rPr>
      </w:pPr>
      <w:r>
        <w:rPr>
          <w:rFonts w:hint="eastAsia" w:cs="宋体"/>
          <w:color w:val="auto"/>
          <w:szCs w:val="24"/>
          <w:highlight w:val="none"/>
        </w:rPr>
        <w:t>联合体</w:t>
      </w:r>
      <w:bookmarkEnd w:id="78"/>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6"/>
        <w:ind w:firstLine="482"/>
        <w:rPr>
          <w:rFonts w:cs="宋体"/>
          <w:color w:val="auto"/>
          <w:szCs w:val="24"/>
          <w:highlight w:val="none"/>
        </w:rPr>
      </w:pPr>
      <w:bookmarkStart w:id="79" w:name="_Toc320698724"/>
      <w:r>
        <w:rPr>
          <w:rFonts w:hint="eastAsia" w:cs="宋体"/>
          <w:color w:val="auto"/>
          <w:szCs w:val="24"/>
          <w:highlight w:val="none"/>
        </w:rPr>
        <w:t>响应文件的组成</w:t>
      </w:r>
      <w:bookmarkEnd w:id="79"/>
      <w:bookmarkStart w:id="80"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6"/>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80"/>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关联情况说明；</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6"/>
        <w:numPr>
          <w:ilvl w:val="3"/>
          <w:numId w:val="1"/>
        </w:numPr>
        <w:ind w:left="0" w:firstLine="482"/>
        <w:rPr>
          <w:rFonts w:cs="宋体"/>
          <w:color w:val="auto"/>
          <w:szCs w:val="24"/>
          <w:highlight w:val="none"/>
        </w:rPr>
      </w:pPr>
      <w:bookmarkStart w:id="81" w:name="_Toc320698726"/>
      <w:r>
        <w:rPr>
          <w:rFonts w:hint="eastAsia" w:cs="宋体"/>
          <w:color w:val="auto"/>
          <w:szCs w:val="24"/>
          <w:highlight w:val="none"/>
        </w:rPr>
        <w:t>技术、服务性响应文件</w:t>
      </w:r>
      <w:bookmarkEnd w:id="81"/>
    </w:p>
    <w:p>
      <w:pPr>
        <w:pStyle w:val="2"/>
        <w:numPr>
          <w:ilvl w:val="0"/>
          <w:numId w:val="27"/>
        </w:numPr>
        <w:tabs>
          <w:tab w:val="left" w:pos="1134"/>
        </w:tabs>
        <w:spacing w:after="0" w:line="360" w:lineRule="auto"/>
        <w:ind w:firstLine="480" w:firstLineChars="200"/>
        <w:rPr>
          <w:rFonts w:ascii="宋体" w:hAnsi="宋体" w:cs="宋体"/>
          <w:bCs/>
          <w:color w:val="auto"/>
          <w:highlight w:val="none"/>
        </w:rPr>
      </w:pPr>
      <w:bookmarkStart w:id="82"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技术、商务应答表</w:t>
      </w:r>
      <w:r>
        <w:rPr>
          <w:rFonts w:hint="eastAsia" w:ascii="宋体" w:hAnsi="宋体" w:cs="宋体"/>
          <w:bCs/>
          <w:color w:val="auto"/>
          <w:highlight w:val="none"/>
        </w:rPr>
        <w:t>；</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服务方案；</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实施本项目的主要人员配置情况表；</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类似业绩一览表；（如有）</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中小企业声明函；（如未提供中小企业声明函的，则其报价不能享受磋商文件规定的价格扣除，但不影响供应商响应文件的有效性）；</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残疾人福利性单位声明函；（如未提供残疾人福利性单位声明函的，则其报价不能享受招磋商件规定的价格扣除，但不影响供应商响应文件的有效性）；</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监狱企业证明材料；（如非监狱企业，则其报价不能享受招磋商件规定的价格扣除，但不影响供应商响应文件的有效性）；</w:t>
      </w:r>
    </w:p>
    <w:p>
      <w:pPr>
        <w:pStyle w:val="2"/>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6"/>
        <w:ind w:firstLine="482"/>
        <w:rPr>
          <w:rFonts w:cs="宋体"/>
          <w:color w:val="auto"/>
          <w:szCs w:val="24"/>
          <w:highlight w:val="none"/>
        </w:rPr>
      </w:pPr>
      <w:r>
        <w:rPr>
          <w:rFonts w:hint="eastAsia" w:cs="宋体"/>
          <w:color w:val="auto"/>
          <w:szCs w:val="24"/>
          <w:highlight w:val="none"/>
        </w:rPr>
        <w:t>最后报价</w:t>
      </w:r>
    </w:p>
    <w:p>
      <w:pPr>
        <w:numPr>
          <w:ilvl w:val="0"/>
          <w:numId w:val="28"/>
        </w:numPr>
        <w:tabs>
          <w:tab w:val="left" w:pos="1134"/>
        </w:tabs>
        <w:snapToGrid w:val="0"/>
        <w:spacing w:after="200" w:line="360" w:lineRule="auto"/>
        <w:ind w:left="0" w:firstLine="480" w:firstLineChars="200"/>
        <w:rPr>
          <w:rFonts w:ascii="宋体" w:hAnsi="宋体" w:cs="宋体"/>
          <w:color w:val="auto"/>
          <w:highlight w:val="none"/>
        </w:rPr>
      </w:pPr>
      <w:r>
        <w:rPr>
          <w:rFonts w:hint="eastAsia" w:ascii="宋体" w:hAnsi="宋体" w:cs="宋体"/>
          <w:color w:val="auto"/>
          <w:highlight w:val="none"/>
        </w:rPr>
        <w:t>磋商结束后，磋商小组应当要求所有实质性响应的供应商在规定时间内进行最后报价。磋商小组开启报价后，供应商应随时关注“政府采购云平台”站内信息或短信提醒，登录“政府采购云平台”，通过“开标大厅”进行报价。登录政府采购云平台(www.zcygov.cn)—我的工作台—项目采购—开标评标—开标大厅（找到对应项目）—报价，进行报价并签章后递交（说明：供应商在最后报价环节应在政府采购云平台填写最后报价以及以附件形式上传）。报价时间截止后，系统统一公布报价。提示：供应商未按时登录不见面开标系统，未在报价截止时间内提交最后报价或未按要求上传最后报价明细表的，视为供应商响应文件无效，由供应商自行承担不利后果。</w:t>
      </w:r>
    </w:p>
    <w:p>
      <w:pPr>
        <w:numPr>
          <w:ilvl w:val="0"/>
          <w:numId w:val="28"/>
        </w:numPr>
        <w:tabs>
          <w:tab w:val="left" w:pos="1134"/>
        </w:tabs>
        <w:snapToGrid w:val="0"/>
        <w:spacing w:after="200" w:line="360" w:lineRule="auto"/>
        <w:ind w:left="0" w:firstLine="480" w:firstLineChars="200"/>
        <w:rPr>
          <w:rFonts w:ascii="宋体" w:hAnsi="宋体" w:cs="宋体"/>
          <w:color w:val="auto"/>
          <w:highlight w:val="none"/>
        </w:rPr>
      </w:pPr>
      <w:r>
        <w:rPr>
          <w:rFonts w:hint="eastAsia" w:ascii="宋体" w:hAnsi="宋体" w:cs="宋体"/>
          <w:color w:val="auto"/>
          <w:highlight w:val="none"/>
        </w:rPr>
        <w:t>已提交响应文件的供应商，在提交最后报价之前，可以根据磋商情况退出磋商。</w:t>
      </w:r>
    </w:p>
    <w:p>
      <w:pPr>
        <w:numPr>
          <w:ilvl w:val="0"/>
          <w:numId w:val="28"/>
        </w:numPr>
        <w:tabs>
          <w:tab w:val="left" w:pos="1134"/>
        </w:tabs>
        <w:snapToGrid w:val="0"/>
        <w:spacing w:after="200"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供应商未按磋商小组要求在规定时间内提交最后报价的，视为其退出磋商。</w:t>
      </w:r>
    </w:p>
    <w:p>
      <w:pPr>
        <w:numPr>
          <w:ilvl w:val="0"/>
          <w:numId w:val="28"/>
        </w:numPr>
        <w:tabs>
          <w:tab w:val="left" w:pos="1134"/>
        </w:tabs>
        <w:snapToGrid w:val="0"/>
        <w:spacing w:after="200"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最后报价一旦提交后，供应商不得以任何理由撤回。</w:t>
      </w:r>
    </w:p>
    <w:p>
      <w:pPr>
        <w:numPr>
          <w:ilvl w:val="0"/>
          <w:numId w:val="28"/>
        </w:numPr>
        <w:tabs>
          <w:tab w:val="left" w:pos="1134"/>
        </w:tabs>
        <w:snapToGrid w:val="0"/>
        <w:spacing w:after="200"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最后报价为有效报价应符合下列条件：</w:t>
      </w:r>
    </w:p>
    <w:p>
      <w:pPr>
        <w:numPr>
          <w:ilvl w:val="0"/>
          <w:numId w:val="29"/>
        </w:numPr>
        <w:tabs>
          <w:tab w:val="left" w:pos="-2127"/>
          <w:tab w:val="left" w:pos="1134"/>
        </w:tabs>
        <w:snapToGrid w:val="0"/>
        <w:spacing w:after="200" w:line="360" w:lineRule="auto"/>
        <w:ind w:left="0" w:firstLine="557"/>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9"/>
        </w:numPr>
        <w:tabs>
          <w:tab w:val="left" w:pos="-2127"/>
          <w:tab w:val="left" w:pos="1134"/>
        </w:tabs>
        <w:snapToGrid w:val="0"/>
        <w:spacing w:after="200" w:line="360" w:lineRule="auto"/>
        <w:ind w:left="0" w:firstLine="557"/>
        <w:rPr>
          <w:rFonts w:ascii="宋体" w:hAnsi="宋体" w:cs="宋体"/>
          <w:color w:val="auto"/>
          <w:highlight w:val="none"/>
        </w:rPr>
      </w:pPr>
      <w:r>
        <w:rPr>
          <w:rFonts w:hint="eastAsia" w:ascii="宋体" w:hAnsi="宋体" w:cs="宋体"/>
          <w:color w:val="auto"/>
          <w:highlight w:val="none"/>
        </w:rPr>
        <w:t>供应商的最后报价应加盖供应商（法定名称）电子签章。</w:t>
      </w:r>
    </w:p>
    <w:p>
      <w:pPr>
        <w:numPr>
          <w:ilvl w:val="0"/>
          <w:numId w:val="29"/>
        </w:numPr>
        <w:tabs>
          <w:tab w:val="left" w:pos="-2127"/>
          <w:tab w:val="left" w:pos="1134"/>
        </w:tabs>
        <w:snapToGrid w:val="0"/>
        <w:spacing w:after="200" w:line="360" w:lineRule="auto"/>
        <w:ind w:left="0" w:firstLine="557"/>
        <w:rPr>
          <w:rFonts w:ascii="宋体" w:hAnsi="宋体" w:cs="宋体"/>
          <w:color w:val="auto"/>
          <w:highlight w:val="none"/>
        </w:rPr>
      </w:pPr>
      <w:r>
        <w:rPr>
          <w:rFonts w:hint="eastAsia" w:ascii="宋体" w:hAnsi="宋体" w:cs="宋体"/>
          <w:color w:val="auto"/>
          <w:highlight w:val="none"/>
        </w:rPr>
        <w:t>供应商的最后报价符合磋商文件的要求。</w:t>
      </w:r>
    </w:p>
    <w:p>
      <w:pPr>
        <w:numPr>
          <w:ilvl w:val="0"/>
          <w:numId w:val="29"/>
        </w:numPr>
        <w:tabs>
          <w:tab w:val="left" w:pos="-2127"/>
          <w:tab w:val="left" w:pos="1134"/>
        </w:tabs>
        <w:snapToGrid w:val="0"/>
        <w:spacing w:after="200" w:line="360" w:lineRule="auto"/>
        <w:ind w:left="0" w:firstLine="557"/>
        <w:rPr>
          <w:rFonts w:ascii="宋体" w:hAnsi="宋体" w:cs="宋体"/>
          <w:color w:val="auto"/>
          <w:highlight w:val="none"/>
        </w:rPr>
      </w:pPr>
      <w:r>
        <w:rPr>
          <w:rFonts w:hint="eastAsia" w:ascii="宋体" w:hAnsi="宋体" w:cs="宋体"/>
          <w:color w:val="auto"/>
          <w:highlight w:val="none"/>
        </w:rPr>
        <w:t>最后报价唯一，且不高于最高限价。</w:t>
      </w:r>
    </w:p>
    <w:p>
      <w:pPr>
        <w:numPr>
          <w:ilvl w:val="0"/>
          <w:numId w:val="2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在未提高响应文件中承诺的实质性要求的情况下，最后报价不得高于对该项目之前的报价（首次响应文件中的报价以政府采购云平台中填报的报价为准），否则，磋商小组应当对其响应文件按无效处理。</w:t>
      </w:r>
    </w:p>
    <w:p>
      <w:pPr>
        <w:numPr>
          <w:ilvl w:val="0"/>
          <w:numId w:val="2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6"/>
        <w:numPr>
          <w:ilvl w:val="0"/>
          <w:numId w:val="30"/>
        </w:numPr>
        <w:tabs>
          <w:tab w:val="left" w:pos="1134"/>
          <w:tab w:val="clear" w:pos="846"/>
        </w:tabs>
        <w:snapToGrid w:val="0"/>
        <w:spacing w:line="360" w:lineRule="auto"/>
        <w:ind w:left="0" w:firstLine="567" w:firstLineChars="0"/>
        <w:rPr>
          <w:rFonts w:ascii="宋体" w:hAnsi="宋体" w:cs="宋体"/>
          <w:color w:val="auto"/>
          <w:sz w:val="24"/>
          <w:szCs w:val="24"/>
          <w:highlight w:val="none"/>
        </w:rPr>
      </w:pPr>
      <w:r>
        <w:rPr>
          <w:rFonts w:hint="eastAsia" w:ascii="宋体" w:hAnsi="宋体" w:cs="宋体"/>
          <w:color w:val="auto"/>
          <w:sz w:val="24"/>
          <w:szCs w:val="24"/>
          <w:highlight w:val="none"/>
        </w:rPr>
        <w:t>最后报价中的大写金额和小写金额不一致的，以大写金额为准，但大写金额出现文字错误，导致金额无法判断的除外；</w:t>
      </w:r>
    </w:p>
    <w:p>
      <w:pPr>
        <w:pStyle w:val="186"/>
        <w:numPr>
          <w:ilvl w:val="0"/>
          <w:numId w:val="30"/>
        </w:numPr>
        <w:tabs>
          <w:tab w:val="left" w:pos="1134"/>
          <w:tab w:val="clear" w:pos="846"/>
        </w:tabs>
        <w:snapToGrid w:val="0"/>
        <w:spacing w:line="360" w:lineRule="auto"/>
        <w:ind w:left="0" w:firstLine="525" w:firstLineChars="0"/>
        <w:rPr>
          <w:rFonts w:ascii="宋体" w:hAnsi="宋体" w:cs="宋体"/>
          <w:color w:val="auto"/>
          <w:sz w:val="24"/>
          <w:szCs w:val="24"/>
          <w:highlight w:val="none"/>
        </w:rPr>
      </w:pPr>
      <w:r>
        <w:rPr>
          <w:rFonts w:hint="eastAsia" w:ascii="宋体" w:hAnsi="宋体" w:cs="宋体"/>
          <w:color w:val="auto"/>
          <w:sz w:val="24"/>
          <w:szCs w:val="24"/>
          <w:highlight w:val="none"/>
        </w:rPr>
        <w:t>单价金额小数点或者百分比有明显错位的，应以总价为准，并修改单价；</w:t>
      </w:r>
    </w:p>
    <w:p>
      <w:pPr>
        <w:pStyle w:val="186"/>
        <w:numPr>
          <w:ilvl w:val="0"/>
          <w:numId w:val="30"/>
        </w:numPr>
        <w:tabs>
          <w:tab w:val="left" w:pos="1134"/>
          <w:tab w:val="clear" w:pos="846"/>
        </w:tabs>
        <w:snapToGrid w:val="0"/>
        <w:spacing w:line="360" w:lineRule="auto"/>
        <w:ind w:left="0" w:firstLine="525" w:firstLineChars="0"/>
        <w:rPr>
          <w:rFonts w:ascii="宋体" w:hAnsi="宋体" w:cs="宋体"/>
          <w:color w:val="auto"/>
          <w:sz w:val="24"/>
          <w:szCs w:val="24"/>
          <w:highlight w:val="none"/>
        </w:rPr>
      </w:pPr>
      <w:r>
        <w:rPr>
          <w:rFonts w:hint="eastAsia" w:ascii="宋体" w:hAnsi="宋体" w:cs="宋体"/>
          <w:color w:val="auto"/>
          <w:sz w:val="24"/>
          <w:szCs w:val="24"/>
          <w:highlight w:val="none"/>
        </w:rPr>
        <w:t>总价金额与按单价汇总金额不一致的，以单价汇总金额计算结果为准；</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同时出现两种以上不一致的，按照前款规定的顺序修正。修正后的最后报价经加盖供应商（法定名称）电子签章后产生约束力，供应商不确认的，其最后报价无效。磋商小组不得未经要求供应商确认，直接将供应商响应文件作无效处理。</w:t>
      </w:r>
    </w:p>
    <w:p>
      <w:pPr>
        <w:pStyle w:val="2"/>
        <w:spacing w:after="0" w:line="360" w:lineRule="auto"/>
        <w:ind w:firstLine="484" w:firstLineChars="202"/>
        <w:rPr>
          <w:rFonts w:ascii="宋体" w:hAnsi="宋体" w:cs="宋体"/>
          <w:color w:val="auto"/>
          <w:highlight w:val="none"/>
        </w:rPr>
      </w:pPr>
      <w:r>
        <w:rPr>
          <w:rFonts w:hint="eastAsia" w:ascii="宋体" w:hAnsi="宋体" w:cs="宋体"/>
          <w:color w:val="auto"/>
          <w:highlight w:val="none"/>
        </w:rPr>
        <w:t>对不同语言文本施工响应文件的解释发生异议的，以中文文本为准。</w:t>
      </w:r>
    </w:p>
    <w:p>
      <w:pPr>
        <w:numPr>
          <w:ilvl w:val="0"/>
          <w:numId w:val="2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有效最后报价的供应商不足三家的，采购失败。</w:t>
      </w:r>
    </w:p>
    <w:p>
      <w:pPr>
        <w:spacing w:line="360" w:lineRule="auto"/>
        <w:ind w:firstLine="480" w:firstLineChars="200"/>
        <w:rPr>
          <w:rFonts w:ascii="宋体" w:hAnsi="宋体" w:cs="宋体"/>
          <w:color w:val="auto"/>
          <w:highlight w:val="none"/>
        </w:rPr>
      </w:pPr>
    </w:p>
    <w:bookmarkEnd w:id="82"/>
    <w:p>
      <w:pPr>
        <w:pStyle w:val="6"/>
        <w:ind w:firstLine="482"/>
        <w:rPr>
          <w:rFonts w:cs="宋体"/>
          <w:color w:val="auto"/>
          <w:szCs w:val="24"/>
          <w:highlight w:val="none"/>
        </w:rPr>
      </w:pPr>
      <w:bookmarkStart w:id="83" w:name="_Toc320698728"/>
      <w:r>
        <w:rPr>
          <w:rFonts w:hint="eastAsia" w:cs="宋体"/>
          <w:color w:val="auto"/>
          <w:szCs w:val="24"/>
          <w:highlight w:val="none"/>
        </w:rPr>
        <w:t>响应文件有效期</w:t>
      </w:r>
      <w:bookmarkEnd w:id="83"/>
      <w:r>
        <w:rPr>
          <w:rFonts w:hint="eastAsia" w:cs="宋体"/>
          <w:color w:val="auto"/>
          <w:szCs w:val="24"/>
          <w:highlight w:val="none"/>
        </w:rPr>
        <w:t>（实质性要求）</w:t>
      </w:r>
    </w:p>
    <w:p>
      <w:pPr>
        <w:numPr>
          <w:ilvl w:val="0"/>
          <w:numId w:val="3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3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拒绝延长磋商有效期的磋商供应商不得再参与该项目后续采购活动。同意延长磋商有效期的磋商供应商不能修改其响应文件。</w:t>
      </w:r>
    </w:p>
    <w:p>
      <w:pPr>
        <w:pStyle w:val="6"/>
        <w:ind w:firstLine="482"/>
        <w:rPr>
          <w:rFonts w:cs="宋体"/>
          <w:color w:val="auto"/>
          <w:szCs w:val="24"/>
          <w:highlight w:val="none"/>
        </w:rPr>
      </w:pPr>
      <w:bookmarkStart w:id="84" w:name="_Toc320698729"/>
      <w:r>
        <w:rPr>
          <w:rFonts w:hint="eastAsia" w:cs="宋体"/>
          <w:color w:val="auto"/>
          <w:szCs w:val="24"/>
          <w:highlight w:val="none"/>
        </w:rPr>
        <w:t>响应文件</w:t>
      </w:r>
      <w:bookmarkEnd w:id="84"/>
      <w:r>
        <w:rPr>
          <w:rFonts w:hint="eastAsia" w:cs="宋体"/>
          <w:color w:val="auto"/>
          <w:szCs w:val="24"/>
          <w:highlight w:val="none"/>
        </w:rPr>
        <w:t>制作、签章、加密</w:t>
      </w:r>
    </w:p>
    <w:p>
      <w:pPr>
        <w:numPr>
          <w:ilvl w:val="0"/>
          <w:numId w:val="32"/>
        </w:numPr>
        <w:spacing w:line="360" w:lineRule="auto"/>
        <w:rPr>
          <w:rFonts w:ascii="宋体" w:hAnsi="宋体" w:cs="宋体"/>
          <w:color w:val="auto"/>
          <w:highlight w:val="none"/>
        </w:rPr>
      </w:pPr>
      <w:r>
        <w:rPr>
          <w:rFonts w:hint="eastAsia" w:ascii="宋体" w:hAnsi="宋体" w:cs="宋体"/>
          <w:color w:val="auto"/>
          <w:highlight w:val="none"/>
          <w:lang w:val="zh-CN"/>
        </w:rPr>
        <w:t>（不允许实质性变动的实质性要求）</w:t>
      </w:r>
      <w:r>
        <w:rPr>
          <w:rFonts w:hint="eastAsia" w:ascii="宋体" w:hAnsi="宋体" w:cs="宋体"/>
          <w:color w:val="auto"/>
          <w:highlight w:val="none"/>
        </w:rPr>
        <w:t>响应文件应根据磋商文件的要求进行制作。（说明：1、响应文件中要求提供复印件证明材料的，包含提供原件的影印件或复印件。2、要求提供复印件的证明材料须清晰可辨。）</w:t>
      </w:r>
    </w:p>
    <w:p>
      <w:pPr>
        <w:numPr>
          <w:ilvl w:val="0"/>
          <w:numId w:val="32"/>
        </w:numPr>
        <w:spacing w:line="360" w:lineRule="auto"/>
        <w:rPr>
          <w:rFonts w:ascii="宋体" w:hAnsi="宋体" w:cs="宋体"/>
          <w:color w:val="auto"/>
          <w:highlight w:val="none"/>
        </w:rPr>
      </w:pPr>
      <w:r>
        <w:rPr>
          <w:rFonts w:hint="eastAsia" w:ascii="宋体" w:hAnsi="宋体" w:cs="宋体"/>
          <w:color w:val="auto"/>
          <w:highlight w:val="none"/>
        </w:rPr>
        <w:t>响应文件制作详情：</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rPr>
        <w:t>本项目实行电子采购。供应商应先安装“政采云投标客户端”。供应商应按要求，通过“政采云投标客户端”制作、加密并提交响应文件。</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lang w:val="zh-CN"/>
        </w:rPr>
        <w:t>（不允许实质性变动的实质性要求）</w:t>
      </w:r>
      <w:r>
        <w:rPr>
          <w:rFonts w:hint="eastAsia" w:ascii="宋体" w:hAnsi="宋体" w:cs="宋体"/>
          <w:b/>
          <w:color w:val="auto"/>
          <w:highlight w:val="none"/>
        </w:rPr>
        <w:t>响应文件应加盖有供应商（法定名称）电子签章，不得使用供应商专用章（如经济合同章、投标专用章等）或下属单位印章代替</w:t>
      </w:r>
      <w:r>
        <w:rPr>
          <w:rFonts w:hint="eastAsia" w:ascii="宋体" w:hAnsi="宋体" w:cs="宋体"/>
          <w:color w:val="auto"/>
          <w:highlight w:val="none"/>
        </w:rPr>
        <w:t>。</w:t>
      </w:r>
    </w:p>
    <w:p>
      <w:pPr>
        <w:numPr>
          <w:ilvl w:val="0"/>
          <w:numId w:val="33"/>
        </w:numPr>
        <w:spacing w:line="360" w:lineRule="auto"/>
        <w:rPr>
          <w:rFonts w:ascii="宋体" w:hAnsi="宋体" w:cs="宋体"/>
          <w:b/>
          <w:color w:val="auto"/>
          <w:highlight w:val="none"/>
        </w:rPr>
      </w:pPr>
      <w:r>
        <w:rPr>
          <w:rFonts w:hint="eastAsia" w:ascii="宋体" w:hAnsi="宋体" w:cs="宋体"/>
          <w:b/>
          <w:color w:val="auto"/>
          <w:highlight w:val="none"/>
        </w:rPr>
        <w:t>供应商应使用本企业CA数字证书对响应文件进行加密。</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rPr>
        <w:t>磋商文件有修改的，供应商须重新下载修改后的磋商文件（修改后的磋商文件在更正公告中下载），根据修改后的磋商文件制作、撤回修改，并提交首次响应文件。</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rPr>
        <w:t>使用“政府采购云平台”（含政采云电子交易客户端）需要提前申领CA数字证书及电子签章，请自行前往四川CA、天威CA 、CFCA服务点办理，供应商只需办理其中一家CA数字证书及签章（提示：办理时请说明参与成都市政府采购项目）。供应商应及时完成在“政府采购云平台”的CA账号绑定，确保顺利参与电子采购。</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rPr>
        <w:t>政府采购云平台所支持的CA证书及签章：四川CA及金格签章，天威CA（金润版）及金润签章，CFCA及金格签章。</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rPr>
        <w:t>政府采购云平台技术支持：（1）钉钉群号：34165101（注：本群有3家CA办理人员加入）；如遇钉钉群满，请加钉钉群号：33782435（注：只加其中一个即可）。（2）统一热线电话：4008817190</w:t>
      </w:r>
    </w:p>
    <w:p>
      <w:pPr>
        <w:numPr>
          <w:ilvl w:val="0"/>
          <w:numId w:val="33"/>
        </w:numPr>
        <w:spacing w:line="360" w:lineRule="auto"/>
        <w:rPr>
          <w:rFonts w:ascii="宋体" w:hAnsi="宋体" w:cs="宋体"/>
          <w:color w:val="auto"/>
          <w:highlight w:val="none"/>
        </w:rPr>
      </w:pPr>
      <w:r>
        <w:rPr>
          <w:rFonts w:hint="eastAsia" w:ascii="宋体" w:hAnsi="宋体" w:cs="宋体"/>
          <w:color w:val="auto"/>
          <w:highlight w:val="none"/>
        </w:rPr>
        <w:t>CA技术支持：四川CA：400-0281130；天威CA： 028-86694886、1592864708；CFCA：028-65785326、18033549468。</w:t>
      </w:r>
    </w:p>
    <w:p>
      <w:pPr>
        <w:pStyle w:val="6"/>
        <w:ind w:firstLine="482"/>
        <w:rPr>
          <w:rFonts w:cs="宋体"/>
          <w:color w:val="auto"/>
          <w:szCs w:val="24"/>
          <w:highlight w:val="none"/>
        </w:rPr>
      </w:pPr>
      <w:bookmarkStart w:id="85" w:name="_Toc320698730"/>
      <w:r>
        <w:rPr>
          <w:rFonts w:hint="eastAsia" w:cs="宋体"/>
          <w:color w:val="auto"/>
          <w:szCs w:val="24"/>
          <w:highlight w:val="none"/>
        </w:rPr>
        <w:t>响应文件提交</w:t>
      </w:r>
    </w:p>
    <w:p>
      <w:pPr>
        <w:numPr>
          <w:ilvl w:val="0"/>
          <w:numId w:val="34"/>
        </w:numPr>
        <w:tabs>
          <w:tab w:val="left" w:pos="1134"/>
        </w:tabs>
        <w:spacing w:line="600" w:lineRule="exact"/>
        <w:ind w:left="0" w:firstLine="567"/>
        <w:rPr>
          <w:rFonts w:ascii="宋体" w:hAnsi="宋体" w:cs="宋体"/>
          <w:bCs/>
          <w:color w:val="auto"/>
          <w:highlight w:val="none"/>
        </w:rPr>
      </w:pPr>
      <w:r>
        <w:rPr>
          <w:rFonts w:hint="eastAsia" w:ascii="宋体" w:hAnsi="宋体" w:cs="宋体"/>
          <w:color w:val="auto"/>
          <w:highlight w:val="none"/>
          <w:lang w:val="zh-CN"/>
        </w:rPr>
        <w:t>（不允许实质性变动的实质性要求）</w:t>
      </w:r>
      <w:r>
        <w:rPr>
          <w:rFonts w:hint="eastAsia" w:ascii="宋体" w:hAnsi="宋体" w:cs="宋体"/>
          <w:bCs/>
          <w:color w:val="auto"/>
          <w:highlight w:val="none"/>
        </w:rPr>
        <w:t>供应商应当在磋商截止时间前，将生成的已加密的响应文件成功提交至“政府采购云平台”。</w:t>
      </w:r>
    </w:p>
    <w:p>
      <w:pPr>
        <w:numPr>
          <w:ilvl w:val="0"/>
          <w:numId w:val="34"/>
        </w:numPr>
        <w:tabs>
          <w:tab w:val="left" w:pos="1134"/>
        </w:tabs>
        <w:spacing w:line="600" w:lineRule="exact"/>
        <w:ind w:left="0" w:firstLine="567"/>
        <w:rPr>
          <w:rFonts w:ascii="宋体" w:hAnsi="宋体" w:cs="宋体"/>
          <w:bCs/>
          <w:color w:val="auto"/>
          <w:highlight w:val="none"/>
        </w:rPr>
      </w:pPr>
      <w:r>
        <w:rPr>
          <w:rFonts w:hint="eastAsia" w:ascii="宋体" w:hAnsi="宋体" w:cs="宋体"/>
          <w:bCs/>
          <w:color w:val="auto"/>
          <w:highlight w:val="none"/>
        </w:rPr>
        <w:t>因磋商文件的修改推迟磋商截止时间的，供应商按采购代理机构在“四川政府采购网”上发布的澄清公告中修改的时间提交。</w:t>
      </w:r>
    </w:p>
    <w:p>
      <w:pPr>
        <w:numPr>
          <w:ilvl w:val="0"/>
          <w:numId w:val="34"/>
        </w:numPr>
        <w:tabs>
          <w:tab w:val="left" w:pos="1134"/>
        </w:tabs>
        <w:spacing w:line="600" w:lineRule="exact"/>
        <w:ind w:left="0" w:firstLine="567"/>
        <w:rPr>
          <w:rFonts w:ascii="宋体" w:hAnsi="宋体" w:cs="宋体"/>
          <w:bCs/>
          <w:color w:val="auto"/>
          <w:highlight w:val="none"/>
        </w:rPr>
      </w:pPr>
      <w:r>
        <w:rPr>
          <w:rFonts w:hint="eastAsia" w:ascii="宋体" w:hAnsi="宋体" w:cs="宋体"/>
          <w:bCs/>
          <w:color w:val="auto"/>
          <w:highlight w:val="none"/>
        </w:rPr>
        <w:t>供应商应充分考虑提交响应文件的不可预见因素，未在磋商截止时间前完成提交的，在磋商截止时间后将无法提交。</w:t>
      </w:r>
    </w:p>
    <w:bookmarkEnd w:id="85"/>
    <w:p>
      <w:pPr>
        <w:pStyle w:val="6"/>
        <w:ind w:firstLine="482"/>
        <w:rPr>
          <w:rFonts w:cs="宋体"/>
          <w:color w:val="auto"/>
          <w:szCs w:val="24"/>
          <w:highlight w:val="none"/>
        </w:rPr>
      </w:pPr>
      <w:bookmarkStart w:id="86" w:name="_Toc446487098"/>
      <w:r>
        <w:rPr>
          <w:rFonts w:hint="eastAsia" w:cs="宋体"/>
          <w:color w:val="auto"/>
          <w:szCs w:val="24"/>
          <w:highlight w:val="none"/>
        </w:rPr>
        <w:t>响应文件的补充、修改和撤回</w:t>
      </w:r>
      <w:bookmarkEnd w:id="86"/>
    </w:p>
    <w:p>
      <w:pPr>
        <w:numPr>
          <w:ilvl w:val="0"/>
          <w:numId w:val="35"/>
        </w:numPr>
        <w:tabs>
          <w:tab w:val="left" w:pos="1134"/>
        </w:tabs>
        <w:spacing w:line="360" w:lineRule="auto"/>
        <w:rPr>
          <w:rFonts w:ascii="宋体" w:hAnsi="宋体"/>
          <w:color w:val="auto"/>
          <w:highlight w:val="none"/>
        </w:rPr>
      </w:pPr>
      <w:r>
        <w:rPr>
          <w:rFonts w:hint="eastAsia" w:ascii="宋体" w:hAnsi="宋体"/>
          <w:color w:val="auto"/>
          <w:highlight w:val="none"/>
        </w:rPr>
        <w:t>在磋商截止时间之前，供应商可对已提交的响应文件进行补充、修改。补充或者修改响应文件的，应当先撤回已提交的响应文件，在“政采云投标客户端”补充、修改响应文件并签章、加密后重新提交。撤回响应文件进行补充、修改，在磋商截止时间前未重新提交的，视为撤回响应文件。</w:t>
      </w:r>
    </w:p>
    <w:p>
      <w:pPr>
        <w:numPr>
          <w:ilvl w:val="0"/>
          <w:numId w:val="35"/>
        </w:numPr>
        <w:tabs>
          <w:tab w:val="left" w:pos="1134"/>
        </w:tabs>
        <w:spacing w:line="360" w:lineRule="auto"/>
        <w:rPr>
          <w:rFonts w:ascii="宋体" w:hAnsi="宋体"/>
          <w:color w:val="auto"/>
          <w:highlight w:val="none"/>
        </w:rPr>
      </w:pPr>
      <w:r>
        <w:rPr>
          <w:rFonts w:hint="eastAsia" w:ascii="宋体" w:hAnsi="宋体"/>
          <w:color w:val="auto"/>
          <w:highlight w:val="none"/>
        </w:rPr>
        <w:t>在磋商截止时间之后，供应商不得对其提交的响应文件做任何补充、修改。</w:t>
      </w:r>
    </w:p>
    <w:p>
      <w:pPr>
        <w:numPr>
          <w:ilvl w:val="0"/>
          <w:numId w:val="35"/>
        </w:numPr>
        <w:tabs>
          <w:tab w:val="left" w:pos="1134"/>
        </w:tabs>
        <w:spacing w:line="360" w:lineRule="auto"/>
        <w:rPr>
          <w:rFonts w:ascii="宋体" w:hAnsi="宋体"/>
          <w:color w:val="auto"/>
          <w:highlight w:val="none"/>
        </w:rPr>
      </w:pPr>
      <w:r>
        <w:rPr>
          <w:rFonts w:hint="eastAsia" w:ascii="宋体" w:hAnsi="宋体"/>
          <w:color w:val="auto"/>
          <w:highlight w:val="none"/>
        </w:rPr>
        <w:t>在磋商截止时间之前，供应商可对已提交的响应文件进行撤回。在磋商截止时间之后，供应商不得撤回响应文件。</w:t>
      </w:r>
    </w:p>
    <w:p>
      <w:pPr>
        <w:widowControl w:val="0"/>
        <w:numPr>
          <w:ilvl w:val="0"/>
          <w:numId w:val="35"/>
        </w:numPr>
        <w:tabs>
          <w:tab w:val="left" w:pos="1134"/>
        </w:tabs>
        <w:spacing w:line="360" w:lineRule="auto"/>
        <w:rPr>
          <w:rFonts w:ascii="宋体" w:hAnsi="宋体" w:cs="宋体"/>
          <w:color w:val="auto"/>
          <w:highlight w:val="none"/>
        </w:rPr>
      </w:pPr>
      <w:r>
        <w:rPr>
          <w:rFonts w:hint="eastAsia" w:ascii="宋体" w:hAnsi="宋体" w:cs="宋体"/>
          <w:color w:val="auto"/>
          <w:highlight w:val="none"/>
        </w:rPr>
        <w:t>补充、修改的内容为响应文件的组成部分，补充、修改的内容与响应文件不一致的，以补充、修改的内容为准。</w:t>
      </w:r>
    </w:p>
    <w:p>
      <w:pPr>
        <w:pStyle w:val="6"/>
        <w:ind w:firstLine="482"/>
        <w:rPr>
          <w:color w:val="auto"/>
          <w:highlight w:val="none"/>
        </w:rPr>
      </w:pPr>
      <w:r>
        <w:rPr>
          <w:rFonts w:hint="eastAsia"/>
          <w:color w:val="auto"/>
          <w:highlight w:val="none"/>
        </w:rPr>
        <w:t>响应文件解密</w:t>
      </w:r>
    </w:p>
    <w:p>
      <w:pPr>
        <w:snapToGrid w:val="0"/>
        <w:spacing w:line="360" w:lineRule="auto"/>
        <w:ind w:firstLine="480" w:firstLineChars="200"/>
        <w:rPr>
          <w:rFonts w:ascii="宋体" w:hAnsi="宋体"/>
          <w:bCs/>
          <w:color w:val="auto"/>
          <w:highlight w:val="none"/>
        </w:rPr>
      </w:pPr>
      <w:r>
        <w:rPr>
          <w:rFonts w:hint="eastAsia" w:ascii="宋体" w:hAnsi="宋体"/>
          <w:bCs/>
          <w:color w:val="auto"/>
          <w:highlight w:val="none"/>
        </w:rPr>
        <w:t>供应商</w:t>
      </w:r>
      <w:r>
        <w:rPr>
          <w:rFonts w:hint="eastAsia" w:ascii="宋体" w:hAnsi="宋体"/>
          <w:color w:val="auto"/>
          <w:highlight w:val="none"/>
        </w:rPr>
        <w:t>登录政府采购云平台，点击“项目采购—开标评标”模块，找到对应项目，进入“开标大厅”，等待</w:t>
      </w:r>
      <w:r>
        <w:rPr>
          <w:rFonts w:hint="eastAsia" w:ascii="宋体" w:hAnsi="宋体"/>
          <w:bCs/>
          <w:color w:val="auto"/>
          <w:highlight w:val="none"/>
        </w:rPr>
        <w:t>开启解密后，供应商应在系统提示的解密开始时间后</w:t>
      </w:r>
      <w:r>
        <w:rPr>
          <w:rFonts w:ascii="宋体" w:hAnsi="宋体"/>
          <w:bCs/>
          <w:color w:val="auto"/>
          <w:highlight w:val="none"/>
        </w:rPr>
        <w:t>60</w:t>
      </w:r>
      <w:r>
        <w:rPr>
          <w:rFonts w:hint="eastAsia" w:ascii="宋体" w:hAnsi="宋体"/>
          <w:bCs/>
          <w:color w:val="auto"/>
          <w:highlight w:val="none"/>
        </w:rPr>
        <w:t>分钟内，使用对响应文件进行加密的</w:t>
      </w:r>
      <w:r>
        <w:rPr>
          <w:rFonts w:ascii="宋体" w:hAnsi="宋体"/>
          <w:bCs/>
          <w:color w:val="auto"/>
          <w:highlight w:val="none"/>
        </w:rPr>
        <w:t>CA证书在线完成对供应商</w:t>
      </w:r>
      <w:r>
        <w:rPr>
          <w:rFonts w:hint="eastAsia" w:ascii="宋体" w:hAnsi="宋体"/>
          <w:bCs/>
          <w:color w:val="auto"/>
          <w:highlight w:val="none"/>
        </w:rPr>
        <w:t>提交至政府采购云平台的响应文件的解密。</w:t>
      </w:r>
    </w:p>
    <w:p>
      <w:pPr>
        <w:tabs>
          <w:tab w:val="left" w:pos="1134"/>
        </w:tabs>
        <w:spacing w:before="120" w:line="360" w:lineRule="auto"/>
        <w:ind w:firstLine="484" w:firstLineChars="202"/>
        <w:rPr>
          <w:rFonts w:ascii="宋体" w:hAnsi="宋体"/>
          <w:bCs/>
          <w:color w:val="auto"/>
          <w:highlight w:val="none"/>
        </w:rPr>
      </w:pPr>
      <w:r>
        <w:rPr>
          <w:rFonts w:hint="eastAsia" w:ascii="宋体" w:hAnsi="宋体"/>
          <w:bCs/>
          <w:color w:val="auto"/>
          <w:highlight w:val="none"/>
        </w:rPr>
        <w:t>除因断电、断网、系统故障或其他不可抗力等因素，导致系统无法使用外，供应商在规定的解密时间内，未成功解密的响应文件将视为无效响应文件。</w:t>
      </w:r>
    </w:p>
    <w:p>
      <w:pPr>
        <w:rPr>
          <w:color w:val="auto"/>
          <w:highlight w:val="none"/>
        </w:rPr>
      </w:pPr>
    </w:p>
    <w:p>
      <w:pPr>
        <w:pStyle w:val="5"/>
        <w:rPr>
          <w:color w:val="auto"/>
          <w:sz w:val="24"/>
          <w:szCs w:val="24"/>
          <w:highlight w:val="none"/>
        </w:rPr>
      </w:pPr>
      <w:bookmarkStart w:id="87" w:name="_Toc287623645"/>
      <w:bookmarkStart w:id="88" w:name="_Toc3733"/>
      <w:r>
        <w:rPr>
          <w:rFonts w:hint="eastAsia"/>
          <w:color w:val="auto"/>
          <w:sz w:val="24"/>
          <w:szCs w:val="24"/>
          <w:highlight w:val="none"/>
        </w:rPr>
        <w:t>竞争性磋商程序</w:t>
      </w:r>
      <w:bookmarkEnd w:id="87"/>
      <w:bookmarkEnd w:id="88"/>
    </w:p>
    <w:p>
      <w:pPr>
        <w:pStyle w:val="6"/>
        <w:ind w:firstLine="480"/>
        <w:rPr>
          <w:b w:val="0"/>
          <w:bCs w:val="0"/>
          <w:color w:val="auto"/>
          <w:highlight w:val="none"/>
        </w:rPr>
      </w:pPr>
      <w:r>
        <w:rPr>
          <w:rFonts w:hint="eastAsia"/>
          <w:b w:val="0"/>
          <w:bCs w:val="0"/>
          <w:color w:val="auto"/>
          <w:highlight w:val="none"/>
        </w:rPr>
        <w:t>提交响应文件的供应商不足三家的，不予继续开展磋商采购活动。</w:t>
      </w:r>
    </w:p>
    <w:p>
      <w:pPr>
        <w:pStyle w:val="6"/>
        <w:ind w:firstLine="480"/>
        <w:rPr>
          <w:rFonts w:cs="宋体"/>
          <w:b w:val="0"/>
          <w:color w:val="auto"/>
          <w:szCs w:val="24"/>
          <w:highlight w:val="none"/>
        </w:rPr>
      </w:pPr>
      <w:r>
        <w:rPr>
          <w:rFonts w:hint="eastAsia" w:cs="宋体"/>
          <w:b w:val="0"/>
          <w:color w:val="auto"/>
          <w:szCs w:val="24"/>
          <w:highlight w:val="none"/>
        </w:rPr>
        <w:t>准备工作。供应商需在磋商截止时间前登录“政府采购云平台”，通过“开标大厅”参与。登录政府采购云平台(www.zcygov.cn)—我的工作台—项目采购—开标评标—开标大厅[找到对应项目（包件）]。提示：供应商未按时登录不见面开标系统，错过解密时间的，由供应商自行承担不利后果。</w:t>
      </w:r>
    </w:p>
    <w:p>
      <w:pPr>
        <w:pStyle w:val="6"/>
        <w:ind w:firstLine="480"/>
        <w:rPr>
          <w:rFonts w:cs="宋体"/>
          <w:b w:val="0"/>
          <w:color w:val="auto"/>
          <w:szCs w:val="24"/>
          <w:highlight w:val="none"/>
        </w:rPr>
      </w:pPr>
      <w:r>
        <w:rPr>
          <w:rFonts w:hint="eastAsia" w:cs="宋体"/>
          <w:b w:val="0"/>
          <w:color w:val="auto"/>
          <w:szCs w:val="24"/>
          <w:highlight w:val="none"/>
        </w:rPr>
        <w:t>解密响应文件。待采购代理机构开启解密后，供应商进行线上解密。除因断电、断网、系统故障或其他不可抗力等因素，导致系统无法使用外，供应商在规定的解密时间内，未成功解密的响应文件将视为无效响应文件。</w:t>
      </w:r>
    </w:p>
    <w:p>
      <w:pPr>
        <w:pStyle w:val="6"/>
        <w:ind w:firstLine="480"/>
        <w:rPr>
          <w:rFonts w:cs="宋体"/>
          <w:b w:val="0"/>
          <w:color w:val="auto"/>
          <w:szCs w:val="24"/>
          <w:highlight w:val="none"/>
        </w:rPr>
      </w:pPr>
      <w:r>
        <w:rPr>
          <w:rFonts w:hint="eastAsia" w:cs="宋体"/>
          <w:b w:val="0"/>
          <w:color w:val="auto"/>
          <w:szCs w:val="24"/>
          <w:highlight w:val="none"/>
        </w:rPr>
        <w:t>确认。解密时间截止或者所有供应商响应文件均完成解密后（以发生在先的时间为准），由“政府采购云平台”系统展示供应商名称、响应文件解密情况等内容。</w:t>
      </w:r>
    </w:p>
    <w:p>
      <w:pPr>
        <w:pStyle w:val="6"/>
        <w:ind w:firstLine="480"/>
        <w:rPr>
          <w:rFonts w:cs="宋体"/>
          <w:b w:val="0"/>
          <w:color w:val="auto"/>
          <w:szCs w:val="24"/>
          <w:highlight w:val="none"/>
        </w:rPr>
      </w:pPr>
      <w:r>
        <w:rPr>
          <w:rFonts w:hint="eastAsia" w:cs="宋体"/>
          <w:b w:val="0"/>
          <w:color w:val="auto"/>
          <w:szCs w:val="24"/>
          <w:highlight w:val="none"/>
        </w:rPr>
        <w:t>供应商对过程和记录有异议，以及认为采购人、采购代理机构相关工作人员有需要回避的情形的，及时向工作人员提出询问或者回避申请。采购人、采购代理机构对供应商提出的询问或者回避申请应当及时处理。</w:t>
      </w:r>
    </w:p>
    <w:p>
      <w:pPr>
        <w:pStyle w:val="6"/>
        <w:ind w:firstLine="480"/>
        <w:rPr>
          <w:rFonts w:cs="宋体"/>
          <w:b w:val="0"/>
          <w:color w:val="auto"/>
          <w:szCs w:val="24"/>
          <w:highlight w:val="none"/>
        </w:rPr>
      </w:pPr>
      <w:r>
        <w:rPr>
          <w:rFonts w:hint="eastAsia" w:cs="宋体"/>
          <w:b w:val="0"/>
          <w:color w:val="auto"/>
          <w:szCs w:val="24"/>
          <w:highlight w:val="none"/>
        </w:rPr>
        <w:t>政府采购云平台运行基本环境要求：电脑应安装并顺利运行64位win7以上操作系统，谷歌浏览器；正确的CA及签章驱动等；能流畅访问互联网。</w:t>
      </w:r>
    </w:p>
    <w:p>
      <w:pPr>
        <w:pStyle w:val="6"/>
        <w:ind w:firstLine="480"/>
        <w:rPr>
          <w:rFonts w:cs="宋体"/>
          <w:b w:val="0"/>
          <w:color w:val="auto"/>
          <w:szCs w:val="24"/>
          <w:highlight w:val="none"/>
        </w:rPr>
      </w:pPr>
      <w:r>
        <w:rPr>
          <w:rFonts w:hint="eastAsia" w:cs="宋体"/>
          <w:b w:val="0"/>
          <w:color w:val="auto"/>
          <w:szCs w:val="24"/>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因断电、断网、系统故障或其他不可抗力等因素导致不见面开标系统无法正常运行的，磋商开启活动中止或延迟，待系统恢复正常后继续进行。</w:t>
      </w:r>
    </w:p>
    <w:p>
      <w:pPr>
        <w:pStyle w:val="6"/>
        <w:ind w:firstLine="480"/>
        <w:rPr>
          <w:rFonts w:cs="宋体"/>
          <w:b w:val="0"/>
          <w:color w:val="auto"/>
          <w:szCs w:val="24"/>
          <w:highlight w:val="none"/>
        </w:rPr>
      </w:pPr>
      <w:r>
        <w:rPr>
          <w:rFonts w:hint="eastAsia" w:cs="宋体"/>
          <w:b w:val="0"/>
          <w:color w:val="auto"/>
          <w:szCs w:val="24"/>
          <w:highlight w:val="none"/>
        </w:rPr>
        <w:t>磋商开启活动过程中，各方主体均应遵守互联网有关规定，不得发表与交易活动无关的言论。</w:t>
      </w:r>
    </w:p>
    <w:p>
      <w:pPr>
        <w:pStyle w:val="6"/>
        <w:ind w:firstLine="482"/>
        <w:rPr>
          <w:rFonts w:cs="宋体"/>
          <w:color w:val="auto"/>
          <w:szCs w:val="24"/>
          <w:highlight w:val="none"/>
        </w:rPr>
      </w:pPr>
      <w:bookmarkStart w:id="89" w:name="_Toc287623646"/>
      <w:r>
        <w:rPr>
          <w:rFonts w:hint="eastAsia" w:cs="宋体"/>
          <w:color w:val="auto"/>
          <w:szCs w:val="24"/>
          <w:highlight w:val="none"/>
        </w:rPr>
        <w:t>成立磋商小组</w:t>
      </w:r>
      <w:bookmarkEnd w:id="89"/>
    </w:p>
    <w:p>
      <w:pPr>
        <w:pStyle w:val="3"/>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6"/>
        <w:ind w:firstLine="482"/>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45"/>
        <w:gridCol w:w="2550"/>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75" w:type="dxa"/>
            <w:gridSpan w:val="3"/>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审查内容</w:t>
            </w:r>
          </w:p>
        </w:tc>
        <w:tc>
          <w:tcPr>
            <w:tcW w:w="4622" w:type="dxa"/>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80" w:type="dxa"/>
            <w:vMerge w:val="restart"/>
            <w:vAlign w:val="center"/>
          </w:tcPr>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rPr>
              <w:t>（一）资格</w:t>
            </w:r>
          </w:p>
          <w:p>
            <w:pPr>
              <w:spacing w:line="360" w:lineRule="auto"/>
              <w:jc w:val="center"/>
              <w:rPr>
                <w:rFonts w:ascii="宋体" w:hAnsi="宋体" w:cs="宋体"/>
                <w:bCs/>
                <w:color w:val="auto"/>
                <w:highlight w:val="none"/>
              </w:rPr>
            </w:pPr>
            <w:r>
              <w:rPr>
                <w:rFonts w:hint="eastAsia" w:ascii="宋体" w:hAnsi="宋体" w:cs="宋体"/>
                <w:color w:val="auto"/>
                <w:highlight w:val="none"/>
              </w:rPr>
              <w:t>要求</w:t>
            </w:r>
          </w:p>
        </w:tc>
        <w:tc>
          <w:tcPr>
            <w:tcW w:w="3795" w:type="dxa"/>
            <w:gridSpan w:val="2"/>
            <w:vAlign w:val="center"/>
          </w:tcPr>
          <w:p>
            <w:pPr>
              <w:spacing w:line="360" w:lineRule="auto"/>
              <w:rPr>
                <w:rFonts w:ascii="宋体" w:hAnsi="宋体" w:cs="宋体"/>
                <w:color w:val="auto"/>
                <w:highlight w:val="none"/>
              </w:rPr>
            </w:pPr>
          </w:p>
          <w:p>
            <w:pPr>
              <w:numPr>
                <w:ilvl w:val="0"/>
                <w:numId w:val="36"/>
              </w:numPr>
              <w:spacing w:line="360" w:lineRule="auto"/>
              <w:rPr>
                <w:rFonts w:ascii="宋体" w:hAnsi="宋体" w:cs="宋体"/>
                <w:bCs/>
                <w:color w:val="auto"/>
                <w:highlight w:val="none"/>
              </w:rPr>
            </w:pPr>
            <w:r>
              <w:rPr>
                <w:rFonts w:hint="eastAsia" w:ascii="宋体" w:hAnsi="宋体" w:cs="宋体"/>
                <w:color w:val="auto"/>
                <w:highlight w:val="none"/>
              </w:rPr>
              <w:t>具有独立承担民事责任的能力</w:t>
            </w:r>
          </w:p>
        </w:tc>
        <w:tc>
          <w:tcPr>
            <w:tcW w:w="4622" w:type="dxa"/>
            <w:vAlign w:val="center"/>
          </w:tcPr>
          <w:p>
            <w:pPr>
              <w:numPr>
                <w:ilvl w:val="0"/>
                <w:numId w:val="37"/>
              </w:numPr>
              <w:spacing w:line="360" w:lineRule="auto"/>
              <w:ind w:left="0" w:hanging="5"/>
              <w:rPr>
                <w:rFonts w:ascii="宋体" w:hAnsi="宋体" w:cs="宋体"/>
                <w:bCs/>
                <w:color w:val="auto"/>
                <w:highlight w:val="none"/>
              </w:rPr>
            </w:pPr>
            <w:r>
              <w:rPr>
                <w:rFonts w:hint="eastAsia" w:ascii="宋体" w:hAnsi="宋体" w:cs="宋体"/>
                <w:bCs/>
                <w:color w:val="auto"/>
                <w:highlight w:val="none"/>
                <w:lang w:val="zh-CN"/>
              </w:rPr>
              <w:t>供应商为企业法人：提供“统一社会信用代码营业执照”；</w:t>
            </w:r>
          </w:p>
          <w:p>
            <w:pPr>
              <w:numPr>
                <w:ilvl w:val="0"/>
                <w:numId w:val="37"/>
              </w:numPr>
              <w:spacing w:line="360" w:lineRule="auto"/>
              <w:ind w:left="0" w:hanging="5"/>
              <w:rPr>
                <w:rFonts w:ascii="宋体" w:hAnsi="宋体" w:cs="宋体"/>
                <w:bCs/>
                <w:color w:val="auto"/>
                <w:highlight w:val="none"/>
              </w:rPr>
            </w:pPr>
            <w:r>
              <w:rPr>
                <w:rFonts w:hint="eastAsia" w:ascii="宋体" w:hAnsi="宋体" w:cs="宋体"/>
                <w:bCs/>
                <w:color w:val="auto"/>
                <w:highlight w:val="none"/>
                <w:lang w:val="zh-CN"/>
              </w:rPr>
              <w:t>供应商为事业法人：提供“统一社会信用代码法人登记证书”；</w:t>
            </w:r>
          </w:p>
          <w:p>
            <w:pPr>
              <w:numPr>
                <w:ilvl w:val="0"/>
                <w:numId w:val="37"/>
              </w:numPr>
              <w:spacing w:line="360" w:lineRule="auto"/>
              <w:ind w:left="0" w:hanging="5"/>
              <w:rPr>
                <w:rFonts w:ascii="宋体" w:hAnsi="宋体" w:cs="宋体"/>
                <w:bCs/>
                <w:color w:val="auto"/>
                <w:highlight w:val="none"/>
              </w:rPr>
            </w:pPr>
            <w:r>
              <w:rPr>
                <w:rFonts w:hint="eastAsia" w:ascii="宋体" w:hAnsi="宋体" w:cs="宋体"/>
                <w:bCs/>
                <w:color w:val="auto"/>
                <w:highlight w:val="none"/>
                <w:lang w:val="zh-CN"/>
              </w:rPr>
              <w:t>供应商为其他组织：提供“对应主管部门颁发的准许执业证明文件”或“统一社会信用代码的社会团体法人登记证书”或“统一社会信用代码的民办非企业单位登记证书”或“统一社会信用代码的基金会法人登记证书”；</w:t>
            </w:r>
          </w:p>
          <w:p>
            <w:pPr>
              <w:numPr>
                <w:ilvl w:val="0"/>
                <w:numId w:val="37"/>
              </w:numPr>
              <w:spacing w:line="360" w:lineRule="auto"/>
              <w:ind w:left="0" w:hanging="5"/>
              <w:rPr>
                <w:rFonts w:ascii="宋体" w:hAnsi="宋体" w:cs="宋体"/>
                <w:bCs/>
                <w:color w:val="auto"/>
                <w:highlight w:val="none"/>
              </w:rPr>
            </w:pPr>
            <w:r>
              <w:rPr>
                <w:rFonts w:hint="eastAsia" w:ascii="宋体" w:hAnsi="宋体" w:cs="宋体"/>
                <w:bCs/>
                <w:color w:val="auto"/>
                <w:highlight w:val="none"/>
                <w:lang w:val="zh-CN"/>
              </w:rPr>
              <w:t>供应商</w:t>
            </w:r>
            <w:r>
              <w:rPr>
                <w:rFonts w:hint="eastAsia" w:ascii="宋体" w:hAnsi="宋体" w:cs="宋体"/>
                <w:bCs/>
                <w:color w:val="auto"/>
                <w:highlight w:val="none"/>
              </w:rPr>
              <w:t>为个体工商户</w:t>
            </w:r>
            <w:r>
              <w:rPr>
                <w:rFonts w:hint="eastAsia" w:ascii="宋体" w:hAnsi="宋体" w:cs="宋体"/>
                <w:bCs/>
                <w:color w:val="auto"/>
                <w:highlight w:val="none"/>
                <w:lang w:val="zh-CN"/>
              </w:rPr>
              <w:t>：提供“统一社会信用代码营业执照”；</w:t>
            </w:r>
          </w:p>
          <w:p>
            <w:pPr>
              <w:numPr>
                <w:ilvl w:val="0"/>
                <w:numId w:val="37"/>
              </w:numPr>
              <w:spacing w:line="360" w:lineRule="auto"/>
              <w:ind w:left="0" w:hanging="5"/>
              <w:rPr>
                <w:rFonts w:ascii="宋体" w:hAnsi="宋体" w:cs="宋体"/>
                <w:bCs/>
                <w:color w:val="auto"/>
                <w:highlight w:val="none"/>
              </w:rPr>
            </w:pPr>
            <w:r>
              <w:rPr>
                <w:rFonts w:hint="eastAsia" w:ascii="宋体" w:hAnsi="宋体" w:cs="宋体"/>
                <w:bCs/>
                <w:color w:val="auto"/>
                <w:highlight w:val="none"/>
                <w:lang w:val="zh-CN"/>
              </w:rPr>
              <w:t>供应商为自然人：提供“身份证明材料”。</w:t>
            </w:r>
          </w:p>
          <w:p>
            <w:pPr>
              <w:spacing w:line="360" w:lineRule="auto"/>
              <w:rPr>
                <w:rFonts w:ascii="宋体" w:hAnsi="宋体" w:cs="宋体"/>
                <w:bCs/>
                <w:color w:val="auto"/>
                <w:highlight w:val="none"/>
              </w:rPr>
            </w:pPr>
            <w:r>
              <w:rPr>
                <w:rFonts w:hint="eastAsia" w:ascii="宋体" w:hAnsi="宋体" w:cs="宋体"/>
                <w:bCs/>
                <w:color w:val="auto"/>
                <w:highlight w:val="none"/>
                <w:lang w:val="zh-CN"/>
              </w:rPr>
              <w:t>以上</w:t>
            </w:r>
            <w:r>
              <w:rPr>
                <w:rFonts w:hint="eastAsia" w:ascii="宋体" w:hAnsi="宋体" w:cs="宋体"/>
                <w:bCs/>
                <w:color w:val="auto"/>
                <w:highlight w:val="none"/>
              </w:rPr>
              <w:t>资料供应商提供</w:t>
            </w:r>
            <w:r>
              <w:rPr>
                <w:rFonts w:hint="eastAsia" w:ascii="宋体" w:hAnsi="宋体" w:cs="宋体"/>
                <w:bCs/>
                <w:color w:val="auto"/>
                <w:highlight w:val="none"/>
                <w:lang w:val="zh-CN"/>
              </w:rPr>
              <w:t>复印件</w:t>
            </w:r>
            <w:r>
              <w:rPr>
                <w:rFonts w:hint="eastAsia" w:ascii="宋体" w:hAnsi="宋体" w:cs="宋体"/>
                <w:bCs/>
                <w:color w:val="auto"/>
                <w:highlight w:val="none"/>
              </w:rPr>
              <w:t>即可</w:t>
            </w:r>
            <w:r>
              <w:rPr>
                <w:rFonts w:hint="eastAsia" w:ascii="宋体" w:hAnsi="宋体" w:cs="宋体"/>
                <w:bCs/>
                <w:color w:val="auto"/>
                <w:highlight w:val="none"/>
                <w:lang w:val="zh-CN"/>
              </w:rPr>
              <w:t>。</w:t>
            </w:r>
          </w:p>
          <w:p>
            <w:pPr>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tabs>
                <w:tab w:val="left" w:pos="0"/>
                <w:tab w:val="clear" w:pos="420"/>
              </w:tabs>
              <w:spacing w:line="360" w:lineRule="auto"/>
              <w:ind w:left="5" w:hanging="5"/>
              <w:rPr>
                <w:rFonts w:ascii="宋体" w:hAnsi="宋体" w:cs="宋体"/>
                <w:color w:val="auto"/>
                <w:highlight w:val="none"/>
              </w:rPr>
            </w:pPr>
            <w:r>
              <w:rPr>
                <w:rFonts w:hint="eastAsia" w:ascii="宋体" w:hAnsi="宋体" w:cs="宋体"/>
                <w:color w:val="auto"/>
                <w:highlight w:val="none"/>
              </w:rPr>
              <w:t>具有良好的商业信誉</w:t>
            </w:r>
          </w:p>
        </w:tc>
        <w:tc>
          <w:tcPr>
            <w:tcW w:w="4622" w:type="dxa"/>
            <w:vMerge w:val="restart"/>
            <w:vAlign w:val="center"/>
          </w:tcPr>
          <w:p>
            <w:pPr>
              <w:shd w:val="clear" w:color="auto" w:fill="FFFFFF"/>
              <w:spacing w:line="360" w:lineRule="auto"/>
              <w:rPr>
                <w:rFonts w:ascii="宋体" w:hAnsi="宋体" w:cs="宋体"/>
                <w:color w:val="auto"/>
                <w:highlight w:val="none"/>
              </w:rPr>
            </w:pPr>
            <w:r>
              <w:rPr>
                <w:rFonts w:hint="eastAsia" w:ascii="宋体" w:hAnsi="宋体" w:cs="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tabs>
                <w:tab w:val="left" w:pos="0"/>
                <w:tab w:val="clear" w:pos="420"/>
              </w:tabs>
              <w:spacing w:line="360" w:lineRule="auto"/>
              <w:ind w:left="5" w:hanging="5"/>
              <w:rPr>
                <w:rFonts w:ascii="宋体" w:hAnsi="宋体" w:cs="宋体"/>
                <w:bCs/>
                <w:color w:val="auto"/>
                <w:highlight w:val="none"/>
              </w:rPr>
            </w:pPr>
            <w:r>
              <w:rPr>
                <w:rFonts w:hint="eastAsia" w:ascii="宋体" w:hAnsi="宋体" w:cs="宋体"/>
                <w:color w:val="auto"/>
                <w:highlight w:val="none"/>
              </w:rPr>
              <w:t>具有履行合同所必须的设备和专业技术能力</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tabs>
                <w:tab w:val="left" w:pos="0"/>
                <w:tab w:val="clear" w:pos="420"/>
              </w:tabs>
              <w:spacing w:line="360" w:lineRule="auto"/>
              <w:ind w:left="5" w:hanging="5"/>
              <w:rPr>
                <w:rFonts w:ascii="宋体" w:hAnsi="宋体" w:cs="宋体"/>
                <w:color w:val="auto"/>
                <w:highlight w:val="none"/>
              </w:rPr>
            </w:pPr>
            <w:r>
              <w:rPr>
                <w:rFonts w:hint="eastAsia" w:ascii="宋体" w:hAnsi="宋体" w:cs="宋体"/>
                <w:color w:val="auto"/>
                <w:highlight w:val="none"/>
              </w:rPr>
              <w:t>参加政府采购活动前三年内，在经营活动中没有重大违法记录</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tabs>
                <w:tab w:val="left" w:pos="0"/>
                <w:tab w:val="clear" w:pos="420"/>
              </w:tabs>
              <w:spacing w:line="360" w:lineRule="auto"/>
              <w:ind w:left="5" w:hanging="5"/>
              <w:rPr>
                <w:rFonts w:ascii="宋体" w:hAnsi="宋体" w:cs="宋体"/>
                <w:color w:val="auto"/>
                <w:highlight w:val="none"/>
              </w:rPr>
            </w:pPr>
            <w:r>
              <w:rPr>
                <w:rFonts w:hint="eastAsia" w:ascii="宋体" w:hAnsi="宋体" w:cs="宋体"/>
                <w:color w:val="auto"/>
                <w:highlight w:val="none"/>
              </w:rPr>
              <w:t>在行贿犯罪信息查询期限内，供应商及其现任法定代表人、主要负责人没有行贿犯罪记录</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tabs>
                <w:tab w:val="left" w:pos="0"/>
                <w:tab w:val="clear" w:pos="420"/>
              </w:tabs>
              <w:spacing w:line="360" w:lineRule="auto"/>
              <w:ind w:left="5" w:hanging="5"/>
              <w:rPr>
                <w:rFonts w:ascii="宋体" w:hAnsi="宋体" w:cs="宋体"/>
                <w:color w:val="auto"/>
                <w:highlight w:val="none"/>
              </w:rPr>
            </w:pPr>
            <w:r>
              <w:rPr>
                <w:rFonts w:hint="eastAsia" w:ascii="宋体" w:hAnsi="宋体" w:cs="宋体"/>
                <w:color w:val="auto"/>
                <w:highlight w:val="none"/>
              </w:rPr>
              <w:t>单位负责人为同一人或者存在控股、管理关系的不同供应商，不得参加同一合同项下的政府采购活动</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tabs>
                <w:tab w:val="left" w:pos="0"/>
                <w:tab w:val="clear" w:pos="420"/>
              </w:tabs>
              <w:spacing w:line="360" w:lineRule="auto"/>
              <w:ind w:left="5" w:hanging="5"/>
              <w:rPr>
                <w:rFonts w:ascii="宋体" w:hAnsi="宋体" w:cs="宋体"/>
                <w:color w:val="auto"/>
                <w:highlight w:val="none"/>
              </w:rPr>
            </w:pPr>
            <w:r>
              <w:rPr>
                <w:rFonts w:hint="eastAsia" w:ascii="宋体" w:hAnsi="宋体" w:cs="宋体"/>
                <w:color w:val="auto"/>
                <w:highlight w:val="none"/>
              </w:rPr>
              <w:t>供应商未对本次采购项目提供过整体设计、规范编制或者项目管理、监理、检测等服务</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spacing w:line="360" w:lineRule="auto"/>
              <w:ind w:left="5" w:hanging="5"/>
              <w:rPr>
                <w:rFonts w:ascii="宋体" w:hAnsi="宋体" w:cs="宋体"/>
                <w:color w:val="auto"/>
                <w:highlight w:val="none"/>
              </w:rPr>
            </w:pPr>
            <w:r>
              <w:rPr>
                <w:rFonts w:hint="eastAsia" w:ascii="宋体" w:hAnsi="宋体" w:cs="宋体"/>
                <w:color w:val="auto"/>
                <w:highlight w:val="none"/>
              </w:rPr>
              <w:t>非联合体磋商</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spacing w:line="360" w:lineRule="auto"/>
              <w:ind w:left="5" w:hanging="5"/>
              <w:rPr>
                <w:rFonts w:ascii="宋体" w:hAnsi="宋体" w:cs="宋体"/>
                <w:color w:val="auto"/>
                <w:highlight w:val="none"/>
              </w:rPr>
            </w:pPr>
            <w:r>
              <w:rPr>
                <w:rFonts w:hint="eastAsia" w:ascii="宋体" w:hAnsi="宋体" w:cs="宋体"/>
                <w:bCs/>
                <w:color w:val="auto"/>
                <w:highlight w:val="none"/>
              </w:rPr>
              <w:t>法律、行政法规规定的其他条件</w:t>
            </w:r>
          </w:p>
        </w:tc>
        <w:tc>
          <w:tcPr>
            <w:tcW w:w="4622" w:type="dxa"/>
            <w:vMerge w:val="continue"/>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0" w:type="dxa"/>
            <w:vMerge w:val="continue"/>
            <w:vAlign w:val="center"/>
          </w:tcPr>
          <w:p>
            <w:pPr>
              <w:spacing w:line="360" w:lineRule="auto"/>
              <w:rPr>
                <w:rFonts w:ascii="宋体" w:hAnsi="宋体" w:cs="宋体"/>
                <w:bCs/>
                <w:color w:val="auto"/>
                <w:highlight w:val="none"/>
              </w:rPr>
            </w:pPr>
          </w:p>
        </w:tc>
        <w:tc>
          <w:tcPr>
            <w:tcW w:w="3795" w:type="dxa"/>
            <w:gridSpan w:val="2"/>
            <w:vAlign w:val="center"/>
          </w:tcPr>
          <w:p>
            <w:pPr>
              <w:numPr>
                <w:ilvl w:val="0"/>
                <w:numId w:val="36"/>
              </w:numPr>
              <w:spacing w:line="360" w:lineRule="auto"/>
              <w:ind w:left="5" w:hanging="5"/>
              <w:rPr>
                <w:rFonts w:ascii="宋体" w:hAnsi="宋体" w:cs="宋体"/>
                <w:bCs/>
                <w:color w:val="auto"/>
                <w:highlight w:val="none"/>
              </w:rPr>
            </w:pPr>
            <w:r>
              <w:rPr>
                <w:rFonts w:hint="eastAsia" w:ascii="宋体" w:hAnsi="宋体" w:cs="宋体"/>
                <w:color w:val="auto"/>
                <w:highlight w:val="none"/>
              </w:rPr>
              <w:t>供应商不得为列入失信被执行人名单、重大税收违法案件当事人名单、政府采购严重违法失信行为记录名单中的供应商</w:t>
            </w:r>
          </w:p>
        </w:tc>
        <w:tc>
          <w:tcPr>
            <w:tcW w:w="4622" w:type="dxa"/>
            <w:vAlign w:val="center"/>
          </w:tcPr>
          <w:p>
            <w:pPr>
              <w:shd w:val="clear" w:color="auto" w:fill="FFFFFF"/>
              <w:spacing w:line="360" w:lineRule="auto"/>
              <w:rPr>
                <w:rFonts w:ascii="宋体" w:hAnsi="宋体" w:cs="宋体"/>
                <w:color w:val="auto"/>
                <w:highlight w:val="none"/>
              </w:rPr>
            </w:pPr>
            <w:r>
              <w:rPr>
                <w:rFonts w:hint="eastAsia" w:ascii="宋体" w:hAnsi="宋体" w:cs="宋体"/>
                <w:color w:val="auto"/>
                <w:highlight w:val="none"/>
              </w:rPr>
              <w:t>资格审查小组在“信用中国”和“中国政府采购网”网站的查询：供应商是否被列入失信被执行人；是否有重大税收违法案件；是否有政府采购严重违法失信行为。</w:t>
            </w:r>
          </w:p>
          <w:p>
            <w:pPr>
              <w:spacing w:line="360" w:lineRule="auto"/>
              <w:rPr>
                <w:rFonts w:ascii="宋体" w:hAnsi="宋体" w:cs="宋体"/>
                <w:color w:val="auto"/>
                <w:highlight w:val="none"/>
              </w:rPr>
            </w:pPr>
            <w:r>
              <w:rPr>
                <w:rFonts w:hint="eastAsia" w:ascii="宋体" w:hAnsi="宋体" w:cs="宋体"/>
                <w:color w:val="auto"/>
                <w:highlight w:val="none"/>
              </w:rPr>
              <w:t>（供应商有以上情况之一的资格审查不予通过。若因供应商为事业单位、团体组织、自然人等原因，未查询到相关信息的，视为未被列入失信记录。信用信息查询截止时点：同磋商截止日。信用记录查询结果网页截图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380" w:type="dxa"/>
            <w:vMerge w:val="continue"/>
            <w:vAlign w:val="center"/>
          </w:tcPr>
          <w:p>
            <w:pPr>
              <w:spacing w:line="360" w:lineRule="auto"/>
              <w:rPr>
                <w:rFonts w:ascii="宋体" w:hAnsi="宋体" w:cs="宋体"/>
                <w:bCs/>
                <w:color w:val="auto"/>
                <w:highlight w:val="none"/>
              </w:rPr>
            </w:pPr>
          </w:p>
        </w:tc>
        <w:tc>
          <w:tcPr>
            <w:tcW w:w="1245" w:type="dxa"/>
            <w:vMerge w:val="restart"/>
            <w:vAlign w:val="center"/>
          </w:tcPr>
          <w:p>
            <w:pPr>
              <w:numPr>
                <w:ilvl w:val="0"/>
                <w:numId w:val="36"/>
              </w:numPr>
              <w:spacing w:line="360" w:lineRule="auto"/>
              <w:ind w:left="0" w:hanging="5"/>
              <w:rPr>
                <w:rFonts w:ascii="宋体" w:hAnsi="宋体" w:cs="宋体"/>
                <w:bCs/>
                <w:color w:val="auto"/>
                <w:highlight w:val="none"/>
              </w:rPr>
            </w:pPr>
            <w:r>
              <w:rPr>
                <w:rFonts w:hint="eastAsia" w:ascii="宋体" w:hAnsi="宋体" w:cs="宋体"/>
                <w:color w:val="auto"/>
                <w:highlight w:val="none"/>
              </w:rPr>
              <w:t>有依法缴纳税收和社会保障资金的良好记录</w:t>
            </w:r>
          </w:p>
        </w:tc>
        <w:tc>
          <w:tcPr>
            <w:tcW w:w="2550" w:type="dxa"/>
            <w:vAlign w:val="center"/>
          </w:tcPr>
          <w:p>
            <w:pPr>
              <w:spacing w:line="360" w:lineRule="auto"/>
              <w:ind w:hanging="5"/>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62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供应商缴纳2021年</w:t>
            </w:r>
            <w:r>
              <w:rPr>
                <w:rFonts w:hint="eastAsia" w:ascii="宋体" w:hAnsi="宋体" w:cs="宋体"/>
                <w:color w:val="auto"/>
                <w:highlight w:val="none"/>
                <w:shd w:val="clear" w:color="auto" w:fill="FFFFFF"/>
              </w:rPr>
              <w:t>以来</w:t>
            </w:r>
            <w:r>
              <w:rPr>
                <w:rFonts w:hint="eastAsia" w:ascii="宋体" w:hAnsi="宋体" w:cs="宋体"/>
                <w:color w:val="auto"/>
                <w:highlight w:val="none"/>
              </w:rPr>
              <w:t>任意时段的缴纳税收的银行电子回单</w:t>
            </w:r>
            <w:r>
              <w:rPr>
                <w:rFonts w:hint="eastAsia" w:ascii="宋体" w:hAnsi="宋体" w:cs="宋体"/>
                <w:b/>
                <w:bCs/>
                <w:color w:val="auto"/>
                <w:highlight w:val="none"/>
              </w:rPr>
              <w:t>或</w:t>
            </w:r>
            <w:r>
              <w:rPr>
                <w:rFonts w:hint="eastAsia" w:ascii="宋体" w:hAnsi="宋体" w:cs="宋体"/>
                <w:color w:val="auto"/>
                <w:highlight w:val="none"/>
              </w:rPr>
              <w:t>税务部门出具的纳税证明</w:t>
            </w:r>
            <w:r>
              <w:rPr>
                <w:rFonts w:hint="eastAsia" w:ascii="宋体" w:hAnsi="宋体" w:cs="宋体"/>
                <w:b/>
                <w:bCs/>
                <w:color w:val="auto"/>
                <w:highlight w:val="none"/>
              </w:rPr>
              <w:t>或</w:t>
            </w:r>
            <w:r>
              <w:rPr>
                <w:rFonts w:hint="eastAsia" w:ascii="宋体" w:hAnsi="宋体" w:cs="宋体"/>
                <w:color w:val="auto"/>
                <w:highlight w:val="none"/>
              </w:rPr>
              <w:t>完税证明的复印件</w:t>
            </w:r>
            <w:r>
              <w:rPr>
                <w:rFonts w:hint="eastAsia" w:ascii="宋体" w:hAnsi="宋体" w:cs="宋体"/>
                <w:b/>
                <w:bCs/>
                <w:color w:val="auto"/>
                <w:highlight w:val="none"/>
              </w:rPr>
              <w:t>或</w:t>
            </w:r>
            <w:r>
              <w:rPr>
                <w:rFonts w:hint="eastAsia" w:ascii="宋体" w:hAnsi="宋体" w:cs="宋体"/>
                <w:color w:val="auto"/>
                <w:highlight w:val="none"/>
                <w:shd w:val="clear" w:color="auto" w:fill="FFFFFF"/>
              </w:rPr>
              <w:t>承诺函原件</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80" w:type="dxa"/>
            <w:vMerge w:val="continue"/>
            <w:vAlign w:val="center"/>
          </w:tcPr>
          <w:p>
            <w:pPr>
              <w:spacing w:line="360" w:lineRule="auto"/>
              <w:rPr>
                <w:rFonts w:ascii="宋体" w:hAnsi="宋体" w:cs="宋体"/>
                <w:bCs/>
                <w:color w:val="auto"/>
                <w:highlight w:val="none"/>
              </w:rPr>
            </w:pPr>
          </w:p>
        </w:tc>
        <w:tc>
          <w:tcPr>
            <w:tcW w:w="1245" w:type="dxa"/>
            <w:vMerge w:val="continue"/>
            <w:vAlign w:val="center"/>
          </w:tcPr>
          <w:p>
            <w:pPr>
              <w:spacing w:line="360" w:lineRule="auto"/>
              <w:ind w:hanging="5"/>
              <w:rPr>
                <w:rFonts w:ascii="宋体" w:hAnsi="宋体" w:cs="宋体"/>
                <w:color w:val="auto"/>
                <w:highlight w:val="none"/>
              </w:rPr>
            </w:pPr>
          </w:p>
        </w:tc>
        <w:tc>
          <w:tcPr>
            <w:tcW w:w="2550" w:type="dxa"/>
            <w:vAlign w:val="center"/>
          </w:tcPr>
          <w:p>
            <w:pPr>
              <w:spacing w:line="360" w:lineRule="auto"/>
              <w:ind w:hanging="5"/>
              <w:rPr>
                <w:rFonts w:ascii="宋体" w:hAnsi="宋体" w:cs="宋体"/>
                <w:color w:val="auto"/>
                <w:highlight w:val="none"/>
              </w:rPr>
            </w:pPr>
            <w:r>
              <w:rPr>
                <w:rFonts w:hint="eastAsia" w:ascii="宋体" w:hAnsi="宋体" w:cs="宋体"/>
                <w:bCs/>
                <w:color w:val="auto"/>
                <w:highlight w:val="none"/>
              </w:rPr>
              <w:t>（2）缴纳税收的证明材料</w:t>
            </w:r>
          </w:p>
        </w:tc>
        <w:tc>
          <w:tcPr>
            <w:tcW w:w="462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供应商缴纳2021年</w:t>
            </w:r>
            <w:r>
              <w:rPr>
                <w:rFonts w:hint="eastAsia" w:ascii="宋体" w:hAnsi="宋体" w:cs="宋体"/>
                <w:color w:val="auto"/>
                <w:highlight w:val="none"/>
                <w:shd w:val="clear" w:color="auto" w:fill="FFFFFF"/>
              </w:rPr>
              <w:t>以来</w:t>
            </w:r>
            <w:r>
              <w:rPr>
                <w:rFonts w:hint="eastAsia" w:ascii="宋体" w:hAnsi="宋体" w:cs="宋体"/>
                <w:color w:val="auto"/>
                <w:highlight w:val="none"/>
              </w:rPr>
              <w:t>任意时段的缴纳社保的银行电子回单</w:t>
            </w:r>
            <w:r>
              <w:rPr>
                <w:rFonts w:hint="eastAsia" w:ascii="宋体" w:hAnsi="宋体" w:cs="宋体"/>
                <w:b/>
                <w:bCs/>
                <w:color w:val="auto"/>
                <w:highlight w:val="none"/>
              </w:rPr>
              <w:t>或</w:t>
            </w:r>
            <w:r>
              <w:rPr>
                <w:rFonts w:hint="eastAsia" w:ascii="宋体" w:hAnsi="宋体" w:cs="宋体"/>
                <w:color w:val="auto"/>
                <w:highlight w:val="none"/>
              </w:rPr>
              <w:t>社保部门出具的社保缴纳证明材料复印件</w:t>
            </w:r>
            <w:r>
              <w:rPr>
                <w:rFonts w:hint="eastAsia" w:ascii="宋体" w:hAnsi="宋体" w:cs="宋体"/>
                <w:b/>
                <w:bCs/>
                <w:color w:val="auto"/>
                <w:highlight w:val="none"/>
              </w:rPr>
              <w:t>或</w:t>
            </w:r>
            <w:r>
              <w:rPr>
                <w:rFonts w:hint="eastAsia" w:ascii="宋体" w:hAnsi="宋体" w:cs="宋体"/>
                <w:color w:val="auto"/>
                <w:highlight w:val="none"/>
                <w:shd w:val="clear" w:color="auto" w:fill="FFFFFF"/>
              </w:rPr>
              <w:t>承诺函原件</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0" w:type="dxa"/>
            <w:vMerge w:val="continue"/>
            <w:vAlign w:val="center"/>
          </w:tcPr>
          <w:p>
            <w:pPr>
              <w:spacing w:line="360" w:lineRule="auto"/>
              <w:rPr>
                <w:rFonts w:ascii="宋体" w:hAnsi="宋体" w:cs="宋体"/>
                <w:color w:val="auto"/>
                <w:highlight w:val="none"/>
              </w:rPr>
            </w:pPr>
          </w:p>
        </w:tc>
        <w:tc>
          <w:tcPr>
            <w:tcW w:w="3795" w:type="dxa"/>
            <w:gridSpan w:val="2"/>
            <w:vAlign w:val="center"/>
          </w:tcPr>
          <w:p>
            <w:pPr>
              <w:numPr>
                <w:ilvl w:val="0"/>
                <w:numId w:val="36"/>
              </w:numPr>
              <w:tabs>
                <w:tab w:val="left" w:pos="240"/>
                <w:tab w:val="clear" w:pos="420"/>
              </w:tabs>
              <w:spacing w:line="360" w:lineRule="auto"/>
              <w:ind w:left="-15" w:firstLine="15"/>
              <w:rPr>
                <w:rFonts w:ascii="宋体" w:hAnsi="宋体" w:cs="宋体"/>
                <w:color w:val="auto"/>
                <w:highlight w:val="none"/>
              </w:rPr>
            </w:pPr>
            <w:r>
              <w:rPr>
                <w:rFonts w:hint="eastAsia" w:ascii="宋体" w:hAnsi="宋体" w:cs="宋体"/>
                <w:color w:val="auto"/>
                <w:highlight w:val="none"/>
              </w:rPr>
              <w:t>健全的财务会计制度的证明材料</w:t>
            </w:r>
          </w:p>
        </w:tc>
        <w:tc>
          <w:tcPr>
            <w:tcW w:w="4622" w:type="dxa"/>
            <w:vAlign w:val="center"/>
          </w:tcPr>
          <w:p>
            <w:pPr>
              <w:pStyle w:val="2"/>
              <w:spacing w:line="360" w:lineRule="auto"/>
              <w:rPr>
                <w:rFonts w:ascii="宋体" w:hAnsi="宋体" w:cs="宋体"/>
                <w:color w:val="auto"/>
                <w:highlight w:val="none"/>
              </w:rPr>
            </w:pPr>
            <w:r>
              <w:rPr>
                <w:rFonts w:hint="eastAsia" w:ascii="宋体" w:hAnsi="宋体" w:cs="宋体"/>
                <w:color w:val="auto"/>
                <w:highlight w:val="none"/>
              </w:rPr>
              <w:t>供应商根据自身情况提供以下任意一种证明材料：</w:t>
            </w:r>
          </w:p>
          <w:p>
            <w:pPr>
              <w:pStyle w:val="2"/>
              <w:numPr>
                <w:ilvl w:val="0"/>
                <w:numId w:val="38"/>
              </w:numPr>
              <w:spacing w:line="360" w:lineRule="auto"/>
              <w:ind w:left="5" w:hanging="5"/>
              <w:rPr>
                <w:rFonts w:ascii="宋体" w:hAnsi="宋体" w:cs="宋体"/>
                <w:color w:val="auto"/>
                <w:highlight w:val="none"/>
              </w:rPr>
            </w:pPr>
            <w:r>
              <w:rPr>
                <w:rFonts w:hint="eastAsia" w:ascii="宋体" w:hAnsi="宋体" w:cs="宋体"/>
                <w:color w:val="auto"/>
                <w:highlight w:val="none"/>
              </w:rPr>
              <w:t>2019年度或2020年度经审计的财务报告复印件（包含审计报告和审计报告中所涉及的财务报表和报表附注）；</w:t>
            </w:r>
          </w:p>
          <w:p>
            <w:pPr>
              <w:pStyle w:val="2"/>
              <w:numPr>
                <w:ilvl w:val="0"/>
                <w:numId w:val="38"/>
              </w:numPr>
              <w:spacing w:line="360" w:lineRule="auto"/>
              <w:ind w:left="5" w:hanging="5"/>
              <w:rPr>
                <w:rFonts w:ascii="宋体" w:hAnsi="宋体" w:cs="宋体"/>
                <w:color w:val="auto"/>
                <w:highlight w:val="none"/>
              </w:rPr>
            </w:pPr>
            <w:r>
              <w:rPr>
                <w:rFonts w:hint="eastAsia" w:ascii="宋体" w:hAnsi="宋体" w:cs="宋体"/>
                <w:color w:val="auto"/>
                <w:highlight w:val="none"/>
              </w:rPr>
              <w:t>2019年度或2020年度供应商内部的财务报表复印件（至少包含资产负债表）；</w:t>
            </w:r>
          </w:p>
          <w:p>
            <w:pPr>
              <w:pStyle w:val="2"/>
              <w:numPr>
                <w:ilvl w:val="0"/>
                <w:numId w:val="38"/>
              </w:numPr>
              <w:spacing w:line="360" w:lineRule="auto"/>
              <w:ind w:left="5" w:hanging="5"/>
              <w:rPr>
                <w:rFonts w:ascii="宋体" w:hAnsi="宋体" w:cs="宋体"/>
                <w:color w:val="auto"/>
                <w:highlight w:val="none"/>
              </w:rPr>
            </w:pPr>
            <w:r>
              <w:rPr>
                <w:rFonts w:hint="eastAsia" w:ascii="宋体" w:hAnsi="宋体" w:cs="宋体"/>
                <w:color w:val="auto"/>
                <w:highlight w:val="none"/>
              </w:rPr>
              <w:t>截至响应文件递交截止日一年内银行出具的资信证明（复印件）；</w:t>
            </w:r>
          </w:p>
          <w:p>
            <w:pPr>
              <w:pStyle w:val="2"/>
              <w:numPr>
                <w:ilvl w:val="0"/>
                <w:numId w:val="38"/>
              </w:numPr>
              <w:spacing w:line="360" w:lineRule="auto"/>
              <w:ind w:left="5" w:hanging="5"/>
              <w:rPr>
                <w:rFonts w:ascii="宋体" w:hAnsi="宋体" w:cs="宋体"/>
                <w:color w:val="auto"/>
                <w:highlight w:val="none"/>
              </w:rPr>
            </w:pPr>
            <w:r>
              <w:rPr>
                <w:rFonts w:hint="eastAsia" w:ascii="宋体" w:hAnsi="宋体" w:cs="宋体"/>
                <w:color w:val="auto"/>
                <w:highlight w:val="none"/>
              </w:rPr>
              <w:t>供应商注册时间截至响应文件递交截止日不足一年的，可提供公司章程（复印件）；</w:t>
            </w:r>
          </w:p>
          <w:p>
            <w:pPr>
              <w:spacing w:line="360" w:lineRule="auto"/>
              <w:rPr>
                <w:rFonts w:ascii="宋体" w:hAnsi="宋体" w:cs="宋体"/>
                <w:color w:val="auto"/>
                <w:highlight w:val="none"/>
              </w:rPr>
            </w:pPr>
            <w:r>
              <w:rPr>
                <w:rFonts w:hint="eastAsia" w:ascii="宋体" w:hAnsi="宋体" w:cs="宋体"/>
                <w:color w:val="auto"/>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80" w:type="dxa"/>
            <w:vMerge w:val="continue"/>
            <w:vAlign w:val="center"/>
          </w:tcPr>
          <w:p>
            <w:pPr>
              <w:spacing w:line="360" w:lineRule="auto"/>
              <w:rPr>
                <w:rFonts w:ascii="宋体" w:hAnsi="宋体" w:cs="宋体"/>
                <w:color w:val="auto"/>
                <w:highlight w:val="none"/>
              </w:rPr>
            </w:pPr>
          </w:p>
        </w:tc>
        <w:tc>
          <w:tcPr>
            <w:tcW w:w="3795" w:type="dxa"/>
            <w:gridSpan w:val="2"/>
            <w:vAlign w:val="center"/>
          </w:tcPr>
          <w:p>
            <w:pPr>
              <w:numPr>
                <w:ilvl w:val="0"/>
                <w:numId w:val="36"/>
              </w:numPr>
              <w:tabs>
                <w:tab w:val="left" w:pos="240"/>
                <w:tab w:val="clear" w:pos="420"/>
              </w:tabs>
              <w:spacing w:line="360" w:lineRule="auto"/>
              <w:ind w:left="-15" w:firstLine="15"/>
              <w:rPr>
                <w:rFonts w:ascii="宋体" w:hAnsi="宋体" w:cs="宋体"/>
                <w:color w:val="auto"/>
                <w:highlight w:val="none"/>
              </w:rPr>
            </w:pPr>
            <w:r>
              <w:rPr>
                <w:rFonts w:hint="eastAsia" w:ascii="宋体" w:hAnsi="宋体" w:cs="宋体"/>
                <w:color w:val="auto"/>
                <w:highlight w:val="none"/>
              </w:rPr>
              <w:t>法定代表人身份证明书</w:t>
            </w:r>
          </w:p>
        </w:tc>
        <w:tc>
          <w:tcPr>
            <w:tcW w:w="462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法定代表人身份证明书原件（自然人参加磋商的不须提供身份证明书）及身份证复印件或护照复印件【注：（1）法定代表人身份证明书符合磋商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80" w:type="dxa"/>
            <w:vMerge w:val="continue"/>
            <w:vAlign w:val="center"/>
          </w:tcPr>
          <w:p>
            <w:pPr>
              <w:spacing w:line="360" w:lineRule="auto"/>
              <w:rPr>
                <w:rFonts w:ascii="宋体" w:hAnsi="宋体" w:cs="宋体"/>
                <w:color w:val="auto"/>
                <w:highlight w:val="none"/>
              </w:rPr>
            </w:pPr>
          </w:p>
        </w:tc>
        <w:tc>
          <w:tcPr>
            <w:tcW w:w="3795" w:type="dxa"/>
            <w:gridSpan w:val="2"/>
            <w:vAlign w:val="center"/>
          </w:tcPr>
          <w:p>
            <w:pPr>
              <w:numPr>
                <w:ilvl w:val="0"/>
                <w:numId w:val="36"/>
              </w:numPr>
              <w:spacing w:line="360" w:lineRule="auto"/>
              <w:ind w:left="5" w:hanging="5"/>
              <w:rPr>
                <w:rFonts w:ascii="宋体" w:hAnsi="宋体" w:cs="宋体"/>
                <w:color w:val="auto"/>
                <w:highlight w:val="none"/>
              </w:rPr>
            </w:pPr>
            <w:r>
              <w:rPr>
                <w:rFonts w:hint="eastAsia" w:ascii="宋体" w:hAnsi="宋体" w:cs="宋体"/>
                <w:color w:val="auto"/>
                <w:highlight w:val="none"/>
              </w:rPr>
              <w:t>法定代表人授权委托书</w:t>
            </w:r>
          </w:p>
        </w:tc>
        <w:tc>
          <w:tcPr>
            <w:tcW w:w="462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法定代表人授权书原件及身份证复印件【注：（1）代理人身份证复印件（身份证两面均应复印，在有效期内）；（2）如响应文件均由供应商法定代表人签字的或供应商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（二）特定资格要求</w:t>
            </w:r>
          </w:p>
        </w:tc>
        <w:tc>
          <w:tcPr>
            <w:tcW w:w="3795" w:type="dxa"/>
            <w:gridSpan w:val="2"/>
            <w:vAlign w:val="center"/>
          </w:tcPr>
          <w:p>
            <w:pPr>
              <w:spacing w:line="360" w:lineRule="auto"/>
              <w:rPr>
                <w:rFonts w:ascii="宋体" w:hAnsi="宋体" w:cs="宋体"/>
                <w:color w:val="auto"/>
                <w:highlight w:val="none"/>
              </w:rPr>
            </w:pPr>
            <w:r>
              <w:rPr>
                <w:rFonts w:hint="eastAsia" w:ascii="宋体" w:hAnsi="宋体" w:cs="宋体"/>
                <w:color w:val="auto"/>
                <w:highlight w:val="none"/>
              </w:rPr>
              <w:t>无</w:t>
            </w:r>
          </w:p>
        </w:tc>
        <w:tc>
          <w:tcPr>
            <w:tcW w:w="462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0"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（三）其他要求</w:t>
            </w:r>
          </w:p>
        </w:tc>
        <w:tc>
          <w:tcPr>
            <w:tcW w:w="3795" w:type="dxa"/>
            <w:gridSpan w:val="2"/>
            <w:vAlign w:val="center"/>
          </w:tcPr>
          <w:p>
            <w:pPr>
              <w:tabs>
                <w:tab w:val="left" w:pos="851"/>
              </w:tabs>
              <w:spacing w:line="360" w:lineRule="auto"/>
              <w:rPr>
                <w:rFonts w:ascii="宋体" w:hAnsi="宋体" w:cs="宋体"/>
                <w:color w:val="auto"/>
                <w:highlight w:val="none"/>
              </w:rPr>
            </w:pPr>
            <w:r>
              <w:rPr>
                <w:rFonts w:hint="eastAsia" w:ascii="宋体" w:hAnsi="宋体" w:cs="宋体"/>
                <w:color w:val="auto"/>
                <w:highlight w:val="none"/>
              </w:rPr>
              <w:t>响应文件解密情况</w:t>
            </w:r>
          </w:p>
        </w:tc>
        <w:tc>
          <w:tcPr>
            <w:tcW w:w="4622" w:type="dxa"/>
            <w:vAlign w:val="center"/>
          </w:tcPr>
          <w:p>
            <w:pPr>
              <w:tabs>
                <w:tab w:val="left" w:pos="851"/>
              </w:tabs>
              <w:spacing w:line="360" w:lineRule="auto"/>
              <w:rPr>
                <w:rFonts w:ascii="宋体" w:hAnsi="宋体" w:cs="宋体"/>
                <w:color w:val="auto"/>
                <w:highlight w:val="none"/>
              </w:rPr>
            </w:pPr>
            <w:r>
              <w:rPr>
                <w:rFonts w:hint="eastAsia" w:ascii="宋体" w:hAnsi="宋体" w:cs="宋体"/>
                <w:color w:val="auto"/>
                <w:highlight w:val="none"/>
              </w:rPr>
              <w:t>除因断电、断网、系统故障或其他不可抗力等因素，导致系统无法使用外，响应文件已成功解密。（说明：根据响应文件是否解密判断。）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0" w:type="dxa"/>
            <w:vMerge w:val="continue"/>
            <w:vAlign w:val="center"/>
          </w:tcPr>
          <w:p>
            <w:pPr>
              <w:spacing w:line="360" w:lineRule="auto"/>
              <w:jc w:val="center"/>
              <w:rPr>
                <w:rFonts w:ascii="宋体" w:hAnsi="宋体" w:cs="宋体"/>
                <w:color w:val="auto"/>
                <w:highlight w:val="none"/>
              </w:rPr>
            </w:pPr>
          </w:p>
        </w:tc>
        <w:tc>
          <w:tcPr>
            <w:tcW w:w="3795" w:type="dxa"/>
            <w:gridSpan w:val="2"/>
            <w:vAlign w:val="center"/>
          </w:tcPr>
          <w:p>
            <w:pPr>
              <w:tabs>
                <w:tab w:val="left" w:pos="851"/>
              </w:tabs>
              <w:spacing w:line="360" w:lineRule="auto"/>
              <w:rPr>
                <w:rFonts w:ascii="宋体" w:hAnsi="宋体" w:cs="宋体"/>
                <w:color w:val="auto"/>
                <w:highlight w:val="none"/>
              </w:rPr>
            </w:pPr>
            <w:r>
              <w:rPr>
                <w:rFonts w:hint="eastAsia" w:ascii="宋体" w:hAnsi="宋体" w:cs="宋体"/>
                <w:color w:val="auto"/>
                <w:highlight w:val="none"/>
              </w:rPr>
              <w:t>资格性响应文件签字盖章情况</w:t>
            </w:r>
          </w:p>
        </w:tc>
        <w:tc>
          <w:tcPr>
            <w:tcW w:w="4622" w:type="dxa"/>
            <w:vAlign w:val="center"/>
          </w:tcPr>
          <w:p>
            <w:pPr>
              <w:tabs>
                <w:tab w:val="left" w:pos="851"/>
              </w:tabs>
              <w:spacing w:line="360" w:lineRule="auto"/>
              <w:rPr>
                <w:rFonts w:ascii="宋体" w:hAnsi="宋体" w:cs="宋体"/>
                <w:color w:val="auto"/>
                <w:highlight w:val="none"/>
              </w:rPr>
            </w:pPr>
            <w:r>
              <w:rPr>
                <w:rFonts w:hint="eastAsia" w:ascii="宋体" w:hAnsi="宋体" w:cs="宋体"/>
                <w:color w:val="auto"/>
                <w:highlight w:val="none"/>
              </w:rPr>
              <w:t>均按磋商文件要求签章。（说明：根据供应商上传的资格性响应文件签字盖章情况判断。）</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中华人民共和国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6"/>
        <w:ind w:firstLine="482"/>
        <w:rPr>
          <w:rFonts w:cs="宋体"/>
          <w:color w:val="auto"/>
          <w:szCs w:val="24"/>
          <w:highlight w:val="none"/>
        </w:rPr>
      </w:pPr>
      <w:r>
        <w:rPr>
          <w:rFonts w:hint="eastAsia" w:cs="宋体"/>
          <w:color w:val="auto"/>
          <w:szCs w:val="24"/>
          <w:highlight w:val="none"/>
        </w:rPr>
        <w:t>磋商</w:t>
      </w:r>
    </w:p>
    <w:p>
      <w:pPr>
        <w:pStyle w:val="6"/>
        <w:keepNext w:val="0"/>
        <w:keepLines w:val="0"/>
        <w:numPr>
          <w:ilvl w:val="0"/>
          <w:numId w:val="39"/>
        </w:numPr>
        <w:tabs>
          <w:tab w:val="left" w:pos="426"/>
          <w:tab w:val="left" w:pos="567"/>
        </w:tabs>
        <w:ind w:firstLine="480"/>
        <w:rPr>
          <w:b w:val="0"/>
          <w:color w:val="auto"/>
          <w:szCs w:val="24"/>
          <w:highlight w:val="none"/>
        </w:rPr>
      </w:pPr>
      <w:bookmarkStart w:id="90" w:name="_Toc13463"/>
      <w:bookmarkStart w:id="91" w:name="_Toc23472"/>
      <w:bookmarkStart w:id="92" w:name="_Toc18778"/>
      <w:bookmarkStart w:id="93" w:name="_Toc9096"/>
      <w:bookmarkStart w:id="94" w:name="_Toc24086"/>
      <w:bookmarkStart w:id="95" w:name="_Toc1186"/>
      <w:bookmarkStart w:id="96" w:name="_Toc28704"/>
      <w:bookmarkStart w:id="97" w:name="_Toc43566521"/>
      <w:bookmarkStart w:id="98" w:name="_Toc18863"/>
      <w:bookmarkStart w:id="99" w:name="_Toc1823"/>
      <w:bookmarkStart w:id="100" w:name="_Toc11240"/>
      <w:bookmarkStart w:id="101" w:name="_Toc26653"/>
      <w:bookmarkStart w:id="102" w:name="_Toc25820"/>
      <w:bookmarkStart w:id="103" w:name="_Toc6686"/>
      <w:bookmarkStart w:id="104" w:name="_Toc5653"/>
      <w:bookmarkStart w:id="105" w:name="_Toc7480"/>
      <w:bookmarkStart w:id="106" w:name="_Toc30871"/>
      <w:bookmarkStart w:id="107" w:name="_Toc12921"/>
      <w:bookmarkStart w:id="108" w:name="_Toc21637"/>
      <w:bookmarkStart w:id="109" w:name="_Toc8445"/>
      <w:bookmarkStart w:id="110" w:name="_Toc30664"/>
      <w:bookmarkStart w:id="111" w:name="_Toc20686"/>
      <w:bookmarkStart w:id="112" w:name="_Toc234"/>
      <w:bookmarkStart w:id="113" w:name="_Toc177"/>
      <w:bookmarkStart w:id="114" w:name="_Toc24322"/>
      <w:bookmarkStart w:id="115" w:name="_Toc19824"/>
      <w:bookmarkStart w:id="116" w:name="_Toc16430"/>
      <w:bookmarkStart w:id="117" w:name="_Toc5957"/>
      <w:bookmarkStart w:id="118" w:name="_Toc12948"/>
      <w:bookmarkStart w:id="119" w:name="_Toc28211"/>
      <w:bookmarkStart w:id="120" w:name="_Toc28961"/>
      <w:r>
        <w:rPr>
          <w:rFonts w:hint="eastAsia"/>
          <w:b w:val="0"/>
          <w:color w:val="auto"/>
          <w:szCs w:val="24"/>
          <w:highlight w:val="none"/>
        </w:rPr>
        <w:t>磋商小组所有成员集中与单一供应商分别进行一轮或多轮磋商，并给予所有参加磋商的供应商平等的磋商机会。磋商过程中，磋商小组可以根据磋商情况调整磋商轮次。</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6"/>
        <w:keepNext w:val="0"/>
        <w:keepLines w:val="0"/>
        <w:numPr>
          <w:ilvl w:val="0"/>
          <w:numId w:val="39"/>
        </w:numPr>
        <w:tabs>
          <w:tab w:val="left" w:pos="426"/>
          <w:tab w:val="left" w:pos="567"/>
        </w:tabs>
        <w:ind w:firstLine="480"/>
        <w:rPr>
          <w:b w:val="0"/>
          <w:color w:val="auto"/>
          <w:szCs w:val="24"/>
          <w:highlight w:val="none"/>
        </w:rPr>
      </w:pPr>
      <w:bookmarkStart w:id="121" w:name="_Toc10664"/>
      <w:bookmarkStart w:id="122" w:name="_Toc12027"/>
      <w:bookmarkStart w:id="123" w:name="_Toc19239"/>
      <w:bookmarkStart w:id="124" w:name="_Toc26144"/>
      <w:bookmarkStart w:id="125" w:name="_Toc5547"/>
      <w:bookmarkStart w:id="126" w:name="_Toc7651"/>
      <w:bookmarkStart w:id="127" w:name="_Toc13670"/>
      <w:bookmarkStart w:id="128" w:name="_Toc17010"/>
      <w:bookmarkStart w:id="129" w:name="_Toc11203"/>
      <w:bookmarkStart w:id="130" w:name="_Toc14644"/>
      <w:bookmarkStart w:id="131" w:name="_Toc29643"/>
      <w:bookmarkStart w:id="132" w:name="_Toc5759"/>
      <w:bookmarkStart w:id="133" w:name="_Toc13414"/>
      <w:bookmarkStart w:id="134" w:name="_Toc16346"/>
      <w:bookmarkStart w:id="135" w:name="_Toc19501"/>
      <w:bookmarkStart w:id="136" w:name="_Toc24798"/>
      <w:bookmarkStart w:id="137" w:name="_Toc8363"/>
      <w:bookmarkStart w:id="138" w:name="_Toc16300"/>
      <w:bookmarkStart w:id="139" w:name="_Toc16950"/>
      <w:bookmarkStart w:id="140" w:name="_Toc3073"/>
      <w:bookmarkStart w:id="141" w:name="_Toc28551"/>
      <w:bookmarkStart w:id="142" w:name="_Toc14958"/>
      <w:bookmarkStart w:id="143" w:name="_Toc21274"/>
      <w:bookmarkStart w:id="144" w:name="_Toc28752"/>
      <w:bookmarkStart w:id="145" w:name="_Toc1058"/>
      <w:bookmarkStart w:id="146" w:name="_Toc43566522"/>
      <w:bookmarkStart w:id="147" w:name="_Toc20275"/>
      <w:bookmarkStart w:id="148" w:name="_Toc7100"/>
      <w:bookmarkStart w:id="149" w:name="_Toc22424"/>
      <w:bookmarkStart w:id="150" w:name="_Toc5725"/>
      <w:bookmarkStart w:id="151" w:name="_Toc18309"/>
      <w:r>
        <w:rPr>
          <w:rFonts w:hint="eastAsia"/>
          <w:b w:val="0"/>
          <w:color w:val="auto"/>
          <w:szCs w:val="24"/>
          <w:highlight w:val="none"/>
        </w:rPr>
        <w:t>每轮磋商开始前，磋商小组应根据磋商文件的规定，并结合各供应商的响应文件拟定磋商内容。</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Style w:val="6"/>
        <w:keepNext w:val="0"/>
        <w:keepLines w:val="0"/>
        <w:numPr>
          <w:ilvl w:val="0"/>
          <w:numId w:val="39"/>
        </w:numPr>
        <w:tabs>
          <w:tab w:val="left" w:pos="426"/>
          <w:tab w:val="left" w:pos="567"/>
        </w:tabs>
        <w:ind w:firstLine="480"/>
        <w:rPr>
          <w:b w:val="0"/>
          <w:color w:val="auto"/>
          <w:szCs w:val="24"/>
          <w:highlight w:val="none"/>
        </w:rPr>
      </w:pPr>
      <w:bookmarkStart w:id="152" w:name="_Toc14027"/>
      <w:bookmarkStart w:id="153" w:name="_Toc43566523"/>
      <w:bookmarkStart w:id="154" w:name="_Toc12563"/>
      <w:bookmarkStart w:id="155" w:name="_Toc26003"/>
      <w:bookmarkStart w:id="156" w:name="_Toc18130"/>
      <w:bookmarkStart w:id="157" w:name="_Toc7002"/>
      <w:bookmarkStart w:id="158" w:name="_Toc24429"/>
      <w:bookmarkStart w:id="159" w:name="_Toc3093"/>
      <w:bookmarkStart w:id="160" w:name="_Toc22981"/>
      <w:bookmarkStart w:id="161" w:name="_Toc1822"/>
      <w:bookmarkStart w:id="162" w:name="_Toc7955"/>
      <w:bookmarkStart w:id="163" w:name="_Toc3854"/>
      <w:bookmarkStart w:id="164" w:name="_Toc28031"/>
      <w:bookmarkStart w:id="165" w:name="_Toc1260"/>
      <w:bookmarkStart w:id="166" w:name="_Toc31513"/>
      <w:bookmarkStart w:id="167" w:name="_Toc3129"/>
      <w:bookmarkStart w:id="168" w:name="_Toc29139"/>
      <w:bookmarkStart w:id="169" w:name="_Toc9387"/>
      <w:bookmarkStart w:id="170" w:name="_Toc8711"/>
      <w:bookmarkStart w:id="171" w:name="_Toc32131"/>
      <w:bookmarkStart w:id="172" w:name="_Toc2076"/>
      <w:bookmarkStart w:id="173" w:name="_Toc14318"/>
      <w:bookmarkStart w:id="174" w:name="_Toc5655"/>
      <w:bookmarkStart w:id="175" w:name="_Toc30727"/>
      <w:bookmarkStart w:id="176" w:name="_Toc17631"/>
      <w:bookmarkStart w:id="177" w:name="_Toc1515"/>
      <w:bookmarkStart w:id="178" w:name="_Toc31379"/>
      <w:bookmarkStart w:id="179" w:name="_Toc12444"/>
      <w:bookmarkStart w:id="180" w:name="_Toc15259"/>
      <w:bookmarkStart w:id="181" w:name="_Toc11261"/>
      <w:bookmarkStart w:id="182" w:name="_Toc12103"/>
      <w:r>
        <w:rPr>
          <w:rFonts w:hint="eastAsia"/>
          <w:b w:val="0"/>
          <w:color w:val="auto"/>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6"/>
        <w:keepNext w:val="0"/>
        <w:keepLines w:val="0"/>
        <w:numPr>
          <w:ilvl w:val="0"/>
          <w:numId w:val="39"/>
        </w:numPr>
        <w:tabs>
          <w:tab w:val="left" w:pos="426"/>
          <w:tab w:val="left" w:pos="567"/>
        </w:tabs>
        <w:ind w:firstLine="480"/>
        <w:rPr>
          <w:b w:val="0"/>
          <w:color w:val="auto"/>
          <w:szCs w:val="24"/>
          <w:highlight w:val="none"/>
        </w:rPr>
      </w:pPr>
      <w:bookmarkStart w:id="183" w:name="_Toc30395"/>
      <w:bookmarkStart w:id="184" w:name="_Toc15411"/>
      <w:bookmarkStart w:id="185" w:name="_Toc23230"/>
      <w:bookmarkStart w:id="186" w:name="_Toc1947"/>
      <w:bookmarkStart w:id="187" w:name="_Toc12380"/>
      <w:bookmarkStart w:id="188" w:name="_Toc23382"/>
      <w:bookmarkStart w:id="189" w:name="_Toc5170"/>
      <w:bookmarkStart w:id="190" w:name="_Toc15891"/>
      <w:bookmarkStart w:id="191" w:name="_Toc18133"/>
      <w:bookmarkStart w:id="192" w:name="_Toc20322"/>
      <w:bookmarkStart w:id="193" w:name="_Toc217"/>
      <w:bookmarkStart w:id="194" w:name="_Toc14624"/>
      <w:bookmarkStart w:id="195" w:name="_Toc9861"/>
      <w:bookmarkStart w:id="196" w:name="_Toc15406"/>
      <w:bookmarkStart w:id="197" w:name="_Toc5480"/>
      <w:bookmarkStart w:id="198" w:name="_Toc2802"/>
      <w:bookmarkStart w:id="199" w:name="_Toc25538"/>
      <w:bookmarkStart w:id="200" w:name="_Toc20339"/>
      <w:bookmarkStart w:id="201" w:name="_Toc24161"/>
      <w:bookmarkStart w:id="202" w:name="_Toc20981"/>
      <w:bookmarkStart w:id="203" w:name="_Toc23592"/>
      <w:bookmarkStart w:id="204" w:name="_Toc23880"/>
      <w:bookmarkStart w:id="205" w:name="_Toc30040"/>
      <w:bookmarkStart w:id="206" w:name="_Toc12026"/>
      <w:bookmarkStart w:id="207" w:name="_Toc15692"/>
      <w:bookmarkStart w:id="208" w:name="_Toc17886"/>
      <w:bookmarkStart w:id="209" w:name="_Toc43566524"/>
      <w:bookmarkStart w:id="210" w:name="_Toc26943"/>
      <w:bookmarkStart w:id="211" w:name="_Toc19446"/>
      <w:bookmarkStart w:id="212" w:name="_Toc22086"/>
      <w:bookmarkStart w:id="213" w:name="_Toc20165"/>
      <w:r>
        <w:rPr>
          <w:rFonts w:hint="eastAsia"/>
          <w:b w:val="0"/>
          <w:color w:val="auto"/>
          <w:szCs w:val="24"/>
          <w:highlight w:val="none"/>
        </w:rPr>
        <w:t>对磋商文件作出的实质性变动是磋商文件的有效组成部分，磋商小组应当及时以书面形式同时通知所有参加磋商的供应商。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6"/>
        <w:keepNext w:val="0"/>
        <w:keepLines w:val="0"/>
        <w:numPr>
          <w:ilvl w:val="0"/>
          <w:numId w:val="39"/>
        </w:numPr>
        <w:tabs>
          <w:tab w:val="left" w:pos="426"/>
          <w:tab w:val="left" w:pos="567"/>
        </w:tabs>
        <w:ind w:firstLine="480"/>
        <w:rPr>
          <w:b w:val="0"/>
          <w:color w:val="auto"/>
          <w:szCs w:val="24"/>
          <w:highlight w:val="none"/>
        </w:rPr>
      </w:pPr>
      <w:bookmarkStart w:id="214" w:name="_Toc25838"/>
      <w:bookmarkStart w:id="215" w:name="_Toc18974"/>
      <w:bookmarkStart w:id="216" w:name="_Toc17566"/>
      <w:bookmarkStart w:id="217" w:name="_Toc7148"/>
      <w:bookmarkStart w:id="218" w:name="_Toc15620"/>
      <w:bookmarkStart w:id="219" w:name="_Toc20410"/>
      <w:bookmarkStart w:id="220" w:name="_Toc2784"/>
      <w:bookmarkStart w:id="221" w:name="_Toc29632"/>
      <w:bookmarkStart w:id="222" w:name="_Toc15795"/>
      <w:bookmarkStart w:id="223" w:name="_Toc5435"/>
      <w:bookmarkStart w:id="224" w:name="_Toc43566525"/>
      <w:bookmarkStart w:id="225" w:name="_Toc18549"/>
      <w:bookmarkStart w:id="226" w:name="_Toc26817"/>
      <w:bookmarkStart w:id="227" w:name="_Toc18506"/>
      <w:bookmarkStart w:id="228" w:name="_Toc7401"/>
      <w:bookmarkStart w:id="229" w:name="_Toc25226"/>
      <w:bookmarkStart w:id="230" w:name="_Toc7430"/>
      <w:bookmarkStart w:id="231" w:name="_Toc23403"/>
      <w:bookmarkStart w:id="232" w:name="_Toc13764"/>
      <w:bookmarkStart w:id="233" w:name="_Toc22606"/>
      <w:bookmarkStart w:id="234" w:name="_Toc16727"/>
      <w:bookmarkStart w:id="235" w:name="_Toc31776"/>
      <w:bookmarkStart w:id="236" w:name="_Toc19144"/>
      <w:bookmarkStart w:id="237" w:name="_Toc19631"/>
      <w:bookmarkStart w:id="238" w:name="_Toc29518"/>
      <w:bookmarkStart w:id="239" w:name="_Toc12219"/>
      <w:bookmarkStart w:id="240" w:name="_Toc11224"/>
      <w:bookmarkStart w:id="241" w:name="_Toc6250"/>
      <w:bookmarkStart w:id="242" w:name="_Toc31030"/>
      <w:bookmarkStart w:id="243" w:name="_Toc7936"/>
      <w:bookmarkStart w:id="244" w:name="_Toc22337"/>
      <w:r>
        <w:rPr>
          <w:rFonts w:hint="eastAsia"/>
          <w:b w:val="0"/>
          <w:color w:val="auto"/>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6"/>
        <w:keepNext w:val="0"/>
        <w:keepLines w:val="0"/>
        <w:numPr>
          <w:ilvl w:val="0"/>
          <w:numId w:val="39"/>
        </w:numPr>
        <w:tabs>
          <w:tab w:val="left" w:pos="426"/>
          <w:tab w:val="left" w:pos="567"/>
        </w:tabs>
        <w:ind w:firstLine="480"/>
        <w:rPr>
          <w:b w:val="0"/>
          <w:color w:val="auto"/>
          <w:szCs w:val="24"/>
          <w:highlight w:val="none"/>
        </w:rPr>
      </w:pPr>
      <w:bookmarkStart w:id="245" w:name="_Toc32216"/>
      <w:bookmarkStart w:id="246" w:name="_Toc13223"/>
      <w:bookmarkStart w:id="247" w:name="_Toc27402"/>
      <w:bookmarkStart w:id="248" w:name="_Toc12081"/>
      <w:bookmarkStart w:id="249" w:name="_Toc6692"/>
      <w:bookmarkStart w:id="250" w:name="_Toc4052"/>
      <w:bookmarkStart w:id="251" w:name="_Toc3023"/>
      <w:bookmarkStart w:id="252" w:name="_Toc11494"/>
      <w:bookmarkStart w:id="253" w:name="_Toc26127"/>
      <w:bookmarkStart w:id="254" w:name="_Toc30181"/>
      <w:bookmarkStart w:id="255" w:name="_Toc7797"/>
      <w:bookmarkStart w:id="256" w:name="_Toc7926"/>
      <w:bookmarkStart w:id="257" w:name="_Toc22757"/>
      <w:bookmarkStart w:id="258" w:name="_Toc4343"/>
      <w:bookmarkStart w:id="259" w:name="_Toc10100"/>
      <w:bookmarkStart w:id="260" w:name="_Toc4947"/>
      <w:bookmarkStart w:id="261" w:name="_Toc11758"/>
      <w:bookmarkStart w:id="262" w:name="_Toc18387"/>
      <w:bookmarkStart w:id="263" w:name="_Toc15180"/>
      <w:bookmarkStart w:id="264" w:name="_Toc14008"/>
      <w:bookmarkStart w:id="265" w:name="_Toc1180"/>
      <w:bookmarkStart w:id="266" w:name="_Toc961"/>
      <w:bookmarkStart w:id="267" w:name="_Toc685"/>
      <w:bookmarkStart w:id="268" w:name="_Toc6346"/>
      <w:bookmarkStart w:id="269" w:name="_Toc5575"/>
      <w:bookmarkStart w:id="270" w:name="_Toc4895"/>
      <w:bookmarkStart w:id="271" w:name="_Toc43566526"/>
      <w:bookmarkStart w:id="272" w:name="_Toc9008"/>
      <w:bookmarkStart w:id="273" w:name="_Toc14295"/>
      <w:bookmarkStart w:id="274" w:name="_Toc28606"/>
      <w:bookmarkStart w:id="275" w:name="_Toc25847"/>
      <w:r>
        <w:rPr>
          <w:rFonts w:hint="eastAsia"/>
          <w:b w:val="0"/>
          <w:color w:val="auto"/>
          <w:szCs w:val="24"/>
          <w:highlight w:val="none"/>
        </w:rPr>
        <w:t>磋商过程中，磋商的任何一方不得透露与磋商有关的其他供应商的技术资料、价格和其他信息。</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6"/>
        <w:keepNext w:val="0"/>
        <w:keepLines w:val="0"/>
        <w:numPr>
          <w:ilvl w:val="0"/>
          <w:numId w:val="39"/>
        </w:numPr>
        <w:tabs>
          <w:tab w:val="left" w:pos="426"/>
          <w:tab w:val="left" w:pos="567"/>
        </w:tabs>
        <w:ind w:firstLine="480"/>
        <w:rPr>
          <w:b w:val="0"/>
          <w:color w:val="auto"/>
          <w:szCs w:val="24"/>
          <w:highlight w:val="none"/>
        </w:rPr>
      </w:pPr>
      <w:bookmarkStart w:id="276" w:name="_Toc9431"/>
      <w:bookmarkStart w:id="277" w:name="_Toc8490"/>
      <w:bookmarkStart w:id="278" w:name="_Toc31442"/>
      <w:bookmarkStart w:id="279" w:name="_Toc7697"/>
      <w:bookmarkStart w:id="280" w:name="_Toc20292"/>
      <w:bookmarkStart w:id="281" w:name="_Toc30938"/>
      <w:bookmarkStart w:id="282" w:name="_Toc4159"/>
      <w:bookmarkStart w:id="283" w:name="_Toc4662"/>
      <w:bookmarkStart w:id="284" w:name="_Toc9766"/>
      <w:bookmarkStart w:id="285" w:name="_Toc15744"/>
      <w:bookmarkStart w:id="286" w:name="_Toc9842"/>
      <w:bookmarkStart w:id="287" w:name="_Toc4331"/>
      <w:bookmarkStart w:id="288" w:name="_Toc30367"/>
      <w:bookmarkStart w:id="289" w:name="_Toc10212"/>
      <w:bookmarkStart w:id="290" w:name="_Toc22105"/>
      <w:bookmarkStart w:id="291" w:name="_Toc23573"/>
      <w:bookmarkStart w:id="292" w:name="_Toc18334"/>
      <w:bookmarkStart w:id="293" w:name="_Toc6585"/>
      <w:bookmarkStart w:id="294" w:name="_Toc26261"/>
      <w:bookmarkStart w:id="295" w:name="_Toc31972"/>
      <w:bookmarkStart w:id="296" w:name="_Toc19525"/>
      <w:bookmarkStart w:id="297" w:name="_Toc30506"/>
      <w:bookmarkStart w:id="298" w:name="_Toc20680"/>
      <w:bookmarkStart w:id="299" w:name="_Toc30011"/>
      <w:bookmarkStart w:id="300" w:name="_Toc1340"/>
      <w:bookmarkStart w:id="301" w:name="_Toc5251"/>
      <w:bookmarkStart w:id="302" w:name="_Toc43566527"/>
      <w:bookmarkStart w:id="303" w:name="_Toc3164"/>
      <w:bookmarkStart w:id="304" w:name="_Toc3944"/>
      <w:bookmarkStart w:id="305" w:name="_Toc25172"/>
      <w:bookmarkStart w:id="306" w:name="_Toc16194"/>
      <w:r>
        <w:rPr>
          <w:rFonts w:hint="eastAsia"/>
          <w:b w:val="0"/>
          <w:color w:val="auto"/>
          <w:szCs w:val="24"/>
          <w:highlight w:val="none"/>
        </w:rPr>
        <w:t>磋商过程中，磋商小组发现或者知晓供应商存在违法、违纪行为的，磋商小组应当将该供应商响应文件作无效处理，不允许其提交最后报价。</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numPr>
          <w:ilvl w:val="0"/>
          <w:numId w:val="39"/>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6"/>
        <w:ind w:firstLine="482"/>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numPr>
          <w:ilvl w:val="0"/>
          <w:numId w:val="40"/>
        </w:numPr>
        <w:tabs>
          <w:tab w:val="left" w:pos="1134"/>
        </w:tabs>
        <w:spacing w:after="200" w:line="360" w:lineRule="auto"/>
        <w:ind w:left="0" w:firstLine="567"/>
        <w:rPr>
          <w:rFonts w:ascii="宋体" w:hAnsi="宋体"/>
          <w:color w:val="auto"/>
          <w:highlight w:val="none"/>
        </w:rPr>
      </w:pPr>
      <w:r>
        <w:rPr>
          <w:rFonts w:hint="eastAsia" w:ascii="宋体" w:hAnsi="宋体"/>
          <w:color w:val="auto"/>
          <w:highlight w:val="none"/>
        </w:rPr>
        <w:t>评审过程中，磋商小组认为磋商文件有关事项表述不明确或需要说明的，可以提请采购代理机构书面解释。采购代理机构的解释不得改变磋商文件的原义或者影响公平、公正，解释事项如果涉及供应商权益的以有利于供应商的原则进行解释。</w:t>
      </w:r>
    </w:p>
    <w:p>
      <w:pPr>
        <w:numPr>
          <w:ilvl w:val="0"/>
          <w:numId w:val="40"/>
        </w:numPr>
        <w:tabs>
          <w:tab w:val="left" w:pos="1134"/>
        </w:tabs>
        <w:spacing w:after="200" w:line="360" w:lineRule="auto"/>
        <w:ind w:left="0" w:firstLine="567"/>
        <w:rPr>
          <w:rFonts w:ascii="宋体" w:hAnsi="宋体"/>
          <w:color w:val="auto"/>
          <w:highlight w:val="none"/>
        </w:rPr>
      </w:pPr>
      <w:r>
        <w:rPr>
          <w:rFonts w:hint="eastAsia" w:ascii="宋体" w:hAnsi="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2" w:firstLineChars="200"/>
        <w:rPr>
          <w:rFonts w:ascii="宋体" w:hAnsi="宋体"/>
          <w:b/>
          <w:color w:val="auto"/>
          <w:highlight w:val="none"/>
        </w:rPr>
      </w:pPr>
      <w:r>
        <w:rPr>
          <w:rFonts w:hint="eastAsia" w:ascii="宋体" w:hAnsi="宋体"/>
          <w:b/>
          <w:color w:val="auto"/>
          <w:highlight w:val="none"/>
        </w:rPr>
        <w:t>三、评审结束之前，供应商应随时关注系统提示，及时通过“政府采购云平台”在线响应磋商小组发出的澄清、说明或补正要求，签章并确认提交成功。逾时回复将不能提交，视为供应商自行放弃澄清、说明或补正，其损失由供应商承担。磋商小组应当积极履行澄清、说明或者更正的职责，不得滥用权力。</w:t>
      </w:r>
    </w:p>
    <w:p>
      <w:pPr>
        <w:pStyle w:val="6"/>
        <w:ind w:firstLine="482"/>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磋商过程中，各包如有下列情形之一的，该包件磋商失败：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w:t>
      </w:r>
      <w:r>
        <w:rPr>
          <w:rFonts w:hint="eastAsia"/>
          <w:color w:val="auto"/>
          <w:highlight w:val="none"/>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w:t>
      </w:r>
      <w:r>
        <w:rPr>
          <w:rFonts w:hint="eastAsia"/>
          <w:color w:val="auto"/>
          <w:highlight w:val="none"/>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w:t>
      </w:r>
      <w:r>
        <w:rPr>
          <w:rFonts w:hint="eastAsia"/>
          <w:color w:val="auto"/>
          <w:highlight w:val="none"/>
        </w:rPr>
        <w:t>〔2015〕</w:t>
      </w:r>
      <w:r>
        <w:rPr>
          <w:rFonts w:hint="eastAsia" w:ascii="宋体" w:hAnsi="宋体" w:cs="宋体"/>
          <w:color w:val="auto"/>
          <w:highlight w:val="none"/>
        </w:rPr>
        <w:t>124号文要求的除外)。</w:t>
      </w:r>
    </w:p>
    <w:p>
      <w:pPr>
        <w:pStyle w:val="6"/>
        <w:ind w:firstLine="482"/>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3"/>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3"/>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41"/>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各包评分标准</w:t>
      </w:r>
    </w:p>
    <w:tbl>
      <w:tblPr>
        <w:tblStyle w:val="44"/>
        <w:tblW w:w="0" w:type="auto"/>
        <w:jc w:val="center"/>
        <w:tblLayout w:type="fixed"/>
        <w:tblCellMar>
          <w:top w:w="0" w:type="dxa"/>
          <w:left w:w="108" w:type="dxa"/>
          <w:bottom w:w="0" w:type="dxa"/>
          <w:right w:w="108" w:type="dxa"/>
        </w:tblCellMar>
      </w:tblPr>
      <w:tblGrid>
        <w:gridCol w:w="787"/>
        <w:gridCol w:w="1174"/>
        <w:gridCol w:w="742"/>
        <w:gridCol w:w="5428"/>
        <w:gridCol w:w="882"/>
      </w:tblGrid>
      <w:tr>
        <w:tblPrEx>
          <w:tblCellMar>
            <w:top w:w="0" w:type="dxa"/>
            <w:left w:w="108" w:type="dxa"/>
            <w:bottom w:w="0" w:type="dxa"/>
            <w:right w:w="108" w:type="dxa"/>
          </w:tblCellMar>
        </w:tblPrEx>
        <w:trPr>
          <w:trHeight w:val="684"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ind w:firstLine="28"/>
              <w:jc w:val="center"/>
              <w:rPr>
                <w:rFonts w:ascii="宋体" w:hAnsi="宋体" w:cs="宋体"/>
                <w:b/>
                <w:color w:val="auto"/>
                <w:highlight w:val="none"/>
              </w:rPr>
            </w:pPr>
            <w:r>
              <w:rPr>
                <w:rFonts w:hint="eastAsia" w:ascii="宋体" w:hAnsi="宋体" w:cs="宋体"/>
                <w:b/>
                <w:color w:val="auto"/>
                <w:highlight w:val="none"/>
              </w:rPr>
              <w:t>序号</w:t>
            </w:r>
          </w:p>
        </w:tc>
        <w:tc>
          <w:tcPr>
            <w:tcW w:w="11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ind w:firstLine="28"/>
              <w:jc w:val="center"/>
              <w:rPr>
                <w:rFonts w:ascii="宋体" w:hAnsi="宋体" w:cs="宋体"/>
                <w:b/>
                <w:color w:val="auto"/>
                <w:highlight w:val="none"/>
              </w:rPr>
            </w:pPr>
            <w:r>
              <w:rPr>
                <w:rFonts w:hint="eastAsia" w:ascii="宋体" w:hAnsi="宋体" w:cs="宋体"/>
                <w:b/>
                <w:color w:val="auto"/>
                <w:highlight w:val="none"/>
              </w:rPr>
              <w:t>评分</w:t>
            </w:r>
          </w:p>
          <w:p>
            <w:pPr>
              <w:autoSpaceDN w:val="0"/>
              <w:spacing w:line="400" w:lineRule="exact"/>
              <w:ind w:firstLine="28"/>
              <w:jc w:val="center"/>
              <w:rPr>
                <w:rFonts w:ascii="宋体" w:hAnsi="宋体" w:cs="宋体"/>
                <w:b/>
                <w:color w:val="auto"/>
                <w:highlight w:val="none"/>
              </w:rPr>
            </w:pPr>
            <w:r>
              <w:rPr>
                <w:rFonts w:hint="eastAsia" w:ascii="宋体" w:hAnsi="宋体" w:cs="宋体"/>
                <w:b/>
                <w:color w:val="auto"/>
                <w:highlight w:val="none"/>
              </w:rPr>
              <w:t>因素及权值</w:t>
            </w:r>
          </w:p>
        </w:tc>
        <w:tc>
          <w:tcPr>
            <w:tcW w:w="74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ind w:firstLine="28"/>
              <w:jc w:val="center"/>
              <w:rPr>
                <w:rFonts w:ascii="宋体" w:hAnsi="宋体" w:cs="宋体"/>
                <w:b/>
                <w:color w:val="auto"/>
                <w:highlight w:val="none"/>
              </w:rPr>
            </w:pPr>
            <w:r>
              <w:rPr>
                <w:rFonts w:hint="eastAsia" w:ascii="宋体" w:hAnsi="宋体" w:cs="宋体"/>
                <w:b/>
                <w:color w:val="auto"/>
                <w:highlight w:val="none"/>
              </w:rPr>
              <w:t>分值</w:t>
            </w:r>
          </w:p>
        </w:tc>
        <w:tc>
          <w:tcPr>
            <w:tcW w:w="54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ind w:firstLine="28"/>
              <w:jc w:val="center"/>
              <w:rPr>
                <w:rFonts w:ascii="宋体" w:hAnsi="宋体" w:cs="宋体"/>
                <w:b/>
                <w:color w:val="auto"/>
                <w:highlight w:val="none"/>
              </w:rPr>
            </w:pPr>
            <w:r>
              <w:rPr>
                <w:rFonts w:hint="eastAsia" w:ascii="宋体" w:hAnsi="宋体" w:cs="宋体"/>
                <w:b/>
                <w:color w:val="auto"/>
                <w:highlight w:val="none"/>
              </w:rPr>
              <w:t>评分标准</w:t>
            </w:r>
          </w:p>
        </w:tc>
        <w:tc>
          <w:tcPr>
            <w:tcW w:w="882" w:type="dxa"/>
            <w:tcBorders>
              <w:top w:val="single" w:color="000000" w:sz="4" w:space="0"/>
              <w:bottom w:val="single" w:color="000000" w:sz="4" w:space="0"/>
              <w:right w:val="single" w:color="000000" w:sz="4" w:space="0"/>
            </w:tcBorders>
            <w:vAlign w:val="center"/>
          </w:tcPr>
          <w:p>
            <w:pPr>
              <w:autoSpaceDN w:val="0"/>
              <w:spacing w:line="400" w:lineRule="exact"/>
              <w:ind w:firstLine="28"/>
              <w:jc w:val="center"/>
              <w:rPr>
                <w:rFonts w:ascii="宋体" w:hAnsi="宋体" w:cs="宋体"/>
                <w:b/>
                <w:color w:val="auto"/>
                <w:highlight w:val="none"/>
              </w:rPr>
            </w:pPr>
            <w:r>
              <w:rPr>
                <w:rFonts w:hint="eastAsia" w:ascii="宋体" w:hAnsi="宋体" w:cs="宋体"/>
                <w:b/>
                <w:color w:val="auto"/>
                <w:highlight w:val="none"/>
              </w:rPr>
              <w:t>评审类型</w:t>
            </w:r>
          </w:p>
        </w:tc>
      </w:tr>
      <w:tr>
        <w:tblPrEx>
          <w:tblCellMar>
            <w:top w:w="0" w:type="dxa"/>
            <w:left w:w="108" w:type="dxa"/>
            <w:bottom w:w="0" w:type="dxa"/>
            <w:right w:w="108" w:type="dxa"/>
          </w:tblCellMar>
        </w:tblPrEx>
        <w:trPr>
          <w:trHeight w:val="2449"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1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hint="eastAsia" w:ascii="宋体" w:hAnsi="宋体" w:eastAsia="宋体" w:cs="宋体"/>
                <w:color w:val="auto"/>
                <w:highlight w:val="none"/>
                <w:lang w:eastAsia="zh-CN"/>
              </w:rPr>
            </w:pPr>
            <w:r>
              <w:rPr>
                <w:rFonts w:hint="eastAsia" w:ascii="宋体" w:hAnsi="宋体" w:cs="宋体"/>
                <w:color w:val="auto"/>
                <w:highlight w:val="none"/>
              </w:rPr>
              <w:t>价格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p>
        </w:tc>
        <w:tc>
          <w:tcPr>
            <w:tcW w:w="74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ascii="宋体" w:hAnsi="宋体" w:cs="宋体"/>
                <w:color w:val="auto"/>
                <w:highlight w:val="none"/>
              </w:rPr>
              <w:t>10</w:t>
            </w:r>
            <w:r>
              <w:rPr>
                <w:rFonts w:hint="eastAsia" w:ascii="宋体" w:hAnsi="宋体" w:cs="宋体"/>
                <w:color w:val="auto"/>
                <w:highlight w:val="none"/>
              </w:rPr>
              <w:t>分</w:t>
            </w:r>
          </w:p>
        </w:tc>
        <w:tc>
          <w:tcPr>
            <w:tcW w:w="5428"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color w:val="auto"/>
                <w:highlight w:val="none"/>
              </w:rPr>
            </w:pPr>
            <w:r>
              <w:rPr>
                <w:rFonts w:hint="eastAsia" w:ascii="宋体" w:hAnsi="宋体" w:cs="宋体"/>
                <w:color w:val="auto"/>
                <w:highlight w:val="none"/>
              </w:rPr>
              <w:t>1、供应商如为监狱企业或小型或微型企业或残疾人福利性单位的，则给予其最后报价10%的价格扣除，用扣除后的价格参与评审；</w:t>
            </w:r>
          </w:p>
          <w:p>
            <w:pPr>
              <w:spacing w:line="360" w:lineRule="auto"/>
              <w:rPr>
                <w:rFonts w:ascii="宋体" w:hAnsi="宋体" w:cs="宋体"/>
                <w:color w:val="auto"/>
                <w:highlight w:val="none"/>
              </w:rPr>
            </w:pPr>
            <w:r>
              <w:rPr>
                <w:rFonts w:hint="eastAsia" w:ascii="宋体" w:hAnsi="宋体" w:cs="宋体"/>
                <w:color w:val="auto"/>
                <w:highlight w:val="none"/>
              </w:rPr>
              <w:t>2、经评审的最低有效最后报价作为评审基准价；</w:t>
            </w:r>
          </w:p>
          <w:p>
            <w:pPr>
              <w:autoSpaceDN w:val="0"/>
              <w:spacing w:line="360" w:lineRule="auto"/>
              <w:rPr>
                <w:rFonts w:ascii="宋体" w:hAnsi="宋体" w:cs="宋体"/>
                <w:color w:val="auto"/>
                <w:highlight w:val="none"/>
              </w:rPr>
            </w:pPr>
            <w:r>
              <w:rPr>
                <w:rFonts w:hint="eastAsia" w:ascii="宋体" w:hAnsi="宋体" w:cs="宋体"/>
                <w:color w:val="auto"/>
                <w:highlight w:val="none"/>
              </w:rPr>
              <w:t>3、报价得分=(评审基准价/最后报价)×10。</w:t>
            </w:r>
          </w:p>
        </w:tc>
        <w:tc>
          <w:tcPr>
            <w:tcW w:w="882"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共同评审</w:t>
            </w:r>
          </w:p>
        </w:tc>
      </w:tr>
      <w:tr>
        <w:tblPrEx>
          <w:tblCellMar>
            <w:top w:w="0" w:type="dxa"/>
            <w:left w:w="108" w:type="dxa"/>
            <w:bottom w:w="0" w:type="dxa"/>
            <w:right w:w="108" w:type="dxa"/>
          </w:tblCellMar>
        </w:tblPrEx>
        <w:trPr>
          <w:trHeight w:val="3392"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color w:val="auto"/>
                <w:highlight w:val="none"/>
              </w:rPr>
            </w:pPr>
            <w:r>
              <w:rPr>
                <w:rFonts w:hint="eastAsia" w:ascii="宋体" w:hAnsi="宋体" w:cs="宋体"/>
                <w:color w:val="auto"/>
                <w:highlight w:val="none"/>
              </w:rPr>
              <w:t>服务方案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63%</w:t>
            </w:r>
            <w:r>
              <w:rPr>
                <w:rFonts w:hint="eastAsia" w:ascii="宋体" w:hAnsi="宋体" w:cs="宋体"/>
                <w:color w:val="auto"/>
                <w:highlight w:val="none"/>
                <w:lang w:eastAsia="zh-CN"/>
              </w:rPr>
              <w:t>）</w:t>
            </w:r>
          </w:p>
        </w:tc>
        <w:tc>
          <w:tcPr>
            <w:tcW w:w="74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ascii="宋体" w:hAnsi="宋体" w:cs="宋体"/>
                <w:color w:val="auto"/>
                <w:highlight w:val="none"/>
              </w:rPr>
              <w:t>63</w:t>
            </w:r>
            <w:r>
              <w:rPr>
                <w:rFonts w:hint="eastAsia" w:ascii="宋体" w:hAnsi="宋体" w:cs="宋体"/>
                <w:color w:val="auto"/>
                <w:highlight w:val="none"/>
              </w:rPr>
              <w:t>分</w:t>
            </w:r>
          </w:p>
        </w:tc>
        <w:tc>
          <w:tcPr>
            <w:tcW w:w="5428"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宋体"/>
                <w:color w:val="auto"/>
                <w:highlight w:val="none"/>
              </w:rPr>
            </w:pPr>
            <w:r>
              <w:rPr>
                <w:rFonts w:hint="eastAsia" w:ascii="宋体" w:hAnsi="宋体" w:cs="宋体"/>
                <w:color w:val="auto"/>
                <w:highlight w:val="none"/>
              </w:rPr>
              <w:t>根据供应商提供的项目实施方案（包括：①对项目及背景的</w:t>
            </w:r>
            <w:r>
              <w:rPr>
                <w:rFonts w:ascii="宋体" w:hAnsi="宋体" w:cs="宋体"/>
                <w:color w:val="auto"/>
                <w:highlight w:val="none"/>
              </w:rPr>
              <w:t>理解和</w:t>
            </w:r>
            <w:r>
              <w:rPr>
                <w:rFonts w:hint="eastAsia" w:ascii="宋体" w:hAnsi="宋体" w:cs="宋体"/>
                <w:color w:val="auto"/>
                <w:highlight w:val="none"/>
              </w:rPr>
              <w:t>认识，②项目区域概况分析，③规划</w:t>
            </w:r>
            <w:r>
              <w:rPr>
                <w:rFonts w:ascii="宋体" w:hAnsi="宋体" w:cs="宋体"/>
                <w:color w:val="auto"/>
                <w:highlight w:val="none"/>
              </w:rPr>
              <w:t>目标</w:t>
            </w:r>
            <w:r>
              <w:rPr>
                <w:rFonts w:hint="eastAsia" w:ascii="宋体" w:hAnsi="宋体" w:cs="宋体"/>
                <w:color w:val="auto"/>
                <w:highlight w:val="none"/>
              </w:rPr>
              <w:t>，④</w:t>
            </w:r>
            <w:r>
              <w:rPr>
                <w:rFonts w:ascii="宋体" w:hAnsi="宋体" w:cs="宋体"/>
                <w:color w:val="auto"/>
                <w:highlight w:val="none"/>
              </w:rPr>
              <w:t>主要任务</w:t>
            </w:r>
            <w:r>
              <w:rPr>
                <w:rFonts w:hint="eastAsia" w:ascii="宋体" w:hAnsi="宋体" w:cs="宋体"/>
                <w:color w:val="auto"/>
                <w:highlight w:val="none"/>
              </w:rPr>
              <w:t>，⑤项目实施方案，⑥人员</w:t>
            </w:r>
            <w:r>
              <w:rPr>
                <w:rFonts w:ascii="宋体" w:hAnsi="宋体" w:cs="宋体"/>
                <w:color w:val="auto"/>
                <w:highlight w:val="none"/>
              </w:rPr>
              <w:t>安排，</w:t>
            </w:r>
            <w:r>
              <w:rPr>
                <w:rFonts w:hint="eastAsia" w:ascii="宋体" w:hAnsi="宋体" w:cs="宋体"/>
                <w:color w:val="auto"/>
                <w:highlight w:val="none"/>
              </w:rPr>
              <w:t>⑦进度安排及保障措施，</w:t>
            </w:r>
            <w:r>
              <w:rPr>
                <w:rFonts w:ascii="宋体" w:hAnsi="宋体" w:cs="宋体"/>
                <w:color w:val="auto"/>
                <w:highlight w:val="none"/>
              </w:rPr>
              <w:fldChar w:fldCharType="begin"/>
            </w:r>
            <w:r>
              <w:rPr>
                <w:rFonts w:ascii="宋体" w:hAnsi="宋体" w:cs="宋体"/>
                <w:color w:val="auto"/>
                <w:highlight w:val="none"/>
              </w:rPr>
              <w:instrText xml:space="preserve"> </w:instrText>
            </w:r>
            <w:r>
              <w:rPr>
                <w:rFonts w:hint="eastAsia" w:ascii="宋体" w:hAnsi="宋体" w:cs="宋体"/>
                <w:color w:val="auto"/>
                <w:highlight w:val="none"/>
              </w:rPr>
              <w:instrText xml:space="preserve">= 8 \* GB3</w:instrText>
            </w:r>
            <w:r>
              <w:rPr>
                <w:rFonts w:ascii="宋体" w:hAnsi="宋体" w:cs="宋体"/>
                <w:color w:val="auto"/>
                <w:highlight w:val="none"/>
              </w:rPr>
              <w:instrText xml:space="preserve"> </w:instrText>
            </w:r>
            <w:r>
              <w:rPr>
                <w:rFonts w:ascii="宋体" w:hAnsi="宋体" w:cs="宋体"/>
                <w:color w:val="auto"/>
                <w:highlight w:val="none"/>
              </w:rPr>
              <w:fldChar w:fldCharType="separate"/>
            </w:r>
            <w:r>
              <w:rPr>
                <w:rFonts w:hint="eastAsia" w:ascii="宋体" w:hAnsi="宋体" w:cs="宋体"/>
                <w:color w:val="auto"/>
                <w:highlight w:val="none"/>
              </w:rPr>
              <w:t>⑧</w:t>
            </w:r>
            <w:r>
              <w:rPr>
                <w:rFonts w:ascii="宋体" w:hAnsi="宋体" w:cs="宋体"/>
                <w:color w:val="auto"/>
                <w:highlight w:val="none"/>
              </w:rPr>
              <w:fldChar w:fldCharType="end"/>
            </w:r>
            <w:r>
              <w:rPr>
                <w:rFonts w:hint="eastAsia" w:ascii="宋体" w:hAnsi="宋体" w:cs="宋体"/>
                <w:color w:val="auto"/>
                <w:highlight w:val="none"/>
              </w:rPr>
              <w:t>质量保障措施，</w:t>
            </w:r>
            <w:r>
              <w:rPr>
                <w:rFonts w:ascii="宋体" w:hAnsi="宋体" w:cs="宋体"/>
                <w:color w:val="auto"/>
                <w:highlight w:val="none"/>
              </w:rPr>
              <w:fldChar w:fldCharType="begin"/>
            </w:r>
            <w:r>
              <w:rPr>
                <w:rFonts w:ascii="宋体" w:hAnsi="宋体" w:cs="宋体"/>
                <w:color w:val="auto"/>
                <w:highlight w:val="none"/>
              </w:rPr>
              <w:instrText xml:space="preserve"> </w:instrText>
            </w:r>
            <w:r>
              <w:rPr>
                <w:rFonts w:hint="eastAsia" w:ascii="宋体" w:hAnsi="宋体" w:cs="宋体"/>
                <w:color w:val="auto"/>
                <w:highlight w:val="none"/>
              </w:rPr>
              <w:instrText xml:space="preserve">= 9 \* GB3</w:instrText>
            </w:r>
            <w:r>
              <w:rPr>
                <w:rFonts w:ascii="宋体" w:hAnsi="宋体" w:cs="宋体"/>
                <w:color w:val="auto"/>
                <w:highlight w:val="none"/>
              </w:rPr>
              <w:instrText xml:space="preserve"> </w:instrText>
            </w:r>
            <w:r>
              <w:rPr>
                <w:rFonts w:ascii="宋体" w:hAnsi="宋体" w:cs="宋体"/>
                <w:color w:val="auto"/>
                <w:highlight w:val="none"/>
              </w:rPr>
              <w:fldChar w:fldCharType="separate"/>
            </w:r>
            <w:r>
              <w:rPr>
                <w:rFonts w:hint="eastAsia" w:ascii="宋体" w:hAnsi="宋体" w:cs="宋体"/>
                <w:color w:val="auto"/>
                <w:highlight w:val="none"/>
              </w:rPr>
              <w:t>⑨</w:t>
            </w:r>
            <w:r>
              <w:rPr>
                <w:rFonts w:ascii="宋体" w:hAnsi="宋体" w:cs="宋体"/>
                <w:color w:val="auto"/>
                <w:highlight w:val="none"/>
              </w:rPr>
              <w:fldChar w:fldCharType="end"/>
            </w:r>
            <w:r>
              <w:rPr>
                <w:rFonts w:hint="eastAsia" w:ascii="宋体" w:hAnsi="宋体" w:cs="宋体"/>
                <w:color w:val="auto"/>
                <w:highlight w:val="none"/>
              </w:rPr>
              <w:t>成果交付）进行综合评审，方案完整、无缺失项、完全符合采购需求得</w:t>
            </w:r>
            <w:r>
              <w:rPr>
                <w:rFonts w:ascii="宋体" w:hAnsi="宋体" w:cs="宋体"/>
                <w:color w:val="auto"/>
                <w:highlight w:val="none"/>
              </w:rPr>
              <w:t>63</w:t>
            </w:r>
            <w:r>
              <w:rPr>
                <w:rFonts w:hint="eastAsia" w:ascii="宋体" w:hAnsi="宋体" w:cs="宋体"/>
                <w:color w:val="auto"/>
                <w:highlight w:val="none"/>
              </w:rPr>
              <w:t>分，每有1项缺项扣</w:t>
            </w:r>
            <w:r>
              <w:rPr>
                <w:rFonts w:ascii="宋体" w:hAnsi="宋体" w:cs="宋体"/>
                <w:color w:val="auto"/>
                <w:highlight w:val="none"/>
              </w:rPr>
              <w:t>7</w:t>
            </w:r>
            <w:r>
              <w:rPr>
                <w:rFonts w:hint="eastAsia" w:ascii="宋体" w:hAnsi="宋体" w:cs="宋体"/>
                <w:color w:val="auto"/>
                <w:highlight w:val="none"/>
              </w:rPr>
              <w:t>分，每有1处不符合要求或不</w:t>
            </w:r>
            <w:r>
              <w:rPr>
                <w:rFonts w:ascii="宋体" w:hAnsi="宋体" w:cs="宋体"/>
                <w:color w:val="auto"/>
                <w:highlight w:val="none"/>
              </w:rPr>
              <w:t>完善或</w:t>
            </w:r>
            <w:r>
              <w:rPr>
                <w:rFonts w:hint="eastAsia" w:ascii="宋体" w:hAnsi="宋体" w:cs="宋体"/>
                <w:color w:val="auto"/>
                <w:highlight w:val="none"/>
              </w:rPr>
              <w:t>有缺陷扣</w:t>
            </w:r>
            <w:r>
              <w:rPr>
                <w:rFonts w:ascii="宋体" w:hAnsi="宋体" w:cs="宋体"/>
                <w:color w:val="auto"/>
                <w:highlight w:val="none"/>
              </w:rPr>
              <w:t>4</w:t>
            </w:r>
            <w:r>
              <w:rPr>
                <w:rFonts w:hint="eastAsia" w:ascii="宋体" w:hAnsi="宋体" w:cs="宋体"/>
                <w:color w:val="auto"/>
                <w:highlight w:val="none"/>
              </w:rPr>
              <w:t>分，扣完为止。</w:t>
            </w:r>
          </w:p>
        </w:tc>
        <w:tc>
          <w:tcPr>
            <w:tcW w:w="882"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技术类评委</w:t>
            </w:r>
          </w:p>
        </w:tc>
      </w:tr>
      <w:tr>
        <w:tblPrEx>
          <w:tblCellMar>
            <w:top w:w="0" w:type="dxa"/>
            <w:left w:w="108" w:type="dxa"/>
            <w:bottom w:w="0" w:type="dxa"/>
            <w:right w:w="108" w:type="dxa"/>
          </w:tblCellMar>
        </w:tblPrEx>
        <w:trPr>
          <w:trHeight w:val="794"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ascii="宋体" w:hAnsi="宋体" w:cs="宋体"/>
                <w:color w:val="auto"/>
                <w:highlight w:val="none"/>
              </w:rPr>
              <w:t>3</w:t>
            </w:r>
          </w:p>
        </w:tc>
        <w:tc>
          <w:tcPr>
            <w:tcW w:w="11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color w:val="auto"/>
                <w:highlight w:val="none"/>
              </w:rPr>
            </w:pPr>
            <w:r>
              <w:rPr>
                <w:rFonts w:hint="eastAsia" w:ascii="宋体" w:hAnsi="宋体" w:cs="宋体"/>
                <w:color w:val="auto"/>
                <w:highlight w:val="none"/>
              </w:rPr>
              <w:t>人员配置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15%</w:t>
            </w:r>
            <w:r>
              <w:rPr>
                <w:rFonts w:hint="eastAsia" w:ascii="宋体" w:hAnsi="宋体" w:cs="宋体"/>
                <w:color w:val="auto"/>
                <w:highlight w:val="none"/>
                <w:lang w:eastAsia="zh-CN"/>
              </w:rPr>
              <w:t>）</w:t>
            </w:r>
          </w:p>
        </w:tc>
        <w:tc>
          <w:tcPr>
            <w:tcW w:w="74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ascii="宋体" w:hAnsi="宋体" w:cs="宋体"/>
                <w:color w:val="auto"/>
                <w:highlight w:val="none"/>
              </w:rPr>
              <w:t>15</w:t>
            </w:r>
            <w:r>
              <w:rPr>
                <w:rFonts w:hint="eastAsia" w:ascii="宋体" w:hAnsi="宋体" w:cs="宋体"/>
                <w:color w:val="auto"/>
                <w:highlight w:val="none"/>
              </w:rPr>
              <w:t>分</w:t>
            </w:r>
          </w:p>
        </w:tc>
        <w:tc>
          <w:tcPr>
            <w:tcW w:w="5428" w:type="dxa"/>
            <w:tcBorders>
              <w:top w:val="single" w:color="000000" w:sz="4" w:space="0"/>
              <w:bottom w:val="single" w:color="000000" w:sz="4" w:space="0"/>
              <w:right w:val="single" w:color="000000" w:sz="4" w:space="0"/>
            </w:tcBorders>
            <w:tcMar>
              <w:top w:w="0" w:type="dxa"/>
              <w:left w:w="108" w:type="dxa"/>
              <w:bottom w:w="0" w:type="dxa"/>
              <w:right w:w="108" w:type="dxa"/>
            </w:tcMar>
          </w:tcPr>
          <w:p>
            <w:pPr>
              <w:numPr>
                <w:ilvl w:val="0"/>
                <w:numId w:val="42"/>
              </w:numPr>
              <w:autoSpaceDN w:val="0"/>
              <w:spacing w:line="360" w:lineRule="auto"/>
              <w:rPr>
                <w:rFonts w:ascii="宋体" w:hAnsi="宋体" w:cs="宋体"/>
                <w:color w:val="auto"/>
                <w:highlight w:val="none"/>
              </w:rPr>
            </w:pPr>
            <w:r>
              <w:rPr>
                <w:rFonts w:hint="eastAsia" w:ascii="宋体" w:hAnsi="宋体" w:cs="宋体"/>
                <w:color w:val="auto"/>
                <w:highlight w:val="none"/>
              </w:rPr>
              <w:t>项目负责人：具有高级及</w:t>
            </w:r>
            <w:r>
              <w:rPr>
                <w:rFonts w:ascii="宋体" w:hAnsi="宋体" w:cs="宋体"/>
                <w:color w:val="auto"/>
                <w:highlight w:val="none"/>
              </w:rPr>
              <w:t>以上</w:t>
            </w:r>
            <w:r>
              <w:rPr>
                <w:rFonts w:hint="eastAsia" w:ascii="宋体" w:hAnsi="宋体" w:cs="宋体"/>
                <w:color w:val="auto"/>
                <w:highlight w:val="none"/>
              </w:rPr>
              <w:t>职称得</w:t>
            </w:r>
            <w:r>
              <w:rPr>
                <w:rFonts w:ascii="宋体" w:hAnsi="宋体" w:cs="宋体"/>
                <w:color w:val="auto"/>
                <w:highlight w:val="none"/>
              </w:rPr>
              <w:t>5</w:t>
            </w:r>
            <w:r>
              <w:rPr>
                <w:rFonts w:hint="eastAsia" w:ascii="宋体" w:hAnsi="宋体" w:cs="宋体"/>
                <w:color w:val="auto"/>
                <w:highlight w:val="none"/>
              </w:rPr>
              <w:t xml:space="preserve">分。 </w:t>
            </w:r>
          </w:p>
          <w:p>
            <w:pPr>
              <w:numPr>
                <w:ilvl w:val="0"/>
                <w:numId w:val="42"/>
              </w:numPr>
              <w:autoSpaceDN w:val="0"/>
              <w:spacing w:line="360" w:lineRule="auto"/>
              <w:rPr>
                <w:rFonts w:ascii="宋体" w:hAnsi="宋体" w:cs="宋体"/>
                <w:color w:val="auto"/>
                <w:highlight w:val="none"/>
              </w:rPr>
            </w:pPr>
            <w:r>
              <w:rPr>
                <w:rFonts w:hint="eastAsia" w:ascii="宋体" w:hAnsi="宋体" w:cs="宋体"/>
                <w:color w:val="auto"/>
                <w:highlight w:val="none"/>
              </w:rPr>
              <w:t>技术负责人：具有高级及</w:t>
            </w:r>
            <w:r>
              <w:rPr>
                <w:rFonts w:ascii="宋体" w:hAnsi="宋体" w:cs="宋体"/>
                <w:color w:val="auto"/>
                <w:highlight w:val="none"/>
              </w:rPr>
              <w:t>以上</w:t>
            </w:r>
            <w:r>
              <w:rPr>
                <w:rFonts w:hint="eastAsia" w:ascii="宋体" w:hAnsi="宋体" w:cs="宋体"/>
                <w:color w:val="auto"/>
                <w:highlight w:val="none"/>
              </w:rPr>
              <w:t>职称得</w:t>
            </w:r>
            <w:r>
              <w:rPr>
                <w:rFonts w:ascii="宋体" w:hAnsi="宋体" w:cs="宋体"/>
                <w:color w:val="auto"/>
                <w:highlight w:val="none"/>
              </w:rPr>
              <w:t>4</w:t>
            </w:r>
            <w:r>
              <w:rPr>
                <w:rFonts w:hint="eastAsia" w:ascii="宋体" w:hAnsi="宋体" w:cs="宋体"/>
                <w:color w:val="auto"/>
                <w:highlight w:val="none"/>
              </w:rPr>
              <w:t>分。</w:t>
            </w:r>
          </w:p>
          <w:p>
            <w:pPr>
              <w:numPr>
                <w:ilvl w:val="0"/>
                <w:numId w:val="42"/>
              </w:numPr>
              <w:autoSpaceDN w:val="0"/>
              <w:spacing w:line="360" w:lineRule="auto"/>
              <w:rPr>
                <w:rFonts w:ascii="宋体" w:hAnsi="宋体" w:cs="宋体"/>
                <w:color w:val="auto"/>
                <w:highlight w:val="none"/>
              </w:rPr>
            </w:pPr>
            <w:r>
              <w:rPr>
                <w:rFonts w:hint="eastAsia" w:ascii="宋体" w:hAnsi="宋体" w:cs="宋体"/>
                <w:color w:val="auto"/>
                <w:highlight w:val="none"/>
              </w:rPr>
              <w:t>项目团队成员：除项目负责人、技术负责人外，项目团队成员具有中级及</w:t>
            </w:r>
            <w:r>
              <w:rPr>
                <w:rFonts w:ascii="宋体" w:hAnsi="宋体" w:cs="宋体"/>
                <w:color w:val="auto"/>
                <w:highlight w:val="none"/>
              </w:rPr>
              <w:t>以上</w:t>
            </w:r>
            <w:r>
              <w:rPr>
                <w:rFonts w:hint="eastAsia" w:ascii="宋体" w:hAnsi="宋体" w:cs="宋体"/>
                <w:color w:val="auto"/>
                <w:highlight w:val="none"/>
              </w:rPr>
              <w:t>职称的每人得</w:t>
            </w:r>
            <w:r>
              <w:rPr>
                <w:rFonts w:ascii="宋体" w:hAnsi="宋体" w:cs="宋体"/>
                <w:color w:val="auto"/>
                <w:highlight w:val="none"/>
              </w:rPr>
              <w:t>2</w:t>
            </w:r>
            <w:r>
              <w:rPr>
                <w:rFonts w:hint="eastAsia" w:ascii="宋体" w:hAnsi="宋体" w:cs="宋体"/>
                <w:color w:val="auto"/>
                <w:highlight w:val="none"/>
              </w:rPr>
              <w:t>分，最多得6分。</w:t>
            </w:r>
          </w:p>
          <w:p>
            <w:pPr>
              <w:autoSpaceDN w:val="0"/>
              <w:spacing w:line="360" w:lineRule="auto"/>
              <w:rPr>
                <w:rFonts w:ascii="宋体" w:hAnsi="宋体" w:cs="宋体"/>
                <w:color w:val="auto"/>
                <w:highlight w:val="none"/>
              </w:rPr>
            </w:pPr>
            <w:r>
              <w:rPr>
                <w:rFonts w:hint="eastAsia" w:ascii="宋体" w:hAnsi="宋体" w:cs="宋体"/>
                <w:color w:val="auto"/>
                <w:highlight w:val="none"/>
              </w:rPr>
              <w:t xml:space="preserve"> 注：提供相关人员证书复印件、身份证复印件、证明其与投标人存在劳动关系的证明材料复印件。以上人员不得重复得分。</w:t>
            </w:r>
          </w:p>
        </w:tc>
        <w:tc>
          <w:tcPr>
            <w:tcW w:w="882"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共同评审</w:t>
            </w:r>
          </w:p>
        </w:tc>
      </w:tr>
      <w:tr>
        <w:tblPrEx>
          <w:tblCellMar>
            <w:top w:w="0" w:type="dxa"/>
            <w:left w:w="108" w:type="dxa"/>
            <w:bottom w:w="0" w:type="dxa"/>
            <w:right w:w="108" w:type="dxa"/>
          </w:tblCellMar>
        </w:tblPrEx>
        <w:trPr>
          <w:trHeight w:val="794"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11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color w:val="auto"/>
                <w:highlight w:val="none"/>
              </w:rPr>
            </w:pPr>
            <w:r>
              <w:rPr>
                <w:rFonts w:hint="eastAsia" w:ascii="宋体" w:hAnsi="宋体" w:cs="宋体"/>
                <w:color w:val="auto"/>
                <w:highlight w:val="none"/>
              </w:rPr>
              <w:t>履约能力</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w:t>
            </w:r>
          </w:p>
        </w:tc>
        <w:tc>
          <w:tcPr>
            <w:tcW w:w="74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highlight w:val="none"/>
              </w:rPr>
            </w:pPr>
            <w:r>
              <w:rPr>
                <w:rFonts w:ascii="宋体" w:hAnsi="宋体" w:cs="宋体"/>
                <w:color w:val="auto"/>
                <w:highlight w:val="none"/>
              </w:rPr>
              <w:t>12</w:t>
            </w:r>
            <w:r>
              <w:rPr>
                <w:rFonts w:hint="eastAsia" w:ascii="宋体" w:hAnsi="宋体" w:cs="宋体"/>
                <w:color w:val="auto"/>
                <w:highlight w:val="none"/>
              </w:rPr>
              <w:t>分</w:t>
            </w:r>
          </w:p>
        </w:tc>
        <w:tc>
          <w:tcPr>
            <w:tcW w:w="5428"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宋体"/>
                <w:color w:val="auto"/>
                <w:highlight w:val="none"/>
              </w:rPr>
            </w:pPr>
            <w:r>
              <w:rPr>
                <w:rFonts w:hint="eastAsia" w:ascii="宋体" w:hAnsi="宋体" w:cs="宋体"/>
                <w:color w:val="auto"/>
                <w:highlight w:val="none"/>
              </w:rPr>
              <w:t>供应商201</w:t>
            </w:r>
            <w:r>
              <w:rPr>
                <w:rFonts w:ascii="宋体" w:hAnsi="宋体" w:cs="宋体"/>
                <w:color w:val="auto"/>
                <w:highlight w:val="none"/>
              </w:rPr>
              <w:t>8</w:t>
            </w:r>
            <w:r>
              <w:rPr>
                <w:rFonts w:hint="eastAsia" w:ascii="宋体" w:hAnsi="宋体" w:cs="宋体"/>
                <w:color w:val="auto"/>
                <w:highlight w:val="none"/>
              </w:rPr>
              <w:t>年1月1日（含1日）以来具有类似规划类</w:t>
            </w:r>
            <w:r>
              <w:rPr>
                <w:rFonts w:ascii="宋体" w:hAnsi="宋体" w:cs="宋体"/>
                <w:color w:val="auto"/>
                <w:highlight w:val="none"/>
              </w:rPr>
              <w:t>或工程设计业绩的</w:t>
            </w:r>
            <w:r>
              <w:rPr>
                <w:rFonts w:hint="eastAsia" w:ascii="宋体" w:hAnsi="宋体" w:cs="宋体"/>
                <w:color w:val="auto"/>
                <w:highlight w:val="none"/>
              </w:rPr>
              <w:t>，每提供1个合同得</w:t>
            </w:r>
            <w:r>
              <w:rPr>
                <w:rFonts w:ascii="宋体" w:hAnsi="宋体" w:cs="宋体"/>
                <w:color w:val="auto"/>
                <w:highlight w:val="none"/>
              </w:rPr>
              <w:t>4</w:t>
            </w:r>
            <w:r>
              <w:rPr>
                <w:rFonts w:hint="eastAsia" w:ascii="宋体" w:hAnsi="宋体" w:cs="宋体"/>
                <w:color w:val="auto"/>
                <w:highlight w:val="none"/>
              </w:rPr>
              <w:t>分，本项最多得</w:t>
            </w:r>
            <w:r>
              <w:rPr>
                <w:rFonts w:ascii="宋体" w:hAnsi="宋体" w:cs="宋体"/>
                <w:color w:val="auto"/>
                <w:highlight w:val="none"/>
              </w:rPr>
              <w:t>12</w:t>
            </w:r>
            <w:r>
              <w:rPr>
                <w:rFonts w:hint="eastAsia" w:ascii="宋体" w:hAnsi="宋体" w:cs="宋体"/>
                <w:color w:val="auto"/>
                <w:highlight w:val="none"/>
              </w:rPr>
              <w:t>分。</w:t>
            </w:r>
          </w:p>
          <w:p>
            <w:pPr>
              <w:autoSpaceDN w:val="0"/>
              <w:spacing w:line="360" w:lineRule="auto"/>
              <w:rPr>
                <w:rFonts w:ascii="宋体" w:hAnsi="宋体" w:cs="宋体"/>
                <w:color w:val="auto"/>
                <w:highlight w:val="none"/>
              </w:rPr>
            </w:pPr>
            <w:r>
              <w:rPr>
                <w:rFonts w:hint="eastAsia" w:ascii="宋体" w:hAnsi="宋体" w:cs="宋体"/>
                <w:color w:val="auto"/>
                <w:highlight w:val="none"/>
              </w:rPr>
              <w:t>注：证明材料提供合同复印件加盖供应商公章。</w:t>
            </w:r>
          </w:p>
        </w:tc>
        <w:tc>
          <w:tcPr>
            <w:tcW w:w="882"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color w:val="auto"/>
                <w:highlight w:val="none"/>
              </w:rPr>
            </w:pPr>
            <w:r>
              <w:rPr>
                <w:rFonts w:hint="eastAsia" w:ascii="宋体" w:hAnsi="宋体" w:cs="宋体"/>
                <w:color w:val="auto"/>
                <w:highlight w:val="none"/>
              </w:rPr>
              <w:t>共同评审</w:t>
            </w:r>
          </w:p>
        </w:tc>
      </w:tr>
    </w:tbl>
    <w:p>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说明：</w:t>
      </w:r>
    </w:p>
    <w:p>
      <w:pPr>
        <w:numPr>
          <w:ilvl w:val="0"/>
          <w:numId w:val="43"/>
        </w:numPr>
        <w:spacing w:line="360" w:lineRule="auto"/>
        <w:ind w:left="5" w:firstLine="755"/>
        <w:rPr>
          <w:rFonts w:ascii="宋体" w:hAnsi="宋体" w:cs="宋体"/>
          <w:b/>
          <w:color w:val="auto"/>
          <w:highlight w:val="none"/>
        </w:rPr>
      </w:pPr>
      <w:r>
        <w:rPr>
          <w:rFonts w:hint="eastAsia" w:ascii="宋体" w:hAnsi="宋体" w:cs="宋体"/>
          <w:b/>
          <w:color w:val="auto"/>
          <w:highlight w:val="none"/>
        </w:rPr>
        <w:t>评分的取值按四舍五入法，保留小数点后两位；</w:t>
      </w:r>
    </w:p>
    <w:p>
      <w:pPr>
        <w:numPr>
          <w:ilvl w:val="0"/>
          <w:numId w:val="43"/>
        </w:numPr>
        <w:spacing w:line="360" w:lineRule="auto"/>
        <w:ind w:left="5" w:firstLine="755"/>
        <w:rPr>
          <w:rFonts w:ascii="宋体" w:hAnsi="宋体" w:cs="宋体"/>
          <w:b/>
          <w:color w:val="auto"/>
          <w:highlight w:val="none"/>
        </w:rPr>
      </w:pPr>
      <w:r>
        <w:rPr>
          <w:rFonts w:hint="eastAsia" w:ascii="宋体" w:hAnsi="宋体" w:cs="宋体"/>
          <w:b/>
          <w:color w:val="auto"/>
          <w:kern w:val="2"/>
          <w:highlight w:val="none"/>
        </w:rPr>
        <w:t>本表中要求提供的复印件材料，均需加盖供应商单位公章（空白页可不加盖，存在正反面的，只加盖单面或双面加盖均可），复印件证明材料须清晰可辨，否则将不认可该项复印件材料的有效性。</w:t>
      </w:r>
    </w:p>
    <w:p>
      <w:pPr>
        <w:pStyle w:val="6"/>
        <w:ind w:firstLine="482"/>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color w:val="auto"/>
          <w:highlight w:val="none"/>
        </w:rPr>
        <w:t>磋商小组应当根据综合评分情况，按照评审得分由高到低顺序各包推荐3名以上成交候选供应商(符合《财政部关于政府采购竞争性磋商采购方式管理暂行办法有关问题的补充通知》财库</w:t>
      </w:r>
      <w:r>
        <w:rPr>
          <w:rFonts w:hint="eastAsia" w:ascii="宋体" w:hAnsi="宋体" w:cs="宋体"/>
          <w:color w:val="auto"/>
          <w:highlight w:val="none"/>
        </w:rPr>
        <w:t>﹝2015﹞124</w:t>
      </w:r>
      <w:r>
        <w:rPr>
          <w:rFonts w:hint="eastAsia"/>
          <w:color w:val="auto"/>
          <w:highlight w:val="none"/>
        </w:rPr>
        <w:t>号文要求的除外)，并编写评审报告。评审得分相同的，按照最后报价由低到高的顺序推荐。</w:t>
      </w:r>
      <w:r>
        <w:rPr>
          <w:rFonts w:hint="eastAsia" w:ascii="宋体" w:hAnsi="宋体" w:cs="宋体"/>
          <w:color w:val="auto"/>
          <w:highlight w:val="none"/>
        </w:rPr>
        <w:t>得分和报价相同且满足磋商文件全部实质性要求，评审委员会优先推荐企业注册地在不发达地区或少数民族地区的供应商。</w:t>
      </w:r>
    </w:p>
    <w:p>
      <w:pPr>
        <w:pStyle w:val="5"/>
        <w:rPr>
          <w:color w:val="auto"/>
          <w:sz w:val="24"/>
          <w:szCs w:val="24"/>
          <w:highlight w:val="none"/>
        </w:rPr>
      </w:pPr>
      <w:bookmarkStart w:id="307" w:name="_Toc287623648"/>
      <w:bookmarkStart w:id="308" w:name="_Toc23040"/>
      <w:r>
        <w:rPr>
          <w:rFonts w:hint="eastAsia"/>
          <w:color w:val="auto"/>
          <w:sz w:val="24"/>
          <w:szCs w:val="24"/>
          <w:highlight w:val="none"/>
        </w:rPr>
        <w:t>确定成交供应商</w:t>
      </w:r>
      <w:bookmarkEnd w:id="307"/>
      <w:bookmarkEnd w:id="308"/>
    </w:p>
    <w:p>
      <w:pPr>
        <w:pStyle w:val="6"/>
        <w:ind w:firstLine="482"/>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本项目根据磋商小组推荐的成交候选人名单，各包按顺序确定成交供应商。</w:t>
      </w:r>
    </w:p>
    <w:p>
      <w:pPr>
        <w:pStyle w:val="6"/>
        <w:ind w:firstLine="482"/>
        <w:rPr>
          <w:rFonts w:cs="宋体"/>
          <w:color w:val="auto"/>
          <w:szCs w:val="24"/>
          <w:highlight w:val="none"/>
        </w:rPr>
      </w:pPr>
      <w:r>
        <w:rPr>
          <w:rFonts w:hint="eastAsia" w:cs="宋体"/>
          <w:color w:val="auto"/>
          <w:szCs w:val="24"/>
          <w:highlight w:val="none"/>
        </w:rPr>
        <w:t>定标程序</w:t>
      </w:r>
    </w:p>
    <w:p>
      <w:pPr>
        <w:numPr>
          <w:ilvl w:val="0"/>
          <w:numId w:val="4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44"/>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4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4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45"/>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309" w:name="_Toc287623649"/>
      <w:r>
        <w:rPr>
          <w:rFonts w:hint="eastAsia" w:ascii="宋体" w:hAnsi="宋体" w:cs="宋体"/>
          <w:color w:val="auto"/>
          <w:highlight w:val="none"/>
        </w:rPr>
        <w:t>成交候选供应商存在违法、违纪行为的；</w:t>
      </w:r>
    </w:p>
    <w:p>
      <w:pPr>
        <w:numPr>
          <w:ilvl w:val="1"/>
          <w:numId w:val="45"/>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5"/>
        <w:rPr>
          <w:color w:val="auto"/>
          <w:sz w:val="24"/>
          <w:szCs w:val="24"/>
          <w:highlight w:val="none"/>
        </w:rPr>
      </w:pPr>
      <w:bookmarkStart w:id="310" w:name="_Toc15896"/>
      <w:r>
        <w:rPr>
          <w:rFonts w:hint="eastAsia"/>
          <w:color w:val="auto"/>
          <w:sz w:val="24"/>
          <w:szCs w:val="24"/>
          <w:highlight w:val="none"/>
        </w:rPr>
        <w:t>成交</w:t>
      </w:r>
      <w:bookmarkEnd w:id="309"/>
      <w:r>
        <w:rPr>
          <w:rFonts w:hint="eastAsia"/>
          <w:color w:val="auto"/>
          <w:sz w:val="24"/>
          <w:szCs w:val="24"/>
          <w:highlight w:val="none"/>
        </w:rPr>
        <w:t>结果</w:t>
      </w:r>
      <w:bookmarkEnd w:id="310"/>
    </w:p>
    <w:p>
      <w:pPr>
        <w:widowControl w:val="0"/>
        <w:numPr>
          <w:ilvl w:val="0"/>
          <w:numId w:val="46"/>
        </w:numPr>
        <w:spacing w:line="360" w:lineRule="auto"/>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46"/>
        </w:numPr>
        <w:spacing w:line="360" w:lineRule="auto"/>
        <w:rPr>
          <w:rFonts w:ascii="宋体" w:hAnsi="宋体" w:cs="宋体"/>
          <w:color w:val="auto"/>
          <w:highlight w:val="none"/>
        </w:rPr>
      </w:pPr>
      <w:r>
        <w:rPr>
          <w:rFonts w:hint="eastAsia" w:ascii="宋体" w:hAnsi="宋体" w:cs="宋体"/>
          <w:color w:val="auto"/>
          <w:highlight w:val="none"/>
        </w:rPr>
        <w:t>成交公告在四川政府采购网上公告后，成交供应商自行登录政府采购云平台下载成交通知书。</w:t>
      </w:r>
    </w:p>
    <w:p>
      <w:pPr>
        <w:pStyle w:val="5"/>
        <w:rPr>
          <w:color w:val="auto"/>
          <w:sz w:val="24"/>
          <w:szCs w:val="24"/>
          <w:highlight w:val="none"/>
        </w:rPr>
      </w:pPr>
      <w:bookmarkStart w:id="311" w:name="_Toc405886181"/>
      <w:bookmarkStart w:id="312" w:name="_Toc28600"/>
      <w:r>
        <w:rPr>
          <w:rFonts w:hint="eastAsia"/>
          <w:color w:val="auto"/>
          <w:sz w:val="24"/>
          <w:szCs w:val="24"/>
          <w:highlight w:val="none"/>
        </w:rPr>
        <w:t>询问、质疑</w:t>
      </w:r>
      <w:bookmarkEnd w:id="311"/>
      <w:r>
        <w:rPr>
          <w:rFonts w:hint="eastAsia"/>
          <w:color w:val="auto"/>
          <w:sz w:val="24"/>
          <w:szCs w:val="24"/>
          <w:highlight w:val="none"/>
        </w:rPr>
        <w:t>和投诉</w:t>
      </w:r>
      <w:bookmarkEnd w:id="312"/>
    </w:p>
    <w:p>
      <w:pPr>
        <w:pStyle w:val="27"/>
        <w:numPr>
          <w:ilvl w:val="0"/>
          <w:numId w:val="47"/>
        </w:numPr>
        <w:tabs>
          <w:tab w:val="left" w:pos="1134"/>
        </w:tabs>
        <w:spacing w:line="360" w:lineRule="auto"/>
        <w:ind w:firstLine="617"/>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47"/>
        </w:numPr>
        <w:tabs>
          <w:tab w:val="left" w:pos="1134"/>
        </w:tabs>
        <w:spacing w:line="360" w:lineRule="auto"/>
        <w:ind w:firstLine="617"/>
        <w:rPr>
          <w:rFonts w:ascii="宋体" w:hAnsi="宋体" w:cs="宋体"/>
          <w:color w:val="auto"/>
          <w:sz w:val="24"/>
          <w:highlight w:val="none"/>
        </w:rPr>
      </w:pPr>
      <w:r>
        <w:rPr>
          <w:rFonts w:hint="eastAsia" w:ascii="宋体" w:hAnsi="宋体" w:cs="宋体"/>
          <w:color w:val="auto"/>
          <w:sz w:val="24"/>
          <w:highlight w:val="none"/>
        </w:rPr>
        <w:t>供应商提出的询问，应当明确询问事项，如以书面形式提出的，应由供应商签字并加盖单位公章。</w:t>
      </w:r>
    </w:p>
    <w:p>
      <w:pPr>
        <w:pStyle w:val="27"/>
        <w:numPr>
          <w:ilvl w:val="0"/>
          <w:numId w:val="47"/>
        </w:numPr>
        <w:tabs>
          <w:tab w:val="left" w:pos="1134"/>
        </w:tabs>
        <w:spacing w:line="360" w:lineRule="auto"/>
        <w:ind w:firstLine="617"/>
        <w:rPr>
          <w:rFonts w:ascii="宋体" w:hAnsi="宋体" w:cs="宋体"/>
          <w:color w:val="auto"/>
          <w:sz w:val="24"/>
          <w:highlight w:val="none"/>
        </w:rPr>
      </w:pPr>
      <w:r>
        <w:rPr>
          <w:rFonts w:hint="eastAsia" w:ascii="宋体" w:hAnsi="宋体" w:cs="宋体"/>
          <w:color w:val="auto"/>
          <w:sz w:val="24"/>
          <w:highlight w:val="none"/>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pStyle w:val="27"/>
        <w:numPr>
          <w:ilvl w:val="0"/>
          <w:numId w:val="47"/>
        </w:numPr>
        <w:tabs>
          <w:tab w:val="left" w:pos="1134"/>
        </w:tabs>
        <w:spacing w:line="360" w:lineRule="auto"/>
        <w:ind w:firstLine="617"/>
        <w:rPr>
          <w:rFonts w:ascii="宋体" w:hAnsi="宋体" w:cs="宋体"/>
          <w:color w:val="auto"/>
          <w:sz w:val="24"/>
          <w:highlight w:val="none"/>
        </w:rPr>
      </w:pPr>
      <w:r>
        <w:rPr>
          <w:rFonts w:hint="eastAsia" w:ascii="宋体" w:hAnsi="宋体" w:cs="宋体"/>
          <w:color w:val="auto"/>
          <w:sz w:val="24"/>
          <w:highlight w:val="none"/>
        </w:rPr>
        <w:t>供应商提出质疑应当提交质疑函和必要的证明材料。质疑函应当包括下列内容：</w:t>
      </w:r>
    </w:p>
    <w:p>
      <w:pPr>
        <w:spacing w:line="360" w:lineRule="auto"/>
        <w:rPr>
          <w:rFonts w:ascii="宋体" w:hAnsi="宋体" w:cs="宋体"/>
          <w:color w:val="auto"/>
          <w:highlight w:val="none"/>
        </w:rPr>
      </w:pPr>
      <w:r>
        <w:rPr>
          <w:rFonts w:hint="eastAsia" w:ascii="宋体" w:hAnsi="宋体" w:cs="宋体"/>
          <w:color w:val="auto"/>
          <w:highlight w:val="none"/>
        </w:rPr>
        <w:t>（一）供应商的姓名或者名称、地址、邮编、联系人及联系电话；</w:t>
      </w:r>
    </w:p>
    <w:p>
      <w:pPr>
        <w:spacing w:line="360" w:lineRule="auto"/>
        <w:rPr>
          <w:rFonts w:ascii="宋体" w:hAnsi="宋体" w:cs="宋体"/>
          <w:color w:val="auto"/>
          <w:highlight w:val="none"/>
        </w:rPr>
      </w:pPr>
      <w:r>
        <w:rPr>
          <w:rFonts w:hint="eastAsia" w:ascii="宋体" w:hAnsi="宋体" w:cs="宋体"/>
          <w:color w:val="auto"/>
          <w:highlight w:val="none"/>
        </w:rPr>
        <w:t>（二）质疑项目的名称、编号；</w:t>
      </w:r>
    </w:p>
    <w:p>
      <w:pPr>
        <w:spacing w:line="360" w:lineRule="auto"/>
        <w:rPr>
          <w:rFonts w:ascii="宋体" w:hAnsi="宋体" w:cs="宋体"/>
          <w:color w:val="auto"/>
          <w:highlight w:val="none"/>
        </w:rPr>
      </w:pPr>
      <w:r>
        <w:rPr>
          <w:rFonts w:hint="eastAsia" w:ascii="宋体" w:hAnsi="宋体" w:cs="宋体"/>
          <w:color w:val="auto"/>
          <w:highlight w:val="none"/>
        </w:rPr>
        <w:t>（三）具体、明确的质疑事项和与质疑事项相关的请求；</w:t>
      </w:r>
    </w:p>
    <w:p>
      <w:pPr>
        <w:spacing w:line="360" w:lineRule="auto"/>
        <w:rPr>
          <w:rFonts w:ascii="宋体" w:hAnsi="宋体" w:cs="宋体"/>
          <w:color w:val="auto"/>
          <w:highlight w:val="none"/>
        </w:rPr>
      </w:pPr>
      <w:r>
        <w:rPr>
          <w:rFonts w:hint="eastAsia" w:ascii="宋体" w:hAnsi="宋体" w:cs="宋体"/>
          <w:color w:val="auto"/>
          <w:highlight w:val="none"/>
        </w:rPr>
        <w:t>（四）事实依据；</w:t>
      </w:r>
    </w:p>
    <w:p>
      <w:pPr>
        <w:spacing w:line="360" w:lineRule="auto"/>
        <w:rPr>
          <w:rFonts w:ascii="宋体" w:hAnsi="宋体" w:cs="宋体"/>
          <w:color w:val="auto"/>
          <w:highlight w:val="none"/>
        </w:rPr>
      </w:pPr>
      <w:r>
        <w:rPr>
          <w:rFonts w:hint="eastAsia" w:ascii="宋体" w:hAnsi="宋体" w:cs="宋体"/>
          <w:color w:val="auto"/>
          <w:highlight w:val="none"/>
        </w:rPr>
        <w:t>（五）必要的法律依据；</w:t>
      </w:r>
    </w:p>
    <w:p>
      <w:pPr>
        <w:spacing w:line="360" w:lineRule="auto"/>
        <w:rPr>
          <w:rFonts w:ascii="宋体" w:hAnsi="宋体" w:cs="宋体"/>
          <w:color w:val="auto"/>
          <w:highlight w:val="none"/>
        </w:rPr>
      </w:pPr>
      <w:r>
        <w:rPr>
          <w:rFonts w:hint="eastAsia" w:ascii="宋体" w:hAnsi="宋体" w:cs="宋体"/>
          <w:color w:val="auto"/>
          <w:highlight w:val="none"/>
        </w:rPr>
        <w:t>（六）提出质疑的日期。</w:t>
      </w:r>
    </w:p>
    <w:p>
      <w:pPr>
        <w:pStyle w:val="5"/>
        <w:rPr>
          <w:rFonts w:cs="宋体"/>
          <w:color w:val="auto"/>
          <w:sz w:val="24"/>
          <w:szCs w:val="24"/>
          <w:highlight w:val="none"/>
        </w:rPr>
      </w:pPr>
      <w:bookmarkStart w:id="313" w:name="_Toc287623650"/>
      <w:bookmarkStart w:id="314" w:name="_Toc28235"/>
      <w:r>
        <w:rPr>
          <w:rFonts w:hint="eastAsia" w:cs="宋体"/>
          <w:color w:val="auto"/>
          <w:sz w:val="24"/>
          <w:szCs w:val="24"/>
          <w:highlight w:val="none"/>
        </w:rPr>
        <w:t>签订合同</w:t>
      </w:r>
      <w:bookmarkEnd w:id="313"/>
      <w:bookmarkEnd w:id="314"/>
    </w:p>
    <w:p>
      <w:pPr>
        <w:numPr>
          <w:ilvl w:val="0"/>
          <w:numId w:val="4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4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4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48"/>
        </w:numPr>
        <w:tabs>
          <w:tab w:val="left" w:pos="1134"/>
        </w:tabs>
        <w:snapToGrid w:val="0"/>
        <w:spacing w:line="360" w:lineRule="auto"/>
        <w:ind w:firstLine="480" w:firstLineChars="200"/>
        <w:rPr>
          <w:rFonts w:ascii="宋体" w:hAnsi="宋体" w:cs="宋体"/>
          <w:color w:val="auto"/>
          <w:highlight w:val="none"/>
        </w:rPr>
      </w:pPr>
      <w:bookmarkStart w:id="315"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315"/>
    <w:p>
      <w:pPr>
        <w:pStyle w:val="5"/>
        <w:rPr>
          <w:color w:val="auto"/>
          <w:sz w:val="24"/>
          <w:szCs w:val="24"/>
          <w:highlight w:val="none"/>
        </w:rPr>
      </w:pPr>
      <w:bookmarkStart w:id="316" w:name="_Toc28841"/>
      <w:bookmarkStart w:id="317" w:name="_Toc217446070"/>
      <w:r>
        <w:rPr>
          <w:rFonts w:hint="eastAsia"/>
          <w:color w:val="auto"/>
          <w:sz w:val="24"/>
          <w:szCs w:val="24"/>
          <w:highlight w:val="none"/>
        </w:rPr>
        <w:t>采购人增加合同的权利</w:t>
      </w:r>
      <w:bookmarkEnd w:id="31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rPr>
          <w:color w:val="auto"/>
          <w:sz w:val="24"/>
          <w:szCs w:val="24"/>
          <w:highlight w:val="none"/>
        </w:rPr>
      </w:pPr>
      <w:bookmarkStart w:id="318" w:name="_Toc1535"/>
      <w:r>
        <w:rPr>
          <w:rFonts w:hint="eastAsia"/>
          <w:color w:val="auto"/>
          <w:sz w:val="24"/>
          <w:szCs w:val="24"/>
          <w:highlight w:val="none"/>
        </w:rPr>
        <w:t>履行合同</w:t>
      </w:r>
      <w:bookmarkEnd w:id="318"/>
    </w:p>
    <w:p>
      <w:pPr>
        <w:widowControl w:val="0"/>
        <w:numPr>
          <w:ilvl w:val="0"/>
          <w:numId w:val="4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4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在合同履行过程中，如发生合同纠纷，合同双方应按照《中华人民共和国民法典》及合同条款的有关规定进行处理。</w:t>
      </w:r>
    </w:p>
    <w:bookmarkEnd w:id="317"/>
    <w:p>
      <w:pPr>
        <w:pStyle w:val="5"/>
        <w:rPr>
          <w:color w:val="auto"/>
          <w:sz w:val="24"/>
          <w:szCs w:val="24"/>
          <w:highlight w:val="none"/>
        </w:rPr>
      </w:pPr>
      <w:bookmarkStart w:id="319" w:name="_Toc27810"/>
      <w:r>
        <w:rPr>
          <w:rFonts w:hint="eastAsia"/>
          <w:color w:val="auto"/>
          <w:sz w:val="24"/>
          <w:szCs w:val="24"/>
          <w:highlight w:val="none"/>
        </w:rPr>
        <w:t>竞争性磋商工作纪律及要求</w:t>
      </w:r>
      <w:bookmarkEnd w:id="319"/>
    </w:p>
    <w:p>
      <w:pPr>
        <w:pStyle w:val="6"/>
        <w:ind w:firstLine="482"/>
        <w:rPr>
          <w:rFonts w:cs="宋体"/>
          <w:color w:val="auto"/>
          <w:szCs w:val="24"/>
          <w:highlight w:val="none"/>
        </w:rPr>
      </w:pPr>
      <w:bookmarkStart w:id="320" w:name="_Toc421781446"/>
      <w:bookmarkStart w:id="321" w:name="_Toc320698748"/>
      <w:r>
        <w:rPr>
          <w:rFonts w:hint="eastAsia" w:cs="宋体"/>
          <w:color w:val="auto"/>
          <w:szCs w:val="24"/>
          <w:highlight w:val="none"/>
        </w:rPr>
        <w:t>采购人工作职责</w:t>
      </w:r>
      <w:bookmarkEnd w:id="320"/>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321"/>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6"/>
        <w:ind w:firstLine="482"/>
        <w:rPr>
          <w:rFonts w:cs="宋体"/>
          <w:color w:val="auto"/>
          <w:szCs w:val="24"/>
          <w:highlight w:val="none"/>
        </w:rPr>
      </w:pPr>
      <w:bookmarkStart w:id="322" w:name="_Toc421781447"/>
      <w:bookmarkStart w:id="323" w:name="_Toc320698749"/>
      <w:r>
        <w:rPr>
          <w:rFonts w:hint="eastAsia" w:cs="宋体"/>
          <w:color w:val="auto"/>
          <w:szCs w:val="24"/>
          <w:highlight w:val="none"/>
        </w:rPr>
        <w:t>采购执行机构工作职责</w:t>
      </w:r>
      <w:bookmarkEnd w:id="322"/>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323"/>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6"/>
        <w:ind w:firstLine="482"/>
        <w:rPr>
          <w:rFonts w:cs="宋体"/>
          <w:color w:val="auto"/>
          <w:szCs w:val="24"/>
          <w:highlight w:val="none"/>
        </w:rPr>
      </w:pPr>
      <w:bookmarkStart w:id="324" w:name="_Toc421781448"/>
      <w:bookmarkStart w:id="325" w:name="_Toc320698750"/>
      <w:r>
        <w:rPr>
          <w:rFonts w:hint="eastAsia" w:cs="宋体"/>
          <w:color w:val="auto"/>
          <w:szCs w:val="24"/>
          <w:highlight w:val="none"/>
        </w:rPr>
        <w:t>磋商小组工作职责</w:t>
      </w:r>
      <w:bookmarkEnd w:id="324"/>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325"/>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6"/>
        <w:ind w:firstLine="482"/>
        <w:rPr>
          <w:rFonts w:cs="宋体"/>
          <w:color w:val="auto"/>
          <w:szCs w:val="24"/>
          <w:highlight w:val="none"/>
        </w:rPr>
      </w:pPr>
      <w:bookmarkStart w:id="326" w:name="_Toc421781449"/>
      <w:bookmarkStart w:id="327" w:name="_Toc320698751"/>
      <w:r>
        <w:rPr>
          <w:rFonts w:hint="eastAsia" w:cs="宋体"/>
          <w:color w:val="auto"/>
          <w:szCs w:val="24"/>
          <w:highlight w:val="none"/>
        </w:rPr>
        <w:t>供应商职责</w:t>
      </w:r>
      <w:bookmarkEnd w:id="326"/>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327"/>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5"/>
        <w:rPr>
          <w:color w:val="auto"/>
          <w:sz w:val="24"/>
          <w:szCs w:val="24"/>
          <w:highlight w:val="none"/>
        </w:rPr>
      </w:pPr>
      <w:bookmarkStart w:id="328" w:name="_Toc4344"/>
      <w:r>
        <w:rPr>
          <w:rFonts w:hint="eastAsia"/>
          <w:color w:val="auto"/>
          <w:sz w:val="24"/>
          <w:szCs w:val="24"/>
          <w:highlight w:val="none"/>
        </w:rPr>
        <w:t>回避</w:t>
      </w:r>
      <w:bookmarkEnd w:id="328"/>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rPr>
          <w:color w:val="auto"/>
          <w:sz w:val="24"/>
          <w:szCs w:val="24"/>
          <w:highlight w:val="none"/>
        </w:rPr>
      </w:pPr>
      <w:bookmarkStart w:id="329" w:name="_Toc31548"/>
      <w:r>
        <w:rPr>
          <w:rFonts w:hint="eastAsia"/>
          <w:color w:val="auto"/>
          <w:sz w:val="24"/>
          <w:szCs w:val="24"/>
          <w:highlight w:val="none"/>
        </w:rPr>
        <w:t>其他</w:t>
      </w:r>
      <w:bookmarkEnd w:id="329"/>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54"/>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4"/>
        <w:rPr>
          <w:color w:val="auto"/>
          <w:highlight w:val="none"/>
        </w:rPr>
      </w:pPr>
      <w:bookmarkStart w:id="330" w:name="_Toc905"/>
      <w:r>
        <w:rPr>
          <w:rFonts w:hint="eastAsia"/>
          <w:color w:val="auto"/>
          <w:highlight w:val="none"/>
        </w:rPr>
        <w:t>项目技术、服务及其他要求</w:t>
      </w:r>
      <w:bookmarkEnd w:id="330"/>
    </w:p>
    <w:p>
      <w:pPr>
        <w:pStyle w:val="5"/>
        <w:rPr>
          <w:color w:val="auto"/>
          <w:sz w:val="24"/>
          <w:szCs w:val="24"/>
          <w:highlight w:val="none"/>
        </w:rPr>
      </w:pPr>
      <w:bookmarkStart w:id="331" w:name="_Toc17321"/>
      <w:bookmarkStart w:id="332" w:name="_Toc23195"/>
      <w:r>
        <w:rPr>
          <w:rFonts w:hint="eastAsia"/>
          <w:color w:val="auto"/>
          <w:sz w:val="24"/>
          <w:szCs w:val="24"/>
          <w:highlight w:val="none"/>
        </w:rPr>
        <w:t>项目概述</w:t>
      </w:r>
      <w:bookmarkEnd w:id="331"/>
    </w:p>
    <w:p>
      <w:pPr>
        <w:spacing w:line="360" w:lineRule="auto"/>
        <w:ind w:firstLine="480" w:firstLineChars="200"/>
        <w:rPr>
          <w:color w:val="auto"/>
          <w:highlight w:val="none"/>
        </w:rPr>
      </w:pPr>
      <w:r>
        <w:rPr>
          <w:rFonts w:hint="eastAsia"/>
          <w:color w:val="auto"/>
          <w:highlight w:val="none"/>
        </w:rPr>
        <w:t>本项目共五个包，各包确定一名合法供应商。其中包一：水系综合治理规划（2021—2035）修编；包二：防洪规划（2021—2035）修编；包三：水资源综合规划（2021—2035）修编；包四：城乡供水规划（2021—2035）修编；包五：城乡排水规划（2021—2035）修编。</w:t>
      </w:r>
    </w:p>
    <w:p>
      <w:pPr>
        <w:pStyle w:val="5"/>
        <w:rPr>
          <w:color w:val="auto"/>
          <w:highlight w:val="none"/>
        </w:rPr>
      </w:pPr>
      <w:bookmarkStart w:id="333" w:name="_Toc26270"/>
      <w:r>
        <w:rPr>
          <w:rFonts w:hint="eastAsia"/>
          <w:color w:val="auto"/>
          <w:sz w:val="24"/>
          <w:szCs w:val="24"/>
          <w:highlight w:val="none"/>
        </w:rPr>
        <w:t>服务内容</w:t>
      </w:r>
      <w:r>
        <w:rPr>
          <w:color w:val="auto"/>
          <w:sz w:val="24"/>
          <w:szCs w:val="24"/>
          <w:highlight w:val="none"/>
        </w:rPr>
        <w:t>及</w:t>
      </w:r>
      <w:r>
        <w:rPr>
          <w:rFonts w:hint="eastAsia"/>
          <w:color w:val="auto"/>
          <w:sz w:val="24"/>
          <w:szCs w:val="24"/>
          <w:highlight w:val="none"/>
        </w:rPr>
        <w:t>要求</w:t>
      </w:r>
      <w:bookmarkEnd w:id="333"/>
      <w:r>
        <w:rPr>
          <w:rFonts w:hint="eastAsia"/>
          <w:color w:val="auto"/>
          <w:highlight w:val="none"/>
        </w:rPr>
        <w:t xml:space="preserve"> </w:t>
      </w:r>
    </w:p>
    <w:p>
      <w:pPr>
        <w:pStyle w:val="6"/>
        <w:ind w:firstLine="482"/>
        <w:rPr>
          <w:color w:val="auto"/>
          <w:highlight w:val="none"/>
        </w:rPr>
      </w:pPr>
      <w:r>
        <w:rPr>
          <w:rFonts w:hint="eastAsia"/>
          <w:color w:val="auto"/>
          <w:highlight w:val="none"/>
        </w:rPr>
        <w:t>包件一：水系综合治理规划（2021—2035）修编服务</w:t>
      </w:r>
      <w:r>
        <w:rPr>
          <w:color w:val="auto"/>
          <w:highlight w:val="none"/>
        </w:rPr>
        <w:t>要求</w:t>
      </w:r>
    </w:p>
    <w:p>
      <w:pPr>
        <w:numPr>
          <w:ilvl w:val="0"/>
          <w:numId w:val="55"/>
        </w:numPr>
        <w:spacing w:line="360" w:lineRule="auto"/>
        <w:rPr>
          <w:color w:val="auto"/>
          <w:highlight w:val="none"/>
        </w:rPr>
      </w:pPr>
      <w:r>
        <w:rPr>
          <w:rFonts w:hint="eastAsia"/>
          <w:color w:val="auto"/>
          <w:highlight w:val="none"/>
        </w:rPr>
        <w:t>复核并完善防洪专项规划成果</w:t>
      </w:r>
    </w:p>
    <w:p>
      <w:pPr>
        <w:numPr>
          <w:ilvl w:val="0"/>
          <w:numId w:val="56"/>
        </w:numPr>
        <w:spacing w:line="360" w:lineRule="auto"/>
        <w:rPr>
          <w:color w:val="auto"/>
          <w:highlight w:val="none"/>
        </w:rPr>
      </w:pPr>
      <w:r>
        <w:rPr>
          <w:rFonts w:hint="eastAsia"/>
          <w:color w:val="auto"/>
          <w:highlight w:val="none"/>
        </w:rPr>
        <w:t>河道设计洪水水面线计算成果；</w:t>
      </w:r>
    </w:p>
    <w:p>
      <w:pPr>
        <w:numPr>
          <w:ilvl w:val="0"/>
          <w:numId w:val="56"/>
        </w:numPr>
        <w:spacing w:line="360" w:lineRule="auto"/>
        <w:rPr>
          <w:color w:val="auto"/>
          <w:highlight w:val="none"/>
        </w:rPr>
      </w:pPr>
      <w:r>
        <w:rPr>
          <w:rFonts w:hint="eastAsia"/>
          <w:color w:val="auto"/>
          <w:highlight w:val="none"/>
        </w:rPr>
        <w:t>河道防洪标准；</w:t>
      </w:r>
    </w:p>
    <w:p>
      <w:pPr>
        <w:numPr>
          <w:ilvl w:val="0"/>
          <w:numId w:val="56"/>
        </w:numPr>
        <w:spacing w:line="360" w:lineRule="auto"/>
        <w:rPr>
          <w:color w:val="auto"/>
          <w:highlight w:val="none"/>
        </w:rPr>
      </w:pPr>
      <w:r>
        <w:rPr>
          <w:rFonts w:hint="eastAsia"/>
          <w:color w:val="auto"/>
          <w:highlight w:val="none"/>
        </w:rPr>
        <w:t>河道堤防布置方案；</w:t>
      </w:r>
    </w:p>
    <w:p>
      <w:pPr>
        <w:numPr>
          <w:ilvl w:val="0"/>
          <w:numId w:val="56"/>
        </w:numPr>
        <w:spacing w:line="360" w:lineRule="auto"/>
        <w:rPr>
          <w:color w:val="auto"/>
          <w:highlight w:val="none"/>
        </w:rPr>
      </w:pPr>
      <w:r>
        <w:rPr>
          <w:rFonts w:hint="eastAsia"/>
          <w:color w:val="auto"/>
          <w:highlight w:val="none"/>
        </w:rPr>
        <w:t>河道整治方案（含规划方案、防洪通道规划、通道交通规划）；</w:t>
      </w:r>
    </w:p>
    <w:p>
      <w:pPr>
        <w:numPr>
          <w:ilvl w:val="0"/>
          <w:numId w:val="56"/>
        </w:numPr>
        <w:spacing w:line="360" w:lineRule="auto"/>
        <w:rPr>
          <w:color w:val="auto"/>
          <w:highlight w:val="none"/>
        </w:rPr>
      </w:pPr>
      <w:r>
        <w:rPr>
          <w:rFonts w:hint="eastAsia"/>
          <w:color w:val="auto"/>
          <w:highlight w:val="none"/>
        </w:rPr>
        <w:t>分期实施意见。</w:t>
      </w:r>
    </w:p>
    <w:p>
      <w:pPr>
        <w:numPr>
          <w:ilvl w:val="0"/>
          <w:numId w:val="55"/>
        </w:numPr>
        <w:spacing w:line="360" w:lineRule="auto"/>
        <w:rPr>
          <w:color w:val="auto"/>
          <w:highlight w:val="none"/>
        </w:rPr>
      </w:pPr>
      <w:r>
        <w:rPr>
          <w:rFonts w:hint="eastAsia"/>
          <w:color w:val="auto"/>
          <w:highlight w:val="none"/>
        </w:rPr>
        <w:t>复核</w:t>
      </w:r>
      <w:r>
        <w:rPr>
          <w:color w:val="auto"/>
          <w:highlight w:val="none"/>
        </w:rPr>
        <w:t>并完善</w:t>
      </w:r>
      <w:r>
        <w:rPr>
          <w:rFonts w:hint="eastAsia"/>
          <w:color w:val="auto"/>
          <w:highlight w:val="none"/>
        </w:rPr>
        <w:t>河道绿地系统专项规划成果</w:t>
      </w:r>
    </w:p>
    <w:p>
      <w:pPr>
        <w:numPr>
          <w:ilvl w:val="0"/>
          <w:numId w:val="57"/>
        </w:numPr>
        <w:spacing w:line="360" w:lineRule="auto"/>
        <w:rPr>
          <w:color w:val="auto"/>
          <w:highlight w:val="none"/>
        </w:rPr>
      </w:pPr>
      <w:r>
        <w:rPr>
          <w:rFonts w:hint="eastAsia"/>
          <w:color w:val="auto"/>
          <w:highlight w:val="none"/>
        </w:rPr>
        <w:t>河道周边现状生态条件分析；</w:t>
      </w:r>
    </w:p>
    <w:p>
      <w:pPr>
        <w:numPr>
          <w:ilvl w:val="0"/>
          <w:numId w:val="57"/>
        </w:numPr>
        <w:spacing w:line="360" w:lineRule="auto"/>
        <w:rPr>
          <w:color w:val="auto"/>
          <w:highlight w:val="none"/>
        </w:rPr>
      </w:pPr>
      <w:r>
        <w:rPr>
          <w:rFonts w:hint="eastAsia"/>
          <w:color w:val="auto"/>
          <w:highlight w:val="none"/>
        </w:rPr>
        <w:t>绿化规划理念及分段植物规划；</w:t>
      </w:r>
    </w:p>
    <w:p>
      <w:pPr>
        <w:numPr>
          <w:ilvl w:val="0"/>
          <w:numId w:val="57"/>
        </w:numPr>
        <w:spacing w:line="360" w:lineRule="auto"/>
        <w:rPr>
          <w:color w:val="auto"/>
          <w:highlight w:val="none"/>
        </w:rPr>
      </w:pPr>
      <w:r>
        <w:rPr>
          <w:rFonts w:hint="eastAsia"/>
          <w:color w:val="auto"/>
          <w:highlight w:val="none"/>
        </w:rPr>
        <w:t>河滩绿化配置品种及生态恢复意向；</w:t>
      </w:r>
    </w:p>
    <w:p>
      <w:pPr>
        <w:numPr>
          <w:ilvl w:val="0"/>
          <w:numId w:val="57"/>
        </w:numPr>
        <w:spacing w:line="360" w:lineRule="auto"/>
        <w:rPr>
          <w:color w:val="auto"/>
          <w:highlight w:val="none"/>
        </w:rPr>
      </w:pPr>
      <w:r>
        <w:rPr>
          <w:rFonts w:hint="eastAsia"/>
          <w:color w:val="auto"/>
          <w:highlight w:val="none"/>
        </w:rPr>
        <w:t>景观堤防植物配置方案；</w:t>
      </w:r>
    </w:p>
    <w:p>
      <w:pPr>
        <w:numPr>
          <w:ilvl w:val="0"/>
          <w:numId w:val="57"/>
        </w:numPr>
        <w:spacing w:line="360" w:lineRule="auto"/>
        <w:rPr>
          <w:color w:val="auto"/>
          <w:highlight w:val="none"/>
        </w:rPr>
      </w:pPr>
      <w:r>
        <w:rPr>
          <w:rFonts w:hint="eastAsia"/>
          <w:color w:val="auto"/>
          <w:highlight w:val="none"/>
        </w:rPr>
        <w:t>规划植物配置表及意向图片。</w:t>
      </w:r>
    </w:p>
    <w:p>
      <w:pPr>
        <w:pStyle w:val="2"/>
        <w:spacing w:line="360" w:lineRule="auto"/>
        <w:rPr>
          <w:color w:val="auto"/>
          <w:highlight w:val="none"/>
        </w:rPr>
      </w:pPr>
      <w:r>
        <w:rPr>
          <w:rFonts w:hint="eastAsia"/>
          <w:color w:val="auto"/>
          <w:highlight w:val="none"/>
        </w:rPr>
        <w:t xml:space="preserve">    三、复核并完善河道现状水质、水力要素等基础条件分析；复核主要河道的生态基流，提出水质及补水量需求。</w:t>
      </w:r>
    </w:p>
    <w:p>
      <w:pPr>
        <w:pStyle w:val="2"/>
        <w:spacing w:line="360" w:lineRule="auto"/>
        <w:ind w:firstLine="480" w:firstLineChars="200"/>
        <w:rPr>
          <w:color w:val="auto"/>
          <w:highlight w:val="none"/>
        </w:rPr>
      </w:pPr>
      <w:r>
        <w:rPr>
          <w:rFonts w:hint="eastAsia"/>
          <w:color w:val="auto"/>
          <w:highlight w:val="none"/>
        </w:rPr>
        <w:t>四、复核并完善《龙泉驿区水系综合治理规划》说明书及图册。</w:t>
      </w:r>
    </w:p>
    <w:p>
      <w:pPr>
        <w:pStyle w:val="6"/>
        <w:ind w:firstLine="482"/>
        <w:rPr>
          <w:color w:val="auto"/>
          <w:highlight w:val="none"/>
        </w:rPr>
      </w:pPr>
      <w:r>
        <w:rPr>
          <w:rFonts w:hint="eastAsia"/>
          <w:color w:val="auto"/>
          <w:highlight w:val="none"/>
        </w:rPr>
        <w:t>包件二：</w:t>
      </w:r>
      <w:r>
        <w:rPr>
          <w:color w:val="auto"/>
          <w:highlight w:val="none"/>
        </w:rPr>
        <w:t>防洪规划（2021—2035）修编</w:t>
      </w:r>
      <w:r>
        <w:rPr>
          <w:rFonts w:hint="eastAsia"/>
          <w:color w:val="auto"/>
          <w:highlight w:val="none"/>
        </w:rPr>
        <w:t>服务要求</w:t>
      </w:r>
    </w:p>
    <w:p>
      <w:pPr>
        <w:numPr>
          <w:ilvl w:val="0"/>
          <w:numId w:val="58"/>
        </w:numPr>
        <w:spacing w:line="360" w:lineRule="auto"/>
        <w:rPr>
          <w:color w:val="auto"/>
          <w:highlight w:val="none"/>
        </w:rPr>
      </w:pPr>
      <w:r>
        <w:rPr>
          <w:color w:val="auto"/>
          <w:highlight w:val="none"/>
        </w:rPr>
        <w:t>分析排洪、排涝现状问题，确立防洪</w:t>
      </w:r>
      <w:r>
        <w:rPr>
          <w:rFonts w:hint="eastAsia"/>
          <w:color w:val="auto"/>
          <w:highlight w:val="none"/>
        </w:rPr>
        <w:t>、防涝</w:t>
      </w:r>
      <w:r>
        <w:rPr>
          <w:color w:val="auto"/>
          <w:highlight w:val="none"/>
        </w:rPr>
        <w:t>标准，统筹水文计算；</w:t>
      </w:r>
    </w:p>
    <w:p>
      <w:pPr>
        <w:numPr>
          <w:ilvl w:val="0"/>
          <w:numId w:val="58"/>
        </w:numPr>
        <w:spacing w:line="360" w:lineRule="auto"/>
        <w:rPr>
          <w:color w:val="auto"/>
          <w:highlight w:val="none"/>
        </w:rPr>
      </w:pPr>
      <w:r>
        <w:rPr>
          <w:color w:val="auto"/>
          <w:highlight w:val="none"/>
        </w:rPr>
        <w:t>制定防洪减灾总体规划；</w:t>
      </w:r>
    </w:p>
    <w:p>
      <w:pPr>
        <w:numPr>
          <w:ilvl w:val="0"/>
          <w:numId w:val="58"/>
        </w:numPr>
        <w:spacing w:line="360" w:lineRule="auto"/>
        <w:rPr>
          <w:color w:val="auto"/>
          <w:highlight w:val="none"/>
        </w:rPr>
      </w:pPr>
      <w:r>
        <w:rPr>
          <w:color w:val="auto"/>
          <w:highlight w:val="none"/>
        </w:rPr>
        <w:t>确定工程设施和非工程设施规划，复核并完善重点河道平面、纵断面、横断面图；</w:t>
      </w:r>
    </w:p>
    <w:p>
      <w:pPr>
        <w:numPr>
          <w:ilvl w:val="0"/>
          <w:numId w:val="58"/>
        </w:numPr>
        <w:spacing w:line="360" w:lineRule="auto"/>
        <w:rPr>
          <w:color w:val="auto"/>
          <w:highlight w:val="none"/>
        </w:rPr>
      </w:pPr>
      <w:r>
        <w:rPr>
          <w:color w:val="auto"/>
          <w:highlight w:val="none"/>
        </w:rPr>
        <w:t>提出工程进度安排和投资计划，将河道整治规划与城市规划相结合根据工程量，匡算工程投资。提出近期工程实施意见；按照突出重点、分期治理、远近结合的原则，提出实施安排的总体意见；</w:t>
      </w:r>
    </w:p>
    <w:p>
      <w:pPr>
        <w:numPr>
          <w:ilvl w:val="0"/>
          <w:numId w:val="58"/>
        </w:numPr>
        <w:spacing w:line="360" w:lineRule="auto"/>
        <w:rPr>
          <w:color w:val="auto"/>
          <w:highlight w:val="none"/>
        </w:rPr>
      </w:pPr>
      <w:r>
        <w:rPr>
          <w:color w:val="auto"/>
          <w:highlight w:val="none"/>
        </w:rPr>
        <w:t>进行国民经济评价，从国家整体角度评价防洪工程方案的合理性，并提出保障措施；</w:t>
      </w:r>
    </w:p>
    <w:p>
      <w:pPr>
        <w:numPr>
          <w:ilvl w:val="0"/>
          <w:numId w:val="58"/>
        </w:numPr>
        <w:spacing w:line="360" w:lineRule="auto"/>
        <w:rPr>
          <w:color w:val="auto"/>
          <w:highlight w:val="none"/>
        </w:rPr>
      </w:pPr>
      <w:r>
        <w:rPr>
          <w:color w:val="auto"/>
          <w:highlight w:val="none"/>
        </w:rPr>
        <w:t>复核并完善《龙泉驿区防洪规划报告》</w:t>
      </w:r>
      <w:r>
        <w:rPr>
          <w:rFonts w:hint="eastAsia"/>
          <w:color w:val="auto"/>
          <w:highlight w:val="none"/>
        </w:rPr>
        <w:t>说明书</w:t>
      </w:r>
      <w:r>
        <w:rPr>
          <w:color w:val="auto"/>
          <w:highlight w:val="none"/>
        </w:rPr>
        <w:t>及附图册。</w:t>
      </w:r>
    </w:p>
    <w:p>
      <w:pPr>
        <w:pStyle w:val="6"/>
        <w:ind w:firstLine="482"/>
        <w:rPr>
          <w:color w:val="auto"/>
          <w:highlight w:val="none"/>
        </w:rPr>
      </w:pPr>
      <w:r>
        <w:rPr>
          <w:rFonts w:hint="eastAsia"/>
          <w:color w:val="auto"/>
          <w:highlight w:val="none"/>
        </w:rPr>
        <w:t>包件三：水资源综合规划（2021—2035）修编服务要求</w:t>
      </w:r>
    </w:p>
    <w:p>
      <w:pPr>
        <w:numPr>
          <w:ilvl w:val="0"/>
          <w:numId w:val="59"/>
        </w:numPr>
        <w:spacing w:line="360" w:lineRule="auto"/>
        <w:rPr>
          <w:color w:val="auto"/>
          <w:highlight w:val="none"/>
        </w:rPr>
      </w:pPr>
      <w:r>
        <w:rPr>
          <w:color w:val="auto"/>
          <w:highlight w:val="none"/>
        </w:rPr>
        <w:t>复核并完善指导思想与规划目标任务；</w:t>
      </w:r>
    </w:p>
    <w:p>
      <w:pPr>
        <w:numPr>
          <w:ilvl w:val="0"/>
          <w:numId w:val="59"/>
        </w:numPr>
        <w:spacing w:line="360" w:lineRule="auto"/>
        <w:rPr>
          <w:color w:val="auto"/>
          <w:highlight w:val="none"/>
        </w:rPr>
      </w:pPr>
      <w:r>
        <w:rPr>
          <w:color w:val="auto"/>
          <w:highlight w:val="none"/>
        </w:rPr>
        <w:t>根据水资源特点及生活、生产、生态环境供用水情况，调查评价水资源及其开发利用现状；</w:t>
      </w:r>
    </w:p>
    <w:p>
      <w:pPr>
        <w:numPr>
          <w:ilvl w:val="0"/>
          <w:numId w:val="59"/>
        </w:numPr>
        <w:spacing w:line="360" w:lineRule="auto"/>
        <w:rPr>
          <w:color w:val="auto"/>
          <w:highlight w:val="none"/>
        </w:rPr>
      </w:pPr>
      <w:r>
        <w:rPr>
          <w:color w:val="auto"/>
          <w:highlight w:val="none"/>
        </w:rPr>
        <w:t>计算分析不同规划年水资源供需量；</w:t>
      </w:r>
    </w:p>
    <w:p>
      <w:pPr>
        <w:numPr>
          <w:ilvl w:val="0"/>
          <w:numId w:val="59"/>
        </w:numPr>
        <w:spacing w:line="360" w:lineRule="auto"/>
        <w:rPr>
          <w:color w:val="auto"/>
          <w:highlight w:val="none"/>
        </w:rPr>
      </w:pPr>
      <w:r>
        <w:rPr>
          <w:color w:val="auto"/>
          <w:highlight w:val="none"/>
        </w:rPr>
        <w:t>明确水资源配置与供水保障方案；</w:t>
      </w:r>
    </w:p>
    <w:p>
      <w:pPr>
        <w:numPr>
          <w:ilvl w:val="0"/>
          <w:numId w:val="59"/>
        </w:numPr>
        <w:spacing w:line="360" w:lineRule="auto"/>
        <w:rPr>
          <w:color w:val="auto"/>
          <w:highlight w:val="none"/>
        </w:rPr>
      </w:pPr>
      <w:r>
        <w:rPr>
          <w:color w:val="auto"/>
          <w:highlight w:val="none"/>
        </w:rPr>
        <w:t>提出水资源保护措施及实施方案；</w:t>
      </w:r>
    </w:p>
    <w:p>
      <w:pPr>
        <w:numPr>
          <w:ilvl w:val="0"/>
          <w:numId w:val="59"/>
        </w:numPr>
        <w:spacing w:line="360" w:lineRule="auto"/>
        <w:rPr>
          <w:color w:val="auto"/>
          <w:highlight w:val="none"/>
        </w:rPr>
      </w:pPr>
      <w:r>
        <w:rPr>
          <w:color w:val="auto"/>
          <w:highlight w:val="none"/>
        </w:rPr>
        <w:t>提出水资源开发利用总体布局和近</w:t>
      </w:r>
      <w:r>
        <w:rPr>
          <w:rFonts w:hint="eastAsia"/>
          <w:color w:val="auto"/>
          <w:highlight w:val="none"/>
        </w:rPr>
        <w:t>、远</w:t>
      </w:r>
      <w:r>
        <w:rPr>
          <w:color w:val="auto"/>
          <w:highlight w:val="none"/>
        </w:rPr>
        <w:t>期实施方案；</w:t>
      </w:r>
    </w:p>
    <w:p>
      <w:pPr>
        <w:numPr>
          <w:ilvl w:val="0"/>
          <w:numId w:val="59"/>
        </w:numPr>
        <w:spacing w:line="360" w:lineRule="auto"/>
        <w:rPr>
          <w:color w:val="auto"/>
          <w:highlight w:val="none"/>
        </w:rPr>
      </w:pPr>
      <w:r>
        <w:rPr>
          <w:color w:val="auto"/>
          <w:highlight w:val="none"/>
        </w:rPr>
        <w:t>提出重点领域和地区水资源保障措施；</w:t>
      </w:r>
    </w:p>
    <w:p>
      <w:pPr>
        <w:numPr>
          <w:ilvl w:val="0"/>
          <w:numId w:val="59"/>
        </w:numPr>
        <w:spacing w:line="360" w:lineRule="auto"/>
        <w:rPr>
          <w:color w:val="auto"/>
          <w:highlight w:val="none"/>
        </w:rPr>
      </w:pPr>
      <w:r>
        <w:rPr>
          <w:color w:val="auto"/>
          <w:highlight w:val="none"/>
        </w:rPr>
        <w:t>提出水生态修复与保护措施；</w:t>
      </w:r>
    </w:p>
    <w:p>
      <w:pPr>
        <w:numPr>
          <w:ilvl w:val="0"/>
          <w:numId w:val="59"/>
        </w:numPr>
        <w:spacing w:line="360" w:lineRule="auto"/>
        <w:rPr>
          <w:color w:val="auto"/>
          <w:highlight w:val="none"/>
        </w:rPr>
      </w:pPr>
      <w:r>
        <w:rPr>
          <w:color w:val="auto"/>
          <w:highlight w:val="none"/>
        </w:rPr>
        <w:t>提出规划实施意见与保障措施；</w:t>
      </w:r>
    </w:p>
    <w:p>
      <w:pPr>
        <w:numPr>
          <w:ilvl w:val="0"/>
          <w:numId w:val="59"/>
        </w:numPr>
        <w:spacing w:line="360" w:lineRule="auto"/>
        <w:rPr>
          <w:color w:val="auto"/>
          <w:highlight w:val="none"/>
        </w:rPr>
      </w:pPr>
      <w:r>
        <w:rPr>
          <w:color w:val="auto"/>
          <w:highlight w:val="none"/>
        </w:rPr>
        <w:t>对实施效果与环境影响进行评价；</w:t>
      </w:r>
    </w:p>
    <w:p>
      <w:pPr>
        <w:numPr>
          <w:ilvl w:val="0"/>
          <w:numId w:val="59"/>
        </w:numPr>
        <w:spacing w:line="360" w:lineRule="auto"/>
        <w:rPr>
          <w:color w:val="auto"/>
          <w:highlight w:val="none"/>
        </w:rPr>
      </w:pPr>
      <w:r>
        <w:rPr>
          <w:color w:val="auto"/>
          <w:highlight w:val="none"/>
        </w:rPr>
        <w:t>复核并完善《龙泉驿区水资源综合规划报告》</w:t>
      </w:r>
      <w:r>
        <w:rPr>
          <w:rFonts w:hint="eastAsia"/>
          <w:color w:val="auto"/>
          <w:highlight w:val="none"/>
        </w:rPr>
        <w:t>说明书</w:t>
      </w:r>
      <w:r>
        <w:rPr>
          <w:color w:val="auto"/>
          <w:highlight w:val="none"/>
        </w:rPr>
        <w:t>及图册。</w:t>
      </w:r>
    </w:p>
    <w:p>
      <w:pPr>
        <w:pStyle w:val="6"/>
        <w:ind w:firstLine="482"/>
        <w:rPr>
          <w:color w:val="auto"/>
          <w:highlight w:val="none"/>
        </w:rPr>
      </w:pPr>
      <w:r>
        <w:rPr>
          <w:color w:val="auto"/>
          <w:highlight w:val="none"/>
        </w:rPr>
        <w:t>包</w:t>
      </w:r>
      <w:r>
        <w:rPr>
          <w:rFonts w:hint="eastAsia"/>
          <w:color w:val="auto"/>
          <w:highlight w:val="none"/>
        </w:rPr>
        <w:t>件四：城市</w:t>
      </w:r>
      <w:r>
        <w:rPr>
          <w:color w:val="auto"/>
          <w:highlight w:val="none"/>
        </w:rPr>
        <w:t>供水规划（2021—2035）修编</w:t>
      </w:r>
      <w:r>
        <w:rPr>
          <w:rFonts w:hint="eastAsia"/>
          <w:color w:val="auto"/>
          <w:highlight w:val="none"/>
        </w:rPr>
        <w:t>服务要求</w:t>
      </w:r>
    </w:p>
    <w:p>
      <w:pPr>
        <w:pStyle w:val="2"/>
        <w:spacing w:line="360" w:lineRule="auto"/>
        <w:ind w:firstLine="480" w:firstLineChars="200"/>
        <w:rPr>
          <w:color w:val="auto"/>
          <w:highlight w:val="none"/>
        </w:rPr>
      </w:pPr>
      <w:r>
        <w:rPr>
          <w:rFonts w:hint="eastAsia"/>
          <w:color w:val="auto"/>
          <w:highlight w:val="none"/>
        </w:rPr>
        <w:t>一、分析全区供水现状及存在问题；</w:t>
      </w:r>
    </w:p>
    <w:p>
      <w:pPr>
        <w:pStyle w:val="2"/>
        <w:spacing w:line="360" w:lineRule="auto"/>
        <w:ind w:firstLine="480" w:firstLineChars="200"/>
        <w:rPr>
          <w:color w:val="auto"/>
          <w:highlight w:val="none"/>
        </w:rPr>
      </w:pPr>
      <w:r>
        <w:rPr>
          <w:rFonts w:hint="eastAsia"/>
          <w:color w:val="auto"/>
          <w:highlight w:val="none"/>
        </w:rPr>
        <w:t>二、根据最新人口规模及我区发展趋势，科学预测近期、远期全区供水需求；</w:t>
      </w:r>
    </w:p>
    <w:p>
      <w:pPr>
        <w:pStyle w:val="2"/>
        <w:spacing w:line="360" w:lineRule="auto"/>
        <w:ind w:firstLine="480" w:firstLineChars="200"/>
        <w:rPr>
          <w:color w:val="auto"/>
          <w:highlight w:val="none"/>
        </w:rPr>
      </w:pPr>
      <w:r>
        <w:rPr>
          <w:rFonts w:hint="eastAsia"/>
          <w:color w:val="auto"/>
          <w:highlight w:val="none"/>
        </w:rPr>
        <w:t>三、结合成都市总体供水布局及我区城市规划布局，提出我区应急备用水源地规划需求，</w:t>
      </w:r>
      <w:r>
        <w:rPr>
          <w:color w:val="auto"/>
          <w:highlight w:val="none"/>
        </w:rPr>
        <w:t>确定</w:t>
      </w:r>
      <w:r>
        <w:rPr>
          <w:rFonts w:hint="eastAsia"/>
          <w:color w:val="auto"/>
          <w:highlight w:val="none"/>
        </w:rPr>
        <w:t>供水设施</w:t>
      </w:r>
      <w:r>
        <w:rPr>
          <w:color w:val="auto"/>
          <w:highlight w:val="none"/>
        </w:rPr>
        <w:t>数量、位置、规模和用地范围</w:t>
      </w:r>
      <w:r>
        <w:rPr>
          <w:rFonts w:hint="eastAsia"/>
          <w:color w:val="auto"/>
          <w:highlight w:val="none"/>
        </w:rPr>
        <w:t>，提出近期、远期建设计划并估算工程投资。</w:t>
      </w:r>
    </w:p>
    <w:p>
      <w:pPr>
        <w:pStyle w:val="3"/>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四、</w:t>
      </w:r>
      <w:r>
        <w:rPr>
          <w:rFonts w:ascii="Times New Roman" w:hAnsi="Times New Roman"/>
          <w:color w:val="auto"/>
          <w:sz w:val="24"/>
          <w:szCs w:val="24"/>
          <w:highlight w:val="none"/>
        </w:rPr>
        <w:t>复核并完善《龙泉驿区</w:t>
      </w:r>
      <w:r>
        <w:rPr>
          <w:rFonts w:hint="eastAsia" w:ascii="Times New Roman" w:hAnsi="Times New Roman"/>
          <w:color w:val="auto"/>
          <w:sz w:val="24"/>
          <w:szCs w:val="24"/>
          <w:highlight w:val="none"/>
        </w:rPr>
        <w:t>城市供水</w:t>
      </w:r>
      <w:r>
        <w:rPr>
          <w:rFonts w:ascii="Times New Roman" w:hAnsi="Times New Roman"/>
          <w:color w:val="auto"/>
          <w:sz w:val="24"/>
          <w:szCs w:val="24"/>
          <w:highlight w:val="none"/>
        </w:rPr>
        <w:t>规划》说明书</w:t>
      </w:r>
      <w:r>
        <w:rPr>
          <w:rFonts w:hint="eastAsia" w:ascii="Times New Roman" w:hAnsi="Times New Roman"/>
          <w:color w:val="auto"/>
          <w:sz w:val="24"/>
          <w:szCs w:val="24"/>
          <w:highlight w:val="none"/>
        </w:rPr>
        <w:t>及</w:t>
      </w:r>
      <w:r>
        <w:rPr>
          <w:rFonts w:ascii="Times New Roman" w:hAnsi="Times New Roman"/>
          <w:color w:val="auto"/>
          <w:sz w:val="24"/>
          <w:szCs w:val="24"/>
          <w:highlight w:val="none"/>
        </w:rPr>
        <w:t>图册</w:t>
      </w:r>
      <w:r>
        <w:rPr>
          <w:rFonts w:hint="eastAsia" w:ascii="Times New Roman" w:hAnsi="Times New Roman"/>
          <w:color w:val="auto"/>
          <w:sz w:val="24"/>
          <w:szCs w:val="24"/>
          <w:highlight w:val="none"/>
        </w:rPr>
        <w:t>。</w:t>
      </w:r>
    </w:p>
    <w:p>
      <w:pPr>
        <w:pStyle w:val="6"/>
        <w:ind w:firstLine="482"/>
        <w:rPr>
          <w:color w:val="auto"/>
          <w:highlight w:val="none"/>
        </w:rPr>
      </w:pPr>
      <w:r>
        <w:rPr>
          <w:rFonts w:hint="eastAsia"/>
          <w:color w:val="auto"/>
          <w:highlight w:val="none"/>
        </w:rPr>
        <w:t>包件五：</w:t>
      </w:r>
      <w:r>
        <w:rPr>
          <w:color w:val="auto"/>
          <w:highlight w:val="none"/>
        </w:rPr>
        <w:t>城乡排水规划（2021—2035）修编</w:t>
      </w:r>
      <w:r>
        <w:rPr>
          <w:rFonts w:hint="eastAsia"/>
          <w:color w:val="auto"/>
          <w:highlight w:val="none"/>
        </w:rPr>
        <w:t>服务要求</w:t>
      </w:r>
    </w:p>
    <w:p>
      <w:pPr>
        <w:numPr>
          <w:ilvl w:val="0"/>
          <w:numId w:val="60"/>
        </w:numPr>
        <w:spacing w:line="360" w:lineRule="auto"/>
        <w:rPr>
          <w:color w:val="auto"/>
          <w:highlight w:val="none"/>
        </w:rPr>
      </w:pPr>
      <w:r>
        <w:rPr>
          <w:color w:val="auto"/>
          <w:highlight w:val="none"/>
        </w:rPr>
        <w:t>分析现状排水系统及存在问题；</w:t>
      </w:r>
    </w:p>
    <w:p>
      <w:pPr>
        <w:numPr>
          <w:ilvl w:val="0"/>
          <w:numId w:val="60"/>
        </w:numPr>
        <w:spacing w:line="360" w:lineRule="auto"/>
        <w:rPr>
          <w:color w:val="auto"/>
          <w:highlight w:val="none"/>
        </w:rPr>
      </w:pPr>
      <w:r>
        <w:rPr>
          <w:color w:val="auto"/>
          <w:highlight w:val="none"/>
        </w:rPr>
        <w:t>确定排水范围和排水体制，制定雨、污水排放标准；</w:t>
      </w:r>
    </w:p>
    <w:p>
      <w:pPr>
        <w:numPr>
          <w:ilvl w:val="0"/>
          <w:numId w:val="60"/>
        </w:numPr>
        <w:spacing w:line="360" w:lineRule="auto"/>
        <w:rPr>
          <w:color w:val="auto"/>
          <w:highlight w:val="none"/>
        </w:rPr>
      </w:pPr>
      <w:r>
        <w:rPr>
          <w:color w:val="auto"/>
          <w:highlight w:val="none"/>
        </w:rPr>
        <w:t>划分排水区域，</w:t>
      </w:r>
      <w:r>
        <w:rPr>
          <w:rFonts w:hint="eastAsia"/>
          <w:color w:val="auto"/>
          <w:highlight w:val="none"/>
        </w:rPr>
        <w:t>估算</w:t>
      </w:r>
      <w:r>
        <w:rPr>
          <w:color w:val="auto"/>
          <w:highlight w:val="none"/>
        </w:rPr>
        <w:t>雨、污水量，复核排水设计规模，预测污染负荷；</w:t>
      </w:r>
    </w:p>
    <w:p>
      <w:pPr>
        <w:numPr>
          <w:ilvl w:val="0"/>
          <w:numId w:val="60"/>
        </w:numPr>
        <w:spacing w:line="360" w:lineRule="auto"/>
        <w:rPr>
          <w:color w:val="auto"/>
          <w:highlight w:val="none"/>
        </w:rPr>
      </w:pPr>
      <w:r>
        <w:rPr>
          <w:color w:val="auto"/>
          <w:highlight w:val="none"/>
        </w:rPr>
        <w:t>分析论证排水系统规划布局方案；</w:t>
      </w:r>
    </w:p>
    <w:p>
      <w:pPr>
        <w:numPr>
          <w:ilvl w:val="0"/>
          <w:numId w:val="60"/>
        </w:numPr>
        <w:spacing w:line="360" w:lineRule="auto"/>
        <w:rPr>
          <w:color w:val="auto"/>
          <w:highlight w:val="none"/>
        </w:rPr>
      </w:pPr>
      <w:r>
        <w:rPr>
          <w:color w:val="auto"/>
          <w:highlight w:val="none"/>
        </w:rPr>
        <w:t>确定排水设施布局，明确雨、污水主要泵站数量、位置，确定排水干管（渠）的走向和出口位置，绘制排水工程现状图、排水工程总平面布置图，排水干管（渠）平面图、排水干管（渠）水力计算图；</w:t>
      </w:r>
    </w:p>
    <w:p>
      <w:pPr>
        <w:numPr>
          <w:ilvl w:val="0"/>
          <w:numId w:val="60"/>
        </w:numPr>
        <w:spacing w:line="360" w:lineRule="auto"/>
        <w:rPr>
          <w:color w:val="auto"/>
          <w:highlight w:val="none"/>
        </w:rPr>
      </w:pPr>
      <w:r>
        <w:rPr>
          <w:color w:val="auto"/>
          <w:highlight w:val="none"/>
        </w:rPr>
        <w:t>确定污水处理厂数量、位置、规模、处理等级和用地范围，论证污水处理厂处理工艺、污泥处置工艺；</w:t>
      </w:r>
    </w:p>
    <w:p>
      <w:pPr>
        <w:numPr>
          <w:ilvl w:val="0"/>
          <w:numId w:val="60"/>
        </w:numPr>
        <w:spacing w:line="360" w:lineRule="auto"/>
        <w:rPr>
          <w:color w:val="auto"/>
          <w:highlight w:val="none"/>
        </w:rPr>
      </w:pPr>
      <w:r>
        <w:rPr>
          <w:color w:val="auto"/>
          <w:highlight w:val="none"/>
        </w:rPr>
        <w:t>对当地雨污水综合利用情况进行调查分析，提出适宜的雨污水综合利用措施</w:t>
      </w:r>
      <w:r>
        <w:rPr>
          <w:rFonts w:hint="eastAsia"/>
          <w:color w:val="auto"/>
          <w:highlight w:val="none"/>
        </w:rPr>
        <w:t>，确定中水回用设施及规模</w:t>
      </w:r>
      <w:r>
        <w:rPr>
          <w:color w:val="auto"/>
          <w:highlight w:val="none"/>
        </w:rPr>
        <w:t>；</w:t>
      </w:r>
    </w:p>
    <w:p>
      <w:pPr>
        <w:numPr>
          <w:ilvl w:val="0"/>
          <w:numId w:val="60"/>
        </w:numPr>
        <w:spacing w:line="360" w:lineRule="auto"/>
        <w:rPr>
          <w:color w:val="auto"/>
          <w:highlight w:val="none"/>
        </w:rPr>
      </w:pPr>
      <w:r>
        <w:rPr>
          <w:color w:val="auto"/>
          <w:highlight w:val="none"/>
        </w:rPr>
        <w:t>将排水工程规划与城市规划相结合，提出工程进度安排。按照突出重点、分期治理、远近结合的原则，提出实施安排的总体意见，以及近期工程实施意见；</w:t>
      </w:r>
    </w:p>
    <w:p>
      <w:pPr>
        <w:numPr>
          <w:ilvl w:val="0"/>
          <w:numId w:val="60"/>
        </w:numPr>
        <w:spacing w:line="360" w:lineRule="auto"/>
        <w:rPr>
          <w:color w:val="auto"/>
          <w:highlight w:val="none"/>
        </w:rPr>
      </w:pPr>
      <w:r>
        <w:rPr>
          <w:color w:val="auto"/>
          <w:highlight w:val="none"/>
        </w:rPr>
        <w:t>根据工程量，匡算工程总投资，提出工程投资计划及资金筹措方案。</w:t>
      </w:r>
    </w:p>
    <w:p>
      <w:pPr>
        <w:numPr>
          <w:ilvl w:val="0"/>
          <w:numId w:val="60"/>
        </w:numPr>
        <w:spacing w:line="360" w:lineRule="auto"/>
        <w:rPr>
          <w:color w:val="auto"/>
          <w:highlight w:val="none"/>
        </w:rPr>
      </w:pPr>
      <w:r>
        <w:rPr>
          <w:color w:val="auto"/>
          <w:highlight w:val="none"/>
        </w:rPr>
        <w:t>复核并完善《龙泉驿区</w:t>
      </w:r>
      <w:r>
        <w:rPr>
          <w:rFonts w:hint="eastAsia"/>
          <w:color w:val="auto"/>
          <w:highlight w:val="none"/>
        </w:rPr>
        <w:t>城乡排水规划</w:t>
      </w:r>
      <w:r>
        <w:rPr>
          <w:color w:val="auto"/>
          <w:highlight w:val="none"/>
        </w:rPr>
        <w:t>》说明书及附图册。</w:t>
      </w:r>
    </w:p>
    <w:p>
      <w:pPr>
        <w:pStyle w:val="5"/>
        <w:rPr>
          <w:color w:val="auto"/>
          <w:sz w:val="24"/>
          <w:szCs w:val="24"/>
          <w:highlight w:val="none"/>
        </w:rPr>
      </w:pPr>
      <w:bookmarkStart w:id="334" w:name="_Toc18543"/>
      <w:r>
        <w:rPr>
          <w:rFonts w:hint="eastAsia"/>
          <w:color w:val="auto"/>
          <w:sz w:val="24"/>
          <w:szCs w:val="24"/>
          <w:highlight w:val="none"/>
        </w:rPr>
        <w:t>各包商务要求</w:t>
      </w:r>
      <w:bookmarkEnd w:id="334"/>
    </w:p>
    <w:p>
      <w:pPr>
        <w:pStyle w:val="6"/>
        <w:ind w:left="18" w:firstLine="462" w:firstLineChars="0"/>
        <w:rPr>
          <w:color w:val="auto"/>
          <w:highlight w:val="none"/>
        </w:rPr>
      </w:pPr>
      <w:r>
        <w:rPr>
          <w:rFonts w:hint="eastAsia"/>
          <w:color w:val="auto"/>
          <w:highlight w:val="none"/>
        </w:rPr>
        <w:t>服务期限</w:t>
      </w:r>
    </w:p>
    <w:p>
      <w:pPr>
        <w:spacing w:line="360" w:lineRule="auto"/>
        <w:ind w:firstLine="480" w:firstLineChars="200"/>
        <w:rPr>
          <w:color w:val="auto"/>
          <w:highlight w:val="none"/>
        </w:rPr>
      </w:pPr>
      <w:r>
        <w:rPr>
          <w:color w:val="auto"/>
          <w:highlight w:val="none"/>
        </w:rPr>
        <w:t>合同签订后30天内。</w:t>
      </w:r>
    </w:p>
    <w:p>
      <w:pPr>
        <w:pStyle w:val="6"/>
        <w:ind w:left="18" w:firstLine="462" w:firstLineChars="0"/>
        <w:rPr>
          <w:color w:val="auto"/>
          <w:highlight w:val="none"/>
        </w:rPr>
      </w:pPr>
      <w:r>
        <w:rPr>
          <w:rFonts w:hint="eastAsia"/>
          <w:color w:val="auto"/>
          <w:highlight w:val="none"/>
        </w:rPr>
        <w:t>服务地点</w:t>
      </w:r>
    </w:p>
    <w:p>
      <w:pPr>
        <w:spacing w:line="360" w:lineRule="auto"/>
        <w:ind w:firstLine="480" w:firstLineChars="200"/>
        <w:rPr>
          <w:rFonts w:ascii="宋体" w:hAnsi="宋体" w:cs="宋体"/>
          <w:bCs/>
          <w:color w:val="auto"/>
          <w:highlight w:val="none"/>
        </w:rPr>
      </w:pPr>
      <w:r>
        <w:rPr>
          <w:rFonts w:hint="eastAsia"/>
          <w:color w:val="auto"/>
          <w:highlight w:val="none"/>
        </w:rPr>
        <w:t>采购人指定地点。</w:t>
      </w:r>
    </w:p>
    <w:p>
      <w:pPr>
        <w:pStyle w:val="6"/>
        <w:ind w:left="18" w:firstLine="462" w:firstLineChars="0"/>
        <w:rPr>
          <w:color w:val="auto"/>
          <w:highlight w:val="none"/>
        </w:rPr>
      </w:pPr>
      <w:r>
        <w:rPr>
          <w:rFonts w:hint="eastAsia"/>
          <w:color w:val="auto"/>
          <w:highlight w:val="none"/>
        </w:rPr>
        <w:t>付款方法</w:t>
      </w:r>
    </w:p>
    <w:p>
      <w:pPr>
        <w:spacing w:line="360" w:lineRule="auto"/>
        <w:ind w:firstLine="480" w:firstLineChars="200"/>
        <w:rPr>
          <w:color w:val="auto"/>
          <w:highlight w:val="none"/>
        </w:rPr>
      </w:pPr>
      <w:r>
        <w:rPr>
          <w:rFonts w:hint="eastAsia"/>
          <w:color w:val="auto"/>
          <w:highlight w:val="none"/>
        </w:rPr>
        <w:t>合同签订生效、采购人完成支付审签后15个工作日内支付合同总价的</w:t>
      </w:r>
      <w:r>
        <w:rPr>
          <w:color w:val="auto"/>
          <w:highlight w:val="none"/>
        </w:rPr>
        <w:t>4</w:t>
      </w:r>
      <w:r>
        <w:rPr>
          <w:rFonts w:hint="eastAsia"/>
          <w:color w:val="auto"/>
          <w:highlight w:val="none"/>
        </w:rPr>
        <w:t>0%；修编工作全部完成并通过审查后支付剩余的款项。</w:t>
      </w:r>
    </w:p>
    <w:bookmarkEnd w:id="332"/>
    <w:p>
      <w:pPr>
        <w:pStyle w:val="6"/>
        <w:ind w:left="18" w:firstLine="462" w:firstLineChars="0"/>
        <w:rPr>
          <w:rFonts w:cs="宋体"/>
          <w:color w:val="auto"/>
          <w:szCs w:val="24"/>
          <w:highlight w:val="none"/>
        </w:rPr>
      </w:pPr>
      <w:bookmarkStart w:id="335" w:name="_Toc26098"/>
      <w:r>
        <w:rPr>
          <w:rFonts w:hint="eastAsia" w:cs="宋体"/>
          <w:b w:val="0"/>
          <w:bCs w:val="0"/>
          <w:color w:val="auto"/>
          <w:highlight w:val="none"/>
        </w:rPr>
        <w:t xml:space="preserve"> </w:t>
      </w:r>
      <w:r>
        <w:rPr>
          <w:rFonts w:hint="eastAsia" w:cs="宋体"/>
          <w:color w:val="auto"/>
          <w:kern w:val="0"/>
          <w:szCs w:val="24"/>
          <w:highlight w:val="none"/>
          <w:lang w:bidi="ar"/>
        </w:rPr>
        <w:t xml:space="preserve">验收方法和标准 </w:t>
      </w:r>
    </w:p>
    <w:bookmarkEnd w:id="335"/>
    <w:p>
      <w:pPr>
        <w:pStyle w:val="2"/>
        <w:spacing w:line="360" w:lineRule="auto"/>
        <w:ind w:firstLine="480" w:firstLineChars="200"/>
        <w:rPr>
          <w:rFonts w:ascii="宋体" w:hAnsi="宋体" w:cs="宋体"/>
          <w:b/>
          <w:color w:val="auto"/>
          <w:highlight w:val="none"/>
        </w:rPr>
      </w:pPr>
      <w:r>
        <w:rPr>
          <w:rFonts w:hint="eastAsia" w:ascii="宋体" w:hAnsi="宋体" w:cs="宋体"/>
          <w:color w:val="auto"/>
          <w:highlight w:val="none"/>
        </w:rPr>
        <w:t xml:space="preserve">按照《财政部关于进一步加强政府采购需求和履约验收管理的指导意见》（财库〔2016〕205号）《关于印发〈政府采购需求管理办法〉的通知》（财库（2021）22号）要求进行验收。 </w:t>
      </w:r>
    </w:p>
    <w:p>
      <w:pPr>
        <w:widowControl w:val="0"/>
        <w:spacing w:line="360" w:lineRule="auto"/>
        <w:ind w:firstLine="482" w:firstLineChars="200"/>
        <w:jc w:val="both"/>
        <w:rPr>
          <w:rFonts w:ascii="宋体" w:hAnsi="宋体" w:cs="宋体"/>
          <w:b/>
          <w:bCs/>
          <w:iCs/>
          <w:color w:val="auto"/>
          <w:highlight w:val="none"/>
        </w:rPr>
      </w:pPr>
      <w:r>
        <w:rPr>
          <w:rFonts w:hint="eastAsia" w:ascii="宋体" w:hAnsi="宋体" w:cs="宋体"/>
          <w:b/>
          <w:bCs/>
          <w:color w:val="auto"/>
          <w:highlight w:val="none"/>
        </w:rPr>
        <w:t>注：本章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2"/>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本章标注“★”号的条款为本次磋商采购项目的实质性要求，供应商在磋商结束后应全部满足。</w:t>
      </w:r>
    </w:p>
    <w:p>
      <w:pPr>
        <w:spacing w:line="360" w:lineRule="auto"/>
        <w:rPr>
          <w:color w:val="auto"/>
          <w:highlight w:val="none"/>
        </w:rPr>
        <w:sectPr>
          <w:pgSz w:w="11906" w:h="16838"/>
          <w:pgMar w:top="1440" w:right="1274" w:bottom="1440" w:left="1418" w:header="851" w:footer="992" w:gutter="0"/>
          <w:cols w:space="720" w:num="1"/>
          <w:docGrid w:type="lines" w:linePitch="312" w:charSpace="0"/>
        </w:sectPr>
      </w:pPr>
    </w:p>
    <w:p>
      <w:pPr>
        <w:pStyle w:val="4"/>
        <w:rPr>
          <w:color w:val="auto"/>
          <w:highlight w:val="none"/>
        </w:rPr>
      </w:pPr>
      <w:bookmarkStart w:id="336" w:name="_Toc238581781"/>
      <w:bookmarkStart w:id="337" w:name="_Toc9438"/>
      <w:r>
        <w:rPr>
          <w:rFonts w:hint="eastAsia"/>
          <w:color w:val="auto"/>
          <w:highlight w:val="none"/>
        </w:rPr>
        <w:t>响应</w:t>
      </w:r>
      <w:bookmarkEnd w:id="336"/>
      <w:r>
        <w:rPr>
          <w:rFonts w:hint="eastAsia"/>
          <w:color w:val="auto"/>
          <w:highlight w:val="none"/>
        </w:rPr>
        <w:t>文件格式</w:t>
      </w:r>
      <w:bookmarkEnd w:id="337"/>
    </w:p>
    <w:p>
      <w:pPr>
        <w:spacing w:line="360" w:lineRule="auto"/>
        <w:ind w:firstLine="482"/>
        <w:rPr>
          <w:color w:val="auto"/>
          <w:highlight w:val="none"/>
        </w:rPr>
      </w:pPr>
      <w:r>
        <w:rPr>
          <w:rFonts w:hint="eastAsia"/>
          <w:color w:val="auto"/>
          <w:highlight w:val="none"/>
        </w:rPr>
        <w:t>一、本章所制响应文件格式，除格式中明确将该格式作为实质性要求的，一律不具有强制性。</w:t>
      </w:r>
    </w:p>
    <w:p>
      <w:pPr>
        <w:spacing w:line="360" w:lineRule="auto"/>
        <w:ind w:firstLine="482"/>
        <w:rPr>
          <w:color w:val="auto"/>
          <w:highlight w:val="none"/>
        </w:rPr>
      </w:pPr>
      <w:r>
        <w:rPr>
          <w:rFonts w:hint="eastAsia"/>
          <w:color w:val="auto"/>
          <w:highlight w:val="none"/>
        </w:rPr>
        <w:t>二、本章所制响应文件格式有关表格中的备注栏，由供应商根据自身情况作解释性说明，不作为必填项。</w:t>
      </w:r>
    </w:p>
    <w:p>
      <w:pPr>
        <w:spacing w:line="360" w:lineRule="auto"/>
        <w:ind w:firstLine="482"/>
        <w:rPr>
          <w:color w:val="auto"/>
          <w:highlight w:val="none"/>
        </w:rPr>
      </w:pPr>
      <w:r>
        <w:rPr>
          <w:rFonts w:hint="eastAsia"/>
          <w:color w:val="auto"/>
          <w:highlight w:val="none"/>
        </w:rPr>
        <w:t>三、本章所制响应文件格式中需要填写的相关内容事项，可能会与本采购项目无关，在不改变响应文件原义、不影响本项目采购需求的情况下，供应商可以不予填写，但应当注明。</w:t>
      </w:r>
    </w:p>
    <w:p>
      <w:pPr>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5"/>
        <w:jc w:val="center"/>
        <w:rPr>
          <w:color w:val="auto"/>
          <w:highlight w:val="none"/>
        </w:rPr>
      </w:pPr>
      <w:bookmarkStart w:id="338" w:name="_Toc9246"/>
      <w:r>
        <w:rPr>
          <w:rFonts w:hint="eastAsia"/>
          <w:color w:val="auto"/>
          <w:highlight w:val="none"/>
        </w:rPr>
        <w:t>资格性响应文件格式</w:t>
      </w:r>
      <w:bookmarkEnd w:id="338"/>
    </w:p>
    <w:p>
      <w:pPr>
        <w:pStyle w:val="6"/>
        <w:ind w:left="18" w:hanging="18"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339" w:name="_Toc238581782"/>
      <w:bookmarkStart w:id="340" w:name="_Toc119296788"/>
      <w:bookmarkStart w:id="341" w:name="_Toc119203988"/>
      <w:bookmarkStart w:id="342" w:name="_Toc146903609"/>
      <w:bookmarkStart w:id="343" w:name="_Toc52184753"/>
      <w:bookmarkStart w:id="344" w:name="_Toc119295087"/>
      <w:r>
        <w:rPr>
          <w:rFonts w:hint="eastAsia" w:ascii="宋体" w:hAnsi="宋体"/>
          <w:color w:val="auto"/>
          <w:highlight w:val="none"/>
        </w:rPr>
        <w:t>致：</w:t>
      </w:r>
      <w:bookmarkEnd w:id="339"/>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45" w:name="_Toc238581783"/>
      <w:r>
        <w:rPr>
          <w:rFonts w:hint="eastAsia" w:ascii="宋体" w:hAnsi="宋体"/>
          <w:color w:val="auto"/>
          <w:sz w:val="24"/>
          <w:highlight w:val="none"/>
        </w:rPr>
        <w:t>关于我方对</w:t>
      </w:r>
      <w:r>
        <w:rPr>
          <w:rFonts w:hint="eastAsia" w:ascii="宋体" w:hAnsi="宋体"/>
          <w:b/>
          <w:color w:val="auto"/>
          <w:sz w:val="24"/>
          <w:highlight w:val="none"/>
        </w:rPr>
        <w:t>成都市龙泉驿区水务局水务综合规划（2021-2035）修编服务采购项目 （项目编号：</w:t>
      </w:r>
      <w:r>
        <w:rPr>
          <w:rFonts w:hint="eastAsia" w:ascii="宋体" w:hAnsi="宋体"/>
          <w:b/>
          <w:color w:val="auto"/>
          <w:sz w:val="24"/>
          <w:highlight w:val="none"/>
          <w:lang w:eastAsia="zh-CN"/>
        </w:rPr>
        <w:t>510112202200015</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61"/>
        </w:numPr>
        <w:spacing w:line="360" w:lineRule="auto"/>
        <w:ind w:left="0" w:firstLine="480" w:firstLineChars="200"/>
        <w:rPr>
          <w:rFonts w:ascii="宋体" w:hAnsi="宋体"/>
          <w:color w:val="auto"/>
          <w:highlight w:val="none"/>
        </w:rPr>
      </w:pPr>
      <w:bookmarkStart w:id="346" w:name="_Toc238581784"/>
      <w:r>
        <w:rPr>
          <w:rFonts w:hint="eastAsia" w:ascii="宋体" w:hAnsi="宋体"/>
          <w:color w:val="auto"/>
          <w:highlight w:val="none"/>
        </w:rPr>
        <w:t>供应商名称及概况：</w:t>
      </w:r>
      <w:bookmarkEnd w:id="346"/>
    </w:p>
    <w:p>
      <w:pPr>
        <w:numPr>
          <w:ilvl w:val="0"/>
          <w:numId w:val="62"/>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62"/>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62"/>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62"/>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61"/>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340"/>
    <w:bookmarkEnd w:id="341"/>
    <w:bookmarkEnd w:id="342"/>
    <w:bookmarkEnd w:id="343"/>
    <w:bookmarkEnd w:id="344"/>
    <w:bookmarkEnd w:id="345"/>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6"/>
        <w:ind w:left="18" w:hanging="18" w:firstLineChars="0"/>
        <w:rPr>
          <w:color w:val="auto"/>
          <w:highlight w:val="none"/>
        </w:rPr>
      </w:pPr>
      <w:bookmarkStart w:id="347"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6"/>
        <w:ind w:left="18" w:hanging="18"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6"/>
        <w:ind w:left="18" w:hanging="18"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6"/>
        <w:ind w:left="18" w:hanging="18"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6"/>
        <w:ind w:left="18" w:hanging="18" w:firstLineChars="0"/>
        <w:rPr>
          <w:color w:val="auto"/>
          <w:highlight w:val="none"/>
        </w:rPr>
      </w:pPr>
      <w:r>
        <w:rPr>
          <w:rFonts w:hint="eastAsia"/>
          <w:color w:val="auto"/>
          <w:highlight w:val="none"/>
        </w:rPr>
        <w:t>承诺函</w:t>
      </w:r>
    </w:p>
    <w:p>
      <w:pPr>
        <w:spacing w:line="360" w:lineRule="auto"/>
        <w:rPr>
          <w:rFonts w:ascii="宋体" w:hAnsi="宋体" w:cs="宋体"/>
          <w:b/>
          <w:bCs/>
          <w:color w:val="auto"/>
          <w:highlight w:val="none"/>
        </w:rPr>
      </w:pPr>
      <w:r>
        <w:rPr>
          <w:rFonts w:hint="eastAsia" w:ascii="宋体" w:hAnsi="宋体" w:cs="宋体"/>
          <w:b/>
          <w:bCs/>
          <w:color w:val="auto"/>
          <w:highlight w:val="none"/>
        </w:rPr>
        <w:t>四川世科工程咨询有限公司：</w:t>
      </w:r>
    </w:p>
    <w:p>
      <w:pPr>
        <w:pStyle w:val="2"/>
        <w:rPr>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我公司作为本次采购项目的供应商，根据磋商文件的要求，在此郑重承诺：</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我方</w:t>
      </w:r>
      <w:r>
        <w:rPr>
          <w:rFonts w:hint="eastAsia" w:ascii="宋体" w:hAnsi="宋体" w:cs="宋体"/>
          <w:bCs/>
          <w:color w:val="auto"/>
          <w:highlight w:val="none"/>
          <w:u w:val="single"/>
        </w:rPr>
        <w:t xml:space="preserve">       </w:t>
      </w:r>
      <w:r>
        <w:rPr>
          <w:rFonts w:hint="eastAsia" w:ascii="宋体" w:hAnsi="宋体" w:cs="宋体"/>
          <w:bCs/>
          <w:color w:val="auto"/>
          <w:highlight w:val="none"/>
        </w:rPr>
        <w:t>良好的商业信誉</w:t>
      </w:r>
      <w:r>
        <w:rPr>
          <w:rFonts w:hint="eastAsia" w:ascii="宋体" w:hAnsi="宋体" w:cs="宋体"/>
          <w:b/>
          <w:color w:val="auto"/>
          <w:highlight w:val="none"/>
        </w:rPr>
        <w:t>（填写：“具有”或“不具有”）</w:t>
      </w:r>
      <w:r>
        <w:rPr>
          <w:rFonts w:hint="eastAsia" w:ascii="宋体" w:hAnsi="宋体" w:cs="宋体"/>
          <w:bCs/>
          <w:color w:val="auto"/>
          <w:highlight w:val="none"/>
        </w:rPr>
        <w:t>。</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我方</w:t>
      </w:r>
      <w:r>
        <w:rPr>
          <w:rFonts w:hint="eastAsia" w:ascii="宋体" w:hAnsi="宋体" w:cs="宋体"/>
          <w:bCs/>
          <w:color w:val="auto"/>
          <w:highlight w:val="none"/>
          <w:u w:val="single"/>
        </w:rPr>
        <w:t xml:space="preserve">       </w:t>
      </w:r>
      <w:r>
        <w:rPr>
          <w:rFonts w:hint="eastAsia" w:ascii="宋体" w:hAnsi="宋体" w:cs="宋体"/>
          <w:bCs/>
          <w:color w:val="auto"/>
          <w:highlight w:val="none"/>
        </w:rPr>
        <w:t>履行合同所必需的设备和专业技术能力</w:t>
      </w:r>
      <w:r>
        <w:rPr>
          <w:rFonts w:hint="eastAsia" w:ascii="宋体" w:hAnsi="宋体" w:cs="宋体"/>
          <w:b/>
          <w:color w:val="auto"/>
          <w:highlight w:val="none"/>
        </w:rPr>
        <w:t>（填写：“具有”或“不具有”）</w:t>
      </w:r>
      <w:r>
        <w:rPr>
          <w:rFonts w:hint="eastAsia" w:ascii="宋体" w:hAnsi="宋体" w:cs="宋体"/>
          <w:bCs/>
          <w:color w:val="auto"/>
          <w:highlight w:val="none"/>
        </w:rPr>
        <w:t>。</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我方参加政府采购活动前三年内，在经营活动中</w:t>
      </w:r>
      <w:r>
        <w:rPr>
          <w:rFonts w:hint="eastAsia" w:ascii="宋体" w:hAnsi="宋体" w:cs="宋体"/>
          <w:bCs/>
          <w:color w:val="auto"/>
          <w:highlight w:val="none"/>
          <w:u w:val="single"/>
        </w:rPr>
        <w:t xml:space="preserve">      </w:t>
      </w:r>
      <w:r>
        <w:rPr>
          <w:rFonts w:hint="eastAsia" w:ascii="宋体" w:hAnsi="宋体" w:cs="宋体"/>
          <w:bCs/>
          <w:color w:val="auto"/>
          <w:highlight w:val="none"/>
        </w:rPr>
        <w:t>重大违法记录</w:t>
      </w:r>
      <w:r>
        <w:rPr>
          <w:rFonts w:hint="eastAsia" w:ascii="宋体" w:hAnsi="宋体" w:cs="宋体"/>
          <w:b/>
          <w:color w:val="auto"/>
          <w:highlight w:val="none"/>
        </w:rPr>
        <w:t>（填写：“没有”或者“有”）</w:t>
      </w:r>
      <w:r>
        <w:rPr>
          <w:rFonts w:hint="eastAsia" w:ascii="宋体" w:hAnsi="宋体" w:cs="宋体"/>
          <w:bCs/>
          <w:color w:val="auto"/>
          <w:highlight w:val="none"/>
        </w:rPr>
        <w:t>。</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color w:val="auto"/>
          <w:highlight w:val="none"/>
        </w:rPr>
        <w:t>在行贿犯罪信息查询期限内，我公司及我公司现任法定代表人、主要负责人</w:t>
      </w:r>
    </w:p>
    <w:p>
      <w:pPr>
        <w:widowControl w:val="0"/>
        <w:snapToGrid w:val="0"/>
        <w:spacing w:line="360" w:lineRule="auto"/>
        <w:rPr>
          <w:rFonts w:ascii="宋体" w:hAnsi="宋体" w:cs="宋体"/>
          <w:bCs/>
          <w:color w:val="auto"/>
          <w:highlight w:val="none"/>
        </w:rPr>
      </w:pPr>
      <w:r>
        <w:rPr>
          <w:rFonts w:hint="eastAsia" w:ascii="宋体" w:hAnsi="宋体" w:cs="宋体"/>
          <w:bCs/>
          <w:color w:val="auto"/>
          <w:highlight w:val="none"/>
          <w:u w:val="single"/>
        </w:rPr>
        <w:t xml:space="preserve">          </w:t>
      </w:r>
      <w:r>
        <w:rPr>
          <w:rFonts w:hint="eastAsia" w:ascii="宋体" w:hAnsi="宋体" w:cs="宋体"/>
          <w:b/>
          <w:color w:val="auto"/>
          <w:highlight w:val="none"/>
        </w:rPr>
        <w:t>（填写：“没有”或者“有”）</w:t>
      </w:r>
      <w:r>
        <w:rPr>
          <w:rFonts w:hint="eastAsia" w:ascii="宋体" w:hAnsi="宋体" w:cs="宋体"/>
          <w:color w:val="auto"/>
          <w:highlight w:val="none"/>
        </w:rPr>
        <w:t>行贿犯罪记录。</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color w:val="auto"/>
          <w:highlight w:val="none"/>
        </w:rPr>
        <w:t>我方</w:t>
      </w:r>
      <w:r>
        <w:rPr>
          <w:rFonts w:hint="eastAsia" w:ascii="宋体" w:hAnsi="宋体" w:cs="宋体"/>
          <w:bCs/>
          <w:color w:val="auto"/>
          <w:highlight w:val="none"/>
          <w:u w:val="single"/>
        </w:rPr>
        <w:t xml:space="preserve">          </w:t>
      </w:r>
      <w:r>
        <w:rPr>
          <w:rFonts w:hint="eastAsia" w:ascii="宋体" w:hAnsi="宋体" w:cs="宋体"/>
          <w:b/>
          <w:color w:val="auto"/>
          <w:highlight w:val="none"/>
        </w:rPr>
        <w:t>（填写：“没有为”或者“为”）</w:t>
      </w:r>
      <w:r>
        <w:rPr>
          <w:rFonts w:hint="eastAsia" w:ascii="宋体" w:hAnsi="宋体" w:cs="宋体"/>
          <w:color w:val="auto"/>
          <w:highlight w:val="none"/>
        </w:rPr>
        <w:t>本次采购项目提供过整体设计、规范编制或者项目管理、监理、检测等服务；</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我方</w:t>
      </w:r>
      <w:r>
        <w:rPr>
          <w:rFonts w:hint="eastAsia" w:ascii="宋体" w:hAnsi="宋体" w:cs="宋体"/>
          <w:bCs/>
          <w:color w:val="auto"/>
          <w:highlight w:val="none"/>
          <w:u w:val="single"/>
        </w:rPr>
        <w:t xml:space="preserve">       </w:t>
      </w:r>
      <w:r>
        <w:rPr>
          <w:rFonts w:hint="eastAsia" w:ascii="宋体" w:hAnsi="宋体" w:cs="宋体"/>
          <w:b/>
          <w:color w:val="auto"/>
          <w:highlight w:val="none"/>
        </w:rPr>
        <w:t>（填写：“不存在”或者“存在”）</w:t>
      </w:r>
      <w:r>
        <w:rPr>
          <w:rFonts w:hint="eastAsia" w:ascii="宋体" w:hAnsi="宋体" w:cs="宋体"/>
          <w:color w:val="auto"/>
          <w:highlight w:val="none"/>
        </w:rPr>
        <w:t>单位负责人为同一人或者存在控股、管理关系的不同供应商，参加同一合同项下的政府采购活动的情形。</w:t>
      </w:r>
    </w:p>
    <w:p>
      <w:pPr>
        <w:widowControl w:val="0"/>
        <w:numPr>
          <w:ilvl w:val="0"/>
          <w:numId w:val="63"/>
        </w:numPr>
        <w:snapToGrid w:val="0"/>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我方</w:t>
      </w:r>
      <w:r>
        <w:rPr>
          <w:rFonts w:hint="eastAsia" w:ascii="宋体" w:hAnsi="宋体" w:cs="宋体"/>
          <w:bCs/>
          <w:color w:val="auto"/>
          <w:highlight w:val="none"/>
          <w:u w:val="single"/>
        </w:rPr>
        <w:t xml:space="preserve">       </w:t>
      </w:r>
      <w:r>
        <w:rPr>
          <w:rFonts w:hint="eastAsia" w:ascii="宋体" w:hAnsi="宋体" w:cs="宋体"/>
          <w:b/>
          <w:color w:val="auto"/>
          <w:highlight w:val="none"/>
        </w:rPr>
        <w:t>（填写：“具备”或者“不具备”）</w:t>
      </w:r>
      <w:r>
        <w:rPr>
          <w:rFonts w:hint="eastAsia" w:ascii="宋体" w:hAnsi="宋体" w:cs="宋体"/>
          <w:bCs/>
          <w:color w:val="auto"/>
          <w:highlight w:val="none"/>
        </w:rPr>
        <w:t>法律、行政法规规定的其他条件。</w:t>
      </w:r>
    </w:p>
    <w:p>
      <w:pPr>
        <w:widowControl w:val="0"/>
        <w:numPr>
          <w:ilvl w:val="0"/>
          <w:numId w:val="63"/>
        </w:num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我方非联合体磋商。</w:t>
      </w:r>
    </w:p>
    <w:p>
      <w:pPr>
        <w:snapToGrid w:val="0"/>
        <w:spacing w:line="360" w:lineRule="auto"/>
        <w:ind w:firstLine="480"/>
        <w:rPr>
          <w:rFonts w:ascii="宋体" w:hAnsi="宋体" w:cs="宋体"/>
          <w:bCs/>
          <w:color w:val="auto"/>
          <w:highlight w:val="none"/>
        </w:rPr>
      </w:pPr>
      <w:r>
        <w:rPr>
          <w:rFonts w:hint="eastAsia" w:ascii="宋体" w:hAnsi="宋体" w:cs="宋体"/>
          <w:bCs/>
          <w:color w:val="auto"/>
          <w:highlight w:val="none"/>
        </w:rPr>
        <w:t>我方对上述承诺的内容事项真实性负责。如经查实上述承诺的内容事项存在虚假，我方愿意接受以提供虚假材料谋取成交的法律责任。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ascii="宋体" w:hAnsi="宋体"/>
          <w:color w:val="auto"/>
          <w:highlight w:val="none"/>
        </w:rPr>
      </w:pPr>
    </w:p>
    <w:p>
      <w:pPr>
        <w:pStyle w:val="3"/>
        <w:rPr>
          <w:color w:val="auto"/>
          <w:highlight w:val="none"/>
        </w:rPr>
      </w:pPr>
    </w:p>
    <w:p>
      <w:pPr>
        <w:pStyle w:val="2"/>
        <w:widowControl w:val="0"/>
        <w:snapToGrid w:val="0"/>
        <w:spacing w:after="0" w:line="480" w:lineRule="exact"/>
        <w:rPr>
          <w:b/>
          <w:bCs/>
          <w:color w:val="auto"/>
          <w:highlight w:val="none"/>
        </w:rPr>
      </w:pPr>
      <w:r>
        <w:rPr>
          <w:rFonts w:hint="eastAsia"/>
          <w:b/>
          <w:bCs/>
          <w:color w:val="auto"/>
          <w:highlight w:val="none"/>
        </w:rPr>
        <w:t>说明：</w:t>
      </w:r>
    </w:p>
    <w:p>
      <w:pPr>
        <w:widowControl w:val="0"/>
        <w:numPr>
          <w:ilvl w:val="0"/>
          <w:numId w:val="64"/>
        </w:numPr>
        <w:snapToGrid w:val="0"/>
        <w:spacing w:line="480" w:lineRule="exact"/>
        <w:ind w:firstLine="480" w:firstLineChars="200"/>
        <w:rPr>
          <w:bCs/>
          <w:color w:val="auto"/>
          <w:highlight w:val="none"/>
        </w:rPr>
      </w:pPr>
      <w:r>
        <w:rPr>
          <w:rFonts w:hint="eastAsia"/>
          <w:bCs/>
          <w:color w:val="auto"/>
          <w:highlight w:val="none"/>
        </w:rPr>
        <w:t>供应商应按照每条说明进行填写，未按要求填写的将不能认定其响应文件有效。</w:t>
      </w:r>
    </w:p>
    <w:p>
      <w:pPr>
        <w:widowControl w:val="0"/>
        <w:numPr>
          <w:ilvl w:val="0"/>
          <w:numId w:val="64"/>
        </w:numPr>
        <w:snapToGrid w:val="0"/>
        <w:spacing w:line="480" w:lineRule="exact"/>
        <w:ind w:firstLine="480" w:firstLineChars="200"/>
        <w:rPr>
          <w:bCs/>
          <w:color w:val="auto"/>
          <w:highlight w:val="none"/>
        </w:rPr>
      </w:pPr>
      <w:r>
        <w:rPr>
          <w:rFonts w:hint="eastAsia"/>
          <w:bCs/>
          <w:color w:val="auto"/>
          <w:highlight w:val="none"/>
        </w:rPr>
        <w:t>供应商</w:t>
      </w:r>
      <w:r>
        <w:rPr>
          <w:bCs/>
          <w:color w:val="auto"/>
          <w:highlight w:val="none"/>
        </w:rPr>
        <w:t>成立时间不足3年的，从成立之日起计算。</w:t>
      </w:r>
    </w:p>
    <w:p>
      <w:pPr>
        <w:widowControl w:val="0"/>
        <w:numPr>
          <w:ilvl w:val="0"/>
          <w:numId w:val="64"/>
        </w:numPr>
        <w:snapToGrid w:val="0"/>
        <w:spacing w:line="480" w:lineRule="exact"/>
        <w:ind w:firstLine="480" w:firstLineChars="200"/>
        <w:rPr>
          <w:bCs/>
          <w:color w:val="auto"/>
          <w:highlight w:val="none"/>
        </w:rPr>
      </w:pPr>
      <w:r>
        <w:rPr>
          <w:rFonts w:hint="eastAsia"/>
          <w:bCs/>
          <w:color w:val="auto"/>
          <w:highlight w:val="none"/>
        </w:rPr>
        <w:t>供应商</w:t>
      </w:r>
      <w:r>
        <w:rPr>
          <w:bCs/>
          <w:color w:val="auto"/>
          <w:highlight w:val="none"/>
        </w:rPr>
        <w:t>在参加采购活动前，被纳入法院、工商行政管理部门、税务部门、银行认定的失信名单且在有效期内，或者在前三年合同履约过程中及其他经营活动履约过程中未依法履约被有关行政部门处罚（处理）的，本项目不认定其具有良好的商业信誉。</w:t>
      </w:r>
    </w:p>
    <w:p>
      <w:pPr>
        <w:widowControl w:val="0"/>
        <w:numPr>
          <w:ilvl w:val="0"/>
          <w:numId w:val="64"/>
        </w:numPr>
        <w:snapToGrid w:val="0"/>
        <w:spacing w:line="480" w:lineRule="exact"/>
        <w:ind w:firstLine="480" w:firstLineChars="200"/>
        <w:rPr>
          <w:bCs/>
          <w:color w:val="auto"/>
          <w:highlight w:val="none"/>
        </w:rPr>
      </w:pPr>
      <w:r>
        <w:rPr>
          <w:bCs/>
          <w:color w:val="auto"/>
          <w:highlight w:val="none"/>
        </w:rPr>
        <w:t>依法免税或不需要缴纳社会保障资金的</w:t>
      </w:r>
      <w:r>
        <w:rPr>
          <w:rFonts w:hint="eastAsia"/>
          <w:bCs/>
          <w:color w:val="auto"/>
          <w:highlight w:val="none"/>
        </w:rPr>
        <w:t>供应商</w:t>
      </w:r>
      <w:r>
        <w:rPr>
          <w:bCs/>
          <w:color w:val="auto"/>
          <w:highlight w:val="none"/>
        </w:rPr>
        <w:t>，应提供相关证明材料证明其依法可免税或不需要缴纳社会保障资金</w:t>
      </w:r>
      <w:r>
        <w:rPr>
          <w:rFonts w:hint="eastAsia"/>
          <w:bCs/>
          <w:color w:val="auto"/>
          <w:highlight w:val="none"/>
        </w:rPr>
        <w:t>。</w:t>
      </w:r>
    </w:p>
    <w:p>
      <w:pPr>
        <w:widowControl w:val="0"/>
        <w:numPr>
          <w:ilvl w:val="0"/>
          <w:numId w:val="64"/>
        </w:numPr>
        <w:snapToGrid w:val="0"/>
        <w:spacing w:line="480" w:lineRule="exact"/>
        <w:ind w:firstLine="480" w:firstLineChars="200"/>
        <w:rPr>
          <w:bCs/>
          <w:color w:val="auto"/>
          <w:highlight w:val="none"/>
        </w:rPr>
      </w:pPr>
      <w:r>
        <w:rPr>
          <w:bCs/>
          <w:color w:val="auto"/>
          <w:highlight w:val="none"/>
        </w:rPr>
        <w:t>重大违法记录是指</w:t>
      </w:r>
      <w:r>
        <w:rPr>
          <w:rFonts w:hint="eastAsia"/>
          <w:bCs/>
          <w:color w:val="auto"/>
          <w:highlight w:val="none"/>
        </w:rPr>
        <w:t>供应商</w:t>
      </w:r>
      <w:r>
        <w:rPr>
          <w:bCs/>
          <w:color w:val="auto"/>
          <w:highlight w:val="none"/>
        </w:rPr>
        <w:t>因违法经营受到刑事处罚或责令停产停业；吊销许可证或者执照；较大数额罚款；较大数额没收财产等行政处罚。重大违法记录中的较大数额罚款的具体金额标准是：认定为200万元以上的罚款，法律、行政法规以及国务院有关部门明确规定相关领域“较大数额罚款”标准高于200万元的，从其规定</w:t>
      </w:r>
      <w:r>
        <w:rPr>
          <w:rFonts w:hint="eastAsia"/>
          <w:bCs/>
          <w:color w:val="auto"/>
          <w:highlight w:val="none"/>
        </w:rPr>
        <w:t>。</w:t>
      </w:r>
    </w:p>
    <w:p>
      <w:pPr>
        <w:rPr>
          <w:color w:val="auto"/>
          <w:highlight w:val="none"/>
        </w:rPr>
        <w:sectPr>
          <w:pgSz w:w="11906" w:h="16838"/>
          <w:pgMar w:top="1440" w:right="1274" w:bottom="1440" w:left="1418" w:header="851" w:footer="992" w:gutter="0"/>
          <w:cols w:space="720" w:num="1"/>
          <w:docGrid w:type="lines" w:linePitch="312" w:charSpace="0"/>
        </w:sectPr>
      </w:pPr>
    </w:p>
    <w:p>
      <w:pPr>
        <w:pStyle w:val="6"/>
        <w:ind w:left="18" w:hanging="18" w:firstLineChars="0"/>
        <w:rPr>
          <w:color w:val="auto"/>
          <w:highlight w:val="none"/>
        </w:rPr>
      </w:pPr>
      <w:r>
        <w:rPr>
          <w:rFonts w:hint="eastAsia"/>
          <w:color w:val="auto"/>
          <w:highlight w:val="none"/>
        </w:rPr>
        <w:t>关联情况说明</w:t>
      </w:r>
    </w:p>
    <w:p>
      <w:pPr>
        <w:shd w:val="clear" w:color="auto" w:fill="FFFFFF"/>
        <w:tabs>
          <w:tab w:val="left" w:pos="709"/>
        </w:tabs>
        <w:spacing w:line="600" w:lineRule="atLeast"/>
        <w:ind w:firstLine="480" w:firstLineChars="200"/>
        <w:jc w:val="both"/>
        <w:rPr>
          <w:rFonts w:ascii="宋体" w:hAnsi="宋体" w:cs="宋体"/>
          <w:bCs/>
          <w:color w:val="auto"/>
          <w:highlight w:val="none"/>
        </w:rPr>
      </w:pPr>
      <w:r>
        <w:rPr>
          <w:rFonts w:hint="eastAsia" w:ascii="宋体" w:hAnsi="宋体" w:cs="宋体"/>
          <w:bCs/>
          <w:color w:val="auto"/>
          <w:highlight w:val="none"/>
        </w:rPr>
        <w:t>根据相关法律法规规定，我方将如实列明与我方存在其直接控股、管理关系的相关人员及单位名单，承诺不以不同供应商身份参加本项目采购活动：</w:t>
      </w:r>
    </w:p>
    <w:p>
      <w:pPr>
        <w:spacing w:line="560" w:lineRule="atLeast"/>
        <w:jc w:val="center"/>
        <w:rPr>
          <w:rFonts w:ascii="宋体" w:hAnsi="宋体" w:cs="宋体"/>
          <w:b/>
          <w:color w:val="auto"/>
          <w:highlight w:val="none"/>
        </w:rPr>
      </w:pPr>
      <w:r>
        <w:rPr>
          <w:rFonts w:hint="eastAsia" w:ascii="宋体" w:hAnsi="宋体" w:cs="宋体"/>
          <w:b/>
          <w:color w:val="auto"/>
          <w:highlight w:val="none"/>
        </w:rPr>
        <w:t>关联情况表</w:t>
      </w:r>
    </w:p>
    <w:tbl>
      <w:tblPr>
        <w:tblStyle w:val="44"/>
        <w:tblW w:w="9713"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348"/>
        <w:gridCol w:w="6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Align w:val="center"/>
          </w:tcPr>
          <w:p>
            <w:pPr>
              <w:spacing w:line="480" w:lineRule="exact"/>
              <w:jc w:val="center"/>
              <w:rPr>
                <w:rFonts w:ascii="宋体" w:hAnsi="宋体" w:cs="宋体"/>
                <w:b/>
                <w:color w:val="auto"/>
                <w:highlight w:val="none"/>
              </w:rPr>
            </w:pPr>
            <w:r>
              <w:rPr>
                <w:rFonts w:hint="eastAsia" w:ascii="宋体" w:hAnsi="宋体" w:cs="宋体"/>
                <w:b/>
                <w:color w:val="auto"/>
                <w:highlight w:val="none"/>
              </w:rPr>
              <w:t>序号</w:t>
            </w:r>
          </w:p>
        </w:tc>
        <w:tc>
          <w:tcPr>
            <w:tcW w:w="2348" w:type="dxa"/>
            <w:vAlign w:val="center"/>
          </w:tcPr>
          <w:p>
            <w:pPr>
              <w:spacing w:line="480" w:lineRule="exact"/>
              <w:jc w:val="center"/>
              <w:rPr>
                <w:rFonts w:ascii="宋体" w:hAnsi="宋体" w:cs="宋体"/>
                <w:b/>
                <w:color w:val="auto"/>
                <w:highlight w:val="none"/>
              </w:rPr>
            </w:pPr>
            <w:r>
              <w:rPr>
                <w:rFonts w:hint="eastAsia" w:ascii="宋体" w:hAnsi="宋体" w:cs="宋体"/>
                <w:b/>
                <w:color w:val="auto"/>
                <w:highlight w:val="none"/>
              </w:rPr>
              <w:t>关联内容</w:t>
            </w:r>
          </w:p>
        </w:tc>
        <w:tc>
          <w:tcPr>
            <w:tcW w:w="6548" w:type="dxa"/>
            <w:vAlign w:val="center"/>
          </w:tcPr>
          <w:p>
            <w:pPr>
              <w:spacing w:line="480" w:lineRule="exact"/>
              <w:jc w:val="center"/>
              <w:rPr>
                <w:rFonts w:ascii="宋体" w:hAnsi="宋体" w:cs="宋体"/>
                <w:b/>
                <w:color w:val="auto"/>
                <w:highlight w:val="none"/>
              </w:rPr>
            </w:pPr>
            <w:r>
              <w:rPr>
                <w:rFonts w:hint="eastAsia" w:ascii="宋体" w:hAnsi="宋体" w:cs="宋体"/>
                <w:b/>
                <w:color w:val="auto"/>
                <w:highlight w:val="none"/>
              </w:rPr>
              <w:t>关联情形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817"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1</w:t>
            </w:r>
          </w:p>
        </w:tc>
        <w:tc>
          <w:tcPr>
            <w:tcW w:w="2348"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授权代表</w:t>
            </w:r>
          </w:p>
          <w:p>
            <w:pPr>
              <w:spacing w:line="480" w:lineRule="exact"/>
              <w:jc w:val="center"/>
              <w:rPr>
                <w:rFonts w:ascii="宋体" w:hAnsi="宋体" w:cs="宋体"/>
                <w:color w:val="auto"/>
                <w:highlight w:val="none"/>
              </w:rPr>
            </w:pPr>
            <w:r>
              <w:rPr>
                <w:rFonts w:hint="eastAsia" w:ascii="宋体" w:hAnsi="宋体" w:cs="宋体"/>
                <w:b/>
                <w:color w:val="auto"/>
                <w:highlight w:val="none"/>
              </w:rPr>
              <w:t>（勾选）</w:t>
            </w:r>
          </w:p>
        </w:tc>
        <w:tc>
          <w:tcPr>
            <w:tcW w:w="6548" w:type="dxa"/>
            <w:vAlign w:val="center"/>
          </w:tcPr>
          <w:p>
            <w:pPr>
              <w:spacing w:line="480" w:lineRule="exact"/>
              <w:ind w:firstLine="240" w:firstLineChars="100"/>
              <w:jc w:val="both"/>
              <w:rPr>
                <w:rFonts w:ascii="宋体" w:hAnsi="宋体" w:cs="宋体"/>
                <w:b/>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我方委托的授权代表为我单位工作人员，不存在同时是其他单位工作人员的情形。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Merge w:val="continue"/>
            <w:vAlign w:val="center"/>
          </w:tcPr>
          <w:p>
            <w:pPr>
              <w:spacing w:line="480" w:lineRule="exact"/>
              <w:jc w:val="center"/>
              <w:rPr>
                <w:rFonts w:ascii="宋体" w:hAnsi="宋体" w:cs="宋体"/>
                <w:b/>
                <w:color w:val="auto"/>
                <w:highlight w:val="none"/>
              </w:rPr>
            </w:pPr>
          </w:p>
        </w:tc>
        <w:tc>
          <w:tcPr>
            <w:tcW w:w="2348" w:type="dxa"/>
            <w:vMerge w:val="continue"/>
            <w:vAlign w:val="center"/>
          </w:tcPr>
          <w:p>
            <w:pPr>
              <w:spacing w:line="480" w:lineRule="exact"/>
              <w:jc w:val="center"/>
              <w:rPr>
                <w:rFonts w:ascii="宋体" w:hAnsi="宋体" w:cs="宋体"/>
                <w:b/>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我方委托的授权代表为</w:t>
            </w:r>
            <w:r>
              <w:rPr>
                <w:rFonts w:hint="eastAsia" w:ascii="宋体" w:hAnsi="宋体" w:cs="宋体"/>
                <w:bCs/>
                <w:color w:val="auto"/>
                <w:highlight w:val="none"/>
                <w:u w:val="single"/>
              </w:rPr>
              <w:t xml:space="preserve">    （其他单位全称）</w:t>
            </w:r>
            <w:r>
              <w:rPr>
                <w:rFonts w:hint="eastAsia" w:ascii="宋体" w:hAnsi="宋体" w:cs="宋体"/>
                <w:bCs/>
                <w:color w:val="auto"/>
                <w:highlight w:val="none"/>
              </w:rPr>
              <w:t xml:space="preserve">         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2</w:t>
            </w:r>
          </w:p>
        </w:tc>
        <w:tc>
          <w:tcPr>
            <w:tcW w:w="2348"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法定代表人/负责人</w:t>
            </w:r>
          </w:p>
          <w:p>
            <w:pPr>
              <w:spacing w:line="480" w:lineRule="exact"/>
              <w:jc w:val="center"/>
              <w:rPr>
                <w:rFonts w:ascii="宋体" w:hAnsi="宋体" w:cs="宋体"/>
                <w:color w:val="auto"/>
                <w:highlight w:val="none"/>
              </w:rPr>
            </w:pPr>
            <w:r>
              <w:rPr>
                <w:rFonts w:hint="eastAsia" w:ascii="宋体" w:hAnsi="宋体" w:cs="宋体"/>
                <w:b/>
                <w:color w:val="auto"/>
                <w:highlight w:val="none"/>
              </w:rPr>
              <w:t>（勾选）</w:t>
            </w: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我方法定代表人/负责人不存在同时是其他单位法定代表人/负责人的情形。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Merge w:val="continue"/>
            <w:vAlign w:val="center"/>
          </w:tcPr>
          <w:p>
            <w:pPr>
              <w:spacing w:line="480" w:lineRule="exact"/>
              <w:jc w:val="center"/>
              <w:rPr>
                <w:rFonts w:ascii="宋体" w:hAnsi="宋体" w:cs="宋体"/>
                <w:bCs/>
                <w:color w:val="auto"/>
                <w:highlight w:val="none"/>
              </w:rPr>
            </w:pPr>
          </w:p>
        </w:tc>
        <w:tc>
          <w:tcPr>
            <w:tcW w:w="2348" w:type="dxa"/>
            <w:vMerge w:val="continue"/>
            <w:vAlign w:val="center"/>
          </w:tcPr>
          <w:p>
            <w:pPr>
              <w:spacing w:line="480" w:lineRule="exact"/>
              <w:jc w:val="center"/>
              <w:rPr>
                <w:rFonts w:ascii="宋体" w:hAnsi="宋体" w:cs="宋体"/>
                <w:b/>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我方法定代表人/负责人为</w:t>
            </w:r>
            <w:r>
              <w:rPr>
                <w:rFonts w:hint="eastAsia" w:ascii="宋体" w:hAnsi="宋体" w:cs="宋体"/>
                <w:bCs/>
                <w:color w:val="auto"/>
                <w:highlight w:val="none"/>
                <w:u w:val="single"/>
              </w:rPr>
              <w:t xml:space="preserve">  （其他单位全称）的</w:t>
            </w:r>
            <w:r>
              <w:rPr>
                <w:rFonts w:hint="eastAsia" w:ascii="宋体" w:hAnsi="宋体" w:cs="宋体"/>
                <w:bCs/>
                <w:color w:val="auto"/>
                <w:highlight w:val="none"/>
              </w:rPr>
              <w:t>法定代表人/负责人。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817"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3</w:t>
            </w:r>
          </w:p>
        </w:tc>
        <w:tc>
          <w:tcPr>
            <w:tcW w:w="2348"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代理机构</w:t>
            </w:r>
          </w:p>
          <w:p>
            <w:pPr>
              <w:spacing w:line="480" w:lineRule="exact"/>
              <w:jc w:val="center"/>
              <w:rPr>
                <w:rFonts w:ascii="宋体" w:hAnsi="宋体" w:cs="宋体"/>
                <w:bCs/>
                <w:color w:val="auto"/>
                <w:highlight w:val="none"/>
              </w:rPr>
            </w:pPr>
            <w:r>
              <w:rPr>
                <w:rFonts w:hint="eastAsia" w:ascii="宋体" w:hAnsi="宋体" w:cs="宋体"/>
                <w:b/>
                <w:color w:val="auto"/>
                <w:highlight w:val="none"/>
              </w:rPr>
              <w:t>（勾选）</w:t>
            </w: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我方实际控制人或者中高级管理人员不存在同时是采购代理机构工作人员的情形。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480" w:lineRule="exact"/>
              <w:jc w:val="center"/>
              <w:rPr>
                <w:rFonts w:ascii="宋体" w:hAnsi="宋体" w:cs="宋体"/>
                <w:bCs/>
                <w:color w:val="auto"/>
                <w:highlight w:val="none"/>
              </w:rPr>
            </w:pPr>
          </w:p>
        </w:tc>
        <w:tc>
          <w:tcPr>
            <w:tcW w:w="2348" w:type="dxa"/>
            <w:vMerge w:val="continue"/>
          </w:tcPr>
          <w:p>
            <w:pPr>
              <w:spacing w:line="480" w:lineRule="exact"/>
              <w:jc w:val="center"/>
              <w:rPr>
                <w:rFonts w:ascii="宋体" w:hAnsi="宋体" w:cs="宋体"/>
                <w:bCs/>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我方实际控制人/中高级管理人员</w:t>
            </w:r>
            <w:r>
              <w:rPr>
                <w:rFonts w:hint="eastAsia" w:ascii="宋体" w:hAnsi="宋体" w:cs="宋体"/>
                <w:bCs/>
                <w:color w:val="auto"/>
                <w:highlight w:val="none"/>
                <w:u w:val="single"/>
              </w:rPr>
              <w:t xml:space="preserve"> （姓名）</w:t>
            </w:r>
            <w:r>
              <w:rPr>
                <w:rFonts w:hint="eastAsia" w:ascii="宋体" w:hAnsi="宋体" w:cs="宋体"/>
                <w:bCs/>
                <w:color w:val="auto"/>
                <w:highlight w:val="none"/>
              </w:rPr>
              <w:t xml:space="preserve"> 为代理机构工作人员。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817"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4</w:t>
            </w:r>
          </w:p>
        </w:tc>
        <w:tc>
          <w:tcPr>
            <w:tcW w:w="2348"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控股、管理关系</w:t>
            </w:r>
          </w:p>
          <w:p>
            <w:pPr>
              <w:spacing w:line="480" w:lineRule="exact"/>
              <w:jc w:val="center"/>
              <w:rPr>
                <w:rFonts w:ascii="宋体" w:hAnsi="宋体" w:cs="宋体"/>
                <w:bCs/>
                <w:color w:val="auto"/>
                <w:highlight w:val="none"/>
              </w:rPr>
            </w:pPr>
            <w:r>
              <w:rPr>
                <w:rFonts w:hint="eastAsia" w:ascii="宋体" w:hAnsi="宋体" w:cs="宋体"/>
                <w:b/>
                <w:color w:val="auto"/>
                <w:highlight w:val="none"/>
              </w:rPr>
              <w:t>（勾选）</w:t>
            </w:r>
          </w:p>
        </w:tc>
        <w:tc>
          <w:tcPr>
            <w:tcW w:w="6548" w:type="dxa"/>
            <w:vAlign w:val="center"/>
          </w:tcPr>
          <w:p>
            <w:pPr>
              <w:spacing w:line="480" w:lineRule="exact"/>
              <w:ind w:firstLine="240" w:firstLineChars="100"/>
              <w:jc w:val="both"/>
              <w:rPr>
                <w:rFonts w:ascii="宋体" w:hAnsi="宋体" w:cs="宋体"/>
                <w:bCs/>
                <w:color w:val="auto"/>
                <w:highlight w:val="none"/>
                <w:lang w:val="zh-CN"/>
              </w:rPr>
            </w:pPr>
            <w:r>
              <w:rPr>
                <w:rFonts w:hint="eastAsia" w:ascii="宋体" w:hAnsi="宋体" w:cs="宋体"/>
                <w:bCs/>
                <w:color w:val="auto"/>
                <w:highlight w:val="none"/>
              </w:rPr>
              <w:sym w:font="Wingdings 2" w:char="00A3"/>
            </w:r>
            <w:r>
              <w:rPr>
                <w:rFonts w:hint="eastAsia" w:ascii="宋体" w:hAnsi="宋体" w:cs="宋体"/>
                <w:bCs/>
                <w:color w:val="auto"/>
                <w:highlight w:val="none"/>
              </w:rPr>
              <w:t>我方未与其他单位存在控股、管理关系。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817" w:type="dxa"/>
            <w:vMerge w:val="continue"/>
            <w:vAlign w:val="center"/>
          </w:tcPr>
          <w:p>
            <w:pPr>
              <w:spacing w:line="480" w:lineRule="exact"/>
              <w:jc w:val="center"/>
              <w:rPr>
                <w:rFonts w:ascii="宋体" w:hAnsi="宋体" w:cs="宋体"/>
                <w:bCs/>
                <w:color w:val="auto"/>
                <w:highlight w:val="none"/>
              </w:rPr>
            </w:pPr>
          </w:p>
        </w:tc>
        <w:tc>
          <w:tcPr>
            <w:tcW w:w="2348" w:type="dxa"/>
            <w:vMerge w:val="continue"/>
            <w:vAlign w:val="center"/>
          </w:tcPr>
          <w:p>
            <w:pPr>
              <w:spacing w:line="480" w:lineRule="exact"/>
              <w:jc w:val="center"/>
              <w:rPr>
                <w:rFonts w:ascii="宋体" w:hAnsi="宋体" w:cs="宋体"/>
                <w:b/>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 xml:space="preserve">我方与 </w:t>
            </w:r>
            <w:r>
              <w:rPr>
                <w:rFonts w:hint="eastAsia" w:ascii="宋体" w:hAnsi="宋体" w:cs="宋体"/>
                <w:bCs/>
                <w:color w:val="auto"/>
                <w:highlight w:val="none"/>
                <w:u w:val="single"/>
              </w:rPr>
              <w:t xml:space="preserve">（关联单位全称）  </w:t>
            </w:r>
            <w:r>
              <w:rPr>
                <w:rFonts w:hint="eastAsia" w:ascii="宋体" w:hAnsi="宋体" w:cs="宋体"/>
                <w:bCs/>
                <w:color w:val="auto"/>
                <w:highlight w:val="none"/>
              </w:rPr>
              <w:t>存在控股、管理关系。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817"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5</w:t>
            </w:r>
          </w:p>
        </w:tc>
        <w:tc>
          <w:tcPr>
            <w:tcW w:w="2348" w:type="dxa"/>
            <w:vMerge w:val="restart"/>
            <w:vAlign w:val="center"/>
          </w:tcPr>
          <w:p>
            <w:pPr>
              <w:spacing w:line="480" w:lineRule="exact"/>
              <w:jc w:val="center"/>
              <w:rPr>
                <w:rFonts w:ascii="宋体" w:hAnsi="宋体" w:cs="宋体"/>
                <w:bCs/>
                <w:color w:val="auto"/>
                <w:highlight w:val="none"/>
              </w:rPr>
            </w:pPr>
            <w:r>
              <w:rPr>
                <w:rFonts w:hint="eastAsia" w:ascii="宋体" w:hAnsi="宋体" w:cs="宋体"/>
                <w:bCs/>
                <w:color w:val="auto"/>
                <w:highlight w:val="none"/>
              </w:rPr>
              <w:t>与其他单位是否</w:t>
            </w:r>
          </w:p>
          <w:p>
            <w:pPr>
              <w:spacing w:line="480" w:lineRule="exact"/>
              <w:jc w:val="center"/>
              <w:rPr>
                <w:rFonts w:ascii="宋体" w:hAnsi="宋体" w:cs="宋体"/>
                <w:bCs/>
                <w:color w:val="auto"/>
                <w:highlight w:val="none"/>
              </w:rPr>
            </w:pPr>
            <w:r>
              <w:rPr>
                <w:rFonts w:hint="eastAsia" w:ascii="宋体" w:hAnsi="宋体" w:cs="宋体"/>
                <w:bCs/>
                <w:color w:val="auto"/>
                <w:highlight w:val="none"/>
              </w:rPr>
              <w:t>存在关联关系</w:t>
            </w:r>
          </w:p>
          <w:p>
            <w:pPr>
              <w:spacing w:line="480" w:lineRule="exact"/>
              <w:jc w:val="center"/>
              <w:rPr>
                <w:rFonts w:ascii="宋体" w:hAnsi="宋体" w:cs="宋体"/>
                <w:bCs/>
                <w:color w:val="auto"/>
                <w:highlight w:val="none"/>
              </w:rPr>
            </w:pPr>
            <w:r>
              <w:rPr>
                <w:rFonts w:hint="eastAsia" w:ascii="宋体" w:hAnsi="宋体" w:cs="宋体"/>
                <w:b/>
                <w:color w:val="auto"/>
                <w:highlight w:val="none"/>
              </w:rPr>
              <w:t>（勾选）</w:t>
            </w: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我方不是其他单位的母公司或子公司。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17" w:type="dxa"/>
            <w:vMerge w:val="continue"/>
            <w:vAlign w:val="center"/>
          </w:tcPr>
          <w:p>
            <w:pPr>
              <w:spacing w:line="480" w:lineRule="exact"/>
              <w:jc w:val="center"/>
              <w:rPr>
                <w:rFonts w:ascii="宋体" w:hAnsi="宋体" w:cs="宋体"/>
                <w:bCs/>
                <w:color w:val="auto"/>
                <w:highlight w:val="none"/>
              </w:rPr>
            </w:pPr>
          </w:p>
        </w:tc>
        <w:tc>
          <w:tcPr>
            <w:tcW w:w="2348" w:type="dxa"/>
            <w:vMerge w:val="continue"/>
          </w:tcPr>
          <w:p>
            <w:pPr>
              <w:spacing w:line="480" w:lineRule="exact"/>
              <w:jc w:val="center"/>
              <w:rPr>
                <w:rFonts w:ascii="宋体" w:hAnsi="宋体" w:cs="宋体"/>
                <w:bCs/>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 xml:space="preserve">我方为 </w:t>
            </w:r>
            <w:r>
              <w:rPr>
                <w:rFonts w:hint="eastAsia" w:ascii="宋体" w:hAnsi="宋体" w:cs="宋体"/>
                <w:bCs/>
                <w:color w:val="auto"/>
                <w:highlight w:val="none"/>
                <w:u w:val="single"/>
              </w:rPr>
              <w:t xml:space="preserve"> （关联单位全称） </w:t>
            </w:r>
            <w:r>
              <w:rPr>
                <w:rFonts w:hint="eastAsia" w:ascii="宋体" w:hAnsi="宋体" w:cs="宋体"/>
                <w:bCs/>
                <w:color w:val="auto"/>
                <w:highlight w:val="none"/>
              </w:rPr>
              <w:t xml:space="preserve"> 的母公司。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817" w:type="dxa"/>
            <w:vMerge w:val="continue"/>
            <w:vAlign w:val="center"/>
          </w:tcPr>
          <w:p>
            <w:pPr>
              <w:spacing w:line="480" w:lineRule="exact"/>
              <w:jc w:val="center"/>
              <w:rPr>
                <w:rFonts w:ascii="宋体" w:hAnsi="宋体" w:cs="宋体"/>
                <w:bCs/>
                <w:color w:val="auto"/>
                <w:highlight w:val="none"/>
              </w:rPr>
            </w:pPr>
          </w:p>
        </w:tc>
        <w:tc>
          <w:tcPr>
            <w:tcW w:w="2348" w:type="dxa"/>
            <w:vMerge w:val="continue"/>
          </w:tcPr>
          <w:p>
            <w:pPr>
              <w:spacing w:line="480" w:lineRule="exact"/>
              <w:jc w:val="center"/>
              <w:rPr>
                <w:rFonts w:ascii="宋体" w:hAnsi="宋体" w:cs="宋体"/>
                <w:bCs/>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 xml:space="preserve">我方为 </w:t>
            </w:r>
            <w:r>
              <w:rPr>
                <w:rFonts w:hint="eastAsia" w:ascii="宋体" w:hAnsi="宋体" w:cs="宋体"/>
                <w:bCs/>
                <w:color w:val="auto"/>
                <w:highlight w:val="none"/>
                <w:u w:val="single"/>
              </w:rPr>
              <w:t xml:space="preserve"> （关联单位全称）  </w:t>
            </w:r>
            <w:r>
              <w:rPr>
                <w:rFonts w:hint="eastAsia" w:ascii="宋体" w:hAnsi="宋体" w:cs="宋体"/>
                <w:bCs/>
                <w:color w:val="auto"/>
                <w:highlight w:val="none"/>
              </w:rPr>
              <w:t>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817" w:type="dxa"/>
            <w:vMerge w:val="continue"/>
            <w:vAlign w:val="center"/>
          </w:tcPr>
          <w:p>
            <w:pPr>
              <w:spacing w:line="480" w:lineRule="exact"/>
              <w:jc w:val="center"/>
              <w:rPr>
                <w:rFonts w:ascii="宋体" w:hAnsi="宋体" w:cs="宋体"/>
                <w:bCs/>
                <w:color w:val="auto"/>
                <w:highlight w:val="none"/>
              </w:rPr>
            </w:pPr>
          </w:p>
        </w:tc>
        <w:tc>
          <w:tcPr>
            <w:tcW w:w="2348" w:type="dxa"/>
            <w:vMerge w:val="continue"/>
          </w:tcPr>
          <w:p>
            <w:pPr>
              <w:spacing w:line="480" w:lineRule="exact"/>
              <w:jc w:val="center"/>
              <w:rPr>
                <w:rFonts w:ascii="宋体" w:hAnsi="宋体" w:cs="宋体"/>
                <w:bCs/>
                <w:color w:val="auto"/>
                <w:highlight w:val="none"/>
              </w:rPr>
            </w:pPr>
          </w:p>
        </w:tc>
        <w:tc>
          <w:tcPr>
            <w:tcW w:w="6548" w:type="dxa"/>
            <w:vAlign w:val="center"/>
          </w:tcPr>
          <w:p>
            <w:pPr>
              <w:spacing w:line="480" w:lineRule="exact"/>
              <w:ind w:firstLine="240" w:firstLineChars="100"/>
              <w:jc w:val="both"/>
              <w:rPr>
                <w:rFonts w:ascii="宋体" w:hAnsi="宋体" w:cs="宋体"/>
                <w:bCs/>
                <w:color w:val="auto"/>
                <w:highlight w:val="none"/>
              </w:rPr>
            </w:pPr>
            <w:r>
              <w:rPr>
                <w:rFonts w:hint="eastAsia" w:ascii="宋体" w:hAnsi="宋体" w:cs="宋体"/>
                <w:bCs/>
                <w:color w:val="auto"/>
                <w:highlight w:val="none"/>
              </w:rPr>
              <w:sym w:font="Wingdings 2" w:char="00A3"/>
            </w:r>
            <w:r>
              <w:rPr>
                <w:rFonts w:hint="eastAsia" w:ascii="宋体" w:hAnsi="宋体" w:cs="宋体"/>
                <w:bCs/>
                <w:color w:val="auto"/>
                <w:highlight w:val="none"/>
              </w:rPr>
              <w:t>我方与</w:t>
            </w:r>
            <w:r>
              <w:rPr>
                <w:rFonts w:hint="eastAsia" w:ascii="宋体" w:hAnsi="宋体" w:cs="宋体"/>
                <w:bCs/>
                <w:color w:val="auto"/>
                <w:highlight w:val="none"/>
                <w:u w:val="single"/>
              </w:rPr>
              <w:t xml:space="preserve">  （关联单位全称）  </w:t>
            </w:r>
            <w:r>
              <w:rPr>
                <w:rFonts w:hint="eastAsia" w:ascii="宋体" w:hAnsi="宋体" w:cs="宋体"/>
                <w:bCs/>
                <w:color w:val="auto"/>
                <w:highlight w:val="none"/>
              </w:rPr>
              <w:t>同为</w:t>
            </w:r>
            <w:r>
              <w:rPr>
                <w:rFonts w:hint="eastAsia" w:ascii="宋体" w:hAnsi="宋体" w:cs="宋体"/>
                <w:bCs/>
                <w:color w:val="auto"/>
                <w:highlight w:val="none"/>
                <w:u w:val="single"/>
              </w:rPr>
              <w:t xml:space="preserve">  （母公司全称）</w:t>
            </w:r>
            <w:r>
              <w:rPr>
                <w:rFonts w:hint="eastAsia" w:ascii="宋体" w:hAnsi="宋体" w:cs="宋体"/>
                <w:bCs/>
                <w:color w:val="auto"/>
                <w:highlight w:val="none"/>
              </w:rPr>
              <w:t>下的子公司。</w:t>
            </w:r>
          </w:p>
        </w:tc>
      </w:tr>
    </w:tbl>
    <w:p>
      <w:pPr>
        <w:spacing w:line="560" w:lineRule="exact"/>
        <w:ind w:firstLine="480"/>
        <w:rPr>
          <w:rFonts w:ascii="宋体" w:hAnsi="宋体" w:cs="宋体"/>
          <w:bCs/>
          <w:color w:val="auto"/>
          <w:highlight w:val="none"/>
        </w:rPr>
      </w:pPr>
      <w:r>
        <w:rPr>
          <w:rFonts w:hint="eastAsia" w:ascii="宋体" w:hAnsi="宋体" w:cs="宋体"/>
          <w:bCs/>
          <w:color w:val="auto"/>
          <w:highlight w:val="none"/>
        </w:rPr>
        <w:t>我方对上述承诺的内容事项真实性负责。如经查实上述承诺的内容事项存在虚假，我方愿意接受以提供虚假材料谋取成交的法律责任。</w:t>
      </w:r>
    </w:p>
    <w:p>
      <w:pPr>
        <w:pStyle w:val="2"/>
        <w:rPr>
          <w:rFonts w:eastAsia="仿宋"/>
          <w:bCs/>
          <w:color w:val="auto"/>
          <w:sz w:val="28"/>
          <w:szCs w:val="28"/>
          <w:highlight w:val="none"/>
        </w:rPr>
      </w:pPr>
    </w:p>
    <w:p>
      <w:pPr>
        <w:pStyle w:val="3"/>
        <w:rPr>
          <w:rFonts w:ascii="Times New Roman" w:hAnsi="Times New Roman" w:eastAsia="仿宋"/>
          <w:bCs/>
          <w:color w:val="auto"/>
          <w:sz w:val="28"/>
          <w:szCs w:val="28"/>
          <w:highlight w:val="none"/>
        </w:rPr>
      </w:pPr>
    </w:p>
    <w:p>
      <w:pPr>
        <w:pStyle w:val="3"/>
        <w:rPr>
          <w:rFonts w:ascii="Times New Roman" w:hAnsi="Times New Roman" w:eastAsia="仿宋"/>
          <w:bCs/>
          <w:color w:val="auto"/>
          <w:sz w:val="28"/>
          <w:szCs w:val="28"/>
          <w:highlight w:val="none"/>
        </w:rPr>
      </w:pPr>
    </w:p>
    <w:p>
      <w:pPr>
        <w:pStyle w:val="3"/>
        <w:rPr>
          <w:rFonts w:ascii="Times New Roman" w:hAnsi="Times New Roman" w:eastAsia="仿宋"/>
          <w:bCs/>
          <w:color w:val="auto"/>
          <w:sz w:val="28"/>
          <w:szCs w:val="28"/>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spacing w:line="560" w:lineRule="exact"/>
        <w:ind w:firstLine="482"/>
        <w:rPr>
          <w:rFonts w:ascii="宋体" w:hAnsi="宋体" w:cs="宋体"/>
          <w:b/>
          <w:color w:val="auto"/>
          <w:highlight w:val="none"/>
        </w:rPr>
      </w:pPr>
      <w:r>
        <w:rPr>
          <w:rFonts w:hint="eastAsia" w:ascii="宋体" w:hAnsi="宋体" w:cs="宋体"/>
          <w:b/>
          <w:color w:val="auto"/>
          <w:highlight w:val="none"/>
        </w:rPr>
        <w:t>说明：</w:t>
      </w:r>
    </w:p>
    <w:p>
      <w:pPr>
        <w:numPr>
          <w:ilvl w:val="0"/>
          <w:numId w:val="65"/>
        </w:numPr>
        <w:spacing w:line="560" w:lineRule="exact"/>
        <w:ind w:firstLine="480"/>
        <w:rPr>
          <w:rFonts w:ascii="宋体" w:hAnsi="宋体" w:cs="宋体"/>
          <w:bCs/>
          <w:color w:val="auto"/>
          <w:highlight w:val="none"/>
        </w:rPr>
      </w:pPr>
      <w:r>
        <w:rPr>
          <w:rFonts w:hint="eastAsia" w:ascii="宋体" w:hAnsi="宋体" w:cs="宋体"/>
          <w:bCs/>
          <w:color w:val="auto"/>
          <w:highlight w:val="none"/>
        </w:rPr>
        <w:t>供应商应根据自身实际情况据实进行填写，若提供虚假说明，将报告监管部门严肃追究其法律责任。</w:t>
      </w:r>
    </w:p>
    <w:p>
      <w:pPr>
        <w:numPr>
          <w:ilvl w:val="0"/>
          <w:numId w:val="65"/>
        </w:numPr>
        <w:spacing w:line="560" w:lineRule="exact"/>
        <w:ind w:firstLine="480" w:firstLineChars="200"/>
        <w:rPr>
          <w:rFonts w:ascii="宋体" w:hAnsi="宋体" w:cs="宋体"/>
          <w:bCs/>
          <w:color w:val="auto"/>
          <w:highlight w:val="none"/>
        </w:rPr>
      </w:pPr>
      <w:r>
        <w:rPr>
          <w:rFonts w:hint="eastAsia" w:ascii="宋体" w:hAnsi="宋体" w:cs="宋体"/>
          <w:bCs/>
          <w:color w:val="auto"/>
          <w:highlight w:val="none"/>
        </w:rPr>
        <w:t>《关联单位情况表》中：① 供应商委托的授权代表在其他单位任职，但任职单位未参与本次采购活动的，其磋商文件视为有效；②供应商实际控制人或者中高级管理人员在其他单位任职，但任职单位未参与本次采购活动的，其磋商文件视为有效；③供应商与其他单位存在关联关系，但其关联单位未参与本次采购活动的，其磋商文件视为有效。</w:t>
      </w: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6"/>
        <w:ind w:left="18" w:hanging="18"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（供应商名称）</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说明：上述证明文件在</w:t>
      </w:r>
      <w:r>
        <w:rPr>
          <w:rFonts w:hint="eastAsia" w:ascii="宋体" w:hAnsi="宋体"/>
          <w:b/>
          <w:color w:val="auto"/>
          <w:highlight w:val="none"/>
          <w:lang w:val="zh-CN"/>
        </w:rPr>
        <w:t>资格性</w:t>
      </w:r>
      <w:r>
        <w:rPr>
          <w:rFonts w:hint="eastAsia" w:ascii="宋体" w:hAnsi="宋体" w:cs="宋体"/>
          <w:b/>
          <w:color w:val="auto"/>
          <w:highlight w:val="none"/>
        </w:rPr>
        <w:t>响应文件中附有法定代表人身份证复印件（身份证两面均应复印）或护照复印件（供应商的法定代表人为外籍人士的，则提供护照复印件）时才能生效。供应商为自然人无须提供身份证明书，仅提供身份证复印件或护照复印件。</w:t>
      </w: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15"/>
        <w:ind w:firstLine="482"/>
        <w:rPr>
          <w:rFonts w:ascii="宋体" w:hAnsi="宋体" w:cs="宋体"/>
          <w:b/>
          <w:color w:val="auto"/>
          <w:sz w:val="24"/>
          <w:highlight w:val="none"/>
        </w:rPr>
      </w:pPr>
    </w:p>
    <w:p>
      <w:pPr>
        <w:pStyle w:val="6"/>
        <w:ind w:left="18" w:hanging="18" w:firstLineChars="0"/>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rPr>
        <w:t xml:space="preserve">成都市龙泉驿区水务局水务综合规划（2021-2035）修编服务采购项目 </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510112202200015</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spacing w:line="360" w:lineRule="auto"/>
        <w:ind w:firstLine="241" w:firstLineChars="100"/>
        <w:rPr>
          <w:rFonts w:ascii="宋体" w:hAnsi="宋体"/>
          <w:b/>
          <w:color w:val="auto"/>
          <w:kern w:val="2"/>
          <w:highlight w:val="none"/>
        </w:rPr>
      </w:pPr>
      <w:r>
        <w:rPr>
          <w:rFonts w:hint="eastAsia" w:ascii="宋体" w:hAnsi="宋体"/>
          <w:b/>
          <w:color w:val="auto"/>
          <w:szCs w:val="32"/>
          <w:highlight w:val="none"/>
        </w:rPr>
        <w:t>说明：1、</w:t>
      </w:r>
      <w:r>
        <w:rPr>
          <w:rFonts w:hint="eastAsia" w:ascii="宋体" w:hAnsi="宋体"/>
          <w:b/>
          <w:color w:val="auto"/>
          <w:szCs w:val="32"/>
          <w:highlight w:val="none"/>
          <w:lang w:val="zh-CN"/>
        </w:rPr>
        <w:t>上述证明文件在资格性</w:t>
      </w:r>
      <w:r>
        <w:rPr>
          <w:rFonts w:hint="eastAsia" w:ascii="宋体" w:hAnsi="宋体"/>
          <w:b/>
          <w:color w:val="auto"/>
          <w:szCs w:val="32"/>
          <w:highlight w:val="none"/>
        </w:rPr>
        <w:t>响应</w:t>
      </w:r>
      <w:r>
        <w:rPr>
          <w:rFonts w:hint="eastAsia" w:ascii="宋体" w:hAnsi="宋体"/>
          <w:b/>
          <w:color w:val="auto"/>
          <w:szCs w:val="32"/>
          <w:highlight w:val="none"/>
          <w:lang w:val="zh-CN"/>
        </w:rPr>
        <w:t>文件中附有代理人身份证复印件（身份证两面均应复印）时才能生效。2、</w:t>
      </w:r>
      <w:r>
        <w:rPr>
          <w:rFonts w:hint="eastAsia" w:ascii="宋体" w:hAnsi="宋体"/>
          <w:b/>
          <w:color w:val="auto"/>
          <w:szCs w:val="32"/>
          <w:highlight w:val="none"/>
        </w:rPr>
        <w:t>响应</w:t>
      </w:r>
      <w:r>
        <w:rPr>
          <w:rFonts w:hint="eastAsia" w:ascii="宋体" w:hAnsi="宋体"/>
          <w:b/>
          <w:color w:val="auto"/>
          <w:szCs w:val="32"/>
          <w:highlight w:val="none"/>
          <w:lang w:val="zh-CN"/>
        </w:rPr>
        <w:t>文件均由</w:t>
      </w:r>
      <w:r>
        <w:rPr>
          <w:rFonts w:hint="eastAsia" w:ascii="宋体" w:hAnsi="宋体"/>
          <w:b/>
          <w:color w:val="auto"/>
          <w:szCs w:val="32"/>
          <w:highlight w:val="none"/>
        </w:rPr>
        <w:t>供应商</w:t>
      </w:r>
      <w:r>
        <w:rPr>
          <w:rFonts w:hint="eastAsia" w:ascii="宋体" w:hAnsi="宋体"/>
          <w:b/>
          <w:color w:val="auto"/>
          <w:szCs w:val="32"/>
          <w:highlight w:val="none"/>
          <w:lang w:val="zh-CN"/>
        </w:rPr>
        <w:t>法定代表人签字的,可不提供该附件的内容。</w:t>
      </w:r>
    </w:p>
    <w:p>
      <w:pPr>
        <w:pStyle w:val="27"/>
        <w:spacing w:line="360" w:lineRule="auto"/>
        <w:ind w:firstLine="366" w:firstLineChars="152"/>
        <w:rPr>
          <w:rFonts w:ascii="宋体" w:hAnsi="宋体"/>
          <w:b/>
          <w:color w:val="auto"/>
          <w:sz w:val="24"/>
          <w:szCs w:val="32"/>
          <w:highlight w:val="none"/>
          <w:lang w:val="zh-CN"/>
        </w:rPr>
        <w:sectPr>
          <w:pgSz w:w="11906" w:h="16838"/>
          <w:pgMar w:top="1440" w:right="1274" w:bottom="1440" w:left="1418" w:header="851" w:footer="992" w:gutter="0"/>
          <w:cols w:space="720" w:num="1"/>
          <w:docGrid w:type="lines" w:linePitch="312" w:charSpace="0"/>
        </w:sectPr>
      </w:pPr>
    </w:p>
    <w:p>
      <w:pPr>
        <w:pStyle w:val="5"/>
        <w:jc w:val="center"/>
        <w:rPr>
          <w:color w:val="auto"/>
          <w:highlight w:val="none"/>
        </w:rPr>
      </w:pPr>
      <w:bookmarkStart w:id="348" w:name="_Toc23077"/>
      <w:bookmarkStart w:id="349" w:name="_Toc448403805"/>
      <w:r>
        <w:rPr>
          <w:rFonts w:hint="eastAsia"/>
          <w:color w:val="auto"/>
          <w:highlight w:val="none"/>
        </w:rPr>
        <w:t>技术、服务性响应文件格式</w:t>
      </w:r>
      <w:bookmarkEnd w:id="348"/>
      <w:bookmarkEnd w:id="349"/>
    </w:p>
    <w:p>
      <w:pPr>
        <w:pStyle w:val="6"/>
        <w:ind w:left="18" w:hanging="18" w:firstLineChars="0"/>
        <w:rPr>
          <w:color w:val="auto"/>
          <w:highlight w:val="none"/>
        </w:rPr>
      </w:pPr>
      <w:r>
        <w:rPr>
          <w:rFonts w:hint="eastAsia"/>
          <w:color w:val="auto"/>
          <w:highlight w:val="none"/>
        </w:rPr>
        <w:t>报价书</w:t>
      </w:r>
    </w:p>
    <w:p>
      <w:pPr>
        <w:pStyle w:val="27"/>
        <w:spacing w:line="500" w:lineRule="exact"/>
        <w:ind w:firstLine="0" w:firstLineChars="0"/>
        <w:rPr>
          <w:rFonts w:ascii="宋体" w:hAnsi="宋体" w:cs="宋体"/>
          <w:bCs/>
          <w:color w:val="auto"/>
          <w:sz w:val="24"/>
          <w:highlight w:val="none"/>
        </w:rPr>
      </w:pPr>
      <w:r>
        <w:rPr>
          <w:rFonts w:hint="eastAsia" w:ascii="宋体" w:hAnsi="宋体" w:cs="宋体"/>
          <w:bCs/>
          <w:color w:val="auto"/>
          <w:sz w:val="24"/>
          <w:highlight w:val="none"/>
        </w:rPr>
        <w:t>四川世科工程咨询有限公司：</w:t>
      </w:r>
    </w:p>
    <w:p>
      <w:pPr>
        <w:pStyle w:val="27"/>
        <w:spacing w:line="360" w:lineRule="auto"/>
        <w:ind w:firstLine="617"/>
        <w:rPr>
          <w:rFonts w:ascii="宋体" w:hAnsi="宋体" w:cs="宋体"/>
          <w:bCs/>
          <w:color w:val="auto"/>
          <w:sz w:val="24"/>
          <w:highlight w:val="none"/>
        </w:rPr>
      </w:pPr>
      <w:r>
        <w:rPr>
          <w:rFonts w:hint="eastAsia" w:ascii="宋体" w:hAnsi="宋体" w:cs="宋体"/>
          <w:bCs/>
          <w:color w:val="auto"/>
          <w:sz w:val="24"/>
          <w:highlight w:val="none"/>
        </w:rPr>
        <w:t>我方全面研究了“</w:t>
      </w:r>
      <w:r>
        <w:rPr>
          <w:rFonts w:hint="eastAsia" w:ascii="宋体" w:hAnsi="宋体" w:cs="宋体"/>
          <w:b/>
          <w:color w:val="auto"/>
          <w:sz w:val="24"/>
          <w:highlight w:val="none"/>
          <w:u w:val="single"/>
        </w:rPr>
        <w:t xml:space="preserve">     </w:t>
      </w:r>
      <w:r>
        <w:rPr>
          <w:rFonts w:hint="eastAsia" w:ascii="宋体" w:hAnsi="宋体" w:cs="宋体"/>
          <w:b/>
          <w:bCs/>
          <w:color w:val="auto"/>
          <w:sz w:val="24"/>
          <w:highlight w:val="none"/>
          <w:u w:val="single"/>
        </w:rPr>
        <w:t xml:space="preserve">”（项目编号：  </w:t>
      </w:r>
      <w:r>
        <w:rPr>
          <w:rFonts w:hint="eastAsia" w:ascii="宋体" w:hAnsi="宋体" w:cs="宋体"/>
          <w:b/>
          <w:bCs/>
          <w:color w:val="auto"/>
          <w:sz w:val="24"/>
          <w:highlight w:val="none"/>
        </w:rPr>
        <w:t>）</w:t>
      </w:r>
      <w:r>
        <w:rPr>
          <w:rFonts w:hint="eastAsia" w:ascii="宋体" w:hAnsi="宋体" w:cs="宋体"/>
          <w:bCs/>
          <w:color w:val="auto"/>
          <w:sz w:val="24"/>
          <w:highlight w:val="none"/>
        </w:rPr>
        <w:t>竞争性磋商文件，决定参加贵单位组织的本项目的磋商。我方授权</w:t>
      </w:r>
      <w:r>
        <w:rPr>
          <w:rFonts w:hint="eastAsia" w:ascii="宋体" w:hAnsi="宋体" w:cs="宋体"/>
          <w:bCs/>
          <w:color w:val="auto"/>
          <w:sz w:val="24"/>
          <w:highlight w:val="none"/>
          <w:u w:val="single"/>
        </w:rPr>
        <w:t xml:space="preserve">       （姓名、职务）</w:t>
      </w:r>
      <w:r>
        <w:rPr>
          <w:rFonts w:hint="eastAsia" w:ascii="宋体" w:hAnsi="宋体" w:cs="宋体"/>
          <w:bCs/>
          <w:color w:val="auto"/>
          <w:sz w:val="24"/>
          <w:highlight w:val="none"/>
        </w:rPr>
        <w:t xml:space="preserve">代表我方 </w:t>
      </w:r>
      <w:r>
        <w:rPr>
          <w:rFonts w:hint="eastAsia" w:ascii="宋体" w:hAnsi="宋体" w:cs="宋体"/>
          <w:bCs/>
          <w:color w:val="auto"/>
          <w:sz w:val="24"/>
          <w:highlight w:val="none"/>
          <w:u w:val="single"/>
        </w:rPr>
        <w:t xml:space="preserve">     （供应商名称）</w:t>
      </w:r>
      <w:r>
        <w:rPr>
          <w:rFonts w:hint="eastAsia" w:ascii="宋体" w:hAnsi="宋体" w:cs="宋体"/>
          <w:bCs/>
          <w:color w:val="auto"/>
          <w:sz w:val="24"/>
          <w:highlight w:val="none"/>
        </w:rPr>
        <w:t>全权处理本项目磋商的有关事宜。</w:t>
      </w:r>
    </w:p>
    <w:p>
      <w:pPr>
        <w:pStyle w:val="143"/>
        <w:numPr>
          <w:ilvl w:val="1"/>
          <w:numId w:val="66"/>
        </w:numPr>
        <w:tabs>
          <w:tab w:val="left" w:pos="1134"/>
        </w:tabs>
        <w:spacing w:line="360" w:lineRule="auto"/>
        <w:ind w:left="0" w:firstLine="480"/>
        <w:jc w:val="left"/>
        <w:rPr>
          <w:color w:val="auto"/>
          <w:highlight w:val="none"/>
        </w:rPr>
      </w:pPr>
      <w:r>
        <w:rPr>
          <w:rFonts w:hint="eastAsia"/>
          <w:color w:val="auto"/>
          <w:highlight w:val="none"/>
        </w:rPr>
        <w:t>我方已认真阅读并接受本项目磋商文件第2章的全部实质性要求，如对磋商文件有异议，已依法进行维权救济，不存在对磋商文件有异议的同时又参加磋商以求侥幸成交或者为实现其他非法目的的行为。</w:t>
      </w:r>
    </w:p>
    <w:p>
      <w:pPr>
        <w:pStyle w:val="143"/>
        <w:numPr>
          <w:ilvl w:val="1"/>
          <w:numId w:val="6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我方将按报价表中的报价为采购人提供货物及服务；</w:t>
      </w:r>
    </w:p>
    <w:p>
      <w:pPr>
        <w:pStyle w:val="143"/>
        <w:numPr>
          <w:ilvl w:val="1"/>
          <w:numId w:val="6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3"/>
        <w:numPr>
          <w:ilvl w:val="1"/>
          <w:numId w:val="6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3"/>
        <w:numPr>
          <w:ilvl w:val="1"/>
          <w:numId w:val="6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3"/>
        <w:numPr>
          <w:ilvl w:val="1"/>
          <w:numId w:val="66"/>
        </w:numPr>
        <w:tabs>
          <w:tab w:val="left" w:pos="1134"/>
        </w:tabs>
        <w:spacing w:line="360" w:lineRule="auto"/>
        <w:ind w:left="0" w:firstLine="480"/>
        <w:jc w:val="left"/>
        <w:rPr>
          <w:color w:val="auto"/>
          <w:highlight w:val="none"/>
        </w:rPr>
      </w:pPr>
      <w:r>
        <w:rPr>
          <w:color w:val="auto"/>
          <w:highlight w:val="none"/>
        </w:rPr>
        <w:t>国家或行业主管部门对</w:t>
      </w:r>
      <w:r>
        <w:rPr>
          <w:rFonts w:hint="eastAsia"/>
          <w:color w:val="auto"/>
          <w:highlight w:val="none"/>
        </w:rPr>
        <w:t>供应商</w:t>
      </w:r>
      <w:r>
        <w:rPr>
          <w:color w:val="auto"/>
          <w:highlight w:val="none"/>
        </w:rPr>
        <w:t>和采购产品的技术标准、质量标准和资格资质条件等有强制性规定的，我方承诺符合其要求</w:t>
      </w:r>
      <w:r>
        <w:rPr>
          <w:rFonts w:hint="eastAsia"/>
          <w:color w:val="auto"/>
          <w:highlight w:val="none"/>
        </w:rPr>
        <w:t>；</w:t>
      </w:r>
    </w:p>
    <w:p>
      <w:pPr>
        <w:pStyle w:val="143"/>
        <w:numPr>
          <w:ilvl w:val="1"/>
          <w:numId w:val="66"/>
        </w:numPr>
        <w:tabs>
          <w:tab w:val="left" w:pos="1134"/>
        </w:tabs>
        <w:spacing w:line="360" w:lineRule="auto"/>
        <w:ind w:left="0" w:firstLine="480"/>
        <w:jc w:val="left"/>
        <w:rPr>
          <w:color w:val="auto"/>
          <w:highlight w:val="none"/>
        </w:rPr>
      </w:pPr>
      <w:r>
        <w:rPr>
          <w:color w:val="auto"/>
          <w:highlight w:val="none"/>
        </w:rPr>
        <w:t>我方承诺完全响应</w:t>
      </w:r>
      <w:r>
        <w:rPr>
          <w:rFonts w:hint="eastAsia"/>
          <w:color w:val="auto"/>
          <w:highlight w:val="none"/>
        </w:rPr>
        <w:t>磋商文件</w:t>
      </w:r>
      <w:r>
        <w:rPr>
          <w:color w:val="auto"/>
          <w:highlight w:val="none"/>
        </w:rPr>
        <w:t>中关于知识产权的要求</w:t>
      </w:r>
      <w:r>
        <w:rPr>
          <w:rFonts w:hint="eastAsia" w:ascii="宋体" w:hAnsi="宋体" w:cs="宋体"/>
          <w:bCs/>
          <w:color w:val="auto"/>
          <w:highlight w:val="none"/>
        </w:rPr>
        <w:t>，</w:t>
      </w:r>
      <w:r>
        <w:rPr>
          <w:rFonts w:hint="eastAsia"/>
          <w:color w:val="auto"/>
          <w:highlight w:val="none"/>
        </w:rPr>
        <w:t>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w:t>
      </w:r>
      <w:r>
        <w:rPr>
          <w:color w:val="auto"/>
          <w:highlight w:val="none"/>
        </w:rPr>
        <w:t>承诺</w:t>
      </w:r>
      <w:r>
        <w:rPr>
          <w:rFonts w:hint="eastAsia"/>
          <w:color w:val="auto"/>
          <w:highlight w:val="none"/>
        </w:rPr>
        <w:t>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p>
    <w:p>
      <w:pPr>
        <w:pStyle w:val="143"/>
        <w:numPr>
          <w:ilvl w:val="1"/>
          <w:numId w:val="6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3"/>
        <w:numPr>
          <w:ilvl w:val="1"/>
          <w:numId w:val="66"/>
        </w:numPr>
        <w:tabs>
          <w:tab w:val="left" w:pos="1134"/>
        </w:tabs>
        <w:spacing w:line="360" w:lineRule="auto"/>
        <w:ind w:left="0" w:firstLine="480"/>
        <w:jc w:val="left"/>
        <w:rPr>
          <w:color w:val="auto"/>
          <w:highlight w:val="none"/>
        </w:rPr>
      </w:pPr>
      <w:r>
        <w:rPr>
          <w:rFonts w:hint="eastAsia"/>
          <w:color w:val="auto"/>
          <w:highlight w:val="none"/>
        </w:rPr>
        <w:t>响应文件中提供的任何资料和技术、服务、商务等响应承诺情况都是真实的、有效的、合法的；</w:t>
      </w:r>
    </w:p>
    <w:p>
      <w:pPr>
        <w:pStyle w:val="143"/>
        <w:numPr>
          <w:ilvl w:val="1"/>
          <w:numId w:val="66"/>
        </w:numPr>
        <w:tabs>
          <w:tab w:val="left" w:pos="1134"/>
        </w:tabs>
        <w:spacing w:line="360" w:lineRule="auto"/>
        <w:ind w:left="0" w:firstLine="480"/>
        <w:jc w:val="left"/>
        <w:rPr>
          <w:color w:val="auto"/>
          <w:highlight w:val="none"/>
        </w:rPr>
      </w:pPr>
      <w:r>
        <w:rPr>
          <w:rFonts w:hint="eastAsia"/>
          <w:color w:val="auto"/>
          <w:highlight w:val="none"/>
        </w:rPr>
        <w:t>若我方成交：</w:t>
      </w:r>
    </w:p>
    <w:p>
      <w:pPr>
        <w:widowControl w:val="0"/>
        <w:numPr>
          <w:ilvl w:val="0"/>
          <w:numId w:val="67"/>
        </w:numPr>
        <w:snapToGrid w:val="0"/>
        <w:spacing w:line="520" w:lineRule="exact"/>
        <w:rPr>
          <w:color w:val="auto"/>
          <w:highlight w:val="none"/>
        </w:rPr>
      </w:pPr>
      <w:r>
        <w:rPr>
          <w:rFonts w:hint="eastAsia"/>
          <w:color w:val="auto"/>
          <w:highlight w:val="none"/>
        </w:rPr>
        <w:t>我方承诺在收到成交通知书后，在规定的期限内与采购人签订合同；</w:t>
      </w:r>
    </w:p>
    <w:p>
      <w:pPr>
        <w:widowControl w:val="0"/>
        <w:numPr>
          <w:ilvl w:val="0"/>
          <w:numId w:val="67"/>
        </w:numPr>
        <w:snapToGrid w:val="0"/>
        <w:spacing w:line="520" w:lineRule="exact"/>
        <w:rPr>
          <w:color w:val="auto"/>
          <w:highlight w:val="none"/>
        </w:rPr>
      </w:pPr>
      <w:r>
        <w:rPr>
          <w:rFonts w:hint="eastAsia"/>
          <w:color w:val="auto"/>
          <w:highlight w:val="none"/>
        </w:rPr>
        <w:t>我方将严格履行采购合同规定的责任和义务；</w:t>
      </w:r>
    </w:p>
    <w:p>
      <w:pPr>
        <w:widowControl w:val="0"/>
        <w:numPr>
          <w:ilvl w:val="0"/>
          <w:numId w:val="67"/>
        </w:numPr>
        <w:snapToGrid w:val="0"/>
        <w:spacing w:line="520" w:lineRule="exact"/>
        <w:rPr>
          <w:color w:val="auto"/>
          <w:highlight w:val="none"/>
        </w:rPr>
      </w:pPr>
      <w:r>
        <w:rPr>
          <w:rFonts w:hint="eastAsia"/>
          <w:color w:val="auto"/>
          <w:highlight w:val="none"/>
        </w:rPr>
        <w:t>若本项目采购代理服务费需由供应商支付，</w:t>
      </w:r>
      <w:r>
        <w:rPr>
          <w:color w:val="auto"/>
          <w:highlight w:val="none"/>
        </w:rPr>
        <w:t>我方将在领取</w:t>
      </w:r>
      <w:r>
        <w:rPr>
          <w:rFonts w:hint="eastAsia"/>
          <w:color w:val="auto"/>
          <w:highlight w:val="none"/>
        </w:rPr>
        <w:t>成交通知书</w:t>
      </w:r>
      <w:r>
        <w:rPr>
          <w:color w:val="auto"/>
          <w:highlight w:val="none"/>
        </w:rPr>
        <w:t>之前按照本</w:t>
      </w:r>
      <w:r>
        <w:rPr>
          <w:rFonts w:hint="eastAsia"/>
          <w:color w:val="auto"/>
          <w:highlight w:val="none"/>
        </w:rPr>
        <w:t>磋商文件</w:t>
      </w:r>
      <w:r>
        <w:rPr>
          <w:color w:val="auto"/>
          <w:highlight w:val="none"/>
        </w:rPr>
        <w:t>约定支付足额的</w:t>
      </w:r>
      <w:r>
        <w:rPr>
          <w:rFonts w:hint="eastAsia"/>
          <w:color w:val="auto"/>
          <w:highlight w:val="none"/>
        </w:rPr>
        <w:t>采购</w:t>
      </w:r>
      <w:r>
        <w:rPr>
          <w:color w:val="auto"/>
          <w:highlight w:val="none"/>
        </w:rPr>
        <w:t>代理服务费。</w:t>
      </w:r>
    </w:p>
    <w:p>
      <w:pPr>
        <w:pStyle w:val="143"/>
        <w:tabs>
          <w:tab w:val="left" w:pos="1134"/>
        </w:tabs>
        <w:spacing w:line="360" w:lineRule="auto"/>
        <w:ind w:left="480" w:leftChars="200" w:firstLine="0" w:firstLineChars="0"/>
        <w:jc w:val="left"/>
        <w:rPr>
          <w:rFonts w:ascii="宋体" w:hAnsi="宋体" w:cs="宋体"/>
          <w:bCs/>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ind w:firstLine="241" w:firstLineChars="100"/>
        <w:rPr>
          <w:rFonts w:ascii="宋体" w:hAnsi="宋体"/>
          <w:b/>
          <w:color w:val="auto"/>
          <w:kern w:val="2"/>
          <w:highlight w:val="none"/>
        </w:rPr>
      </w:pPr>
    </w:p>
    <w:p>
      <w:pPr>
        <w:spacing w:line="360" w:lineRule="auto"/>
        <w:ind w:firstLine="480" w:firstLineChars="200"/>
        <w:rPr>
          <w:color w:val="auto"/>
          <w:highlight w:val="none"/>
        </w:rPr>
      </w:pPr>
      <w:r>
        <w:rPr>
          <w:rFonts w:hint="eastAsia" w:ascii="宋体" w:hAnsi="宋体"/>
          <w:color w:val="auto"/>
          <w:highlight w:val="none"/>
        </w:rPr>
        <w:br w:type="page"/>
      </w:r>
    </w:p>
    <w:bookmarkEnd w:id="347"/>
    <w:p>
      <w:pPr>
        <w:pStyle w:val="6"/>
        <w:ind w:left="18" w:hanging="18" w:firstLineChars="0"/>
        <w:rPr>
          <w:color w:val="auto"/>
          <w:highlight w:val="none"/>
        </w:rPr>
      </w:pPr>
      <w:bookmarkStart w:id="350" w:name="_Toc320698766"/>
      <w:r>
        <w:rPr>
          <w:rFonts w:hint="eastAsia"/>
          <w:color w:val="auto"/>
          <w:highlight w:val="none"/>
        </w:rPr>
        <w:t>供应商基本情况表</w:t>
      </w:r>
    </w:p>
    <w:tbl>
      <w:tblPr>
        <w:tblStyle w:val="44"/>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020"/>
        <w:gridCol w:w="1054"/>
        <w:gridCol w:w="1129"/>
        <w:gridCol w:w="1445"/>
        <w:gridCol w:w="540"/>
        <w:gridCol w:w="63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供应商全称</w:t>
            </w:r>
          </w:p>
        </w:tc>
        <w:tc>
          <w:tcPr>
            <w:tcW w:w="6887" w:type="dxa"/>
            <w:gridSpan w:val="7"/>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779" w:type="dxa"/>
            <w:gridSpan w:val="2"/>
            <w:vAlign w:val="center"/>
          </w:tcPr>
          <w:p>
            <w:pPr>
              <w:autoSpaceDE w:val="0"/>
              <w:autoSpaceDN w:val="0"/>
              <w:adjustRightInd w:val="0"/>
              <w:spacing w:line="400" w:lineRule="exact"/>
              <w:rPr>
                <w:color w:val="auto"/>
                <w:highlight w:val="none"/>
              </w:rPr>
            </w:pPr>
            <w:r>
              <w:rPr>
                <w:rFonts w:hint="eastAsia"/>
                <w:color w:val="auto"/>
                <w:highlight w:val="none"/>
              </w:rPr>
              <w:t>统一社会信用代码</w:t>
            </w:r>
          </w:p>
        </w:tc>
        <w:tc>
          <w:tcPr>
            <w:tcW w:w="5867" w:type="dxa"/>
            <w:gridSpan w:val="6"/>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注册地址</w:t>
            </w:r>
          </w:p>
        </w:tc>
        <w:tc>
          <w:tcPr>
            <w:tcW w:w="3203" w:type="dxa"/>
            <w:gridSpan w:val="3"/>
            <w:vAlign w:val="center"/>
          </w:tcPr>
          <w:p>
            <w:pPr>
              <w:autoSpaceDE w:val="0"/>
              <w:autoSpaceDN w:val="0"/>
              <w:adjustRightInd w:val="0"/>
              <w:spacing w:line="400" w:lineRule="exact"/>
              <w:ind w:firstLine="480"/>
              <w:jc w:val="center"/>
              <w:rPr>
                <w:color w:val="auto"/>
                <w:highlight w:val="none"/>
              </w:rPr>
            </w:pPr>
          </w:p>
        </w:tc>
        <w:tc>
          <w:tcPr>
            <w:tcW w:w="1445" w:type="dxa"/>
            <w:vAlign w:val="center"/>
          </w:tcPr>
          <w:p>
            <w:pPr>
              <w:autoSpaceDE w:val="0"/>
              <w:autoSpaceDN w:val="0"/>
              <w:adjustRightInd w:val="0"/>
              <w:spacing w:line="400" w:lineRule="exact"/>
              <w:jc w:val="center"/>
              <w:rPr>
                <w:color w:val="auto"/>
                <w:highlight w:val="none"/>
              </w:rPr>
            </w:pPr>
            <w:r>
              <w:rPr>
                <w:rFonts w:hint="eastAsia"/>
                <w:color w:val="auto"/>
                <w:highlight w:val="none"/>
              </w:rPr>
              <w:t>邮政编码</w:t>
            </w:r>
          </w:p>
        </w:tc>
        <w:tc>
          <w:tcPr>
            <w:tcW w:w="2239" w:type="dxa"/>
            <w:gridSpan w:val="3"/>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59" w:type="dxa"/>
            <w:vMerge w:val="restart"/>
            <w:vAlign w:val="center"/>
          </w:tcPr>
          <w:p>
            <w:pPr>
              <w:autoSpaceDE w:val="0"/>
              <w:autoSpaceDN w:val="0"/>
              <w:adjustRightInd w:val="0"/>
              <w:spacing w:line="400" w:lineRule="exact"/>
              <w:jc w:val="center"/>
              <w:rPr>
                <w:color w:val="auto"/>
                <w:highlight w:val="none"/>
              </w:rPr>
            </w:pPr>
            <w:r>
              <w:rPr>
                <w:rFonts w:hint="eastAsia"/>
                <w:color w:val="auto"/>
                <w:highlight w:val="none"/>
              </w:rPr>
              <w:t>联系方式</w:t>
            </w:r>
          </w:p>
        </w:tc>
        <w:tc>
          <w:tcPr>
            <w:tcW w:w="1020" w:type="dxa"/>
            <w:vAlign w:val="center"/>
          </w:tcPr>
          <w:p>
            <w:pPr>
              <w:autoSpaceDE w:val="0"/>
              <w:autoSpaceDN w:val="0"/>
              <w:adjustRightInd w:val="0"/>
              <w:spacing w:line="400" w:lineRule="exact"/>
              <w:jc w:val="center"/>
              <w:rPr>
                <w:color w:val="auto"/>
                <w:highlight w:val="none"/>
              </w:rPr>
            </w:pPr>
            <w:r>
              <w:rPr>
                <w:rFonts w:hint="eastAsia"/>
                <w:color w:val="auto"/>
                <w:highlight w:val="none"/>
              </w:rPr>
              <w:t>联系人</w:t>
            </w:r>
          </w:p>
        </w:tc>
        <w:tc>
          <w:tcPr>
            <w:tcW w:w="2183" w:type="dxa"/>
            <w:gridSpan w:val="2"/>
            <w:vAlign w:val="center"/>
          </w:tcPr>
          <w:p>
            <w:pPr>
              <w:autoSpaceDE w:val="0"/>
              <w:autoSpaceDN w:val="0"/>
              <w:adjustRightInd w:val="0"/>
              <w:spacing w:line="400" w:lineRule="exact"/>
              <w:ind w:firstLine="480"/>
              <w:jc w:val="center"/>
              <w:rPr>
                <w:color w:val="auto"/>
                <w:highlight w:val="none"/>
              </w:rPr>
            </w:pPr>
          </w:p>
        </w:tc>
        <w:tc>
          <w:tcPr>
            <w:tcW w:w="1445" w:type="dxa"/>
            <w:vAlign w:val="center"/>
          </w:tcPr>
          <w:p>
            <w:pPr>
              <w:autoSpaceDE w:val="0"/>
              <w:autoSpaceDN w:val="0"/>
              <w:adjustRightInd w:val="0"/>
              <w:spacing w:line="400" w:lineRule="exact"/>
              <w:jc w:val="center"/>
              <w:rPr>
                <w:color w:val="auto"/>
                <w:highlight w:val="none"/>
              </w:rPr>
            </w:pPr>
            <w:r>
              <w:rPr>
                <w:rFonts w:hint="eastAsia"/>
                <w:color w:val="auto"/>
                <w:highlight w:val="none"/>
              </w:rPr>
              <w:t>电话</w:t>
            </w:r>
          </w:p>
        </w:tc>
        <w:tc>
          <w:tcPr>
            <w:tcW w:w="2239" w:type="dxa"/>
            <w:gridSpan w:val="3"/>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59" w:type="dxa"/>
            <w:vMerge w:val="continue"/>
            <w:vAlign w:val="center"/>
          </w:tcPr>
          <w:p>
            <w:pPr>
              <w:autoSpaceDE w:val="0"/>
              <w:autoSpaceDN w:val="0"/>
              <w:adjustRightInd w:val="0"/>
              <w:spacing w:line="400" w:lineRule="exact"/>
              <w:ind w:firstLine="480"/>
              <w:jc w:val="center"/>
              <w:rPr>
                <w:color w:val="auto"/>
                <w:highlight w:val="none"/>
              </w:rPr>
            </w:pPr>
          </w:p>
        </w:tc>
        <w:tc>
          <w:tcPr>
            <w:tcW w:w="1020" w:type="dxa"/>
            <w:vAlign w:val="center"/>
          </w:tcPr>
          <w:p>
            <w:pPr>
              <w:autoSpaceDE w:val="0"/>
              <w:autoSpaceDN w:val="0"/>
              <w:adjustRightInd w:val="0"/>
              <w:spacing w:line="400" w:lineRule="exact"/>
              <w:jc w:val="center"/>
              <w:rPr>
                <w:color w:val="auto"/>
                <w:highlight w:val="none"/>
              </w:rPr>
            </w:pPr>
            <w:r>
              <w:rPr>
                <w:rFonts w:hint="eastAsia"/>
                <w:color w:val="auto"/>
                <w:highlight w:val="none"/>
              </w:rPr>
              <w:t>邮箱</w:t>
            </w:r>
          </w:p>
        </w:tc>
        <w:tc>
          <w:tcPr>
            <w:tcW w:w="2183" w:type="dxa"/>
            <w:gridSpan w:val="2"/>
            <w:vAlign w:val="center"/>
          </w:tcPr>
          <w:p>
            <w:pPr>
              <w:autoSpaceDE w:val="0"/>
              <w:autoSpaceDN w:val="0"/>
              <w:adjustRightInd w:val="0"/>
              <w:spacing w:line="400" w:lineRule="exact"/>
              <w:ind w:firstLine="480"/>
              <w:jc w:val="center"/>
              <w:rPr>
                <w:color w:val="auto"/>
                <w:highlight w:val="none"/>
              </w:rPr>
            </w:pPr>
          </w:p>
        </w:tc>
        <w:tc>
          <w:tcPr>
            <w:tcW w:w="1445" w:type="dxa"/>
            <w:vAlign w:val="center"/>
          </w:tcPr>
          <w:p>
            <w:pPr>
              <w:autoSpaceDE w:val="0"/>
              <w:autoSpaceDN w:val="0"/>
              <w:adjustRightInd w:val="0"/>
              <w:spacing w:line="400" w:lineRule="exact"/>
              <w:jc w:val="center"/>
              <w:rPr>
                <w:color w:val="auto"/>
                <w:highlight w:val="none"/>
              </w:rPr>
            </w:pPr>
            <w:r>
              <w:rPr>
                <w:rFonts w:hint="eastAsia"/>
                <w:color w:val="auto"/>
                <w:highlight w:val="none"/>
              </w:rPr>
              <w:t>网址</w:t>
            </w:r>
          </w:p>
        </w:tc>
        <w:tc>
          <w:tcPr>
            <w:tcW w:w="2239" w:type="dxa"/>
            <w:gridSpan w:val="3"/>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法定代表人/单位负责人</w:t>
            </w:r>
          </w:p>
        </w:tc>
        <w:tc>
          <w:tcPr>
            <w:tcW w:w="1020" w:type="dxa"/>
            <w:vAlign w:val="center"/>
          </w:tcPr>
          <w:p>
            <w:pPr>
              <w:autoSpaceDE w:val="0"/>
              <w:autoSpaceDN w:val="0"/>
              <w:adjustRightInd w:val="0"/>
              <w:spacing w:line="400" w:lineRule="exact"/>
              <w:jc w:val="center"/>
              <w:rPr>
                <w:color w:val="auto"/>
                <w:highlight w:val="none"/>
              </w:rPr>
            </w:pPr>
            <w:r>
              <w:rPr>
                <w:rFonts w:hint="eastAsia"/>
                <w:color w:val="auto"/>
                <w:highlight w:val="none"/>
              </w:rPr>
              <w:t>姓名</w:t>
            </w:r>
          </w:p>
        </w:tc>
        <w:tc>
          <w:tcPr>
            <w:tcW w:w="1054" w:type="dxa"/>
            <w:vAlign w:val="center"/>
          </w:tcPr>
          <w:p>
            <w:pPr>
              <w:autoSpaceDE w:val="0"/>
              <w:autoSpaceDN w:val="0"/>
              <w:adjustRightInd w:val="0"/>
              <w:spacing w:line="400" w:lineRule="exact"/>
              <w:ind w:firstLine="480"/>
              <w:jc w:val="center"/>
              <w:rPr>
                <w:color w:val="auto"/>
                <w:highlight w:val="none"/>
              </w:rPr>
            </w:pPr>
          </w:p>
        </w:tc>
        <w:tc>
          <w:tcPr>
            <w:tcW w:w="1129" w:type="dxa"/>
            <w:vAlign w:val="center"/>
          </w:tcPr>
          <w:p>
            <w:pPr>
              <w:autoSpaceDE w:val="0"/>
              <w:autoSpaceDN w:val="0"/>
              <w:adjustRightInd w:val="0"/>
              <w:spacing w:line="400" w:lineRule="exact"/>
              <w:jc w:val="center"/>
              <w:rPr>
                <w:color w:val="auto"/>
                <w:highlight w:val="none"/>
              </w:rPr>
            </w:pPr>
            <w:r>
              <w:rPr>
                <w:rFonts w:hint="eastAsia"/>
                <w:color w:val="auto"/>
                <w:highlight w:val="none"/>
              </w:rPr>
              <w:t>技术</w:t>
            </w:r>
          </w:p>
          <w:p>
            <w:pPr>
              <w:autoSpaceDE w:val="0"/>
              <w:autoSpaceDN w:val="0"/>
              <w:adjustRightInd w:val="0"/>
              <w:spacing w:line="400" w:lineRule="exact"/>
              <w:jc w:val="center"/>
              <w:rPr>
                <w:color w:val="auto"/>
                <w:highlight w:val="none"/>
              </w:rPr>
            </w:pPr>
            <w:r>
              <w:rPr>
                <w:rFonts w:hint="eastAsia"/>
                <w:color w:val="auto"/>
                <w:highlight w:val="none"/>
              </w:rPr>
              <w:t>职称</w:t>
            </w:r>
          </w:p>
        </w:tc>
        <w:tc>
          <w:tcPr>
            <w:tcW w:w="1445" w:type="dxa"/>
            <w:vAlign w:val="center"/>
          </w:tcPr>
          <w:p>
            <w:pPr>
              <w:autoSpaceDE w:val="0"/>
              <w:autoSpaceDN w:val="0"/>
              <w:adjustRightInd w:val="0"/>
              <w:spacing w:line="400" w:lineRule="exact"/>
              <w:ind w:firstLine="480"/>
              <w:jc w:val="center"/>
              <w:rPr>
                <w:color w:val="auto"/>
                <w:highlight w:val="none"/>
              </w:rPr>
            </w:pPr>
          </w:p>
        </w:tc>
        <w:tc>
          <w:tcPr>
            <w:tcW w:w="1172"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电话</w:t>
            </w:r>
          </w:p>
        </w:tc>
        <w:tc>
          <w:tcPr>
            <w:tcW w:w="1067" w:type="dxa"/>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技术负责人</w:t>
            </w:r>
          </w:p>
        </w:tc>
        <w:tc>
          <w:tcPr>
            <w:tcW w:w="1020" w:type="dxa"/>
            <w:vAlign w:val="center"/>
          </w:tcPr>
          <w:p>
            <w:pPr>
              <w:autoSpaceDE w:val="0"/>
              <w:autoSpaceDN w:val="0"/>
              <w:adjustRightInd w:val="0"/>
              <w:spacing w:line="400" w:lineRule="exact"/>
              <w:jc w:val="center"/>
              <w:rPr>
                <w:color w:val="auto"/>
                <w:highlight w:val="none"/>
              </w:rPr>
            </w:pPr>
            <w:r>
              <w:rPr>
                <w:rFonts w:hint="eastAsia"/>
                <w:color w:val="auto"/>
                <w:highlight w:val="none"/>
              </w:rPr>
              <w:t>姓名</w:t>
            </w:r>
          </w:p>
        </w:tc>
        <w:tc>
          <w:tcPr>
            <w:tcW w:w="1054" w:type="dxa"/>
            <w:vAlign w:val="center"/>
          </w:tcPr>
          <w:p>
            <w:pPr>
              <w:autoSpaceDE w:val="0"/>
              <w:autoSpaceDN w:val="0"/>
              <w:adjustRightInd w:val="0"/>
              <w:spacing w:line="400" w:lineRule="exact"/>
              <w:ind w:firstLine="480"/>
              <w:jc w:val="center"/>
              <w:rPr>
                <w:color w:val="auto"/>
                <w:highlight w:val="none"/>
              </w:rPr>
            </w:pPr>
          </w:p>
        </w:tc>
        <w:tc>
          <w:tcPr>
            <w:tcW w:w="1129" w:type="dxa"/>
            <w:vAlign w:val="center"/>
          </w:tcPr>
          <w:p>
            <w:pPr>
              <w:autoSpaceDE w:val="0"/>
              <w:autoSpaceDN w:val="0"/>
              <w:adjustRightInd w:val="0"/>
              <w:spacing w:line="400" w:lineRule="exact"/>
              <w:jc w:val="center"/>
              <w:rPr>
                <w:color w:val="auto"/>
                <w:highlight w:val="none"/>
              </w:rPr>
            </w:pPr>
            <w:r>
              <w:rPr>
                <w:rFonts w:hint="eastAsia"/>
                <w:color w:val="auto"/>
                <w:highlight w:val="none"/>
              </w:rPr>
              <w:t>技术</w:t>
            </w:r>
          </w:p>
          <w:p>
            <w:pPr>
              <w:autoSpaceDE w:val="0"/>
              <w:autoSpaceDN w:val="0"/>
              <w:adjustRightInd w:val="0"/>
              <w:spacing w:line="400" w:lineRule="exact"/>
              <w:jc w:val="center"/>
              <w:rPr>
                <w:color w:val="auto"/>
                <w:highlight w:val="none"/>
              </w:rPr>
            </w:pPr>
            <w:r>
              <w:rPr>
                <w:rFonts w:hint="eastAsia"/>
                <w:color w:val="auto"/>
                <w:highlight w:val="none"/>
              </w:rPr>
              <w:t>职称</w:t>
            </w:r>
          </w:p>
        </w:tc>
        <w:tc>
          <w:tcPr>
            <w:tcW w:w="1445" w:type="dxa"/>
            <w:vAlign w:val="center"/>
          </w:tcPr>
          <w:p>
            <w:pPr>
              <w:autoSpaceDE w:val="0"/>
              <w:autoSpaceDN w:val="0"/>
              <w:adjustRightInd w:val="0"/>
              <w:spacing w:line="400" w:lineRule="exact"/>
              <w:ind w:firstLine="480"/>
              <w:jc w:val="center"/>
              <w:rPr>
                <w:color w:val="auto"/>
                <w:highlight w:val="none"/>
              </w:rPr>
            </w:pPr>
          </w:p>
        </w:tc>
        <w:tc>
          <w:tcPr>
            <w:tcW w:w="1172"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电话</w:t>
            </w:r>
          </w:p>
        </w:tc>
        <w:tc>
          <w:tcPr>
            <w:tcW w:w="1067" w:type="dxa"/>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成立时间</w:t>
            </w:r>
          </w:p>
        </w:tc>
        <w:tc>
          <w:tcPr>
            <w:tcW w:w="2074" w:type="dxa"/>
            <w:gridSpan w:val="2"/>
            <w:vAlign w:val="center"/>
          </w:tcPr>
          <w:p>
            <w:pPr>
              <w:autoSpaceDE w:val="0"/>
              <w:autoSpaceDN w:val="0"/>
              <w:adjustRightInd w:val="0"/>
              <w:spacing w:line="400" w:lineRule="exact"/>
              <w:ind w:firstLine="480"/>
              <w:jc w:val="center"/>
              <w:rPr>
                <w:color w:val="auto"/>
                <w:highlight w:val="none"/>
              </w:rPr>
            </w:pPr>
          </w:p>
        </w:tc>
        <w:tc>
          <w:tcPr>
            <w:tcW w:w="1129" w:type="dxa"/>
            <w:vMerge w:val="restart"/>
            <w:vAlign w:val="center"/>
          </w:tcPr>
          <w:p>
            <w:pPr>
              <w:autoSpaceDE w:val="0"/>
              <w:autoSpaceDN w:val="0"/>
              <w:adjustRightInd w:val="0"/>
              <w:spacing w:line="400" w:lineRule="exact"/>
              <w:jc w:val="center"/>
              <w:rPr>
                <w:color w:val="auto"/>
                <w:highlight w:val="none"/>
              </w:rPr>
            </w:pPr>
            <w:r>
              <w:rPr>
                <w:rFonts w:hint="eastAsia"/>
                <w:color w:val="auto"/>
                <w:highlight w:val="none"/>
              </w:rPr>
              <w:t>其中</w:t>
            </w:r>
          </w:p>
        </w:tc>
        <w:tc>
          <w:tcPr>
            <w:tcW w:w="1985"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项目经理</w:t>
            </w:r>
          </w:p>
        </w:tc>
        <w:tc>
          <w:tcPr>
            <w:tcW w:w="1699" w:type="dxa"/>
            <w:gridSpan w:val="2"/>
            <w:vAlign w:val="center"/>
          </w:tcPr>
          <w:p>
            <w:pPr>
              <w:autoSpaceDE w:val="0"/>
              <w:autoSpaceDN w:val="0"/>
              <w:adjustRightInd w:val="0"/>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员工总人数</w:t>
            </w:r>
          </w:p>
        </w:tc>
        <w:tc>
          <w:tcPr>
            <w:tcW w:w="2074" w:type="dxa"/>
            <w:gridSpan w:val="2"/>
            <w:vAlign w:val="center"/>
          </w:tcPr>
          <w:p>
            <w:pPr>
              <w:autoSpaceDE w:val="0"/>
              <w:autoSpaceDN w:val="0"/>
              <w:adjustRightInd w:val="0"/>
              <w:spacing w:line="400" w:lineRule="exact"/>
              <w:ind w:firstLine="480"/>
              <w:jc w:val="center"/>
              <w:rPr>
                <w:color w:val="auto"/>
                <w:highlight w:val="none"/>
              </w:rPr>
            </w:pPr>
          </w:p>
        </w:tc>
        <w:tc>
          <w:tcPr>
            <w:tcW w:w="1129" w:type="dxa"/>
            <w:vMerge w:val="continue"/>
            <w:vAlign w:val="center"/>
          </w:tcPr>
          <w:p>
            <w:pPr>
              <w:autoSpaceDE w:val="0"/>
              <w:autoSpaceDN w:val="0"/>
              <w:adjustRightInd w:val="0"/>
              <w:spacing w:line="400" w:lineRule="exact"/>
              <w:jc w:val="center"/>
              <w:rPr>
                <w:color w:val="auto"/>
                <w:highlight w:val="none"/>
              </w:rPr>
            </w:pPr>
          </w:p>
        </w:tc>
        <w:tc>
          <w:tcPr>
            <w:tcW w:w="1985"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高级职称人员</w:t>
            </w:r>
          </w:p>
        </w:tc>
        <w:tc>
          <w:tcPr>
            <w:tcW w:w="1699" w:type="dxa"/>
            <w:gridSpan w:val="2"/>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注册资金</w:t>
            </w:r>
          </w:p>
        </w:tc>
        <w:tc>
          <w:tcPr>
            <w:tcW w:w="2074" w:type="dxa"/>
            <w:gridSpan w:val="2"/>
            <w:vAlign w:val="center"/>
          </w:tcPr>
          <w:p>
            <w:pPr>
              <w:autoSpaceDE w:val="0"/>
              <w:autoSpaceDN w:val="0"/>
              <w:adjustRightInd w:val="0"/>
              <w:spacing w:line="400" w:lineRule="exact"/>
              <w:ind w:firstLine="480"/>
              <w:jc w:val="center"/>
              <w:rPr>
                <w:color w:val="auto"/>
                <w:highlight w:val="none"/>
              </w:rPr>
            </w:pPr>
          </w:p>
        </w:tc>
        <w:tc>
          <w:tcPr>
            <w:tcW w:w="1129" w:type="dxa"/>
            <w:vMerge w:val="continue"/>
            <w:vAlign w:val="center"/>
          </w:tcPr>
          <w:p>
            <w:pPr>
              <w:autoSpaceDE w:val="0"/>
              <w:autoSpaceDN w:val="0"/>
              <w:adjustRightInd w:val="0"/>
              <w:spacing w:line="400" w:lineRule="exact"/>
              <w:ind w:firstLine="480"/>
              <w:jc w:val="center"/>
              <w:rPr>
                <w:color w:val="auto"/>
                <w:highlight w:val="none"/>
              </w:rPr>
            </w:pPr>
          </w:p>
        </w:tc>
        <w:tc>
          <w:tcPr>
            <w:tcW w:w="1985"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中级职称人员</w:t>
            </w:r>
          </w:p>
        </w:tc>
        <w:tc>
          <w:tcPr>
            <w:tcW w:w="1699" w:type="dxa"/>
            <w:gridSpan w:val="2"/>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开户银行</w:t>
            </w:r>
          </w:p>
        </w:tc>
        <w:tc>
          <w:tcPr>
            <w:tcW w:w="2074" w:type="dxa"/>
            <w:gridSpan w:val="2"/>
            <w:vAlign w:val="center"/>
          </w:tcPr>
          <w:p>
            <w:pPr>
              <w:autoSpaceDE w:val="0"/>
              <w:autoSpaceDN w:val="0"/>
              <w:adjustRightInd w:val="0"/>
              <w:spacing w:line="400" w:lineRule="exact"/>
              <w:ind w:firstLine="480"/>
              <w:jc w:val="center"/>
              <w:rPr>
                <w:color w:val="auto"/>
                <w:highlight w:val="none"/>
              </w:rPr>
            </w:pPr>
          </w:p>
        </w:tc>
        <w:tc>
          <w:tcPr>
            <w:tcW w:w="1129" w:type="dxa"/>
            <w:vMerge w:val="continue"/>
            <w:vAlign w:val="center"/>
          </w:tcPr>
          <w:p>
            <w:pPr>
              <w:autoSpaceDE w:val="0"/>
              <w:autoSpaceDN w:val="0"/>
              <w:adjustRightInd w:val="0"/>
              <w:spacing w:line="400" w:lineRule="exact"/>
              <w:ind w:firstLine="480"/>
              <w:jc w:val="center"/>
              <w:rPr>
                <w:color w:val="auto"/>
                <w:highlight w:val="none"/>
              </w:rPr>
            </w:pPr>
          </w:p>
        </w:tc>
        <w:tc>
          <w:tcPr>
            <w:tcW w:w="1985"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初级职称人员</w:t>
            </w:r>
          </w:p>
        </w:tc>
        <w:tc>
          <w:tcPr>
            <w:tcW w:w="1699" w:type="dxa"/>
            <w:gridSpan w:val="2"/>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账号</w:t>
            </w:r>
          </w:p>
        </w:tc>
        <w:tc>
          <w:tcPr>
            <w:tcW w:w="2074" w:type="dxa"/>
            <w:gridSpan w:val="2"/>
            <w:vAlign w:val="center"/>
          </w:tcPr>
          <w:p>
            <w:pPr>
              <w:autoSpaceDE w:val="0"/>
              <w:autoSpaceDN w:val="0"/>
              <w:adjustRightInd w:val="0"/>
              <w:spacing w:line="400" w:lineRule="exact"/>
              <w:ind w:firstLine="480"/>
              <w:jc w:val="center"/>
              <w:rPr>
                <w:color w:val="auto"/>
                <w:highlight w:val="none"/>
              </w:rPr>
            </w:pPr>
          </w:p>
        </w:tc>
        <w:tc>
          <w:tcPr>
            <w:tcW w:w="1129" w:type="dxa"/>
            <w:vMerge w:val="continue"/>
            <w:vAlign w:val="center"/>
          </w:tcPr>
          <w:p>
            <w:pPr>
              <w:autoSpaceDE w:val="0"/>
              <w:autoSpaceDN w:val="0"/>
              <w:adjustRightInd w:val="0"/>
              <w:spacing w:line="400" w:lineRule="exact"/>
              <w:ind w:firstLine="480"/>
              <w:jc w:val="center"/>
              <w:rPr>
                <w:color w:val="auto"/>
                <w:highlight w:val="none"/>
              </w:rPr>
            </w:pPr>
          </w:p>
        </w:tc>
        <w:tc>
          <w:tcPr>
            <w:tcW w:w="1985" w:type="dxa"/>
            <w:gridSpan w:val="2"/>
            <w:vAlign w:val="center"/>
          </w:tcPr>
          <w:p>
            <w:pPr>
              <w:autoSpaceDE w:val="0"/>
              <w:autoSpaceDN w:val="0"/>
              <w:adjustRightInd w:val="0"/>
              <w:spacing w:line="400" w:lineRule="exact"/>
              <w:jc w:val="center"/>
              <w:rPr>
                <w:color w:val="auto"/>
                <w:highlight w:val="none"/>
              </w:rPr>
            </w:pPr>
            <w:r>
              <w:rPr>
                <w:rFonts w:hint="eastAsia"/>
                <w:color w:val="auto"/>
                <w:highlight w:val="none"/>
              </w:rPr>
              <w:t>技工</w:t>
            </w:r>
          </w:p>
        </w:tc>
        <w:tc>
          <w:tcPr>
            <w:tcW w:w="1699" w:type="dxa"/>
            <w:gridSpan w:val="2"/>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经营范围</w:t>
            </w:r>
          </w:p>
        </w:tc>
        <w:tc>
          <w:tcPr>
            <w:tcW w:w="6887" w:type="dxa"/>
            <w:gridSpan w:val="7"/>
            <w:vAlign w:val="center"/>
          </w:tcPr>
          <w:p>
            <w:pPr>
              <w:autoSpaceDE w:val="0"/>
              <w:autoSpaceDN w:val="0"/>
              <w:adjustRightInd w:val="0"/>
              <w:spacing w:line="400" w:lineRule="exact"/>
              <w:ind w:firstLine="48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759" w:type="dxa"/>
            <w:vAlign w:val="center"/>
          </w:tcPr>
          <w:p>
            <w:pPr>
              <w:autoSpaceDE w:val="0"/>
              <w:autoSpaceDN w:val="0"/>
              <w:adjustRightInd w:val="0"/>
              <w:spacing w:line="400" w:lineRule="exact"/>
              <w:jc w:val="center"/>
              <w:rPr>
                <w:color w:val="auto"/>
                <w:highlight w:val="none"/>
              </w:rPr>
            </w:pPr>
            <w:r>
              <w:rPr>
                <w:rFonts w:hint="eastAsia"/>
                <w:color w:val="auto"/>
                <w:highlight w:val="none"/>
              </w:rPr>
              <w:t>备注</w:t>
            </w:r>
          </w:p>
        </w:tc>
        <w:tc>
          <w:tcPr>
            <w:tcW w:w="6887" w:type="dxa"/>
            <w:gridSpan w:val="7"/>
            <w:vAlign w:val="center"/>
          </w:tcPr>
          <w:p>
            <w:pPr>
              <w:autoSpaceDE w:val="0"/>
              <w:autoSpaceDN w:val="0"/>
              <w:adjustRightInd w:val="0"/>
              <w:spacing w:line="400" w:lineRule="exact"/>
              <w:ind w:firstLine="480"/>
              <w:jc w:val="center"/>
              <w:rPr>
                <w:color w:val="auto"/>
                <w:highlight w:val="none"/>
              </w:rPr>
            </w:pPr>
          </w:p>
        </w:tc>
      </w:tr>
    </w:tbl>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ind w:firstLine="480" w:firstLineChars="200"/>
        <w:rPr>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说明：供应商根据自身情况如实填写，不涉及内容可填写“/”，不影响响应文件有效性。</w:t>
      </w:r>
    </w:p>
    <w:p>
      <w:pPr>
        <w:rPr>
          <w:color w:val="auto"/>
          <w:highlight w:val="none"/>
        </w:rPr>
      </w:pPr>
    </w:p>
    <w:p>
      <w:pPr>
        <w:pStyle w:val="6"/>
        <w:ind w:left="18" w:hanging="18" w:firstLineChars="0"/>
        <w:rPr>
          <w:color w:val="auto"/>
          <w:highlight w:val="none"/>
        </w:rPr>
      </w:pPr>
      <w:r>
        <w:rPr>
          <w:rFonts w:hint="eastAsia"/>
          <w:color w:val="auto"/>
          <w:highlight w:val="none"/>
        </w:rPr>
        <w:t>技术、商务应答表</w:t>
      </w:r>
    </w:p>
    <w:p>
      <w:pPr>
        <w:spacing w:line="360" w:lineRule="auto"/>
        <w:ind w:firstLine="482" w:firstLineChars="200"/>
        <w:rPr>
          <w:rFonts w:ascii="宋体" w:hAnsi="宋体"/>
          <w:b/>
          <w:color w:val="auto"/>
          <w:highlight w:val="none"/>
          <w:u w:val="single"/>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rPr>
        <w:t xml:space="preserve">成都市龙泉驿区水务局水务综合规划（2021-2035）修编服务采购项目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510112202200015</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竞争性磋商文件技术、商务条款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磋商应答</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line="360" w:lineRule="auto"/>
        <w:ind w:firstLine="504"/>
        <w:rPr>
          <w:rFonts w:ascii="宋体" w:hAnsi="宋体" w:cs="宋体"/>
          <w:color w:val="auto"/>
          <w:highlight w:val="none"/>
        </w:rPr>
      </w:pPr>
      <w:r>
        <w:rPr>
          <w:rFonts w:hint="eastAsia" w:ascii="宋体" w:hAnsi="宋体" w:cs="宋体"/>
          <w:color w:val="auto"/>
          <w:highlight w:val="none"/>
        </w:rPr>
        <w:t xml:space="preserve"> 说明：</w:t>
      </w:r>
    </w:p>
    <w:p>
      <w:pPr>
        <w:numPr>
          <w:ilvl w:val="0"/>
          <w:numId w:val="68"/>
        </w:numPr>
        <w:spacing w:line="360" w:lineRule="auto"/>
        <w:ind w:left="5" w:firstLine="755"/>
        <w:rPr>
          <w:rFonts w:ascii="宋体" w:hAnsi="宋体" w:cs="宋体"/>
          <w:color w:val="auto"/>
          <w:kern w:val="2"/>
          <w:highlight w:val="none"/>
        </w:rPr>
      </w:pPr>
      <w:r>
        <w:rPr>
          <w:rFonts w:hint="eastAsia" w:ascii="宋体" w:hAnsi="宋体" w:cs="宋体"/>
          <w:color w:val="auto"/>
          <w:kern w:val="2"/>
          <w:highlight w:val="none"/>
        </w:rPr>
        <w:t>按照磋商文件第3章要求的条款对应填写。若未在此表填写对应条款的，视为其响应文件（除★项外）接受磋商文件第3章的条款，其响应文件有效；</w:t>
      </w:r>
    </w:p>
    <w:p>
      <w:pPr>
        <w:numPr>
          <w:ilvl w:val="0"/>
          <w:numId w:val="68"/>
        </w:numPr>
        <w:spacing w:line="360" w:lineRule="auto"/>
        <w:ind w:left="5" w:firstLine="755"/>
        <w:rPr>
          <w:rFonts w:ascii="宋体" w:hAnsi="宋体" w:cs="宋体"/>
          <w:color w:val="auto"/>
          <w:kern w:val="2"/>
          <w:highlight w:val="none"/>
        </w:rPr>
      </w:pPr>
      <w:r>
        <w:rPr>
          <w:rFonts w:hint="eastAsia" w:ascii="宋体" w:hAnsi="宋体" w:cs="宋体"/>
          <w:color w:val="auto"/>
          <w:kern w:val="2"/>
          <w:highlight w:val="none"/>
        </w:rPr>
        <w:t>加★条款为实质性审查内容，未填写或未按要求提供证明材料或未按要求另行提供承诺函的作无效磋商处理。</w:t>
      </w:r>
    </w:p>
    <w:p>
      <w:pPr>
        <w:numPr>
          <w:ilvl w:val="0"/>
          <w:numId w:val="68"/>
        </w:numPr>
        <w:spacing w:line="360" w:lineRule="auto"/>
        <w:ind w:left="5" w:firstLine="755"/>
        <w:rPr>
          <w:rFonts w:ascii="宋体" w:hAnsi="宋体" w:cs="宋体"/>
          <w:color w:val="auto"/>
          <w:kern w:val="2"/>
          <w:highlight w:val="none"/>
        </w:rPr>
      </w:pPr>
      <w:r>
        <w:rPr>
          <w:rFonts w:hint="eastAsia" w:ascii="宋体" w:hAnsi="宋体" w:cs="宋体"/>
          <w:color w:val="auto"/>
          <w:kern w:val="2"/>
          <w:highlight w:val="none"/>
        </w:rPr>
        <w:t>供应商须据实填写，不得虚假响应。若发现虚假响应，将取消其成交资格，采购人有追索供应商由此给采购人造成的一切损失的权利。</w:t>
      </w:r>
    </w:p>
    <w:p>
      <w:pPr>
        <w:spacing w:line="360" w:lineRule="auto"/>
        <w:ind w:firstLine="480" w:firstLineChars="200"/>
        <w:rPr>
          <w:rFonts w:ascii="宋体" w:hAnsi="宋体"/>
          <w:color w:val="auto"/>
          <w:highlight w:val="none"/>
        </w:rPr>
      </w:pPr>
    </w:p>
    <w:p>
      <w:pPr>
        <w:pStyle w:val="2"/>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color w:val="auto"/>
          <w:highlight w:val="none"/>
        </w:rPr>
        <w:sectPr>
          <w:pgSz w:w="11906" w:h="16838"/>
          <w:pgMar w:top="1440" w:right="1274" w:bottom="1440" w:left="1418" w:header="851" w:footer="992" w:gutter="0"/>
          <w:cols w:space="720" w:num="1"/>
          <w:docGrid w:type="lines" w:linePitch="312" w:charSpace="0"/>
        </w:sectPr>
      </w:pPr>
    </w:p>
    <w:bookmarkEnd w:id="350"/>
    <w:p>
      <w:pPr>
        <w:pStyle w:val="3"/>
        <w:rPr>
          <w:color w:val="auto"/>
          <w:highlight w:val="none"/>
        </w:rPr>
      </w:pPr>
      <w:bookmarkStart w:id="351" w:name="_Toc360696963"/>
      <w:bookmarkStart w:id="352" w:name="_Toc236285891"/>
      <w:bookmarkStart w:id="353" w:name="_Toc205604899"/>
      <w:bookmarkStart w:id="354" w:name="_Toc238273564"/>
    </w:p>
    <w:p>
      <w:pPr>
        <w:pStyle w:val="6"/>
        <w:ind w:left="18" w:hanging="18" w:firstLineChars="0"/>
        <w:rPr>
          <w:color w:val="auto"/>
          <w:highlight w:val="none"/>
        </w:rPr>
      </w:pPr>
      <w:r>
        <w:rPr>
          <w:rFonts w:hint="eastAsia" w:cs="宋体"/>
          <w:color w:val="auto"/>
          <w:szCs w:val="24"/>
          <w:highlight w:val="none"/>
        </w:rPr>
        <w:t>服务方案</w:t>
      </w: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6"/>
        <w:ind w:left="18" w:hanging="18" w:firstLineChars="0"/>
        <w:rPr>
          <w:color w:val="auto"/>
          <w:highlight w:val="none"/>
        </w:rPr>
      </w:pPr>
      <w:bookmarkStart w:id="355" w:name="_Toc451340457"/>
      <w:r>
        <w:rPr>
          <w:rFonts w:hint="eastAsia" w:cs="宋体"/>
          <w:color w:val="auto"/>
          <w:highlight w:val="none"/>
        </w:rPr>
        <w:t>实施本项目的主要人员配置情况表</w:t>
      </w:r>
    </w:p>
    <w:p>
      <w:pPr>
        <w:spacing w:line="360" w:lineRule="auto"/>
        <w:ind w:firstLine="482" w:firstLineChars="200"/>
        <w:rPr>
          <w:rFonts w:ascii="宋体" w:hAnsi="宋体" w:cs="宋体"/>
          <w:b/>
          <w:color w:val="auto"/>
          <w:highlight w:val="none"/>
          <w:u w:val="single"/>
        </w:rPr>
      </w:pPr>
      <w:r>
        <w:rPr>
          <w:rFonts w:hint="eastAsia" w:ascii="宋体" w:hAnsi="宋体" w:cs="宋体"/>
          <w:b/>
          <w:color w:val="auto"/>
          <w:highlight w:val="none"/>
        </w:rPr>
        <w:t>项目名称：</w:t>
      </w:r>
      <w:r>
        <w:rPr>
          <w:rFonts w:hint="eastAsia" w:ascii="宋体" w:hAnsi="宋体" w:cs="宋体"/>
          <w:b/>
          <w:color w:val="auto"/>
          <w:highlight w:val="none"/>
          <w:u w:val="single"/>
        </w:rPr>
        <w:t xml:space="preserve">成都市龙泉驿区水务局水务综合规划（2021-2035）修编服务采购项目 </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510112202200015</w:t>
      </w:r>
    </w:p>
    <w:p>
      <w:pPr>
        <w:rPr>
          <w:color w:val="auto"/>
          <w:highlight w:val="none"/>
        </w:rPr>
      </w:pPr>
    </w:p>
    <w:tbl>
      <w:tblPr>
        <w:tblStyle w:val="4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683"/>
        <w:gridCol w:w="1227"/>
        <w:gridCol w:w="1356"/>
        <w:gridCol w:w="1251"/>
        <w:gridCol w:w="12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restart"/>
            <w:vAlign w:val="center"/>
          </w:tcPr>
          <w:p>
            <w:pPr>
              <w:widowControl w:val="0"/>
              <w:snapToGrid w:val="0"/>
              <w:spacing w:line="400" w:lineRule="atLeast"/>
              <w:jc w:val="center"/>
              <w:rPr>
                <w:rFonts w:ascii="宋体" w:hAnsi="宋体" w:cs="宋体"/>
                <w:b/>
                <w:bCs/>
                <w:color w:val="auto"/>
                <w:highlight w:val="none"/>
                <w:lang w:val="zh-CN"/>
              </w:rPr>
            </w:pPr>
            <w:r>
              <w:rPr>
                <w:rFonts w:hint="eastAsia" w:ascii="宋体" w:hAnsi="宋体" w:cs="宋体"/>
                <w:b/>
                <w:bCs/>
                <w:color w:val="auto"/>
                <w:highlight w:val="none"/>
              </w:rPr>
              <w:t>序号</w:t>
            </w:r>
          </w:p>
        </w:tc>
        <w:tc>
          <w:tcPr>
            <w:tcW w:w="1683" w:type="dxa"/>
            <w:vMerge w:val="restart"/>
            <w:vAlign w:val="center"/>
          </w:tcPr>
          <w:p>
            <w:pPr>
              <w:widowControl w:val="0"/>
              <w:snapToGrid w:val="0"/>
              <w:spacing w:line="400" w:lineRule="atLeast"/>
              <w:jc w:val="center"/>
              <w:rPr>
                <w:rFonts w:ascii="宋体" w:hAnsi="宋体" w:cs="宋体"/>
                <w:b/>
                <w:bCs/>
                <w:color w:val="auto"/>
                <w:highlight w:val="none"/>
              </w:rPr>
            </w:pPr>
            <w:r>
              <w:rPr>
                <w:rFonts w:hint="eastAsia" w:ascii="宋体" w:hAnsi="宋体" w:cs="宋体"/>
                <w:b/>
                <w:bCs/>
                <w:color w:val="auto"/>
                <w:highlight w:val="none"/>
              </w:rPr>
              <w:t>参与本项目</w:t>
            </w:r>
          </w:p>
          <w:p>
            <w:pPr>
              <w:widowControl w:val="0"/>
              <w:snapToGrid w:val="0"/>
              <w:spacing w:line="400" w:lineRule="atLeast"/>
              <w:jc w:val="center"/>
              <w:rPr>
                <w:rFonts w:ascii="宋体" w:hAnsi="宋体" w:cs="宋体"/>
                <w:b/>
                <w:bCs/>
                <w:color w:val="auto"/>
                <w:highlight w:val="none"/>
              </w:rPr>
            </w:pPr>
            <w:r>
              <w:rPr>
                <w:rFonts w:hint="eastAsia" w:ascii="宋体" w:hAnsi="宋体" w:cs="宋体"/>
                <w:b/>
                <w:bCs/>
                <w:color w:val="auto"/>
                <w:highlight w:val="none"/>
              </w:rPr>
              <w:t>职务（岗位）</w:t>
            </w:r>
          </w:p>
        </w:tc>
        <w:tc>
          <w:tcPr>
            <w:tcW w:w="1227" w:type="dxa"/>
            <w:vMerge w:val="restart"/>
            <w:vAlign w:val="center"/>
          </w:tcPr>
          <w:p>
            <w:pPr>
              <w:widowControl w:val="0"/>
              <w:snapToGrid w:val="0"/>
              <w:spacing w:line="400" w:lineRule="atLeast"/>
              <w:jc w:val="center"/>
              <w:rPr>
                <w:rFonts w:ascii="宋体" w:hAnsi="宋体" w:cs="宋体"/>
                <w:b/>
                <w:bCs/>
                <w:color w:val="auto"/>
                <w:highlight w:val="none"/>
                <w:lang w:val="zh-CN"/>
              </w:rPr>
            </w:pPr>
            <w:r>
              <w:rPr>
                <w:rFonts w:hint="eastAsia" w:ascii="宋体" w:hAnsi="宋体" w:cs="宋体"/>
                <w:b/>
                <w:bCs/>
                <w:color w:val="auto"/>
                <w:highlight w:val="none"/>
              </w:rPr>
              <w:t>姓名</w:t>
            </w:r>
          </w:p>
        </w:tc>
        <w:tc>
          <w:tcPr>
            <w:tcW w:w="2607" w:type="dxa"/>
            <w:gridSpan w:val="2"/>
            <w:vAlign w:val="center"/>
          </w:tcPr>
          <w:p>
            <w:pPr>
              <w:widowControl w:val="0"/>
              <w:snapToGrid w:val="0"/>
              <w:spacing w:line="400" w:lineRule="atLeast"/>
              <w:jc w:val="center"/>
              <w:rPr>
                <w:rFonts w:ascii="宋体" w:hAnsi="宋体" w:cs="宋体"/>
                <w:b/>
                <w:bCs/>
                <w:color w:val="auto"/>
                <w:highlight w:val="none"/>
                <w:lang w:val="zh-CN"/>
              </w:rPr>
            </w:pPr>
            <w:r>
              <w:rPr>
                <w:rFonts w:hint="eastAsia" w:ascii="宋体" w:hAnsi="宋体" w:cs="宋体"/>
                <w:b/>
                <w:bCs/>
                <w:color w:val="auto"/>
                <w:highlight w:val="none"/>
              </w:rPr>
              <w:t>执业或职业资格</w:t>
            </w:r>
          </w:p>
        </w:tc>
        <w:tc>
          <w:tcPr>
            <w:tcW w:w="2372" w:type="dxa"/>
            <w:gridSpan w:val="2"/>
            <w:vAlign w:val="center"/>
          </w:tcPr>
          <w:p>
            <w:pPr>
              <w:widowControl w:val="0"/>
              <w:snapToGrid w:val="0"/>
              <w:spacing w:line="400" w:lineRule="atLeast"/>
              <w:jc w:val="center"/>
              <w:rPr>
                <w:rFonts w:ascii="宋体" w:hAnsi="宋体" w:cs="宋体"/>
                <w:b/>
                <w:bCs/>
                <w:color w:val="auto"/>
                <w:highlight w:val="none"/>
                <w:lang w:val="zh-CN"/>
              </w:rPr>
            </w:pPr>
            <w:r>
              <w:rPr>
                <w:rFonts w:hint="eastAsia" w:ascii="宋体" w:hAnsi="宋体" w:cs="宋体"/>
                <w:b/>
                <w:bCs/>
                <w:color w:val="auto"/>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continue"/>
            <w:vAlign w:val="center"/>
          </w:tcPr>
          <w:p>
            <w:pPr>
              <w:widowControl w:val="0"/>
              <w:snapToGrid w:val="0"/>
              <w:spacing w:line="400" w:lineRule="atLeast"/>
              <w:jc w:val="center"/>
              <w:rPr>
                <w:rFonts w:ascii="宋体" w:hAnsi="宋体" w:cs="宋体"/>
                <w:b/>
                <w:bCs/>
                <w:color w:val="auto"/>
                <w:highlight w:val="none"/>
              </w:rPr>
            </w:pPr>
          </w:p>
        </w:tc>
        <w:tc>
          <w:tcPr>
            <w:tcW w:w="1683" w:type="dxa"/>
            <w:vMerge w:val="continue"/>
            <w:vAlign w:val="center"/>
          </w:tcPr>
          <w:p>
            <w:pPr>
              <w:widowControl w:val="0"/>
              <w:snapToGrid w:val="0"/>
              <w:spacing w:line="400" w:lineRule="atLeast"/>
              <w:jc w:val="center"/>
              <w:rPr>
                <w:rFonts w:ascii="宋体" w:hAnsi="宋体" w:cs="宋体"/>
                <w:b/>
                <w:bCs/>
                <w:color w:val="auto"/>
                <w:highlight w:val="none"/>
              </w:rPr>
            </w:pPr>
          </w:p>
        </w:tc>
        <w:tc>
          <w:tcPr>
            <w:tcW w:w="1227" w:type="dxa"/>
            <w:vMerge w:val="continue"/>
            <w:vAlign w:val="center"/>
          </w:tcPr>
          <w:p>
            <w:pPr>
              <w:widowControl w:val="0"/>
              <w:snapToGrid w:val="0"/>
              <w:spacing w:line="400" w:lineRule="atLeast"/>
              <w:jc w:val="center"/>
              <w:rPr>
                <w:rFonts w:ascii="宋体" w:hAnsi="宋体" w:cs="宋体"/>
                <w:b/>
                <w:bCs/>
                <w:color w:val="auto"/>
                <w:highlight w:val="none"/>
              </w:rPr>
            </w:pPr>
          </w:p>
        </w:tc>
        <w:tc>
          <w:tcPr>
            <w:tcW w:w="1356" w:type="dxa"/>
            <w:vAlign w:val="center"/>
          </w:tcPr>
          <w:p>
            <w:pPr>
              <w:widowControl w:val="0"/>
              <w:snapToGrid w:val="0"/>
              <w:spacing w:line="400" w:lineRule="atLeast"/>
              <w:jc w:val="center"/>
              <w:rPr>
                <w:rFonts w:ascii="宋体" w:hAnsi="宋体" w:cs="宋体"/>
                <w:b/>
                <w:bCs/>
                <w:color w:val="auto"/>
                <w:highlight w:val="none"/>
              </w:rPr>
            </w:pPr>
            <w:r>
              <w:rPr>
                <w:rFonts w:hint="eastAsia" w:ascii="宋体" w:hAnsi="宋体" w:cs="宋体"/>
                <w:b/>
                <w:bCs/>
                <w:color w:val="auto"/>
                <w:highlight w:val="none"/>
              </w:rPr>
              <w:t>证书名称</w:t>
            </w:r>
          </w:p>
        </w:tc>
        <w:tc>
          <w:tcPr>
            <w:tcW w:w="1251" w:type="dxa"/>
            <w:vAlign w:val="center"/>
          </w:tcPr>
          <w:p>
            <w:pPr>
              <w:widowControl w:val="0"/>
              <w:snapToGrid w:val="0"/>
              <w:spacing w:line="400" w:lineRule="atLeast"/>
              <w:jc w:val="center"/>
              <w:rPr>
                <w:rFonts w:ascii="宋体" w:hAnsi="宋体" w:cs="宋体"/>
                <w:b/>
                <w:bCs/>
                <w:color w:val="auto"/>
                <w:highlight w:val="none"/>
              </w:rPr>
            </w:pPr>
            <w:r>
              <w:rPr>
                <w:rFonts w:hint="eastAsia" w:ascii="宋体" w:hAnsi="宋体" w:cs="宋体"/>
                <w:b/>
                <w:bCs/>
                <w:color w:val="auto"/>
                <w:highlight w:val="none"/>
              </w:rPr>
              <w:t>证书编号</w:t>
            </w:r>
          </w:p>
        </w:tc>
        <w:tc>
          <w:tcPr>
            <w:tcW w:w="1285" w:type="dxa"/>
            <w:vAlign w:val="center"/>
          </w:tcPr>
          <w:p>
            <w:pPr>
              <w:widowControl w:val="0"/>
              <w:snapToGrid w:val="0"/>
              <w:spacing w:line="400" w:lineRule="atLeast"/>
              <w:jc w:val="center"/>
              <w:rPr>
                <w:rFonts w:ascii="宋体" w:hAnsi="宋体" w:cs="宋体"/>
                <w:b/>
                <w:bCs/>
                <w:color w:val="auto"/>
                <w:highlight w:val="none"/>
              </w:rPr>
            </w:pPr>
            <w:r>
              <w:rPr>
                <w:rFonts w:hint="eastAsia" w:ascii="宋体" w:hAnsi="宋体" w:cs="宋体"/>
                <w:b/>
                <w:bCs/>
                <w:color w:val="auto"/>
                <w:highlight w:val="none"/>
              </w:rPr>
              <w:t>职称专业</w:t>
            </w:r>
          </w:p>
        </w:tc>
        <w:tc>
          <w:tcPr>
            <w:tcW w:w="1087" w:type="dxa"/>
            <w:vAlign w:val="center"/>
          </w:tcPr>
          <w:p>
            <w:pPr>
              <w:widowControl w:val="0"/>
              <w:snapToGrid w:val="0"/>
              <w:spacing w:line="400" w:lineRule="atLeast"/>
              <w:jc w:val="center"/>
              <w:rPr>
                <w:rFonts w:ascii="宋体" w:hAnsi="宋体" w:cs="宋体"/>
                <w:b/>
                <w:bCs/>
                <w:color w:val="auto"/>
                <w:highlight w:val="none"/>
              </w:rPr>
            </w:pPr>
            <w:r>
              <w:rPr>
                <w:rFonts w:hint="eastAsia" w:ascii="宋体" w:hAnsi="宋体" w:cs="宋体"/>
                <w:b/>
                <w:bCs/>
                <w:color w:val="auto"/>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851" w:type="dxa"/>
            <w:vAlign w:val="center"/>
          </w:tcPr>
          <w:p>
            <w:pPr>
              <w:widowControl w:val="0"/>
              <w:snapToGrid w:val="0"/>
              <w:spacing w:line="400" w:lineRule="atLeast"/>
              <w:jc w:val="center"/>
              <w:rPr>
                <w:rFonts w:ascii="宋体" w:hAnsi="宋体" w:cs="宋体"/>
                <w:color w:val="auto"/>
                <w:highlight w:val="none"/>
              </w:rPr>
            </w:pPr>
            <w:r>
              <w:rPr>
                <w:rFonts w:hint="eastAsia" w:ascii="宋体" w:hAnsi="宋体" w:cs="宋体"/>
                <w:color w:val="auto"/>
                <w:highlight w:val="none"/>
              </w:rPr>
              <w:t>1</w:t>
            </w:r>
          </w:p>
        </w:tc>
        <w:tc>
          <w:tcPr>
            <w:tcW w:w="1683" w:type="dxa"/>
            <w:vAlign w:val="center"/>
          </w:tcPr>
          <w:p>
            <w:pPr>
              <w:widowControl w:val="0"/>
              <w:snapToGrid w:val="0"/>
              <w:spacing w:line="400" w:lineRule="atLeast"/>
              <w:jc w:val="center"/>
              <w:rPr>
                <w:rFonts w:ascii="宋体" w:hAnsi="宋体" w:cs="宋体"/>
                <w:color w:val="auto"/>
                <w:highlight w:val="none"/>
              </w:rPr>
            </w:pPr>
            <w:r>
              <w:rPr>
                <w:rFonts w:hint="eastAsia" w:ascii="宋体" w:hAnsi="宋体" w:cs="宋体"/>
                <w:b/>
                <w:bCs/>
                <w:color w:val="auto"/>
                <w:highlight w:val="none"/>
              </w:rPr>
              <w:t>如：</w:t>
            </w:r>
            <w:r>
              <w:rPr>
                <w:rFonts w:hint="eastAsia" w:ascii="宋体" w:hAnsi="宋体" w:cs="宋体"/>
                <w:color w:val="auto"/>
                <w:highlight w:val="none"/>
              </w:rPr>
              <w:t>项目负责人</w:t>
            </w:r>
          </w:p>
          <w:p>
            <w:pPr>
              <w:widowControl w:val="0"/>
              <w:snapToGrid w:val="0"/>
              <w:spacing w:line="400" w:lineRule="atLeast"/>
              <w:jc w:val="center"/>
              <w:rPr>
                <w:rFonts w:ascii="宋体" w:hAnsi="宋体" w:cs="宋体"/>
                <w:color w:val="auto"/>
                <w:highlight w:val="none"/>
              </w:rPr>
            </w:pPr>
            <w:r>
              <w:rPr>
                <w:rFonts w:hint="eastAsia" w:ascii="宋体" w:hAnsi="宋体" w:cs="宋体"/>
                <w:color w:val="auto"/>
                <w:highlight w:val="none"/>
              </w:rPr>
              <w:t>（项目经理）</w:t>
            </w:r>
          </w:p>
        </w:tc>
        <w:tc>
          <w:tcPr>
            <w:tcW w:w="1227" w:type="dxa"/>
            <w:vAlign w:val="center"/>
          </w:tcPr>
          <w:p>
            <w:pPr>
              <w:widowControl w:val="0"/>
              <w:snapToGrid w:val="0"/>
              <w:spacing w:line="400" w:lineRule="atLeast"/>
              <w:jc w:val="center"/>
              <w:rPr>
                <w:rFonts w:ascii="宋体" w:hAnsi="宋体" w:cs="宋体"/>
                <w:color w:val="auto"/>
                <w:highlight w:val="none"/>
              </w:rPr>
            </w:pPr>
          </w:p>
        </w:tc>
        <w:tc>
          <w:tcPr>
            <w:tcW w:w="1356" w:type="dxa"/>
            <w:vAlign w:val="center"/>
          </w:tcPr>
          <w:p>
            <w:pPr>
              <w:widowControl w:val="0"/>
              <w:snapToGrid w:val="0"/>
              <w:spacing w:line="400" w:lineRule="atLeast"/>
              <w:jc w:val="center"/>
              <w:rPr>
                <w:rFonts w:ascii="宋体" w:hAnsi="宋体" w:cs="宋体"/>
                <w:color w:val="auto"/>
                <w:highlight w:val="none"/>
              </w:rPr>
            </w:pPr>
          </w:p>
        </w:tc>
        <w:tc>
          <w:tcPr>
            <w:tcW w:w="1251" w:type="dxa"/>
            <w:vAlign w:val="center"/>
          </w:tcPr>
          <w:p>
            <w:pPr>
              <w:widowControl w:val="0"/>
              <w:snapToGrid w:val="0"/>
              <w:spacing w:line="400" w:lineRule="atLeast"/>
              <w:jc w:val="center"/>
              <w:rPr>
                <w:rFonts w:ascii="宋体" w:hAnsi="宋体" w:cs="宋体"/>
                <w:color w:val="auto"/>
                <w:highlight w:val="none"/>
              </w:rPr>
            </w:pPr>
          </w:p>
        </w:tc>
        <w:tc>
          <w:tcPr>
            <w:tcW w:w="1285" w:type="dxa"/>
            <w:vAlign w:val="center"/>
          </w:tcPr>
          <w:p>
            <w:pPr>
              <w:widowControl w:val="0"/>
              <w:snapToGrid w:val="0"/>
              <w:spacing w:line="400" w:lineRule="atLeast"/>
              <w:jc w:val="center"/>
              <w:rPr>
                <w:rFonts w:ascii="宋体" w:hAnsi="宋体" w:cs="宋体"/>
                <w:color w:val="auto"/>
                <w:highlight w:val="none"/>
              </w:rPr>
            </w:pPr>
          </w:p>
        </w:tc>
        <w:tc>
          <w:tcPr>
            <w:tcW w:w="1087" w:type="dxa"/>
          </w:tcPr>
          <w:p>
            <w:pPr>
              <w:widowControl w:val="0"/>
              <w:snapToGrid w:val="0"/>
              <w:spacing w:line="40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vAlign w:val="center"/>
          </w:tcPr>
          <w:p>
            <w:pPr>
              <w:widowControl w:val="0"/>
              <w:snapToGrid w:val="0"/>
              <w:spacing w:line="400" w:lineRule="atLeast"/>
              <w:jc w:val="center"/>
              <w:rPr>
                <w:rFonts w:ascii="宋体" w:hAnsi="宋体" w:cs="宋体"/>
                <w:color w:val="auto"/>
                <w:highlight w:val="none"/>
              </w:rPr>
            </w:pPr>
            <w:r>
              <w:rPr>
                <w:rFonts w:hint="eastAsia" w:ascii="宋体" w:hAnsi="宋体" w:cs="宋体"/>
                <w:color w:val="auto"/>
                <w:highlight w:val="none"/>
              </w:rPr>
              <w:t>2</w:t>
            </w:r>
          </w:p>
        </w:tc>
        <w:tc>
          <w:tcPr>
            <w:tcW w:w="1683" w:type="dxa"/>
            <w:vAlign w:val="center"/>
          </w:tcPr>
          <w:p>
            <w:pPr>
              <w:widowControl w:val="0"/>
              <w:snapToGrid w:val="0"/>
              <w:spacing w:line="400" w:lineRule="atLeast"/>
              <w:rPr>
                <w:rFonts w:ascii="宋体" w:hAnsi="宋体" w:cs="宋体"/>
                <w:color w:val="auto"/>
                <w:highlight w:val="none"/>
              </w:rPr>
            </w:pPr>
          </w:p>
        </w:tc>
        <w:tc>
          <w:tcPr>
            <w:tcW w:w="1227" w:type="dxa"/>
            <w:vAlign w:val="center"/>
          </w:tcPr>
          <w:p>
            <w:pPr>
              <w:widowControl w:val="0"/>
              <w:snapToGrid w:val="0"/>
              <w:spacing w:line="400" w:lineRule="atLeast"/>
              <w:jc w:val="center"/>
              <w:rPr>
                <w:rFonts w:ascii="宋体" w:hAnsi="宋体" w:cs="宋体"/>
                <w:color w:val="auto"/>
                <w:highlight w:val="none"/>
              </w:rPr>
            </w:pPr>
          </w:p>
        </w:tc>
        <w:tc>
          <w:tcPr>
            <w:tcW w:w="1356" w:type="dxa"/>
            <w:vAlign w:val="center"/>
          </w:tcPr>
          <w:p>
            <w:pPr>
              <w:widowControl w:val="0"/>
              <w:snapToGrid w:val="0"/>
              <w:spacing w:line="400" w:lineRule="atLeast"/>
              <w:jc w:val="center"/>
              <w:rPr>
                <w:rFonts w:ascii="宋体" w:hAnsi="宋体" w:cs="宋体"/>
                <w:color w:val="auto"/>
                <w:highlight w:val="none"/>
              </w:rPr>
            </w:pPr>
          </w:p>
        </w:tc>
        <w:tc>
          <w:tcPr>
            <w:tcW w:w="1251" w:type="dxa"/>
            <w:vAlign w:val="center"/>
          </w:tcPr>
          <w:p>
            <w:pPr>
              <w:widowControl w:val="0"/>
              <w:snapToGrid w:val="0"/>
              <w:spacing w:line="400" w:lineRule="atLeast"/>
              <w:jc w:val="center"/>
              <w:rPr>
                <w:rFonts w:ascii="宋体" w:hAnsi="宋体" w:cs="宋体"/>
                <w:color w:val="auto"/>
                <w:highlight w:val="none"/>
              </w:rPr>
            </w:pPr>
          </w:p>
        </w:tc>
        <w:tc>
          <w:tcPr>
            <w:tcW w:w="1285" w:type="dxa"/>
            <w:vAlign w:val="center"/>
          </w:tcPr>
          <w:p>
            <w:pPr>
              <w:widowControl w:val="0"/>
              <w:snapToGrid w:val="0"/>
              <w:spacing w:line="400" w:lineRule="atLeast"/>
              <w:jc w:val="center"/>
              <w:rPr>
                <w:rFonts w:ascii="宋体" w:hAnsi="宋体" w:cs="宋体"/>
                <w:color w:val="auto"/>
                <w:highlight w:val="none"/>
              </w:rPr>
            </w:pPr>
          </w:p>
        </w:tc>
        <w:tc>
          <w:tcPr>
            <w:tcW w:w="1087" w:type="dxa"/>
          </w:tcPr>
          <w:p>
            <w:pPr>
              <w:widowControl w:val="0"/>
              <w:snapToGrid w:val="0"/>
              <w:spacing w:line="40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vAlign w:val="center"/>
          </w:tcPr>
          <w:p>
            <w:pPr>
              <w:widowControl w:val="0"/>
              <w:snapToGrid w:val="0"/>
              <w:spacing w:line="400" w:lineRule="atLeast"/>
              <w:jc w:val="center"/>
              <w:rPr>
                <w:rFonts w:ascii="宋体" w:hAnsi="宋体" w:cs="宋体"/>
                <w:color w:val="auto"/>
                <w:highlight w:val="none"/>
              </w:rPr>
            </w:pPr>
            <w:r>
              <w:rPr>
                <w:rFonts w:hint="eastAsia" w:ascii="宋体" w:hAnsi="宋体" w:cs="宋体"/>
                <w:color w:val="auto"/>
                <w:highlight w:val="none"/>
              </w:rPr>
              <w:t>3</w:t>
            </w:r>
          </w:p>
        </w:tc>
        <w:tc>
          <w:tcPr>
            <w:tcW w:w="1683" w:type="dxa"/>
            <w:vAlign w:val="center"/>
          </w:tcPr>
          <w:p>
            <w:pPr>
              <w:widowControl w:val="0"/>
              <w:snapToGrid w:val="0"/>
              <w:spacing w:line="400" w:lineRule="atLeast"/>
              <w:jc w:val="center"/>
              <w:rPr>
                <w:rFonts w:ascii="宋体" w:hAnsi="宋体" w:cs="宋体"/>
                <w:color w:val="auto"/>
                <w:highlight w:val="none"/>
              </w:rPr>
            </w:pPr>
          </w:p>
        </w:tc>
        <w:tc>
          <w:tcPr>
            <w:tcW w:w="1227" w:type="dxa"/>
            <w:vAlign w:val="center"/>
          </w:tcPr>
          <w:p>
            <w:pPr>
              <w:widowControl w:val="0"/>
              <w:snapToGrid w:val="0"/>
              <w:spacing w:line="400" w:lineRule="atLeast"/>
              <w:jc w:val="center"/>
              <w:rPr>
                <w:rFonts w:ascii="宋体" w:hAnsi="宋体" w:cs="宋体"/>
                <w:color w:val="auto"/>
                <w:highlight w:val="none"/>
              </w:rPr>
            </w:pPr>
          </w:p>
        </w:tc>
        <w:tc>
          <w:tcPr>
            <w:tcW w:w="1356" w:type="dxa"/>
            <w:vAlign w:val="center"/>
          </w:tcPr>
          <w:p>
            <w:pPr>
              <w:widowControl w:val="0"/>
              <w:snapToGrid w:val="0"/>
              <w:spacing w:line="400" w:lineRule="atLeast"/>
              <w:jc w:val="center"/>
              <w:rPr>
                <w:rFonts w:ascii="宋体" w:hAnsi="宋体" w:cs="宋体"/>
                <w:color w:val="auto"/>
                <w:highlight w:val="none"/>
              </w:rPr>
            </w:pPr>
          </w:p>
        </w:tc>
        <w:tc>
          <w:tcPr>
            <w:tcW w:w="1251" w:type="dxa"/>
            <w:vAlign w:val="center"/>
          </w:tcPr>
          <w:p>
            <w:pPr>
              <w:widowControl w:val="0"/>
              <w:snapToGrid w:val="0"/>
              <w:spacing w:line="400" w:lineRule="atLeast"/>
              <w:jc w:val="center"/>
              <w:rPr>
                <w:rFonts w:ascii="宋体" w:hAnsi="宋体" w:cs="宋体"/>
                <w:color w:val="auto"/>
                <w:highlight w:val="none"/>
              </w:rPr>
            </w:pPr>
          </w:p>
        </w:tc>
        <w:tc>
          <w:tcPr>
            <w:tcW w:w="1285" w:type="dxa"/>
            <w:vAlign w:val="center"/>
          </w:tcPr>
          <w:p>
            <w:pPr>
              <w:widowControl w:val="0"/>
              <w:snapToGrid w:val="0"/>
              <w:spacing w:line="400" w:lineRule="atLeast"/>
              <w:jc w:val="center"/>
              <w:rPr>
                <w:rFonts w:ascii="宋体" w:hAnsi="宋体" w:cs="宋体"/>
                <w:color w:val="auto"/>
                <w:highlight w:val="none"/>
              </w:rPr>
            </w:pPr>
          </w:p>
        </w:tc>
        <w:tc>
          <w:tcPr>
            <w:tcW w:w="1087" w:type="dxa"/>
          </w:tcPr>
          <w:p>
            <w:pPr>
              <w:widowControl w:val="0"/>
              <w:snapToGrid w:val="0"/>
              <w:spacing w:line="40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51" w:type="dxa"/>
            <w:vAlign w:val="center"/>
          </w:tcPr>
          <w:p>
            <w:pPr>
              <w:widowControl w:val="0"/>
              <w:snapToGrid w:val="0"/>
              <w:spacing w:line="400" w:lineRule="atLeast"/>
              <w:jc w:val="center"/>
              <w:rPr>
                <w:rFonts w:ascii="宋体" w:hAnsi="宋体" w:cs="宋体"/>
                <w:bCs/>
                <w:color w:val="auto"/>
                <w:kern w:val="2"/>
                <w:highlight w:val="none"/>
              </w:rPr>
            </w:pPr>
            <w:r>
              <w:rPr>
                <w:rFonts w:hint="eastAsia" w:ascii="宋体" w:hAnsi="宋体" w:cs="宋体"/>
                <w:bCs/>
                <w:color w:val="auto"/>
                <w:kern w:val="2"/>
                <w:highlight w:val="none"/>
              </w:rPr>
              <w:t>…</w:t>
            </w:r>
          </w:p>
        </w:tc>
        <w:tc>
          <w:tcPr>
            <w:tcW w:w="1683" w:type="dxa"/>
            <w:vAlign w:val="center"/>
          </w:tcPr>
          <w:p>
            <w:pPr>
              <w:widowControl w:val="0"/>
              <w:snapToGrid w:val="0"/>
              <w:spacing w:line="400" w:lineRule="atLeast"/>
              <w:jc w:val="center"/>
              <w:rPr>
                <w:rFonts w:ascii="宋体" w:hAnsi="宋体" w:cs="宋体"/>
                <w:bCs/>
                <w:color w:val="auto"/>
                <w:kern w:val="2"/>
                <w:highlight w:val="none"/>
              </w:rPr>
            </w:pPr>
            <w:r>
              <w:rPr>
                <w:rFonts w:hint="eastAsia" w:ascii="宋体" w:hAnsi="宋体" w:cs="宋体"/>
                <w:bCs/>
                <w:color w:val="auto"/>
                <w:kern w:val="2"/>
                <w:highlight w:val="none"/>
              </w:rPr>
              <w:t>…</w:t>
            </w:r>
          </w:p>
        </w:tc>
        <w:tc>
          <w:tcPr>
            <w:tcW w:w="1227" w:type="dxa"/>
            <w:vAlign w:val="center"/>
          </w:tcPr>
          <w:p>
            <w:pPr>
              <w:widowControl w:val="0"/>
              <w:snapToGrid w:val="0"/>
              <w:spacing w:line="400" w:lineRule="atLeast"/>
              <w:jc w:val="center"/>
              <w:rPr>
                <w:rFonts w:ascii="宋体" w:hAnsi="宋体" w:cs="宋体"/>
                <w:color w:val="auto"/>
                <w:highlight w:val="none"/>
              </w:rPr>
            </w:pPr>
          </w:p>
        </w:tc>
        <w:tc>
          <w:tcPr>
            <w:tcW w:w="1356" w:type="dxa"/>
            <w:vAlign w:val="center"/>
          </w:tcPr>
          <w:p>
            <w:pPr>
              <w:widowControl w:val="0"/>
              <w:snapToGrid w:val="0"/>
              <w:spacing w:line="400" w:lineRule="atLeast"/>
              <w:jc w:val="center"/>
              <w:rPr>
                <w:rFonts w:ascii="宋体" w:hAnsi="宋体" w:cs="宋体"/>
                <w:color w:val="auto"/>
                <w:highlight w:val="none"/>
              </w:rPr>
            </w:pPr>
          </w:p>
        </w:tc>
        <w:tc>
          <w:tcPr>
            <w:tcW w:w="1251" w:type="dxa"/>
            <w:vAlign w:val="center"/>
          </w:tcPr>
          <w:p>
            <w:pPr>
              <w:widowControl w:val="0"/>
              <w:snapToGrid w:val="0"/>
              <w:spacing w:line="400" w:lineRule="atLeast"/>
              <w:jc w:val="center"/>
              <w:rPr>
                <w:rFonts w:ascii="宋体" w:hAnsi="宋体" w:cs="宋体"/>
                <w:color w:val="auto"/>
                <w:highlight w:val="none"/>
              </w:rPr>
            </w:pPr>
          </w:p>
        </w:tc>
        <w:tc>
          <w:tcPr>
            <w:tcW w:w="1285" w:type="dxa"/>
            <w:vAlign w:val="center"/>
          </w:tcPr>
          <w:p>
            <w:pPr>
              <w:widowControl w:val="0"/>
              <w:snapToGrid w:val="0"/>
              <w:spacing w:line="400" w:lineRule="atLeast"/>
              <w:jc w:val="center"/>
              <w:rPr>
                <w:rFonts w:ascii="宋体" w:hAnsi="宋体" w:cs="宋体"/>
                <w:color w:val="auto"/>
                <w:highlight w:val="none"/>
              </w:rPr>
            </w:pPr>
          </w:p>
        </w:tc>
        <w:tc>
          <w:tcPr>
            <w:tcW w:w="1087" w:type="dxa"/>
          </w:tcPr>
          <w:p>
            <w:pPr>
              <w:widowControl w:val="0"/>
              <w:snapToGrid w:val="0"/>
              <w:spacing w:line="400" w:lineRule="atLeast"/>
              <w:jc w:val="center"/>
              <w:rPr>
                <w:rFonts w:ascii="宋体" w:hAnsi="宋体" w:cs="宋体"/>
                <w:color w:val="auto"/>
                <w:highlight w:val="none"/>
              </w:rPr>
            </w:pPr>
          </w:p>
        </w:tc>
      </w:tr>
    </w:tbl>
    <w:p>
      <w:pPr>
        <w:pStyle w:val="2"/>
        <w:widowControl w:val="0"/>
        <w:snapToGrid w:val="0"/>
        <w:spacing w:after="0" w:line="520" w:lineRule="exact"/>
        <w:ind w:firstLine="480" w:firstLineChars="200"/>
        <w:rPr>
          <w:rFonts w:ascii="宋体" w:hAnsi="宋体" w:cs="宋体"/>
          <w:color w:val="auto"/>
          <w:highlight w:val="none"/>
        </w:rPr>
      </w:pPr>
      <w:r>
        <w:rPr>
          <w:rFonts w:hint="eastAsia" w:ascii="宋体" w:hAnsi="宋体" w:cs="宋体"/>
          <w:color w:val="auto"/>
          <w:highlight w:val="none"/>
        </w:rPr>
        <w:t>说明：</w:t>
      </w:r>
    </w:p>
    <w:p>
      <w:pPr>
        <w:widowControl w:val="0"/>
        <w:numPr>
          <w:ilvl w:val="0"/>
          <w:numId w:val="69"/>
        </w:numPr>
        <w:snapToGrid w:val="0"/>
        <w:spacing w:line="520" w:lineRule="exact"/>
        <w:ind w:firstLine="480" w:firstLineChars="200"/>
        <w:rPr>
          <w:rFonts w:ascii="宋体" w:hAnsi="宋体" w:cs="宋体"/>
          <w:color w:val="auto"/>
          <w:highlight w:val="none"/>
        </w:rPr>
      </w:pPr>
      <w:r>
        <w:rPr>
          <w:rFonts w:hint="eastAsia" w:ascii="宋体" w:hAnsi="宋体" w:cs="宋体"/>
          <w:color w:val="auto"/>
          <w:highlight w:val="none"/>
        </w:rPr>
        <w:t>供应商根据自身情况如实填写，</w:t>
      </w:r>
      <w:r>
        <w:rPr>
          <w:rFonts w:hint="eastAsia" w:ascii="宋体" w:hAnsi="宋体" w:cs="宋体"/>
          <w:bCs/>
          <w:color w:val="auto"/>
          <w:kern w:val="2"/>
          <w:highlight w:val="none"/>
        </w:rPr>
        <w:t>不得虚假响应。若虚假响应，将取消其参与磋商或成交资格。</w:t>
      </w:r>
    </w:p>
    <w:p>
      <w:pPr>
        <w:widowControl w:val="0"/>
        <w:numPr>
          <w:ilvl w:val="0"/>
          <w:numId w:val="69"/>
        </w:numPr>
        <w:snapToGrid w:val="0"/>
        <w:spacing w:line="520" w:lineRule="exact"/>
        <w:ind w:firstLine="480" w:firstLineChars="200"/>
        <w:rPr>
          <w:rFonts w:ascii="宋体" w:hAnsi="宋体" w:cs="宋体"/>
          <w:bCs/>
          <w:color w:val="auto"/>
          <w:kern w:val="2"/>
          <w:highlight w:val="none"/>
        </w:rPr>
      </w:pPr>
      <w:r>
        <w:rPr>
          <w:rFonts w:hint="eastAsia" w:ascii="宋体" w:hAnsi="宋体" w:cs="宋体"/>
          <w:bCs/>
          <w:color w:val="auto"/>
          <w:kern w:val="2"/>
          <w:highlight w:val="none"/>
        </w:rPr>
        <w:t>若不涉及“执业或职业资格、职称”此项内容的可填写“/”，不影响响应文件有效性。</w:t>
      </w:r>
    </w:p>
    <w:p>
      <w:pPr>
        <w:widowControl w:val="0"/>
        <w:numPr>
          <w:ilvl w:val="0"/>
          <w:numId w:val="69"/>
        </w:numPr>
        <w:snapToGrid w:val="0"/>
        <w:spacing w:line="520" w:lineRule="exact"/>
        <w:ind w:firstLine="480" w:firstLineChars="200"/>
        <w:rPr>
          <w:rFonts w:ascii="宋体" w:hAnsi="宋体" w:cs="宋体"/>
          <w:color w:val="auto"/>
          <w:highlight w:val="none"/>
        </w:rPr>
      </w:pPr>
      <w:r>
        <w:rPr>
          <w:rFonts w:hint="eastAsia" w:ascii="宋体" w:hAnsi="宋体" w:cs="宋体"/>
          <w:color w:val="auto"/>
          <w:highlight w:val="none"/>
        </w:rPr>
        <w:t>不同供应商的响应文件载明的项目管理成员或联系人员为同一人的视为串通磋商。若供应商配备的项目负责人/授权代表及此表中所涉及的人员与其他供应商的响应文件中配备的人员一致，视为串通磋商，将报告监管部门严肃追究其法律责任。</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p>
      <w:pPr>
        <w:rPr>
          <w:color w:val="auto"/>
          <w:highlight w:val="none"/>
        </w:rPr>
      </w:pPr>
    </w:p>
    <w:p>
      <w:pPr>
        <w:pStyle w:val="6"/>
        <w:ind w:left="18" w:hanging="18" w:firstLineChars="0"/>
        <w:rPr>
          <w:color w:val="auto"/>
          <w:highlight w:val="none"/>
        </w:rPr>
      </w:pPr>
      <w:r>
        <w:rPr>
          <w:rFonts w:hint="eastAsia"/>
          <w:color w:val="auto"/>
          <w:highlight w:val="none"/>
        </w:rPr>
        <w:t>类似业绩一览表</w:t>
      </w:r>
    </w:p>
    <w:p>
      <w:pPr>
        <w:spacing w:line="360" w:lineRule="auto"/>
        <w:ind w:firstLine="482" w:firstLineChars="200"/>
        <w:rPr>
          <w:rFonts w:ascii="宋体" w:hAnsi="宋体" w:cs="宋体"/>
          <w:b/>
          <w:color w:val="auto"/>
          <w:highlight w:val="none"/>
          <w:u w:val="single"/>
        </w:rPr>
      </w:pPr>
      <w:r>
        <w:rPr>
          <w:rFonts w:hint="eastAsia" w:ascii="宋体" w:hAnsi="宋体" w:cs="宋体"/>
          <w:b/>
          <w:color w:val="auto"/>
          <w:highlight w:val="none"/>
        </w:rPr>
        <w:t>项目名称：</w:t>
      </w:r>
      <w:r>
        <w:rPr>
          <w:rFonts w:hint="eastAsia" w:ascii="宋体" w:hAnsi="宋体" w:cs="宋体"/>
          <w:b/>
          <w:color w:val="auto"/>
          <w:highlight w:val="none"/>
          <w:u w:val="single"/>
        </w:rPr>
        <w:t xml:space="preserve">成都市龙泉驿区水务局水务综合规划（2021-2035）修编服务采购项目 </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510112202200015</w:t>
      </w:r>
    </w:p>
    <w:tbl>
      <w:tblPr>
        <w:tblStyle w:val="44"/>
        <w:tblW w:w="93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18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20" w:firstLineChars="50"/>
              <w:rPr>
                <w:rFonts w:ascii="宋体" w:hAnsi="宋体" w:cs="宋体"/>
                <w:b/>
                <w:bCs/>
                <w:color w:val="auto"/>
                <w:highlight w:val="none"/>
              </w:rPr>
            </w:pPr>
            <w:r>
              <w:rPr>
                <w:rFonts w:hint="eastAsia" w:ascii="宋体" w:hAnsi="宋体" w:cs="宋体"/>
                <w:b/>
                <w:bCs/>
                <w:color w:val="auto"/>
                <w:highlight w:val="none"/>
              </w:rPr>
              <w:t>年份</w:t>
            </w:r>
          </w:p>
        </w:tc>
        <w:tc>
          <w:tcPr>
            <w:tcW w:w="1533" w:type="dxa"/>
            <w:vAlign w:val="center"/>
          </w:tcPr>
          <w:p>
            <w:pPr>
              <w:spacing w:line="520" w:lineRule="exact"/>
              <w:jc w:val="center"/>
              <w:rPr>
                <w:rFonts w:ascii="宋体" w:hAnsi="宋体" w:cs="宋体"/>
                <w:b/>
                <w:bCs/>
                <w:color w:val="auto"/>
                <w:highlight w:val="none"/>
              </w:rPr>
            </w:pPr>
            <w:r>
              <w:rPr>
                <w:rFonts w:hint="eastAsia" w:ascii="宋体" w:hAnsi="宋体" w:cs="宋体"/>
                <w:b/>
                <w:bCs/>
                <w:color w:val="auto"/>
                <w:highlight w:val="none"/>
              </w:rPr>
              <w:t>用户名称</w:t>
            </w:r>
          </w:p>
        </w:tc>
        <w:tc>
          <w:tcPr>
            <w:tcW w:w="1975" w:type="dxa"/>
            <w:vAlign w:val="center"/>
          </w:tcPr>
          <w:p>
            <w:pPr>
              <w:spacing w:line="520" w:lineRule="exact"/>
              <w:jc w:val="center"/>
              <w:rPr>
                <w:rFonts w:ascii="宋体" w:hAnsi="宋体" w:cs="宋体"/>
                <w:b/>
                <w:bCs/>
                <w:color w:val="auto"/>
                <w:highlight w:val="none"/>
              </w:rPr>
            </w:pPr>
            <w:r>
              <w:rPr>
                <w:rFonts w:hint="eastAsia" w:ascii="宋体" w:hAnsi="宋体" w:cs="宋体"/>
                <w:b/>
                <w:bCs/>
                <w:color w:val="auto"/>
                <w:highlight w:val="none"/>
              </w:rPr>
              <w:t>项目名称</w:t>
            </w:r>
          </w:p>
        </w:tc>
        <w:tc>
          <w:tcPr>
            <w:tcW w:w="1724" w:type="dxa"/>
            <w:vAlign w:val="center"/>
          </w:tcPr>
          <w:p>
            <w:pPr>
              <w:spacing w:line="520" w:lineRule="exact"/>
              <w:jc w:val="center"/>
              <w:rPr>
                <w:rFonts w:ascii="宋体" w:hAnsi="宋体" w:cs="宋体"/>
                <w:b/>
                <w:bCs/>
                <w:color w:val="auto"/>
                <w:highlight w:val="none"/>
              </w:rPr>
            </w:pPr>
            <w:r>
              <w:rPr>
                <w:rFonts w:hint="eastAsia" w:ascii="宋体" w:hAnsi="宋体" w:cs="宋体"/>
                <w:b/>
                <w:bCs/>
                <w:color w:val="auto"/>
                <w:highlight w:val="none"/>
              </w:rPr>
              <w:t>完成时间</w:t>
            </w:r>
          </w:p>
        </w:tc>
        <w:tc>
          <w:tcPr>
            <w:tcW w:w="1435" w:type="dxa"/>
            <w:vAlign w:val="center"/>
          </w:tcPr>
          <w:p>
            <w:pPr>
              <w:spacing w:line="520" w:lineRule="exact"/>
              <w:ind w:firstLine="120" w:firstLineChars="50"/>
              <w:rPr>
                <w:rFonts w:ascii="宋体" w:hAnsi="宋体" w:cs="宋体"/>
                <w:b/>
                <w:bCs/>
                <w:color w:val="auto"/>
                <w:highlight w:val="none"/>
              </w:rPr>
            </w:pPr>
            <w:r>
              <w:rPr>
                <w:rFonts w:hint="eastAsia" w:ascii="宋体" w:hAnsi="宋体" w:cs="宋体"/>
                <w:b/>
                <w:bCs/>
                <w:color w:val="auto"/>
                <w:highlight w:val="none"/>
              </w:rPr>
              <w:t>合同金额</w:t>
            </w:r>
          </w:p>
        </w:tc>
        <w:tc>
          <w:tcPr>
            <w:tcW w:w="1825" w:type="dxa"/>
            <w:tcBorders>
              <w:left w:val="single" w:color="auto" w:sz="4" w:space="0"/>
            </w:tcBorders>
            <w:vAlign w:val="center"/>
          </w:tcPr>
          <w:p>
            <w:pPr>
              <w:spacing w:line="520" w:lineRule="exact"/>
              <w:rPr>
                <w:rFonts w:ascii="宋体" w:hAnsi="宋体" w:cs="宋体"/>
                <w:b/>
                <w:bCs/>
                <w:color w:val="auto"/>
                <w:highlight w:val="none"/>
              </w:rPr>
            </w:pPr>
            <w:r>
              <w:rPr>
                <w:rFonts w:hint="eastAsia" w:ascii="宋体" w:hAnsi="宋体" w:cs="宋体"/>
                <w:b/>
                <w:bCs/>
                <w:color w:val="auto"/>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highlight w:val="none"/>
              </w:rPr>
            </w:pPr>
          </w:p>
        </w:tc>
        <w:tc>
          <w:tcPr>
            <w:tcW w:w="1533" w:type="dxa"/>
            <w:vAlign w:val="center"/>
          </w:tcPr>
          <w:p>
            <w:pPr>
              <w:spacing w:line="520" w:lineRule="exact"/>
              <w:jc w:val="center"/>
              <w:rPr>
                <w:rFonts w:ascii="宋体" w:hAnsi="宋体" w:cs="宋体"/>
                <w:color w:val="auto"/>
                <w:highlight w:val="none"/>
              </w:rPr>
            </w:pPr>
          </w:p>
        </w:tc>
        <w:tc>
          <w:tcPr>
            <w:tcW w:w="1975" w:type="dxa"/>
            <w:vAlign w:val="center"/>
          </w:tcPr>
          <w:p>
            <w:pPr>
              <w:spacing w:line="520" w:lineRule="exact"/>
              <w:jc w:val="center"/>
              <w:rPr>
                <w:rFonts w:ascii="宋体" w:hAnsi="宋体" w:cs="宋体"/>
                <w:color w:val="auto"/>
                <w:highlight w:val="none"/>
              </w:rPr>
            </w:pPr>
          </w:p>
        </w:tc>
        <w:tc>
          <w:tcPr>
            <w:tcW w:w="1724" w:type="dxa"/>
            <w:vAlign w:val="center"/>
          </w:tcPr>
          <w:p>
            <w:pPr>
              <w:spacing w:line="520" w:lineRule="exact"/>
              <w:jc w:val="center"/>
              <w:rPr>
                <w:rFonts w:ascii="宋体" w:hAnsi="宋体" w:cs="宋体"/>
                <w:color w:val="auto"/>
                <w:highlight w:val="none"/>
              </w:rPr>
            </w:pPr>
          </w:p>
        </w:tc>
        <w:tc>
          <w:tcPr>
            <w:tcW w:w="1435" w:type="dxa"/>
            <w:vAlign w:val="center"/>
          </w:tcPr>
          <w:p>
            <w:pPr>
              <w:spacing w:line="520" w:lineRule="exact"/>
              <w:jc w:val="center"/>
              <w:rPr>
                <w:rFonts w:ascii="宋体" w:hAnsi="宋体" w:cs="宋体"/>
                <w:color w:val="auto"/>
                <w:highlight w:val="none"/>
              </w:rPr>
            </w:pPr>
          </w:p>
        </w:tc>
        <w:tc>
          <w:tcPr>
            <w:tcW w:w="1825" w:type="dxa"/>
            <w:tcBorders>
              <w:left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highlight w:val="none"/>
              </w:rPr>
            </w:pPr>
          </w:p>
        </w:tc>
        <w:tc>
          <w:tcPr>
            <w:tcW w:w="1533" w:type="dxa"/>
            <w:vAlign w:val="center"/>
          </w:tcPr>
          <w:p>
            <w:pPr>
              <w:spacing w:line="520" w:lineRule="exact"/>
              <w:jc w:val="center"/>
              <w:rPr>
                <w:rFonts w:ascii="宋体" w:hAnsi="宋体" w:cs="宋体"/>
                <w:color w:val="auto"/>
                <w:highlight w:val="none"/>
              </w:rPr>
            </w:pPr>
          </w:p>
        </w:tc>
        <w:tc>
          <w:tcPr>
            <w:tcW w:w="1975" w:type="dxa"/>
            <w:vAlign w:val="center"/>
          </w:tcPr>
          <w:p>
            <w:pPr>
              <w:spacing w:line="520" w:lineRule="exact"/>
              <w:jc w:val="center"/>
              <w:rPr>
                <w:rFonts w:ascii="宋体" w:hAnsi="宋体" w:cs="宋体"/>
                <w:color w:val="auto"/>
                <w:highlight w:val="none"/>
              </w:rPr>
            </w:pPr>
          </w:p>
        </w:tc>
        <w:tc>
          <w:tcPr>
            <w:tcW w:w="1724" w:type="dxa"/>
            <w:vAlign w:val="center"/>
          </w:tcPr>
          <w:p>
            <w:pPr>
              <w:spacing w:line="520" w:lineRule="exact"/>
              <w:jc w:val="center"/>
              <w:rPr>
                <w:rFonts w:ascii="宋体" w:hAnsi="宋体" w:cs="宋体"/>
                <w:color w:val="auto"/>
                <w:highlight w:val="none"/>
              </w:rPr>
            </w:pPr>
          </w:p>
        </w:tc>
        <w:tc>
          <w:tcPr>
            <w:tcW w:w="1435" w:type="dxa"/>
            <w:vAlign w:val="center"/>
          </w:tcPr>
          <w:p>
            <w:pPr>
              <w:spacing w:line="520" w:lineRule="exact"/>
              <w:jc w:val="center"/>
              <w:rPr>
                <w:rFonts w:ascii="宋体" w:hAnsi="宋体" w:cs="宋体"/>
                <w:color w:val="auto"/>
                <w:highlight w:val="none"/>
              </w:rPr>
            </w:pPr>
          </w:p>
        </w:tc>
        <w:tc>
          <w:tcPr>
            <w:tcW w:w="1825" w:type="dxa"/>
            <w:tcBorders>
              <w:left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highlight w:val="none"/>
              </w:rPr>
            </w:pPr>
          </w:p>
        </w:tc>
        <w:tc>
          <w:tcPr>
            <w:tcW w:w="1533" w:type="dxa"/>
            <w:vAlign w:val="center"/>
          </w:tcPr>
          <w:p>
            <w:pPr>
              <w:spacing w:line="520" w:lineRule="exact"/>
              <w:jc w:val="center"/>
              <w:rPr>
                <w:rFonts w:ascii="宋体" w:hAnsi="宋体" w:cs="宋体"/>
                <w:color w:val="auto"/>
                <w:highlight w:val="none"/>
              </w:rPr>
            </w:pPr>
          </w:p>
        </w:tc>
        <w:tc>
          <w:tcPr>
            <w:tcW w:w="1975" w:type="dxa"/>
            <w:vAlign w:val="center"/>
          </w:tcPr>
          <w:p>
            <w:pPr>
              <w:spacing w:line="520" w:lineRule="exact"/>
              <w:jc w:val="center"/>
              <w:rPr>
                <w:rFonts w:ascii="宋体" w:hAnsi="宋体" w:cs="宋体"/>
                <w:color w:val="auto"/>
                <w:highlight w:val="none"/>
              </w:rPr>
            </w:pPr>
          </w:p>
        </w:tc>
        <w:tc>
          <w:tcPr>
            <w:tcW w:w="1724" w:type="dxa"/>
            <w:vAlign w:val="center"/>
          </w:tcPr>
          <w:p>
            <w:pPr>
              <w:spacing w:line="520" w:lineRule="exact"/>
              <w:jc w:val="center"/>
              <w:rPr>
                <w:rFonts w:ascii="宋体" w:hAnsi="宋体" w:cs="宋体"/>
                <w:color w:val="auto"/>
                <w:highlight w:val="none"/>
              </w:rPr>
            </w:pPr>
          </w:p>
        </w:tc>
        <w:tc>
          <w:tcPr>
            <w:tcW w:w="1435" w:type="dxa"/>
            <w:vAlign w:val="center"/>
          </w:tcPr>
          <w:p>
            <w:pPr>
              <w:spacing w:line="520" w:lineRule="exact"/>
              <w:jc w:val="center"/>
              <w:rPr>
                <w:rFonts w:ascii="宋体" w:hAnsi="宋体" w:cs="宋体"/>
                <w:color w:val="auto"/>
                <w:highlight w:val="none"/>
              </w:rPr>
            </w:pPr>
          </w:p>
        </w:tc>
        <w:tc>
          <w:tcPr>
            <w:tcW w:w="1825" w:type="dxa"/>
            <w:tcBorders>
              <w:left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highlight w:val="none"/>
              </w:rPr>
            </w:pPr>
          </w:p>
        </w:tc>
        <w:tc>
          <w:tcPr>
            <w:tcW w:w="1975" w:type="dxa"/>
            <w:tcBorders>
              <w:left w:val="single" w:color="auto" w:sz="4" w:space="0"/>
            </w:tcBorders>
            <w:vAlign w:val="center"/>
          </w:tcPr>
          <w:p>
            <w:pPr>
              <w:spacing w:line="520" w:lineRule="exact"/>
              <w:jc w:val="center"/>
              <w:rPr>
                <w:rFonts w:ascii="宋体" w:hAnsi="宋体" w:cs="宋体"/>
                <w:color w:val="auto"/>
                <w:highlight w:val="none"/>
              </w:rPr>
            </w:pPr>
          </w:p>
        </w:tc>
        <w:tc>
          <w:tcPr>
            <w:tcW w:w="1724" w:type="dxa"/>
            <w:vAlign w:val="center"/>
          </w:tcPr>
          <w:p>
            <w:pPr>
              <w:spacing w:line="520" w:lineRule="exact"/>
              <w:jc w:val="center"/>
              <w:rPr>
                <w:rFonts w:ascii="宋体" w:hAnsi="宋体" w:cs="宋体"/>
                <w:color w:val="auto"/>
                <w:highlight w:val="none"/>
              </w:rPr>
            </w:pPr>
          </w:p>
        </w:tc>
        <w:tc>
          <w:tcPr>
            <w:tcW w:w="1435" w:type="dxa"/>
            <w:vAlign w:val="center"/>
          </w:tcPr>
          <w:p>
            <w:pPr>
              <w:spacing w:line="520" w:lineRule="exact"/>
              <w:jc w:val="center"/>
              <w:rPr>
                <w:rFonts w:ascii="宋体" w:hAnsi="宋体" w:cs="宋体"/>
                <w:color w:val="auto"/>
                <w:highlight w:val="none"/>
              </w:rPr>
            </w:pPr>
          </w:p>
        </w:tc>
        <w:tc>
          <w:tcPr>
            <w:tcW w:w="1825" w:type="dxa"/>
            <w:tcBorders>
              <w:left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highlight w:val="none"/>
              </w:rPr>
            </w:pPr>
          </w:p>
        </w:tc>
        <w:tc>
          <w:tcPr>
            <w:tcW w:w="1825" w:type="dxa"/>
            <w:tcBorders>
              <w:left w:val="single" w:color="auto" w:sz="4" w:space="0"/>
            </w:tcBorders>
            <w:vAlign w:val="center"/>
          </w:tcPr>
          <w:p>
            <w:pPr>
              <w:spacing w:line="52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highlight w:val="none"/>
              </w:rPr>
            </w:pPr>
          </w:p>
        </w:tc>
        <w:tc>
          <w:tcPr>
            <w:tcW w:w="1533" w:type="dxa"/>
            <w:vAlign w:val="center"/>
          </w:tcPr>
          <w:p>
            <w:pPr>
              <w:spacing w:line="520" w:lineRule="exact"/>
              <w:rPr>
                <w:rFonts w:ascii="宋体" w:hAnsi="宋体" w:cs="宋体"/>
                <w:color w:val="auto"/>
                <w:highlight w:val="none"/>
              </w:rPr>
            </w:pPr>
          </w:p>
        </w:tc>
        <w:tc>
          <w:tcPr>
            <w:tcW w:w="1975" w:type="dxa"/>
            <w:vAlign w:val="center"/>
          </w:tcPr>
          <w:p>
            <w:pPr>
              <w:spacing w:line="520" w:lineRule="exact"/>
              <w:rPr>
                <w:rFonts w:ascii="宋体" w:hAnsi="宋体" w:cs="宋体"/>
                <w:color w:val="auto"/>
                <w:highlight w:val="none"/>
              </w:rPr>
            </w:pPr>
          </w:p>
        </w:tc>
        <w:tc>
          <w:tcPr>
            <w:tcW w:w="1724" w:type="dxa"/>
            <w:vAlign w:val="center"/>
          </w:tcPr>
          <w:p>
            <w:pPr>
              <w:spacing w:line="520" w:lineRule="exact"/>
              <w:rPr>
                <w:rFonts w:ascii="宋体" w:hAnsi="宋体" w:cs="宋体"/>
                <w:color w:val="auto"/>
                <w:highlight w:val="none"/>
              </w:rPr>
            </w:pPr>
          </w:p>
        </w:tc>
        <w:tc>
          <w:tcPr>
            <w:tcW w:w="1435" w:type="dxa"/>
            <w:tcBorders>
              <w:right w:val="single" w:color="auto" w:sz="4" w:space="0"/>
            </w:tcBorders>
            <w:vAlign w:val="center"/>
          </w:tcPr>
          <w:p>
            <w:pPr>
              <w:spacing w:line="520" w:lineRule="exact"/>
              <w:rPr>
                <w:rFonts w:ascii="宋体" w:hAnsi="宋体" w:cs="宋体"/>
                <w:color w:val="auto"/>
                <w:highlight w:val="none"/>
              </w:rPr>
            </w:pPr>
          </w:p>
        </w:tc>
        <w:tc>
          <w:tcPr>
            <w:tcW w:w="1825" w:type="dxa"/>
            <w:tcBorders>
              <w:left w:val="single" w:color="auto" w:sz="4" w:space="0"/>
            </w:tcBorders>
            <w:vAlign w:val="center"/>
          </w:tcPr>
          <w:p>
            <w:pPr>
              <w:spacing w:line="52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highlight w:val="none"/>
              </w:rPr>
            </w:pPr>
          </w:p>
        </w:tc>
        <w:tc>
          <w:tcPr>
            <w:tcW w:w="1533" w:type="dxa"/>
            <w:vAlign w:val="center"/>
          </w:tcPr>
          <w:p>
            <w:pPr>
              <w:spacing w:line="520" w:lineRule="exact"/>
              <w:jc w:val="center"/>
              <w:rPr>
                <w:rFonts w:ascii="宋体" w:hAnsi="宋体" w:cs="宋体"/>
                <w:color w:val="auto"/>
                <w:highlight w:val="none"/>
              </w:rPr>
            </w:pPr>
          </w:p>
        </w:tc>
        <w:tc>
          <w:tcPr>
            <w:tcW w:w="1975" w:type="dxa"/>
            <w:vAlign w:val="center"/>
          </w:tcPr>
          <w:p>
            <w:pPr>
              <w:spacing w:line="520" w:lineRule="exact"/>
              <w:jc w:val="center"/>
              <w:rPr>
                <w:rFonts w:ascii="宋体" w:hAnsi="宋体" w:cs="宋体"/>
                <w:color w:val="auto"/>
                <w:highlight w:val="none"/>
              </w:rPr>
            </w:pPr>
          </w:p>
        </w:tc>
        <w:tc>
          <w:tcPr>
            <w:tcW w:w="1724" w:type="dxa"/>
            <w:vAlign w:val="center"/>
          </w:tcPr>
          <w:p>
            <w:pPr>
              <w:spacing w:line="520" w:lineRule="exact"/>
              <w:jc w:val="center"/>
              <w:rPr>
                <w:rFonts w:ascii="宋体" w:hAnsi="宋体" w:cs="宋体"/>
                <w:color w:val="auto"/>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highlight w:val="none"/>
              </w:rPr>
            </w:pPr>
          </w:p>
        </w:tc>
        <w:tc>
          <w:tcPr>
            <w:tcW w:w="1825" w:type="dxa"/>
            <w:tcBorders>
              <w:left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highlight w:val="none"/>
              </w:rPr>
            </w:pPr>
          </w:p>
        </w:tc>
        <w:tc>
          <w:tcPr>
            <w:tcW w:w="1533" w:type="dxa"/>
            <w:vAlign w:val="center"/>
          </w:tcPr>
          <w:p>
            <w:pPr>
              <w:spacing w:line="520" w:lineRule="exact"/>
              <w:jc w:val="center"/>
              <w:rPr>
                <w:rFonts w:ascii="宋体" w:hAnsi="宋体" w:cs="宋体"/>
                <w:color w:val="auto"/>
                <w:highlight w:val="none"/>
              </w:rPr>
            </w:pPr>
          </w:p>
        </w:tc>
        <w:tc>
          <w:tcPr>
            <w:tcW w:w="1975" w:type="dxa"/>
            <w:vAlign w:val="center"/>
          </w:tcPr>
          <w:p>
            <w:pPr>
              <w:spacing w:line="520" w:lineRule="exact"/>
              <w:jc w:val="center"/>
              <w:rPr>
                <w:rFonts w:ascii="宋体" w:hAnsi="宋体" w:cs="宋体"/>
                <w:color w:val="auto"/>
                <w:highlight w:val="none"/>
              </w:rPr>
            </w:pPr>
          </w:p>
        </w:tc>
        <w:tc>
          <w:tcPr>
            <w:tcW w:w="1724" w:type="dxa"/>
            <w:vAlign w:val="center"/>
          </w:tcPr>
          <w:p>
            <w:pPr>
              <w:spacing w:line="520" w:lineRule="exact"/>
              <w:jc w:val="center"/>
              <w:rPr>
                <w:rFonts w:ascii="宋体" w:hAnsi="宋体" w:cs="宋体"/>
                <w:color w:val="auto"/>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highlight w:val="none"/>
              </w:rPr>
            </w:pPr>
          </w:p>
        </w:tc>
        <w:tc>
          <w:tcPr>
            <w:tcW w:w="1825" w:type="dxa"/>
            <w:tcBorders>
              <w:left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highlight w:val="none"/>
              </w:rPr>
            </w:pPr>
          </w:p>
        </w:tc>
        <w:tc>
          <w:tcPr>
            <w:tcW w:w="1825" w:type="dxa"/>
            <w:tcBorders>
              <w:left w:val="single" w:color="auto" w:sz="4" w:space="0"/>
              <w:bottom w:val="single" w:color="auto" w:sz="4" w:space="0"/>
            </w:tcBorders>
            <w:vAlign w:val="center"/>
          </w:tcPr>
          <w:p>
            <w:pPr>
              <w:spacing w:line="5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highlight w:val="none"/>
              </w:rPr>
            </w:pPr>
          </w:p>
        </w:tc>
        <w:tc>
          <w:tcPr>
            <w:tcW w:w="1825"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注：以上业绩仅限于供应商自己实施的，对于供应商不涉及的项目可不填写，如无业绩可不提供本页内容。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51"/>
    <w:bookmarkEnd w:id="355"/>
    <w:p>
      <w:pPr>
        <w:pStyle w:val="6"/>
        <w:ind w:left="18" w:hanging="18" w:firstLineChars="0"/>
        <w:rPr>
          <w:color w:val="auto"/>
          <w:highlight w:val="none"/>
        </w:rPr>
      </w:pPr>
      <w:r>
        <w:rPr>
          <w:rFonts w:hint="eastAsia"/>
          <w:color w:val="auto"/>
          <w:highlight w:val="none"/>
        </w:rPr>
        <w:t>报价表</w:t>
      </w:r>
    </w:p>
    <w:p>
      <w:pPr>
        <w:spacing w:line="360" w:lineRule="auto"/>
        <w:ind w:firstLine="482" w:firstLineChars="200"/>
        <w:rPr>
          <w:rFonts w:ascii="宋体" w:hAnsi="宋体"/>
          <w:b/>
          <w:color w:val="auto"/>
          <w:highlight w:val="none"/>
          <w:u w:val="single"/>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rPr>
        <w:t xml:space="preserve">成都市龙泉驿区水务局水务综合规划（2021-2035）修编服务采购项目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510112202200015</w:t>
      </w:r>
    </w:p>
    <w:p>
      <w:pPr>
        <w:pStyle w:val="2"/>
        <w:ind w:firstLine="482" w:firstLineChars="200"/>
        <w:rPr>
          <w:rFonts w:ascii="宋体" w:hAnsi="宋体"/>
          <w:b/>
          <w:color w:val="auto"/>
          <w:highlight w:val="none"/>
          <w:u w:val="single"/>
        </w:rPr>
      </w:pPr>
      <w:r>
        <w:rPr>
          <w:rFonts w:hint="eastAsia" w:ascii="宋体" w:hAnsi="宋体"/>
          <w:b/>
          <w:color w:val="auto"/>
          <w:highlight w:val="none"/>
        </w:rPr>
        <w:t>包件号：</w:t>
      </w:r>
      <w:r>
        <w:rPr>
          <w:rFonts w:hint="eastAsia" w:ascii="宋体" w:hAnsi="宋体"/>
          <w:b/>
          <w:color w:val="auto"/>
          <w:highlight w:val="none"/>
          <w:u w:val="single"/>
        </w:rPr>
        <w:t xml:space="preserve">      </w:t>
      </w:r>
      <w:r>
        <w:rPr>
          <w:rFonts w:hint="eastAsia" w:ascii="宋体" w:hAnsi="宋体"/>
          <w:b/>
          <w:color w:val="auto"/>
          <w:highlight w:val="none"/>
        </w:rPr>
        <w:t xml:space="preserve"> </w:t>
      </w:r>
    </w:p>
    <w:p>
      <w:pPr>
        <w:rPr>
          <w:rFonts w:ascii="宋体" w:hAnsi="宋体"/>
          <w:b/>
          <w:color w:val="auto"/>
          <w:highlight w:val="none"/>
          <w:u w:val="single"/>
        </w:rPr>
      </w:pP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505"/>
        <w:gridCol w:w="460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序号</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名称</w:t>
            </w: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总价</w:t>
            </w: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1</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2</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3</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color w:val="auto"/>
                <w:highlight w:val="none"/>
              </w:rPr>
              <w:t>…</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35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highlight w:val="none"/>
              </w:rPr>
              <w:t>报价（总价合计）</w:t>
            </w:r>
          </w:p>
        </w:tc>
        <w:tc>
          <w:tcPr>
            <w:tcW w:w="6000" w:type="dxa"/>
            <w:gridSpan w:val="2"/>
            <w:tcBorders>
              <w:top w:val="single" w:color="auto" w:sz="4" w:space="0"/>
              <w:left w:val="single" w:color="auto" w:sz="4" w:space="0"/>
              <w:right w:val="single" w:color="auto" w:sz="4" w:space="0"/>
            </w:tcBorders>
            <w:vAlign w:val="center"/>
          </w:tcPr>
          <w:p>
            <w:pPr>
              <w:spacing w:line="440" w:lineRule="exact"/>
              <w:ind w:right="420"/>
              <w:rPr>
                <w:rFonts w:ascii="宋体" w:hAnsi="宋体" w:cs="宋体"/>
                <w:b/>
                <w:color w:val="auto"/>
                <w:highlight w:val="none"/>
              </w:rPr>
            </w:pPr>
            <w:r>
              <w:rPr>
                <w:rFonts w:hint="eastAsia" w:ascii="宋体" w:hAnsi="宋体" w:cs="宋体"/>
                <w:b/>
                <w:color w:val="auto"/>
                <w:highlight w:val="none"/>
              </w:rPr>
              <w:t>大写：</w:t>
            </w:r>
          </w:p>
          <w:p>
            <w:pPr>
              <w:snapToGrid w:val="0"/>
              <w:jc w:val="both"/>
              <w:rPr>
                <w:rFonts w:ascii="宋体" w:hAnsi="宋体" w:cs="宋体"/>
                <w:b/>
                <w:color w:val="auto"/>
                <w:kern w:val="2"/>
                <w:highlight w:val="none"/>
              </w:rPr>
            </w:pPr>
            <w:r>
              <w:rPr>
                <w:rFonts w:hint="eastAsia" w:ascii="宋体" w:hAnsi="宋体" w:cs="宋体"/>
                <w:b/>
                <w:color w:val="auto"/>
                <w:highlight w:val="none"/>
              </w:rPr>
              <w:t>小写：</w:t>
            </w:r>
          </w:p>
        </w:tc>
      </w:tr>
    </w:tbl>
    <w:p>
      <w:pPr>
        <w:pStyle w:val="2"/>
        <w:rPr>
          <w:color w:val="auto"/>
          <w:highlight w:val="none"/>
        </w:rPr>
      </w:pPr>
    </w:p>
    <w:p>
      <w:pPr>
        <w:rPr>
          <w:color w:val="auto"/>
          <w:highlight w:val="none"/>
        </w:rPr>
      </w:pPr>
    </w:p>
    <w:p>
      <w:pPr>
        <w:pStyle w:val="3"/>
        <w:spacing w:line="360" w:lineRule="auto"/>
        <w:ind w:firstLine="360" w:firstLineChars="150"/>
        <w:rPr>
          <w:color w:val="auto"/>
          <w:sz w:val="24"/>
          <w:szCs w:val="24"/>
          <w:highlight w:val="none"/>
        </w:rPr>
      </w:pPr>
      <w:r>
        <w:rPr>
          <w:rFonts w:hint="eastAsia" w:hAnsi="宋体" w:cs="宋体"/>
          <w:color w:val="auto"/>
          <w:sz w:val="24"/>
          <w:szCs w:val="24"/>
          <w:highlight w:val="none"/>
        </w:rPr>
        <w:t>说明</w:t>
      </w:r>
      <w:r>
        <w:rPr>
          <w:rFonts w:hAnsi="宋体" w:cs="宋体"/>
          <w:color w:val="auto"/>
          <w:sz w:val="24"/>
          <w:szCs w:val="24"/>
          <w:highlight w:val="none"/>
        </w:rPr>
        <w:t>：</w:t>
      </w:r>
      <w:r>
        <w:rPr>
          <w:rFonts w:hint="eastAsia" w:hAnsi="宋体" w:cs="宋体"/>
          <w:color w:val="auto"/>
          <w:sz w:val="24"/>
          <w:szCs w:val="24"/>
          <w:highlight w:val="none"/>
        </w:rPr>
        <w:t>报价为综合包干价，包括完成本</w:t>
      </w:r>
      <w:r>
        <w:rPr>
          <w:rFonts w:hAnsi="宋体" w:cs="宋体"/>
          <w:color w:val="auto"/>
          <w:sz w:val="24"/>
          <w:szCs w:val="24"/>
          <w:highlight w:val="none"/>
        </w:rPr>
        <w:t>项目</w:t>
      </w:r>
      <w:r>
        <w:rPr>
          <w:rFonts w:hint="eastAsia" w:hAnsi="宋体" w:cs="宋体"/>
          <w:color w:val="auto"/>
          <w:sz w:val="24"/>
          <w:szCs w:val="24"/>
          <w:highlight w:val="none"/>
        </w:rPr>
        <w:t>本包件所需</w:t>
      </w:r>
      <w:r>
        <w:rPr>
          <w:rFonts w:hAnsi="宋体" w:cs="宋体"/>
          <w:color w:val="auto"/>
          <w:sz w:val="24"/>
          <w:szCs w:val="24"/>
          <w:highlight w:val="none"/>
        </w:rPr>
        <w:t>的</w:t>
      </w:r>
      <w:r>
        <w:rPr>
          <w:rFonts w:hint="eastAsia" w:hAnsi="宋体" w:cs="宋体"/>
          <w:color w:val="auto"/>
          <w:sz w:val="24"/>
          <w:szCs w:val="24"/>
          <w:highlight w:val="none"/>
        </w:rPr>
        <w:t>人员、设备设施、利润、税金、</w:t>
      </w:r>
      <w:r>
        <w:rPr>
          <w:rFonts w:hAnsi="宋体" w:cs="宋体"/>
          <w:color w:val="auto"/>
          <w:sz w:val="24"/>
          <w:szCs w:val="24"/>
          <w:highlight w:val="none"/>
        </w:rPr>
        <w:t>保险</w:t>
      </w:r>
      <w:r>
        <w:rPr>
          <w:rFonts w:hint="eastAsia" w:hAnsi="宋体" w:cs="宋体"/>
          <w:color w:val="auto"/>
          <w:sz w:val="24"/>
          <w:szCs w:val="24"/>
          <w:highlight w:val="none"/>
        </w:rPr>
        <w:t>及</w:t>
      </w:r>
      <w:r>
        <w:rPr>
          <w:rFonts w:hAnsi="宋体" w:cs="宋体"/>
          <w:color w:val="auto"/>
          <w:sz w:val="24"/>
          <w:szCs w:val="24"/>
          <w:highlight w:val="none"/>
        </w:rPr>
        <w:t>管理费</w:t>
      </w:r>
      <w:r>
        <w:rPr>
          <w:rFonts w:hint="eastAsia" w:hAnsi="宋体" w:cs="宋体"/>
          <w:color w:val="auto"/>
          <w:sz w:val="24"/>
          <w:szCs w:val="24"/>
          <w:highlight w:val="none"/>
        </w:rPr>
        <w:t>等所有费用。</w:t>
      </w:r>
    </w:p>
    <w:p>
      <w:pPr>
        <w:spacing w:line="360" w:lineRule="auto"/>
        <w:ind w:firstLine="480" w:firstLineChars="200"/>
        <w:rPr>
          <w:rFonts w:ascii="宋体" w:hAnsi="宋体"/>
          <w:color w:val="auto"/>
          <w:highlight w:val="none"/>
        </w:rPr>
      </w:pPr>
    </w:p>
    <w:p>
      <w:pPr>
        <w:pStyle w:val="2"/>
        <w:rPr>
          <w:rFonts w:ascii="宋体" w:hAnsi="宋体"/>
          <w:color w:val="auto"/>
          <w:highlight w:val="none"/>
        </w:rPr>
      </w:pPr>
    </w:p>
    <w:p>
      <w:pPr>
        <w:rPr>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ascii="宋体" w:hAnsi="宋体"/>
          <w:color w:val="auto"/>
          <w:highlight w:val="none"/>
        </w:rPr>
      </w:pPr>
    </w:p>
    <w:p>
      <w:pPr>
        <w:pStyle w:val="3"/>
        <w:rPr>
          <w:rFonts w:hAnsi="宋体"/>
          <w:color w:val="auto"/>
          <w:highlight w:val="none"/>
        </w:rPr>
      </w:pPr>
    </w:p>
    <w:p>
      <w:pPr>
        <w:pStyle w:val="3"/>
        <w:rPr>
          <w:rFonts w:hAnsi="宋体"/>
          <w:color w:val="auto"/>
          <w:highlight w:val="none"/>
        </w:rPr>
      </w:pPr>
    </w:p>
    <w:p>
      <w:pPr>
        <w:pStyle w:val="3"/>
        <w:rPr>
          <w:rFonts w:hAnsi="宋体"/>
          <w:color w:val="auto"/>
          <w:highlight w:val="none"/>
        </w:rPr>
      </w:pPr>
    </w:p>
    <w:p>
      <w:pPr>
        <w:pStyle w:val="3"/>
        <w:rPr>
          <w:rFonts w:hAnsi="宋体"/>
          <w:color w:val="auto"/>
          <w:highlight w:val="none"/>
        </w:rPr>
      </w:pPr>
    </w:p>
    <w:p>
      <w:pPr>
        <w:pStyle w:val="3"/>
        <w:rPr>
          <w:rFonts w:hAnsi="宋体"/>
          <w:color w:val="auto"/>
          <w:highlight w:val="none"/>
        </w:rPr>
      </w:pPr>
    </w:p>
    <w:p>
      <w:pPr>
        <w:pStyle w:val="3"/>
        <w:rPr>
          <w:rFonts w:hAnsi="宋体"/>
          <w:color w:val="auto"/>
          <w:highlight w:val="none"/>
        </w:rPr>
      </w:pPr>
    </w:p>
    <w:p>
      <w:pPr>
        <w:pStyle w:val="6"/>
        <w:ind w:left="18" w:hanging="18" w:firstLineChars="0"/>
        <w:rPr>
          <w:rFonts w:cs="宋体"/>
          <w:color w:val="auto"/>
          <w:szCs w:val="24"/>
          <w:highlight w:val="none"/>
        </w:rPr>
      </w:pPr>
      <w:r>
        <w:rPr>
          <w:rFonts w:hint="eastAsia" w:cs="宋体"/>
          <w:color w:val="auto"/>
          <w:szCs w:val="24"/>
          <w:highlight w:val="none"/>
        </w:rPr>
        <w:t>中小企业声明函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bidi="ar"/>
        </w:rPr>
        <w:t>本公司（联合体）郑重声明，根据《政府采购促进中小企业发展管理办法》（财库﹝2020﹞46 号）的规定，本公司（联合体）参加</w:t>
      </w:r>
      <w:r>
        <w:rPr>
          <w:rFonts w:hint="eastAsia" w:ascii="宋体" w:hAnsi="宋体" w:cs="宋体"/>
          <w:color w:val="auto"/>
          <w:highlight w:val="none"/>
          <w:u w:val="single"/>
          <w:lang w:bidi="ar"/>
        </w:rPr>
        <w:t xml:space="preserve">   （单位名称）</w:t>
      </w:r>
      <w:r>
        <w:rPr>
          <w:rFonts w:hint="eastAsia" w:ascii="宋体" w:hAnsi="宋体" w:cs="宋体"/>
          <w:color w:val="auto"/>
          <w:highlight w:val="none"/>
          <w:lang w:bidi="ar"/>
        </w:rPr>
        <w:t>的</w:t>
      </w:r>
      <w:r>
        <w:rPr>
          <w:rFonts w:hint="eastAsia" w:ascii="宋体" w:hAnsi="宋体" w:cs="宋体"/>
          <w:color w:val="auto"/>
          <w:highlight w:val="none"/>
          <w:u w:val="single"/>
          <w:lang w:bidi="ar"/>
        </w:rPr>
        <w:t xml:space="preserve">   （项目名称）</w:t>
      </w:r>
      <w:r>
        <w:rPr>
          <w:rFonts w:hint="eastAsia" w:ascii="宋体" w:hAnsi="宋体" w:cs="宋体"/>
          <w:color w:val="auto"/>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bidi="ar"/>
        </w:rPr>
        <w:t xml:space="preserve">1. </w:t>
      </w:r>
      <w:r>
        <w:rPr>
          <w:rFonts w:hint="eastAsia" w:ascii="宋体" w:hAnsi="宋体" w:cs="宋体"/>
          <w:color w:val="auto"/>
          <w:highlight w:val="none"/>
          <w:u w:val="single"/>
          <w:lang w:bidi="ar"/>
        </w:rPr>
        <w:t xml:space="preserve">         （标的名称）</w:t>
      </w:r>
      <w:r>
        <w:rPr>
          <w:rFonts w:hint="eastAsia" w:ascii="宋体" w:hAnsi="宋体" w:cs="宋体"/>
          <w:color w:val="auto"/>
          <w:highlight w:val="none"/>
          <w:lang w:bidi="ar"/>
        </w:rPr>
        <w:t xml:space="preserve"> ，属于</w:t>
      </w:r>
      <w:r>
        <w:rPr>
          <w:rFonts w:hint="eastAsia" w:ascii="宋体" w:hAnsi="宋体" w:cs="宋体"/>
          <w:color w:val="auto"/>
          <w:highlight w:val="none"/>
          <w:u w:val="single"/>
          <w:lang w:bidi="ar"/>
        </w:rPr>
        <w:t xml:space="preserve">         （采购文件中明确的所属行业）</w:t>
      </w:r>
      <w:r>
        <w:rPr>
          <w:rFonts w:hint="eastAsia" w:ascii="宋体" w:hAnsi="宋体" w:cs="宋体"/>
          <w:color w:val="auto"/>
          <w:highlight w:val="none"/>
          <w:lang w:bidi="ar"/>
        </w:rPr>
        <w:t>；承建（承接）企业为</w:t>
      </w:r>
      <w:r>
        <w:rPr>
          <w:rFonts w:hint="eastAsia" w:ascii="宋体" w:hAnsi="宋体" w:cs="宋体"/>
          <w:color w:val="auto"/>
          <w:highlight w:val="none"/>
          <w:u w:val="single"/>
          <w:lang w:bidi="ar"/>
        </w:rPr>
        <w:t xml:space="preserve">         （企业名称</w:t>
      </w:r>
      <w:r>
        <w:rPr>
          <w:rFonts w:hint="eastAsia" w:ascii="宋体" w:hAnsi="宋体" w:cs="宋体"/>
          <w:color w:val="auto"/>
          <w:highlight w:val="none"/>
          <w:lang w:bidi="ar"/>
        </w:rPr>
        <w:t>），从业人员</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人，营业收入为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万元，资产总额为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万元，属于</w:t>
      </w:r>
      <w:r>
        <w:rPr>
          <w:rFonts w:hint="eastAsia" w:ascii="宋体" w:hAnsi="宋体" w:cs="宋体"/>
          <w:color w:val="auto"/>
          <w:highlight w:val="none"/>
          <w:u w:val="single"/>
          <w:lang w:bidi="ar"/>
        </w:rPr>
        <w:t xml:space="preserve">         （中型企业、小型企业、微型企业）</w:t>
      </w:r>
      <w:r>
        <w:rPr>
          <w:rFonts w:hint="eastAsia" w:ascii="宋体" w:hAnsi="宋体" w:cs="宋体"/>
          <w:color w:val="auto"/>
          <w:highlight w:val="none"/>
          <w:lang w:bidi="ar"/>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bidi="ar"/>
        </w:rPr>
        <w:t xml:space="preserve">2. </w:t>
      </w:r>
      <w:r>
        <w:rPr>
          <w:rFonts w:hint="eastAsia" w:ascii="宋体" w:hAnsi="宋体" w:cs="宋体"/>
          <w:color w:val="auto"/>
          <w:highlight w:val="none"/>
          <w:u w:val="single"/>
          <w:lang w:bidi="ar"/>
        </w:rPr>
        <w:t xml:space="preserve">         （标的名称）</w:t>
      </w:r>
      <w:r>
        <w:rPr>
          <w:rFonts w:hint="eastAsia" w:ascii="宋体" w:hAnsi="宋体" w:cs="宋体"/>
          <w:color w:val="auto"/>
          <w:highlight w:val="none"/>
          <w:lang w:bidi="ar"/>
        </w:rPr>
        <w:t xml:space="preserve"> ，属于</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（采购文件中明确的所属行业）；承建（承接）企业为</w:t>
      </w:r>
      <w:r>
        <w:rPr>
          <w:rFonts w:hint="eastAsia" w:ascii="宋体" w:hAnsi="宋体" w:cs="宋体"/>
          <w:color w:val="auto"/>
          <w:highlight w:val="none"/>
          <w:u w:val="single"/>
          <w:lang w:bidi="ar"/>
        </w:rPr>
        <w:t xml:space="preserve">         （企业名称）</w:t>
      </w:r>
      <w:r>
        <w:rPr>
          <w:rFonts w:hint="eastAsia" w:ascii="宋体" w:hAnsi="宋体" w:cs="宋体"/>
          <w:color w:val="auto"/>
          <w:highlight w:val="none"/>
          <w:lang w:bidi="ar"/>
        </w:rPr>
        <w:t>，从业人员</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人，营业收入为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万元，资产总额为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万元，属于</w:t>
      </w:r>
      <w:r>
        <w:rPr>
          <w:rFonts w:hint="eastAsia" w:ascii="宋体" w:hAnsi="宋体" w:cs="宋体"/>
          <w:color w:val="auto"/>
          <w:highlight w:val="none"/>
          <w:u w:val="single"/>
          <w:lang w:bidi="ar"/>
        </w:rPr>
        <w:t xml:space="preserve">         （中型企业、小型企业、微型企业</w:t>
      </w:r>
      <w:r>
        <w:rPr>
          <w:rFonts w:hint="eastAsia" w:ascii="宋体" w:hAnsi="宋体" w:cs="宋体"/>
          <w:color w:val="auto"/>
          <w:highlight w:val="none"/>
          <w:lang w:bidi="ar"/>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bidi="ar"/>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bidi="ar"/>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bidi="ar"/>
        </w:rPr>
        <w:t xml:space="preserve">本企业对上述声明内容的真实性负责。如有虚假，将依法承担相应责任。 </w:t>
      </w:r>
    </w:p>
    <w:p>
      <w:pPr>
        <w:spacing w:line="360" w:lineRule="auto"/>
        <w:jc w:val="center"/>
        <w:rPr>
          <w:rFonts w:ascii="宋体" w:hAnsi="宋体" w:cs="宋体"/>
          <w:color w:val="auto"/>
          <w:highlight w:val="none"/>
          <w:lang w:bidi="ar"/>
        </w:rPr>
      </w:pPr>
    </w:p>
    <w:p>
      <w:pPr>
        <w:spacing w:line="360" w:lineRule="auto"/>
        <w:jc w:val="center"/>
        <w:rPr>
          <w:rFonts w:ascii="宋体" w:hAnsi="宋体" w:cs="宋体"/>
          <w:color w:val="auto"/>
          <w:highlight w:val="none"/>
        </w:rPr>
      </w:pPr>
      <w:r>
        <w:rPr>
          <w:rFonts w:hint="eastAsia" w:ascii="宋体" w:hAnsi="宋体" w:cs="宋体"/>
          <w:color w:val="auto"/>
          <w:highlight w:val="none"/>
          <w:lang w:bidi="ar"/>
        </w:rPr>
        <w:t xml:space="preserve">企业名称（盖章）： </w:t>
      </w:r>
    </w:p>
    <w:p>
      <w:pPr>
        <w:spacing w:line="360" w:lineRule="auto"/>
        <w:ind w:firstLine="3600" w:firstLineChars="1500"/>
        <w:jc w:val="both"/>
        <w:rPr>
          <w:rFonts w:ascii="宋体" w:hAnsi="宋体" w:cs="宋体"/>
          <w:color w:val="auto"/>
          <w:highlight w:val="none"/>
        </w:rPr>
      </w:pPr>
      <w:r>
        <w:rPr>
          <w:rFonts w:hint="eastAsia" w:ascii="宋体" w:hAnsi="宋体" w:cs="宋体"/>
          <w:color w:val="auto"/>
          <w:highlight w:val="none"/>
          <w:lang w:bidi="ar"/>
        </w:rPr>
        <w:t xml:space="preserve">日 期： </w:t>
      </w:r>
    </w:p>
    <w:p>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lang w:bidi="ar"/>
        </w:rPr>
        <w:t>从业人员、营业收入、资产总额填报上一年度数据，无上一年度数据的新成立企业可不填报。</w:t>
      </w:r>
    </w:p>
    <w:p>
      <w:pPr>
        <w:pStyle w:val="2"/>
        <w:widowControl w:val="0"/>
        <w:spacing w:line="360" w:lineRule="auto"/>
        <w:ind w:firstLine="482" w:firstLineChars="200"/>
        <w:rPr>
          <w:rFonts w:ascii="宋体" w:hAnsi="宋体" w:cs="宋体"/>
          <w:b/>
          <w:bCs/>
          <w:color w:val="auto"/>
          <w:highlight w:val="none"/>
          <w:lang w:bidi="ar"/>
        </w:rPr>
      </w:pPr>
      <w:r>
        <w:rPr>
          <w:rFonts w:hint="eastAsia" w:ascii="宋体" w:hAnsi="宋体" w:cs="宋体"/>
          <w:b/>
          <w:bCs/>
          <w:color w:val="auto"/>
          <w:highlight w:val="none"/>
          <w:lang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pStyle w:val="2"/>
        <w:widowControl w:val="0"/>
        <w:spacing w:line="360" w:lineRule="auto"/>
        <w:ind w:firstLine="482" w:firstLineChars="200"/>
        <w:rPr>
          <w:rFonts w:ascii="宋体" w:hAnsi="宋体" w:cs="宋体"/>
          <w:b/>
          <w:bCs/>
          <w:color w:val="auto"/>
          <w:highlight w:val="none"/>
          <w:lang w:bidi="ar"/>
        </w:rPr>
      </w:pPr>
      <w:r>
        <w:rPr>
          <w:rFonts w:hint="eastAsia" w:ascii="宋体" w:hAnsi="宋体" w:cs="宋体"/>
          <w:b/>
          <w:bCs/>
          <w:color w:val="auto"/>
          <w:highlight w:val="none"/>
          <w:lang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spacing w:line="360" w:lineRule="auto"/>
        <w:ind w:firstLine="480" w:firstLineChars="200"/>
        <w:rPr>
          <w:color w:val="auto"/>
          <w:highlight w:val="none"/>
        </w:rPr>
        <w:sectPr>
          <w:pgSz w:w="11906" w:h="16838"/>
          <w:pgMar w:top="1440" w:right="1274" w:bottom="1440" w:left="1418" w:header="851" w:footer="992" w:gutter="0"/>
          <w:cols w:space="720" w:num="1"/>
          <w:docGrid w:type="lines" w:linePitch="312" w:charSpace="0"/>
        </w:sectPr>
      </w:pPr>
    </w:p>
    <w:p>
      <w:pPr>
        <w:pStyle w:val="6"/>
        <w:ind w:firstLine="482"/>
        <w:rPr>
          <w:color w:val="auto"/>
          <w:highlight w:val="none"/>
        </w:rPr>
      </w:pPr>
      <w:r>
        <w:rPr>
          <w:rFonts w:hint="eastAsia"/>
          <w:color w:val="auto"/>
          <w:highlight w:val="none"/>
        </w:rPr>
        <w:t>残疾人福利性单位</w:t>
      </w:r>
      <w:r>
        <w:rPr>
          <w:rFonts w:hint="eastAsia" w:cs="宋体"/>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jc w:val="both"/>
        <w:rPr>
          <w:rFonts w:ascii="宋体" w:hAnsi="宋体"/>
          <w:b/>
          <w:color w:val="auto"/>
          <w:spacing w:val="6"/>
          <w:highlight w:val="none"/>
        </w:rPr>
      </w:pPr>
      <w:r>
        <w:rPr>
          <w:rFonts w:hint="eastAsia" w:ascii="宋体" w:hAnsi="宋体"/>
          <w:b/>
          <w:color w:val="auto"/>
          <w:spacing w:val="6"/>
          <w:highlight w:val="none"/>
        </w:rPr>
        <w:t>说明：非残疾人福利性单位不提供此声明函。成交供应商为残疾人福利性单位的，采购人或者其委托的采购代理机构应当随成交结果同时公告其《残疾人福利性单位声明函》，接受社会监督。供应商提供的《残疾人福利性单位声明函》与事实不符的，依照《中华人民共和国政府采购法》第七十七条第一款的规定追究法律责任。</w:t>
      </w:r>
    </w:p>
    <w:p>
      <w:pPr>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6"/>
        <w:ind w:left="18" w:hanging="18" w:firstLineChars="0"/>
        <w:rPr>
          <w:rFonts w:cs="宋体"/>
          <w:color w:val="auto"/>
          <w:szCs w:val="24"/>
          <w:highlight w:val="none"/>
        </w:rPr>
      </w:pPr>
      <w:r>
        <w:rPr>
          <w:rFonts w:hint="eastAsia" w:cs="宋体"/>
          <w:color w:val="auto"/>
          <w:szCs w:val="24"/>
          <w:highlight w:val="none"/>
        </w:rPr>
        <w:t>监狱企业证明材料</w:t>
      </w:r>
    </w:p>
    <w:p>
      <w:pPr>
        <w:rPr>
          <w:rFonts w:cs="宋体"/>
          <w:color w:val="auto"/>
          <w:highlight w:val="none"/>
        </w:rPr>
      </w:pPr>
    </w:p>
    <w:p>
      <w:pPr>
        <w:spacing w:line="360" w:lineRule="auto"/>
        <w:ind w:firstLine="504"/>
        <w:rPr>
          <w:rFonts w:ascii="宋体" w:hAnsi="宋体" w:cs="宋体"/>
          <w:color w:val="auto"/>
          <w:highlight w:val="none"/>
        </w:rPr>
      </w:pPr>
      <w:r>
        <w:rPr>
          <w:rFonts w:hint="eastAsia" w:ascii="宋体" w:hAnsi="宋体" w:cs="宋体"/>
          <w:color w:val="auto"/>
          <w:highlight w:val="none"/>
        </w:rPr>
        <w:t>加政府采购活动的监狱企业应当提供省级以上监狱管理局、戒毒管理局（含新疆生产建设兵团）出具的属于监狱企业的证明文件复印件加盖供应商公章。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非监狱企业不提供。</w:t>
      </w:r>
    </w:p>
    <w:p>
      <w:pPr>
        <w:pStyle w:val="2"/>
        <w:rPr>
          <w:rFonts w:cs="宋体"/>
          <w:color w:val="auto"/>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3"/>
        <w:rPr>
          <w:rFonts w:cs="宋体"/>
          <w:color w:val="auto"/>
          <w:szCs w:val="24"/>
          <w:highlight w:val="none"/>
        </w:rPr>
      </w:pPr>
    </w:p>
    <w:p>
      <w:pPr>
        <w:pStyle w:val="6"/>
        <w:ind w:left="18" w:hanging="18"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5"/>
        <w:rPr>
          <w:color w:val="auto"/>
          <w:highlight w:val="none"/>
        </w:rPr>
      </w:pPr>
      <w:bookmarkStart w:id="356" w:name="_Toc14327"/>
      <w:bookmarkStart w:id="357" w:name="_Toc2155"/>
      <w:r>
        <w:rPr>
          <w:rFonts w:hint="eastAsia"/>
          <w:color w:val="auto"/>
          <w:highlight w:val="none"/>
        </w:rPr>
        <w:t>最后报价（格式）</w:t>
      </w:r>
      <w:bookmarkEnd w:id="356"/>
      <w:bookmarkEnd w:id="357"/>
    </w:p>
    <w:p>
      <w:pPr>
        <w:snapToGrid w:val="0"/>
        <w:spacing w:line="360" w:lineRule="auto"/>
        <w:ind w:firstLine="482" w:firstLineChars="200"/>
        <w:rPr>
          <w:rFonts w:ascii="宋体" w:hAnsi="宋体"/>
          <w:b/>
          <w:color w:val="auto"/>
          <w:highlight w:val="none"/>
        </w:rPr>
      </w:pPr>
    </w:p>
    <w:p>
      <w:pPr>
        <w:snapToGrid w:val="0"/>
        <w:spacing w:line="360" w:lineRule="auto"/>
        <w:ind w:firstLine="482" w:firstLineChars="200"/>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 xml:space="preserve">成都市龙泉驿区水务局水务综合规划（2021-2035）修编服务采购项目 </w:t>
      </w: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510112202200015</w:t>
      </w:r>
    </w:p>
    <w:p>
      <w:pPr>
        <w:pStyle w:val="2"/>
        <w:ind w:firstLine="482" w:firstLineChars="200"/>
        <w:rPr>
          <w:rFonts w:ascii="宋体" w:hAnsi="宋体"/>
          <w:b/>
          <w:color w:val="auto"/>
          <w:highlight w:val="none"/>
          <w:u w:val="single"/>
        </w:rPr>
      </w:pPr>
      <w:r>
        <w:rPr>
          <w:rFonts w:hint="eastAsia" w:ascii="宋体" w:hAnsi="宋体"/>
          <w:b/>
          <w:color w:val="auto"/>
          <w:highlight w:val="none"/>
        </w:rPr>
        <w:t>包件号：</w:t>
      </w:r>
      <w:r>
        <w:rPr>
          <w:rFonts w:hint="eastAsia" w:ascii="宋体" w:hAnsi="宋体"/>
          <w:b/>
          <w:color w:val="auto"/>
          <w:highlight w:val="none"/>
          <w:u w:val="single"/>
        </w:rPr>
        <w:t xml:space="preserve">       </w:t>
      </w: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505"/>
        <w:gridCol w:w="460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序号</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名称</w:t>
            </w: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总价</w:t>
            </w: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1</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2</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kern w:val="2"/>
                <w:highlight w:val="none"/>
              </w:rPr>
              <w:t>3</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1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color w:val="auto"/>
                <w:highlight w:val="none"/>
              </w:rPr>
              <w:t>…</w:t>
            </w:r>
          </w:p>
        </w:tc>
        <w:tc>
          <w:tcPr>
            <w:tcW w:w="2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c>
          <w:tcPr>
            <w:tcW w:w="460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cs="宋体"/>
                <w:b/>
                <w:color w:val="auto"/>
                <w:kern w:val="2"/>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35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kern w:val="2"/>
                <w:highlight w:val="none"/>
              </w:rPr>
            </w:pPr>
            <w:r>
              <w:rPr>
                <w:rFonts w:hint="eastAsia" w:ascii="宋体" w:hAnsi="宋体" w:cs="宋体"/>
                <w:b/>
                <w:color w:val="auto"/>
                <w:highlight w:val="none"/>
              </w:rPr>
              <w:t>报价（总价合计）</w:t>
            </w:r>
          </w:p>
        </w:tc>
        <w:tc>
          <w:tcPr>
            <w:tcW w:w="6000" w:type="dxa"/>
            <w:gridSpan w:val="2"/>
            <w:tcBorders>
              <w:top w:val="single" w:color="auto" w:sz="4" w:space="0"/>
              <w:left w:val="single" w:color="auto" w:sz="4" w:space="0"/>
              <w:right w:val="single" w:color="auto" w:sz="4" w:space="0"/>
            </w:tcBorders>
            <w:vAlign w:val="center"/>
          </w:tcPr>
          <w:p>
            <w:pPr>
              <w:spacing w:line="440" w:lineRule="exact"/>
              <w:ind w:right="420"/>
              <w:rPr>
                <w:rFonts w:ascii="宋体" w:hAnsi="宋体" w:cs="宋体"/>
                <w:b/>
                <w:color w:val="auto"/>
                <w:highlight w:val="none"/>
              </w:rPr>
            </w:pPr>
            <w:r>
              <w:rPr>
                <w:rFonts w:hint="eastAsia" w:ascii="宋体" w:hAnsi="宋体" w:cs="宋体"/>
                <w:b/>
                <w:color w:val="auto"/>
                <w:highlight w:val="none"/>
              </w:rPr>
              <w:t>大写：</w:t>
            </w:r>
          </w:p>
          <w:p>
            <w:pPr>
              <w:snapToGrid w:val="0"/>
              <w:jc w:val="both"/>
              <w:rPr>
                <w:rFonts w:ascii="宋体" w:hAnsi="宋体" w:cs="宋体"/>
                <w:b/>
                <w:color w:val="auto"/>
                <w:kern w:val="2"/>
                <w:highlight w:val="none"/>
              </w:rPr>
            </w:pPr>
            <w:r>
              <w:rPr>
                <w:rFonts w:hint="eastAsia" w:ascii="宋体" w:hAnsi="宋体" w:cs="宋体"/>
                <w:b/>
                <w:color w:val="auto"/>
                <w:highlight w:val="none"/>
              </w:rPr>
              <w:t>小写：</w:t>
            </w:r>
          </w:p>
        </w:tc>
      </w:tr>
    </w:tbl>
    <w:p>
      <w:pPr>
        <w:ind w:firstLine="494"/>
        <w:rPr>
          <w:rFonts w:ascii="宋体" w:hAnsi="宋体"/>
          <w:b/>
          <w:color w:val="auto"/>
          <w:highlight w:val="none"/>
        </w:rPr>
      </w:pPr>
    </w:p>
    <w:p>
      <w:pPr>
        <w:pStyle w:val="2"/>
        <w:rPr>
          <w:color w:val="auto"/>
          <w:highlight w:val="none"/>
        </w:rPr>
      </w:pPr>
    </w:p>
    <w:p>
      <w:pPr>
        <w:pStyle w:val="2"/>
        <w:rPr>
          <w:color w:val="auto"/>
          <w:highlight w:val="none"/>
        </w:rPr>
      </w:pPr>
    </w:p>
    <w:p>
      <w:pPr>
        <w:pStyle w:val="2"/>
        <w:spacing w:after="0"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ascii="宋体" w:hAnsi="宋体"/>
          <w:color w:val="auto"/>
          <w:highlight w:val="none"/>
        </w:rPr>
      </w:pPr>
    </w:p>
    <w:p>
      <w:pPr>
        <w:pStyle w:val="42"/>
        <w:ind w:firstLine="210"/>
        <w:rPr>
          <w:color w:val="auto"/>
          <w:highlight w:val="none"/>
        </w:rPr>
      </w:pPr>
    </w:p>
    <w:p>
      <w:pPr>
        <w:pStyle w:val="70"/>
        <w:ind w:firstLine="0"/>
        <w:jc w:val="left"/>
        <w:rPr>
          <w:rFonts w:ascii="宋体" w:hAnsi="宋体"/>
          <w:b/>
          <w:color w:val="auto"/>
          <w:sz w:val="28"/>
          <w:highlight w:val="none"/>
        </w:rPr>
      </w:pPr>
      <w:r>
        <w:rPr>
          <w:rFonts w:hint="eastAsia" w:ascii="宋体" w:hAnsi="宋体" w:cs="宋体"/>
          <w:b/>
          <w:color w:val="auto"/>
          <w:sz w:val="24"/>
          <w:szCs w:val="24"/>
          <w:highlight w:val="none"/>
        </w:rPr>
        <w:t>说明：</w:t>
      </w:r>
      <w:r>
        <w:rPr>
          <w:rFonts w:hint="eastAsia" w:ascii="宋体" w:hAnsi="宋体"/>
          <w:b/>
          <w:color w:val="auto"/>
          <w:sz w:val="24"/>
          <w:szCs w:val="24"/>
          <w:highlight w:val="none"/>
        </w:rPr>
        <w:t>供应商可不在响应文件中填写并提供此表。此表为磋商结束后，由供应商按磋商</w:t>
      </w:r>
      <w:r>
        <w:rPr>
          <w:rFonts w:ascii="宋体" w:hAnsi="宋体"/>
          <w:b/>
          <w:color w:val="auto"/>
          <w:sz w:val="24"/>
          <w:szCs w:val="24"/>
          <w:highlight w:val="none"/>
        </w:rPr>
        <w:t>小组的要求</w:t>
      </w:r>
      <w:r>
        <w:rPr>
          <w:rFonts w:hint="eastAsia" w:ascii="宋体" w:hAnsi="宋体"/>
          <w:b/>
          <w:color w:val="auto"/>
          <w:sz w:val="24"/>
          <w:szCs w:val="24"/>
          <w:highlight w:val="none"/>
        </w:rPr>
        <w:t>在最后报价环节以附件形式在</w:t>
      </w:r>
      <w:r>
        <w:rPr>
          <w:rFonts w:ascii="宋体" w:hAnsi="宋体"/>
          <w:b/>
          <w:color w:val="auto"/>
          <w:sz w:val="24"/>
          <w:szCs w:val="24"/>
          <w:highlight w:val="none"/>
        </w:rPr>
        <w:t>系统中</w:t>
      </w:r>
      <w:r>
        <w:rPr>
          <w:rFonts w:hint="eastAsia" w:ascii="宋体" w:hAnsi="宋体"/>
          <w:b/>
          <w:color w:val="auto"/>
          <w:sz w:val="24"/>
          <w:szCs w:val="24"/>
          <w:highlight w:val="none"/>
        </w:rPr>
        <w:t>提交。</w:t>
      </w:r>
    </w:p>
    <w:p>
      <w:pPr>
        <w:pStyle w:val="70"/>
        <w:ind w:firstLine="482" w:firstLineChars="200"/>
        <w:jc w:val="left"/>
        <w:rPr>
          <w:rFonts w:ascii="宋体" w:hAnsi="宋体" w:cs="宋体"/>
          <w:b/>
          <w:color w:val="auto"/>
          <w:sz w:val="24"/>
          <w:szCs w:val="24"/>
          <w:highlight w:val="none"/>
        </w:rPr>
      </w:pPr>
    </w:p>
    <w:p>
      <w:pPr>
        <w:snapToGrid w:val="0"/>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br w:type="page"/>
      </w:r>
    </w:p>
    <w:p>
      <w:pPr>
        <w:pStyle w:val="4"/>
        <w:rPr>
          <w:color w:val="auto"/>
          <w:highlight w:val="none"/>
        </w:rPr>
      </w:pPr>
      <w:bookmarkStart w:id="358" w:name="_Toc2427"/>
      <w:r>
        <w:rPr>
          <w:rFonts w:hint="eastAsia"/>
          <w:color w:val="auto"/>
          <w:highlight w:val="none"/>
        </w:rPr>
        <w:t>采购合同（草案）</w:t>
      </w:r>
      <w:bookmarkEnd w:id="358"/>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（仅供参考，特别提醒：采购合同的签订不得偏离竞争性磋商文件要约及磋商文件承诺的实质性内容）</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政府采购合同编号：XXXX。</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签订地点：XXXX。</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签订时间：XXXX年XX月XX日。</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采购人（甲方）：                              </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供应商（乙方）：                              </w:t>
      </w:r>
    </w:p>
    <w:p>
      <w:pPr>
        <w:spacing w:line="360" w:lineRule="auto"/>
        <w:rPr>
          <w:rFonts w:asciiTheme="minorEastAsia" w:hAnsiTheme="minorEastAsia" w:eastAsiaTheme="minorEastAsia" w:cstheme="minorEastAsia"/>
          <w:color w:val="auto"/>
          <w:highlight w:val="none"/>
        </w:rPr>
      </w:pP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依据《中华人民共和国民法典》、《中华人民共和国政府采购法》与项目行业有关的法律法规，以及成都市龙泉驿区水务局水务综合规划（2021-2035）修编服务采购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第一条项目基本情况</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1、XXXX；</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2、XXXX；</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3、XXXX．</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第二条服务内容</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1、XXXX；</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2、XXXX；</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3、XXXX．</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第三条服务要求</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1、合同签订后30天内完成规划修编工作，提交甲方审核。</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2、项目结束后，向甲方至少提交规划报告纸质档8份；电子档1份。</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第四条服务费用及支付方式</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(一)本项目服务费用由以下组成：</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1、XX万元；</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2、XX万元；</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3、XX万元。</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（二）服务费支付方式</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合同签订后10个工作日内支付合同总金额的40%作为预付款，验收合格后支付剩余的款项。                                  。    </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第五条知识产权</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乙方应保证所提供的服务或其任何一部分均不会侵犯任何第三方的专利权、商标权或著作权。</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第六条无产权瑕疵条款</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乙方保证所提供的服务的所有权完全属于乙方且无任何抵押、查封等产权瑕疵。如有产权瑕疵的，视为乙方违约。乙方应负担由此而产生的一切损失。</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第七条甲方的权利和义务</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2、甲方有权依据双方签订的考评办法对乙方提供的服务进行定期考评。当考评结果未达到标准时，有权依据考评办法约定的数额扣除履约保证金。</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3、负责检查监督乙方管理工作的实施及制度的执行情况。</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4、根据本合同规定，按时向乙方支付应付服务费用。</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5、国家法律、法规所规定由甲方承担的其它责任。</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第八条乙方的权利和义务</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1、对本合同规定的委托服务范围内的项目享有管理权及服务义务。</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2、根据本合同的规定向甲方收取相关服务费用，并有权在本项目管理范围内管理及合理使用。</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3、及时向甲方通告本项目服务范围内有关服务的重大事项，及时配合处理投诉。</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4、接受项目行业管理部门及政府有关部门的指导，接受甲方的监督。</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5、国家法律、法规所规定由乙方承担的其它责任。</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第九条违约责任</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1、甲乙双方必须遵守本合同并执行合同中的各项规定，保证本合同的正常履行。</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第十条不可抗力事件处理</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1、在合同有效期内，任何一方因不可抗力事件导致不能履行合同，则合同履行期可延长，其延长期与不可抗力影响期相同。</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2、不可抗力事件发生后，应立即通知对方，并寄送有关权威机构出具的证明。</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3、不可抗力事件延续</w:t>
      </w:r>
      <w:r>
        <w:rPr>
          <w:rFonts w:hint="eastAsia" w:asciiTheme="minorEastAsia" w:hAnsiTheme="minorEastAsia" w:eastAsiaTheme="minorEastAsia" w:cstheme="minorEastAsia"/>
          <w:color w:val="auto"/>
          <w:highlight w:val="none"/>
          <w:u w:val="single"/>
        </w:rPr>
        <w:t xml:space="preserve"> 九十 </w:t>
      </w:r>
      <w:r>
        <w:rPr>
          <w:rFonts w:hint="eastAsia" w:asciiTheme="minorEastAsia" w:hAnsiTheme="minorEastAsia" w:eastAsiaTheme="minorEastAsia" w:cstheme="minorEastAsia"/>
          <w:color w:val="auto"/>
          <w:highlight w:val="none"/>
        </w:rPr>
        <w:t>天以上，双方应通过友好协商，确定是否继续履行合同。</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第十一条解决合同纠纷的方式</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1、在执行本合同中发生的或与本合同有关的争端，双方应通过友好协商解决，经协商不能达成协议时，应提交成都仲裁委员会仲裁。</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2、仲裁裁决应为最终决定，并对双方具有约束力。</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3、除另有裁决外，仲裁费应由败诉方负担。 </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4、在仲裁期间，除正在进行仲裁部分外，合同其他部分继续执行。  </w:t>
      </w:r>
    </w:p>
    <w:p>
      <w:pPr>
        <w:spacing w:line="360"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第十二条合同生效及其他</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1、合同经双方法定代表人或授权委托代理人签字并加盖单位公章后生效。</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2、合同执行中涉及采购资金和采购内容修改或补充的，须经政府采购监管部门审批，并签书面补充协议报政府采购监督管理部门备案，方可作为主合同不可分割的一部分。</w:t>
      </w:r>
    </w:p>
    <w:p>
      <w:pPr>
        <w:spacing w:line="360" w:lineRule="auto"/>
        <w:ind w:left="209" w:leftChars="87"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3、本合同一式</w:t>
      </w:r>
      <w:r>
        <w:rPr>
          <w:rFonts w:hint="eastAsia" w:asciiTheme="minorEastAsia" w:hAnsiTheme="minorEastAsia" w:eastAsiaTheme="minorEastAsia" w:cstheme="minorEastAsia"/>
          <w:color w:val="auto"/>
          <w:highlight w:val="none"/>
          <w:u w:val="single"/>
        </w:rPr>
        <w:t xml:space="preserve"> 六 </w:t>
      </w:r>
      <w:r>
        <w:rPr>
          <w:rFonts w:hint="eastAsia" w:asciiTheme="minorEastAsia" w:hAnsiTheme="minorEastAsia" w:eastAsiaTheme="minorEastAsia" w:cstheme="minorEastAsia"/>
          <w:color w:val="auto"/>
          <w:highlight w:val="none"/>
        </w:rPr>
        <w:t>份，自双方签章之日起起效。甲方</w:t>
      </w:r>
      <w:r>
        <w:rPr>
          <w:rFonts w:hint="eastAsia" w:asciiTheme="minorEastAsia" w:hAnsiTheme="minorEastAsia" w:eastAsiaTheme="minorEastAsia" w:cstheme="minorEastAsia"/>
          <w:color w:val="auto"/>
          <w:highlight w:val="none"/>
          <w:u w:val="single"/>
        </w:rPr>
        <w:t xml:space="preserve"> 三 </w:t>
      </w:r>
      <w:r>
        <w:rPr>
          <w:rFonts w:hint="eastAsia" w:asciiTheme="minorEastAsia" w:hAnsiTheme="minorEastAsia" w:eastAsiaTheme="minorEastAsia" w:cstheme="minorEastAsia"/>
          <w:color w:val="auto"/>
          <w:highlight w:val="none"/>
        </w:rPr>
        <w:t>份，乙方</w:t>
      </w:r>
      <w:r>
        <w:rPr>
          <w:rFonts w:hint="eastAsia" w:asciiTheme="minorEastAsia" w:hAnsiTheme="minorEastAsia" w:eastAsiaTheme="minorEastAsia" w:cstheme="minorEastAsia"/>
          <w:color w:val="auto"/>
          <w:highlight w:val="none"/>
          <w:u w:val="single"/>
        </w:rPr>
        <w:t xml:space="preserve"> 一</w:t>
      </w:r>
      <w:r>
        <w:rPr>
          <w:rFonts w:hint="eastAsia" w:asciiTheme="minorEastAsia" w:hAnsiTheme="minorEastAsia" w:eastAsiaTheme="minorEastAsia" w:cstheme="minorEastAsia"/>
          <w:color w:val="auto"/>
          <w:highlight w:val="none"/>
        </w:rPr>
        <w:t>份，政府采购代理机构</w:t>
      </w:r>
      <w:r>
        <w:rPr>
          <w:rFonts w:hint="eastAsia" w:asciiTheme="minorEastAsia" w:hAnsiTheme="minorEastAsia" w:eastAsiaTheme="minorEastAsia" w:cstheme="minorEastAsia"/>
          <w:color w:val="auto"/>
          <w:highlight w:val="none"/>
          <w:u w:val="single"/>
        </w:rPr>
        <w:t xml:space="preserve"> 一 </w:t>
      </w:r>
      <w:r>
        <w:rPr>
          <w:rFonts w:hint="eastAsia" w:asciiTheme="minorEastAsia" w:hAnsiTheme="minorEastAsia" w:eastAsiaTheme="minorEastAsia" w:cstheme="minorEastAsia"/>
          <w:color w:val="auto"/>
          <w:highlight w:val="none"/>
        </w:rPr>
        <w:t>份，同级财政部门备案</w:t>
      </w:r>
      <w:r>
        <w:rPr>
          <w:rFonts w:hint="eastAsia" w:asciiTheme="minorEastAsia" w:hAnsiTheme="minorEastAsia" w:eastAsiaTheme="minorEastAsia" w:cstheme="minorEastAsia"/>
          <w:color w:val="auto"/>
          <w:highlight w:val="none"/>
          <w:u w:val="single"/>
        </w:rPr>
        <w:t xml:space="preserve"> 一 </w:t>
      </w:r>
      <w:r>
        <w:rPr>
          <w:rFonts w:hint="eastAsia" w:asciiTheme="minorEastAsia" w:hAnsiTheme="minorEastAsia" w:eastAsiaTheme="minorEastAsia" w:cstheme="minorEastAsia"/>
          <w:color w:val="auto"/>
          <w:highlight w:val="none"/>
        </w:rPr>
        <w:t>份，具有同等法律效力。</w:t>
      </w:r>
    </w:p>
    <w:p>
      <w:pPr>
        <w:pStyle w:val="2"/>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   （盖章）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 xml:space="preserve">       乙方：   （盖章）</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法定代表人（授权代表）：           法定代表人（授权代表）：</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                         地    址：</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                         电    话：</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                         传    真：</w:t>
      </w:r>
    </w:p>
    <w:p>
      <w:pP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签约日期：XX年XX月XX日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签约日期：XX年XX月XX日</w:t>
      </w:r>
    </w:p>
    <w:p>
      <w:pPr>
        <w:rPr>
          <w:rFonts w:ascii="宋体" w:hAnsi="宋体" w:cs="宋体"/>
          <w:color w:val="auto"/>
          <w:sz w:val="28"/>
          <w:szCs w:val="22"/>
          <w:highlight w:val="none"/>
        </w:rPr>
      </w:pPr>
    </w:p>
    <w:p>
      <w:pPr>
        <w:rPr>
          <w:color w:val="auto"/>
          <w:highlight w:val="none"/>
        </w:rPr>
      </w:pPr>
    </w:p>
    <w:bookmarkEnd w:id="352"/>
    <w:bookmarkEnd w:id="353"/>
    <w:bookmarkEnd w:id="354"/>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ind w:firstLine="506"/>
        <w:outlineLvl w:val="1"/>
        <w:rPr>
          <w:rFonts w:ascii="宋体" w:hAnsi="宋体" w:cs="宋体"/>
          <w:b/>
          <w:bCs/>
          <w:color w:val="auto"/>
          <w:szCs w:val="32"/>
          <w:highlight w:val="none"/>
        </w:rPr>
      </w:pPr>
      <w:bookmarkStart w:id="359" w:name="_Toc11225"/>
      <w:bookmarkStart w:id="360" w:name="_Toc28178"/>
      <w:r>
        <w:rPr>
          <w:rFonts w:hint="eastAsia" w:ascii="宋体" w:hAnsi="宋体" w:cs="宋体"/>
          <w:b/>
          <w:bCs/>
          <w:color w:val="auto"/>
          <w:szCs w:val="32"/>
          <w:highlight w:val="none"/>
        </w:rPr>
        <w:t>附件1：政府采购云平台使用介绍</w:t>
      </w:r>
      <w:bookmarkEnd w:id="359"/>
      <w:bookmarkEnd w:id="360"/>
    </w:p>
    <w:p>
      <w:pPr>
        <w:ind w:firstLine="506"/>
        <w:rPr>
          <w:rFonts w:ascii="宋体" w:hAnsi="宋体" w:cs="宋体"/>
          <w:b/>
          <w:bCs/>
          <w:color w:val="auto"/>
          <w:szCs w:val="32"/>
          <w:highlight w:val="none"/>
        </w:rPr>
      </w:pPr>
      <w:r>
        <w:rPr>
          <w:rFonts w:hint="eastAsia" w:ascii="宋体" w:hAnsi="宋体" w:cs="宋体"/>
          <w:b/>
          <w:bCs/>
          <w:color w:val="auto"/>
          <w:szCs w:val="32"/>
          <w:highlight w:val="none"/>
        </w:rPr>
        <w:t>1.输入网址：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51"/>
          <w:rFonts w:hint="eastAsia" w:ascii="宋体" w:hAnsi="宋体" w:cs="宋体"/>
          <w:b/>
          <w:bCs/>
          <w:color w:val="auto"/>
          <w:szCs w:val="32"/>
          <w:highlight w:val="none"/>
        </w:rPr>
        <w:t>https://www.zcygov.cn</w:t>
      </w:r>
      <w:r>
        <w:rPr>
          <w:rStyle w:val="51"/>
          <w:rFonts w:hint="eastAsia" w:ascii="宋体" w:hAnsi="宋体" w:cs="宋体"/>
          <w:b/>
          <w:bCs/>
          <w:color w:val="auto"/>
          <w:szCs w:val="32"/>
          <w:highlight w:val="none"/>
        </w:rPr>
        <w:fldChar w:fldCharType="end"/>
      </w:r>
    </w:p>
    <w:p>
      <w:pPr>
        <w:ind w:firstLine="506"/>
        <w:rPr>
          <w:rFonts w:ascii="宋体" w:hAnsi="宋体" w:cs="宋体"/>
          <w:b/>
          <w:bCs/>
          <w:color w:val="auto"/>
          <w:szCs w:val="32"/>
          <w:highlight w:val="none"/>
        </w:rPr>
      </w:pPr>
      <w:r>
        <w:rPr>
          <w:rFonts w:hint="eastAsia" w:ascii="宋体" w:hAnsi="宋体" w:cs="宋体"/>
          <w:b/>
          <w:bCs/>
          <w:color w:val="auto"/>
          <w:szCs w:val="32"/>
          <w:highlight w:val="none"/>
        </w:rPr>
        <w:t>2.选择与项目对应的行政区域如：四川省-成都市-成都市本级</w:t>
      </w:r>
    </w:p>
    <w:p>
      <w:pPr>
        <w:ind w:firstLine="504"/>
        <w:rPr>
          <w:color w:val="auto"/>
          <w:highlight w:val="none"/>
        </w:rPr>
      </w:pPr>
      <w:r>
        <w:rPr>
          <w:color w:val="auto"/>
          <w:highlight w:val="none"/>
        </w:rPr>
        <w:drawing>
          <wp:inline distT="0" distB="0" distL="114300" distR="114300">
            <wp:extent cx="4929505" cy="3082925"/>
            <wp:effectExtent l="0" t="0" r="4445" b="317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1"/>
                    <a:stretch>
                      <a:fillRect/>
                    </a:stretch>
                  </pic:blipFill>
                  <pic:spPr>
                    <a:xfrm>
                      <a:off x="0" y="0"/>
                      <a:ext cx="4929505" cy="3082925"/>
                    </a:xfrm>
                    <a:prstGeom prst="rect">
                      <a:avLst/>
                    </a:prstGeom>
                    <a:noFill/>
                    <a:ln>
                      <a:noFill/>
                    </a:ln>
                  </pic:spPr>
                </pic:pic>
              </a:graphicData>
            </a:graphic>
          </wp:inline>
        </w:drawing>
      </w:r>
    </w:p>
    <w:p>
      <w:pPr>
        <w:numPr>
          <w:ilvl w:val="0"/>
          <w:numId w:val="70"/>
        </w:numPr>
        <w:rPr>
          <w:rFonts w:ascii="宋体" w:hAnsi="宋体" w:cs="宋体"/>
          <w:b/>
          <w:bCs/>
          <w:color w:val="auto"/>
          <w:szCs w:val="32"/>
          <w:highlight w:val="none"/>
        </w:rPr>
      </w:pPr>
      <w:r>
        <w:rPr>
          <w:rFonts w:hint="eastAsia" w:ascii="宋体" w:hAnsi="宋体" w:cs="宋体"/>
          <w:b/>
          <w:bCs/>
          <w:color w:val="auto"/>
          <w:szCs w:val="32"/>
          <w:highlight w:val="none"/>
        </w:rPr>
        <w:t>点击操作指南-供应商</w:t>
      </w:r>
    </w:p>
    <w:p>
      <w:pPr>
        <w:ind w:firstLine="504"/>
        <w:rPr>
          <w:b/>
          <w:bCs/>
          <w:color w:val="auto"/>
          <w:highlight w:val="none"/>
        </w:rPr>
      </w:pPr>
      <w:r>
        <w:rPr>
          <w:color w:val="auto"/>
          <w:highlight w:val="none"/>
        </w:rPr>
        <w:drawing>
          <wp:inline distT="0" distB="0" distL="114300" distR="114300">
            <wp:extent cx="4882515" cy="2528570"/>
            <wp:effectExtent l="0" t="0" r="13335" b="508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2"/>
                    <a:stretch>
                      <a:fillRect/>
                    </a:stretch>
                  </pic:blipFill>
                  <pic:spPr>
                    <a:xfrm>
                      <a:off x="0" y="0"/>
                      <a:ext cx="4882515" cy="2528570"/>
                    </a:xfrm>
                    <a:prstGeom prst="rect">
                      <a:avLst/>
                    </a:prstGeom>
                    <a:noFill/>
                    <a:ln>
                      <a:noFill/>
                    </a:ln>
                  </pic:spPr>
                </pic:pic>
              </a:graphicData>
            </a:graphic>
          </wp:inline>
        </w:drawing>
      </w:r>
      <w:r>
        <w:rPr>
          <w:color w:val="auto"/>
          <w:highlight w:val="none"/>
        </w:rPr>
        <w:br w:type="page"/>
      </w:r>
      <w:r>
        <w:rPr>
          <w:rFonts w:hint="eastAsia" w:ascii="宋体" w:hAnsi="宋体" w:cs="宋体"/>
          <w:b/>
          <w:bCs/>
          <w:color w:val="auto"/>
          <w:szCs w:val="32"/>
          <w:highlight w:val="none"/>
        </w:rPr>
        <w:t>4.进入政采云供应商学习专题页面</w:t>
      </w:r>
      <w:r>
        <w:rPr>
          <w:rFonts w:hint="eastAsia"/>
          <w:b/>
          <w:bCs/>
          <w:color w:val="auto"/>
          <w:highlight w:val="none"/>
        </w:rPr>
        <w:t>（https://edu.zcygov.cn/luban/xxzt-chengdu-gys?utm=a0017.b1347.cl50.5.0917bc90b7bb11eb807c353645758db6）</w:t>
      </w:r>
    </w:p>
    <w:p>
      <w:pPr>
        <w:ind w:firstLine="504"/>
        <w:rPr>
          <w:color w:val="auto"/>
          <w:highlight w:val="none"/>
        </w:rPr>
      </w:pPr>
      <w:r>
        <w:rPr>
          <w:color w:val="auto"/>
          <w:highlight w:val="none"/>
        </w:rPr>
        <w:drawing>
          <wp:inline distT="0" distB="0" distL="114300" distR="114300">
            <wp:extent cx="5380990" cy="2678430"/>
            <wp:effectExtent l="0" t="0" r="1016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380990" cy="2678430"/>
                    </a:xfrm>
                    <a:prstGeom prst="rect">
                      <a:avLst/>
                    </a:prstGeom>
                    <a:noFill/>
                    <a:ln>
                      <a:noFill/>
                    </a:ln>
                  </pic:spPr>
                </pic:pic>
              </a:graphicData>
            </a:graphic>
          </wp:inline>
        </w:drawing>
      </w:r>
    </w:p>
    <w:p>
      <w:pPr>
        <w:ind w:firstLine="504"/>
        <w:rPr>
          <w:rFonts w:ascii="宋体" w:hAnsi="宋体" w:cs="宋体"/>
          <w:b/>
          <w:bCs/>
          <w:color w:val="auto"/>
          <w:szCs w:val="32"/>
          <w:highlight w:val="none"/>
        </w:rPr>
      </w:pPr>
      <w:r>
        <w:rPr>
          <w:rFonts w:hint="eastAsia"/>
          <w:color w:val="auto"/>
          <w:highlight w:val="none"/>
        </w:rPr>
        <w:br w:type="page"/>
      </w:r>
      <w:r>
        <w:rPr>
          <w:rFonts w:hint="eastAsia" w:ascii="宋体" w:hAnsi="宋体" w:cs="宋体"/>
          <w:b/>
          <w:bCs/>
          <w:color w:val="auto"/>
          <w:szCs w:val="32"/>
          <w:highlight w:val="none"/>
        </w:rPr>
        <w:t>5.供应商资讯服务渠道</w:t>
      </w:r>
    </w:p>
    <w:p>
      <w:pPr>
        <w:ind w:firstLine="504"/>
        <w:rPr>
          <w:color w:val="auto"/>
          <w:highlight w:val="none"/>
        </w:rPr>
      </w:pPr>
      <w:r>
        <w:rPr>
          <w:color w:val="auto"/>
          <w:highlight w:val="none"/>
        </w:rPr>
        <w:drawing>
          <wp:inline distT="0" distB="0" distL="114300" distR="114300">
            <wp:extent cx="5447665" cy="1953260"/>
            <wp:effectExtent l="0" t="0" r="63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447665" cy="1953260"/>
                    </a:xfrm>
                    <a:prstGeom prst="rect">
                      <a:avLst/>
                    </a:prstGeom>
                    <a:noFill/>
                    <a:ln>
                      <a:noFill/>
                    </a:ln>
                  </pic:spPr>
                </pic:pic>
              </a:graphicData>
            </a:graphic>
          </wp:inline>
        </w:drawing>
      </w:r>
    </w:p>
    <w:p>
      <w:pPr>
        <w:ind w:firstLine="504"/>
        <w:rPr>
          <w:color w:val="auto"/>
          <w:highlight w:val="none"/>
        </w:rPr>
      </w:pPr>
      <w:r>
        <w:rPr>
          <w:color w:val="auto"/>
          <w:highlight w:val="none"/>
        </w:rPr>
        <w:br w:type="page"/>
      </w:r>
      <w:r>
        <w:rPr>
          <w:rFonts w:hint="eastAsia" w:ascii="宋体" w:hAnsi="宋体" w:cs="宋体"/>
          <w:b/>
          <w:bCs/>
          <w:color w:val="auto"/>
          <w:szCs w:val="32"/>
          <w:highlight w:val="none"/>
        </w:rPr>
        <w:t>6.入驻政府采购云平台（注册）</w:t>
      </w:r>
    </w:p>
    <w:p>
      <w:pPr>
        <w:ind w:firstLine="504"/>
        <w:rPr>
          <w:color w:val="auto"/>
          <w:highlight w:val="none"/>
        </w:rPr>
      </w:pPr>
      <w:r>
        <w:rPr>
          <w:color w:val="auto"/>
          <w:highlight w:val="none"/>
        </w:rPr>
        <w:drawing>
          <wp:inline distT="0" distB="0" distL="114300" distR="114300">
            <wp:extent cx="5683250" cy="2313940"/>
            <wp:effectExtent l="0" t="0" r="1270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683250" cy="2313940"/>
                    </a:xfrm>
                    <a:prstGeom prst="rect">
                      <a:avLst/>
                    </a:prstGeom>
                    <a:noFill/>
                    <a:ln>
                      <a:noFill/>
                    </a:ln>
                  </pic:spPr>
                </pic:pic>
              </a:graphicData>
            </a:graphic>
          </wp:inline>
        </w:drawing>
      </w:r>
    </w:p>
    <w:p>
      <w:pPr>
        <w:ind w:firstLine="504"/>
        <w:rPr>
          <w:color w:val="auto"/>
          <w:highlight w:val="none"/>
        </w:rPr>
      </w:pPr>
      <w:r>
        <w:rPr>
          <w:color w:val="auto"/>
          <w:highlight w:val="none"/>
        </w:rPr>
        <w:br w:type="page"/>
      </w:r>
      <w:r>
        <w:rPr>
          <w:rFonts w:hint="eastAsia" w:ascii="宋体" w:hAnsi="宋体" w:cs="宋体"/>
          <w:b/>
          <w:bCs/>
          <w:color w:val="auto"/>
          <w:szCs w:val="32"/>
          <w:highlight w:val="none"/>
        </w:rPr>
        <w:t>7.下载《供应商政府采购项目电子交易操作指南》</w:t>
      </w:r>
    </w:p>
    <w:p>
      <w:pPr>
        <w:pStyle w:val="159"/>
        <w:spacing w:line="360" w:lineRule="auto"/>
        <w:rPr>
          <w:color w:val="auto"/>
          <w:highlight w:val="none"/>
        </w:rPr>
      </w:pPr>
      <w:r>
        <w:rPr>
          <w:color w:val="auto"/>
          <w:highlight w:val="none"/>
        </w:rPr>
        <w:drawing>
          <wp:inline distT="0" distB="0" distL="114300" distR="114300">
            <wp:extent cx="5536565" cy="3067685"/>
            <wp:effectExtent l="0" t="0" r="6985" b="1841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6"/>
                    <a:stretch>
                      <a:fillRect/>
                    </a:stretch>
                  </pic:blipFill>
                  <pic:spPr>
                    <a:xfrm>
                      <a:off x="0" y="0"/>
                      <a:ext cx="5536565" cy="3067685"/>
                    </a:xfrm>
                    <a:prstGeom prst="rect">
                      <a:avLst/>
                    </a:prstGeom>
                    <a:noFill/>
                    <a:ln>
                      <a:noFill/>
                    </a:ln>
                  </pic:spPr>
                </pic:pic>
              </a:graphicData>
            </a:graphic>
          </wp:inline>
        </w:drawing>
      </w: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ind w:firstLine="506"/>
        <w:outlineLvl w:val="1"/>
        <w:rPr>
          <w:rFonts w:ascii="宋体" w:hAnsi="宋体" w:cs="宋体"/>
          <w:b/>
          <w:bCs/>
          <w:color w:val="auto"/>
          <w:szCs w:val="32"/>
          <w:highlight w:val="none"/>
        </w:rPr>
      </w:pPr>
      <w:bookmarkStart w:id="361" w:name="_Toc13462"/>
      <w:bookmarkStart w:id="362" w:name="_Toc14467"/>
      <w:r>
        <w:rPr>
          <w:rFonts w:hint="eastAsia" w:ascii="宋体" w:hAnsi="宋体" w:cs="宋体"/>
          <w:b/>
          <w:bCs/>
          <w:color w:val="auto"/>
          <w:szCs w:val="32"/>
          <w:highlight w:val="none"/>
        </w:rPr>
        <w:t>附件2：质疑函范本</w:t>
      </w:r>
      <w:bookmarkEnd w:id="361"/>
      <w:bookmarkEnd w:id="362"/>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312"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adjustRightInd w:val="0"/>
        <w:snapToGrid w:val="0"/>
        <w:spacing w:line="360" w:lineRule="auto"/>
        <w:rPr>
          <w:rFonts w:ascii="仿宋" w:hAnsi="仿宋" w:eastAsia="仿宋" w:cs="仿宋"/>
          <w:color w:val="auto"/>
          <w:sz w:val="32"/>
          <w:szCs w:val="32"/>
          <w:highlight w:val="none"/>
        </w:rPr>
      </w:pPr>
    </w:p>
    <w:p>
      <w:pPr>
        <w:adjustRightInd w:val="0"/>
        <w:snapToGrid w:val="0"/>
        <w:spacing w:line="360" w:lineRule="auto"/>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sz w:val="32"/>
          <w:szCs w:val="32"/>
          <w:highlight w:val="none"/>
        </w:rPr>
        <w:t>供应商签署的授权委托书。授权委托书应载明代理人的姓名或者名称、代理事项、具体权限、期限和相关事项。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pStyle w:val="159"/>
        <w:spacing w:line="360" w:lineRule="auto"/>
        <w:rPr>
          <w:color w:val="auto"/>
          <w:highlight w:val="none"/>
        </w:rPr>
      </w:pPr>
    </w:p>
    <w:p>
      <w:pPr>
        <w:ind w:firstLine="506"/>
        <w:outlineLvl w:val="1"/>
        <w:rPr>
          <w:rFonts w:ascii="宋体" w:hAnsi="宋体" w:cs="宋体"/>
          <w:b/>
          <w:bCs/>
          <w:color w:val="auto"/>
          <w:szCs w:val="32"/>
          <w:highlight w:val="none"/>
        </w:rPr>
      </w:pPr>
      <w:bookmarkStart w:id="363" w:name="_Toc18919"/>
      <w:bookmarkStart w:id="364" w:name="_Toc24813"/>
      <w:r>
        <w:rPr>
          <w:rFonts w:hint="eastAsia" w:ascii="宋体" w:hAnsi="宋体" w:cs="宋体"/>
          <w:b/>
          <w:bCs/>
          <w:color w:val="auto"/>
          <w:szCs w:val="32"/>
          <w:highlight w:val="none"/>
        </w:rPr>
        <w:t>附件3：投诉书范本</w:t>
      </w:r>
      <w:bookmarkEnd w:id="363"/>
      <w:bookmarkEnd w:id="364"/>
    </w:p>
    <w:p>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tabs>
          <w:tab w:val="left" w:pos="6510"/>
        </w:tabs>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tabs>
          <w:tab w:val="left" w:pos="6510"/>
        </w:tabs>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pPr>
        <w:ind w:firstLine="640" w:firstLineChars="20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ind w:firstLine="480" w:firstLineChars="150"/>
        <w:rPr>
          <w:rFonts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pPr>
        <w:ind w:firstLine="640" w:firstLineChars="200"/>
        <w:rPr>
          <w:rFonts w:ascii="仿宋_GB2312" w:hAnsi="宋体" w:eastAsia="仿宋_GB2312" w:cs="宋体"/>
          <w:color w:val="auto"/>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pPr>
        <w:ind w:firstLine="640" w:firstLineChars="200"/>
        <w:rPr>
          <w:rFonts w:ascii="仿宋_GB2312" w:hAnsi="宋体" w:eastAsia="仿宋_GB2312" w:cs="宋体"/>
          <w:color w:val="auto"/>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sz w:val="32"/>
          <w:szCs w:val="32"/>
          <w:highlight w:val="none"/>
        </w:rPr>
        <w:t>投诉人签署的授权委托书。授权委托书应当载明代理人的姓名或者名称、代理事项、具体权限、期限和相关事项。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pPr>
        <w:ind w:firstLine="640" w:firstLineChars="200"/>
        <w:rPr>
          <w:rFonts w:ascii="仿宋_GB2312" w:hAnsi="宋体" w:eastAsia="仿宋_GB2312" w:cs="宋体"/>
          <w:color w:val="auto"/>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pStyle w:val="159"/>
        <w:spacing w:line="360" w:lineRule="auto"/>
        <w:rPr>
          <w:color w:val="auto"/>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Segoe Print"/>
    <w:panose1 w:val="00000000000000000000"/>
    <w:charset w:val="00"/>
    <w:family w:val="roman"/>
    <w:pitch w:val="default"/>
    <w:sig w:usb0="00000000" w:usb1="00000000" w:usb2="00000008" w:usb3="00000000" w:csb0="000001FF" w:csb1="00000000"/>
  </w:font>
  <w:font w:name="方正仿宋">
    <w:altName w:val="仿宋"/>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25</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4</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0D8AE"/>
    <w:multiLevelType w:val="singleLevel"/>
    <w:tmpl w:val="8500D8AE"/>
    <w:lvl w:ilvl="0" w:tentative="0">
      <w:start w:val="1"/>
      <w:numFmt w:val="chineseCounting"/>
      <w:suff w:val="nothing"/>
      <w:lvlText w:val="%1、"/>
      <w:lvlJc w:val="left"/>
      <w:pPr>
        <w:ind w:left="0" w:firstLine="420"/>
      </w:pPr>
      <w:rPr>
        <w:rFonts w:hint="eastAsia"/>
        <w:color w:val="000000" w:themeColor="text1"/>
        <w14:textFill>
          <w14:solidFill>
            <w14:schemeClr w14:val="tx1"/>
          </w14:solidFill>
        </w14:textFill>
      </w:rPr>
    </w:lvl>
  </w:abstractNum>
  <w:abstractNum w:abstractNumId="1">
    <w:nsid w:val="8EB4A332"/>
    <w:multiLevelType w:val="singleLevel"/>
    <w:tmpl w:val="8EB4A332"/>
    <w:lvl w:ilvl="0" w:tentative="0">
      <w:start w:val="1"/>
      <w:numFmt w:val="chineseCounting"/>
      <w:suff w:val="nothing"/>
      <w:lvlText w:val="%1、"/>
      <w:lvlJc w:val="left"/>
      <w:pPr>
        <w:ind w:left="0" w:firstLine="420"/>
      </w:pPr>
      <w:rPr>
        <w:rFonts w:hint="eastAsia"/>
      </w:rPr>
    </w:lvl>
  </w:abstractNum>
  <w:abstractNum w:abstractNumId="2">
    <w:nsid w:val="957F0E20"/>
    <w:multiLevelType w:val="singleLevel"/>
    <w:tmpl w:val="957F0E20"/>
    <w:lvl w:ilvl="0" w:tentative="0">
      <w:start w:val="1"/>
      <w:numFmt w:val="decimal"/>
      <w:lvlText w:val="%1、"/>
      <w:lvlJc w:val="left"/>
      <w:pPr>
        <w:tabs>
          <w:tab w:val="left" w:pos="420"/>
        </w:tabs>
        <w:ind w:left="425" w:hanging="425"/>
      </w:pPr>
      <w:rPr>
        <w:rFonts w:hint="default"/>
      </w:rPr>
    </w:lvl>
  </w:abstractNum>
  <w:abstractNum w:abstractNumId="3">
    <w:nsid w:val="9B32AEB0"/>
    <w:multiLevelType w:val="singleLevel"/>
    <w:tmpl w:val="9B32AEB0"/>
    <w:lvl w:ilvl="0" w:tentative="0">
      <w:start w:val="1"/>
      <w:numFmt w:val="decimal"/>
      <w:lvlText w:val="%1、"/>
      <w:lvlJc w:val="left"/>
      <w:pPr>
        <w:tabs>
          <w:tab w:val="left" w:pos="420"/>
        </w:tabs>
        <w:ind w:left="425" w:hanging="425"/>
      </w:pPr>
      <w:rPr>
        <w:rFonts w:hint="default"/>
      </w:rPr>
    </w:lvl>
  </w:abstractNum>
  <w:abstractNum w:abstractNumId="4">
    <w:nsid w:val="B0072DF2"/>
    <w:multiLevelType w:val="singleLevel"/>
    <w:tmpl w:val="B0072DF2"/>
    <w:lvl w:ilvl="0" w:tentative="0">
      <w:start w:val="1"/>
      <w:numFmt w:val="chineseCounting"/>
      <w:suff w:val="nothing"/>
      <w:lvlText w:val="%1、"/>
      <w:lvlJc w:val="left"/>
      <w:pPr>
        <w:ind w:left="0" w:firstLine="420"/>
      </w:pPr>
      <w:rPr>
        <w:rFonts w:hint="eastAsia"/>
      </w:rPr>
    </w:lvl>
  </w:abstractNum>
  <w:abstractNum w:abstractNumId="5">
    <w:nsid w:val="B00B7CA3"/>
    <w:multiLevelType w:val="singleLevel"/>
    <w:tmpl w:val="B00B7CA3"/>
    <w:lvl w:ilvl="0" w:tentative="0">
      <w:start w:val="1"/>
      <w:numFmt w:val="chineseCounting"/>
      <w:suff w:val="nothing"/>
      <w:lvlText w:val="（%1）"/>
      <w:lvlJc w:val="left"/>
      <w:pPr>
        <w:ind w:left="0" w:firstLine="420"/>
      </w:pPr>
      <w:rPr>
        <w:rFonts w:hint="eastAsia"/>
      </w:rPr>
    </w:lvl>
  </w:abstractNum>
  <w:abstractNum w:abstractNumId="6">
    <w:nsid w:val="B4C42A03"/>
    <w:multiLevelType w:val="singleLevel"/>
    <w:tmpl w:val="B4C42A03"/>
    <w:lvl w:ilvl="0" w:tentative="0">
      <w:start w:val="1"/>
      <w:numFmt w:val="decimal"/>
      <w:suff w:val="nothing"/>
      <w:lvlText w:val="%1、"/>
      <w:lvlJc w:val="left"/>
    </w:lvl>
  </w:abstractNum>
  <w:abstractNum w:abstractNumId="7">
    <w:nsid w:val="BBAD70B9"/>
    <w:multiLevelType w:val="singleLevel"/>
    <w:tmpl w:val="BBAD70B9"/>
    <w:lvl w:ilvl="0" w:tentative="0">
      <w:start w:val="1"/>
      <w:numFmt w:val="chineseCounting"/>
      <w:suff w:val="nothing"/>
      <w:lvlText w:val="%1、"/>
      <w:lvlJc w:val="left"/>
      <w:pPr>
        <w:ind w:left="0" w:firstLine="420"/>
      </w:pPr>
      <w:rPr>
        <w:rFonts w:hint="eastAsia"/>
      </w:rPr>
    </w:lvl>
  </w:abstractNum>
  <w:abstractNum w:abstractNumId="8">
    <w:nsid w:val="BBEC8DE1"/>
    <w:multiLevelType w:val="singleLevel"/>
    <w:tmpl w:val="BBEC8DE1"/>
    <w:lvl w:ilvl="0" w:tentative="0">
      <w:start w:val="1"/>
      <w:numFmt w:val="decimal"/>
      <w:suff w:val="nothing"/>
      <w:lvlText w:val="%1、"/>
      <w:lvlJc w:val="left"/>
    </w:lvl>
  </w:abstractNum>
  <w:abstractNum w:abstractNumId="9">
    <w:nsid w:val="BD30033E"/>
    <w:multiLevelType w:val="singleLevel"/>
    <w:tmpl w:val="BD30033E"/>
    <w:lvl w:ilvl="0" w:tentative="0">
      <w:start w:val="1"/>
      <w:numFmt w:val="decimal"/>
      <w:suff w:val="nothing"/>
      <w:lvlText w:val="%1、"/>
      <w:lvlJc w:val="left"/>
    </w:lvl>
  </w:abstractNum>
  <w:abstractNum w:abstractNumId="10">
    <w:nsid w:val="C229EA09"/>
    <w:multiLevelType w:val="singleLevel"/>
    <w:tmpl w:val="C229EA09"/>
    <w:lvl w:ilvl="0" w:tentative="0">
      <w:start w:val="1"/>
      <w:numFmt w:val="chineseCounting"/>
      <w:suff w:val="nothing"/>
      <w:lvlText w:val="（%1）"/>
      <w:lvlJc w:val="left"/>
      <w:pPr>
        <w:ind w:left="0" w:firstLine="420"/>
      </w:pPr>
      <w:rPr>
        <w:rFonts w:hint="eastAsia"/>
      </w:rPr>
    </w:lvl>
  </w:abstractNum>
  <w:abstractNum w:abstractNumId="11">
    <w:nsid w:val="CC0459BB"/>
    <w:multiLevelType w:val="singleLevel"/>
    <w:tmpl w:val="CC0459BB"/>
    <w:lvl w:ilvl="0" w:tentative="0">
      <w:start w:val="1"/>
      <w:numFmt w:val="decimal"/>
      <w:lvlText w:val="%1、"/>
      <w:lvlJc w:val="left"/>
      <w:pPr>
        <w:tabs>
          <w:tab w:val="left" w:pos="420"/>
        </w:tabs>
        <w:ind w:left="425" w:hanging="425"/>
      </w:pPr>
      <w:rPr>
        <w:rFonts w:hint="default"/>
      </w:rPr>
    </w:lvl>
  </w:abstractNum>
  <w:abstractNum w:abstractNumId="12">
    <w:nsid w:val="CF446472"/>
    <w:multiLevelType w:val="singleLevel"/>
    <w:tmpl w:val="CF446472"/>
    <w:lvl w:ilvl="0" w:tentative="0">
      <w:start w:val="1"/>
      <w:numFmt w:val="decimal"/>
      <w:lvlText w:val="%1、"/>
      <w:lvlJc w:val="left"/>
      <w:pPr>
        <w:tabs>
          <w:tab w:val="left" w:pos="420"/>
        </w:tabs>
        <w:ind w:left="425" w:hanging="425"/>
      </w:pPr>
      <w:rPr>
        <w:rFonts w:hint="default"/>
      </w:rPr>
    </w:lvl>
  </w:abstractNum>
  <w:abstractNum w:abstractNumId="13">
    <w:nsid w:val="D733F378"/>
    <w:multiLevelType w:val="singleLevel"/>
    <w:tmpl w:val="D733F378"/>
    <w:lvl w:ilvl="0" w:tentative="0">
      <w:start w:val="1"/>
      <w:numFmt w:val="chineseCounting"/>
      <w:suff w:val="nothing"/>
      <w:lvlText w:val="%1、"/>
      <w:lvlJc w:val="left"/>
      <w:pPr>
        <w:ind w:left="0" w:firstLine="420"/>
      </w:pPr>
      <w:rPr>
        <w:rFonts w:hint="eastAsia"/>
      </w:rPr>
    </w:lvl>
  </w:abstractNum>
  <w:abstractNum w:abstractNumId="14">
    <w:nsid w:val="DCC18943"/>
    <w:multiLevelType w:val="singleLevel"/>
    <w:tmpl w:val="DCC18943"/>
    <w:lvl w:ilvl="0" w:tentative="0">
      <w:start w:val="1"/>
      <w:numFmt w:val="chineseCounting"/>
      <w:suff w:val="nothing"/>
      <w:lvlText w:val="%1、"/>
      <w:lvlJc w:val="left"/>
      <w:pPr>
        <w:ind w:left="0" w:firstLine="420"/>
      </w:pPr>
      <w:rPr>
        <w:rFonts w:hint="eastAsia"/>
      </w:rPr>
    </w:lvl>
  </w:abstractNum>
  <w:abstractNum w:abstractNumId="15">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16">
    <w:nsid w:val="E714C15B"/>
    <w:multiLevelType w:val="singleLevel"/>
    <w:tmpl w:val="E714C15B"/>
    <w:lvl w:ilvl="0" w:tentative="0">
      <w:start w:val="1"/>
      <w:numFmt w:val="decimal"/>
      <w:lvlText w:val="%1、"/>
      <w:lvlJc w:val="left"/>
      <w:pPr>
        <w:tabs>
          <w:tab w:val="left" w:pos="420"/>
        </w:tabs>
        <w:ind w:left="425" w:hanging="425"/>
      </w:pPr>
      <w:rPr>
        <w:rFonts w:hint="default"/>
      </w:rPr>
    </w:lvl>
  </w:abstractNum>
  <w:abstractNum w:abstractNumId="17">
    <w:nsid w:val="E9A41E8D"/>
    <w:multiLevelType w:val="singleLevel"/>
    <w:tmpl w:val="E9A41E8D"/>
    <w:lvl w:ilvl="0" w:tentative="0">
      <w:start w:val="1"/>
      <w:numFmt w:val="decimal"/>
      <w:lvlText w:val="(%1)"/>
      <w:lvlJc w:val="left"/>
      <w:pPr>
        <w:ind w:left="425" w:hanging="425"/>
      </w:pPr>
      <w:rPr>
        <w:rFonts w:hint="default"/>
      </w:rPr>
    </w:lvl>
  </w:abstractNum>
  <w:abstractNum w:abstractNumId="18">
    <w:nsid w:val="EB83EEDC"/>
    <w:multiLevelType w:val="singleLevel"/>
    <w:tmpl w:val="EB83EEDC"/>
    <w:lvl w:ilvl="0" w:tentative="0">
      <w:start w:val="1"/>
      <w:numFmt w:val="decimal"/>
      <w:lvlText w:val="%1、"/>
      <w:lvlJc w:val="left"/>
      <w:pPr>
        <w:tabs>
          <w:tab w:val="left" w:pos="420"/>
        </w:tabs>
        <w:ind w:left="425" w:hanging="425"/>
      </w:pPr>
      <w:rPr>
        <w:rFonts w:hint="default"/>
        <w:b w:val="0"/>
        <w:bCs w:val="0"/>
      </w:rPr>
    </w:lvl>
  </w:abstractNum>
  <w:abstractNum w:abstractNumId="19">
    <w:nsid w:val="EBEDFF05"/>
    <w:multiLevelType w:val="singleLevel"/>
    <w:tmpl w:val="EBEDFF05"/>
    <w:lvl w:ilvl="0" w:tentative="0">
      <w:start w:val="1"/>
      <w:numFmt w:val="chineseCounting"/>
      <w:suff w:val="nothing"/>
      <w:lvlText w:val="%1、"/>
      <w:lvlJc w:val="left"/>
      <w:pPr>
        <w:ind w:left="0" w:firstLine="420"/>
      </w:pPr>
      <w:rPr>
        <w:rFonts w:hint="eastAsia"/>
      </w:rPr>
    </w:lvl>
  </w:abstractNum>
  <w:abstractNum w:abstractNumId="20">
    <w:nsid w:val="EDBAF950"/>
    <w:multiLevelType w:val="singleLevel"/>
    <w:tmpl w:val="EDBAF950"/>
    <w:lvl w:ilvl="0" w:tentative="0">
      <w:start w:val="1"/>
      <w:numFmt w:val="chineseCounting"/>
      <w:suff w:val="nothing"/>
      <w:lvlText w:val="（%1）"/>
      <w:lvlJc w:val="left"/>
      <w:pPr>
        <w:ind w:left="0" w:firstLine="420"/>
      </w:pPr>
      <w:rPr>
        <w:rFonts w:hint="eastAsia"/>
      </w:rPr>
    </w:lvl>
  </w:abstractNum>
  <w:abstractNum w:abstractNumId="21">
    <w:nsid w:val="F8FC6419"/>
    <w:multiLevelType w:val="singleLevel"/>
    <w:tmpl w:val="F8FC6419"/>
    <w:lvl w:ilvl="0" w:tentative="0">
      <w:start w:val="1"/>
      <w:numFmt w:val="decimal"/>
      <w:lvlText w:val="%1、"/>
      <w:lvlJc w:val="left"/>
      <w:pPr>
        <w:tabs>
          <w:tab w:val="left" w:pos="420"/>
        </w:tabs>
        <w:ind w:left="425" w:hanging="425"/>
      </w:pPr>
      <w:rPr>
        <w:rFonts w:hint="default"/>
      </w:rPr>
    </w:lvl>
  </w:abstractNum>
  <w:abstractNum w:abstractNumId="22">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3">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1276"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24">
    <w:nsid w:val="00092135"/>
    <w:multiLevelType w:val="singleLevel"/>
    <w:tmpl w:val="00092135"/>
    <w:lvl w:ilvl="0" w:tentative="0">
      <w:start w:val="1"/>
      <w:numFmt w:val="chineseCounting"/>
      <w:suff w:val="nothing"/>
      <w:lvlText w:val="（%1）"/>
      <w:lvlJc w:val="left"/>
      <w:pPr>
        <w:ind w:left="0" w:firstLine="420"/>
      </w:pPr>
      <w:rPr>
        <w:rFonts w:hint="eastAsia"/>
      </w:rPr>
    </w:lvl>
  </w:abstractNum>
  <w:abstractNum w:abstractNumId="25">
    <w:nsid w:val="05F94F41"/>
    <w:multiLevelType w:val="singleLevel"/>
    <w:tmpl w:val="05F94F41"/>
    <w:lvl w:ilvl="0" w:tentative="0">
      <w:start w:val="1"/>
      <w:numFmt w:val="chineseCounting"/>
      <w:suff w:val="nothing"/>
      <w:lvlText w:val="%1、"/>
      <w:lvlJc w:val="left"/>
      <w:pPr>
        <w:ind w:left="0" w:firstLine="420"/>
      </w:pPr>
      <w:rPr>
        <w:rFonts w:hint="eastAsia"/>
      </w:rPr>
    </w:lvl>
  </w:abstractNum>
  <w:abstractNum w:abstractNumId="26">
    <w:nsid w:val="08C8ED71"/>
    <w:multiLevelType w:val="singleLevel"/>
    <w:tmpl w:val="08C8ED71"/>
    <w:lvl w:ilvl="0" w:tentative="0">
      <w:start w:val="1"/>
      <w:numFmt w:val="decimal"/>
      <w:lvlText w:val="%1、"/>
      <w:lvlJc w:val="left"/>
      <w:pPr>
        <w:tabs>
          <w:tab w:val="left" w:pos="420"/>
        </w:tabs>
        <w:ind w:left="425" w:hanging="425"/>
      </w:pPr>
      <w:rPr>
        <w:rFonts w:hint="default"/>
      </w:rPr>
    </w:lvl>
  </w:abstractNum>
  <w:abstractNum w:abstractNumId="27">
    <w:nsid w:val="0A92227D"/>
    <w:multiLevelType w:val="multilevel"/>
    <w:tmpl w:val="0A92227D"/>
    <w:lvl w:ilvl="0" w:tentative="0">
      <w:start w:val="1"/>
      <w:numFmt w:val="bullet"/>
      <w:pStyle w:val="110"/>
      <w:lvlText w:val=""/>
      <w:lvlJc w:val="left"/>
      <w:pPr>
        <w:ind w:left="900" w:hanging="420"/>
      </w:pPr>
      <w:rPr>
        <w:rFonts w:hint="default" w:ascii="Wingdings" w:hAnsi="Wingdings"/>
      </w:rPr>
    </w:lvl>
    <w:lvl w:ilvl="1" w:tentative="0">
      <w:start w:val="1"/>
      <w:numFmt w:val="bullet"/>
      <w:pStyle w:val="109"/>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8">
    <w:nsid w:val="0C019D17"/>
    <w:multiLevelType w:val="singleLevel"/>
    <w:tmpl w:val="0C019D17"/>
    <w:lvl w:ilvl="0" w:tentative="0">
      <w:start w:val="1"/>
      <w:numFmt w:val="decimal"/>
      <w:lvlText w:val="%1、"/>
      <w:lvlJc w:val="left"/>
      <w:pPr>
        <w:tabs>
          <w:tab w:val="left" w:pos="420"/>
        </w:tabs>
        <w:ind w:left="425" w:hanging="425"/>
      </w:pPr>
      <w:rPr>
        <w:rFonts w:hint="default"/>
      </w:rPr>
    </w:lvl>
  </w:abstractNum>
  <w:abstractNum w:abstractNumId="29">
    <w:nsid w:val="0D2E85B1"/>
    <w:multiLevelType w:val="singleLevel"/>
    <w:tmpl w:val="0D2E85B1"/>
    <w:lvl w:ilvl="0" w:tentative="0">
      <w:start w:val="1"/>
      <w:numFmt w:val="decimal"/>
      <w:suff w:val="nothing"/>
      <w:lvlText w:val="%1、"/>
      <w:lvlJc w:val="left"/>
    </w:lvl>
  </w:abstractNum>
  <w:abstractNum w:abstractNumId="30">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1">
    <w:nsid w:val="0E3FFB6D"/>
    <w:multiLevelType w:val="singleLevel"/>
    <w:tmpl w:val="0E3FFB6D"/>
    <w:lvl w:ilvl="0" w:tentative="0">
      <w:start w:val="1"/>
      <w:numFmt w:val="decimal"/>
      <w:lvlText w:val="(%1)"/>
      <w:lvlJc w:val="left"/>
      <w:pPr>
        <w:ind w:left="425" w:hanging="425"/>
      </w:pPr>
      <w:rPr>
        <w:rFonts w:hint="default"/>
      </w:rPr>
    </w:lvl>
  </w:abstractNum>
  <w:abstractNum w:abstractNumId="32">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8"/>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9"/>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1441DAFC"/>
    <w:multiLevelType w:val="singleLevel"/>
    <w:tmpl w:val="1441DAFC"/>
    <w:lvl w:ilvl="0" w:tentative="0">
      <w:start w:val="1"/>
      <w:numFmt w:val="chineseCounting"/>
      <w:suff w:val="nothing"/>
      <w:lvlText w:val="（%1）"/>
      <w:lvlJc w:val="left"/>
      <w:pPr>
        <w:ind w:left="0" w:firstLine="420"/>
      </w:pPr>
      <w:rPr>
        <w:rFonts w:hint="eastAsia"/>
      </w:rPr>
    </w:lvl>
  </w:abstractNum>
  <w:abstractNum w:abstractNumId="34">
    <w:nsid w:val="1517B247"/>
    <w:multiLevelType w:val="singleLevel"/>
    <w:tmpl w:val="1517B247"/>
    <w:lvl w:ilvl="0" w:tentative="0">
      <w:start w:val="3"/>
      <w:numFmt w:val="decimal"/>
      <w:lvlText w:val="%1."/>
      <w:lvlJc w:val="left"/>
      <w:pPr>
        <w:tabs>
          <w:tab w:val="left" w:pos="312"/>
        </w:tabs>
      </w:pPr>
    </w:lvl>
  </w:abstractNum>
  <w:abstractNum w:abstractNumId="35">
    <w:nsid w:val="1D059160"/>
    <w:multiLevelType w:val="singleLevel"/>
    <w:tmpl w:val="1D059160"/>
    <w:lvl w:ilvl="0" w:tentative="0">
      <w:start w:val="1"/>
      <w:numFmt w:val="chineseCounting"/>
      <w:suff w:val="nothing"/>
      <w:lvlText w:val="（%1）"/>
      <w:lvlJc w:val="left"/>
      <w:pPr>
        <w:ind w:left="0" w:firstLine="420"/>
      </w:pPr>
      <w:rPr>
        <w:rFonts w:hint="eastAsia"/>
      </w:rPr>
    </w:lvl>
  </w:abstractNum>
  <w:abstractNum w:abstractNumId="36">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4"/>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37">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3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882EC5E"/>
    <w:multiLevelType w:val="singleLevel"/>
    <w:tmpl w:val="3882EC5E"/>
    <w:lvl w:ilvl="0" w:tentative="0">
      <w:start w:val="1"/>
      <w:numFmt w:val="chineseCounting"/>
      <w:suff w:val="nothing"/>
      <w:lvlText w:val="%1、"/>
      <w:lvlJc w:val="left"/>
      <w:pPr>
        <w:ind w:left="0" w:firstLine="420"/>
      </w:pPr>
      <w:rPr>
        <w:rFonts w:hint="eastAsia"/>
      </w:rPr>
    </w:lvl>
  </w:abstractNum>
  <w:abstractNum w:abstractNumId="41">
    <w:nsid w:val="3A27E0B2"/>
    <w:multiLevelType w:val="singleLevel"/>
    <w:tmpl w:val="3A27E0B2"/>
    <w:lvl w:ilvl="0" w:tentative="0">
      <w:start w:val="1"/>
      <w:numFmt w:val="chineseCounting"/>
      <w:suff w:val="nothing"/>
      <w:lvlText w:val="%1、"/>
      <w:lvlJc w:val="left"/>
      <w:pPr>
        <w:ind w:left="0" w:firstLine="420"/>
      </w:pPr>
      <w:rPr>
        <w:rFonts w:hint="eastAsia"/>
      </w:rPr>
    </w:lvl>
  </w:abstractNum>
  <w:abstractNum w:abstractNumId="4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3">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4"/>
        <w:szCs w:val="24"/>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45">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6">
    <w:nsid w:val="50C55B20"/>
    <w:multiLevelType w:val="singleLevel"/>
    <w:tmpl w:val="50C55B20"/>
    <w:lvl w:ilvl="0" w:tentative="0">
      <w:start w:val="1"/>
      <w:numFmt w:val="decimal"/>
      <w:lvlText w:val="%1、"/>
      <w:lvlJc w:val="left"/>
      <w:pPr>
        <w:tabs>
          <w:tab w:val="left" w:pos="420"/>
        </w:tabs>
        <w:ind w:left="425" w:hanging="425"/>
      </w:pPr>
      <w:rPr>
        <w:rFonts w:hint="default"/>
      </w:rPr>
    </w:lvl>
  </w:abstractNum>
  <w:abstractNum w:abstractNumId="47">
    <w:nsid w:val="50D371C0"/>
    <w:multiLevelType w:val="singleLevel"/>
    <w:tmpl w:val="50D371C0"/>
    <w:lvl w:ilvl="0" w:tentative="0">
      <w:start w:val="1"/>
      <w:numFmt w:val="chineseCounting"/>
      <w:suff w:val="nothing"/>
      <w:lvlText w:val="（%1）"/>
      <w:lvlJc w:val="left"/>
      <w:pPr>
        <w:ind w:left="0" w:firstLine="420"/>
      </w:pPr>
      <w:rPr>
        <w:rFonts w:hint="eastAsia"/>
      </w:rPr>
    </w:lvl>
  </w:abstractNum>
  <w:abstractNum w:abstractNumId="48">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49">
    <w:nsid w:val="5508678B"/>
    <w:multiLevelType w:val="multilevel"/>
    <w:tmpl w:val="5508678B"/>
    <w:lvl w:ilvl="0" w:tentative="0">
      <w:start w:val="1"/>
      <w:numFmt w:val="decimal"/>
      <w:pStyle w:val="7"/>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0">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51">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52">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53">
    <w:nsid w:val="58F5EE34"/>
    <w:multiLevelType w:val="singleLevel"/>
    <w:tmpl w:val="58F5EE34"/>
    <w:lvl w:ilvl="0" w:tentative="0">
      <w:start w:val="3"/>
      <w:numFmt w:val="chineseCounting"/>
      <w:suff w:val="nothing"/>
      <w:lvlText w:val="%1、"/>
      <w:lvlJc w:val="left"/>
    </w:lvl>
  </w:abstractNum>
  <w:abstractNum w:abstractNumId="54">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55">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56">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57">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58">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59">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60">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61">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62">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63">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64">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65">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66">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67">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8">
    <w:nsid w:val="75F7E079"/>
    <w:multiLevelType w:val="singleLevel"/>
    <w:tmpl w:val="75F7E079"/>
    <w:lvl w:ilvl="0" w:tentative="0">
      <w:start w:val="1"/>
      <w:numFmt w:val="decimal"/>
      <w:suff w:val="nothing"/>
      <w:lvlText w:val="%1、"/>
      <w:lvlJc w:val="left"/>
    </w:lvl>
  </w:abstractNum>
  <w:abstractNum w:abstractNumId="69">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23"/>
  </w:num>
  <w:num w:numId="2">
    <w:abstractNumId w:val="49"/>
  </w:num>
  <w:num w:numId="3">
    <w:abstractNumId w:val="32"/>
  </w:num>
  <w:num w:numId="4">
    <w:abstractNumId w:val="42"/>
  </w:num>
  <w:num w:numId="5">
    <w:abstractNumId w:val="36"/>
  </w:num>
  <w:num w:numId="6">
    <w:abstractNumId w:val="27"/>
  </w:num>
  <w:num w:numId="7">
    <w:abstractNumId w:val="37"/>
  </w:num>
  <w:num w:numId="8">
    <w:abstractNumId w:val="35"/>
  </w:num>
  <w:num w:numId="9">
    <w:abstractNumId w:val="20"/>
  </w:num>
  <w:num w:numId="10">
    <w:abstractNumId w:val="28"/>
  </w:num>
  <w:num w:numId="11">
    <w:abstractNumId w:val="46"/>
  </w:num>
  <w:num w:numId="12">
    <w:abstractNumId w:val="18"/>
  </w:num>
  <w:num w:numId="13">
    <w:abstractNumId w:val="48"/>
  </w:num>
  <w:num w:numId="14">
    <w:abstractNumId w:val="12"/>
  </w:num>
  <w:num w:numId="15">
    <w:abstractNumId w:val="11"/>
  </w:num>
  <w:num w:numId="16">
    <w:abstractNumId w:val="2"/>
  </w:num>
  <w:num w:numId="17">
    <w:abstractNumId w:val="3"/>
  </w:num>
  <w:num w:numId="18">
    <w:abstractNumId w:val="50"/>
  </w:num>
  <w:num w:numId="19">
    <w:abstractNumId w:val="51"/>
  </w:num>
  <w:num w:numId="20">
    <w:abstractNumId w:val="14"/>
  </w:num>
  <w:num w:numId="21">
    <w:abstractNumId w:val="5"/>
  </w:num>
  <w:num w:numId="22">
    <w:abstractNumId w:val="0"/>
  </w:num>
  <w:num w:numId="23">
    <w:abstractNumId w:val="4"/>
  </w:num>
  <w:num w:numId="24">
    <w:abstractNumId w:val="54"/>
  </w:num>
  <w:num w:numId="25">
    <w:abstractNumId w:val="52"/>
  </w:num>
  <w:num w:numId="26">
    <w:abstractNumId w:val="61"/>
  </w:num>
  <w:num w:numId="27">
    <w:abstractNumId w:val="62"/>
  </w:num>
  <w:num w:numId="28">
    <w:abstractNumId w:val="44"/>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64"/>
  </w:num>
  <w:num w:numId="32">
    <w:abstractNumId w:val="40"/>
  </w:num>
  <w:num w:numId="33">
    <w:abstractNumId w:val="33"/>
  </w:num>
  <w:num w:numId="34">
    <w:abstractNumId w:val="22"/>
  </w:num>
  <w:num w:numId="35">
    <w:abstractNumId w:val="7"/>
  </w:num>
  <w:num w:numId="36">
    <w:abstractNumId w:val="21"/>
  </w:num>
  <w:num w:numId="37">
    <w:abstractNumId w:val="31"/>
  </w:num>
  <w:num w:numId="38">
    <w:abstractNumId w:val="17"/>
  </w:num>
  <w:num w:numId="39">
    <w:abstractNumId w:val="1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8"/>
  </w:num>
  <w:num w:numId="43">
    <w:abstractNumId w:val="26"/>
  </w:num>
  <w:num w:numId="44">
    <w:abstractNumId w:val="55"/>
  </w:num>
  <w:num w:numId="45">
    <w:abstractNumId w:val="30"/>
  </w:num>
  <w:num w:numId="46">
    <w:abstractNumId w:val="25"/>
  </w:num>
  <w:num w:numId="47">
    <w:abstractNumId w:val="65"/>
  </w:num>
  <w:num w:numId="48">
    <w:abstractNumId w:val="56"/>
  </w:num>
  <w:num w:numId="49">
    <w:abstractNumId w:val="63"/>
  </w:num>
  <w:num w:numId="50">
    <w:abstractNumId w:val="57"/>
  </w:num>
  <w:num w:numId="51">
    <w:abstractNumId w:val="58"/>
  </w:num>
  <w:num w:numId="52">
    <w:abstractNumId w:val="59"/>
  </w:num>
  <w:num w:numId="53">
    <w:abstractNumId w:val="60"/>
  </w:num>
  <w:num w:numId="54">
    <w:abstractNumId w:val="66"/>
  </w:num>
  <w:num w:numId="55">
    <w:abstractNumId w:val="41"/>
  </w:num>
  <w:num w:numId="56">
    <w:abstractNumId w:val="24"/>
  </w:num>
  <w:num w:numId="57">
    <w:abstractNumId w:val="10"/>
  </w:num>
  <w:num w:numId="58">
    <w:abstractNumId w:val="1"/>
  </w:num>
  <w:num w:numId="59">
    <w:abstractNumId w:val="13"/>
  </w:num>
  <w:num w:numId="60">
    <w:abstractNumId w:val="19"/>
  </w:num>
  <w:num w:numId="61">
    <w:abstractNumId w:val="39"/>
  </w:num>
  <w:num w:numId="62">
    <w:abstractNumId w:val="67"/>
  </w:num>
  <w:num w:numId="63">
    <w:abstractNumId w:val="9"/>
  </w:num>
  <w:num w:numId="64">
    <w:abstractNumId w:val="6"/>
  </w:num>
  <w:num w:numId="65">
    <w:abstractNumId w:val="68"/>
  </w:num>
  <w:num w:numId="66">
    <w:abstractNumId w:val="43"/>
  </w:num>
  <w:num w:numId="67">
    <w:abstractNumId w:val="47"/>
  </w:num>
  <w:num w:numId="68">
    <w:abstractNumId w:val="16"/>
  </w:num>
  <w:num w:numId="69">
    <w:abstractNumId w:val="29"/>
  </w:num>
  <w:num w:numId="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3F26"/>
    <w:rsid w:val="00045BA4"/>
    <w:rsid w:val="00055169"/>
    <w:rsid w:val="00055794"/>
    <w:rsid w:val="00061C52"/>
    <w:rsid w:val="000667CF"/>
    <w:rsid w:val="00074CEE"/>
    <w:rsid w:val="00075310"/>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02C2"/>
    <w:rsid w:val="001D6EF5"/>
    <w:rsid w:val="001D7496"/>
    <w:rsid w:val="001D7BB7"/>
    <w:rsid w:val="001E0F23"/>
    <w:rsid w:val="001E13DC"/>
    <w:rsid w:val="001F61ED"/>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C3616"/>
    <w:rsid w:val="002D6267"/>
    <w:rsid w:val="002E141F"/>
    <w:rsid w:val="002E4181"/>
    <w:rsid w:val="002F0EE6"/>
    <w:rsid w:val="003058EC"/>
    <w:rsid w:val="00314467"/>
    <w:rsid w:val="003160AF"/>
    <w:rsid w:val="003178B1"/>
    <w:rsid w:val="00325380"/>
    <w:rsid w:val="00333938"/>
    <w:rsid w:val="0033632F"/>
    <w:rsid w:val="00346C55"/>
    <w:rsid w:val="0034767F"/>
    <w:rsid w:val="00362298"/>
    <w:rsid w:val="003774FC"/>
    <w:rsid w:val="003965F5"/>
    <w:rsid w:val="003A2987"/>
    <w:rsid w:val="003C07AF"/>
    <w:rsid w:val="003C0D43"/>
    <w:rsid w:val="003D21FA"/>
    <w:rsid w:val="003D2C73"/>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A62A2"/>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A429F"/>
    <w:rsid w:val="005B13D8"/>
    <w:rsid w:val="005B7ABE"/>
    <w:rsid w:val="005C208D"/>
    <w:rsid w:val="005C44A8"/>
    <w:rsid w:val="005D3BEF"/>
    <w:rsid w:val="005D7CC8"/>
    <w:rsid w:val="005E60E9"/>
    <w:rsid w:val="005E6160"/>
    <w:rsid w:val="00612D54"/>
    <w:rsid w:val="006169F3"/>
    <w:rsid w:val="00616A25"/>
    <w:rsid w:val="00617899"/>
    <w:rsid w:val="00617E86"/>
    <w:rsid w:val="006346E7"/>
    <w:rsid w:val="0063536B"/>
    <w:rsid w:val="00635629"/>
    <w:rsid w:val="006369E6"/>
    <w:rsid w:val="006379BE"/>
    <w:rsid w:val="00646AB5"/>
    <w:rsid w:val="0064771F"/>
    <w:rsid w:val="006554E9"/>
    <w:rsid w:val="0066180B"/>
    <w:rsid w:val="00665045"/>
    <w:rsid w:val="006707FF"/>
    <w:rsid w:val="006718A4"/>
    <w:rsid w:val="00675834"/>
    <w:rsid w:val="00695918"/>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246BD"/>
    <w:rsid w:val="00730040"/>
    <w:rsid w:val="007325EA"/>
    <w:rsid w:val="00751DFF"/>
    <w:rsid w:val="007678FD"/>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65803"/>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97872"/>
    <w:rsid w:val="009A02F7"/>
    <w:rsid w:val="009A0B51"/>
    <w:rsid w:val="009C245C"/>
    <w:rsid w:val="009D11CA"/>
    <w:rsid w:val="009E4AB2"/>
    <w:rsid w:val="009F32B0"/>
    <w:rsid w:val="00A20EC6"/>
    <w:rsid w:val="00A37269"/>
    <w:rsid w:val="00A6184A"/>
    <w:rsid w:val="00A64782"/>
    <w:rsid w:val="00A66972"/>
    <w:rsid w:val="00A77693"/>
    <w:rsid w:val="00A83343"/>
    <w:rsid w:val="00A83E16"/>
    <w:rsid w:val="00A8583B"/>
    <w:rsid w:val="00A9073A"/>
    <w:rsid w:val="00A94952"/>
    <w:rsid w:val="00AA37F4"/>
    <w:rsid w:val="00AA441A"/>
    <w:rsid w:val="00AA60D9"/>
    <w:rsid w:val="00AA6897"/>
    <w:rsid w:val="00AB353A"/>
    <w:rsid w:val="00AB37D7"/>
    <w:rsid w:val="00AB5750"/>
    <w:rsid w:val="00AC12CA"/>
    <w:rsid w:val="00AC4A8C"/>
    <w:rsid w:val="00AD387B"/>
    <w:rsid w:val="00AD4678"/>
    <w:rsid w:val="00AE71C2"/>
    <w:rsid w:val="00B06F60"/>
    <w:rsid w:val="00B1744C"/>
    <w:rsid w:val="00B332B5"/>
    <w:rsid w:val="00B42AC7"/>
    <w:rsid w:val="00B43923"/>
    <w:rsid w:val="00B50417"/>
    <w:rsid w:val="00B51787"/>
    <w:rsid w:val="00B66ACE"/>
    <w:rsid w:val="00B77D65"/>
    <w:rsid w:val="00B85969"/>
    <w:rsid w:val="00B93DCC"/>
    <w:rsid w:val="00BA7681"/>
    <w:rsid w:val="00BB18AA"/>
    <w:rsid w:val="00BB41F8"/>
    <w:rsid w:val="00BB6E37"/>
    <w:rsid w:val="00BC3A56"/>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D5FC0"/>
    <w:rsid w:val="00CE61A7"/>
    <w:rsid w:val="00CE6C18"/>
    <w:rsid w:val="00CF1FCF"/>
    <w:rsid w:val="00D0292C"/>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8C5"/>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533F2"/>
    <w:rsid w:val="00E608E9"/>
    <w:rsid w:val="00E62CF2"/>
    <w:rsid w:val="00E64704"/>
    <w:rsid w:val="00E856A1"/>
    <w:rsid w:val="00E86A48"/>
    <w:rsid w:val="00E87E16"/>
    <w:rsid w:val="00EA17C7"/>
    <w:rsid w:val="00EA3AE1"/>
    <w:rsid w:val="00EF00A2"/>
    <w:rsid w:val="00EF1BEE"/>
    <w:rsid w:val="00EF6B1F"/>
    <w:rsid w:val="00F0212D"/>
    <w:rsid w:val="00F0400D"/>
    <w:rsid w:val="00F1182F"/>
    <w:rsid w:val="00F12073"/>
    <w:rsid w:val="00F136D3"/>
    <w:rsid w:val="00F207F2"/>
    <w:rsid w:val="00F216E3"/>
    <w:rsid w:val="00F4137D"/>
    <w:rsid w:val="00F415D5"/>
    <w:rsid w:val="00F4400B"/>
    <w:rsid w:val="00F44ACA"/>
    <w:rsid w:val="00F45DAE"/>
    <w:rsid w:val="00F47DA2"/>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326B"/>
    <w:rsid w:val="00FD435B"/>
    <w:rsid w:val="00FD66D6"/>
    <w:rsid w:val="00FE02ED"/>
    <w:rsid w:val="00FF024F"/>
    <w:rsid w:val="010818F2"/>
    <w:rsid w:val="010D6586"/>
    <w:rsid w:val="01172D98"/>
    <w:rsid w:val="01253502"/>
    <w:rsid w:val="013A34D2"/>
    <w:rsid w:val="017C4C4A"/>
    <w:rsid w:val="018445B1"/>
    <w:rsid w:val="019845E5"/>
    <w:rsid w:val="01B0348D"/>
    <w:rsid w:val="01C1532E"/>
    <w:rsid w:val="01DC7096"/>
    <w:rsid w:val="01E2682C"/>
    <w:rsid w:val="020716AE"/>
    <w:rsid w:val="02184BF7"/>
    <w:rsid w:val="02302B24"/>
    <w:rsid w:val="02507A52"/>
    <w:rsid w:val="02596255"/>
    <w:rsid w:val="025E45AD"/>
    <w:rsid w:val="02632E79"/>
    <w:rsid w:val="028242D4"/>
    <w:rsid w:val="02B9172A"/>
    <w:rsid w:val="02DD68E2"/>
    <w:rsid w:val="02E9497F"/>
    <w:rsid w:val="02EA13E6"/>
    <w:rsid w:val="02F84083"/>
    <w:rsid w:val="030C0571"/>
    <w:rsid w:val="03164D3E"/>
    <w:rsid w:val="03352C55"/>
    <w:rsid w:val="03451B7A"/>
    <w:rsid w:val="03474196"/>
    <w:rsid w:val="03511D53"/>
    <w:rsid w:val="03766AE1"/>
    <w:rsid w:val="03A240C0"/>
    <w:rsid w:val="03E812EC"/>
    <w:rsid w:val="04346E96"/>
    <w:rsid w:val="043F1946"/>
    <w:rsid w:val="045B7DE7"/>
    <w:rsid w:val="04793E37"/>
    <w:rsid w:val="049A4A23"/>
    <w:rsid w:val="04CB1844"/>
    <w:rsid w:val="04D70CB5"/>
    <w:rsid w:val="04EA6A74"/>
    <w:rsid w:val="050D16BA"/>
    <w:rsid w:val="052A5A75"/>
    <w:rsid w:val="054A171F"/>
    <w:rsid w:val="055C340A"/>
    <w:rsid w:val="05625D31"/>
    <w:rsid w:val="058013F8"/>
    <w:rsid w:val="058B3782"/>
    <w:rsid w:val="0591421E"/>
    <w:rsid w:val="059A1517"/>
    <w:rsid w:val="05E71667"/>
    <w:rsid w:val="06273AC5"/>
    <w:rsid w:val="06701CF1"/>
    <w:rsid w:val="068E2877"/>
    <w:rsid w:val="06C40031"/>
    <w:rsid w:val="06C55BEF"/>
    <w:rsid w:val="06C62329"/>
    <w:rsid w:val="06CF3C7F"/>
    <w:rsid w:val="06E21332"/>
    <w:rsid w:val="07156F47"/>
    <w:rsid w:val="07310670"/>
    <w:rsid w:val="07487F64"/>
    <w:rsid w:val="074F1D72"/>
    <w:rsid w:val="07607573"/>
    <w:rsid w:val="07641B88"/>
    <w:rsid w:val="07744E46"/>
    <w:rsid w:val="079C6C34"/>
    <w:rsid w:val="07C17285"/>
    <w:rsid w:val="07DB2C35"/>
    <w:rsid w:val="07E464D4"/>
    <w:rsid w:val="07EB65E3"/>
    <w:rsid w:val="07EE7E7A"/>
    <w:rsid w:val="07F124E0"/>
    <w:rsid w:val="07FE3A66"/>
    <w:rsid w:val="082F71E8"/>
    <w:rsid w:val="083D5D50"/>
    <w:rsid w:val="084D34A3"/>
    <w:rsid w:val="08624F55"/>
    <w:rsid w:val="087D32AA"/>
    <w:rsid w:val="08947E10"/>
    <w:rsid w:val="089E3657"/>
    <w:rsid w:val="08AB3374"/>
    <w:rsid w:val="08B0644D"/>
    <w:rsid w:val="08BC2D67"/>
    <w:rsid w:val="08C14A52"/>
    <w:rsid w:val="08C35B2B"/>
    <w:rsid w:val="08C952FC"/>
    <w:rsid w:val="08DD3EDA"/>
    <w:rsid w:val="08E80A7C"/>
    <w:rsid w:val="08F91590"/>
    <w:rsid w:val="08FD1694"/>
    <w:rsid w:val="08FF7646"/>
    <w:rsid w:val="09195F9B"/>
    <w:rsid w:val="0938692D"/>
    <w:rsid w:val="0941133A"/>
    <w:rsid w:val="09416BFB"/>
    <w:rsid w:val="09423CB2"/>
    <w:rsid w:val="09492E2F"/>
    <w:rsid w:val="09551105"/>
    <w:rsid w:val="095C2644"/>
    <w:rsid w:val="09732BAA"/>
    <w:rsid w:val="09957E1A"/>
    <w:rsid w:val="099B7A84"/>
    <w:rsid w:val="09A00303"/>
    <w:rsid w:val="09AB0222"/>
    <w:rsid w:val="09AD23BE"/>
    <w:rsid w:val="09B124FA"/>
    <w:rsid w:val="09CD7056"/>
    <w:rsid w:val="09D83573"/>
    <w:rsid w:val="09D978BB"/>
    <w:rsid w:val="09EC0C7C"/>
    <w:rsid w:val="0A14574B"/>
    <w:rsid w:val="0A39670A"/>
    <w:rsid w:val="0A744052"/>
    <w:rsid w:val="0A8254DA"/>
    <w:rsid w:val="0A9C41F4"/>
    <w:rsid w:val="0AA862B1"/>
    <w:rsid w:val="0AAF104A"/>
    <w:rsid w:val="0AAF3E31"/>
    <w:rsid w:val="0AD02404"/>
    <w:rsid w:val="0ADE6EA2"/>
    <w:rsid w:val="0AED7139"/>
    <w:rsid w:val="0B151573"/>
    <w:rsid w:val="0B37683B"/>
    <w:rsid w:val="0B4A0AB1"/>
    <w:rsid w:val="0B67112F"/>
    <w:rsid w:val="0B6E3207"/>
    <w:rsid w:val="0B73301E"/>
    <w:rsid w:val="0B874FAC"/>
    <w:rsid w:val="0BAC0F2F"/>
    <w:rsid w:val="0C106DAE"/>
    <w:rsid w:val="0C1959E9"/>
    <w:rsid w:val="0C1D67C5"/>
    <w:rsid w:val="0C220AE9"/>
    <w:rsid w:val="0C316499"/>
    <w:rsid w:val="0C5E7EBA"/>
    <w:rsid w:val="0C643F71"/>
    <w:rsid w:val="0C7F7977"/>
    <w:rsid w:val="0CA777FB"/>
    <w:rsid w:val="0CB25156"/>
    <w:rsid w:val="0CC90ECA"/>
    <w:rsid w:val="0CF95E06"/>
    <w:rsid w:val="0CF970C7"/>
    <w:rsid w:val="0D3A0208"/>
    <w:rsid w:val="0D630663"/>
    <w:rsid w:val="0D772A74"/>
    <w:rsid w:val="0D7D3D59"/>
    <w:rsid w:val="0D827683"/>
    <w:rsid w:val="0D8619FC"/>
    <w:rsid w:val="0D915916"/>
    <w:rsid w:val="0D9E2320"/>
    <w:rsid w:val="0DD724F6"/>
    <w:rsid w:val="0DE05730"/>
    <w:rsid w:val="0DED2DE4"/>
    <w:rsid w:val="0DFB07CE"/>
    <w:rsid w:val="0E0004AA"/>
    <w:rsid w:val="0E0148DC"/>
    <w:rsid w:val="0E0A3926"/>
    <w:rsid w:val="0E1C168C"/>
    <w:rsid w:val="0E1C6CD1"/>
    <w:rsid w:val="0E2F361C"/>
    <w:rsid w:val="0E3C5788"/>
    <w:rsid w:val="0E8A0397"/>
    <w:rsid w:val="0E9B5032"/>
    <w:rsid w:val="0EA20E7A"/>
    <w:rsid w:val="0EA9317F"/>
    <w:rsid w:val="0EAF3D7B"/>
    <w:rsid w:val="0EB04E92"/>
    <w:rsid w:val="0ECB0ECB"/>
    <w:rsid w:val="0ECD2CA1"/>
    <w:rsid w:val="0ED80953"/>
    <w:rsid w:val="0EE47081"/>
    <w:rsid w:val="0EE923AC"/>
    <w:rsid w:val="0EF46447"/>
    <w:rsid w:val="0EFF300A"/>
    <w:rsid w:val="0F181FC8"/>
    <w:rsid w:val="0F204F7A"/>
    <w:rsid w:val="0F333702"/>
    <w:rsid w:val="0F401705"/>
    <w:rsid w:val="0F4E4E37"/>
    <w:rsid w:val="0F6D0D24"/>
    <w:rsid w:val="0F78333E"/>
    <w:rsid w:val="0F806FED"/>
    <w:rsid w:val="0F8D0BE8"/>
    <w:rsid w:val="0F900FC5"/>
    <w:rsid w:val="0FA91797"/>
    <w:rsid w:val="0FB33A4E"/>
    <w:rsid w:val="10126394"/>
    <w:rsid w:val="10197D6F"/>
    <w:rsid w:val="104C2A9E"/>
    <w:rsid w:val="107B4D2F"/>
    <w:rsid w:val="10975082"/>
    <w:rsid w:val="109C76CA"/>
    <w:rsid w:val="10C04DC5"/>
    <w:rsid w:val="10F748EC"/>
    <w:rsid w:val="10FF7F0B"/>
    <w:rsid w:val="11085F6F"/>
    <w:rsid w:val="11097388"/>
    <w:rsid w:val="110E0D9E"/>
    <w:rsid w:val="113907D3"/>
    <w:rsid w:val="113B63CB"/>
    <w:rsid w:val="11686758"/>
    <w:rsid w:val="116D5ED3"/>
    <w:rsid w:val="117B5CBE"/>
    <w:rsid w:val="118A1171"/>
    <w:rsid w:val="11957ACB"/>
    <w:rsid w:val="11985EF8"/>
    <w:rsid w:val="11C8127F"/>
    <w:rsid w:val="11E44062"/>
    <w:rsid w:val="11EB42EE"/>
    <w:rsid w:val="11F95B44"/>
    <w:rsid w:val="12187D95"/>
    <w:rsid w:val="122C300C"/>
    <w:rsid w:val="12345CE1"/>
    <w:rsid w:val="12443276"/>
    <w:rsid w:val="1252238F"/>
    <w:rsid w:val="125F5FB5"/>
    <w:rsid w:val="12A254E6"/>
    <w:rsid w:val="12A94F39"/>
    <w:rsid w:val="12B10A4C"/>
    <w:rsid w:val="12B130B4"/>
    <w:rsid w:val="12CF0A95"/>
    <w:rsid w:val="12DE1B3B"/>
    <w:rsid w:val="12E074C8"/>
    <w:rsid w:val="12E27BAC"/>
    <w:rsid w:val="12E76BDB"/>
    <w:rsid w:val="13133401"/>
    <w:rsid w:val="133C4B6D"/>
    <w:rsid w:val="134D4C40"/>
    <w:rsid w:val="13575E34"/>
    <w:rsid w:val="136900C9"/>
    <w:rsid w:val="13722F5D"/>
    <w:rsid w:val="139765D8"/>
    <w:rsid w:val="13A445CA"/>
    <w:rsid w:val="13DC39F1"/>
    <w:rsid w:val="13E27BAD"/>
    <w:rsid w:val="13E9682A"/>
    <w:rsid w:val="13F06832"/>
    <w:rsid w:val="13F516F1"/>
    <w:rsid w:val="13FB2D0D"/>
    <w:rsid w:val="14052EBB"/>
    <w:rsid w:val="14054B74"/>
    <w:rsid w:val="14305551"/>
    <w:rsid w:val="14331F87"/>
    <w:rsid w:val="143853F4"/>
    <w:rsid w:val="14386FD6"/>
    <w:rsid w:val="14432CB6"/>
    <w:rsid w:val="146035E6"/>
    <w:rsid w:val="146E3C1E"/>
    <w:rsid w:val="14C115D5"/>
    <w:rsid w:val="14CD6141"/>
    <w:rsid w:val="14DD4386"/>
    <w:rsid w:val="150B47D4"/>
    <w:rsid w:val="151017B0"/>
    <w:rsid w:val="1521731E"/>
    <w:rsid w:val="15225D1C"/>
    <w:rsid w:val="1545428F"/>
    <w:rsid w:val="15480EAF"/>
    <w:rsid w:val="156D64AB"/>
    <w:rsid w:val="1575221F"/>
    <w:rsid w:val="1580785E"/>
    <w:rsid w:val="1592432C"/>
    <w:rsid w:val="1593133A"/>
    <w:rsid w:val="15967133"/>
    <w:rsid w:val="15B86808"/>
    <w:rsid w:val="15BE6261"/>
    <w:rsid w:val="15D943E3"/>
    <w:rsid w:val="15F55D96"/>
    <w:rsid w:val="15F743BB"/>
    <w:rsid w:val="16011788"/>
    <w:rsid w:val="16145E18"/>
    <w:rsid w:val="161A2D22"/>
    <w:rsid w:val="162E6015"/>
    <w:rsid w:val="16300C8C"/>
    <w:rsid w:val="165D3CF8"/>
    <w:rsid w:val="16612092"/>
    <w:rsid w:val="1679399E"/>
    <w:rsid w:val="168122B3"/>
    <w:rsid w:val="16854C1F"/>
    <w:rsid w:val="1688674A"/>
    <w:rsid w:val="168F64AA"/>
    <w:rsid w:val="16D400EF"/>
    <w:rsid w:val="16DD42E0"/>
    <w:rsid w:val="16F9234C"/>
    <w:rsid w:val="170525F6"/>
    <w:rsid w:val="170F2880"/>
    <w:rsid w:val="17115465"/>
    <w:rsid w:val="17223771"/>
    <w:rsid w:val="17344D4B"/>
    <w:rsid w:val="176A554E"/>
    <w:rsid w:val="17884105"/>
    <w:rsid w:val="178E7A6B"/>
    <w:rsid w:val="179405EF"/>
    <w:rsid w:val="17A03426"/>
    <w:rsid w:val="17A70F3F"/>
    <w:rsid w:val="17AD26A7"/>
    <w:rsid w:val="17CB0F48"/>
    <w:rsid w:val="17D406F7"/>
    <w:rsid w:val="17D8322F"/>
    <w:rsid w:val="17E116B8"/>
    <w:rsid w:val="18042B05"/>
    <w:rsid w:val="18137C1B"/>
    <w:rsid w:val="1816511F"/>
    <w:rsid w:val="181D75C8"/>
    <w:rsid w:val="183E4909"/>
    <w:rsid w:val="184F35DE"/>
    <w:rsid w:val="187D529B"/>
    <w:rsid w:val="1886755A"/>
    <w:rsid w:val="18983047"/>
    <w:rsid w:val="18A41337"/>
    <w:rsid w:val="18B50E36"/>
    <w:rsid w:val="18C30DC2"/>
    <w:rsid w:val="18CF5CB8"/>
    <w:rsid w:val="18DC6978"/>
    <w:rsid w:val="18F6604F"/>
    <w:rsid w:val="1936128D"/>
    <w:rsid w:val="193B5CC8"/>
    <w:rsid w:val="196262F9"/>
    <w:rsid w:val="196501FC"/>
    <w:rsid w:val="19A9567A"/>
    <w:rsid w:val="19BF527F"/>
    <w:rsid w:val="19C21604"/>
    <w:rsid w:val="19C92DE2"/>
    <w:rsid w:val="19D837EB"/>
    <w:rsid w:val="19F32656"/>
    <w:rsid w:val="19F46A76"/>
    <w:rsid w:val="1A2F2A0B"/>
    <w:rsid w:val="1A4030A6"/>
    <w:rsid w:val="1A421AD6"/>
    <w:rsid w:val="1A7E7D2D"/>
    <w:rsid w:val="1A956D0C"/>
    <w:rsid w:val="1AA73CED"/>
    <w:rsid w:val="1AB5503B"/>
    <w:rsid w:val="1AC2553A"/>
    <w:rsid w:val="1ADE2C24"/>
    <w:rsid w:val="1AF6038F"/>
    <w:rsid w:val="1AFE7A29"/>
    <w:rsid w:val="1B073922"/>
    <w:rsid w:val="1B401D10"/>
    <w:rsid w:val="1B560941"/>
    <w:rsid w:val="1B5D08FA"/>
    <w:rsid w:val="1B5F14D6"/>
    <w:rsid w:val="1B604066"/>
    <w:rsid w:val="1B9B0BC6"/>
    <w:rsid w:val="1BBA2302"/>
    <w:rsid w:val="1BE43073"/>
    <w:rsid w:val="1C020069"/>
    <w:rsid w:val="1C507121"/>
    <w:rsid w:val="1C641326"/>
    <w:rsid w:val="1C7A32F9"/>
    <w:rsid w:val="1C8D4530"/>
    <w:rsid w:val="1C9242A4"/>
    <w:rsid w:val="1C931CB9"/>
    <w:rsid w:val="1CBE3649"/>
    <w:rsid w:val="1CC33C80"/>
    <w:rsid w:val="1CCD10FE"/>
    <w:rsid w:val="1CF266E5"/>
    <w:rsid w:val="1D3C7DFB"/>
    <w:rsid w:val="1D9C0926"/>
    <w:rsid w:val="1DA710C8"/>
    <w:rsid w:val="1DAD58CA"/>
    <w:rsid w:val="1E1A3FF8"/>
    <w:rsid w:val="1E26654D"/>
    <w:rsid w:val="1E323109"/>
    <w:rsid w:val="1E555EE9"/>
    <w:rsid w:val="1EA10F3E"/>
    <w:rsid w:val="1EB057A9"/>
    <w:rsid w:val="1EB51DD8"/>
    <w:rsid w:val="1EC61F82"/>
    <w:rsid w:val="1EC93386"/>
    <w:rsid w:val="1EED0F1B"/>
    <w:rsid w:val="1EFF7244"/>
    <w:rsid w:val="1F280757"/>
    <w:rsid w:val="1F59427A"/>
    <w:rsid w:val="1F6406C1"/>
    <w:rsid w:val="1FD945B0"/>
    <w:rsid w:val="1FEF1FFA"/>
    <w:rsid w:val="1FF95BC5"/>
    <w:rsid w:val="20090507"/>
    <w:rsid w:val="203D0D71"/>
    <w:rsid w:val="206361A3"/>
    <w:rsid w:val="209A5D4A"/>
    <w:rsid w:val="20AF05BD"/>
    <w:rsid w:val="20BB2E96"/>
    <w:rsid w:val="20C0108A"/>
    <w:rsid w:val="20DA6C2C"/>
    <w:rsid w:val="20DD668A"/>
    <w:rsid w:val="20E633FF"/>
    <w:rsid w:val="210118FA"/>
    <w:rsid w:val="21020763"/>
    <w:rsid w:val="21061F85"/>
    <w:rsid w:val="210D65EB"/>
    <w:rsid w:val="2119335A"/>
    <w:rsid w:val="211A5B8C"/>
    <w:rsid w:val="21592782"/>
    <w:rsid w:val="215A2EC4"/>
    <w:rsid w:val="2166138C"/>
    <w:rsid w:val="216A1809"/>
    <w:rsid w:val="216A78CF"/>
    <w:rsid w:val="217627D9"/>
    <w:rsid w:val="219D2FC6"/>
    <w:rsid w:val="21A0370E"/>
    <w:rsid w:val="21B1797A"/>
    <w:rsid w:val="21B814FB"/>
    <w:rsid w:val="21C52D02"/>
    <w:rsid w:val="21C52F88"/>
    <w:rsid w:val="21DD404D"/>
    <w:rsid w:val="220E3210"/>
    <w:rsid w:val="22351ACC"/>
    <w:rsid w:val="226E02A2"/>
    <w:rsid w:val="228D0852"/>
    <w:rsid w:val="229D03B1"/>
    <w:rsid w:val="22A355B8"/>
    <w:rsid w:val="22B00566"/>
    <w:rsid w:val="22C471DB"/>
    <w:rsid w:val="22D03D34"/>
    <w:rsid w:val="22D66746"/>
    <w:rsid w:val="231F769B"/>
    <w:rsid w:val="23422E27"/>
    <w:rsid w:val="235201DB"/>
    <w:rsid w:val="2359393E"/>
    <w:rsid w:val="238F1CC8"/>
    <w:rsid w:val="23BE0B86"/>
    <w:rsid w:val="23DB0DFF"/>
    <w:rsid w:val="23F95C4D"/>
    <w:rsid w:val="243F1DE7"/>
    <w:rsid w:val="248A3A7F"/>
    <w:rsid w:val="2490764B"/>
    <w:rsid w:val="249F4236"/>
    <w:rsid w:val="24C377D0"/>
    <w:rsid w:val="24D01574"/>
    <w:rsid w:val="24E52D6B"/>
    <w:rsid w:val="25046EA2"/>
    <w:rsid w:val="2517199D"/>
    <w:rsid w:val="25251A25"/>
    <w:rsid w:val="25474606"/>
    <w:rsid w:val="256228E0"/>
    <w:rsid w:val="258F7DD5"/>
    <w:rsid w:val="25945A2E"/>
    <w:rsid w:val="25AC0E5C"/>
    <w:rsid w:val="25AF10F4"/>
    <w:rsid w:val="25B158BB"/>
    <w:rsid w:val="25C25E13"/>
    <w:rsid w:val="25C908AF"/>
    <w:rsid w:val="25CE5311"/>
    <w:rsid w:val="25D3637D"/>
    <w:rsid w:val="25FA061E"/>
    <w:rsid w:val="260374EC"/>
    <w:rsid w:val="261939D4"/>
    <w:rsid w:val="261F0590"/>
    <w:rsid w:val="263D107D"/>
    <w:rsid w:val="2644580B"/>
    <w:rsid w:val="264C2EC7"/>
    <w:rsid w:val="26584563"/>
    <w:rsid w:val="26966E13"/>
    <w:rsid w:val="26A419A9"/>
    <w:rsid w:val="26A61C92"/>
    <w:rsid w:val="26AC1452"/>
    <w:rsid w:val="26B4785C"/>
    <w:rsid w:val="26B94E95"/>
    <w:rsid w:val="26DC0CB6"/>
    <w:rsid w:val="26ED1E94"/>
    <w:rsid w:val="26F11CDD"/>
    <w:rsid w:val="26FA16D0"/>
    <w:rsid w:val="270123FB"/>
    <w:rsid w:val="27086393"/>
    <w:rsid w:val="270C20F8"/>
    <w:rsid w:val="27124CA5"/>
    <w:rsid w:val="27135815"/>
    <w:rsid w:val="271925EC"/>
    <w:rsid w:val="272E0FE5"/>
    <w:rsid w:val="273435F1"/>
    <w:rsid w:val="276E4B0D"/>
    <w:rsid w:val="27752D78"/>
    <w:rsid w:val="27A10A77"/>
    <w:rsid w:val="27B93768"/>
    <w:rsid w:val="27D95F36"/>
    <w:rsid w:val="27E231EB"/>
    <w:rsid w:val="280B2905"/>
    <w:rsid w:val="281D243D"/>
    <w:rsid w:val="283322C9"/>
    <w:rsid w:val="285C72E1"/>
    <w:rsid w:val="285E1F2B"/>
    <w:rsid w:val="28932F3A"/>
    <w:rsid w:val="28B142D5"/>
    <w:rsid w:val="28BA0DD2"/>
    <w:rsid w:val="28BE3B53"/>
    <w:rsid w:val="28C052EC"/>
    <w:rsid w:val="28C50201"/>
    <w:rsid w:val="28C608F6"/>
    <w:rsid w:val="28D1042F"/>
    <w:rsid w:val="28DD4BE9"/>
    <w:rsid w:val="290C77C3"/>
    <w:rsid w:val="290D3996"/>
    <w:rsid w:val="29136CF0"/>
    <w:rsid w:val="295C4556"/>
    <w:rsid w:val="29777818"/>
    <w:rsid w:val="29C80887"/>
    <w:rsid w:val="29F64D34"/>
    <w:rsid w:val="29F740E7"/>
    <w:rsid w:val="29FF6391"/>
    <w:rsid w:val="2A092C17"/>
    <w:rsid w:val="2A2F63F2"/>
    <w:rsid w:val="2A474027"/>
    <w:rsid w:val="2A4C44CF"/>
    <w:rsid w:val="2A7A5071"/>
    <w:rsid w:val="2A85535F"/>
    <w:rsid w:val="2A911A4E"/>
    <w:rsid w:val="2AAE58D1"/>
    <w:rsid w:val="2ACC558F"/>
    <w:rsid w:val="2ADD7D86"/>
    <w:rsid w:val="2B0416BF"/>
    <w:rsid w:val="2B0459FF"/>
    <w:rsid w:val="2B0F2074"/>
    <w:rsid w:val="2B142597"/>
    <w:rsid w:val="2B1B4758"/>
    <w:rsid w:val="2B317534"/>
    <w:rsid w:val="2B4116FF"/>
    <w:rsid w:val="2B5258B1"/>
    <w:rsid w:val="2B7457F2"/>
    <w:rsid w:val="2B7A743C"/>
    <w:rsid w:val="2B8653EF"/>
    <w:rsid w:val="2B9058DD"/>
    <w:rsid w:val="2B952EBE"/>
    <w:rsid w:val="2BAC0BF3"/>
    <w:rsid w:val="2BFE19D6"/>
    <w:rsid w:val="2C1B5789"/>
    <w:rsid w:val="2C3118DD"/>
    <w:rsid w:val="2C3562D8"/>
    <w:rsid w:val="2C543A58"/>
    <w:rsid w:val="2C5A1A28"/>
    <w:rsid w:val="2C5A63C9"/>
    <w:rsid w:val="2C7C2EAF"/>
    <w:rsid w:val="2CB07001"/>
    <w:rsid w:val="2CB3280D"/>
    <w:rsid w:val="2CB922C1"/>
    <w:rsid w:val="2CD25725"/>
    <w:rsid w:val="2CF70F9E"/>
    <w:rsid w:val="2D037E8F"/>
    <w:rsid w:val="2D124A1E"/>
    <w:rsid w:val="2D1E30C6"/>
    <w:rsid w:val="2D2E006D"/>
    <w:rsid w:val="2D323752"/>
    <w:rsid w:val="2D3373D5"/>
    <w:rsid w:val="2D39787B"/>
    <w:rsid w:val="2D3B78BA"/>
    <w:rsid w:val="2D4340BD"/>
    <w:rsid w:val="2D4910C7"/>
    <w:rsid w:val="2D4A3339"/>
    <w:rsid w:val="2D521850"/>
    <w:rsid w:val="2D6C2573"/>
    <w:rsid w:val="2D9A0AB9"/>
    <w:rsid w:val="2DCD259E"/>
    <w:rsid w:val="2DD97074"/>
    <w:rsid w:val="2E090193"/>
    <w:rsid w:val="2E0A7E69"/>
    <w:rsid w:val="2E3A03E5"/>
    <w:rsid w:val="2E480D98"/>
    <w:rsid w:val="2E5C26B6"/>
    <w:rsid w:val="2E625320"/>
    <w:rsid w:val="2E7608C5"/>
    <w:rsid w:val="2E9D4664"/>
    <w:rsid w:val="2EA965B2"/>
    <w:rsid w:val="2EAD6E42"/>
    <w:rsid w:val="2F046F53"/>
    <w:rsid w:val="2F154571"/>
    <w:rsid w:val="2F2F5279"/>
    <w:rsid w:val="2F314A30"/>
    <w:rsid w:val="2F385D1F"/>
    <w:rsid w:val="2F592C0A"/>
    <w:rsid w:val="2F6076E3"/>
    <w:rsid w:val="2F683FFB"/>
    <w:rsid w:val="2F7F11EF"/>
    <w:rsid w:val="2F992B76"/>
    <w:rsid w:val="2F9F7149"/>
    <w:rsid w:val="2FA074A3"/>
    <w:rsid w:val="2FD276BA"/>
    <w:rsid w:val="2FF61F3A"/>
    <w:rsid w:val="2FF76ADE"/>
    <w:rsid w:val="30106CA2"/>
    <w:rsid w:val="3012581E"/>
    <w:rsid w:val="30427DA1"/>
    <w:rsid w:val="306A49FF"/>
    <w:rsid w:val="30703AED"/>
    <w:rsid w:val="3072756E"/>
    <w:rsid w:val="30D87142"/>
    <w:rsid w:val="30F54D6E"/>
    <w:rsid w:val="30F90615"/>
    <w:rsid w:val="30FE2930"/>
    <w:rsid w:val="311427E1"/>
    <w:rsid w:val="31144F45"/>
    <w:rsid w:val="311E12EC"/>
    <w:rsid w:val="31263671"/>
    <w:rsid w:val="313D0673"/>
    <w:rsid w:val="313D7621"/>
    <w:rsid w:val="31B56E5C"/>
    <w:rsid w:val="31D363EC"/>
    <w:rsid w:val="31F71A84"/>
    <w:rsid w:val="31FB7075"/>
    <w:rsid w:val="32096628"/>
    <w:rsid w:val="320F7CDE"/>
    <w:rsid w:val="321D07ED"/>
    <w:rsid w:val="321F2F90"/>
    <w:rsid w:val="321F3DAE"/>
    <w:rsid w:val="322830A4"/>
    <w:rsid w:val="324003D4"/>
    <w:rsid w:val="32550074"/>
    <w:rsid w:val="3256419C"/>
    <w:rsid w:val="32571548"/>
    <w:rsid w:val="32A07FFE"/>
    <w:rsid w:val="32BD5DCB"/>
    <w:rsid w:val="32C574EA"/>
    <w:rsid w:val="32CC7B0E"/>
    <w:rsid w:val="32DD612C"/>
    <w:rsid w:val="32DF1E88"/>
    <w:rsid w:val="32E45B7F"/>
    <w:rsid w:val="32EC1396"/>
    <w:rsid w:val="33155747"/>
    <w:rsid w:val="33245E41"/>
    <w:rsid w:val="3331756A"/>
    <w:rsid w:val="33413B81"/>
    <w:rsid w:val="33460DBD"/>
    <w:rsid w:val="33690A64"/>
    <w:rsid w:val="3372638F"/>
    <w:rsid w:val="33781C4C"/>
    <w:rsid w:val="338C7E50"/>
    <w:rsid w:val="33C544C3"/>
    <w:rsid w:val="33CF6FEA"/>
    <w:rsid w:val="33D347BC"/>
    <w:rsid w:val="33DA0657"/>
    <w:rsid w:val="33EC666B"/>
    <w:rsid w:val="33F062D6"/>
    <w:rsid w:val="33F37344"/>
    <w:rsid w:val="33F50D78"/>
    <w:rsid w:val="33FD4196"/>
    <w:rsid w:val="341E6368"/>
    <w:rsid w:val="3421659E"/>
    <w:rsid w:val="342F4322"/>
    <w:rsid w:val="34552CFD"/>
    <w:rsid w:val="34662C2B"/>
    <w:rsid w:val="346E04E1"/>
    <w:rsid w:val="3487529A"/>
    <w:rsid w:val="34994215"/>
    <w:rsid w:val="34C539E4"/>
    <w:rsid w:val="34C74FAE"/>
    <w:rsid w:val="34FE35BC"/>
    <w:rsid w:val="352422D0"/>
    <w:rsid w:val="3525553C"/>
    <w:rsid w:val="35270D48"/>
    <w:rsid w:val="352A3661"/>
    <w:rsid w:val="35312EA4"/>
    <w:rsid w:val="353B001C"/>
    <w:rsid w:val="353F2968"/>
    <w:rsid w:val="35472AA0"/>
    <w:rsid w:val="354B78A0"/>
    <w:rsid w:val="355043BB"/>
    <w:rsid w:val="35593CAE"/>
    <w:rsid w:val="358C70A8"/>
    <w:rsid w:val="35C176A9"/>
    <w:rsid w:val="35D33D8A"/>
    <w:rsid w:val="35DB3279"/>
    <w:rsid w:val="35DF2327"/>
    <w:rsid w:val="35FF3832"/>
    <w:rsid w:val="3607269A"/>
    <w:rsid w:val="361946C2"/>
    <w:rsid w:val="3629503A"/>
    <w:rsid w:val="36516FD8"/>
    <w:rsid w:val="367B3297"/>
    <w:rsid w:val="36960637"/>
    <w:rsid w:val="36970D27"/>
    <w:rsid w:val="36B40DE7"/>
    <w:rsid w:val="36E63F60"/>
    <w:rsid w:val="36E75CD2"/>
    <w:rsid w:val="36E804BC"/>
    <w:rsid w:val="36ED7E3E"/>
    <w:rsid w:val="36FC682E"/>
    <w:rsid w:val="37166D51"/>
    <w:rsid w:val="372B4C0C"/>
    <w:rsid w:val="37480859"/>
    <w:rsid w:val="374C5A2F"/>
    <w:rsid w:val="375D7E10"/>
    <w:rsid w:val="376B126A"/>
    <w:rsid w:val="376D2BCC"/>
    <w:rsid w:val="377909A0"/>
    <w:rsid w:val="37B66803"/>
    <w:rsid w:val="37B750BF"/>
    <w:rsid w:val="37CD02D8"/>
    <w:rsid w:val="37D74864"/>
    <w:rsid w:val="37E54B0B"/>
    <w:rsid w:val="380A28EF"/>
    <w:rsid w:val="380D3FDC"/>
    <w:rsid w:val="381F223B"/>
    <w:rsid w:val="384215C4"/>
    <w:rsid w:val="38494962"/>
    <w:rsid w:val="384C7206"/>
    <w:rsid w:val="38A0322F"/>
    <w:rsid w:val="38B44C92"/>
    <w:rsid w:val="38C0244A"/>
    <w:rsid w:val="38CF01E0"/>
    <w:rsid w:val="38D8006D"/>
    <w:rsid w:val="38E0066F"/>
    <w:rsid w:val="38F81F10"/>
    <w:rsid w:val="38FD26E8"/>
    <w:rsid w:val="38FF1F77"/>
    <w:rsid w:val="39001EE9"/>
    <w:rsid w:val="39050C3E"/>
    <w:rsid w:val="391425B7"/>
    <w:rsid w:val="39226068"/>
    <w:rsid w:val="3925063D"/>
    <w:rsid w:val="39387926"/>
    <w:rsid w:val="39585C08"/>
    <w:rsid w:val="395E5DDB"/>
    <w:rsid w:val="39673DEE"/>
    <w:rsid w:val="39706BA0"/>
    <w:rsid w:val="39824C41"/>
    <w:rsid w:val="39827829"/>
    <w:rsid w:val="3993401A"/>
    <w:rsid w:val="39975AFB"/>
    <w:rsid w:val="39995BB3"/>
    <w:rsid w:val="399D4762"/>
    <w:rsid w:val="39A21DBC"/>
    <w:rsid w:val="39C82BBF"/>
    <w:rsid w:val="39CA3B23"/>
    <w:rsid w:val="39EC707C"/>
    <w:rsid w:val="3A1B6B3B"/>
    <w:rsid w:val="3A233ECF"/>
    <w:rsid w:val="3A2D7BAB"/>
    <w:rsid w:val="3A45743A"/>
    <w:rsid w:val="3A4F2B4C"/>
    <w:rsid w:val="3A610625"/>
    <w:rsid w:val="3A684F39"/>
    <w:rsid w:val="3A764FDE"/>
    <w:rsid w:val="3A953982"/>
    <w:rsid w:val="3AC37553"/>
    <w:rsid w:val="3ACD34EE"/>
    <w:rsid w:val="3B17185E"/>
    <w:rsid w:val="3B2373E0"/>
    <w:rsid w:val="3B291E32"/>
    <w:rsid w:val="3B425FBD"/>
    <w:rsid w:val="3B4C1448"/>
    <w:rsid w:val="3B550C57"/>
    <w:rsid w:val="3B5653C0"/>
    <w:rsid w:val="3B5D79A7"/>
    <w:rsid w:val="3B64241F"/>
    <w:rsid w:val="3B861121"/>
    <w:rsid w:val="3B934208"/>
    <w:rsid w:val="3B953CB8"/>
    <w:rsid w:val="3BB70D74"/>
    <w:rsid w:val="3BBB63B0"/>
    <w:rsid w:val="3BEA6A4D"/>
    <w:rsid w:val="3BF975B9"/>
    <w:rsid w:val="3C0C324B"/>
    <w:rsid w:val="3C11779A"/>
    <w:rsid w:val="3C300073"/>
    <w:rsid w:val="3C3263C3"/>
    <w:rsid w:val="3C347876"/>
    <w:rsid w:val="3C3D7350"/>
    <w:rsid w:val="3C5077F0"/>
    <w:rsid w:val="3C5631C1"/>
    <w:rsid w:val="3C6319A5"/>
    <w:rsid w:val="3C6A4416"/>
    <w:rsid w:val="3C6D28C0"/>
    <w:rsid w:val="3C89148B"/>
    <w:rsid w:val="3CA16B01"/>
    <w:rsid w:val="3CA25450"/>
    <w:rsid w:val="3CB16C19"/>
    <w:rsid w:val="3CBA2D6C"/>
    <w:rsid w:val="3CBD5B21"/>
    <w:rsid w:val="3CCA3030"/>
    <w:rsid w:val="3CCB636F"/>
    <w:rsid w:val="3CCC585E"/>
    <w:rsid w:val="3CF306F7"/>
    <w:rsid w:val="3CF92AB7"/>
    <w:rsid w:val="3CFB020B"/>
    <w:rsid w:val="3D0521B8"/>
    <w:rsid w:val="3D160EE7"/>
    <w:rsid w:val="3D1F7B03"/>
    <w:rsid w:val="3D4E048A"/>
    <w:rsid w:val="3D74486D"/>
    <w:rsid w:val="3D850CB2"/>
    <w:rsid w:val="3DE72505"/>
    <w:rsid w:val="3DF94EA4"/>
    <w:rsid w:val="3DFB66B5"/>
    <w:rsid w:val="3DFF3F57"/>
    <w:rsid w:val="3E2E1195"/>
    <w:rsid w:val="3E325ADE"/>
    <w:rsid w:val="3E3721DF"/>
    <w:rsid w:val="3E3D5AF9"/>
    <w:rsid w:val="3E717CE3"/>
    <w:rsid w:val="3E7A0B25"/>
    <w:rsid w:val="3E87082C"/>
    <w:rsid w:val="3E9B1F29"/>
    <w:rsid w:val="3E9F7C1C"/>
    <w:rsid w:val="3EBE0637"/>
    <w:rsid w:val="3EDC43B2"/>
    <w:rsid w:val="3EF04D32"/>
    <w:rsid w:val="3F0424CF"/>
    <w:rsid w:val="3F0A1F24"/>
    <w:rsid w:val="3F226B6D"/>
    <w:rsid w:val="3F286A93"/>
    <w:rsid w:val="3F3A7BC2"/>
    <w:rsid w:val="3F4F0730"/>
    <w:rsid w:val="3F502F05"/>
    <w:rsid w:val="3F5564E5"/>
    <w:rsid w:val="3F576913"/>
    <w:rsid w:val="3F874ABF"/>
    <w:rsid w:val="3F886E54"/>
    <w:rsid w:val="3F8B3452"/>
    <w:rsid w:val="3FC02FF0"/>
    <w:rsid w:val="3FCE7634"/>
    <w:rsid w:val="40003995"/>
    <w:rsid w:val="40094869"/>
    <w:rsid w:val="400B09B2"/>
    <w:rsid w:val="400D38CA"/>
    <w:rsid w:val="401D13AA"/>
    <w:rsid w:val="402446DA"/>
    <w:rsid w:val="4031155A"/>
    <w:rsid w:val="40526CB6"/>
    <w:rsid w:val="40551CFE"/>
    <w:rsid w:val="4092526A"/>
    <w:rsid w:val="40B644AB"/>
    <w:rsid w:val="40C27EF8"/>
    <w:rsid w:val="40E07E77"/>
    <w:rsid w:val="40EE1485"/>
    <w:rsid w:val="40F92E90"/>
    <w:rsid w:val="41155838"/>
    <w:rsid w:val="412D4B19"/>
    <w:rsid w:val="416D6101"/>
    <w:rsid w:val="418A3309"/>
    <w:rsid w:val="419838B5"/>
    <w:rsid w:val="41BD03DB"/>
    <w:rsid w:val="41C14BA5"/>
    <w:rsid w:val="41DA7D36"/>
    <w:rsid w:val="42001452"/>
    <w:rsid w:val="42107036"/>
    <w:rsid w:val="422100AF"/>
    <w:rsid w:val="42296309"/>
    <w:rsid w:val="422A4B00"/>
    <w:rsid w:val="42484C51"/>
    <w:rsid w:val="424851D2"/>
    <w:rsid w:val="4249668B"/>
    <w:rsid w:val="425E7D14"/>
    <w:rsid w:val="42635FEF"/>
    <w:rsid w:val="426A2760"/>
    <w:rsid w:val="42DC6B49"/>
    <w:rsid w:val="42F913BC"/>
    <w:rsid w:val="42FE5587"/>
    <w:rsid w:val="434C0275"/>
    <w:rsid w:val="43642F5E"/>
    <w:rsid w:val="43A92D31"/>
    <w:rsid w:val="43BE37E1"/>
    <w:rsid w:val="43C3673C"/>
    <w:rsid w:val="43EA034A"/>
    <w:rsid w:val="43FD34BC"/>
    <w:rsid w:val="44273C51"/>
    <w:rsid w:val="44443148"/>
    <w:rsid w:val="444824FB"/>
    <w:rsid w:val="44900347"/>
    <w:rsid w:val="44A02630"/>
    <w:rsid w:val="44AA301A"/>
    <w:rsid w:val="44AA77F2"/>
    <w:rsid w:val="44AB3EBA"/>
    <w:rsid w:val="44AB6827"/>
    <w:rsid w:val="44B249B7"/>
    <w:rsid w:val="44B335CA"/>
    <w:rsid w:val="44B546E7"/>
    <w:rsid w:val="44C23C2D"/>
    <w:rsid w:val="44C2688A"/>
    <w:rsid w:val="44D91FD9"/>
    <w:rsid w:val="44DE32E5"/>
    <w:rsid w:val="44FB2F62"/>
    <w:rsid w:val="44FF0F3A"/>
    <w:rsid w:val="451D414B"/>
    <w:rsid w:val="451E281E"/>
    <w:rsid w:val="45407AD6"/>
    <w:rsid w:val="454A6641"/>
    <w:rsid w:val="454F708F"/>
    <w:rsid w:val="45553894"/>
    <w:rsid w:val="455E567C"/>
    <w:rsid w:val="45671A03"/>
    <w:rsid w:val="457D260A"/>
    <w:rsid w:val="45903BF5"/>
    <w:rsid w:val="459F58DD"/>
    <w:rsid w:val="45D00574"/>
    <w:rsid w:val="45D97D93"/>
    <w:rsid w:val="45DB4679"/>
    <w:rsid w:val="46100733"/>
    <w:rsid w:val="4611550A"/>
    <w:rsid w:val="46331463"/>
    <w:rsid w:val="46573DC2"/>
    <w:rsid w:val="467C7DAD"/>
    <w:rsid w:val="468B287B"/>
    <w:rsid w:val="468E066B"/>
    <w:rsid w:val="469C5960"/>
    <w:rsid w:val="46A120C6"/>
    <w:rsid w:val="46B12D45"/>
    <w:rsid w:val="46C05E45"/>
    <w:rsid w:val="46DC2CA6"/>
    <w:rsid w:val="46EB204D"/>
    <w:rsid w:val="46FC4CEF"/>
    <w:rsid w:val="471B2B70"/>
    <w:rsid w:val="475964A8"/>
    <w:rsid w:val="47781241"/>
    <w:rsid w:val="47921ED7"/>
    <w:rsid w:val="4796459D"/>
    <w:rsid w:val="47B023E0"/>
    <w:rsid w:val="47CE2905"/>
    <w:rsid w:val="47F83359"/>
    <w:rsid w:val="47FC25FC"/>
    <w:rsid w:val="482D597D"/>
    <w:rsid w:val="4860348F"/>
    <w:rsid w:val="487E3D87"/>
    <w:rsid w:val="488E64B7"/>
    <w:rsid w:val="48952A15"/>
    <w:rsid w:val="48967C88"/>
    <w:rsid w:val="489D7312"/>
    <w:rsid w:val="48A474BC"/>
    <w:rsid w:val="48A633B7"/>
    <w:rsid w:val="48B274A0"/>
    <w:rsid w:val="48B6678D"/>
    <w:rsid w:val="48C8208F"/>
    <w:rsid w:val="48CD54FC"/>
    <w:rsid w:val="48E05764"/>
    <w:rsid w:val="490D6EF1"/>
    <w:rsid w:val="49607C35"/>
    <w:rsid w:val="49683318"/>
    <w:rsid w:val="496A2326"/>
    <w:rsid w:val="496C770C"/>
    <w:rsid w:val="49833086"/>
    <w:rsid w:val="49A52A5D"/>
    <w:rsid w:val="49E70C75"/>
    <w:rsid w:val="49EE4636"/>
    <w:rsid w:val="4A06251A"/>
    <w:rsid w:val="4A113DC0"/>
    <w:rsid w:val="4A2F2B46"/>
    <w:rsid w:val="4A547916"/>
    <w:rsid w:val="4A563835"/>
    <w:rsid w:val="4A57271D"/>
    <w:rsid w:val="4A5A4578"/>
    <w:rsid w:val="4A75653D"/>
    <w:rsid w:val="4A795ACE"/>
    <w:rsid w:val="4A9470AF"/>
    <w:rsid w:val="4AC531A8"/>
    <w:rsid w:val="4ADF7D61"/>
    <w:rsid w:val="4B0C4481"/>
    <w:rsid w:val="4B1D7FF9"/>
    <w:rsid w:val="4B3C1FE1"/>
    <w:rsid w:val="4B412FE7"/>
    <w:rsid w:val="4B50629D"/>
    <w:rsid w:val="4B5216F0"/>
    <w:rsid w:val="4B873C90"/>
    <w:rsid w:val="4BA82573"/>
    <w:rsid w:val="4BD319EC"/>
    <w:rsid w:val="4C0F3894"/>
    <w:rsid w:val="4C1603ED"/>
    <w:rsid w:val="4C1D4D95"/>
    <w:rsid w:val="4C265C32"/>
    <w:rsid w:val="4C266BA1"/>
    <w:rsid w:val="4C364B5B"/>
    <w:rsid w:val="4C5110C3"/>
    <w:rsid w:val="4C5521CF"/>
    <w:rsid w:val="4C7607DD"/>
    <w:rsid w:val="4C77450A"/>
    <w:rsid w:val="4C935296"/>
    <w:rsid w:val="4C9C05A8"/>
    <w:rsid w:val="4CA93DA4"/>
    <w:rsid w:val="4CAF7F74"/>
    <w:rsid w:val="4CCB723F"/>
    <w:rsid w:val="4D105E89"/>
    <w:rsid w:val="4D39550D"/>
    <w:rsid w:val="4D5A6A59"/>
    <w:rsid w:val="4D7E343F"/>
    <w:rsid w:val="4D853B8B"/>
    <w:rsid w:val="4DA82B08"/>
    <w:rsid w:val="4DB552EA"/>
    <w:rsid w:val="4DC318A3"/>
    <w:rsid w:val="4DE24F75"/>
    <w:rsid w:val="4DEA4DFF"/>
    <w:rsid w:val="4DF44DB5"/>
    <w:rsid w:val="4DF90F86"/>
    <w:rsid w:val="4DFA3C18"/>
    <w:rsid w:val="4E2B6141"/>
    <w:rsid w:val="4E34085A"/>
    <w:rsid w:val="4E4E41E8"/>
    <w:rsid w:val="4E52351E"/>
    <w:rsid w:val="4E586CD5"/>
    <w:rsid w:val="4E6679FD"/>
    <w:rsid w:val="4E7E704C"/>
    <w:rsid w:val="4E995F96"/>
    <w:rsid w:val="4E9C08B1"/>
    <w:rsid w:val="4EA51907"/>
    <w:rsid w:val="4EAB3D0C"/>
    <w:rsid w:val="4EB418A0"/>
    <w:rsid w:val="4ECC738A"/>
    <w:rsid w:val="4ED36F77"/>
    <w:rsid w:val="4ED759C3"/>
    <w:rsid w:val="4EF56D5C"/>
    <w:rsid w:val="4F024E2C"/>
    <w:rsid w:val="4F0F5F83"/>
    <w:rsid w:val="4F767DE0"/>
    <w:rsid w:val="4FB67E95"/>
    <w:rsid w:val="4FB71FA5"/>
    <w:rsid w:val="4FCD72E7"/>
    <w:rsid w:val="4FE11B58"/>
    <w:rsid w:val="4FF22F51"/>
    <w:rsid w:val="50061349"/>
    <w:rsid w:val="50102EEB"/>
    <w:rsid w:val="502571C3"/>
    <w:rsid w:val="502C7252"/>
    <w:rsid w:val="502E532B"/>
    <w:rsid w:val="50330BAD"/>
    <w:rsid w:val="503F2AAA"/>
    <w:rsid w:val="504D47F5"/>
    <w:rsid w:val="506D2822"/>
    <w:rsid w:val="506F7531"/>
    <w:rsid w:val="50707BA2"/>
    <w:rsid w:val="508101EA"/>
    <w:rsid w:val="50AC380C"/>
    <w:rsid w:val="50B75E29"/>
    <w:rsid w:val="50C13ED4"/>
    <w:rsid w:val="50CD580A"/>
    <w:rsid w:val="50E16CEE"/>
    <w:rsid w:val="50FA2D88"/>
    <w:rsid w:val="51364EAB"/>
    <w:rsid w:val="5137695B"/>
    <w:rsid w:val="515D6CC8"/>
    <w:rsid w:val="51790213"/>
    <w:rsid w:val="518F40A5"/>
    <w:rsid w:val="51A94930"/>
    <w:rsid w:val="51AD00C1"/>
    <w:rsid w:val="51DB0A7E"/>
    <w:rsid w:val="51EB6355"/>
    <w:rsid w:val="51F135EC"/>
    <w:rsid w:val="51F21CCC"/>
    <w:rsid w:val="51F8067D"/>
    <w:rsid w:val="520D61E9"/>
    <w:rsid w:val="5236299C"/>
    <w:rsid w:val="52403723"/>
    <w:rsid w:val="52420C2A"/>
    <w:rsid w:val="524D1A2D"/>
    <w:rsid w:val="524F1B93"/>
    <w:rsid w:val="525B7281"/>
    <w:rsid w:val="52630775"/>
    <w:rsid w:val="526627D1"/>
    <w:rsid w:val="526E4E8E"/>
    <w:rsid w:val="52706486"/>
    <w:rsid w:val="527D6C07"/>
    <w:rsid w:val="527F35E6"/>
    <w:rsid w:val="52964727"/>
    <w:rsid w:val="52B6596B"/>
    <w:rsid w:val="52B72FA1"/>
    <w:rsid w:val="52ED2480"/>
    <w:rsid w:val="52F30279"/>
    <w:rsid w:val="52F82B59"/>
    <w:rsid w:val="52FA6AE0"/>
    <w:rsid w:val="53101841"/>
    <w:rsid w:val="53130795"/>
    <w:rsid w:val="53465512"/>
    <w:rsid w:val="53660681"/>
    <w:rsid w:val="536B2CBD"/>
    <w:rsid w:val="5373167E"/>
    <w:rsid w:val="5376019D"/>
    <w:rsid w:val="537B72FD"/>
    <w:rsid w:val="5397438F"/>
    <w:rsid w:val="539B6DCD"/>
    <w:rsid w:val="53B75E54"/>
    <w:rsid w:val="53F04C90"/>
    <w:rsid w:val="54106881"/>
    <w:rsid w:val="541B28DE"/>
    <w:rsid w:val="54337620"/>
    <w:rsid w:val="54361AD6"/>
    <w:rsid w:val="543D7553"/>
    <w:rsid w:val="545F3282"/>
    <w:rsid w:val="54771906"/>
    <w:rsid w:val="547C14C6"/>
    <w:rsid w:val="548C11EF"/>
    <w:rsid w:val="548F7C85"/>
    <w:rsid w:val="54A01754"/>
    <w:rsid w:val="54B267CF"/>
    <w:rsid w:val="54C03EAC"/>
    <w:rsid w:val="54C35373"/>
    <w:rsid w:val="54D37F7A"/>
    <w:rsid w:val="54D46F91"/>
    <w:rsid w:val="54F915DA"/>
    <w:rsid w:val="551142AB"/>
    <w:rsid w:val="5522753E"/>
    <w:rsid w:val="552E29AD"/>
    <w:rsid w:val="553F1BDD"/>
    <w:rsid w:val="554F42EA"/>
    <w:rsid w:val="55576D1C"/>
    <w:rsid w:val="556015D3"/>
    <w:rsid w:val="556866BD"/>
    <w:rsid w:val="556F7510"/>
    <w:rsid w:val="55783F05"/>
    <w:rsid w:val="557E31B0"/>
    <w:rsid w:val="55821F23"/>
    <w:rsid w:val="558656D0"/>
    <w:rsid w:val="55953EBF"/>
    <w:rsid w:val="55A71EC6"/>
    <w:rsid w:val="55C3667F"/>
    <w:rsid w:val="55D95FFB"/>
    <w:rsid w:val="55E70A99"/>
    <w:rsid w:val="55FD1528"/>
    <w:rsid w:val="5603491C"/>
    <w:rsid w:val="560558F9"/>
    <w:rsid w:val="56073BA7"/>
    <w:rsid w:val="561420A6"/>
    <w:rsid w:val="56401B87"/>
    <w:rsid w:val="56733201"/>
    <w:rsid w:val="568C20C6"/>
    <w:rsid w:val="568D5773"/>
    <w:rsid w:val="569C61A7"/>
    <w:rsid w:val="56CD2B8A"/>
    <w:rsid w:val="56D3688C"/>
    <w:rsid w:val="56D400C1"/>
    <w:rsid w:val="56D95440"/>
    <w:rsid w:val="56FB7A14"/>
    <w:rsid w:val="570304E9"/>
    <w:rsid w:val="570E18BA"/>
    <w:rsid w:val="57151246"/>
    <w:rsid w:val="57410C44"/>
    <w:rsid w:val="574C49B4"/>
    <w:rsid w:val="576B00A3"/>
    <w:rsid w:val="57807F34"/>
    <w:rsid w:val="57C919EB"/>
    <w:rsid w:val="57E6237B"/>
    <w:rsid w:val="57EC51AE"/>
    <w:rsid w:val="58427D22"/>
    <w:rsid w:val="58551AFF"/>
    <w:rsid w:val="587A31A5"/>
    <w:rsid w:val="58A57051"/>
    <w:rsid w:val="58A72E55"/>
    <w:rsid w:val="58AC5C6F"/>
    <w:rsid w:val="58CD3534"/>
    <w:rsid w:val="58DB67BC"/>
    <w:rsid w:val="58DC7FF8"/>
    <w:rsid w:val="58FC5A0D"/>
    <w:rsid w:val="59074E50"/>
    <w:rsid w:val="5922496C"/>
    <w:rsid w:val="59257BBA"/>
    <w:rsid w:val="59291040"/>
    <w:rsid w:val="593663A3"/>
    <w:rsid w:val="593F6D80"/>
    <w:rsid w:val="595E18B4"/>
    <w:rsid w:val="596F6B90"/>
    <w:rsid w:val="5972330C"/>
    <w:rsid w:val="59960F0D"/>
    <w:rsid w:val="599D7DC6"/>
    <w:rsid w:val="59A37C3C"/>
    <w:rsid w:val="59A72AB3"/>
    <w:rsid w:val="59E17C1A"/>
    <w:rsid w:val="59E859EC"/>
    <w:rsid w:val="5A01585A"/>
    <w:rsid w:val="5A064113"/>
    <w:rsid w:val="5A1135BC"/>
    <w:rsid w:val="5A185A21"/>
    <w:rsid w:val="5A1B1406"/>
    <w:rsid w:val="5A3E3334"/>
    <w:rsid w:val="5A4C6153"/>
    <w:rsid w:val="5A4D351C"/>
    <w:rsid w:val="5A5055E7"/>
    <w:rsid w:val="5A5368F8"/>
    <w:rsid w:val="5A590DD3"/>
    <w:rsid w:val="5A5D7326"/>
    <w:rsid w:val="5A8D7A31"/>
    <w:rsid w:val="5AA92DA4"/>
    <w:rsid w:val="5ACA3EE7"/>
    <w:rsid w:val="5ACE7F27"/>
    <w:rsid w:val="5AEF78B5"/>
    <w:rsid w:val="5B0E4644"/>
    <w:rsid w:val="5B0F40E8"/>
    <w:rsid w:val="5B18388D"/>
    <w:rsid w:val="5B2179CB"/>
    <w:rsid w:val="5B3D3B2C"/>
    <w:rsid w:val="5B4C30C2"/>
    <w:rsid w:val="5B543902"/>
    <w:rsid w:val="5B54540F"/>
    <w:rsid w:val="5B566F56"/>
    <w:rsid w:val="5B686D47"/>
    <w:rsid w:val="5B711B4B"/>
    <w:rsid w:val="5B7331EF"/>
    <w:rsid w:val="5B8C78DE"/>
    <w:rsid w:val="5BBB6CDF"/>
    <w:rsid w:val="5BBC63FA"/>
    <w:rsid w:val="5BC421DF"/>
    <w:rsid w:val="5BD17AE3"/>
    <w:rsid w:val="5BD769EA"/>
    <w:rsid w:val="5BE258BC"/>
    <w:rsid w:val="5BE82415"/>
    <w:rsid w:val="5C085AF9"/>
    <w:rsid w:val="5C171659"/>
    <w:rsid w:val="5C1E336C"/>
    <w:rsid w:val="5C1F48C6"/>
    <w:rsid w:val="5C222B39"/>
    <w:rsid w:val="5C4835F4"/>
    <w:rsid w:val="5C56012D"/>
    <w:rsid w:val="5C6E50AB"/>
    <w:rsid w:val="5C724CD0"/>
    <w:rsid w:val="5C783EF8"/>
    <w:rsid w:val="5C797997"/>
    <w:rsid w:val="5C940C92"/>
    <w:rsid w:val="5C9B53EE"/>
    <w:rsid w:val="5CAD2CE8"/>
    <w:rsid w:val="5CB52BAD"/>
    <w:rsid w:val="5CB836EE"/>
    <w:rsid w:val="5CD65063"/>
    <w:rsid w:val="5CFE733E"/>
    <w:rsid w:val="5D133FCC"/>
    <w:rsid w:val="5D1B059D"/>
    <w:rsid w:val="5D1E6004"/>
    <w:rsid w:val="5D314B07"/>
    <w:rsid w:val="5D376CBC"/>
    <w:rsid w:val="5D5410C7"/>
    <w:rsid w:val="5D6C2738"/>
    <w:rsid w:val="5D925C2C"/>
    <w:rsid w:val="5D941A06"/>
    <w:rsid w:val="5DBA7B73"/>
    <w:rsid w:val="5DC219E4"/>
    <w:rsid w:val="5DE07F60"/>
    <w:rsid w:val="5DEB5842"/>
    <w:rsid w:val="5E060D99"/>
    <w:rsid w:val="5E125F49"/>
    <w:rsid w:val="5E215894"/>
    <w:rsid w:val="5E4E2C93"/>
    <w:rsid w:val="5E575618"/>
    <w:rsid w:val="5E671FAE"/>
    <w:rsid w:val="5E6A5417"/>
    <w:rsid w:val="5E9964FC"/>
    <w:rsid w:val="5EA527EB"/>
    <w:rsid w:val="5EA8001D"/>
    <w:rsid w:val="5EB43DCB"/>
    <w:rsid w:val="5EB6537C"/>
    <w:rsid w:val="5EDA6998"/>
    <w:rsid w:val="5F375DCA"/>
    <w:rsid w:val="5F772BB7"/>
    <w:rsid w:val="5F7770CC"/>
    <w:rsid w:val="5F80082A"/>
    <w:rsid w:val="5F843B10"/>
    <w:rsid w:val="5F923324"/>
    <w:rsid w:val="5F9516DC"/>
    <w:rsid w:val="5F982EB2"/>
    <w:rsid w:val="5FAD2610"/>
    <w:rsid w:val="5FC02283"/>
    <w:rsid w:val="5FE53814"/>
    <w:rsid w:val="6009601C"/>
    <w:rsid w:val="601E45D8"/>
    <w:rsid w:val="601F2556"/>
    <w:rsid w:val="60595F1D"/>
    <w:rsid w:val="60C91D88"/>
    <w:rsid w:val="60C96A5B"/>
    <w:rsid w:val="60D868EE"/>
    <w:rsid w:val="60E33A8A"/>
    <w:rsid w:val="60EC12B4"/>
    <w:rsid w:val="61576E4B"/>
    <w:rsid w:val="6183520E"/>
    <w:rsid w:val="61B11B6E"/>
    <w:rsid w:val="61BF22D5"/>
    <w:rsid w:val="61E3116A"/>
    <w:rsid w:val="62092D04"/>
    <w:rsid w:val="6257385F"/>
    <w:rsid w:val="62661F44"/>
    <w:rsid w:val="62723831"/>
    <w:rsid w:val="62806004"/>
    <w:rsid w:val="62863DF4"/>
    <w:rsid w:val="62986E29"/>
    <w:rsid w:val="629D419A"/>
    <w:rsid w:val="62AB7395"/>
    <w:rsid w:val="62B67AE5"/>
    <w:rsid w:val="62C14349"/>
    <w:rsid w:val="62C16539"/>
    <w:rsid w:val="62DD7032"/>
    <w:rsid w:val="62E810A2"/>
    <w:rsid w:val="62E976F6"/>
    <w:rsid w:val="631416F0"/>
    <w:rsid w:val="631B31EA"/>
    <w:rsid w:val="63235A18"/>
    <w:rsid w:val="633E0BF6"/>
    <w:rsid w:val="635B0ADD"/>
    <w:rsid w:val="636C77D3"/>
    <w:rsid w:val="63822D4D"/>
    <w:rsid w:val="638D54FF"/>
    <w:rsid w:val="63A051EA"/>
    <w:rsid w:val="63C952A8"/>
    <w:rsid w:val="63D622B5"/>
    <w:rsid w:val="63D80532"/>
    <w:rsid w:val="63E547B2"/>
    <w:rsid w:val="63E66104"/>
    <w:rsid w:val="64157661"/>
    <w:rsid w:val="64171B21"/>
    <w:rsid w:val="64254827"/>
    <w:rsid w:val="64310F97"/>
    <w:rsid w:val="644E32E2"/>
    <w:rsid w:val="644F08D2"/>
    <w:rsid w:val="644F22F7"/>
    <w:rsid w:val="64560745"/>
    <w:rsid w:val="646D2F9C"/>
    <w:rsid w:val="64B95B48"/>
    <w:rsid w:val="64E345D4"/>
    <w:rsid w:val="64ED2876"/>
    <w:rsid w:val="64F87F36"/>
    <w:rsid w:val="64FE57EB"/>
    <w:rsid w:val="6500669E"/>
    <w:rsid w:val="652B6960"/>
    <w:rsid w:val="652F4EAA"/>
    <w:rsid w:val="654357A5"/>
    <w:rsid w:val="65443B65"/>
    <w:rsid w:val="65536597"/>
    <w:rsid w:val="656C494A"/>
    <w:rsid w:val="659B2D80"/>
    <w:rsid w:val="65A51523"/>
    <w:rsid w:val="65B24D42"/>
    <w:rsid w:val="65DC74D3"/>
    <w:rsid w:val="65F84382"/>
    <w:rsid w:val="65F95745"/>
    <w:rsid w:val="660601A5"/>
    <w:rsid w:val="661D68F9"/>
    <w:rsid w:val="664F0C16"/>
    <w:rsid w:val="666D548D"/>
    <w:rsid w:val="667F0710"/>
    <w:rsid w:val="6694281E"/>
    <w:rsid w:val="669E749A"/>
    <w:rsid w:val="66A940F4"/>
    <w:rsid w:val="66AF25D7"/>
    <w:rsid w:val="66FA1F77"/>
    <w:rsid w:val="67120C85"/>
    <w:rsid w:val="6727776B"/>
    <w:rsid w:val="67363882"/>
    <w:rsid w:val="674628E6"/>
    <w:rsid w:val="67477B38"/>
    <w:rsid w:val="67511783"/>
    <w:rsid w:val="67646470"/>
    <w:rsid w:val="676573C8"/>
    <w:rsid w:val="676911A5"/>
    <w:rsid w:val="67703392"/>
    <w:rsid w:val="67947420"/>
    <w:rsid w:val="679D0397"/>
    <w:rsid w:val="67C95746"/>
    <w:rsid w:val="67D5727D"/>
    <w:rsid w:val="67E523E5"/>
    <w:rsid w:val="67E605BE"/>
    <w:rsid w:val="67F60E3F"/>
    <w:rsid w:val="67FD2B4E"/>
    <w:rsid w:val="6803337F"/>
    <w:rsid w:val="680A3C32"/>
    <w:rsid w:val="68210723"/>
    <w:rsid w:val="682846EE"/>
    <w:rsid w:val="682B4FCB"/>
    <w:rsid w:val="68467B1A"/>
    <w:rsid w:val="685A192E"/>
    <w:rsid w:val="685B7AC7"/>
    <w:rsid w:val="68746E1C"/>
    <w:rsid w:val="688658EC"/>
    <w:rsid w:val="68BA26EC"/>
    <w:rsid w:val="68CE53BB"/>
    <w:rsid w:val="68D02FF4"/>
    <w:rsid w:val="68EA2AA8"/>
    <w:rsid w:val="69033287"/>
    <w:rsid w:val="690925D1"/>
    <w:rsid w:val="695F12B7"/>
    <w:rsid w:val="69871D5C"/>
    <w:rsid w:val="69914C31"/>
    <w:rsid w:val="6993308B"/>
    <w:rsid w:val="69975E20"/>
    <w:rsid w:val="699F0A4B"/>
    <w:rsid w:val="69C03C0D"/>
    <w:rsid w:val="69C20B17"/>
    <w:rsid w:val="69C95365"/>
    <w:rsid w:val="69D13DDC"/>
    <w:rsid w:val="69F04F3A"/>
    <w:rsid w:val="6A090D04"/>
    <w:rsid w:val="6A120357"/>
    <w:rsid w:val="6A2479FA"/>
    <w:rsid w:val="6A4A15B1"/>
    <w:rsid w:val="6A6D5135"/>
    <w:rsid w:val="6A7062A5"/>
    <w:rsid w:val="6A81457D"/>
    <w:rsid w:val="6A862DD0"/>
    <w:rsid w:val="6A932AB3"/>
    <w:rsid w:val="6AA4189B"/>
    <w:rsid w:val="6ACE2F7D"/>
    <w:rsid w:val="6AEB4807"/>
    <w:rsid w:val="6B074CBB"/>
    <w:rsid w:val="6B1C579B"/>
    <w:rsid w:val="6B227D5F"/>
    <w:rsid w:val="6B2E5607"/>
    <w:rsid w:val="6B546867"/>
    <w:rsid w:val="6B572E41"/>
    <w:rsid w:val="6B58707C"/>
    <w:rsid w:val="6B6343EB"/>
    <w:rsid w:val="6B6B1ADC"/>
    <w:rsid w:val="6B740145"/>
    <w:rsid w:val="6B746B02"/>
    <w:rsid w:val="6B782FC9"/>
    <w:rsid w:val="6BC2624C"/>
    <w:rsid w:val="6BC4352C"/>
    <w:rsid w:val="6BD70B36"/>
    <w:rsid w:val="6BD823E9"/>
    <w:rsid w:val="6BDD7ED6"/>
    <w:rsid w:val="6BDF0D50"/>
    <w:rsid w:val="6BE90B4B"/>
    <w:rsid w:val="6BEA03C1"/>
    <w:rsid w:val="6BEC37B1"/>
    <w:rsid w:val="6C1063EA"/>
    <w:rsid w:val="6C180CD2"/>
    <w:rsid w:val="6C247095"/>
    <w:rsid w:val="6C296B80"/>
    <w:rsid w:val="6C482EED"/>
    <w:rsid w:val="6C5231CF"/>
    <w:rsid w:val="6C774E29"/>
    <w:rsid w:val="6C82039E"/>
    <w:rsid w:val="6C852D49"/>
    <w:rsid w:val="6C8908D8"/>
    <w:rsid w:val="6C8F1565"/>
    <w:rsid w:val="6C995782"/>
    <w:rsid w:val="6C9D0FB1"/>
    <w:rsid w:val="6CB55448"/>
    <w:rsid w:val="6D0A4265"/>
    <w:rsid w:val="6D164AC1"/>
    <w:rsid w:val="6D1F5F98"/>
    <w:rsid w:val="6D433068"/>
    <w:rsid w:val="6D4573FA"/>
    <w:rsid w:val="6D4E48F3"/>
    <w:rsid w:val="6D857735"/>
    <w:rsid w:val="6D8B427F"/>
    <w:rsid w:val="6D9B2DA9"/>
    <w:rsid w:val="6D9D3859"/>
    <w:rsid w:val="6DAA0F1E"/>
    <w:rsid w:val="6DEF3DE7"/>
    <w:rsid w:val="6DF219F0"/>
    <w:rsid w:val="6E200312"/>
    <w:rsid w:val="6E203FA2"/>
    <w:rsid w:val="6E263A16"/>
    <w:rsid w:val="6E2F7E25"/>
    <w:rsid w:val="6E351DC2"/>
    <w:rsid w:val="6E764DA9"/>
    <w:rsid w:val="6E7A34C8"/>
    <w:rsid w:val="6E822806"/>
    <w:rsid w:val="6EB3012C"/>
    <w:rsid w:val="6EC43405"/>
    <w:rsid w:val="6EDA2F2B"/>
    <w:rsid w:val="6EE06260"/>
    <w:rsid w:val="6EEA4C6C"/>
    <w:rsid w:val="6F17521C"/>
    <w:rsid w:val="6F2E7C78"/>
    <w:rsid w:val="6F612AC3"/>
    <w:rsid w:val="6F7D00B0"/>
    <w:rsid w:val="6F9C689E"/>
    <w:rsid w:val="6F9C7F74"/>
    <w:rsid w:val="6FAB66F6"/>
    <w:rsid w:val="6FB361BB"/>
    <w:rsid w:val="6FD86C44"/>
    <w:rsid w:val="6FFB3BCE"/>
    <w:rsid w:val="6FFC5D64"/>
    <w:rsid w:val="700D099D"/>
    <w:rsid w:val="70152630"/>
    <w:rsid w:val="70291231"/>
    <w:rsid w:val="70305B2F"/>
    <w:rsid w:val="703A1ACA"/>
    <w:rsid w:val="70432C36"/>
    <w:rsid w:val="704A2680"/>
    <w:rsid w:val="70577091"/>
    <w:rsid w:val="706E7AC8"/>
    <w:rsid w:val="70901668"/>
    <w:rsid w:val="709B272B"/>
    <w:rsid w:val="70BD07B0"/>
    <w:rsid w:val="70C0153A"/>
    <w:rsid w:val="70C9728E"/>
    <w:rsid w:val="70E53970"/>
    <w:rsid w:val="70F87F9A"/>
    <w:rsid w:val="71291DF8"/>
    <w:rsid w:val="712B0DA0"/>
    <w:rsid w:val="712D43F2"/>
    <w:rsid w:val="715251DD"/>
    <w:rsid w:val="717479DE"/>
    <w:rsid w:val="71842C09"/>
    <w:rsid w:val="71906A7F"/>
    <w:rsid w:val="71B2171A"/>
    <w:rsid w:val="71B51EDE"/>
    <w:rsid w:val="71C56127"/>
    <w:rsid w:val="71E16922"/>
    <w:rsid w:val="71E5591F"/>
    <w:rsid w:val="72117FC7"/>
    <w:rsid w:val="72194DCA"/>
    <w:rsid w:val="721F086F"/>
    <w:rsid w:val="7231134F"/>
    <w:rsid w:val="724B7FD3"/>
    <w:rsid w:val="72632151"/>
    <w:rsid w:val="729D55C6"/>
    <w:rsid w:val="729E2AD1"/>
    <w:rsid w:val="72A20C94"/>
    <w:rsid w:val="72BD364C"/>
    <w:rsid w:val="72E12F64"/>
    <w:rsid w:val="72F023AF"/>
    <w:rsid w:val="72F66CB5"/>
    <w:rsid w:val="730125F2"/>
    <w:rsid w:val="733A3AC2"/>
    <w:rsid w:val="734E4869"/>
    <w:rsid w:val="73983F11"/>
    <w:rsid w:val="740A6A4A"/>
    <w:rsid w:val="74123AF5"/>
    <w:rsid w:val="74193428"/>
    <w:rsid w:val="741B1524"/>
    <w:rsid w:val="742522EA"/>
    <w:rsid w:val="742B43B3"/>
    <w:rsid w:val="74485A21"/>
    <w:rsid w:val="7459417B"/>
    <w:rsid w:val="7471785E"/>
    <w:rsid w:val="747609B8"/>
    <w:rsid w:val="74832C68"/>
    <w:rsid w:val="749234C4"/>
    <w:rsid w:val="74C154BC"/>
    <w:rsid w:val="74C17090"/>
    <w:rsid w:val="74E837F7"/>
    <w:rsid w:val="74F74698"/>
    <w:rsid w:val="75105DB9"/>
    <w:rsid w:val="7545573F"/>
    <w:rsid w:val="755B7303"/>
    <w:rsid w:val="756A42EA"/>
    <w:rsid w:val="757F4FB2"/>
    <w:rsid w:val="75894D67"/>
    <w:rsid w:val="758F0B5D"/>
    <w:rsid w:val="759C5603"/>
    <w:rsid w:val="759D24EB"/>
    <w:rsid w:val="75C31666"/>
    <w:rsid w:val="75C865CB"/>
    <w:rsid w:val="75DB6F21"/>
    <w:rsid w:val="75E747C4"/>
    <w:rsid w:val="75E95796"/>
    <w:rsid w:val="75FE1C50"/>
    <w:rsid w:val="760653F5"/>
    <w:rsid w:val="761E4516"/>
    <w:rsid w:val="76382D09"/>
    <w:rsid w:val="76480B5B"/>
    <w:rsid w:val="76561D00"/>
    <w:rsid w:val="767E3365"/>
    <w:rsid w:val="768250F6"/>
    <w:rsid w:val="76CB11DA"/>
    <w:rsid w:val="76CE49B5"/>
    <w:rsid w:val="76CF0232"/>
    <w:rsid w:val="76D83568"/>
    <w:rsid w:val="76E35D13"/>
    <w:rsid w:val="76E51098"/>
    <w:rsid w:val="76FC0BDC"/>
    <w:rsid w:val="77034AAF"/>
    <w:rsid w:val="770B7F52"/>
    <w:rsid w:val="7734127E"/>
    <w:rsid w:val="77384934"/>
    <w:rsid w:val="77400BCC"/>
    <w:rsid w:val="77516332"/>
    <w:rsid w:val="77577B6E"/>
    <w:rsid w:val="77626A2C"/>
    <w:rsid w:val="77780912"/>
    <w:rsid w:val="7785352B"/>
    <w:rsid w:val="779D6857"/>
    <w:rsid w:val="77B75520"/>
    <w:rsid w:val="77BF49EB"/>
    <w:rsid w:val="77E97109"/>
    <w:rsid w:val="77E974BA"/>
    <w:rsid w:val="77FF0768"/>
    <w:rsid w:val="78082B5E"/>
    <w:rsid w:val="780920A2"/>
    <w:rsid w:val="781D06DC"/>
    <w:rsid w:val="781F41DD"/>
    <w:rsid w:val="782829F9"/>
    <w:rsid w:val="78381A5E"/>
    <w:rsid w:val="78527B91"/>
    <w:rsid w:val="7855248D"/>
    <w:rsid w:val="78720E86"/>
    <w:rsid w:val="78726A76"/>
    <w:rsid w:val="788F2D63"/>
    <w:rsid w:val="789A28C7"/>
    <w:rsid w:val="78A57199"/>
    <w:rsid w:val="78AB163D"/>
    <w:rsid w:val="78B404AE"/>
    <w:rsid w:val="78BF1A88"/>
    <w:rsid w:val="78D6479B"/>
    <w:rsid w:val="78DB705D"/>
    <w:rsid w:val="791075CB"/>
    <w:rsid w:val="791302D5"/>
    <w:rsid w:val="79521AE0"/>
    <w:rsid w:val="796419CB"/>
    <w:rsid w:val="79794F50"/>
    <w:rsid w:val="7984239D"/>
    <w:rsid w:val="79991EEA"/>
    <w:rsid w:val="79B92076"/>
    <w:rsid w:val="79C47176"/>
    <w:rsid w:val="79C920C5"/>
    <w:rsid w:val="79DF3B7A"/>
    <w:rsid w:val="79E978EB"/>
    <w:rsid w:val="79F0317F"/>
    <w:rsid w:val="7A220940"/>
    <w:rsid w:val="7A310AF2"/>
    <w:rsid w:val="7A6F17C4"/>
    <w:rsid w:val="7A7C32DC"/>
    <w:rsid w:val="7A8C04D2"/>
    <w:rsid w:val="7A9271F8"/>
    <w:rsid w:val="7AAB1658"/>
    <w:rsid w:val="7AB00F74"/>
    <w:rsid w:val="7AC52F60"/>
    <w:rsid w:val="7AC95695"/>
    <w:rsid w:val="7AE928BD"/>
    <w:rsid w:val="7AEB58E2"/>
    <w:rsid w:val="7B117C64"/>
    <w:rsid w:val="7B48105E"/>
    <w:rsid w:val="7B534BF1"/>
    <w:rsid w:val="7B6B259F"/>
    <w:rsid w:val="7B761F7E"/>
    <w:rsid w:val="7B980680"/>
    <w:rsid w:val="7BAD1212"/>
    <w:rsid w:val="7BF70CB6"/>
    <w:rsid w:val="7BF95732"/>
    <w:rsid w:val="7C11538B"/>
    <w:rsid w:val="7C220378"/>
    <w:rsid w:val="7C4214A2"/>
    <w:rsid w:val="7C613D65"/>
    <w:rsid w:val="7C6723BD"/>
    <w:rsid w:val="7C8F4102"/>
    <w:rsid w:val="7C961098"/>
    <w:rsid w:val="7C9C0F16"/>
    <w:rsid w:val="7C9E7950"/>
    <w:rsid w:val="7CAA2DAF"/>
    <w:rsid w:val="7CB510B4"/>
    <w:rsid w:val="7CBD4E49"/>
    <w:rsid w:val="7CDC4782"/>
    <w:rsid w:val="7CE25225"/>
    <w:rsid w:val="7CE31DA8"/>
    <w:rsid w:val="7CF2390F"/>
    <w:rsid w:val="7D166575"/>
    <w:rsid w:val="7D230305"/>
    <w:rsid w:val="7D2462B5"/>
    <w:rsid w:val="7D252BEB"/>
    <w:rsid w:val="7D287BAE"/>
    <w:rsid w:val="7D3A0230"/>
    <w:rsid w:val="7D4234C4"/>
    <w:rsid w:val="7D606AA6"/>
    <w:rsid w:val="7D6336D6"/>
    <w:rsid w:val="7D671C04"/>
    <w:rsid w:val="7D843919"/>
    <w:rsid w:val="7DBD7FEA"/>
    <w:rsid w:val="7DE73C42"/>
    <w:rsid w:val="7DF954D8"/>
    <w:rsid w:val="7E0651C7"/>
    <w:rsid w:val="7E077300"/>
    <w:rsid w:val="7E1C3B8F"/>
    <w:rsid w:val="7E225C2D"/>
    <w:rsid w:val="7E297044"/>
    <w:rsid w:val="7E7B758A"/>
    <w:rsid w:val="7EAD6DF1"/>
    <w:rsid w:val="7EB115E8"/>
    <w:rsid w:val="7EB44151"/>
    <w:rsid w:val="7ECD0CD2"/>
    <w:rsid w:val="7EEF188F"/>
    <w:rsid w:val="7EFD417D"/>
    <w:rsid w:val="7F057CB4"/>
    <w:rsid w:val="7F261F70"/>
    <w:rsid w:val="7F5401B9"/>
    <w:rsid w:val="7F6106E9"/>
    <w:rsid w:val="7F6E2CB5"/>
    <w:rsid w:val="7F6F0485"/>
    <w:rsid w:val="7F6F7C74"/>
    <w:rsid w:val="7F736901"/>
    <w:rsid w:val="7F840253"/>
    <w:rsid w:val="7F89110D"/>
    <w:rsid w:val="7FB336A4"/>
    <w:rsid w:val="7FBE2CAA"/>
    <w:rsid w:val="7FD657C5"/>
    <w:rsid w:val="7FF150E6"/>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66"/>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5">
    <w:name w:val="heading 2"/>
    <w:basedOn w:val="1"/>
    <w:next w:val="1"/>
    <w:link w:val="100"/>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6">
    <w:name w:val="heading 3"/>
    <w:basedOn w:val="1"/>
    <w:next w:val="1"/>
    <w:link w:val="102"/>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7">
    <w:name w:val="heading 4"/>
    <w:basedOn w:val="1"/>
    <w:next w:val="1"/>
    <w:link w:val="98"/>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92"/>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9">
    <w:name w:val="heading 6"/>
    <w:basedOn w:val="1"/>
    <w:next w:val="1"/>
    <w:link w:val="90"/>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10">
    <w:name w:val="heading 7"/>
    <w:basedOn w:val="1"/>
    <w:next w:val="1"/>
    <w:link w:val="82"/>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5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87"/>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0"/>
    <w:pPr>
      <w:spacing w:after="120"/>
    </w:pPr>
  </w:style>
  <w:style w:type="paragraph" w:styleId="3">
    <w:name w:val="Plain Text"/>
    <w:basedOn w:val="1"/>
    <w:link w:val="104"/>
    <w:qFormat/>
    <w:uiPriority w:val="99"/>
    <w:pPr>
      <w:widowControl w:val="0"/>
      <w:autoSpaceDE w:val="0"/>
      <w:autoSpaceDN w:val="0"/>
      <w:adjustRightInd w:val="0"/>
      <w:jc w:val="both"/>
    </w:pPr>
    <w:rPr>
      <w:rFonts w:ascii="宋体" w:hAnsi="Tms Rmn"/>
      <w:sz w:val="21"/>
      <w:szCs w:val="21"/>
    </w:rPr>
  </w:style>
  <w:style w:type="paragraph" w:styleId="13">
    <w:name w:val="toc 7"/>
    <w:basedOn w:val="1"/>
    <w:next w:val="1"/>
    <w:qFormat/>
    <w:uiPriority w:val="0"/>
    <w:pPr>
      <w:widowControl w:val="0"/>
      <w:ind w:left="1080"/>
    </w:pPr>
    <w:rPr>
      <w:kern w:val="2"/>
      <w:sz w:val="18"/>
      <w:szCs w:val="20"/>
    </w:rPr>
  </w:style>
  <w:style w:type="paragraph" w:styleId="14">
    <w:name w:val="index 8"/>
    <w:basedOn w:val="1"/>
    <w:next w:val="1"/>
    <w:qFormat/>
    <w:uiPriority w:val="0"/>
    <w:pPr>
      <w:ind w:left="1400" w:leftChars="1400"/>
    </w:pPr>
    <w:rPr>
      <w:szCs w:val="20"/>
    </w:rPr>
  </w:style>
  <w:style w:type="paragraph" w:styleId="15">
    <w:name w:val="Normal Indent"/>
    <w:basedOn w:val="1"/>
    <w:link w:val="85"/>
    <w:qFormat/>
    <w:uiPriority w:val="0"/>
    <w:pPr>
      <w:widowControl w:val="0"/>
      <w:spacing w:line="360" w:lineRule="auto"/>
      <w:ind w:firstLine="420" w:firstLineChars="200"/>
      <w:jc w:val="both"/>
    </w:pPr>
    <w:rPr>
      <w:kern w:val="2"/>
      <w:sz w:val="21"/>
    </w:rPr>
  </w:style>
  <w:style w:type="paragraph" w:styleId="16">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7">
    <w:name w:val="Document Map"/>
    <w:basedOn w:val="1"/>
    <w:link w:val="78"/>
    <w:unhideWhenUsed/>
    <w:qFormat/>
    <w:uiPriority w:val="99"/>
    <w:rPr>
      <w:rFonts w:ascii="宋体"/>
      <w:sz w:val="18"/>
      <w:szCs w:val="18"/>
    </w:rPr>
  </w:style>
  <w:style w:type="paragraph" w:styleId="18">
    <w:name w:val="annotation text"/>
    <w:basedOn w:val="1"/>
    <w:link w:val="60"/>
    <w:qFormat/>
    <w:uiPriority w:val="0"/>
    <w:pPr>
      <w:widowControl w:val="0"/>
    </w:pPr>
    <w:rPr>
      <w:kern w:val="2"/>
      <w:sz w:val="18"/>
      <w:szCs w:val="20"/>
    </w:rPr>
  </w:style>
  <w:style w:type="paragraph" w:styleId="19">
    <w:name w:val="Salutation"/>
    <w:basedOn w:val="1"/>
    <w:next w:val="1"/>
    <w:link w:val="86"/>
    <w:qFormat/>
    <w:uiPriority w:val="0"/>
    <w:pPr>
      <w:widowControl w:val="0"/>
      <w:jc w:val="both"/>
    </w:pPr>
    <w:rPr>
      <w:rFonts w:eastAsia="黑体"/>
      <w:kern w:val="2"/>
      <w:szCs w:val="20"/>
    </w:rPr>
  </w:style>
  <w:style w:type="paragraph" w:styleId="20">
    <w:name w:val="Body Text 3"/>
    <w:basedOn w:val="1"/>
    <w:link w:val="99"/>
    <w:qFormat/>
    <w:uiPriority w:val="0"/>
    <w:pPr>
      <w:spacing w:after="120"/>
    </w:pPr>
    <w:rPr>
      <w:sz w:val="16"/>
      <w:szCs w:val="16"/>
    </w:rPr>
  </w:style>
  <w:style w:type="paragraph" w:styleId="21">
    <w:name w:val="Body Text Indent"/>
    <w:basedOn w:val="1"/>
    <w:link w:val="83"/>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toc 5"/>
    <w:basedOn w:val="1"/>
    <w:next w:val="1"/>
    <w:qFormat/>
    <w:uiPriority w:val="0"/>
    <w:pPr>
      <w:widowControl w:val="0"/>
      <w:ind w:left="720"/>
    </w:pPr>
    <w:rPr>
      <w:kern w:val="2"/>
      <w:sz w:val="18"/>
      <w:szCs w:val="20"/>
    </w:rPr>
  </w:style>
  <w:style w:type="paragraph" w:styleId="24">
    <w:name w:val="toc 3"/>
    <w:basedOn w:val="1"/>
    <w:next w:val="1"/>
    <w:qFormat/>
    <w:uiPriority w:val="0"/>
    <w:pPr>
      <w:widowControl w:val="0"/>
      <w:ind w:left="360"/>
    </w:pPr>
    <w:rPr>
      <w:i/>
      <w:kern w:val="2"/>
      <w:sz w:val="20"/>
      <w:szCs w:val="20"/>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9"/>
    <w:qFormat/>
    <w:uiPriority w:val="0"/>
    <w:pPr>
      <w:ind w:left="100" w:leftChars="2500"/>
    </w:pPr>
  </w:style>
  <w:style w:type="paragraph" w:styleId="27">
    <w:name w:val="Body Text Indent 2"/>
    <w:basedOn w:val="1"/>
    <w:link w:val="97"/>
    <w:qFormat/>
    <w:uiPriority w:val="0"/>
    <w:pPr>
      <w:widowControl w:val="0"/>
      <w:ind w:firstLine="540" w:firstLineChars="257"/>
      <w:jc w:val="both"/>
    </w:pPr>
    <w:rPr>
      <w:kern w:val="2"/>
      <w:sz w:val="21"/>
    </w:rPr>
  </w:style>
  <w:style w:type="paragraph" w:styleId="28">
    <w:name w:val="Balloon Text"/>
    <w:basedOn w:val="1"/>
    <w:link w:val="91"/>
    <w:semiHidden/>
    <w:qFormat/>
    <w:uiPriority w:val="0"/>
    <w:rPr>
      <w:sz w:val="18"/>
      <w:szCs w:val="18"/>
    </w:rPr>
  </w:style>
  <w:style w:type="paragraph" w:styleId="29">
    <w:name w:val="footer"/>
    <w:basedOn w:val="1"/>
    <w:link w:val="76"/>
    <w:qFormat/>
    <w:uiPriority w:val="99"/>
    <w:pPr>
      <w:tabs>
        <w:tab w:val="center" w:pos="4153"/>
        <w:tab w:val="right" w:pos="8306"/>
      </w:tabs>
      <w:snapToGrid w:val="0"/>
    </w:pPr>
    <w:rPr>
      <w:sz w:val="18"/>
      <w:szCs w:val="18"/>
    </w:rPr>
  </w:style>
  <w:style w:type="paragraph" w:styleId="30">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81"/>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72"/>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3"/>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8"/>
    <w:next w:val="18"/>
    <w:link w:val="58"/>
    <w:qFormat/>
    <w:uiPriority w:val="0"/>
    <w:rPr>
      <w:b/>
    </w:rPr>
  </w:style>
  <w:style w:type="paragraph" w:styleId="42">
    <w:name w:val="Body Text First Indent"/>
    <w:basedOn w:val="2"/>
    <w:link w:val="84"/>
    <w:qFormat/>
    <w:uiPriority w:val="0"/>
    <w:pPr>
      <w:widowControl w:val="0"/>
      <w:ind w:firstLine="420" w:firstLineChars="100"/>
      <w:jc w:val="both"/>
    </w:pPr>
    <w:rPr>
      <w:rFonts w:ascii="宋体" w:hAnsi="宋体"/>
      <w:kern w:val="2"/>
      <w:sz w:val="21"/>
    </w:rPr>
  </w:style>
  <w:style w:type="paragraph" w:styleId="43">
    <w:name w:val="Body Text First Indent 2"/>
    <w:basedOn w:val="21"/>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customStyle="1" w:styleId="53">
    <w:name w:val="引用1"/>
    <w:next w:val="1"/>
    <w:qFormat/>
    <w:uiPriority w:val="0"/>
    <w:pPr>
      <w:wordWrap w:val="0"/>
      <w:spacing w:before="200" w:after="160"/>
      <w:ind w:left="864" w:right="864"/>
    </w:pPr>
    <w:rPr>
      <w:rFonts w:ascii="Calibri" w:hAnsi="Calibri" w:eastAsia="仿宋_GB2312" w:cs="Times New Roman"/>
      <w:sz w:val="24"/>
      <w:lang w:val="en-US" w:eastAsia="zh-CN" w:bidi="ar-SA"/>
    </w:rPr>
  </w:style>
  <w:style w:type="paragraph" w:customStyle="1" w:styleId="54">
    <w:name w:val="标题 5（有编号）（绿盟科技）"/>
    <w:basedOn w:val="1"/>
    <w:next w:val="55"/>
    <w:qFormat/>
    <w:uiPriority w:val="0"/>
    <w:pPr>
      <w:keepNext/>
      <w:keepLines/>
      <w:numPr>
        <w:ilvl w:val="4"/>
        <w:numId w:val="4"/>
      </w:numPr>
      <w:spacing w:before="280" w:after="156" w:line="377" w:lineRule="auto"/>
      <w:outlineLvl w:val="4"/>
    </w:pPr>
    <w:rPr>
      <w:rFonts w:ascii="Arial" w:hAnsi="Arial" w:eastAsia="黑体"/>
      <w:b/>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 w:type="paragraph" w:styleId="56">
    <w:name w:val="Quote"/>
    <w:basedOn w:val="1"/>
    <w:next w:val="1"/>
    <w:qFormat/>
    <w:uiPriority w:val="0"/>
    <w:pPr>
      <w:wordWrap w:val="0"/>
      <w:spacing w:before="200" w:after="160"/>
      <w:ind w:left="864" w:right="864"/>
      <w:jc w:val="center"/>
    </w:pPr>
    <w:rPr>
      <w:i/>
    </w:rPr>
  </w:style>
  <w:style w:type="paragraph" w:customStyle="1" w:styleId="57">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8">
    <w:name w:val="批注主题 字符"/>
    <w:link w:val="41"/>
    <w:qFormat/>
    <w:uiPriority w:val="0"/>
    <w:rPr>
      <w:b/>
      <w:kern w:val="2"/>
      <w:sz w:val="18"/>
    </w:rPr>
  </w:style>
  <w:style w:type="character" w:customStyle="1" w:styleId="59">
    <w:name w:val="标题 8 字符"/>
    <w:link w:val="11"/>
    <w:qFormat/>
    <w:uiPriority w:val="0"/>
    <w:rPr>
      <w:rFonts w:ascii="Arial" w:hAnsi="Arial" w:eastAsia="黑体"/>
      <w:kern w:val="2"/>
      <w:sz w:val="24"/>
    </w:rPr>
  </w:style>
  <w:style w:type="character" w:customStyle="1" w:styleId="60">
    <w:name w:val="批注文字 字符"/>
    <w:link w:val="18"/>
    <w:qFormat/>
    <w:uiPriority w:val="0"/>
    <w:rPr>
      <w:kern w:val="2"/>
      <w:sz w:val="18"/>
    </w:rPr>
  </w:style>
  <w:style w:type="character" w:customStyle="1" w:styleId="61">
    <w:name w:val="fontblank12"/>
    <w:basedOn w:val="47"/>
    <w:qFormat/>
    <w:uiPriority w:val="0"/>
  </w:style>
  <w:style w:type="character" w:customStyle="1" w:styleId="62">
    <w:name w:val="标书（正文） Char"/>
    <w:link w:val="63"/>
    <w:qFormat/>
    <w:uiPriority w:val="0"/>
    <w:rPr>
      <w:rFonts w:ascii="宋体" w:hAnsi="宋体"/>
      <w:b/>
      <w:kern w:val="10"/>
      <w:sz w:val="21"/>
    </w:rPr>
  </w:style>
  <w:style w:type="paragraph" w:customStyle="1" w:styleId="63">
    <w:name w:val="标书（正文）"/>
    <w:basedOn w:val="1"/>
    <w:link w:val="62"/>
    <w:qFormat/>
    <w:uiPriority w:val="0"/>
    <w:pPr>
      <w:widowControl w:val="0"/>
      <w:spacing w:line="360" w:lineRule="auto"/>
      <w:ind w:firstLine="560" w:firstLineChars="200"/>
      <w:jc w:val="both"/>
    </w:pPr>
    <w:rPr>
      <w:rFonts w:ascii="宋体" w:hAnsi="宋体"/>
      <w:b/>
      <w:kern w:val="10"/>
      <w:sz w:val="21"/>
      <w:szCs w:val="20"/>
    </w:rPr>
  </w:style>
  <w:style w:type="character" w:customStyle="1" w:styleId="64">
    <w:name w:val="Char Char4"/>
    <w:qFormat/>
    <w:uiPriority w:val="0"/>
    <w:rPr>
      <w:rFonts w:ascii="宋体" w:hAnsi="Courier New" w:eastAsia="宋体"/>
      <w:kern w:val="2"/>
      <w:sz w:val="21"/>
      <w:lang w:val="en-US" w:eastAsia="zh-CN"/>
    </w:rPr>
  </w:style>
  <w:style w:type="character" w:customStyle="1" w:styleId="65">
    <w:name w:val="textnormchn1"/>
    <w:basedOn w:val="47"/>
    <w:qFormat/>
    <w:uiPriority w:val="0"/>
  </w:style>
  <w:style w:type="character" w:customStyle="1" w:styleId="66">
    <w:name w:val="标题 1 字符"/>
    <w:link w:val="4"/>
    <w:qFormat/>
    <w:uiPriority w:val="0"/>
    <w:rPr>
      <w:rFonts w:ascii="宋体" w:hAnsi="宋体"/>
      <w:b/>
      <w:bCs/>
      <w:kern w:val="44"/>
      <w:sz w:val="32"/>
      <w:szCs w:val="32"/>
    </w:rPr>
  </w:style>
  <w:style w:type="character" w:customStyle="1" w:styleId="67">
    <w:name w:val="列出段落 Char"/>
    <w:link w:val="68"/>
    <w:qFormat/>
    <w:uiPriority w:val="0"/>
    <w:rPr>
      <w:sz w:val="24"/>
      <w:szCs w:val="24"/>
    </w:rPr>
  </w:style>
  <w:style w:type="paragraph" w:customStyle="1" w:styleId="68">
    <w:name w:val="列出段落1"/>
    <w:basedOn w:val="1"/>
    <w:link w:val="67"/>
    <w:qFormat/>
    <w:uiPriority w:val="0"/>
    <w:pPr>
      <w:ind w:firstLine="420" w:firstLineChars="200"/>
    </w:pPr>
  </w:style>
  <w:style w:type="character" w:customStyle="1" w:styleId="69">
    <w:name w:val="CD正文 Char"/>
    <w:link w:val="70"/>
    <w:qFormat/>
    <w:uiPriority w:val="0"/>
    <w:rPr>
      <w:kern w:val="2"/>
      <w:sz w:val="30"/>
      <w:szCs w:val="28"/>
    </w:rPr>
  </w:style>
  <w:style w:type="paragraph" w:customStyle="1" w:styleId="70">
    <w:name w:val="CD正文"/>
    <w:basedOn w:val="71"/>
    <w:link w:val="69"/>
    <w:qFormat/>
    <w:uiPriority w:val="0"/>
    <w:pPr>
      <w:ind w:firstLine="493"/>
    </w:pPr>
    <w:rPr>
      <w:sz w:val="30"/>
      <w:szCs w:val="28"/>
    </w:rPr>
  </w:style>
  <w:style w:type="paragraph" w:customStyle="1" w:styleId="71">
    <w:name w:val="文章正文"/>
    <w:basedOn w:val="1"/>
    <w:link w:val="80"/>
    <w:qFormat/>
    <w:uiPriority w:val="0"/>
    <w:pPr>
      <w:widowControl w:val="0"/>
      <w:spacing w:line="360" w:lineRule="auto"/>
      <w:ind w:firstLine="420"/>
      <w:jc w:val="both"/>
    </w:pPr>
    <w:rPr>
      <w:kern w:val="2"/>
    </w:rPr>
  </w:style>
  <w:style w:type="character" w:customStyle="1" w:styleId="72">
    <w:name w:val="正文文本 2 字符"/>
    <w:link w:val="38"/>
    <w:qFormat/>
    <w:uiPriority w:val="0"/>
    <w:rPr>
      <w:sz w:val="21"/>
      <w:szCs w:val="21"/>
    </w:rPr>
  </w:style>
  <w:style w:type="character" w:customStyle="1" w:styleId="73">
    <w:name w:val="（符号）三标题1.1 Char Char"/>
    <w:link w:val="74"/>
    <w:qFormat/>
    <w:uiPriority w:val="0"/>
    <w:rPr>
      <w:rFonts w:ascii="宋体" w:hAnsi="宋体"/>
      <w:kern w:val="2"/>
      <w:sz w:val="24"/>
      <w:szCs w:val="24"/>
    </w:rPr>
  </w:style>
  <w:style w:type="paragraph" w:customStyle="1" w:styleId="74">
    <w:name w:val="（符号）三标题1.1"/>
    <w:basedOn w:val="1"/>
    <w:link w:val="73"/>
    <w:qFormat/>
    <w:uiPriority w:val="0"/>
    <w:pPr>
      <w:widowControl w:val="0"/>
      <w:numPr>
        <w:ilvl w:val="1"/>
        <w:numId w:val="5"/>
      </w:numPr>
      <w:tabs>
        <w:tab w:val="left" w:pos="700"/>
        <w:tab w:val="left" w:pos="840"/>
      </w:tabs>
      <w:spacing w:line="500" w:lineRule="exact"/>
      <w:jc w:val="both"/>
    </w:pPr>
    <w:rPr>
      <w:rFonts w:ascii="宋体" w:hAnsi="宋体"/>
      <w:kern w:val="2"/>
    </w:rPr>
  </w:style>
  <w:style w:type="character" w:customStyle="1" w:styleId="75">
    <w:name w:val="grame"/>
    <w:basedOn w:val="47"/>
    <w:qFormat/>
    <w:uiPriority w:val="0"/>
  </w:style>
  <w:style w:type="character" w:customStyle="1" w:styleId="76">
    <w:name w:val="页脚 字符"/>
    <w:link w:val="29"/>
    <w:qFormat/>
    <w:uiPriority w:val="99"/>
    <w:rPr>
      <w:sz w:val="18"/>
      <w:szCs w:val="18"/>
    </w:rPr>
  </w:style>
  <w:style w:type="character" w:customStyle="1" w:styleId="77">
    <w:name w:val="keyword"/>
    <w:basedOn w:val="47"/>
    <w:qFormat/>
    <w:uiPriority w:val="0"/>
  </w:style>
  <w:style w:type="character" w:customStyle="1" w:styleId="78">
    <w:name w:val="文档结构图 字符"/>
    <w:link w:val="17"/>
    <w:semiHidden/>
    <w:qFormat/>
    <w:uiPriority w:val="99"/>
    <w:rPr>
      <w:rFonts w:ascii="宋体"/>
      <w:sz w:val="18"/>
      <w:szCs w:val="18"/>
    </w:rPr>
  </w:style>
  <w:style w:type="character" w:customStyle="1" w:styleId="79">
    <w:name w:val="日期 字符"/>
    <w:link w:val="26"/>
    <w:qFormat/>
    <w:uiPriority w:val="0"/>
    <w:rPr>
      <w:sz w:val="24"/>
      <w:szCs w:val="24"/>
    </w:rPr>
  </w:style>
  <w:style w:type="character" w:customStyle="1" w:styleId="80">
    <w:name w:val="文章正文 Char"/>
    <w:link w:val="71"/>
    <w:qFormat/>
    <w:uiPriority w:val="0"/>
    <w:rPr>
      <w:kern w:val="2"/>
      <w:sz w:val="24"/>
      <w:szCs w:val="24"/>
    </w:rPr>
  </w:style>
  <w:style w:type="character" w:customStyle="1" w:styleId="81">
    <w:name w:val="正文文本缩进 3 字符"/>
    <w:link w:val="35"/>
    <w:qFormat/>
    <w:uiPriority w:val="0"/>
    <w:rPr>
      <w:kern w:val="2"/>
      <w:sz w:val="16"/>
      <w:szCs w:val="16"/>
    </w:rPr>
  </w:style>
  <w:style w:type="character" w:customStyle="1" w:styleId="82">
    <w:name w:val="标题 7 字符"/>
    <w:link w:val="10"/>
    <w:qFormat/>
    <w:uiPriority w:val="0"/>
    <w:rPr>
      <w:rFonts w:ascii="Arial Narrow" w:hAnsi="Arial Narrow"/>
      <w:b/>
      <w:lang w:eastAsia="en-US"/>
    </w:rPr>
  </w:style>
  <w:style w:type="character" w:customStyle="1" w:styleId="83">
    <w:name w:val="正文文本缩进 字符"/>
    <w:link w:val="21"/>
    <w:qFormat/>
    <w:uiPriority w:val="0"/>
    <w:rPr>
      <w:rFonts w:ascii="宋体"/>
      <w:sz w:val="30"/>
      <w:szCs w:val="24"/>
    </w:rPr>
  </w:style>
  <w:style w:type="character" w:customStyle="1" w:styleId="84">
    <w:name w:val="正文首行缩进 字符"/>
    <w:link w:val="42"/>
    <w:qFormat/>
    <w:uiPriority w:val="0"/>
    <w:rPr>
      <w:rFonts w:ascii="宋体" w:hAnsi="宋体"/>
      <w:kern w:val="2"/>
      <w:sz w:val="21"/>
      <w:szCs w:val="24"/>
    </w:rPr>
  </w:style>
  <w:style w:type="character" w:customStyle="1" w:styleId="85">
    <w:name w:val="正文缩进 字符"/>
    <w:link w:val="15"/>
    <w:qFormat/>
    <w:uiPriority w:val="0"/>
    <w:rPr>
      <w:kern w:val="2"/>
      <w:sz w:val="21"/>
      <w:szCs w:val="24"/>
    </w:rPr>
  </w:style>
  <w:style w:type="character" w:customStyle="1" w:styleId="86">
    <w:name w:val="称呼 字符"/>
    <w:link w:val="19"/>
    <w:qFormat/>
    <w:uiPriority w:val="0"/>
    <w:rPr>
      <w:rFonts w:eastAsia="黑体"/>
      <w:kern w:val="2"/>
      <w:sz w:val="24"/>
    </w:rPr>
  </w:style>
  <w:style w:type="character" w:customStyle="1" w:styleId="87">
    <w:name w:val="标题 9 字符"/>
    <w:link w:val="12"/>
    <w:qFormat/>
    <w:uiPriority w:val="0"/>
    <w:rPr>
      <w:rFonts w:ascii="Arial" w:hAnsi="Arial" w:eastAsia="黑体"/>
      <w:kern w:val="2"/>
      <w:sz w:val="21"/>
    </w:rPr>
  </w:style>
  <w:style w:type="character" w:customStyle="1" w:styleId="88">
    <w:name w:val="正文文本 字符"/>
    <w:link w:val="2"/>
    <w:qFormat/>
    <w:uiPriority w:val="0"/>
    <w:rPr>
      <w:sz w:val="24"/>
      <w:szCs w:val="24"/>
    </w:rPr>
  </w:style>
  <w:style w:type="character" w:customStyle="1" w:styleId="89">
    <w:name w:val="Char Char40"/>
    <w:qFormat/>
    <w:uiPriority w:val="0"/>
    <w:rPr>
      <w:kern w:val="2"/>
      <w:sz w:val="24"/>
      <w:szCs w:val="24"/>
    </w:rPr>
  </w:style>
  <w:style w:type="character" w:customStyle="1" w:styleId="90">
    <w:name w:val="标题 6 字符"/>
    <w:link w:val="9"/>
    <w:qFormat/>
    <w:uiPriority w:val="0"/>
    <w:rPr>
      <w:rFonts w:ascii="Arial" w:hAnsi="Arial" w:eastAsia="黑体"/>
      <w:b/>
      <w:bCs/>
      <w:kern w:val="2"/>
      <w:sz w:val="24"/>
      <w:szCs w:val="24"/>
    </w:rPr>
  </w:style>
  <w:style w:type="character" w:customStyle="1" w:styleId="91">
    <w:name w:val="批注框文本 字符"/>
    <w:link w:val="28"/>
    <w:semiHidden/>
    <w:qFormat/>
    <w:uiPriority w:val="0"/>
    <w:rPr>
      <w:sz w:val="18"/>
      <w:szCs w:val="18"/>
    </w:rPr>
  </w:style>
  <w:style w:type="character" w:customStyle="1" w:styleId="92">
    <w:name w:val="标题 5 字符"/>
    <w:link w:val="8"/>
    <w:qFormat/>
    <w:uiPriority w:val="0"/>
    <w:rPr>
      <w:rFonts w:ascii="Times New Roman" w:hAnsi="Times New Roman"/>
      <w:b/>
      <w:bCs/>
      <w:sz w:val="28"/>
      <w:szCs w:val="28"/>
    </w:rPr>
  </w:style>
  <w:style w:type="character" w:customStyle="1" w:styleId="93">
    <w:name w:val="WW8Num9z0"/>
    <w:qFormat/>
    <w:uiPriority w:val="0"/>
    <w:rPr>
      <w:rFonts w:ascii="Wingdings" w:hAnsi="Wingdings"/>
    </w:rPr>
  </w:style>
  <w:style w:type="character" w:customStyle="1" w:styleId="94">
    <w:name w:val="magic-list1"/>
    <w:qFormat/>
    <w:uiPriority w:val="0"/>
    <w:rPr>
      <w:rFonts w:hint="default" w:ascii="ˎ̥" w:hAnsi="ˎ̥"/>
      <w:color w:val="000000"/>
      <w:sz w:val="20"/>
      <w:u w:val="none"/>
    </w:rPr>
  </w:style>
  <w:style w:type="character" w:customStyle="1" w:styleId="95">
    <w:name w:val="small"/>
    <w:basedOn w:val="47"/>
    <w:qFormat/>
    <w:uiPriority w:val="0"/>
  </w:style>
  <w:style w:type="character" w:customStyle="1" w:styleId="96">
    <w:name w:val="页眉 字符"/>
    <w:link w:val="30"/>
    <w:qFormat/>
    <w:uiPriority w:val="0"/>
    <w:rPr>
      <w:sz w:val="18"/>
      <w:szCs w:val="18"/>
    </w:rPr>
  </w:style>
  <w:style w:type="character" w:customStyle="1" w:styleId="97">
    <w:name w:val="正文文本缩进 2 字符"/>
    <w:link w:val="27"/>
    <w:qFormat/>
    <w:uiPriority w:val="0"/>
    <w:rPr>
      <w:kern w:val="2"/>
      <w:sz w:val="21"/>
      <w:szCs w:val="24"/>
    </w:rPr>
  </w:style>
  <w:style w:type="character" w:customStyle="1" w:styleId="98">
    <w:name w:val="标题 4 字符"/>
    <w:link w:val="7"/>
    <w:qFormat/>
    <w:uiPriority w:val="0"/>
    <w:rPr>
      <w:rFonts w:ascii="宋体" w:hAnsi="宋体"/>
      <w:b/>
      <w:bCs/>
      <w:sz w:val="28"/>
      <w:szCs w:val="28"/>
    </w:rPr>
  </w:style>
  <w:style w:type="character" w:customStyle="1" w:styleId="99">
    <w:name w:val="正文文本 3 字符"/>
    <w:link w:val="20"/>
    <w:qFormat/>
    <w:uiPriority w:val="0"/>
    <w:rPr>
      <w:sz w:val="16"/>
      <w:szCs w:val="16"/>
    </w:rPr>
  </w:style>
  <w:style w:type="character" w:customStyle="1" w:styleId="100">
    <w:name w:val="标题 2 字符"/>
    <w:link w:val="5"/>
    <w:qFormat/>
    <w:uiPriority w:val="0"/>
    <w:rPr>
      <w:rFonts w:ascii="宋体" w:hAnsi="宋体"/>
      <w:b/>
      <w:bCs/>
      <w:iCs/>
      <w:sz w:val="28"/>
      <w:szCs w:val="28"/>
    </w:rPr>
  </w:style>
  <w:style w:type="character" w:customStyle="1" w:styleId="101">
    <w:name w:val="纯文本 Char1"/>
    <w:unhideWhenUsed/>
    <w:qFormat/>
    <w:uiPriority w:val="99"/>
    <w:rPr>
      <w:rFonts w:hint="eastAsia" w:ascii="宋体" w:hAnsi="Tms Rmn" w:eastAsia="宋体"/>
      <w:sz w:val="21"/>
      <w:lang w:val="en-US" w:eastAsia="zh-CN"/>
    </w:rPr>
  </w:style>
  <w:style w:type="character" w:customStyle="1" w:styleId="102">
    <w:name w:val="标题 3 字符"/>
    <w:link w:val="6"/>
    <w:qFormat/>
    <w:uiPriority w:val="0"/>
    <w:rPr>
      <w:rFonts w:ascii="宋体" w:hAnsi="宋体"/>
      <w:b/>
      <w:bCs/>
      <w:color w:val="000000"/>
      <w:kern w:val="2"/>
      <w:sz w:val="24"/>
      <w:szCs w:val="28"/>
    </w:rPr>
  </w:style>
  <w:style w:type="character" w:customStyle="1" w:styleId="103">
    <w:name w:val="标题 字符"/>
    <w:link w:val="40"/>
    <w:qFormat/>
    <w:uiPriority w:val="0"/>
    <w:rPr>
      <w:rFonts w:ascii="Cambria" w:hAnsi="Cambria"/>
      <w:b/>
      <w:bCs/>
      <w:kern w:val="2"/>
      <w:sz w:val="32"/>
      <w:szCs w:val="32"/>
    </w:rPr>
  </w:style>
  <w:style w:type="character" w:customStyle="1" w:styleId="104">
    <w:name w:val="纯文本 字符"/>
    <w:link w:val="3"/>
    <w:qFormat/>
    <w:uiPriority w:val="99"/>
    <w:rPr>
      <w:rFonts w:ascii="宋体" w:hAnsi="Tms Rmn" w:cs="宋体"/>
      <w:sz w:val="21"/>
      <w:szCs w:val="21"/>
    </w:rPr>
  </w:style>
  <w:style w:type="character" w:customStyle="1" w:styleId="105">
    <w:name w:val="H4 Char"/>
    <w:qFormat/>
    <w:uiPriority w:val="0"/>
    <w:rPr>
      <w:rFonts w:ascii="Arial" w:hAnsi="Arial" w:eastAsia="宋体"/>
      <w:b/>
      <w:kern w:val="2"/>
      <w:sz w:val="28"/>
      <w:lang w:val="en-US" w:eastAsia="zh-CN"/>
    </w:rPr>
  </w:style>
  <w:style w:type="character" w:customStyle="1" w:styleId="106">
    <w:name w:val="正文缩进 Char1"/>
    <w:qFormat/>
    <w:uiPriority w:val="0"/>
    <w:rPr>
      <w:kern w:val="2"/>
      <w:sz w:val="21"/>
      <w:szCs w:val="24"/>
    </w:rPr>
  </w:style>
  <w:style w:type="paragraph" w:customStyle="1" w:styleId="107">
    <w:name w:val="MM Topic 9"/>
    <w:basedOn w:val="12"/>
    <w:qFormat/>
    <w:uiPriority w:val="0"/>
    <w:pPr>
      <w:tabs>
        <w:tab w:val="left" w:pos="5102"/>
      </w:tabs>
    </w:pPr>
  </w:style>
  <w:style w:type="paragraph" w:customStyle="1" w:styleId="108">
    <w:name w:val="默认段落字体 Para Char Char Char Char Char Char Char Char Char Char Char Char Char Char Char Char"/>
    <w:basedOn w:val="17"/>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9">
    <w:name w:val="强调2"/>
    <w:basedOn w:val="110"/>
    <w:qFormat/>
    <w:uiPriority w:val="0"/>
    <w:pPr>
      <w:numPr>
        <w:ilvl w:val="1"/>
      </w:numPr>
      <w:tabs>
        <w:tab w:val="left" w:pos="360"/>
        <w:tab w:val="left" w:pos="1918"/>
      </w:tabs>
      <w:ind w:left="1918"/>
    </w:pPr>
  </w:style>
  <w:style w:type="paragraph" w:customStyle="1" w:styleId="110">
    <w:name w:val="强调1"/>
    <w:basedOn w:val="1"/>
    <w:qFormat/>
    <w:uiPriority w:val="0"/>
    <w:pPr>
      <w:widowControl w:val="0"/>
      <w:numPr>
        <w:ilvl w:val="0"/>
        <w:numId w:val="6"/>
      </w:numPr>
      <w:spacing w:line="360" w:lineRule="auto"/>
      <w:ind w:firstLine="0"/>
      <w:jc w:val="both"/>
    </w:pPr>
    <w:rPr>
      <w:rFonts w:ascii="楷体_GB2312" w:hAnsi="仿宋" w:eastAsia="楷体_GB2312"/>
      <w:kern w:val="2"/>
      <w:sz w:val="28"/>
      <w:szCs w:val="28"/>
    </w:rPr>
  </w:style>
  <w:style w:type="paragraph" w:customStyle="1" w:styleId="111">
    <w:name w:val="Char Char Char Char"/>
    <w:basedOn w:val="1"/>
    <w:next w:val="1"/>
    <w:qFormat/>
    <w:uiPriority w:val="0"/>
    <w:pPr>
      <w:widowControl w:val="0"/>
      <w:spacing w:line="240" w:lineRule="atLeast"/>
      <w:ind w:left="420" w:firstLine="420"/>
    </w:pPr>
    <w:rPr>
      <w:sz w:val="21"/>
      <w:szCs w:val="21"/>
    </w:rPr>
  </w:style>
  <w:style w:type="paragraph" w:customStyle="1" w:styleId="112">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4">
    <w:name w:val="默认段落字体 Para Char Char Char Char"/>
    <w:basedOn w:val="1"/>
    <w:qFormat/>
    <w:uiPriority w:val="0"/>
    <w:pPr>
      <w:widowControl w:val="0"/>
      <w:jc w:val="both"/>
    </w:pPr>
    <w:rPr>
      <w:kern w:val="2"/>
      <w:sz w:val="21"/>
    </w:rPr>
  </w:style>
  <w:style w:type="paragraph" w:customStyle="1" w:styleId="115">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6">
    <w:name w:val="MM Topic 3"/>
    <w:basedOn w:val="6"/>
    <w:qFormat/>
    <w:uiPriority w:val="0"/>
    <w:pPr>
      <w:numPr>
        <w:ilvl w:val="0"/>
        <w:numId w:val="0"/>
      </w:numPr>
      <w:tabs>
        <w:tab w:val="left" w:pos="1418"/>
      </w:tabs>
    </w:pPr>
    <w:rPr>
      <w:rFonts w:ascii="Times New Roman" w:hAnsi="Times New Roman"/>
      <w:bCs w:val="0"/>
      <w:szCs w:val="20"/>
    </w:rPr>
  </w:style>
  <w:style w:type="paragraph" w:customStyle="1" w:styleId="117">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8">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9">
    <w:name w:val="MM Topic 4"/>
    <w:basedOn w:val="7"/>
    <w:qFormat/>
    <w:uiPriority w:val="0"/>
    <w:pPr>
      <w:numPr>
        <w:numId w:val="0"/>
      </w:numPr>
      <w:tabs>
        <w:tab w:val="left" w:pos="1984"/>
      </w:tabs>
      <w:spacing w:before="280" w:after="290" w:line="372" w:lineRule="auto"/>
      <w:jc w:val="both"/>
    </w:pPr>
    <w:rPr>
      <w:bCs w:val="0"/>
      <w:kern w:val="2"/>
      <w:szCs w:val="20"/>
    </w:rPr>
  </w:style>
  <w:style w:type="paragraph" w:customStyle="1" w:styleId="120">
    <w:name w:val="MM Topic 6"/>
    <w:basedOn w:val="9"/>
    <w:qFormat/>
    <w:uiPriority w:val="0"/>
    <w:pPr>
      <w:numPr>
        <w:ilvl w:val="0"/>
        <w:numId w:val="0"/>
      </w:numPr>
      <w:tabs>
        <w:tab w:val="left" w:pos="3260"/>
      </w:tabs>
      <w:spacing w:line="317" w:lineRule="auto"/>
    </w:pPr>
    <w:rPr>
      <w:bCs w:val="0"/>
      <w:sz w:val="28"/>
      <w:szCs w:val="20"/>
    </w:rPr>
  </w:style>
  <w:style w:type="paragraph" w:customStyle="1" w:styleId="12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2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3">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4">
    <w:name w:val="标题 5 + 首行缩进:  2 字符"/>
    <w:basedOn w:val="8"/>
    <w:next w:val="21"/>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7">
    <w:name w:val="Char11"/>
    <w:basedOn w:val="1"/>
    <w:next w:val="1"/>
    <w:qFormat/>
    <w:uiPriority w:val="0"/>
    <w:pPr>
      <w:widowControl w:val="0"/>
      <w:spacing w:line="240" w:lineRule="atLeast"/>
      <w:ind w:left="420" w:firstLine="420"/>
    </w:pPr>
    <w:rPr>
      <w:sz w:val="21"/>
      <w:szCs w:val="21"/>
    </w:rPr>
  </w:style>
  <w:style w:type="paragraph" w:customStyle="1" w:styleId="128">
    <w:name w:val="MM Topic 5"/>
    <w:basedOn w:val="8"/>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9">
    <w:name w:val="默认段落字体 Para Char Char Char Char Char Char Char"/>
    <w:basedOn w:val="1"/>
    <w:qFormat/>
    <w:uiPriority w:val="0"/>
    <w:pPr>
      <w:widowControl w:val="0"/>
      <w:jc w:val="both"/>
    </w:pPr>
    <w:rPr>
      <w:rFonts w:ascii="Tahoma" w:hAnsi="Tahoma"/>
      <w:kern w:val="2"/>
      <w:szCs w:val="20"/>
    </w:rPr>
  </w:style>
  <w:style w:type="paragraph" w:customStyle="1" w:styleId="13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31">
    <w:name w:val="样式2"/>
    <w:basedOn w:val="1"/>
    <w:qFormat/>
    <w:uiPriority w:val="0"/>
    <w:pPr>
      <w:widowControl w:val="0"/>
      <w:adjustRightInd w:val="0"/>
      <w:spacing w:line="410" w:lineRule="atLeast"/>
      <w:jc w:val="both"/>
      <w:textAlignment w:val="baseline"/>
    </w:pPr>
    <w:rPr>
      <w:szCs w:val="20"/>
    </w:rPr>
  </w:style>
  <w:style w:type="paragraph" w:customStyle="1" w:styleId="132">
    <w:name w:val="列出段落11"/>
    <w:basedOn w:val="1"/>
    <w:qFormat/>
    <w:uiPriority w:val="34"/>
    <w:pPr>
      <w:ind w:firstLine="420" w:firstLineChars="200"/>
    </w:pPr>
    <w:rPr>
      <w:lang w:val="zh-CN"/>
    </w:rPr>
  </w:style>
  <w:style w:type="paragraph" w:customStyle="1" w:styleId="133">
    <w:name w:val="p4"/>
    <w:basedOn w:val="1"/>
    <w:qFormat/>
    <w:uiPriority w:val="0"/>
    <w:pPr>
      <w:spacing w:before="100" w:beforeAutospacing="1" w:after="100" w:afterAutospacing="1" w:line="360" w:lineRule="auto"/>
      <w:ind w:firstLine="360"/>
    </w:pPr>
    <w:rPr>
      <w:rFonts w:ascii="宋体" w:hAnsi="宋体"/>
    </w:rPr>
  </w:style>
  <w:style w:type="paragraph" w:customStyle="1" w:styleId="134">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5">
    <w:name w:val="默认段落字体 Para Char Char"/>
    <w:basedOn w:val="1"/>
    <w:qFormat/>
    <w:uiPriority w:val="0"/>
    <w:pPr>
      <w:widowControl w:val="0"/>
      <w:jc w:val="both"/>
    </w:pPr>
    <w:rPr>
      <w:kern w:val="2"/>
      <w:sz w:val="21"/>
      <w:szCs w:val="20"/>
    </w:rPr>
  </w:style>
  <w:style w:type="paragraph" w:customStyle="1" w:styleId="136">
    <w:name w:val="Char1 Char Char Char"/>
    <w:basedOn w:val="1"/>
    <w:next w:val="1"/>
    <w:qFormat/>
    <w:uiPriority w:val="0"/>
    <w:pPr>
      <w:widowControl w:val="0"/>
      <w:spacing w:line="240" w:lineRule="atLeast"/>
      <w:ind w:left="420" w:firstLine="420"/>
    </w:pPr>
    <w:rPr>
      <w:sz w:val="21"/>
      <w:szCs w:val="20"/>
    </w:rPr>
  </w:style>
  <w:style w:type="paragraph" w:customStyle="1" w:styleId="137">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8">
    <w:name w:val="1 Char"/>
    <w:basedOn w:val="1"/>
    <w:qFormat/>
    <w:uiPriority w:val="0"/>
    <w:pPr>
      <w:spacing w:after="160" w:line="240" w:lineRule="exact"/>
    </w:pPr>
    <w:rPr>
      <w:rFonts w:ascii="Tahoma" w:hAnsi="Tahoma" w:eastAsia="Times New Roman"/>
      <w:lang w:eastAsia="en-US"/>
    </w:rPr>
  </w:style>
  <w:style w:type="paragraph" w:customStyle="1" w:styleId="139">
    <w:name w:val="MM Topic 8"/>
    <w:basedOn w:val="11"/>
    <w:qFormat/>
    <w:uiPriority w:val="0"/>
    <w:pPr>
      <w:tabs>
        <w:tab w:val="left" w:pos="4394"/>
      </w:tabs>
    </w:pPr>
  </w:style>
  <w:style w:type="paragraph" w:customStyle="1" w:styleId="140">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2">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3">
    <w:name w:val="论文正文"/>
    <w:basedOn w:val="1"/>
    <w:qFormat/>
    <w:uiPriority w:val="0"/>
    <w:pPr>
      <w:widowControl w:val="0"/>
      <w:spacing w:line="300" w:lineRule="auto"/>
      <w:ind w:firstLine="200" w:firstLineChars="200"/>
      <w:jc w:val="both"/>
    </w:pPr>
    <w:rPr>
      <w:kern w:val="2"/>
    </w:rPr>
  </w:style>
  <w:style w:type="paragraph" w:customStyle="1" w:styleId="144">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5">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6">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7">
    <w:name w:val="正文段落"/>
    <w:basedOn w:val="1"/>
    <w:qFormat/>
    <w:uiPriority w:val="0"/>
    <w:pPr>
      <w:widowControl w:val="0"/>
      <w:spacing w:line="300" w:lineRule="auto"/>
      <w:ind w:firstLine="510"/>
      <w:jc w:val="both"/>
    </w:pPr>
    <w:rPr>
      <w:kern w:val="2"/>
      <w:szCs w:val="20"/>
    </w:rPr>
  </w:style>
  <w:style w:type="paragraph" w:customStyle="1" w:styleId="148">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9">
    <w:name w:val="Char1 Char Char Char Char Char Char"/>
    <w:basedOn w:val="1"/>
    <w:qFormat/>
    <w:uiPriority w:val="0"/>
    <w:pPr>
      <w:widowControl w:val="0"/>
      <w:jc w:val="both"/>
    </w:pPr>
    <w:rPr>
      <w:rFonts w:ascii="Tahoma" w:hAnsi="Tahoma"/>
      <w:kern w:val="2"/>
      <w:szCs w:val="20"/>
    </w:rPr>
  </w:style>
  <w:style w:type="paragraph" w:customStyle="1" w:styleId="150">
    <w:name w:val="文章正文 Char Char1"/>
    <w:basedOn w:val="1"/>
    <w:qFormat/>
    <w:uiPriority w:val="0"/>
    <w:pPr>
      <w:widowControl w:val="0"/>
      <w:spacing w:line="360" w:lineRule="auto"/>
      <w:ind w:firstLine="420"/>
      <w:jc w:val="both"/>
    </w:pPr>
    <w:rPr>
      <w:kern w:val="2"/>
      <w:szCs w:val="20"/>
    </w:rPr>
  </w:style>
  <w:style w:type="paragraph" w:customStyle="1" w:styleId="151">
    <w:name w:val="Char"/>
    <w:basedOn w:val="1"/>
    <w:next w:val="1"/>
    <w:qFormat/>
    <w:uiPriority w:val="0"/>
    <w:pPr>
      <w:widowControl w:val="0"/>
      <w:spacing w:line="240" w:lineRule="atLeast"/>
      <w:ind w:left="420" w:firstLine="420"/>
    </w:pPr>
    <w:rPr>
      <w:sz w:val="21"/>
      <w:szCs w:val="21"/>
    </w:rPr>
  </w:style>
  <w:style w:type="paragraph" w:customStyle="1" w:styleId="152">
    <w:name w:val="样式 标题 1 + 宋体 居中 段前: 17 磅 段后: 16.5 磅"/>
    <w:basedOn w:val="4"/>
    <w:qFormat/>
    <w:uiPriority w:val="0"/>
    <w:pPr>
      <w:pageBreakBefore/>
      <w:numPr>
        <w:numId w:val="0"/>
      </w:numPr>
      <w:tabs>
        <w:tab w:val="left" w:pos="840"/>
      </w:tabs>
      <w:ind w:left="840" w:hanging="420"/>
    </w:pPr>
    <w:rPr>
      <w:rFonts w:cs="宋体"/>
      <w:szCs w:val="20"/>
    </w:rPr>
  </w:style>
  <w:style w:type="paragraph" w:customStyle="1" w:styleId="153">
    <w:name w:val="文章正文 Char Char1 Char"/>
    <w:basedOn w:val="1"/>
    <w:qFormat/>
    <w:uiPriority w:val="0"/>
    <w:pPr>
      <w:widowControl w:val="0"/>
      <w:spacing w:line="360" w:lineRule="auto"/>
      <w:ind w:firstLine="420"/>
      <w:jc w:val="both"/>
    </w:pPr>
    <w:rPr>
      <w:kern w:val="2"/>
    </w:rPr>
  </w:style>
  <w:style w:type="paragraph" w:customStyle="1" w:styleId="154">
    <w:name w:val="正文 首行缩进:  2 字符 Char Char"/>
    <w:basedOn w:val="1"/>
    <w:qFormat/>
    <w:uiPriority w:val="0"/>
    <w:pPr>
      <w:widowControl w:val="0"/>
      <w:spacing w:line="360" w:lineRule="auto"/>
      <w:ind w:firstLine="480"/>
      <w:jc w:val="both"/>
    </w:pPr>
    <w:rPr>
      <w:kern w:val="2"/>
      <w:szCs w:val="20"/>
    </w:rPr>
  </w:style>
  <w:style w:type="paragraph" w:customStyle="1" w:styleId="155">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6">
    <w:name w:val="标题 2 + 楷体_GB2312"/>
    <w:basedOn w:val="1"/>
    <w:qFormat/>
    <w:uiPriority w:val="0"/>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Char12"/>
    <w:basedOn w:val="1"/>
    <w:qFormat/>
    <w:uiPriority w:val="0"/>
    <w:pPr>
      <w:spacing w:after="160" w:line="240" w:lineRule="exact"/>
    </w:pPr>
    <w:rPr>
      <w:rFonts w:ascii="Tahoma" w:hAnsi="Tahoma"/>
      <w:kern w:val="2"/>
      <w:lang w:eastAsia="en-US"/>
    </w:rPr>
  </w:style>
  <w:style w:type="paragraph" w:customStyle="1" w:styleId="159">
    <w:name w:val="p0"/>
    <w:basedOn w:val="1"/>
    <w:qFormat/>
    <w:uiPriority w:val="0"/>
    <w:pPr>
      <w:jc w:val="both"/>
    </w:pPr>
    <w:rPr>
      <w:sz w:val="21"/>
      <w:szCs w:val="20"/>
    </w:rPr>
  </w:style>
  <w:style w:type="paragraph" w:customStyle="1" w:styleId="160">
    <w:name w:val="gb_master正文"/>
    <w:basedOn w:val="1"/>
    <w:qFormat/>
    <w:uiPriority w:val="0"/>
    <w:pPr>
      <w:widowControl w:val="0"/>
      <w:ind w:firstLine="200" w:firstLineChars="200"/>
      <w:jc w:val="both"/>
    </w:pPr>
    <w:rPr>
      <w:kern w:val="2"/>
      <w:sz w:val="21"/>
    </w:rPr>
  </w:style>
  <w:style w:type="paragraph" w:customStyle="1" w:styleId="161">
    <w:name w:val="Char1"/>
    <w:basedOn w:val="1"/>
    <w:next w:val="1"/>
    <w:qFormat/>
    <w:uiPriority w:val="0"/>
    <w:pPr>
      <w:widowControl w:val="0"/>
      <w:spacing w:line="240" w:lineRule="atLeast"/>
      <w:ind w:left="420" w:firstLine="420"/>
    </w:pPr>
    <w:rPr>
      <w:sz w:val="21"/>
      <w:szCs w:val="21"/>
    </w:rPr>
  </w:style>
  <w:style w:type="paragraph" w:customStyle="1" w:styleId="162">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3">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4">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5">
    <w:name w:val="MM Topic 1"/>
    <w:basedOn w:val="4"/>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6">
    <w:name w:val="样式 正文缩进 + (中文) 仿宋_GB2312 小四 Char"/>
    <w:basedOn w:val="15"/>
    <w:qFormat/>
    <w:uiPriority w:val="0"/>
    <w:pPr>
      <w:ind w:firstLine="480"/>
    </w:pPr>
    <w:rPr>
      <w:rFonts w:ascii="宋体" w:hAnsi="宋体"/>
      <w:sz w:val="24"/>
      <w:szCs w:val="20"/>
    </w:rPr>
  </w:style>
  <w:style w:type="paragraph" w:customStyle="1" w:styleId="167">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8">
    <w:name w:val="Char2 Char Char Char Char Char Char"/>
    <w:basedOn w:val="1"/>
    <w:qFormat/>
    <w:uiPriority w:val="0"/>
    <w:pPr>
      <w:widowControl w:val="0"/>
      <w:jc w:val="both"/>
    </w:pPr>
    <w:rPr>
      <w:rFonts w:ascii="仿宋_GB2312"/>
      <w:b/>
      <w:kern w:val="2"/>
      <w:sz w:val="30"/>
      <w:szCs w:val="20"/>
    </w:rPr>
  </w:style>
  <w:style w:type="paragraph" w:customStyle="1" w:styleId="169">
    <w:name w:val="项目符号：一级"/>
    <w:basedOn w:val="164"/>
    <w:next w:val="164"/>
    <w:qFormat/>
    <w:uiPriority w:val="0"/>
    <w:pPr>
      <w:tabs>
        <w:tab w:val="left" w:pos="700"/>
      </w:tabs>
      <w:spacing w:beforeLines="0"/>
      <w:ind w:left="630" w:hanging="290" w:firstLineChars="0"/>
    </w:pPr>
  </w:style>
  <w:style w:type="paragraph" w:customStyle="1" w:styleId="170">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71">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7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3">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4">
    <w:name w:val="Char Char Char Char Char Char Char Char Char Char Char Char Char"/>
    <w:basedOn w:val="17"/>
    <w:qFormat/>
    <w:uiPriority w:val="0"/>
    <w:pPr>
      <w:widowControl w:val="0"/>
      <w:shd w:val="clear" w:color="auto" w:fill="000080"/>
      <w:jc w:val="both"/>
    </w:pPr>
    <w:rPr>
      <w:rFonts w:ascii="Tahoma" w:hAnsi="Tahoma"/>
      <w:kern w:val="2"/>
      <w:sz w:val="24"/>
      <w:szCs w:val="20"/>
    </w:rPr>
  </w:style>
  <w:style w:type="paragraph" w:customStyle="1" w:styleId="175">
    <w:name w:val="大纲正文"/>
    <w:basedOn w:val="1"/>
    <w:qFormat/>
    <w:uiPriority w:val="0"/>
    <w:pPr>
      <w:widowControl w:val="0"/>
      <w:spacing w:line="360" w:lineRule="auto"/>
      <w:ind w:firstLine="480" w:firstLineChars="200"/>
      <w:jc w:val="both"/>
    </w:pPr>
    <w:rPr>
      <w:kern w:val="2"/>
      <w:szCs w:val="20"/>
    </w:rPr>
  </w:style>
  <w:style w:type="paragraph" w:customStyle="1" w:styleId="176">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7">
    <w:name w:val="Char2"/>
    <w:basedOn w:val="1"/>
    <w:next w:val="1"/>
    <w:qFormat/>
    <w:uiPriority w:val="0"/>
    <w:pPr>
      <w:widowControl w:val="0"/>
      <w:spacing w:line="240" w:lineRule="atLeast"/>
      <w:ind w:left="420" w:firstLine="420"/>
    </w:pPr>
    <w:rPr>
      <w:kern w:val="2"/>
      <w:szCs w:val="20"/>
    </w:rPr>
  </w:style>
  <w:style w:type="paragraph" w:customStyle="1" w:styleId="178">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9">
    <w:name w:val="Char2 Char Char Char"/>
    <w:basedOn w:val="1"/>
    <w:qFormat/>
    <w:uiPriority w:val="0"/>
    <w:pPr>
      <w:widowControl w:val="0"/>
      <w:jc w:val="both"/>
    </w:pPr>
    <w:rPr>
      <w:rFonts w:ascii="仿宋_GB2312"/>
      <w:b/>
      <w:kern w:val="2"/>
      <w:sz w:val="30"/>
      <w:szCs w:val="20"/>
    </w:rPr>
  </w:style>
  <w:style w:type="paragraph" w:customStyle="1" w:styleId="180">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181">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2">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3">
    <w:name w:val="列出段落2"/>
    <w:basedOn w:val="1"/>
    <w:qFormat/>
    <w:uiPriority w:val="34"/>
    <w:pPr>
      <w:widowControl w:val="0"/>
      <w:ind w:firstLine="420" w:firstLineChars="200"/>
      <w:jc w:val="both"/>
    </w:pPr>
    <w:rPr>
      <w:rFonts w:eastAsia="方正仿宋"/>
      <w:kern w:val="2"/>
      <w:sz w:val="32"/>
    </w:rPr>
  </w:style>
  <w:style w:type="paragraph" w:customStyle="1" w:styleId="184">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5">
    <w:name w:val="彩色列表 - 强调文字颜色 1 Char"/>
    <w:link w:val="186"/>
    <w:qFormat/>
    <w:uiPriority w:val="0"/>
    <w:rPr>
      <w:rFonts w:ascii="Calibri" w:hAnsi="Calibri"/>
      <w:kern w:val="2"/>
      <w:sz w:val="21"/>
      <w:szCs w:val="22"/>
    </w:rPr>
  </w:style>
  <w:style w:type="paragraph" w:customStyle="1" w:styleId="186">
    <w:name w:val="彩色列表 - 强调文字颜色 11"/>
    <w:basedOn w:val="1"/>
    <w:link w:val="185"/>
    <w:qFormat/>
    <w:uiPriority w:val="0"/>
    <w:pPr>
      <w:widowControl w:val="0"/>
      <w:ind w:firstLine="420" w:firstLineChars="200"/>
      <w:jc w:val="both"/>
    </w:pPr>
    <w:rPr>
      <w:rFonts w:ascii="Calibri" w:hAnsi="Calibri"/>
      <w:kern w:val="2"/>
      <w:sz w:val="21"/>
      <w:szCs w:val="22"/>
    </w:rPr>
  </w:style>
  <w:style w:type="character" w:customStyle="1" w:styleId="187">
    <w:name w:val="*正文 Char Char"/>
    <w:link w:val="188"/>
    <w:qFormat/>
    <w:locked/>
    <w:uiPriority w:val="99"/>
    <w:rPr>
      <w:rFonts w:ascii="宋体"/>
      <w:sz w:val="24"/>
    </w:rPr>
  </w:style>
  <w:style w:type="paragraph" w:customStyle="1" w:styleId="188">
    <w:name w:val="*正文"/>
    <w:basedOn w:val="1"/>
    <w:link w:val="187"/>
    <w:qFormat/>
    <w:uiPriority w:val="99"/>
    <w:pPr>
      <w:widowControl w:val="0"/>
      <w:spacing w:line="360" w:lineRule="auto"/>
      <w:ind w:firstLine="200" w:firstLineChars="200"/>
      <w:jc w:val="both"/>
    </w:pPr>
    <w:rPr>
      <w:rFonts w:ascii="宋体"/>
      <w:szCs w:val="20"/>
    </w:rPr>
  </w:style>
  <w:style w:type="paragraph" w:customStyle="1" w:styleId="189">
    <w:name w:val="_Style 1"/>
    <w:basedOn w:val="1"/>
    <w:qFormat/>
    <w:uiPriority w:val="0"/>
    <w:pPr>
      <w:ind w:firstLine="420" w:firstLineChars="200"/>
    </w:pPr>
  </w:style>
  <w:style w:type="paragraph" w:customStyle="1" w:styleId="190">
    <w:name w:val="彩色列表 - 强调文字颜色 12"/>
    <w:basedOn w:val="1"/>
    <w:qFormat/>
    <w:uiPriority w:val="0"/>
    <w:pPr>
      <w:ind w:firstLine="420" w:firstLineChars="200"/>
    </w:pPr>
  </w:style>
  <w:style w:type="character" w:customStyle="1" w:styleId="191">
    <w:name w:val="font21"/>
    <w:basedOn w:val="47"/>
    <w:qFormat/>
    <w:uiPriority w:val="0"/>
    <w:rPr>
      <w:rFonts w:hint="eastAsia" w:ascii="宋体" w:hAnsi="宋体" w:eastAsia="宋体" w:cs="宋体"/>
      <w:color w:val="000000"/>
      <w:sz w:val="20"/>
      <w:szCs w:val="20"/>
      <w:u w:val="none"/>
    </w:rPr>
  </w:style>
  <w:style w:type="character" w:customStyle="1" w:styleId="192">
    <w:name w:val="font31"/>
    <w:basedOn w:val="47"/>
    <w:qFormat/>
    <w:uiPriority w:val="0"/>
    <w:rPr>
      <w:rFonts w:ascii="Tahoma" w:hAnsi="Tahoma" w:eastAsia="Tahoma" w:cs="Tahoma"/>
      <w:color w:val="000000"/>
      <w:sz w:val="20"/>
      <w:szCs w:val="20"/>
      <w:u w:val="none"/>
    </w:rPr>
  </w:style>
  <w:style w:type="paragraph" w:customStyle="1" w:styleId="19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4">
    <w:name w:val="List Paragraph"/>
    <w:basedOn w:val="1"/>
    <w:qFormat/>
    <w:uiPriority w:val="34"/>
    <w:pPr>
      <w:spacing w:after="100" w:line="360" w:lineRule="auto"/>
      <w:ind w:firstLine="420" w:firstLineChars="200"/>
    </w:pPr>
    <w:rPr>
      <w:szCs w:val="22"/>
      <w:lang w:eastAsia="en-US" w:bidi="en-US"/>
    </w:rPr>
  </w:style>
  <w:style w:type="character" w:customStyle="1" w:styleId="195">
    <w:name w:val="font11"/>
    <w:basedOn w:val="47"/>
    <w:qFormat/>
    <w:uiPriority w:val="0"/>
    <w:rPr>
      <w:rFonts w:hint="eastAsia" w:ascii="宋体" w:hAnsi="宋体" w:eastAsia="宋体" w:cs="宋体"/>
      <w:color w:val="000000"/>
      <w:sz w:val="22"/>
      <w:szCs w:val="22"/>
      <w:u w:val="none"/>
    </w:rPr>
  </w:style>
  <w:style w:type="character" w:customStyle="1" w:styleId="196">
    <w:name w:val="font01"/>
    <w:basedOn w:val="47"/>
    <w:qFormat/>
    <w:uiPriority w:val="0"/>
    <w:rPr>
      <w:rFonts w:hint="default" w:ascii="Times New Roman" w:hAnsi="Times New Roman" w:cs="Times New Roman"/>
      <w:color w:val="000000"/>
      <w:sz w:val="22"/>
      <w:szCs w:val="22"/>
      <w:u w:val="none"/>
    </w:rPr>
  </w:style>
  <w:style w:type="paragraph" w:customStyle="1" w:styleId="19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8">
    <w:name w:val="NormalCharacter"/>
    <w:qFormat/>
    <w:uiPriority w:val="0"/>
  </w:style>
  <w:style w:type="paragraph" w:customStyle="1" w:styleId="199">
    <w:name w:val="表格内容"/>
    <w:basedOn w:val="1"/>
    <w:qFormat/>
    <w:uiPriority w:val="0"/>
    <w:rPr>
      <w:rFonts w:ascii="Calibri" w:hAnsi="Calibri" w:eastAsia="仿宋"/>
      <w:sz w:val="21"/>
      <w:szCs w:val="22"/>
    </w:rPr>
  </w:style>
  <w:style w:type="paragraph" w:styleId="200">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201">
    <w:name w:val="闻政表"/>
    <w:basedOn w:val="1"/>
    <w:qFormat/>
    <w:uiPriority w:val="0"/>
    <w:pPr>
      <w:jc w:val="center"/>
    </w:pPr>
    <w:rPr>
      <w:rFonts w:ascii="Calibri" w:hAnsi="Calibri" w:eastAsia="仿宋_GB2312"/>
      <w:b/>
    </w:rPr>
  </w:style>
  <w:style w:type="paragraph" w:customStyle="1" w:styleId="202">
    <w:name w:val="bullet"/>
    <w:basedOn w:val="1"/>
    <w:qFormat/>
    <w:uiPriority w:val="0"/>
    <w:pPr>
      <w:tabs>
        <w:tab w:val="left" w:pos="720"/>
      </w:tabs>
    </w:pPr>
  </w:style>
  <w:style w:type="character" w:customStyle="1" w:styleId="203">
    <w:name w:val="font41"/>
    <w:qFormat/>
    <w:uiPriority w:val="0"/>
    <w:rPr>
      <w:rFonts w:hint="eastAsia" w:ascii="宋体" w:hAnsi="宋体" w:eastAsia="宋体" w:cs="宋体"/>
      <w:color w:val="000000"/>
      <w:sz w:val="21"/>
      <w:szCs w:val="21"/>
      <w:u w:val="none"/>
    </w:rPr>
  </w:style>
  <w:style w:type="paragraph" w:customStyle="1" w:styleId="204">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205">
    <w:name w:val="Table Paragraph"/>
    <w:basedOn w:val="1"/>
    <w:unhideWhenUsed/>
    <w:qFormat/>
    <w:uiPriority w:val="1"/>
    <w:pPr>
      <w:widowControl w:val="0"/>
      <w:jc w:val="both"/>
    </w:pPr>
    <w:rPr>
      <w:rFonts w:ascii="Calibri" w:hAnsi="Calibri"/>
      <w:kern w:val="2"/>
    </w:rPr>
  </w:style>
  <w:style w:type="paragraph" w:customStyle="1" w:styleId="206">
    <w:name w:val="Body text|2"/>
    <w:basedOn w:val="1"/>
    <w:qFormat/>
    <w:uiPriority w:val="0"/>
    <w:pPr>
      <w:widowControl w:val="0"/>
      <w:spacing w:line="623" w:lineRule="exact"/>
      <w:ind w:left="94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06D85-BBD4-440B-8EE1-48493FF59AB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78</Pages>
  <Words>30710</Words>
  <Characters>32148</Characters>
  <Lines>278</Lines>
  <Paragraphs>78</Paragraphs>
  <TotalTime>4</TotalTime>
  <ScaleCrop>false</ScaleCrop>
  <LinksUpToDate>false</LinksUpToDate>
  <CharactersWithSpaces>35715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lin</cp:lastModifiedBy>
  <cp:lastPrinted>2014-07-14T08:51:00Z</cp:lastPrinted>
  <dcterms:modified xsi:type="dcterms:W3CDTF">2022-03-24T02:29:14Z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778B69142D8A47D0A2543E483BC275BF</vt:lpwstr>
  </property>
</Properties>
</file>