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val="en-US" w:eastAsia="zh-CN"/>
        </w:rPr>
      </w:pPr>
      <w:r>
        <w:rPr>
          <w:rFonts w:hint="eastAsia"/>
          <w:b/>
          <w:bCs/>
          <w:sz w:val="28"/>
          <w:szCs w:val="36"/>
          <w:lang w:val="en-US" w:eastAsia="zh-CN"/>
        </w:rPr>
        <w:t>服务要求</w:t>
      </w:r>
    </w:p>
    <w:p>
      <w:pPr>
        <w:ind w:firstLine="480"/>
        <w:rPr>
          <w:color w:val="000000"/>
          <w:highlight w:val="none"/>
        </w:rPr>
      </w:pPr>
      <w:r>
        <w:rPr>
          <w:rFonts w:hint="eastAsia"/>
          <w:color w:val="000000"/>
          <w:highlight w:val="none"/>
        </w:rPr>
        <w:t>梳理土地利用计划指标、建设用地报批、征后实施、信息监管及公开等现有标准及历史数据，按照“放管服”改革要求和新土地管理法规定，形成建设用地报批及征地信息管理建库标准，建设业务过程全覆盖、图属档一致、可扩展的建设用地报批及征地数据库。</w:t>
      </w:r>
    </w:p>
    <w:p>
      <w:pPr>
        <w:ind w:firstLine="480"/>
        <w:rPr>
          <w:color w:val="000000"/>
          <w:highlight w:val="none"/>
        </w:rPr>
      </w:pPr>
      <w:r>
        <w:rPr>
          <w:rFonts w:hint="eastAsia"/>
          <w:color w:val="000000"/>
          <w:highlight w:val="none"/>
        </w:rPr>
        <w:t>根据“一张图”数据库建设及管理要求，接入“一张图”统一管理，为规划编制、征地及实施情况监管提供数据支撑。基于“国土</w:t>
      </w:r>
      <w:bookmarkStart w:id="0" w:name="_GoBack"/>
      <w:bookmarkEnd w:id="0"/>
      <w:r>
        <w:rPr>
          <w:rFonts w:hint="eastAsia"/>
          <w:color w:val="000000"/>
          <w:highlight w:val="none"/>
        </w:rPr>
        <w:t>空间基础信息平台”，利用分布式、大数据、智能AI、微服务等技术，搭建全过程线上办理、管理及监管的建设用地报批及征地信息系统。为适应新土地管理法及优化营商环境要求，减少因业务变化导致的重复建设、资金投入，充分利用新技术搭建可定制化组装、智能化辅助审批、开放式接入输出、全链条监管及以图管地的建设用地报批及征地信息管理系统。按照业务管理流程，分为土地利用年度计划指标管理、征前程序管理、报批审查、征后实施监管、信息公开、评价管理6个阶段。</w:t>
      </w:r>
    </w:p>
    <w:p>
      <w:pPr>
        <w:ind w:firstLine="480"/>
        <w:rPr>
          <w:color w:val="000000"/>
          <w:highlight w:val="none"/>
        </w:rPr>
      </w:pPr>
      <w:r>
        <w:rPr>
          <w:rFonts w:hint="eastAsia"/>
          <w:color w:val="000000"/>
          <w:highlight w:val="none"/>
        </w:rPr>
        <w:t>（1）征前程序管理子系统，依据新土地管理法，实现对征前程序的土地现状调查、社会稳定风险评估、征收土地启动公告、征地补偿安置方案公告等内容的管理，为征地信息公开提供数据支撑。</w:t>
      </w:r>
    </w:p>
    <w:p>
      <w:pPr>
        <w:ind w:firstLine="480"/>
        <w:rPr>
          <w:color w:val="000000"/>
          <w:highlight w:val="none"/>
        </w:rPr>
      </w:pPr>
      <w:r>
        <w:rPr>
          <w:rFonts w:hint="eastAsia"/>
          <w:color w:val="000000"/>
          <w:highlight w:val="none"/>
        </w:rPr>
        <w:t>（</w:t>
      </w:r>
      <w:r>
        <w:rPr>
          <w:color w:val="000000"/>
          <w:highlight w:val="none"/>
        </w:rPr>
        <w:t>2</w:t>
      </w:r>
      <w:r>
        <w:rPr>
          <w:rFonts w:hint="eastAsia"/>
          <w:color w:val="000000"/>
          <w:highlight w:val="none"/>
        </w:rPr>
        <w:t>）土地利用年度计划指标管理子系统，统筹监管批而未供土地和闲置土地的使用情况，掌握指标的预安排情况、使用情况、调剂情况，从而为局领导决策提供科学、合理的信息化支撑。</w:t>
      </w:r>
    </w:p>
    <w:p>
      <w:pPr>
        <w:ind w:firstLine="480"/>
        <w:rPr>
          <w:color w:val="000000"/>
          <w:highlight w:val="none"/>
        </w:rPr>
      </w:pPr>
      <w:r>
        <w:rPr>
          <w:rFonts w:hint="eastAsia"/>
          <w:color w:val="000000"/>
          <w:highlight w:val="none"/>
        </w:rPr>
        <w:t>（</w:t>
      </w:r>
      <w:r>
        <w:rPr>
          <w:color w:val="000000"/>
          <w:highlight w:val="none"/>
        </w:rPr>
        <w:t>3</w:t>
      </w:r>
      <w:r>
        <w:rPr>
          <w:rFonts w:hint="eastAsia"/>
          <w:color w:val="000000"/>
          <w:highlight w:val="none"/>
        </w:rPr>
        <w:t>）建设用地报批管理子系统，对报批数据中的勘测定界资料、土地分类面积、报批图形等数据进行审查，通过建设用地三级联网接口实现数据直报四川省自然资源厅、四川省自然资源厅批复信息自动回传等功能，通过对批文撤回和批文失效的审查和管理，自动更新批复数据状态。</w:t>
      </w:r>
    </w:p>
    <w:p>
      <w:pPr>
        <w:ind w:firstLine="480"/>
        <w:rPr>
          <w:color w:val="000000"/>
          <w:highlight w:val="none"/>
        </w:rPr>
      </w:pPr>
      <w:r>
        <w:rPr>
          <w:rFonts w:hint="eastAsia"/>
          <w:color w:val="000000"/>
          <w:highlight w:val="none"/>
        </w:rPr>
        <w:t>（</w:t>
      </w:r>
      <w:r>
        <w:rPr>
          <w:color w:val="000000"/>
          <w:highlight w:val="none"/>
        </w:rPr>
        <w:t>4</w:t>
      </w:r>
      <w:r>
        <w:rPr>
          <w:rFonts w:hint="eastAsia"/>
          <w:color w:val="000000"/>
          <w:highlight w:val="none"/>
        </w:rPr>
        <w:t>）征后实施监管子系统，实现征后实施进度、备案数据的实时监管，将实施完成数据在线实时共享到拟供地前置审查系统。</w:t>
      </w:r>
    </w:p>
    <w:p>
      <w:pPr>
        <w:ind w:firstLine="480"/>
        <w:rPr>
          <w:color w:val="000000"/>
          <w:highlight w:val="none"/>
        </w:rPr>
      </w:pPr>
      <w:r>
        <w:rPr>
          <w:rFonts w:hint="eastAsia"/>
          <w:color w:val="000000"/>
          <w:highlight w:val="none"/>
        </w:rPr>
        <w:t>（</w:t>
      </w:r>
      <w:r>
        <w:rPr>
          <w:color w:val="000000"/>
          <w:highlight w:val="none"/>
        </w:rPr>
        <w:t>5</w:t>
      </w:r>
      <w:r>
        <w:rPr>
          <w:rFonts w:hint="eastAsia"/>
          <w:color w:val="000000"/>
          <w:highlight w:val="none"/>
        </w:rPr>
        <w:t>）征地信息公开子系统，通过数据智能抓取、自动检查等核心手段，以人工补录、确认为补充，依托于自然资源“一张图”数据库和我局对外门户网站为平台，建设征地信息公开系统，按照一个建设用地批准文件一条公开信息的模式，将建设用地批准文件、批前材料、报批材料、批后实施材料归为一体。</w:t>
      </w:r>
    </w:p>
    <w:p>
      <w:pPr>
        <w:ind w:firstLine="480"/>
        <w:rPr>
          <w:color w:val="000000"/>
          <w:highlight w:val="none"/>
        </w:rPr>
      </w:pPr>
      <w:r>
        <w:rPr>
          <w:rFonts w:hint="eastAsia"/>
          <w:color w:val="000000"/>
          <w:highlight w:val="none"/>
        </w:rPr>
        <w:t>（</w:t>
      </w:r>
      <w:r>
        <w:rPr>
          <w:color w:val="000000"/>
          <w:highlight w:val="none"/>
        </w:rPr>
        <w:t>6</w:t>
      </w:r>
      <w:r>
        <w:rPr>
          <w:rFonts w:hint="eastAsia"/>
          <w:color w:val="000000"/>
          <w:highlight w:val="none"/>
        </w:rPr>
        <w:t>）用地审批工作评价子系统，通过对建设用地报批及征地的审批制度建设、备案完整性、审批效率、报件质量、退件补正、规范审批等6个方面评价，提升用地审批工作水平和土地管理水平。</w:t>
      </w:r>
    </w:p>
    <w:p>
      <w:pPr>
        <w:ind w:firstLine="480"/>
        <w:rPr>
          <w:rFonts w:hint="eastAsia" w:asciiTheme="minorEastAsia" w:hAnsiTheme="minorEastAsia" w:eastAsiaTheme="minorEastAsia" w:cstheme="minorEastAsia"/>
          <w:b w:val="0"/>
          <w:bCs w:val="0"/>
          <w:color w:val="000000"/>
          <w:sz w:val="21"/>
          <w:szCs w:val="21"/>
          <w:highlight w:val="none"/>
        </w:rPr>
      </w:pPr>
      <w:r>
        <w:rPr>
          <w:rFonts w:hint="eastAsia"/>
          <w:color w:val="000000"/>
          <w:highlight w:val="none"/>
        </w:rPr>
        <w:t>（</w:t>
      </w:r>
      <w:r>
        <w:rPr>
          <w:color w:val="000000"/>
          <w:highlight w:val="none"/>
        </w:rPr>
        <w:t>7</w:t>
      </w:r>
      <w:r>
        <w:rPr>
          <w:rFonts w:hint="eastAsia"/>
          <w:color w:val="000000"/>
          <w:highlight w:val="none"/>
        </w:rPr>
        <w:t>）建设用地报批及征地成果管理子系统，将清理完成的历史报批项目（批次）和征地项目实时通过接口推送建设用地报批及征地成果数据到成果管理数据库，实现对建设用地报批及征地数据的集中管理。</w:t>
      </w:r>
      <w:r>
        <w:rPr>
          <w:rFonts w:hint="eastAsia" w:asciiTheme="minorEastAsia" w:hAnsiTheme="minorEastAsia" w:eastAsiaTheme="minorEastAsia" w:cstheme="minorEastAsia"/>
          <w:b w:val="0"/>
          <w:bCs w:val="0"/>
          <w:color w:val="000000"/>
          <w:sz w:val="21"/>
          <w:szCs w:val="21"/>
          <w:highlight w:val="none"/>
        </w:rPr>
        <w:t>基于建设用地报批及征地数据库建库标准，针对历史数据存在历史周期长、数据来源广、数据标准不统一等特点进行数据整合迁移。建立自动化分析比对机制，将建设用地报批的矢量图形和属性数据、文字扫描等档案资料有机地结合起来，确保历史数据图属档的一致性和数据的完整性。</w:t>
      </w:r>
    </w:p>
    <w:p>
      <w:pPr>
        <w:pStyle w:val="2"/>
        <w:rPr>
          <w:rFonts w:hint="eastAsia"/>
          <w:lang w:val="en-US" w:eastAsia="zh-CN"/>
        </w:rPr>
      </w:pPr>
    </w:p>
    <w:p>
      <w:pPr>
        <w:pStyle w:val="3"/>
        <w:rPr>
          <w:rFonts w:hint="eastAsia" w:asciiTheme="minorEastAsia" w:hAnsiTheme="minorEastAsia" w:eastAsiaTheme="minorEastAsia" w:cstheme="minorEastAsia"/>
          <w:b w:val="0"/>
          <w:bCs w:val="0"/>
          <w:color w:val="000000"/>
          <w:sz w:val="21"/>
          <w:szCs w:val="21"/>
          <w:highlight w:val="none"/>
        </w:rPr>
      </w:pPr>
    </w:p>
    <w:p>
      <w:pPr>
        <w:pStyle w:val="3"/>
        <w:rPr>
          <w:rFonts w:hint="eastAsia" w:asciiTheme="minorEastAsia" w:hAnsiTheme="minorEastAsia" w:eastAsiaTheme="minorEastAsia" w:cstheme="minorEastAsia"/>
          <w:b w:val="0"/>
          <w:bCs w:val="0"/>
          <w:color w:val="000000"/>
          <w:sz w:val="21"/>
          <w:szCs w:val="21"/>
          <w:highlight w:val="none"/>
        </w:rPr>
      </w:pPr>
    </w:p>
    <w:p>
      <w:pPr>
        <w:pStyle w:val="3"/>
        <w:rPr>
          <w:rFonts w:hint="eastAsia" w:asciiTheme="minorEastAsia" w:hAnsiTheme="minorEastAsia" w:eastAsiaTheme="minorEastAsia" w:cstheme="minorEastAsia"/>
          <w:b w:val="0"/>
          <w:bCs w:val="0"/>
          <w:color w:val="000000"/>
          <w:sz w:val="21"/>
          <w:szCs w:val="21"/>
          <w:highlight w:val="none"/>
        </w:rPr>
      </w:pPr>
    </w:p>
    <w:p>
      <w:pPr>
        <w:pStyle w:val="3"/>
        <w:rPr>
          <w:rFonts w:hint="eastAsia" w:asciiTheme="minorEastAsia" w:hAnsiTheme="minorEastAsia" w:eastAsiaTheme="minorEastAsia" w:cstheme="minorEastAsia"/>
          <w:b w:val="0"/>
          <w:bCs w:val="0"/>
          <w:color w:val="000000"/>
          <w:sz w:val="21"/>
          <w:szCs w:val="21"/>
          <w:highlight w:val="none"/>
        </w:rPr>
      </w:pPr>
    </w:p>
    <w:p>
      <w:pPr>
        <w:pStyle w:val="3"/>
        <w:jc w:val="center"/>
        <w:rPr>
          <w:rFonts w:hint="eastAsia" w:asciiTheme="minorEastAsia" w:hAnsiTheme="minorEastAsia" w:eastAsiaTheme="minorEastAsia" w:cstheme="minorEastAsia"/>
          <w:b/>
          <w:bCs/>
          <w:color w:val="000000"/>
          <w:sz w:val="28"/>
          <w:szCs w:val="28"/>
          <w:highlight w:val="none"/>
          <w:lang w:val="en-US" w:eastAsia="zh-CN"/>
        </w:rPr>
      </w:pPr>
      <w:r>
        <w:rPr>
          <w:rFonts w:hint="eastAsia" w:asciiTheme="minorEastAsia" w:hAnsiTheme="minorEastAsia" w:eastAsiaTheme="minorEastAsia" w:cstheme="minorEastAsia"/>
          <w:b/>
          <w:bCs/>
          <w:color w:val="000000"/>
          <w:sz w:val="28"/>
          <w:szCs w:val="28"/>
          <w:highlight w:val="none"/>
          <w:lang w:val="en-US" w:eastAsia="zh-CN"/>
        </w:rPr>
        <w:t>服务标准</w:t>
      </w:r>
    </w:p>
    <w:p>
      <w:pPr>
        <w:ind w:firstLine="480"/>
        <w:rPr>
          <w:color w:val="000000"/>
          <w:highlight w:val="none"/>
        </w:rPr>
      </w:pPr>
      <w:r>
        <w:rPr>
          <w:rFonts w:hint="eastAsia"/>
          <w:color w:val="000000"/>
          <w:highlight w:val="none"/>
        </w:rPr>
        <w:t>（1）安全规范，高效服务</w:t>
      </w:r>
    </w:p>
    <w:p>
      <w:pPr>
        <w:ind w:firstLine="480"/>
        <w:rPr>
          <w:color w:val="000000"/>
          <w:highlight w:val="none"/>
        </w:rPr>
      </w:pPr>
      <w:r>
        <w:rPr>
          <w:rFonts w:hint="eastAsia"/>
          <w:color w:val="000000"/>
          <w:highlight w:val="none"/>
        </w:rPr>
        <w:t>项目建设遵循安全性原则，遵照国家标准和有关行业标准，充分考虑分级权限的设定、数据保密等情况，保证数据的真实性不被修改，保证信息变更的真实性、正确性不被篡改。数据整理和数据检查的相关工序及数据成果质量要符合国家及相关部门颁布的标准和技术规范。在某些工序和数据成果质量没有标准规范时应根据业务实际制定可行的技术标准。加强系统安全、网络安全和数据安全，确保成果数据及信息系统有效、高效和稳定地运行。发挥自然资源信息的服务功能，为各级部门提供可靠、有效的数据共享服务。同时为其他政府部门提供又好又快的信息服务。</w:t>
      </w:r>
    </w:p>
    <w:p>
      <w:pPr>
        <w:ind w:firstLine="480"/>
        <w:rPr>
          <w:color w:val="000000"/>
          <w:highlight w:val="none"/>
        </w:rPr>
      </w:pPr>
      <w:r>
        <w:rPr>
          <w:rFonts w:hint="eastAsia"/>
          <w:color w:val="000000"/>
          <w:highlight w:val="none"/>
        </w:rPr>
        <w:t>（2）统筹规划，充分衔接</w:t>
      </w:r>
    </w:p>
    <w:p>
      <w:pPr>
        <w:ind w:firstLine="480"/>
        <w:rPr>
          <w:color w:val="000000"/>
          <w:highlight w:val="none"/>
        </w:rPr>
      </w:pPr>
      <w:r>
        <w:rPr>
          <w:rFonts w:hint="eastAsia"/>
          <w:color w:val="000000"/>
          <w:highlight w:val="none"/>
        </w:rPr>
        <w:t>在总体设计上，按照统一审批的建设思路，搞好顶层设计，系统设计要覆盖自然资源管理全业务、全流程；在技术选择上，要采用先进成熟的信息化建设技术手段，确保系统建设的先进性、经济性和实用性。统筹规划与现有的信息化基础设施、数据资源、业务审批及信息系统现状进行充分衔接，必须与国家、省、市等信息化建设要求相衔接，建设成果满足IPv6的运行要求。</w:t>
      </w:r>
    </w:p>
    <w:p>
      <w:pPr>
        <w:ind w:firstLine="480"/>
        <w:rPr>
          <w:color w:val="000000"/>
          <w:highlight w:val="none"/>
        </w:rPr>
      </w:pPr>
      <w:r>
        <w:rPr>
          <w:rFonts w:hint="eastAsia"/>
          <w:color w:val="000000"/>
          <w:highlight w:val="none"/>
        </w:rPr>
        <w:t>（3）统一资源，共享应用</w:t>
      </w:r>
    </w:p>
    <w:p>
      <w:pPr>
        <w:ind w:firstLine="480"/>
        <w:rPr>
          <w:color w:val="000000"/>
          <w:highlight w:val="none"/>
        </w:rPr>
      </w:pPr>
      <w:r>
        <w:rPr>
          <w:rFonts w:hint="eastAsia"/>
          <w:color w:val="000000"/>
          <w:highlight w:val="none"/>
        </w:rPr>
        <w:t>项目建设要充分利用成都市规划和自然资源局现有信息化建设成果，在“一张图”架构下，打通、优化与外部系统的数据共享通道，形成纵向建立县、市，横向构建与市政府及其它政务部门的数据共享交换机制。</w:t>
      </w:r>
    </w:p>
    <w:p>
      <w:pPr>
        <w:ind w:firstLine="480"/>
        <w:rPr>
          <w:color w:val="000000"/>
          <w:highlight w:val="none"/>
        </w:rPr>
      </w:pPr>
      <w:r>
        <w:rPr>
          <w:rFonts w:hint="eastAsia"/>
          <w:color w:val="000000"/>
          <w:highlight w:val="none"/>
        </w:rPr>
        <w:t>（4）强化用户体验，弱化技术细节</w:t>
      </w:r>
    </w:p>
    <w:p>
      <w:pPr>
        <w:ind w:firstLine="480"/>
        <w:rPr>
          <w:color w:val="000000"/>
          <w:highlight w:val="none"/>
        </w:rPr>
      </w:pPr>
      <w:r>
        <w:rPr>
          <w:rFonts w:hint="eastAsia"/>
          <w:color w:val="000000"/>
          <w:highlight w:val="none"/>
        </w:rPr>
        <w:t>建设的系统必须强化用户体验，保障其实用、便捷，必须满足用户的日常使用习惯和操作方式，解决终端用户的使用问题，促进系统的进一步完善。建设的系统应弱化系统与软件平台的关联度，即建设的系统应不依赖于特定的平台或系统，满足用户的轻量安装或使用，系统必须实现自动更新升级。</w:t>
      </w:r>
    </w:p>
    <w:p>
      <w:pPr>
        <w:ind w:firstLine="480"/>
        <w:rPr>
          <w:color w:val="000000"/>
          <w:highlight w:val="none"/>
        </w:rPr>
      </w:pPr>
      <w:r>
        <w:rPr>
          <w:rFonts w:hint="eastAsia"/>
          <w:color w:val="000000"/>
          <w:highlight w:val="none"/>
        </w:rPr>
        <w:t>（</w:t>
      </w:r>
      <w:r>
        <w:rPr>
          <w:color w:val="000000"/>
          <w:highlight w:val="none"/>
        </w:rPr>
        <w:t>5</w:t>
      </w:r>
      <w:r>
        <w:rPr>
          <w:rFonts w:hint="eastAsia"/>
          <w:color w:val="000000"/>
          <w:highlight w:val="none"/>
        </w:rPr>
        <w:t>）稳定可靠，扩展灵活</w:t>
      </w:r>
    </w:p>
    <w:p>
      <w:pPr>
        <w:ind w:firstLine="480"/>
        <w:rPr>
          <w:color w:val="000000"/>
          <w:highlight w:val="none"/>
        </w:rPr>
      </w:pPr>
      <w:r>
        <w:rPr>
          <w:rFonts w:hint="eastAsia"/>
          <w:color w:val="000000"/>
          <w:highlight w:val="none"/>
        </w:rPr>
        <w:t>稳定性是保证系统可靠运行的基础条件。在系统建设过程中，通过严格系统测试手段，充分考虑软硬件的容错容灾能力，保障系统在出现问题和故障时能够及时实现系统和数据的恢复。</w:t>
      </w:r>
    </w:p>
    <w:p>
      <w:pPr>
        <w:ind w:firstLine="480"/>
        <w:rPr>
          <w:color w:val="000000"/>
          <w:highlight w:val="none"/>
        </w:rPr>
      </w:pPr>
      <w:r>
        <w:rPr>
          <w:rFonts w:hint="eastAsia"/>
          <w:color w:val="000000"/>
          <w:highlight w:val="none"/>
        </w:rPr>
        <w:t>提供开放的接口，能对系统进行动态修改和扩充，保障系统能够适应业务变化。在设计时，充分优化系统整体架构，采用“插件设计”模式，使各功能模块在相互关联的基础上尽可能独立操作运行，实现功能复用，便于系统可随着业务变化进行快速升级改造；系统平台在输入、输出方面应具有较强的兼容性，可进行各种不同数据格式的转换。</w:t>
      </w:r>
    </w:p>
    <w:p>
      <w:pPr>
        <w:ind w:firstLine="480"/>
        <w:rPr>
          <w:color w:val="000000"/>
          <w:highlight w:val="none"/>
        </w:rPr>
      </w:pPr>
      <w:r>
        <w:rPr>
          <w:rFonts w:hint="eastAsia"/>
          <w:color w:val="000000"/>
          <w:highlight w:val="none"/>
        </w:rPr>
        <w:t>（</w:t>
      </w:r>
      <w:r>
        <w:rPr>
          <w:color w:val="000000"/>
          <w:highlight w:val="none"/>
        </w:rPr>
        <w:t>6</w:t>
      </w:r>
      <w:r>
        <w:rPr>
          <w:rFonts w:hint="eastAsia"/>
          <w:color w:val="000000"/>
          <w:highlight w:val="none"/>
        </w:rPr>
        <w:t>）系统自动化处理原则</w:t>
      </w:r>
    </w:p>
    <w:p>
      <w:pPr>
        <w:ind w:firstLine="480"/>
        <w:rPr>
          <w:color w:val="000000"/>
          <w:highlight w:val="none"/>
        </w:rPr>
      </w:pPr>
      <w:r>
        <w:rPr>
          <w:rFonts w:hint="eastAsia"/>
          <w:color w:val="000000"/>
          <w:highlight w:val="none"/>
        </w:rPr>
        <w:t>在保障数据质量及数据处理、检查工艺规范性的情况下，数据编辑、整理和数据检查的相关工序应尽量采用系统自动处理，减少手工干预或手工处理。</w:t>
      </w:r>
    </w:p>
    <w:p>
      <w:pPr>
        <w:ind w:firstLine="480"/>
        <w:rPr>
          <w:color w:val="000000"/>
          <w:highlight w:val="none"/>
        </w:rPr>
      </w:pPr>
      <w:r>
        <w:rPr>
          <w:rFonts w:hint="eastAsia"/>
          <w:color w:val="000000"/>
          <w:highlight w:val="none"/>
        </w:rPr>
        <w:t>（7）图属一体化原则</w:t>
      </w:r>
    </w:p>
    <w:p>
      <w:pPr>
        <w:ind w:firstLine="480"/>
        <w:rPr>
          <w:color w:val="000000"/>
          <w:highlight w:val="none"/>
        </w:rPr>
      </w:pPr>
      <w:r>
        <w:rPr>
          <w:rFonts w:hint="eastAsia"/>
          <w:color w:val="000000"/>
          <w:highlight w:val="none"/>
        </w:rPr>
        <w:t>在数据编辑整理和数据检查过程中，要考虑空间数据和属性数据有机统一，使空间数据与非空间数据实现真正的一体化集成。</w:t>
      </w:r>
    </w:p>
    <w:p>
      <w:pPr>
        <w:pStyle w:val="3"/>
        <w:rPr>
          <w:rFonts w:hint="default" w:asciiTheme="minorEastAsia" w:hAnsiTheme="minorEastAsia" w:eastAsiaTheme="minorEastAsia" w:cstheme="minorEastAsia"/>
          <w:b w:val="0"/>
          <w:bCs w:val="0"/>
          <w:color w:val="000000"/>
          <w:sz w:val="21"/>
          <w:szCs w:val="21"/>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EC3969"/>
    <w:multiLevelType w:val="multilevel"/>
    <w:tmpl w:val="36EC3969"/>
    <w:lvl w:ilvl="0" w:tentative="0">
      <w:start w:val="1"/>
      <w:numFmt w:val="chineseCountingThousand"/>
      <w:suff w:val="nothing"/>
      <w:lvlText w:val="第%1章 "/>
      <w:lvlJc w:val="left"/>
      <w:pPr>
        <w:ind w:left="0" w:firstLine="0"/>
      </w:pPr>
    </w:lvl>
    <w:lvl w:ilvl="1" w:tentative="0">
      <w:start w:val="1"/>
      <w:numFmt w:val="chineseCountingThousand"/>
      <w:suff w:val="nothing"/>
      <w:lvlText w:val="%2、"/>
      <w:lvlJc w:val="left"/>
      <w:pPr>
        <w:ind w:left="0" w:firstLine="0"/>
      </w:pPr>
      <w:rPr>
        <w:rFonts w:hint="eastAsia" w:ascii="宋体" w:hAnsi="宋体" w:eastAsia="宋体" w:cs="宋体"/>
      </w:rPr>
    </w:lvl>
    <w:lvl w:ilvl="2" w:tentative="0">
      <w:start w:val="1"/>
      <w:numFmt w:val="chineseCountingThousand"/>
      <w:suff w:val="nothing"/>
      <w:lvlText w:val="(%3)"/>
      <w:lvlJc w:val="left"/>
      <w:pPr>
        <w:ind w:left="0" w:firstLine="0"/>
      </w:pPr>
      <w:rPr>
        <w:rFonts w:hint="eastAsia" w:ascii="宋体" w:hAnsi="宋体" w:eastAsia="宋体" w:cs="宋体"/>
      </w:rPr>
    </w:lvl>
    <w:lvl w:ilvl="3" w:tentative="0">
      <w:start w:val="1"/>
      <w:numFmt w:val="decimal"/>
      <w:suff w:val="nothing"/>
      <w:lvlText w:val="%4."/>
      <w:lvlJc w:val="left"/>
      <w:pPr>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pStyle w:val="5"/>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0"/>
      </w:pPr>
      <w:rPr>
        <w:rFonts w:hint="eastAsia"/>
      </w:rPr>
    </w:lvl>
    <w:lvl w:ilvl="7" w:tentative="0">
      <w:start w:val="1"/>
      <w:numFmt w:val="lowerLetter"/>
      <w:suff w:val="nothing"/>
      <w:lvlText w:val="%8）"/>
      <w:lvlJc w:val="left"/>
      <w:pPr>
        <w:ind w:left="0" w:firstLine="0"/>
      </w:pPr>
      <w:rPr>
        <w:rFonts w:hint="eastAsia"/>
      </w:rPr>
    </w:lvl>
    <w:lvl w:ilvl="8" w:tentative="0">
      <w:start w:val="1"/>
      <w:numFmt w:val="lowerRoman"/>
      <w:suff w:val="nothing"/>
      <w:lvlText w:val="%9. "/>
      <w:lvlJc w:val="left"/>
      <w:pPr>
        <w:ind w:left="0" w:firstLine="0"/>
      </w:pPr>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91022E"/>
    <w:rsid w:val="0791022E"/>
    <w:rsid w:val="4BCC64CB"/>
    <w:rsid w:val="4DA54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99"/>
    <w:pPr>
      <w:keepNext/>
      <w:keepLines/>
      <w:widowControl w:val="0"/>
      <w:spacing w:before="260" w:after="260" w:line="415" w:lineRule="auto"/>
      <w:outlineLvl w:val="1"/>
    </w:pPr>
    <w:rPr>
      <w:rFonts w:ascii="Arial" w:hAnsi="Arial" w:eastAsia="黑体"/>
      <w:b/>
      <w:bCs/>
      <w:sz w:val="32"/>
      <w:szCs w:val="32"/>
    </w:rPr>
  </w:style>
  <w:style w:type="paragraph" w:styleId="5">
    <w:name w:val="heading 6"/>
    <w:basedOn w:val="1"/>
    <w:next w:val="1"/>
    <w:qFormat/>
    <w:uiPriority w:val="0"/>
    <w:pPr>
      <w:keepNext/>
      <w:keepLines/>
      <w:numPr>
        <w:ilvl w:val="5"/>
        <w:numId w:val="1"/>
      </w:numPr>
      <w:spacing w:before="240" w:after="64" w:line="320" w:lineRule="auto"/>
      <w:ind w:firstLine="0" w:firstLineChars="0"/>
      <w:outlineLvl w:val="5"/>
    </w:pPr>
    <w:rPr>
      <w:rFonts w:cs="Times New Roman"/>
      <w:b/>
      <w:bCs/>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3">
    <w:name w:val="正文（绿盟科技）"/>
    <w:qFormat/>
    <w:uiPriority w:val="0"/>
    <w:pPr>
      <w:spacing w:line="300" w:lineRule="auto"/>
    </w:pPr>
    <w:rPr>
      <w:rFonts w:ascii="Arial" w:hAnsi="Arial" w:eastAsia="宋体" w:cs="Times New Roman"/>
      <w:sz w:val="21"/>
      <w:szCs w:val="21"/>
      <w:lang w:val="en-US" w:eastAsia="zh-CN" w:bidi="ar-SA"/>
    </w:rPr>
  </w:style>
  <w:style w:type="paragraph" w:styleId="6">
    <w:name w:val="annotation text"/>
    <w:basedOn w:val="1"/>
    <w:qFormat/>
    <w:uiPriority w:val="99"/>
    <w:pPr>
      <w:jc w:val="left"/>
    </w:pPr>
  </w:style>
  <w:style w:type="paragraph" w:styleId="7">
    <w:name w:val="Body Text"/>
    <w:basedOn w:val="1"/>
    <w:next w:val="1"/>
    <w:qFormat/>
    <w:uiPriority w:val="0"/>
    <w:pPr>
      <w:spacing w:after="120"/>
    </w:pPr>
  </w:style>
  <w:style w:type="character" w:styleId="10">
    <w:name w:val="annotation reference"/>
    <w:qFormat/>
    <w:uiPriority w:val="99"/>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2021-06-23T07:20:00Z</dcterms:created>
  <dc:creator>青石生芽</dc:creator>
  <cp:lastModifiedBy>青石生芽</cp:lastModifiedBy>
  <dcterms:modified xsi:type="dcterms:W3CDTF">2021-06-23T09:16:40Z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F799DFE063AE4634BFC9D598C198122A</vt:lpwstr>
  </property>
</Properties>
</file>