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numId w:val="0"/>
        </w:numPr>
        <w:spacing w:before="120" w:after="120"/>
        <w:ind w:leftChars="0"/>
        <w:jc w:val="center"/>
      </w:pPr>
      <w:bookmarkStart w:id="45" w:name="_GoBack"/>
      <w:bookmarkEnd w:id="45"/>
      <w:bookmarkStart w:id="0" w:name="_Toc5955"/>
      <w:bookmarkStart w:id="1" w:name="_Toc14530"/>
      <w:bookmarkStart w:id="2" w:name="_Toc32653"/>
      <w:r>
        <w:rPr>
          <w:rFonts w:hint="eastAsia"/>
        </w:rPr>
        <w:t>招标项目技术、服务、政府采购合同内容条款及其他商务要求</w:t>
      </w:r>
      <w:bookmarkEnd w:id="0"/>
      <w:bookmarkEnd w:id="1"/>
      <w:bookmarkEnd w:id="2"/>
    </w:p>
    <w:p>
      <w:pPr>
        <w:widowControl w:val="0"/>
        <w:numPr>
          <w:ilvl w:val="1"/>
          <w:numId w:val="2"/>
        </w:numPr>
        <w:wordWrap w:val="0"/>
        <w:topLinePunct/>
        <w:adjustRightInd w:val="0"/>
        <w:snapToGrid w:val="0"/>
        <w:spacing w:line="440" w:lineRule="exact"/>
        <w:ind w:firstLine="482" w:firstLineChars="200"/>
        <w:outlineLvl w:val="1"/>
        <w:rPr>
          <w:rFonts w:ascii="宋体" w:hAnsi="宋体" w:eastAsia="宋体" w:cstheme="minorBidi"/>
          <w:b/>
          <w:kern w:val="2"/>
          <w:sz w:val="24"/>
          <w:szCs w:val="24"/>
          <w:lang w:val="en-US" w:eastAsia="zh-CN" w:bidi="ar-SA"/>
        </w:rPr>
      </w:pPr>
      <w:bookmarkStart w:id="3" w:name="_Toc5869_WPSOffice_Level2"/>
      <w:bookmarkStart w:id="4" w:name="_Toc3099"/>
      <w:bookmarkStart w:id="5" w:name="_Toc18467"/>
      <w:r>
        <w:rPr>
          <w:rFonts w:hint="eastAsia" w:ascii="宋体" w:hAnsi="宋体" w:eastAsia="宋体" w:cstheme="minorBidi"/>
          <w:b/>
          <w:kern w:val="2"/>
          <w:sz w:val="24"/>
          <w:szCs w:val="24"/>
          <w:lang w:val="en-US" w:eastAsia="zh-CN" w:bidi="ar-SA"/>
        </w:rPr>
        <w:t>项目概述</w:t>
      </w:r>
      <w:bookmarkEnd w:id="3"/>
      <w:bookmarkEnd w:id="4"/>
      <w:bookmarkEnd w:id="5"/>
    </w:p>
    <w:p>
      <w:pPr>
        <w:pStyle w:val="9"/>
      </w:pPr>
      <w:r>
        <w:rPr>
          <w:rFonts w:hint="eastAsia"/>
        </w:rPr>
        <w:t>图书馆是一个专门收集、整理、保存、传播文献并提供利用的科学、文化、教育和科研机构。而文献资源是图书馆开展一切工作的物质基础。成都图书馆拟通过政府采购公开招标方式采购2021年度数字资源服务，一是为了丰富馆藏文献；二是为广大读者提供更多的文献信息服务；三是充分发挥图书馆保存人类文化遗产、开展社会教育、传递科学情报、开发智力资源、提供文化娱乐等作用。</w:t>
      </w:r>
    </w:p>
    <w:p>
      <w:pPr>
        <w:numPr>
          <w:ilvl w:val="1"/>
          <w:numId w:val="1"/>
        </w:numPr>
        <w:wordWrap w:val="0"/>
        <w:topLinePunct/>
        <w:ind w:firstLine="482" w:firstLineChars="200"/>
        <w:outlineLvl w:val="1"/>
        <w:rPr>
          <w:rFonts w:cs="Times New Roman"/>
          <w:b/>
        </w:rPr>
      </w:pPr>
      <w:bookmarkStart w:id="6" w:name="_Toc9962"/>
      <w:bookmarkStart w:id="7" w:name="_Toc4362"/>
      <w:r>
        <w:rPr>
          <w:rFonts w:hint="eastAsia" w:cs="Times New Roman"/>
          <w:b/>
        </w:rPr>
        <w:t>技术服务要求</w:t>
      </w:r>
      <w:bookmarkEnd w:id="6"/>
      <w:bookmarkEnd w:id="7"/>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127"/>
        <w:gridCol w:w="5424"/>
        <w:gridCol w:w="624"/>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资源名称</w:t>
            </w:r>
          </w:p>
        </w:tc>
        <w:tc>
          <w:tcPr>
            <w:tcW w:w="6528" w:type="dxa"/>
            <w:vAlign w:val="center"/>
          </w:tcPr>
          <w:p>
            <w:pPr>
              <w:keepNext w:val="0"/>
              <w:keepLines w:val="0"/>
              <w:pageBreakBefore w:val="0"/>
              <w:widowControl/>
              <w:kinsoku/>
              <w:wordWrap w:val="0"/>
              <w:overflowPunct/>
              <w:topLinePunct w:val="0"/>
              <w:autoSpaceDE/>
              <w:autoSpaceDN/>
              <w:bidi w:val="0"/>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技术要求</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移动</w:t>
            </w:r>
          </w:p>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图书馆</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b/>
                <w:bCs/>
                <w:kern w:val="0"/>
                <w:sz w:val="21"/>
                <w:szCs w:val="21"/>
                <w:lang w:val="zh-CN"/>
              </w:rPr>
              <w:t>★</w:t>
            </w:r>
            <w:r>
              <w:rPr>
                <w:rFonts w:hint="eastAsia" w:ascii="宋体" w:hAnsi="宋体" w:eastAsia="宋体" w:cs="宋体"/>
                <w:kern w:val="0"/>
                <w:sz w:val="21"/>
                <w:szCs w:val="21"/>
              </w:rPr>
              <w:t>1.能与采购人现有的OPAC系统完成统一认证，无需读者重复注册账号；根据OPAC系统功能智能分析判断可预约图书，将可预约图书自动标示出来，通过手机扫描图书馆纸质图书条形码，可实时查看对应该图书所在的馆藏架位信息和可预约、可借阅情况；</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★2.提供适合手机使用的且具有完全自主知识产权的视频，支持有声读物播放，移动图书馆视频内嵌资源量要求不少于2万集；</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▲3.提供多种全文获取方式，本馆有全文的可直接阅读，无全文的可通过与已有的文献传递系统对接，将文献发送到读者的邮箱；</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▲4.需支持全文检索服务，可定位到相关图书的具体页数，支持在线阅读相关页；</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移动图书馆可在不同移动终端上阅读访问。提供适合手机使用的图书资源，需包含图书封面信息、目录，能在手机中完成试读，并且通过移动图书馆，可以查询到全国的馆藏信息。支持图书馆已购买的电子图书、中外文期刊等学术资源全文阅读和全文检索；</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▲6.平台内所有功能 APP都要求结构灵活，支持用户根据喜好、常用度，使用习惯随意调整位置。通过APP服务可自由添加、删除相关模块；系统具备分享功能，至少具备微信好友、微信朋友圈、新浪微博等社交分享平台；</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val="zh-CN"/>
              </w:rPr>
              <w:t>服务模式：</w:t>
            </w:r>
            <w:r>
              <w:rPr>
                <w:rFonts w:hint="eastAsia" w:ascii="宋体" w:hAnsi="宋体" w:eastAsia="宋体" w:cs="宋体"/>
                <w:kern w:val="0"/>
                <w:sz w:val="21"/>
                <w:szCs w:val="21"/>
              </w:rPr>
              <w:t>远程包库访问。</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b/>
                <w:bCs/>
                <w:kern w:val="0"/>
                <w:sz w:val="21"/>
                <w:szCs w:val="21"/>
                <w:lang w:val="zh-CN"/>
              </w:rPr>
              <w:t>★</w:t>
            </w:r>
            <w:r>
              <w:rPr>
                <w:rFonts w:hint="eastAsia" w:ascii="宋体" w:hAnsi="宋体" w:eastAsia="宋体" w:cs="宋体"/>
                <w:kern w:val="0"/>
                <w:sz w:val="21"/>
                <w:szCs w:val="21"/>
              </w:rPr>
              <w:t>8.</w:t>
            </w:r>
            <w:r>
              <w:rPr>
                <w:rFonts w:hint="eastAsia" w:ascii="宋体" w:hAnsi="宋体" w:eastAsia="宋体" w:cs="宋体"/>
                <w:kern w:val="0"/>
                <w:sz w:val="21"/>
                <w:szCs w:val="21"/>
                <w:lang w:val="zh-CN"/>
              </w:rPr>
              <w:t>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电子书借阅机资源更新及系统升级服务</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b/>
                <w:bCs/>
                <w:kern w:val="0"/>
                <w:sz w:val="21"/>
                <w:szCs w:val="21"/>
                <w:lang w:val="zh-CN"/>
              </w:rPr>
              <w:t>★</w:t>
            </w:r>
            <w:r>
              <w:rPr>
                <w:rFonts w:hint="eastAsia" w:ascii="宋体" w:hAnsi="宋体" w:eastAsia="宋体" w:cs="宋体"/>
                <w:kern w:val="0"/>
                <w:sz w:val="21"/>
                <w:szCs w:val="21"/>
              </w:rPr>
              <w:t>1.年更新不低于2000种图书文献，每月定时更新不少于150种热门电子图书。支持新书、热门图书标记功能；内置期刊种类不少于200种，每月定期更新。期刊支持扫描下载至手机客户端中离线阅读；提供学术视频模块，支持在线播放，学术视频不少于400集；提供实时更新的报纸资源，至少具有《经济观察报》、《南方周末》、《光明日报》。</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▲2.具备在线浏览及手机扫码下载全文功能；</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▲3.具备手机客户端应用，手机客户端是电子书借阅机配套的手机端程序，与图书馆正在使用的移动图书馆客户端联机使用；</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▲4.能实现对用户的访问和使用情况进行详细的记录，并进行统计分析。可按下载量、下载图书分类等方式进行统计分析；</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▲5.提供信息发布后台。图书馆可以自行发布文字、图片等信息，推送至指定的借阅机上显示；</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▲6.服务模式：远程包库访问；</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讲座视频数据库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zh-CN"/>
              </w:rPr>
              <w:t>★</w:t>
            </w:r>
            <w:r>
              <w:rPr>
                <w:rFonts w:hint="eastAsia" w:ascii="宋体" w:hAnsi="宋体" w:eastAsia="宋体" w:cs="宋体"/>
                <w:kern w:val="0"/>
                <w:sz w:val="21"/>
                <w:szCs w:val="21"/>
              </w:rPr>
              <w:t>1.采购内容：视频资源不低于16万集，总时长不少于5万小时，其中，教育、语言、经济、管理、法律、金融、统计、旅游、计算机等学科视频数据不低于80000 集；</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zh-CN"/>
              </w:rPr>
              <w:t>★</w:t>
            </w:r>
            <w:r>
              <w:rPr>
                <w:rFonts w:hint="eastAsia" w:ascii="宋体" w:hAnsi="宋体" w:eastAsia="宋体" w:cs="宋体"/>
                <w:kern w:val="0"/>
                <w:sz w:val="21"/>
                <w:szCs w:val="21"/>
              </w:rPr>
              <w:t>2.数据库学科体系齐全、资源类型全面、受众层次多样、适合自主学习需要、具有较高学术水品和精良制作品质。需满足拍摄国内外一流高校上百所，不少于10000 位国内外专家、学者、教授，主讲人含院士、长江学者或国家级教学名师不低于1000人；</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★3.采购数量：1套，年更新不少于1万集；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▲4.支持桌面电脑访问，支持移动终端上的APP服务；提供在线视频观看，能邀请名师面对面交流。</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▲5.提供系列名称、视频名称、视频知识节点、主讲人、主讲人单位、关键词检索到相关的课程讲座。检索结果有合理的算法能进行区分优先级智能排序,有按人气、评分、更新时间的排行榜；</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▲6.可实现对采购人用户的访问和使用情况进行详细的记录，并进行统计分析，定期提供统计分析报告；</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▲7.服务模式：远程包库访问；</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★8.可供成都全域22家公共图书馆所有持证读者访问使用。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音乐类数据库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数据库应包含唱片库、有声读物、视频图书馆、剧院等板块。</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唱片库：</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包含从中世纪到近现代不少于9000位艺术家、80种乐器的音乐作品，100万首曲目，应涵盖世界上绝大部分的古典音乐资源，包括交响乐、室内乐、歌剧、协奏曲、乐器独奏等古典音乐种类，亚洲、欧洲、非洲、大洋洲、美洲的众多国家独具特色的民族风情音乐，以及爵士音乐、电影音乐、新世纪音乐、轻音乐、儿童音乐等音乐曲风。</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▲2.音频资料格式为MP3格式，提供音质192K bps以上的音频文件，远程访问模式，有完整的分类体系平台，可根据不同要求进行分类检索，如厂牌、作曲家、音乐体裁等。</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★3.每年至少更新3000首曲目。</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有声读物：</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▲4.要有英语读物和中文读物两部分。英语读物不少于800部作品。</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▲5.音频资料格式为MP3格式，提供音质192K 以上的音频文件，远程访问模式，有完整的分类体系平台，可根据不同体裁要求进行分类检索。</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视频图书馆：</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▲6.不少于3000小时的歌剧、芭蕾、音乐会现场、音乐纪录片、爵士、音乐之旅、特色电影、博物馆讲解(艺术)等从中世纪到现当代的优秀音乐视频作品。</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▲7.视频资料为Flv格式，提供音质700K 以上的音频文件，远程访问模式，有完整的分类体系平台，可根据不同要求进行分类检索。</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剧院：</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▲8.分类涵盖歌剧、音乐会、舞蹈、话剧、戏曲、相声等；每年不低于1000场次；可根据演出时间、演出场地、演出类型检索；网站至少提前半个月提供演出节目预告信息。</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▲9.服务模式：远程包库访问；</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★10.可供成都全域22家公共图书馆所有持证读者访问使用。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云CD机</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▲1.操作系统：至少包含安卓；内存卡：≥4G；液晶屏：LED背光；屏幕分辨率：≥1080×1920；屏幕显示面积(允许±偏离10%)：523×930mm；外壳尺寸(允许±偏离10%)：705×1820×370mm；</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▲2.功率：130W；电压：110～240V；</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▲3.接口：3.5mm耳机接口；</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▲4.资源内容：在线1500张经典专辑可扫描二维码下载客户端使用。</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▲5.产品资源量：15个分类，内置1500张唱片。</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▲6.音频码率不低于192Kbps，产品需配套手机APP，可以通过手机扫描二维码将资源装入手机，实现手机客户端播放。</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▲7.内置资源分类：古典经典、小小琴童、减压音乐、健身音乐、华夏之韵、儿童音乐、影视音乐、浪漫金曲、胎教早教、世界风情、伴我读书、当代爵士等。</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中外专利数据库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★1.2021年中外专利数据更新。为了保证数据的延续性和方便用户查询，今年拟购的中外专利数据库在技术要求上应与采购人已有的中外专利系统无缝整合，在原有平台上增加资源并且进行检索、查看、下载；</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▲2.收录从1985年至今授理的全部发明专利、实用新型专利、外观设计专利数据信息，分类以上述内容为依据；</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▲3.收录的专利文献必须为国家法定专利出版单位所出版；</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▲4.提供的专利二次文献均能够链接到全文；</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▲5.能够提供完整的专利文献的二次文献数据库；</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▲6.不限制并发用户数；</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▲7.所购数据均为镜像方式；</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▲8.如出现数据遗失，无条件进行已购买数据恢复服务；</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★9.可供成都全域22家公共图书馆所有持证读者访问使用。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学位论文数据库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1.2021年学位论文更新不少于120000篇，为了保证数据的延续性和方便用户查询，今年拟购的学位论文数据库在技术要求上应与采购人已有的学位论文系统无缝整合在原有学位论文平台上增加资源并且进行检索、查看、下载。</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▲2.入编学位论文的学科范围需覆盖基础科学、工业技术、社会科学、哲学政法、教科文艺、经济财政等学科，能够按照中图分类法二级学科分类分别购买；</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▲3.学位论文211高校论文数量占总量不得低于70%；</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▲4.学位论文提交单位中211高校数量不得低于90%；</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★5.学位论文总量不得低于220万篇，以供挑选；</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▲6.211高校论文单位不得少于85家；</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▲7.学位论文收录年限在12年以上(含12年)；</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▲8.所购学位论文具有永久使用权，并且能直接查看和下载全文；</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▲9.不限制并发用户数；</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▲10.所购数据均为镜像方式；</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▲11.如出现数据遗失，无条件进行购买数据恢复服务；</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★12.可供成都全域22家公共图书馆所有持证读者访问使用。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学术会议数据库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★1.2021年会议论文更新60000篇。为了保证数据的延续性和方便用户查询，今年拟购的会议论文数据库在技术要求上应与采购人已有的会议论文系统无缝整合，在原有平台上增加资源并且进行检索、查看、下载。</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▲2.入编会议论文的学科范围需覆盖基础科学、工业技术、社会科学、哲学政法、教科文艺、经济财政等学科，能够按照中图分类法二级学科分类分别购买；</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▲3.收录学术会议的会议举办单位为国家级协会或者学会单位；</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▲4.能够提供完整的学术会议论文的二次文献数据库；</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★5.学术会议论文的全文总量不得少于600000篇以供挑选；</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▲6.收录的国家一级协会数量不得少于100家；</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▲7.学术会议论文收录年限在10年以上(含10年)；</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▲8.所购学术会议论文具有永久使用权，并且能直接查看和下载全文；</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▲9.不限制并发用户数；</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▲10.所购数据均为镜像方式；</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▲11.如出现数据遗失，无条件进行购买数据恢复服务。</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★12.可供全域成都22家公共图书馆所有持证读者访问使用。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法律数据库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法律数据库内容须包含法律法规检索系统、司法案例检索系统、法学期刊检索系统、专题参考检索系统、英文译本检索系统、法宝视频检索系统、律所实务检索系统、检察文书检索系统、司法考试资源检索系统、行政处罚检索系统等10个子库。</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★2.子库内容：</w:t>
            </w:r>
            <w:r>
              <w:rPr>
                <w:rFonts w:hint="eastAsia" w:cs="宋体"/>
                <w:kern w:val="0"/>
                <w:sz w:val="21"/>
                <w:szCs w:val="21"/>
                <w:lang w:eastAsia="zh-CN"/>
              </w:rPr>
              <w:t>(</w:t>
            </w:r>
            <w:r>
              <w:rPr>
                <w:rFonts w:hint="eastAsia" w:ascii="宋体" w:hAnsi="宋体" w:eastAsia="宋体" w:cs="宋体"/>
                <w:kern w:val="0"/>
                <w:sz w:val="21"/>
                <w:szCs w:val="21"/>
              </w:rPr>
              <w:t>1</w:t>
            </w:r>
            <w:r>
              <w:rPr>
                <w:rFonts w:hint="eastAsia" w:cs="宋体"/>
                <w:kern w:val="0"/>
                <w:sz w:val="21"/>
                <w:szCs w:val="21"/>
                <w:lang w:eastAsia="zh-CN"/>
              </w:rPr>
              <w:t>)</w:t>
            </w:r>
            <w:r>
              <w:rPr>
                <w:rFonts w:hint="eastAsia" w:ascii="宋体" w:hAnsi="宋体" w:eastAsia="宋体" w:cs="宋体"/>
                <w:kern w:val="0"/>
                <w:sz w:val="21"/>
                <w:szCs w:val="21"/>
              </w:rPr>
              <w:t>法律法规检索系统，收录法律法规自1949年至今不低于273万篇，法规内容采用全国人大常委会、最高人民法院等有关机关提供的法规文本，保证法规准确性。</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cs="宋体"/>
                <w:kern w:val="0"/>
                <w:sz w:val="21"/>
                <w:szCs w:val="21"/>
                <w:lang w:eastAsia="zh-CN"/>
              </w:rPr>
              <w:t>(</w:t>
            </w:r>
            <w:r>
              <w:rPr>
                <w:rFonts w:hint="eastAsia" w:ascii="宋体" w:hAnsi="宋体" w:eastAsia="宋体" w:cs="宋体"/>
                <w:kern w:val="0"/>
                <w:sz w:val="21"/>
                <w:szCs w:val="21"/>
              </w:rPr>
              <w:t>2</w:t>
            </w:r>
            <w:r>
              <w:rPr>
                <w:rFonts w:hint="eastAsia" w:cs="宋体"/>
                <w:kern w:val="0"/>
                <w:sz w:val="21"/>
                <w:szCs w:val="21"/>
                <w:lang w:eastAsia="zh-CN"/>
              </w:rPr>
              <w:t>)</w:t>
            </w:r>
            <w:r>
              <w:rPr>
                <w:rFonts w:hint="eastAsia" w:ascii="宋体" w:hAnsi="宋体" w:eastAsia="宋体" w:cs="宋体"/>
                <w:kern w:val="0"/>
                <w:sz w:val="21"/>
                <w:szCs w:val="21"/>
              </w:rPr>
              <w:t>司法案例检索系统，收录我国大陆法院的各类案例不少于1.14亿篇，</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cs="宋体"/>
                <w:kern w:val="0"/>
                <w:sz w:val="21"/>
                <w:szCs w:val="21"/>
                <w:lang w:eastAsia="zh-CN"/>
              </w:rPr>
              <w:t>(</w:t>
            </w:r>
            <w:r>
              <w:rPr>
                <w:rFonts w:hint="eastAsia" w:ascii="宋体" w:hAnsi="宋体" w:eastAsia="宋体" w:cs="宋体"/>
                <w:kern w:val="0"/>
                <w:sz w:val="21"/>
                <w:szCs w:val="21"/>
              </w:rPr>
              <w:t>3</w:t>
            </w:r>
            <w:r>
              <w:rPr>
                <w:rFonts w:hint="eastAsia" w:cs="宋体"/>
                <w:kern w:val="0"/>
                <w:sz w:val="21"/>
                <w:szCs w:val="21"/>
                <w:lang w:eastAsia="zh-CN"/>
              </w:rPr>
              <w:t>)</w:t>
            </w:r>
            <w:r>
              <w:rPr>
                <w:rFonts w:hint="eastAsia" w:ascii="宋体" w:hAnsi="宋体" w:eastAsia="宋体" w:cs="宋体"/>
                <w:kern w:val="0"/>
                <w:sz w:val="21"/>
                <w:szCs w:val="21"/>
              </w:rPr>
              <w:t>法学期刊检索系统，包括不少于230种专业法学刊物，其中法学核心期刊不少于37种，以及不少于14万篇法学文献。</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cs="宋体"/>
                <w:kern w:val="0"/>
                <w:sz w:val="21"/>
                <w:szCs w:val="21"/>
                <w:lang w:eastAsia="zh-CN"/>
              </w:rPr>
              <w:t>(</w:t>
            </w:r>
            <w:r>
              <w:rPr>
                <w:rFonts w:hint="eastAsia" w:ascii="宋体" w:hAnsi="宋体" w:eastAsia="宋体" w:cs="宋体"/>
                <w:kern w:val="0"/>
                <w:sz w:val="21"/>
                <w:szCs w:val="21"/>
              </w:rPr>
              <w:t>4</w:t>
            </w:r>
            <w:r>
              <w:rPr>
                <w:rFonts w:hint="eastAsia" w:cs="宋体"/>
                <w:kern w:val="0"/>
                <w:sz w:val="21"/>
                <w:szCs w:val="21"/>
                <w:lang w:eastAsia="zh-CN"/>
              </w:rPr>
              <w:t>)</w:t>
            </w:r>
            <w:r>
              <w:rPr>
                <w:rFonts w:hint="eastAsia" w:ascii="宋体" w:hAnsi="宋体" w:eastAsia="宋体" w:cs="宋体"/>
                <w:kern w:val="0"/>
                <w:sz w:val="21"/>
                <w:szCs w:val="21"/>
              </w:rPr>
              <w:t>专题参考检索系统，涵盖裁判标准、实务专题、法学文献、法律年鉴、法学教程等等，可满足专业人员对审判实践工作经验的需要。</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cs="宋体"/>
                <w:kern w:val="0"/>
                <w:sz w:val="21"/>
                <w:szCs w:val="21"/>
                <w:lang w:eastAsia="zh-CN"/>
              </w:rPr>
              <w:t>(</w:t>
            </w:r>
            <w:r>
              <w:rPr>
                <w:rFonts w:hint="eastAsia" w:ascii="宋体" w:hAnsi="宋体" w:eastAsia="宋体" w:cs="宋体"/>
                <w:kern w:val="0"/>
                <w:sz w:val="21"/>
                <w:szCs w:val="21"/>
              </w:rPr>
              <w:t>5</w:t>
            </w:r>
            <w:r>
              <w:rPr>
                <w:rFonts w:hint="eastAsia" w:cs="宋体"/>
                <w:kern w:val="0"/>
                <w:sz w:val="21"/>
                <w:szCs w:val="21"/>
                <w:lang w:eastAsia="zh-CN"/>
              </w:rPr>
              <w:t>)</w:t>
            </w:r>
            <w:r>
              <w:rPr>
                <w:rFonts w:hint="eastAsia" w:ascii="宋体" w:hAnsi="宋体" w:eastAsia="宋体" w:cs="宋体"/>
                <w:kern w:val="0"/>
                <w:sz w:val="21"/>
                <w:szCs w:val="21"/>
              </w:rPr>
              <w:t>英文译本检索系统，包含中国法律法规的英文译本，最高人民法院通过和发布的典型司法判例的英文译本，中国与外国政府或地区</w:t>
            </w:r>
            <w:r>
              <w:rPr>
                <w:rFonts w:hint="eastAsia" w:cs="宋体"/>
                <w:kern w:val="0"/>
                <w:sz w:val="21"/>
                <w:szCs w:val="21"/>
                <w:lang w:eastAsia="zh-CN"/>
              </w:rPr>
              <w:t>(</w:t>
            </w:r>
            <w:r>
              <w:rPr>
                <w:rFonts w:hint="eastAsia" w:ascii="宋体" w:hAnsi="宋体" w:eastAsia="宋体" w:cs="宋体"/>
                <w:kern w:val="0"/>
                <w:sz w:val="21"/>
                <w:szCs w:val="21"/>
              </w:rPr>
              <w:t>包括中国香港特别行政区</w:t>
            </w:r>
            <w:r>
              <w:rPr>
                <w:rFonts w:hint="eastAsia" w:cs="宋体"/>
                <w:kern w:val="0"/>
                <w:sz w:val="21"/>
                <w:szCs w:val="21"/>
                <w:lang w:eastAsia="zh-CN"/>
              </w:rPr>
              <w:t>)</w:t>
            </w:r>
            <w:r>
              <w:rPr>
                <w:rFonts w:hint="eastAsia" w:ascii="宋体" w:hAnsi="宋体" w:eastAsia="宋体" w:cs="宋体"/>
                <w:kern w:val="0"/>
                <w:sz w:val="21"/>
                <w:szCs w:val="21"/>
              </w:rPr>
              <w:t>达成的所有现行有效的税收协定，中国立法、司法以及行政机构公报内容的英文目录，2000年至今所有中国法律、法制动态英语新闻全文，中国加入世界贸易组织的法律文件，查询或浏览主要中文法律期刊的中文以及部分英文目录。</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cs="宋体"/>
                <w:kern w:val="0"/>
                <w:sz w:val="21"/>
                <w:szCs w:val="21"/>
                <w:lang w:eastAsia="zh-CN"/>
              </w:rPr>
              <w:t>(</w:t>
            </w:r>
            <w:r>
              <w:rPr>
                <w:rFonts w:hint="eastAsia" w:ascii="宋体" w:hAnsi="宋体" w:eastAsia="宋体" w:cs="宋体"/>
                <w:kern w:val="0"/>
                <w:sz w:val="21"/>
                <w:szCs w:val="21"/>
              </w:rPr>
              <w:t>6</w:t>
            </w:r>
            <w:r>
              <w:rPr>
                <w:rFonts w:hint="eastAsia" w:cs="宋体"/>
                <w:kern w:val="0"/>
                <w:sz w:val="21"/>
                <w:szCs w:val="21"/>
                <w:lang w:eastAsia="zh-CN"/>
              </w:rPr>
              <w:t>)</w:t>
            </w:r>
            <w:r>
              <w:rPr>
                <w:rFonts w:hint="eastAsia" w:ascii="宋体" w:hAnsi="宋体" w:eastAsia="宋体" w:cs="宋体"/>
                <w:kern w:val="0"/>
                <w:sz w:val="21"/>
                <w:szCs w:val="21"/>
              </w:rPr>
              <w:t>法宝视频检索系统要求：课程包括学术权威最新理论与研究、各级司法机关办案实务以及知名律师实战经验，每年不少于100门，300小时的课程更新。</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cs="宋体"/>
                <w:kern w:val="0"/>
                <w:sz w:val="21"/>
                <w:szCs w:val="21"/>
                <w:lang w:eastAsia="zh-CN"/>
              </w:rPr>
              <w:t>(</w:t>
            </w:r>
            <w:r>
              <w:rPr>
                <w:rFonts w:hint="eastAsia" w:ascii="宋体" w:hAnsi="宋体" w:eastAsia="宋体" w:cs="宋体"/>
                <w:kern w:val="0"/>
                <w:sz w:val="21"/>
                <w:szCs w:val="21"/>
              </w:rPr>
              <w:t>7</w:t>
            </w:r>
            <w:r>
              <w:rPr>
                <w:rFonts w:hint="eastAsia" w:cs="宋体"/>
                <w:kern w:val="0"/>
                <w:sz w:val="21"/>
                <w:szCs w:val="21"/>
                <w:lang w:eastAsia="zh-CN"/>
              </w:rPr>
              <w:t>)</w:t>
            </w:r>
            <w:r>
              <w:rPr>
                <w:rFonts w:hint="eastAsia" w:ascii="宋体" w:hAnsi="宋体" w:eastAsia="宋体" w:cs="宋体"/>
                <w:kern w:val="0"/>
                <w:sz w:val="21"/>
                <w:szCs w:val="21"/>
              </w:rPr>
              <w:t>律所实务检索系统，整合律所实务类文献资源，收录知名律所、杂志社法律实务相关刊物，律师事务所刊物，律师文章等。</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cs="宋体"/>
                <w:kern w:val="0"/>
                <w:sz w:val="21"/>
                <w:szCs w:val="21"/>
                <w:lang w:eastAsia="zh-CN"/>
              </w:rPr>
              <w:t>(</w:t>
            </w:r>
            <w:r>
              <w:rPr>
                <w:rFonts w:hint="eastAsia" w:ascii="宋体" w:hAnsi="宋体" w:eastAsia="宋体" w:cs="宋体"/>
                <w:kern w:val="0"/>
                <w:sz w:val="21"/>
                <w:szCs w:val="21"/>
              </w:rPr>
              <w:t>8</w:t>
            </w:r>
            <w:r>
              <w:rPr>
                <w:rFonts w:hint="eastAsia" w:cs="宋体"/>
                <w:kern w:val="0"/>
                <w:sz w:val="21"/>
                <w:szCs w:val="21"/>
                <w:lang w:eastAsia="zh-CN"/>
              </w:rPr>
              <w:t>)</w:t>
            </w:r>
            <w:r>
              <w:rPr>
                <w:rFonts w:hint="eastAsia" w:ascii="宋体" w:hAnsi="宋体" w:eastAsia="宋体" w:cs="宋体"/>
                <w:kern w:val="0"/>
                <w:sz w:val="21"/>
                <w:szCs w:val="21"/>
              </w:rPr>
              <w:t>检察文书检索系统，收录各级人民检察院陆续公布的检察法律文书和重要案件信息，不少于100万篇。</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cs="宋体"/>
                <w:kern w:val="0"/>
                <w:sz w:val="21"/>
                <w:szCs w:val="21"/>
                <w:lang w:eastAsia="zh-CN"/>
              </w:rPr>
              <w:t>(</w:t>
            </w:r>
            <w:r>
              <w:rPr>
                <w:rFonts w:hint="eastAsia" w:ascii="宋体" w:hAnsi="宋体" w:eastAsia="宋体" w:cs="宋体"/>
                <w:kern w:val="0"/>
                <w:sz w:val="21"/>
                <w:szCs w:val="21"/>
              </w:rPr>
              <w:t>9</w:t>
            </w:r>
            <w:r>
              <w:rPr>
                <w:rFonts w:hint="eastAsia" w:cs="宋体"/>
                <w:kern w:val="0"/>
                <w:sz w:val="21"/>
                <w:szCs w:val="21"/>
                <w:lang w:eastAsia="zh-CN"/>
              </w:rPr>
              <w:t>)</w:t>
            </w:r>
            <w:r>
              <w:rPr>
                <w:rFonts w:hint="eastAsia" w:ascii="宋体" w:hAnsi="宋体" w:eastAsia="宋体" w:cs="宋体"/>
                <w:kern w:val="0"/>
                <w:sz w:val="21"/>
                <w:szCs w:val="21"/>
              </w:rPr>
              <w:t>司法考试资源检索系统，为读者提供司法考试考前准备工具，包括在线答题、重点法条、法律汇编、司考大纲、法律文书五部分；全真模拟考试现场。</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cs="宋体"/>
                <w:kern w:val="0"/>
                <w:sz w:val="21"/>
                <w:szCs w:val="21"/>
                <w:lang w:eastAsia="zh-CN"/>
              </w:rPr>
              <w:t>(</w:t>
            </w:r>
            <w:r>
              <w:rPr>
                <w:rFonts w:hint="eastAsia" w:ascii="宋体" w:hAnsi="宋体" w:eastAsia="宋体" w:cs="宋体"/>
                <w:kern w:val="0"/>
                <w:sz w:val="21"/>
                <w:szCs w:val="21"/>
              </w:rPr>
              <w:t>10</w:t>
            </w:r>
            <w:r>
              <w:rPr>
                <w:rFonts w:hint="eastAsia" w:cs="宋体"/>
                <w:kern w:val="0"/>
                <w:sz w:val="21"/>
                <w:szCs w:val="21"/>
                <w:lang w:eastAsia="zh-CN"/>
              </w:rPr>
              <w:t>)</w:t>
            </w:r>
            <w:r>
              <w:rPr>
                <w:rFonts w:hint="eastAsia" w:ascii="宋体" w:hAnsi="宋体" w:eastAsia="宋体" w:cs="宋体"/>
                <w:kern w:val="0"/>
                <w:sz w:val="21"/>
                <w:szCs w:val="21"/>
              </w:rPr>
              <w:t>行政处罚检索系统：收录中央及除港澳台外31个省、直辖市、自治区的行政处罚信息。</w:t>
            </w:r>
          </w:p>
          <w:p>
            <w:pPr>
              <w:keepNext w:val="0"/>
              <w:keepLines w:val="0"/>
              <w:pageBreakBefore w:val="0"/>
              <w:tabs>
                <w:tab w:val="clear" w:pos="0"/>
              </w:tabs>
              <w:kinsoku/>
              <w:overflowPunct/>
              <w:topLinePunct w:val="0"/>
              <w:autoSpaceDE/>
              <w:autoSpaceDN/>
              <w:bidi w:val="0"/>
              <w:adjustRightInd/>
              <w:snapToGrid/>
              <w:spacing w:line="360" w:lineRule="exact"/>
              <w:rPr>
                <w:rFonts w:hint="eastAsia" w:ascii="宋体" w:hAnsi="宋体" w:eastAsia="宋体" w:cs="宋体"/>
                <w:color w:val="000000"/>
                <w:kern w:val="0"/>
                <w:sz w:val="21"/>
                <w:szCs w:val="21"/>
              </w:rPr>
            </w:pPr>
            <w:r>
              <w:rPr>
                <w:rFonts w:hint="eastAsia" w:ascii="宋体" w:hAnsi="宋体" w:eastAsia="宋体" w:cs="宋体"/>
                <w:kern w:val="0"/>
                <w:sz w:val="21"/>
                <w:szCs w:val="21"/>
              </w:rPr>
              <w:t>▲3.所购法律数据库数据</w:t>
            </w:r>
            <w:r>
              <w:rPr>
                <w:rFonts w:hint="eastAsia" w:ascii="宋体" w:hAnsi="宋体" w:eastAsia="宋体" w:cs="宋体"/>
                <w:color w:val="000000"/>
                <w:kern w:val="0"/>
                <w:sz w:val="21"/>
                <w:szCs w:val="21"/>
              </w:rPr>
              <w:t>均可复制及下载全文</w:t>
            </w:r>
            <w:r>
              <w:rPr>
                <w:rFonts w:hint="eastAsia" w:ascii="宋体" w:hAnsi="宋体" w:eastAsia="宋体" w:cs="宋体"/>
                <w:kern w:val="0"/>
                <w:sz w:val="21"/>
                <w:szCs w:val="21"/>
              </w:rPr>
              <w:t>；</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▲4.法律法规检索系统并发数3个/子库；司法案例、法学期刊、律所实务、专题参考、检查文书、行政处罚、英文译本、法宝视频检索系统各并发数1个/子库；法考系统不限并发数；</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▲5.服务模式：远程在线访问；</w:t>
            </w:r>
          </w:p>
          <w:p>
            <w:pPr>
              <w:keepNext w:val="0"/>
              <w:keepLines w:val="0"/>
              <w:pageBreakBefore w:val="0"/>
              <w:tabs>
                <w:tab w:val="clear" w:pos="0"/>
              </w:tabs>
              <w:kinsoku/>
              <w:overflowPunct/>
              <w:topLinePunct w:val="0"/>
              <w:autoSpaceDE/>
              <w:autoSpaceDN/>
              <w:bidi w:val="0"/>
              <w:adjustRightInd/>
              <w:snapToGrid/>
              <w:spacing w:line="360" w:lineRule="exact"/>
              <w:jc w:val="both"/>
              <w:rPr>
                <w:rFonts w:hint="eastAsia" w:ascii="宋体" w:hAnsi="宋体" w:eastAsia="宋体" w:cs="宋体"/>
                <w:color w:val="000000"/>
                <w:kern w:val="0"/>
                <w:sz w:val="21"/>
                <w:szCs w:val="21"/>
              </w:rPr>
            </w:pPr>
            <w:r>
              <w:rPr>
                <w:rFonts w:hint="eastAsia" w:ascii="宋体" w:hAnsi="宋体" w:eastAsia="宋体" w:cs="宋体"/>
                <w:kern w:val="0"/>
                <w:sz w:val="21"/>
                <w:szCs w:val="21"/>
              </w:rPr>
              <w:t>▲6数据更新：每日更新数据。</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学术期刊数据库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★1.2021年学术期刊数据库更新，为了保证数据的延续性和方便用户查询，今年拟购的学术期刊数据库在技术上应与采购人已有的学术期刊数据库无缝整合，在原有平台上增加资源并且进行检索、查看、下载；</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收录范围为我国公开出版发行的学术期刊(含英文版)全文文献，至少包括基础与应用基础研究、工程技术、高级科普、政策指导、行业指导、实用技术、职业指导类期刊,至少包含《北京电影学院学报》、《管理世界》、《民族文学研究》、《地球科学》、《工业工程与管理》、《财贸研究》、《当代戏剧》、《中国法学》、《中国社会科学》期刊，投标时提供至少3份以上授权证明材料。</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★3.文献总量：截至2020年收录种期刊不低于8000种，文献量不低于5000万篇。其中，专有收录期刊不低于1300种，核心收录期刊不低于1500种。</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▲4.收录年限：1915年起至今。</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▲5.期刊种数收录完整率：核心期刊、重要评价性数据库来源期刊完整率不低于93%；其它学术期刊完整率不低于90%；文献收录期数完整率不低于98％。</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▲6.采购人终身拥有所有已购买资源的永久使用权(供应商有责任和义务将采购人己购买的在线资源镜像到采购人本地服务器中供采购人永久使用)，订购数据库终生维护。</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▲7.不少于30个并发数。</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博硕论文数据库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★1.2021年博硕论文数据库更新，为了保证数据的延续性和方便用户查询，今年拟购的博硕论文数据库在技术上应与采购人已有的博硕论文数据库无缝整合，在原有平台上增加资源并且进行检索、查看、下载；</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收录范围：博士论文收录不低于450家，硕士论文收录不低于580家,要求重点收录985、211高校的优秀硕士、博士学位论文，至少包括以下博硕士培养单位的学位论文，投标时提供其中至少3份的学位论文授予单位授权协议：</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中山大学、吉林大学、武汉大学、南京大学、兰州大学、电子科技大学、西北农林科技大学、北京理工大学、华南理工大学、华东师范大学、北京体育大学、中国地质大学、安徽大学、江南大学、华东理工大学、新疆大学、辽宁大学、北京中医药大学、云南大学、上海大学、陕西师范大学、上海外国语大学、东北师范大学、西北大学、中国地质大学(北京)、海南大学、中国矿业大学(北京)、中央音乐学院、福州大学、北京工业大学、西南财经大学、北京邮电大学、北京林业大学、北京外国语大学、西南大学、中国药科大学、南京农业大学、南京大学、吉林大学；</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▲3.文献总量：博士论文文献总量不低于30万篇，硕士论文不低于290万篇；合作博士论文单位不低于140家，合作硕士论文单位不低于290家。</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▲4.收录年限：2000年起至今。</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▲5.收录完整率：211院校学位论文完整率不低于99%。</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▲6.采购人终身拥有所有已购买资源的永久使用权(供应商有责任和义务将采购人己购买的在线资源镜像到采购人本地服务器中供采购人永久使用)，订购数据库终生维护。</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▲7.不少于30个并发数。</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英语学习数据库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包括新概念第二册精讲、酷学乐讲新概念三册、口语语音语调基础课、口语语音语调基础课、口语常用句型基础课、美语思维培养课、看电影练听说、零基础词汇、英语句法、欢乐少儿英语起步篇A、欢乐少儿英语起步篇B、欢乐少儿英语进阶篇A、欢乐少儿英语进阶篇B、欢乐少儿英语提高篇A、欢乐少儿英语提高篇B、中考英语精讲、高考英语精讲、大学英语四级五年真题精讲、大学英语六级五年真题解析、考研英语阅读单项精讲、考研英语应试技巧之写作、考研英语翻译单项精讲、考研英语完形单项精讲、考研英语题库(1200套)、托福应试技巧系列、OG听力技巧解析、OG阅读技巧解析、OG写作技巧解析、雅思口语技巧—真题话题上、个人职业定向——自我探索、大学生求职心理辅导、公务员国考专项突破、BEC初级写作强化冲刺、BEC初级听力强化冲刺、BEC初级口语强化冲刺课程。</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数据库有不少于以下类目的课时：应用外语类351课时、国内考试类192.9课时、国内考试类题库1200套、出国考试类78课时、中学课程类154课时、少儿英语类528课时、资格考试类65课时、求职类课程27课时，且拥有的总课时数量不少1395.9课时，国内考试类题库不少于1200套。</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▲3.视频内容全部用FLASH制作，且支持本地缓存播放,具有语音识别技术，清晰详细的版书，听课进度自行调节，单个课件在2M左右, 支持网络访问并保持时时更新。课件最终输出文件格式为swf文件；</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▲4.提供pc+wap站+移动端访问模式，以保障资源内容及时更新，同时能够满足够图书馆的数字资源建设需求。</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▲5.服务模式：远程包库访问。</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小语种学习数据库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包括日语五十音图精讲、日语语法新思维—中高级、全能交际日语、日语能力考N1级词汇单项、韩语语音入门精讲、韩语新TOPIK考试中高级词汇、韩语新TOPIK考试初级词汇、韩语新TOPIK考试初级语法、全能交际韩语、新标准韩国语—初级上册、新标准韩国语—初级下册、新标准韩国语—中级上册、新标准韩国语—中级下册、实用版意大利语、意大利语零基础语音入门精讲、实用意大利语-语法、意大利语会话入门精讲、标准法语语音及常用单词、日常法语口语交际、法语TEF/TCF听力精讲、法语欧标A1语法强化、法语语音入门、超实用生存法语精讲、标准德语语音及常用单词、实用德语语法、德福口语强化冲刺、商务德语、德语语音入门、超实用生存德语精讲、西班牙语零基础语音入门、西班牙语语法、实用西班牙语、商务西班牙语、超实用生存-俄语、俄语零基础语音入门课程等。</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★2.数据库具有不少于以下类目的课时：日语类129课时、韩语类180.5课时、意大利语类55.2课时、法语类71.2课时、德语类65.7课时、西班牙语类51课时、俄语类10课时，且拥有的总课时不少于562.6课时。</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▲3.视频内容全部用FLASH制作，且支持本地缓存播放,具有语音识别技术，清晰详细的版书，听课进度自行调节，单个课件在2M左右, 支持网络访问并保持时时更新。课件最终输出文件格式为swf文件。</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▲4.提供pc+wap站+移动端访问模式，以保障资源内容及时更新，同时能够满足够图书馆的数字资源建设需求。</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▲5.服务模式：远程包库访问。</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电子书刊借阅系统</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▲1.触摸屏系统要求：</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①能够提供电子期刊和电子图书的借阅服务；</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②能够在触摸屏一体机上在线阅读文本版和原貌版的电子期刊，能够阅读文本版的电子图书和电子报纸；</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③能够远程自动网络更新资源，并且能够支持横屏和竖屏的触摸屏。</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★2.资源内容更新要求：</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①电子图书更新量不少于2000册；</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②电子期刊更新量不少于500种；</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能够提供《党建》、《紫光阁》、《读者》、《故事会》、《三联生活周刊》、《南风窗》、《看天下》、《中国新闻周刊》、《人物周刊》、《财经国家周刊》、《大众电影》、《译林》等具有广泛读者群的电子期刊借阅服务。</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▲3.后台管理系统要求：</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①能够定制触摸屏首页图片和个性化LOGO标志；</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②能够控制电子期刊和电子图书的借阅数量及借阅天数；</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③能够控制二维码的有效期限；</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④具备控制触摸屏系统直接阅读电子期刊和电子图书全文的功能；</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⑤能够控制客户端下载电子图书和电子期刊后显示服务单位的名称；</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⑥能够实时统计电子书刊的借阅量、续借量、借阅时间、借阅设备标识。</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微信期刊系统</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▲1.功能要求：</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①能够以菜单选项的形式直接置入图书馆微信订阅号或服务号，为广大微信读者和粉丝提供阅读服务，无需下载应用，打开微信便可阅读；</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②点击菜单栏按钮后自动用户鉴权，通过鉴权后，服务器通过HTML5页面输出期刊列表；</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③用户能够通过微信分享文章给好友，通过鉴权的好友可以查看或阅读；</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④更新频率达到网络日更新。</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★2.内容要求：</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能够提供《党建》、《紫光阁》、《读者》、《故事会》、《意林》、《三联生活周刊》、《看天下》、《南风窗》、《南都周刊》、《中国周刊》、《大众电影》、《新东方英语》、《博客天下》、《海外文摘》、《凤凰周刊》、《轻兵器》、《女友》、《商界》、《为了孩子》、《IT时代周刊》、《优雅》等优质名刊阅读服务；</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②提供过往期刊。</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▲3.内容格式要求：</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①期刊文章正文采用图文混排XML文本格式；</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②文章内容具备格式标签，通过加粗等方式标明小标题、引文等，排版适于手机阅读。</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人文期刊数据库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▲1.能够提供完整版电子期刊网络服务；</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★2.全文在线的综合性人文大众类期刊品种不低于2000 种，按照时政新闻、科技科普、经济法律、管理财经、社科历史、文学文摘、健康生活、文化艺术、教育学习等9个栏目进行分类，内容涵盖时政、党建、管理、财经、文学、艺术、哲学、历史、社会、科普、军事、教育、家庭、体育、休闲、健康、时尚、职场等领域，能够提供《党建》、《紫光阁》、《读者》、《故事会》、《南风窗》、《知音》、《计算机世界》、《为了孩子》等具有广泛读者群的杂志。</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▲3.服务方式为网络在线阅读，包括文本版、专题版、原文原貌版、语音版以及真人语音版等5种阅读形式；</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▲4.没有并发用户数限制。</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▲5.可在不需要使用任何文字提取功能下对文字复制、粘贴，对图片进行下载。</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▲6.人文社科电子期刊数据库文章全文采用HTML格式，不需要下载或使用专用浏览器。</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▲7.提供后台管理系统，方便用户查看详实的使用情况统计。</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▲8.服务模式：远程包库访问。</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★10.可供成都全域22家公共图书馆所有持证读者访问使用。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职业培训类数据库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培训课程中心的资源应包括馆员发展、学历深造、外语学习、职业资格认证、就业创业、计算机技能、国家机关从业资格的培训课程内容。其中职业规划部分应包含职业规划、求职技巧、现场招聘、职场攻略、职业解惑，总计不少于100课时；职业资格考试包含教师资格证、注册会计师、报关员等课程，总计不少于200课时；计算机技能、英语等其他类别资源包含大学英语四六级、职称计算机考试等内容不少于200课时。</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平台包含职业测评功能，应引入国际上最常使用、最权威的职业测评系统帮助使用者全方位揭示深层职业潜质，掌握自己优势与劣势，从职业性格特征、职业倾向、职业价值观和职业成熟度四方面综合提高自我认知，明确职业发展方向，奠定坚实的职业规划基础。</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▲3.平台应提供求职技能内容，从“人职匹配”原理出发，针对具体用人单位招聘过程中的面试、笔试、简历、网申四大环节内容做内容的整理，帮助广大用户借鉴求职经验，确立求职目标。</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▲4.要求供应商提供职场信息的一个全面解读，内容包括当今热门行业的概况、行业资讯、行业内知名企业概况、企业的具体招聘需求等信息来为用户深度解读职场信息。</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要求供应商提供具体专业领域相关的就业前景岗位视频，内容涉及金融、保险、IT、建筑、销售、媒体、财务、人力资源、经贸、医疗、能源、服务等多个领域视频内容，具体内容包括岗位的实际工作环境、工资待遇、职业发展前景等内容，解读具体岗位信息。</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▲6.提供通用的求职技能。通过互联网的资源整合，平台提供通用的求职技能资讯，涵盖简历、面试、笔试、网申、求职礼仪四大领域，辅助用户针对自身现状，全方位、多角度掌握求职技能。</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★7.平台每年更新累积不少于3000篇，总库资源累计课程18000篇以上。</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▲8.服务模式：镜像+在线。</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★9.可供成都全域22家公共图书馆所有持证读者访问使用。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微信端少儿多媒体数据库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平台内容须适合3～15岁的少儿人群使用，配以符合孩子年龄段认知的艺术、健康、科学、英语、国学、安全等全面课程，以高清视频为主，并配有电子书、绘本等版块，其中高清视频不少于3000集，绘本应包含认知绘本、识字绘本、故事绘本、音乐绘本、手工绘本、国学绘本、安全绘本等内容；</w:t>
            </w:r>
          </w:p>
          <w:p>
            <w:pPr>
              <w:keepNext w:val="0"/>
              <w:keepLines w:val="0"/>
              <w:pageBreakBefore w:val="0"/>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▲2.平台从分类体系上应可从年龄段和主题两个维度进行区分；</w:t>
            </w:r>
          </w:p>
          <w:p>
            <w:pPr>
              <w:keepNext w:val="0"/>
              <w:keepLines w:val="0"/>
              <w:pageBreakBefore w:val="0"/>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▲3.适用于图书馆微信公众号的阅读方式，实现资源的无缝连接，实现app无缝挂接。</w:t>
            </w:r>
          </w:p>
          <w:p>
            <w:pPr>
              <w:keepNext w:val="0"/>
              <w:keepLines w:val="0"/>
              <w:pageBreakBefore w:val="0"/>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▲4.服务模式：微信访问。</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科技期刊数据库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★1.2021年科技期刊数据库更新，为了保证数据的延续性和方便用户查询，今年拟购的科技期刊数据库在技术上应与采购人已有的科技期刊数据库无缝整合，在原有平台上增加资源并且进行检索、查看、下载；</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★2.期刊收录量：累计收录期刊不少于14000种，其中现刊不少于9000种，核心期刊不少于1900种；</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▲3.文献总量不少于6000万篇，全文率达到98%以上。</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▲4.参考《中国图书馆分类法》及教育部学科分类设置，形成</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"http://qikan.cqvip.com/domain/domainguide.aspx?id=30&amp;"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医药卫生</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"http://qikan.cqvip.com/domain/domainguide.aspx?id=35&amp;"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农业科学</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"http://qikan.cqvip.com/domain/domainguide.aspx?id=17&amp;"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机械工程</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"http://qikan.cqvip.com/domain/domainguide.aspx?id=21&amp;"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自动化与计算机技术</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"http://qikan.cqvip.com/domain/domainguide.aspx?id=12&amp;"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化学工程</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"http://qikan.cqvip.com/domain/domainguide.aspx?id=2&amp;"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经济管理</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"http://qikan.cqvip.com/domain/domainguide.aspx?id=259&amp;"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政治法律</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"http://qikan.cqvip.com/domain/domainguide.aspx?id=8&amp;"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哲学宗教</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"http://qikan.cqvip.com/domain/domainguide.aspx?id=263&amp;"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文学</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艺术等35个学科大类，457个学科小类的学科分类体系。</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▲5.提供多种渠道的原文保障服务，包括在线阅读、下载全文和OA链接、文献传递等。</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▲6.服务模式：本地镜像。</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考试服务数据库平台</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数据库具有公务员、从业资格、工程、法律、语言、计算机、经济、医学、研究生等十大分类，同时包含细分考试科目，包含小语种、大学生村官考试、招警考试、教师招聘考试等考试科目；“高校课程试题”模块包含高校专业课程试题不少于90万道，类目涉及理、工、农、医、文、史、哲、法等共10个课程大类及数百个课程小类；</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▲2.数据库收录试卷不少于18万套，其中全真试卷不少于2.2万套，总计试题数不少于600万道，收录试卷从1990年起；“高校课程试题”收录高校专业课程试题不少于90万道；全年更新试卷不少于1.5万套；</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▲3.资源与平台应用能够进行无缝整合，完整的在线考试流程即可以满足单独作为考试服务平台的使用需求，同时还可以结合数百万级的系统题库资源整合使用；</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▲4.服务模式：本地镜像。</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报纸阅览系统</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★1.提供触摸屏报纸搜索及阅读软件，提供不少于300种国家级、省级报纸，实现全部报纸内容每天即时阅读；</w:t>
            </w:r>
          </w:p>
          <w:p>
            <w:pPr>
              <w:keepNext w:val="0"/>
              <w:keepLines w:val="0"/>
              <w:pageBreakBefore w:val="0"/>
              <w:kinsoku/>
              <w:overflowPunct/>
              <w:topLinePunct w:val="0"/>
              <w:autoSpaceDE/>
              <w:autoSpaceDN/>
              <w:bidi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▲2.提供触摸屏报刊阅读系统在馆内触摸屏硬件的数据安装、更新、免费维护和售后技术支持，提供其它资源平台接入口，根据图书馆要求订制增加图书馆检索、查询系统等其它功能；</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▲3.浏览器支持至少2倍以上放大阅读，全屏无死角触摸翻页；</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▲4.可实现触屏一体机与PC机同步浏览，支持移动端阅读；</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▲5提供用户使用统计，包括但不限于分时间段统计期刊和报纸的点击量、浏览量、下载量，用户的访问情况等。</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▲6.服务模式：远程在线访问；</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围棋学习平台数据库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▲1.数据库包括：围棋学习平台，包括围棋启蒙、入门教材、初级教材、中级教材、围棋专项技能练习、围棋官子练习软件、围棋名家棋谱猜局练习软件、棋力测试软件八个板块。</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▲2.提供的服务模式为本地镜像模式。</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▲3.数据需随版本更新。</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▲4.具备在线浏览及在线互动教学。</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中文电子图书</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平台电子书种类包括文学、历史学、哲学、理学、教育学、法学、管理学、经济学、艺术学、军事学、农学、工学、医学等优秀电子图书，可选电子图书不低于28万种，其中2014年至今出版的馆配中文纸质书对应的电子书，超过10万种，网络原创及小说除外；</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▲2.可提供不少于300家出版社和文化公司的版权授权书(投标时附电子版备查)，包括清华大学出版社、中国人民大学出版社、人民邮电出版社、电子工业出版社、机械工业出版社等重点出版社；</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★3.所有电子图书均有出版社和作者的双重授权，所有电子图书全文均有出版社的数字授权水印；</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▲4.平台每周更新电子书征订书目信息不少于2000种，可以从指定网站下载；</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▲5.电子书的文件格式为：ebk.cxbf，客户端还可以阅读PDF.TXT文件；</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▲6.提供图书文献发现系统，电子图书支持安卓、IOS、触屏机等多终端移动设备阅读；</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▲7.电子图书的阅读无需安装App即可微信阅读模式，并可对接图书馆微信公众号，支持微信扫描二维码认证登陆；</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▲8.平台具备互联网访问模式，读者在图书馆IP范围内注册后，可在馆外通过互联网登录使用数据库，无需使用VPN等第三方系统；</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▲9.服务模式：本地镜像。</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★10.提供已购中文电子图书编目服务。</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★11.可供成都全域22家公共图书馆所有持证读者访问使用。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1500</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经济类数据库</w:t>
            </w:r>
          </w:p>
        </w:tc>
        <w:tc>
          <w:tcPr>
            <w:tcW w:w="6528" w:type="dxa"/>
            <w:vAlign w:val="center"/>
          </w:tcPr>
          <w:p>
            <w:pPr>
              <w:keepNext w:val="0"/>
              <w:keepLines w:val="0"/>
              <w:pageBreakBefore w:val="0"/>
              <w:kinsoku/>
              <w:overflowPunct/>
              <w:topLinePunct w:val="0"/>
              <w:autoSpaceDE/>
              <w:autoSpaceDN/>
              <w:bidi w:val="0"/>
              <w:snapToGrid/>
              <w:spacing w:line="360" w:lineRule="exact"/>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bCs/>
                <w:sz w:val="21"/>
                <w:szCs w:val="21"/>
              </w:rPr>
              <w:t>.采购内容包含</w:t>
            </w:r>
            <w:r>
              <w:rPr>
                <w:rFonts w:hint="eastAsia" w:ascii="宋体" w:hAnsi="宋体" w:eastAsia="宋体" w:cs="宋体"/>
                <w:sz w:val="21"/>
                <w:szCs w:val="21"/>
              </w:rPr>
              <w:t>：</w:t>
            </w:r>
          </w:p>
          <w:p>
            <w:pPr>
              <w:keepNext w:val="0"/>
              <w:keepLines w:val="0"/>
              <w:pageBreakBefore w:val="0"/>
              <w:kinsoku/>
              <w:overflowPunct/>
              <w:topLinePunct w:val="0"/>
              <w:autoSpaceDE/>
              <w:autoSpaceDN/>
              <w:bidi w:val="0"/>
              <w:snapToGrid/>
              <w:spacing w:line="360" w:lineRule="exact"/>
              <w:ind w:firstLine="420"/>
              <w:rPr>
                <w:rFonts w:hint="eastAsia" w:ascii="宋体" w:hAnsi="宋体" w:eastAsia="宋体" w:cs="宋体"/>
                <w:b/>
                <w:bCs/>
                <w:sz w:val="21"/>
                <w:szCs w:val="21"/>
              </w:rPr>
            </w:pPr>
            <w:r>
              <w:rPr>
                <w:rFonts w:hint="eastAsia" w:ascii="宋体" w:hAnsi="宋体" w:eastAsia="宋体" w:cs="宋体"/>
                <w:bCs/>
                <w:sz w:val="21"/>
                <w:szCs w:val="21"/>
              </w:rPr>
              <w:t>1)专题文献类数据库：国研视点、宏观经济、金融中国、行业经济、区域经济、企业胜经、新型城镇化、乡村振兴、国内政府管理创新、国外政府管理借鉴、智慧城市、关注十四五、创新发展。</w:t>
            </w:r>
          </w:p>
          <w:p>
            <w:pPr>
              <w:keepNext w:val="0"/>
              <w:keepLines w:val="0"/>
              <w:pageBreakBefore w:val="0"/>
              <w:kinsoku/>
              <w:overflowPunct/>
              <w:topLinePunct w:val="0"/>
              <w:autoSpaceDE/>
              <w:autoSpaceDN/>
              <w:bidi w:val="0"/>
              <w:snapToGrid/>
              <w:spacing w:line="360" w:lineRule="exact"/>
              <w:ind w:firstLine="420"/>
              <w:rPr>
                <w:rFonts w:hint="eastAsia" w:ascii="宋体" w:hAnsi="宋体" w:eastAsia="宋体" w:cs="宋体"/>
                <w:b/>
                <w:bCs/>
                <w:sz w:val="21"/>
                <w:szCs w:val="21"/>
              </w:rPr>
            </w:pPr>
            <w:r>
              <w:rPr>
                <w:rFonts w:hint="eastAsia" w:ascii="宋体" w:hAnsi="宋体" w:eastAsia="宋体" w:cs="宋体"/>
                <w:bCs/>
                <w:sz w:val="21"/>
                <w:szCs w:val="21"/>
              </w:rPr>
              <w:t>2)文化产业数据库：系统汇集国内外权威机构、专家学者关于文化产业发展的分析与预测，以及权威机构发布的文化产业相关统计数据，为政府部门、图情机构、科研院所、学术团体的科学研究提供资料参考与项目服务支持。包括产业纵览、重点产业</w:t>
            </w:r>
            <w:r>
              <w:rPr>
                <w:rFonts w:hint="eastAsia" w:cs="宋体"/>
                <w:bCs/>
                <w:sz w:val="21"/>
                <w:szCs w:val="21"/>
                <w:lang w:eastAsia="zh-CN"/>
              </w:rPr>
              <w:t>(</w:t>
            </w:r>
            <w:r>
              <w:rPr>
                <w:rFonts w:hint="eastAsia" w:ascii="宋体" w:hAnsi="宋体" w:eastAsia="宋体" w:cs="宋体"/>
                <w:bCs/>
                <w:sz w:val="21"/>
                <w:szCs w:val="21"/>
              </w:rPr>
              <w:t>影视娱乐、文化旅游、网络文化、出版印刷、创意设计、动漫产业、广告会展、工艺美术、游戏产业</w:t>
            </w:r>
            <w:r>
              <w:rPr>
                <w:rFonts w:hint="eastAsia" w:cs="宋体"/>
                <w:bCs/>
                <w:sz w:val="21"/>
                <w:szCs w:val="21"/>
                <w:lang w:eastAsia="zh-CN"/>
              </w:rPr>
              <w:t>)</w:t>
            </w:r>
            <w:r>
              <w:rPr>
                <w:rFonts w:hint="eastAsia" w:ascii="宋体" w:hAnsi="宋体" w:eastAsia="宋体" w:cs="宋体"/>
                <w:bCs/>
                <w:sz w:val="21"/>
                <w:szCs w:val="21"/>
              </w:rPr>
              <w:t>、产业投融资、市场与监管、设施建设、文化产业走出去、国外文化产业、文化遗产保护、公共文化服务等。</w:t>
            </w:r>
          </w:p>
          <w:p>
            <w:pPr>
              <w:keepNext w:val="0"/>
              <w:keepLines w:val="0"/>
              <w:pageBreakBefore w:val="0"/>
              <w:kinsoku/>
              <w:overflowPunct/>
              <w:topLinePunct w:val="0"/>
              <w:autoSpaceDE/>
              <w:autoSpaceDN/>
              <w:bidi w:val="0"/>
              <w:snapToGrid/>
              <w:spacing w:line="360" w:lineRule="exact"/>
              <w:ind w:firstLine="420"/>
              <w:rPr>
                <w:rFonts w:hint="eastAsia" w:ascii="宋体" w:hAnsi="宋体" w:eastAsia="宋体" w:cs="宋体"/>
                <w:bCs/>
                <w:sz w:val="21"/>
                <w:szCs w:val="21"/>
              </w:rPr>
            </w:pPr>
            <w:r>
              <w:rPr>
                <w:rFonts w:hint="eastAsia" w:ascii="宋体" w:hAnsi="宋体" w:eastAsia="宋体" w:cs="宋体"/>
                <w:bCs/>
                <w:sz w:val="21"/>
                <w:szCs w:val="21"/>
              </w:rPr>
              <w:t>3)经济热点研究报告：包括宏观经济-热点报告</w:t>
            </w:r>
            <w:r>
              <w:rPr>
                <w:rFonts w:hint="eastAsia" w:cs="宋体"/>
                <w:bCs/>
                <w:sz w:val="21"/>
                <w:szCs w:val="21"/>
                <w:lang w:eastAsia="zh-CN"/>
              </w:rPr>
              <w:t>(</w:t>
            </w:r>
            <w:r>
              <w:rPr>
                <w:rFonts w:hint="eastAsia" w:ascii="宋体" w:hAnsi="宋体" w:eastAsia="宋体" w:cs="宋体"/>
                <w:bCs/>
                <w:sz w:val="21"/>
                <w:szCs w:val="21"/>
              </w:rPr>
              <w:t>年</w:t>
            </w:r>
            <w:r>
              <w:rPr>
                <w:rFonts w:hint="eastAsia" w:cs="宋体"/>
                <w:bCs/>
                <w:sz w:val="21"/>
                <w:szCs w:val="21"/>
                <w:lang w:eastAsia="zh-CN"/>
              </w:rPr>
              <w:t>)</w:t>
            </w:r>
            <w:r>
              <w:rPr>
                <w:rFonts w:hint="eastAsia" w:ascii="宋体" w:hAnsi="宋体" w:eastAsia="宋体" w:cs="宋体"/>
                <w:bCs/>
                <w:sz w:val="21"/>
                <w:szCs w:val="21"/>
              </w:rPr>
              <w:t>、国际金融-热点报告</w:t>
            </w:r>
            <w:r>
              <w:rPr>
                <w:rFonts w:hint="eastAsia" w:cs="宋体"/>
                <w:bCs/>
                <w:sz w:val="21"/>
                <w:szCs w:val="21"/>
                <w:lang w:eastAsia="zh-CN"/>
              </w:rPr>
              <w:t>(</w:t>
            </w:r>
            <w:r>
              <w:rPr>
                <w:rFonts w:hint="eastAsia" w:ascii="宋体" w:hAnsi="宋体" w:eastAsia="宋体" w:cs="宋体"/>
                <w:bCs/>
                <w:sz w:val="21"/>
                <w:szCs w:val="21"/>
              </w:rPr>
              <w:t>年</w:t>
            </w:r>
            <w:r>
              <w:rPr>
                <w:rFonts w:hint="eastAsia" w:cs="宋体"/>
                <w:bCs/>
                <w:sz w:val="21"/>
                <w:szCs w:val="21"/>
                <w:lang w:eastAsia="zh-CN"/>
              </w:rPr>
              <w:t>)</w:t>
            </w:r>
            <w:r>
              <w:rPr>
                <w:rFonts w:hint="eastAsia" w:ascii="宋体" w:hAnsi="宋体" w:eastAsia="宋体" w:cs="宋体"/>
                <w:bCs/>
                <w:sz w:val="21"/>
                <w:szCs w:val="21"/>
              </w:rPr>
              <w:t>、国内金融-热点报告</w:t>
            </w:r>
            <w:r>
              <w:rPr>
                <w:rFonts w:hint="eastAsia" w:cs="宋体"/>
                <w:bCs/>
                <w:sz w:val="21"/>
                <w:szCs w:val="21"/>
                <w:lang w:eastAsia="zh-CN"/>
              </w:rPr>
              <w:t>(</w:t>
            </w:r>
            <w:r>
              <w:rPr>
                <w:rFonts w:hint="eastAsia" w:ascii="宋体" w:hAnsi="宋体" w:eastAsia="宋体" w:cs="宋体"/>
                <w:bCs/>
                <w:sz w:val="21"/>
                <w:szCs w:val="21"/>
              </w:rPr>
              <w:t>年</w:t>
            </w:r>
            <w:r>
              <w:rPr>
                <w:rFonts w:hint="eastAsia" w:cs="宋体"/>
                <w:bCs/>
                <w:sz w:val="21"/>
                <w:szCs w:val="21"/>
                <w:lang w:eastAsia="zh-CN"/>
              </w:rPr>
              <w:t>)</w:t>
            </w:r>
            <w:r>
              <w:rPr>
                <w:rFonts w:hint="eastAsia" w:ascii="宋体" w:hAnsi="宋体" w:eastAsia="宋体" w:cs="宋体"/>
                <w:bCs/>
                <w:sz w:val="21"/>
                <w:szCs w:val="21"/>
              </w:rPr>
              <w:t>。</w:t>
            </w:r>
          </w:p>
          <w:p>
            <w:pPr>
              <w:keepNext w:val="0"/>
              <w:keepLines w:val="0"/>
              <w:pageBreakBefore w:val="0"/>
              <w:kinsoku/>
              <w:overflowPunct/>
              <w:topLinePunct w:val="0"/>
              <w:autoSpaceDE/>
              <w:autoSpaceDN/>
              <w:bidi w:val="0"/>
              <w:snapToGrid/>
              <w:spacing w:line="360" w:lineRule="exact"/>
              <w:rPr>
                <w:rFonts w:hint="eastAsia" w:ascii="宋体" w:hAnsi="宋体" w:eastAsia="宋体" w:cs="宋体"/>
                <w:b/>
                <w:bCs/>
                <w:sz w:val="21"/>
                <w:szCs w:val="21"/>
              </w:rPr>
            </w:pPr>
            <w:r>
              <w:rPr>
                <w:rFonts w:hint="eastAsia" w:ascii="宋体" w:hAnsi="宋体" w:eastAsia="宋体" w:cs="宋体"/>
                <w:kern w:val="0"/>
                <w:sz w:val="21"/>
                <w:szCs w:val="21"/>
              </w:rPr>
              <w:t>▲</w:t>
            </w:r>
            <w:r>
              <w:rPr>
                <w:rFonts w:hint="eastAsia" w:ascii="宋体" w:hAnsi="宋体" w:eastAsia="宋体" w:cs="宋体"/>
                <w:bCs/>
                <w:sz w:val="21"/>
                <w:szCs w:val="21"/>
              </w:rPr>
              <w:t>2.具备在线浏览及下载功能。</w:t>
            </w:r>
          </w:p>
          <w:p>
            <w:pPr>
              <w:keepNext w:val="0"/>
              <w:keepLines w:val="0"/>
              <w:pageBreakBefore w:val="0"/>
              <w:kinsoku/>
              <w:overflowPunct/>
              <w:topLinePunct w:val="0"/>
              <w:autoSpaceDE/>
              <w:autoSpaceDN/>
              <w:bidi w:val="0"/>
              <w:snapToGrid/>
              <w:spacing w:line="360" w:lineRule="exact"/>
              <w:rPr>
                <w:rFonts w:hint="eastAsia" w:ascii="宋体" w:hAnsi="宋体" w:eastAsia="宋体" w:cs="宋体"/>
                <w:b/>
                <w:bCs/>
                <w:sz w:val="21"/>
                <w:szCs w:val="21"/>
              </w:rPr>
            </w:pPr>
            <w:r>
              <w:rPr>
                <w:rFonts w:hint="eastAsia" w:ascii="宋体" w:hAnsi="宋体" w:eastAsia="宋体" w:cs="宋体"/>
                <w:kern w:val="0"/>
                <w:sz w:val="21"/>
                <w:szCs w:val="21"/>
              </w:rPr>
              <w:t>▲</w:t>
            </w:r>
            <w:r>
              <w:rPr>
                <w:rFonts w:hint="eastAsia" w:ascii="宋体" w:hAnsi="宋体" w:eastAsia="宋体" w:cs="宋体"/>
                <w:bCs/>
                <w:sz w:val="21"/>
                <w:szCs w:val="21"/>
              </w:rPr>
              <w:t>3.提供的检索功能：</w:t>
            </w:r>
          </w:p>
          <w:p>
            <w:pPr>
              <w:keepNext w:val="0"/>
              <w:keepLines w:val="0"/>
              <w:pageBreakBefore w:val="0"/>
              <w:kinsoku/>
              <w:overflowPunct/>
              <w:topLinePunct w:val="0"/>
              <w:autoSpaceDE/>
              <w:autoSpaceDN/>
              <w:bidi w:val="0"/>
              <w:snapToGrid/>
              <w:spacing w:line="360" w:lineRule="exact"/>
              <w:ind w:firstLine="420"/>
              <w:rPr>
                <w:rFonts w:hint="eastAsia" w:ascii="宋体" w:hAnsi="宋体" w:eastAsia="宋体" w:cs="宋体"/>
                <w:b/>
                <w:bCs/>
                <w:sz w:val="21"/>
                <w:szCs w:val="21"/>
              </w:rPr>
            </w:pPr>
            <w:r>
              <w:rPr>
                <w:rFonts w:hint="eastAsia" w:ascii="宋体" w:hAnsi="宋体" w:eastAsia="宋体" w:cs="宋体"/>
                <w:bCs/>
                <w:sz w:val="21"/>
                <w:szCs w:val="21"/>
              </w:rPr>
              <w:t>1</w:t>
            </w:r>
            <w:r>
              <w:rPr>
                <w:rFonts w:hint="eastAsia" w:cs="宋体"/>
                <w:bCs/>
                <w:sz w:val="21"/>
                <w:szCs w:val="21"/>
                <w:lang w:eastAsia="zh-CN"/>
              </w:rPr>
              <w:t>)</w:t>
            </w:r>
            <w:r>
              <w:rPr>
                <w:rFonts w:hint="eastAsia" w:ascii="宋体" w:hAnsi="宋体" w:eastAsia="宋体" w:cs="宋体"/>
                <w:bCs/>
                <w:sz w:val="21"/>
                <w:szCs w:val="21"/>
              </w:rPr>
              <w:t>基于中文分词的检索技术。</w:t>
            </w:r>
          </w:p>
          <w:p>
            <w:pPr>
              <w:keepNext w:val="0"/>
              <w:keepLines w:val="0"/>
              <w:pageBreakBefore w:val="0"/>
              <w:kinsoku/>
              <w:overflowPunct/>
              <w:topLinePunct w:val="0"/>
              <w:autoSpaceDE/>
              <w:autoSpaceDN/>
              <w:bidi w:val="0"/>
              <w:snapToGrid/>
              <w:spacing w:line="360" w:lineRule="exact"/>
              <w:ind w:firstLine="420"/>
              <w:rPr>
                <w:rFonts w:hint="eastAsia" w:ascii="宋体" w:hAnsi="宋体" w:eastAsia="宋体" w:cs="宋体"/>
                <w:b/>
                <w:bCs/>
                <w:sz w:val="21"/>
                <w:szCs w:val="21"/>
              </w:rPr>
            </w:pPr>
            <w:r>
              <w:rPr>
                <w:rFonts w:hint="eastAsia" w:ascii="宋体" w:hAnsi="宋体" w:eastAsia="宋体" w:cs="宋体"/>
                <w:bCs/>
                <w:sz w:val="21"/>
                <w:szCs w:val="21"/>
              </w:rPr>
              <w:t>2</w:t>
            </w:r>
            <w:r>
              <w:rPr>
                <w:rFonts w:hint="eastAsia" w:cs="宋体"/>
                <w:bCs/>
                <w:sz w:val="21"/>
                <w:szCs w:val="21"/>
                <w:lang w:eastAsia="zh-CN"/>
              </w:rPr>
              <w:t>)</w:t>
            </w:r>
            <w:r>
              <w:rPr>
                <w:rFonts w:hint="eastAsia" w:ascii="宋体" w:hAnsi="宋体" w:eastAsia="宋体" w:cs="宋体"/>
                <w:bCs/>
                <w:sz w:val="21"/>
                <w:szCs w:val="21"/>
              </w:rPr>
              <w:t>实现高级检索、分栏目检索、检索结果根据相关度和发布日期排序等。</w:t>
            </w:r>
          </w:p>
          <w:p>
            <w:pPr>
              <w:keepNext w:val="0"/>
              <w:keepLines w:val="0"/>
              <w:pageBreakBefore w:val="0"/>
              <w:kinsoku/>
              <w:overflowPunct/>
              <w:topLinePunct w:val="0"/>
              <w:autoSpaceDE/>
              <w:autoSpaceDN/>
              <w:bidi w:val="0"/>
              <w:snapToGrid/>
              <w:spacing w:line="360" w:lineRule="exact"/>
              <w:ind w:firstLine="420"/>
              <w:rPr>
                <w:rFonts w:hint="eastAsia" w:ascii="宋体" w:hAnsi="宋体" w:eastAsia="宋体" w:cs="宋体"/>
                <w:b/>
                <w:bCs/>
                <w:sz w:val="21"/>
                <w:szCs w:val="21"/>
              </w:rPr>
            </w:pPr>
            <w:r>
              <w:rPr>
                <w:rFonts w:hint="eastAsia" w:ascii="宋体" w:hAnsi="宋体" w:eastAsia="宋体" w:cs="宋体"/>
                <w:bCs/>
                <w:sz w:val="21"/>
                <w:szCs w:val="21"/>
              </w:rPr>
              <w:t>3</w:t>
            </w:r>
            <w:r>
              <w:rPr>
                <w:rFonts w:hint="eastAsia" w:cs="宋体"/>
                <w:bCs/>
                <w:sz w:val="21"/>
                <w:szCs w:val="21"/>
                <w:lang w:eastAsia="zh-CN"/>
              </w:rPr>
              <w:t>)</w:t>
            </w:r>
            <w:r>
              <w:rPr>
                <w:rFonts w:hint="eastAsia" w:ascii="宋体" w:hAnsi="宋体" w:eastAsia="宋体" w:cs="宋体"/>
                <w:bCs/>
                <w:sz w:val="21"/>
                <w:szCs w:val="21"/>
              </w:rPr>
              <w:t>实现根据标题、关键词、作者、全文检索项检索。</w:t>
            </w:r>
          </w:p>
          <w:p>
            <w:pPr>
              <w:keepNext w:val="0"/>
              <w:keepLines w:val="0"/>
              <w:pageBreakBefore w:val="0"/>
              <w:kinsoku/>
              <w:overflowPunct/>
              <w:topLinePunct w:val="0"/>
              <w:autoSpaceDE/>
              <w:autoSpaceDN/>
              <w:bidi w:val="0"/>
              <w:snapToGrid/>
              <w:spacing w:line="360" w:lineRule="exact"/>
              <w:ind w:firstLine="420"/>
              <w:rPr>
                <w:rFonts w:hint="eastAsia" w:ascii="宋体" w:hAnsi="宋体" w:eastAsia="宋体" w:cs="宋体"/>
                <w:b/>
                <w:bCs/>
                <w:sz w:val="21"/>
                <w:szCs w:val="21"/>
              </w:rPr>
            </w:pPr>
            <w:r>
              <w:rPr>
                <w:rFonts w:hint="eastAsia" w:ascii="宋体" w:hAnsi="宋体" w:eastAsia="宋体" w:cs="宋体"/>
                <w:bCs/>
                <w:sz w:val="21"/>
                <w:szCs w:val="21"/>
              </w:rPr>
              <w:t>4</w:t>
            </w:r>
            <w:r>
              <w:rPr>
                <w:rFonts w:hint="eastAsia" w:cs="宋体"/>
                <w:bCs/>
                <w:sz w:val="21"/>
                <w:szCs w:val="21"/>
                <w:lang w:eastAsia="zh-CN"/>
              </w:rPr>
              <w:t>)</w:t>
            </w:r>
            <w:r>
              <w:rPr>
                <w:rFonts w:hint="eastAsia" w:ascii="宋体" w:hAnsi="宋体" w:eastAsia="宋体" w:cs="宋体"/>
                <w:bCs/>
                <w:sz w:val="21"/>
                <w:szCs w:val="21"/>
              </w:rPr>
              <w:t>包库用户实现热门检索、检索标签、公共检索记录等。</w:t>
            </w:r>
          </w:p>
          <w:p>
            <w:pPr>
              <w:keepNext w:val="0"/>
              <w:keepLines w:val="0"/>
              <w:pageBreakBefore w:val="0"/>
              <w:kinsoku/>
              <w:overflowPunct/>
              <w:topLinePunct w:val="0"/>
              <w:autoSpaceDE/>
              <w:autoSpaceDN/>
              <w:bidi w:val="0"/>
              <w:snapToGrid/>
              <w:spacing w:line="360" w:lineRule="exact"/>
              <w:rPr>
                <w:rFonts w:hint="eastAsia" w:ascii="宋体" w:hAnsi="宋体" w:eastAsia="宋体" w:cs="宋体"/>
                <w:b/>
                <w:bCs/>
                <w:sz w:val="21"/>
                <w:szCs w:val="21"/>
              </w:rPr>
            </w:pPr>
            <w:r>
              <w:rPr>
                <w:rFonts w:hint="eastAsia" w:ascii="宋体" w:hAnsi="宋体" w:eastAsia="宋体" w:cs="宋体"/>
                <w:kern w:val="0"/>
                <w:sz w:val="21"/>
                <w:szCs w:val="21"/>
              </w:rPr>
              <w:t>▲</w:t>
            </w:r>
            <w:r>
              <w:rPr>
                <w:rFonts w:hint="eastAsia" w:ascii="宋体" w:hAnsi="宋体" w:eastAsia="宋体" w:cs="宋体"/>
                <w:bCs/>
                <w:sz w:val="21"/>
                <w:szCs w:val="21"/>
              </w:rPr>
              <w:t>4.数据格式：TXT。</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bCs/>
                <w:sz w:val="21"/>
                <w:szCs w:val="21"/>
              </w:rPr>
              <w:t>5.能实现对用户的访问和使用情况记录，可近期提供访问数据。</w:t>
            </w:r>
          </w:p>
          <w:p>
            <w:pPr>
              <w:keepNext w:val="0"/>
              <w:keepLines w:val="0"/>
              <w:pageBreakBefore w:val="0"/>
              <w:kinsoku/>
              <w:overflowPunct/>
              <w:topLinePunct w:val="0"/>
              <w:autoSpaceDE/>
              <w:autoSpaceDN/>
              <w:bidi w:val="0"/>
              <w:snapToGrid/>
              <w:spacing w:line="360" w:lineRule="exact"/>
              <w:rPr>
                <w:rFonts w:hint="eastAsia" w:ascii="宋体" w:hAnsi="宋体" w:eastAsia="宋体" w:cs="宋体"/>
                <w:b/>
                <w:bCs/>
                <w:sz w:val="21"/>
                <w:szCs w:val="21"/>
              </w:rPr>
            </w:pPr>
            <w:r>
              <w:rPr>
                <w:rFonts w:hint="eastAsia" w:ascii="宋体" w:hAnsi="宋体" w:eastAsia="宋体" w:cs="宋体"/>
                <w:kern w:val="0"/>
                <w:sz w:val="21"/>
                <w:szCs w:val="21"/>
              </w:rPr>
              <w:t>▲</w:t>
            </w:r>
            <w:r>
              <w:rPr>
                <w:rFonts w:hint="eastAsia" w:ascii="宋体" w:hAnsi="宋体" w:eastAsia="宋体" w:cs="宋体"/>
                <w:bCs/>
                <w:sz w:val="21"/>
                <w:szCs w:val="21"/>
              </w:rPr>
              <w:t>6.服务模式：远程包库访问。</w:t>
            </w:r>
          </w:p>
          <w:p>
            <w:pPr>
              <w:keepNext w:val="0"/>
              <w:keepLines w:val="0"/>
              <w:pageBreakBefore w:val="0"/>
              <w:kinsoku/>
              <w:overflowPunct/>
              <w:topLinePunct w:val="0"/>
              <w:autoSpaceDE/>
              <w:autoSpaceDN/>
              <w:bidi w:val="0"/>
              <w:snapToGrid/>
              <w:spacing w:line="360" w:lineRule="exact"/>
              <w:rPr>
                <w:rFonts w:hint="eastAsia" w:ascii="宋体" w:hAnsi="宋体" w:eastAsia="宋体" w:cs="宋体"/>
                <w:b/>
                <w:bCs/>
                <w:sz w:val="21"/>
                <w:szCs w:val="21"/>
              </w:rPr>
            </w:pPr>
            <w:r>
              <w:rPr>
                <w:rFonts w:hint="eastAsia" w:ascii="宋体" w:hAnsi="宋体" w:eastAsia="宋体" w:cs="宋体"/>
                <w:kern w:val="0"/>
                <w:sz w:val="21"/>
                <w:szCs w:val="21"/>
              </w:rPr>
              <w:t>▲</w:t>
            </w:r>
            <w:r>
              <w:rPr>
                <w:rFonts w:hint="eastAsia" w:ascii="宋体" w:hAnsi="宋体" w:eastAsia="宋体" w:cs="宋体"/>
                <w:bCs/>
                <w:sz w:val="21"/>
                <w:szCs w:val="21"/>
              </w:rPr>
              <w:t>7.数据更新：每工作日更新。</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★8.可供成都全域22家公共图书馆所有持证读者访问使用。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数字有声书平台</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平台有声读物内容需涉及国内外名著、名人传记、心理健康、创业创新、健康养生、宗教哲学、历史文学、军事战争、女性家庭、影视同期、国学经典、人在职场、热门小说等应用层次，提供不少于10万小时有声读物备选。</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▲2.平台需实现查找、分类浏览、在线播放等功能，满足无需安装播放插件即可实现在线播放，播放时可以实现进度调节、声音控制、章节选择等功能，无并发数限制，无在线播放和下载次数限制。</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▲3.后台需提供有声读物使用数据统计功能且具备对有声读物进行管理分类。</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▲4.产品数据需支持手机APP端和微信端访问等服务，数据保存格式：MP3，码率：64Kbps以上，采样率：44100Hz，音频声道：立体声。</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▲5.内容制作方式需采用真人原声录制，由专业主播播讲，能达到广播级的专业录制要求。 </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★6.有声书资源需要包括：</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①不少于六部诺贝尔文学奖作品和矛盾文学奖作品，包含：《张居正》、《生命册》、《不需要的战争》等；</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②不少于十部国际最高科幻奖项雨果奖和星云奖、中国科幻银河奖作品包含：《三体》、《流浪地球》等。</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③国际安徒生童话奖作者曹文轩作品不少于5部；</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④不少于1000集国学知识、国学经典有声内容，总时长不少于10000分钟；</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⑤中小学新课标配套有声书内容，总时长不少于3000分钟；</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⑥不少于一套百科全书，总时长不少于10000分钟；</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⑦国家级重点工程的作品不少于30部，包含《星火燎原》全卷等；</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⑧纪念抗日战争胜利和反法西斯战争70周年、长征胜利80周年、建军90周年等主题的相关作品，需包含《长征》、《峥嵘岁月》、《红色远征》、《建军的故事》、《红色精神》等；</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▲7.服务模式：本地镜像。</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★8.可供成都全域22家公共图书馆所有持证读者访问使用。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1万</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学术期刊个刊库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1.2021年学术期刊个刊数据库更新，为了保证数据的延续性和方便用户查询，今年拟购的学术期刊个刊数据库在技术上应与采购人已有的学术期刊数据库无缝整合，在原有平台上增加资源并且进行检索、查看、下载。</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收录范围：收录范围为我国公开出版发行的学术期刊(含英文版)全文文献，包括基础与应用基础研究、工程技术、高级科普、政策指导、行业指导、实用技术、职业指导类期刊，至少包含《计算数学》、《科技导报》、《系统科学与数学》、《石油学报》、《物理测试》、《中国冶金》、《材料保护》、《高分子通报》、《工程科学学报》期刊，投标时提供至少3份以上授权。</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▲3.文献总量：截至2019年收录种期刊不低于350种，核心收录期刊不低于200种。</w:t>
            </w:r>
          </w:p>
          <w:p>
            <w:pPr>
              <w:keepNext w:val="0"/>
              <w:keepLines w:val="0"/>
              <w:pageBreakBefore w:val="0"/>
              <w:widowControl/>
              <w:tabs>
                <w:tab w:val="left" w:pos="312"/>
                <w:tab w:val="clear" w:pos="0"/>
              </w:tabs>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▲4.收录年限：1960年起至今。</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▲5.采购人终身拥有所有已购买资源的永久使用权(供应商有责任和义务将采购人己购买的在线资源镜像到采购人本地服务器中供采购人永久使用)，订购数据库终生维护。</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▲6.不少于30个并发数。</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新方志数据库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▲1.提供内容符合采购人地方文献服务需要，对图书馆服务对象具有实用参考价值，并且平台功能简单易用。</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▲2.新方志文献内容均来源或参考正规出版物，内容编辑规范，支持未来增加购买地方志资源的功能，提供符合镜像系统服务需要的规范化地方志纸质文献加工服务。</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新方志全文文件应采用PDF阅读浏览格式，保持原书原貌；省、市、县三级地方志资源覆盖率不低于90%，国内已编纂出版的新方志资源覆盖率不低于80%，收录的新方志资源包含三级志、部门志、行业志、专业志、乡镇村志等。可供选购的新方志总量不低于4.5万册，其中四川新方志不低于2800册。</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▲4.能提供专业、全面且操作简单的高级检索方式，并对输入的检索词提供智能提示；对检索结果可按相关度和出版时间进行排序；提供志书导航、相关条目等知识链接服务，启发用户进行更精确的检索。</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▲5.自平台正式应用起，一个月内完成平台的部署，免费提供三年支持维护，每年提供可更新资源清单，对平台bug的功能，提供免费升级服务。</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▲6.服务模式：本地镜像。 </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512</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中文报刊二次文献数据库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★1.中文报刊二次文献数据库不少于64万篇，含政治学与社会科学类、法律类、哲学类、文学与艺术类、教育学类、经济学与经济管理类、历史类、文化信息传播类、其它类。</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▲2.可根据作者、标题、原文出处、关键词等检索项进行精准检索,支持初级、高级检索。</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▲3.IP范围内不限制用户数及使用次数。</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▲4.浏览器无需安装任何插件,支持全文浏览、自选复制及下载功能。</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▲5.保证平台最新并免费升级。</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▲6.访问和使用情况后台有详细的记录，可根据需求统计。</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▲7.数据格式：提供word、PDF格式、HTML格式。</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▲8.一年内至少提供一次数据库使用培训或宣传活动，时间和方式签订采购合同时约定。</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▲9.提供远程包库访问，同时本地镜像2021年更新的全文数据。</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★10.可供成都全域22家公共图书馆所有持证读者访问使用。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畅销中文电子图书数据库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▲1.提供不少于10万种出版畅销图书，内容主要涉及文学小说、经济管理、励志学习、生活社科等4大门类，且图书持续更新上线。</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提供图书要求是电子正版图书，全部为电子排版，杜绝扫描版，内容全面至少覆盖中国出版集团、北京人大数字科技有限公司、北京书天堂文化有限责任公司、北京磨铁数盟信息技术有限公司、天津博集新媒科技有限公司等出版机构的出版图书。</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★3.除包含传统出版等完整产品外，部分书单首发应包括：江南《龙族》系列、《上海堡垒》等全版权运营。</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要求能够提供但不限于以下作者及作品：(英)史蒂芬·霍金《时间简史》、江南《龙族V》、《上海堡垒》、理查德·劳埃德·帕里《巨浪下的小学》、李银河《李银河说爱情》、塔拉·韦斯特弗《你当像鸟飞往你的山》、樊锦诗《我心归处是敦煌》、陈浩基《网内人》、[英]安东尼·霍洛维茨《喜鹊谋杀案》、伊坂幸太郎《恐妻家》、许开祯《棱镜》、丁捷《撕裂》、艾米莉·勃朗特《呼啸山庄》、沃尔特·艾萨克森《史蒂夫·乔布斯传》。</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影视作品和原著同步发行，包含但不限于马克·布莱克《狂想人生》、是枝裕和《小偷家族》、恩斯特.克莱恩《玩家1号》、电线《香蜜沉沉烬如霜》、阿耐《都挺好》、凤歌《古剑奇谭2》、关河五十州《建军大业》、海飞《麻雀》、今何在《九州海上牧云记》、蒋胜男《芈月传》、唐七《三生三世枕上书》。</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▲6.数据库可同时支持PC端和微信端使用，能够通过图书馆微信公众服务平台无缝对接阅读。</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▲7.每月通报使用信息。</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▲8.使用方式：远程包库+微信访问，访问限期一年，无并发用户数限制。</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★9.可供成都全域22家公共图书馆所有持证读者访问使用。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少儿绘本数据库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▲1.系统平台采用Java编程语言开发，使用SpringMVC+elasticsearch框架，数据库采用Mysql数据库。</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▲2.系统平台采用三层设计架构，包括数据层、业务层和高级应用层。系统设计遵循先进性、适用性、可靠性、安全性、可扩充性、易升级性、经济性与实用性等设计原则。</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▲3.系统的绘本资源传递采用特有的动态加密方式进行加密，为了防止内容被篡改进行加签处理，并且内容资源具有时效性。</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▲4.系统能够兼容ie6-ie11、edge、WebKit内核浏览器，在绘本播放时，具有动态3d翻书效果。</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★5.系统提供不少于1000本有声数字绘本资源和基于移动端的不少于100种听书资源。</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★6.绘本授权包含《海底小纵队》、《小耳朵凯文》、《熊小米》、《小灰鼠米朵》、《阿优学科学》、《恐龙探秘》、《小狼巴顿》等系列。</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▲7.系统访问不受限制，全文阅读需要用户在指定IP内或使用账号密码进行登陆。</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▲8.系统提供检索及推荐功能，能支持通过绘本名称关键字的检索，查询绘本以及根据全库用户综合使用数据和用户以往使用数据为用户进行绘本的推荐</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▲9.系统搭载专业的有声绘本阅读器，不仅可以播放绘本图画内容，更能同时播放语音，还支持调节进程、音量、自主选择手动/自动模式进行播放、自主选择页数进行播放。</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▲10.系统平台支持多终端应用，PC端和移动端无缝对接，数据同步，并且移动端在播放绘本时更支持进行横屏/竖屏的切换。</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▲11.平台支持能够对用户的使用进行多维度的数据记录和分析，如阅读时长、阅读高低峰时段、阅读内容集中分类、集中区域等。</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▲12.平台后台支持开放单位的独立管理权限，单位可通过后台进行相关访问和阅读数据的查看，并支持以excel、pdf等格式进行导出。</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▲13.使用方式：远程包库+微信访问，访问限期一年，无并发用户数限制。</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★14.可供成都全域22家公共图书馆所有持证读者访问使用。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外文原版电子书数据库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数据库平台的界面语言有10种以上，可供挑选的外文原版授权电子书不少于26万种，需包括外文原版少儿有声配音书、外文原版少儿绘本、外文原版获奖电子书(包括但不限于诺贝尔文学奖、普利策奖、雨果奖、布克奖、美国国家图书奖)，外文原版世界文学经典名著，均为ePub文档格式，且图书持续更新上线；</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▲2.可根据图书馆需求定制数字图书馆，并进行网站托管服务，进行持续技术更新，提供全方位技术和内容服务；</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▲3.免费提供API供图书馆将电子书等数字内容与图书馆发现系统进行深度整合；</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▲4.电子书的字体大小、阅读终端的背景颜色可以调整，配音电子书的播放速度可以调整。</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▲5.读者可以在电子书上做笔记；</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▲6.图书馆可制定借阅政策，图书馆可以控制资源借阅期、限定每人借阅上限；</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▲7.支持移动阅读和微信阅读；移动阅读需适配苹果、安卓系统以及绝大多数主流阅读终端；</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▲8.具有分级阅读功能，提供不少于四种分级模式；</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▲9.每月提供至少一篇有关资源推广的微信推文以及每年提供至少两场线上活动策划；</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▲10.使用方式：一本一用户及图书馆同意的其他模式。</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★11.可供成都全域22家公共图书馆所有持证读者访问使用。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1296"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微信端连环画数据库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★1.连环画数据库内容版权合法合规，与画家直接授权；</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连环画微信端技术平台自主研发，连环画数据库技术平台自主研发，可供选择连环画图书不少于500册且至少包含以下主题：《四大名著阅览室》、《成语典故阅览室》、《武术传奇阅览室》、《新中国建设阅览室》、《民间故事阅览室》、《少年阅读阅览室》、《环球风采阅览室》、《世界军事阅览室》；</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▲3.不同主题连环画以特色连环画阅览室形式呈现，阅览室分别设计、主题渲染，为读者提供身临其境的阅读体验；</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▲4.各阅读专辑相对独立并同时可实现跨专辑搜索功能；</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▲5.每天一本小人书特色推荐；</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▲6.服务模式：微信访问。</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网上展览数据库</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★1.数据库可提供包括社会生活、历史人物、艺术收藏、建筑名胜、自然地理、军事科技等不少于6个类别150个数字展览的阅读服务；</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▲2.展览版权解决方案完整合理，与各级各类策展文博机构与策展人签订展览版权协议；</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▲3.平台自主研发，软件平台受国家版权局保护；</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▲4.展览采用全景场景发布，可实现720度无限旋转；</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▲5.与展览主题相关的讲座(视频)、解说(音频)等，可与展板无缝对接，在同一场景下完整呈现，从各个角度丰富展览的内容；</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▲6.平台系统前端显示统一采用主流html5 +css 3.0 + JavaScript技术，核心使用three 3D立体空间显示和空间右手坐标原理确定场景中的点和转动显示，添加场景图片内存释放定时功能，数据交互采用ajax+json格式进行前后台资源交互。</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▲7.服务模式：微信访问。</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数字云阅读系统</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★1.基于微信端开发的小程序平台，能够整合采购人现有的各种微信端数字资源，实现资源共享，大数据分析，联合多种读者互动功能。</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★2.平台应采用分布式开放结构，充分考虑与其他各数字资源厂商以及图书馆管理系统接入。</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▲3.统一服务平台应提供高可用性以及数据多重保护，应避免由于单点故障影响整个系统正常稳定运行，避免关键信息的丢失。</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▲4.系统资源类型须包含看书、听书、期刊、视频、精读等，并展示该分类下的资源数量。读者可通过分类快速检索相关资源。</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★5.平台需包括至少3种自带阅读资源库，包括但不限于电子书、荐书视频、听书音频，年度资源更新10%以上。</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系统用户中心模块需展示用户当日的学习时长、累计学习时长，累计学习天数，以及当前获得的积分等数据，可生成平台的电子借阅证，并可绑定实体证、注册激活电子证，可查看个人的阅读记录，包括每一资源的阅读时间，阅读进展时长，点击进行续播。</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▲7.系统活动模块需展示活动名称、活动时间、活动详情、活动图片、活动书单、活动参与人等信息。活动信息制作需支持图片，文字描述，后台需支持统计参与活动的用户信息，可以导出报表。</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▲8.系统有推广用户功能，方便展示读者推广的用户人数以及获得的积分，可生成本馆读者专属推广二维码海报，支持平台推广人数排行榜功能。</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▲9.提供云阅读平台的后台管理员系统，便于系统管理员对云阅读平台的界面运营，以及对读者的维护、管理，有读者阅读数据、日志。</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▲10.系统后台可对各种资源进行管理，包括添加、编辑、删除、排序、上下架等操作，支持导入和导出数据。</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▲11.系统后台可对接入平台的资源厂商进行管理，可上下架资源厂商的全部资源，对资源厂商的资源进行统计，查看资源厂商的资源访问量。</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▲12.服务模式：微信小程序。</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1296"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随书光盘系统</w:t>
            </w:r>
          </w:p>
        </w:tc>
        <w:tc>
          <w:tcPr>
            <w:tcW w:w="6528" w:type="dxa"/>
            <w:vAlign w:val="center"/>
          </w:tcPr>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★1.能与采购人现有OPAC无缝对接，在现有OPAC书目详细信息页面中智能显示覆盖馆藏的随书光盘等非书资源请求及下载链接；</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▲2.无须安装任何虚拟光盘等客户端软件及插件，直接在浏览器中获取所有资源；</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▲3.系统采用Java技术开发，保证跨平台及系统兼容性；</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▲4.无缝集成身份认证，实现读者馆外在线访问；</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▲5.在浏览器窗口中实现光盘内容文件检索；</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▲6.读者发送请求后，厂家后台及时在线加工，当相应资源上传后，系统后台自动通过Email等通知请求者；</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▲7.可实现馆藏所有随书资源，自动智能同步到本地存储；</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▲8.服务模式：在线访问。</w:t>
            </w:r>
          </w:p>
          <w:p>
            <w:pPr>
              <w:keepNext w:val="0"/>
              <w:keepLines w:val="0"/>
              <w:pageBreakBefore w:val="0"/>
              <w:widowControl/>
              <w:kinsoku/>
              <w:wordWrap w:val="0"/>
              <w:overflowPunct/>
              <w:topLinePunct w:val="0"/>
              <w:autoSpaceDE/>
              <w:autoSpaceDN/>
              <w:bidi w:val="0"/>
              <w:spacing w:line="360" w:lineRule="exact"/>
              <w:textAlignment w:val="center"/>
              <w:rPr>
                <w:rFonts w:hint="eastAsia" w:ascii="宋体" w:hAnsi="宋体" w:eastAsia="宋体" w:cs="宋体"/>
                <w:kern w:val="0"/>
                <w:sz w:val="21"/>
                <w:szCs w:val="21"/>
              </w:rPr>
            </w:pPr>
            <w:r>
              <w:rPr>
                <w:rFonts w:hint="eastAsia" w:ascii="宋体" w:hAnsi="宋体" w:eastAsia="宋体" w:cs="宋体"/>
                <w:kern w:val="0"/>
                <w:sz w:val="21"/>
                <w:szCs w:val="21"/>
              </w:rPr>
              <w:t>★9.可供成都全域22家公共图书馆所有持证读者访问使用。</w:t>
            </w:r>
          </w:p>
        </w:tc>
        <w:tc>
          <w:tcPr>
            <w:tcW w:w="672"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44" w:type="dxa"/>
            <w:vAlign w:val="center"/>
          </w:tcPr>
          <w:p>
            <w:pPr>
              <w:keepNext w:val="0"/>
              <w:keepLines w:val="0"/>
              <w:pageBreakBefore w:val="0"/>
              <w:widowControl/>
              <w:kinsoku/>
              <w:wordWrap w:val="0"/>
              <w:overflowPunct/>
              <w:topLinePunct w:val="0"/>
              <w:autoSpaceDE/>
              <w:autoSpaceDN/>
              <w:bidi w:val="0"/>
              <w:spacing w:line="3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bl>
    <w:p>
      <w:pPr>
        <w:pStyle w:val="9"/>
        <w:ind w:left="480" w:leftChars="200" w:firstLine="0" w:firstLineChars="0"/>
        <w:rPr>
          <w:highlight w:val="yellow"/>
        </w:rPr>
      </w:pPr>
      <w:r>
        <w:rPr>
          <w:rFonts w:ascii="Times New Roman" w:hAnsi="Times New Roman" w:cs="Times New Roman"/>
        </w:rPr>
        <w:t>注：签订合同</w:t>
      </w:r>
      <w:r>
        <w:rPr>
          <w:rFonts w:hint="eastAsia" w:ascii="Times New Roman" w:hAnsi="Times New Roman" w:cs="Times New Roman"/>
        </w:rPr>
        <w:t>前中标人向成都图书馆提供投标的全部数字资源库版权所有单位的授权文件(原件或复印件)，</w:t>
      </w:r>
      <w:r>
        <w:rPr>
          <w:rFonts w:hint="eastAsia" w:cs="Times New Roman"/>
        </w:rPr>
        <w:t>同时要能证明版权单位符合投标时的承诺。</w:t>
      </w:r>
    </w:p>
    <w:p>
      <w:pPr>
        <w:numPr>
          <w:ilvl w:val="1"/>
          <w:numId w:val="1"/>
        </w:numPr>
        <w:wordWrap w:val="0"/>
        <w:topLinePunct/>
        <w:ind w:firstLine="482" w:firstLineChars="200"/>
        <w:outlineLvl w:val="1"/>
        <w:rPr>
          <w:rFonts w:cs="Times New Roman"/>
          <w:b/>
        </w:rPr>
      </w:pPr>
      <w:bookmarkStart w:id="8" w:name="_Toc6436"/>
      <w:bookmarkStart w:id="9" w:name="_Toc5412"/>
      <w:r>
        <w:rPr>
          <w:rFonts w:hint="eastAsia" w:cs="Times New Roman"/>
          <w:b/>
        </w:rPr>
        <w:t>履约能力要求</w:t>
      </w:r>
      <w:bookmarkEnd w:id="8"/>
      <w:bookmarkEnd w:id="9"/>
    </w:p>
    <w:p>
      <w:pPr>
        <w:numPr>
          <w:ilvl w:val="3"/>
          <w:numId w:val="1"/>
        </w:numPr>
        <w:wordWrap w:val="0"/>
        <w:topLinePunct/>
        <w:ind w:firstLine="480" w:firstLineChars="200"/>
        <w:rPr>
          <w:rFonts w:cs="Times New Roman"/>
        </w:rPr>
      </w:pPr>
      <w:r>
        <w:rPr>
          <w:rFonts w:hint="eastAsia" w:cs="Times New Roman"/>
        </w:rPr>
        <w:t>提供类似项目履约经验。</w:t>
      </w:r>
    </w:p>
    <w:p>
      <w:pPr>
        <w:numPr>
          <w:ilvl w:val="3"/>
          <w:numId w:val="1"/>
        </w:numPr>
        <w:wordWrap w:val="0"/>
        <w:topLinePunct/>
        <w:ind w:firstLine="480" w:firstLineChars="200"/>
        <w:rPr>
          <w:rFonts w:cs="Times New Roman"/>
        </w:rPr>
      </w:pPr>
      <w:r>
        <w:rPr>
          <w:rFonts w:hint="eastAsia" w:cs="Times New Roman"/>
        </w:rPr>
        <w:t>提供售后服务方案(包含但不限于①技术支持、②售后服务力量配备、③质保期内技术服务方案及标准、④对用户的故障响应的流程及时间等内容)。</w:t>
      </w:r>
    </w:p>
    <w:p>
      <w:pPr>
        <w:numPr>
          <w:ilvl w:val="3"/>
          <w:numId w:val="1"/>
        </w:numPr>
        <w:wordWrap w:val="0"/>
        <w:topLinePunct/>
        <w:ind w:firstLine="480" w:firstLineChars="200"/>
        <w:rPr>
          <w:rFonts w:cs="Times New Roman"/>
        </w:rPr>
      </w:pPr>
      <w:r>
        <w:rPr>
          <w:rFonts w:hint="eastAsia" w:cs="Times New Roman"/>
        </w:rPr>
        <w:t>提供产品质量保障的证明材料。</w:t>
      </w:r>
    </w:p>
    <w:p>
      <w:pPr>
        <w:wordWrap w:val="0"/>
        <w:topLinePunct/>
        <w:ind w:firstLine="482" w:firstLineChars="200"/>
        <w:rPr>
          <w:rFonts w:cs="Times New Roman"/>
          <w:b/>
          <w:snapToGrid w:val="0"/>
        </w:rPr>
      </w:pPr>
      <w:r>
        <w:rPr>
          <w:rFonts w:hint="eastAsia" w:cs="Times New Roman"/>
          <w:b/>
          <w:snapToGrid w:val="0"/>
        </w:rPr>
        <w:t>注：</w:t>
      </w:r>
      <w:r>
        <w:rPr>
          <w:rFonts w:cs="Times New Roman"/>
          <w:b/>
          <w:snapToGrid w:val="0"/>
        </w:rPr>
        <w:t>①</w:t>
      </w:r>
      <w:r>
        <w:rPr>
          <w:rFonts w:hint="eastAsia" w:cs="Times New Roman"/>
          <w:b/>
          <w:snapToGrid w:val="0"/>
        </w:rPr>
        <w:t>供应商应当根据本项目实际情况提供真实、客观的证明材料。</w:t>
      </w:r>
    </w:p>
    <w:p>
      <w:pPr>
        <w:wordWrap w:val="0"/>
        <w:topLinePunct/>
        <w:ind w:firstLine="482" w:firstLineChars="200"/>
        <w:rPr>
          <w:rFonts w:cs="Times New Roman"/>
          <w:b/>
          <w:snapToGrid w:val="0"/>
        </w:rPr>
      </w:pPr>
      <w:r>
        <w:rPr>
          <w:rFonts w:cs="Times New Roman"/>
          <w:b/>
          <w:snapToGrid w:val="0"/>
        </w:rPr>
        <w:t>②</w:t>
      </w:r>
      <w:r>
        <w:rPr>
          <w:rFonts w:hint="eastAsia" w:cs="Times New Roman"/>
          <w:b/>
          <w:snapToGrid w:val="0"/>
        </w:rPr>
        <w:t>供应商应当保证所提交的所有材料的真实性，若提交虚假材料谋取中标的，应当将该供应商按失信行为记入诚信档案。</w:t>
      </w:r>
    </w:p>
    <w:p>
      <w:pPr>
        <w:wordWrap w:val="0"/>
        <w:topLinePunct/>
        <w:ind w:firstLine="482" w:firstLineChars="200"/>
        <w:rPr>
          <w:rFonts w:cs="Times New Roman"/>
          <w:b/>
          <w:snapToGrid w:val="0"/>
        </w:rPr>
      </w:pPr>
      <w:r>
        <w:rPr>
          <w:rFonts w:cs="Times New Roman"/>
          <w:b/>
          <w:snapToGrid w:val="0"/>
        </w:rPr>
        <w:t>③</w:t>
      </w:r>
      <w:r>
        <w:rPr>
          <w:rFonts w:hint="eastAsia" w:cs="Times New Roman"/>
          <w:b/>
          <w:snapToGrid w:val="0"/>
        </w:rPr>
        <w:t>投标人根据项目的实际需求和具体情况实事求是地编制投标文件，能具体量化，具有可行性及便于监督考核，不得违反法律、法规规定，不得夸大其词和空口许诺。</w:t>
      </w:r>
    </w:p>
    <w:p>
      <w:pPr>
        <w:numPr>
          <w:ilvl w:val="1"/>
          <w:numId w:val="1"/>
        </w:numPr>
        <w:wordWrap w:val="0"/>
        <w:topLinePunct/>
        <w:ind w:firstLine="482" w:firstLineChars="200"/>
        <w:outlineLvl w:val="1"/>
        <w:rPr>
          <w:rFonts w:cs="Times New Roman"/>
          <w:b/>
        </w:rPr>
      </w:pPr>
      <w:bookmarkStart w:id="10" w:name="_Toc3071"/>
      <w:bookmarkStart w:id="11" w:name="_Toc21496"/>
      <w:bookmarkStart w:id="12" w:name="_Toc23639"/>
      <w:r>
        <w:rPr>
          <w:rFonts w:hint="eastAsia" w:cs="Times New Roman"/>
          <w:b/>
        </w:rPr>
        <w:t>商务要求</w:t>
      </w:r>
      <w:bookmarkEnd w:id="10"/>
      <w:bookmarkEnd w:id="11"/>
      <w:bookmarkEnd w:id="12"/>
    </w:p>
    <w:p>
      <w:pPr>
        <w:numPr>
          <w:ilvl w:val="2"/>
          <w:numId w:val="1"/>
        </w:numPr>
        <w:wordWrap w:val="0"/>
        <w:topLinePunct/>
        <w:ind w:firstLine="482" w:firstLineChars="200"/>
        <w:outlineLvl w:val="2"/>
        <w:rPr>
          <w:rFonts w:cs="Times New Roman"/>
          <w:b/>
          <w:snapToGrid w:val="0"/>
        </w:rPr>
      </w:pPr>
      <w:bookmarkStart w:id="13" w:name="_Toc13423"/>
      <w:bookmarkStart w:id="14" w:name="_Toc7458"/>
      <w:r>
        <w:rPr>
          <w:rFonts w:hint="eastAsia" w:cs="Times New Roman"/>
          <w:b/>
          <w:snapToGrid w:val="0"/>
        </w:rPr>
        <w:t>※</w:t>
      </w:r>
      <w:r>
        <w:rPr>
          <w:rFonts w:hint="eastAsia" w:cs="Times New Roman"/>
          <w:b/>
          <w:snapToGrid w:val="0"/>
          <w:lang w:val="en-US" w:eastAsia="zh-CN"/>
        </w:rPr>
        <w:t>服务期限</w:t>
      </w:r>
      <w:r>
        <w:rPr>
          <w:rFonts w:hint="eastAsia" w:cs="Times New Roman"/>
          <w:b/>
          <w:snapToGrid w:val="0"/>
        </w:rPr>
        <w:t>和地点</w:t>
      </w:r>
      <w:bookmarkEnd w:id="13"/>
      <w:bookmarkEnd w:id="14"/>
    </w:p>
    <w:p>
      <w:pPr>
        <w:numPr>
          <w:ilvl w:val="3"/>
          <w:numId w:val="1"/>
        </w:numPr>
        <w:tabs>
          <w:tab w:val="left" w:pos="360"/>
        </w:tabs>
        <w:wordWrap w:val="0"/>
        <w:topLinePunct/>
        <w:ind w:firstLine="480" w:firstLineChars="200"/>
        <w:rPr>
          <w:rFonts w:cs="Times New Roman"/>
        </w:rPr>
      </w:pPr>
      <w:r>
        <w:rPr>
          <w:rFonts w:hint="eastAsia" w:cs="Times New Roman"/>
        </w:rPr>
        <w:t>服务期限：政府采购合同签订生效后一年，按照采购人要求的方式完成履约。</w:t>
      </w:r>
    </w:p>
    <w:p>
      <w:pPr>
        <w:numPr>
          <w:ilvl w:val="3"/>
          <w:numId w:val="1"/>
        </w:numPr>
        <w:tabs>
          <w:tab w:val="left" w:pos="360"/>
        </w:tabs>
        <w:wordWrap w:val="0"/>
        <w:topLinePunct/>
        <w:ind w:firstLine="480" w:firstLineChars="200"/>
        <w:rPr>
          <w:rFonts w:cs="Times New Roman"/>
        </w:rPr>
      </w:pPr>
      <w:r>
        <w:rPr>
          <w:rFonts w:hint="eastAsia" w:cs="Times New Roman"/>
        </w:rPr>
        <w:t>履约地点：采购人指定地点。</w:t>
      </w:r>
    </w:p>
    <w:p>
      <w:pPr>
        <w:numPr>
          <w:ilvl w:val="2"/>
          <w:numId w:val="1"/>
        </w:numPr>
        <w:wordWrap w:val="0"/>
        <w:topLinePunct/>
        <w:ind w:firstLine="482" w:firstLineChars="200"/>
        <w:outlineLvl w:val="2"/>
        <w:rPr>
          <w:rFonts w:cs="Times New Roman"/>
          <w:b/>
          <w:snapToGrid w:val="0"/>
        </w:rPr>
      </w:pPr>
      <w:bookmarkStart w:id="15" w:name="_Toc27263"/>
      <w:bookmarkStart w:id="16" w:name="_Toc7534"/>
      <w:r>
        <w:rPr>
          <w:rFonts w:hint="eastAsia" w:cs="Times New Roman"/>
          <w:b/>
          <w:snapToGrid w:val="0"/>
        </w:rPr>
        <w:t>※合同价款</w:t>
      </w:r>
      <w:bookmarkEnd w:id="15"/>
      <w:bookmarkEnd w:id="16"/>
    </w:p>
    <w:p>
      <w:pPr>
        <w:wordWrap w:val="0"/>
        <w:topLinePunct/>
        <w:ind w:firstLine="480" w:firstLineChars="200"/>
        <w:rPr>
          <w:rFonts w:cs="Times New Roman"/>
        </w:rPr>
      </w:pPr>
      <w:r>
        <w:rPr>
          <w:rFonts w:hint="eastAsia" w:cs="Times New Roman"/>
        </w:rPr>
        <w:t>合同价是供应商响应采购项目要求的全部工作内容的价格体现，</w:t>
      </w:r>
      <w:r>
        <w:rPr>
          <w:rFonts w:hint="eastAsia" w:cs="Times New Roman"/>
          <w:bCs/>
        </w:rPr>
        <w:t>包含完成本项目所涉及人员劳务、差旅、设备投入、数字资源、保险、风险、版权费用、税金、利润以及招标文件规定的一切费用</w:t>
      </w:r>
      <w:r>
        <w:rPr>
          <w:rFonts w:hint="eastAsia" w:cs="Times New Roman"/>
        </w:rPr>
        <w:t>。</w:t>
      </w:r>
    </w:p>
    <w:p>
      <w:pPr>
        <w:numPr>
          <w:ilvl w:val="2"/>
          <w:numId w:val="1"/>
        </w:numPr>
        <w:wordWrap w:val="0"/>
        <w:topLinePunct/>
        <w:ind w:firstLine="482" w:firstLineChars="200"/>
        <w:outlineLvl w:val="2"/>
        <w:rPr>
          <w:rFonts w:cs="Times New Roman"/>
          <w:b/>
          <w:snapToGrid w:val="0"/>
        </w:rPr>
      </w:pPr>
      <w:bookmarkStart w:id="17" w:name="_Toc25330"/>
      <w:bookmarkStart w:id="18" w:name="_Toc31139"/>
      <w:r>
        <w:rPr>
          <w:rFonts w:hint="eastAsia" w:cs="Times New Roman"/>
          <w:b/>
          <w:snapToGrid w:val="0"/>
        </w:rPr>
        <w:t>付款方式</w:t>
      </w:r>
      <w:bookmarkEnd w:id="17"/>
      <w:bookmarkEnd w:id="18"/>
    </w:p>
    <w:p>
      <w:pPr>
        <w:numPr>
          <w:ilvl w:val="3"/>
          <w:numId w:val="1"/>
        </w:numPr>
        <w:tabs>
          <w:tab w:val="left" w:pos="360"/>
        </w:tabs>
        <w:wordWrap w:val="0"/>
        <w:topLinePunct/>
        <w:ind w:firstLine="480" w:firstLineChars="200"/>
        <w:rPr>
          <w:rFonts w:cs="Times New Roman"/>
        </w:rPr>
      </w:pPr>
      <w:r>
        <w:rPr>
          <w:rFonts w:hint="eastAsia" w:cs="宋体"/>
          <w:color w:val="000000"/>
        </w:rPr>
        <w:t>采购人完成合同备案且收到履约保证金后通知中标供应商开具有效发票，采购人在收到发票30个自然日内向中标人支付项目成交金额的70%，本项目验收完成中标供应商开具有效发票，采购人在收到发票的30个自然日内支付剩余合同款项。</w:t>
      </w:r>
    </w:p>
    <w:p>
      <w:pPr>
        <w:numPr>
          <w:ilvl w:val="3"/>
          <w:numId w:val="1"/>
        </w:numPr>
        <w:tabs>
          <w:tab w:val="left" w:pos="360"/>
        </w:tabs>
        <w:wordWrap w:val="0"/>
        <w:topLinePunct/>
        <w:ind w:firstLine="480" w:firstLineChars="200"/>
        <w:rPr>
          <w:rFonts w:cs="Times New Roman"/>
        </w:rPr>
      </w:pPr>
      <w:r>
        <w:rPr>
          <w:rFonts w:hint="eastAsia" w:cs="Times New Roman"/>
        </w:rPr>
        <w:t>供应商须向采购人出具合法有效完整的完税发票及凭证资料进行支付结算。</w:t>
      </w:r>
    </w:p>
    <w:p>
      <w:pPr>
        <w:numPr>
          <w:ilvl w:val="2"/>
          <w:numId w:val="1"/>
        </w:numPr>
        <w:wordWrap w:val="0"/>
        <w:topLinePunct/>
        <w:ind w:firstLine="482" w:firstLineChars="200"/>
        <w:outlineLvl w:val="2"/>
        <w:rPr>
          <w:rFonts w:cs="Times New Roman"/>
          <w:b/>
          <w:snapToGrid w:val="0"/>
        </w:rPr>
      </w:pPr>
      <w:bookmarkStart w:id="19" w:name="_Toc26784"/>
      <w:bookmarkStart w:id="20" w:name="_Toc29644"/>
      <w:bookmarkStart w:id="21" w:name="_Toc247334846"/>
      <w:bookmarkStart w:id="22" w:name="_Toc225670756"/>
      <w:bookmarkStart w:id="23" w:name="_Toc238984980"/>
      <w:bookmarkStart w:id="24" w:name="_Toc239233919"/>
      <w:bookmarkStart w:id="25" w:name="_Toc237145411"/>
      <w:bookmarkStart w:id="26" w:name="_Toc286993792"/>
      <w:bookmarkStart w:id="27" w:name="_Toc232492933"/>
      <w:bookmarkStart w:id="28" w:name="_Toc239568423"/>
      <w:bookmarkStart w:id="29" w:name="_Toc211911353"/>
      <w:bookmarkStart w:id="30" w:name="_Toc251768867"/>
      <w:bookmarkStart w:id="31" w:name="_Toc211854454"/>
      <w:bookmarkStart w:id="32" w:name="_Toc241833908"/>
      <w:bookmarkStart w:id="33" w:name="_Toc225654649"/>
      <w:bookmarkStart w:id="34" w:name="_Toc225244857"/>
      <w:bookmarkStart w:id="35" w:name="_Toc212019599"/>
      <w:bookmarkStart w:id="36" w:name="_Toc185395254"/>
      <w:r>
        <w:rPr>
          <w:rFonts w:hint="eastAsia" w:cs="Times New Roman"/>
          <w:b/>
          <w:snapToGrid w:val="0"/>
        </w:rPr>
        <w:t>违约责任</w:t>
      </w:r>
      <w:bookmarkEnd w:id="19"/>
      <w:bookmarkEnd w:id="20"/>
    </w:p>
    <w:p>
      <w:pPr>
        <w:adjustRightInd/>
        <w:snapToGrid/>
        <w:ind w:firstLine="480" w:firstLineChars="200"/>
        <w:jc w:val="both"/>
        <w:rPr>
          <w:rFonts w:cs="宋体"/>
        </w:rPr>
      </w:pPr>
      <w:r>
        <w:rPr>
          <w:rFonts w:hint="eastAsia" w:cs="宋体"/>
        </w:rPr>
        <w:t>1.供应商必须遵守采购合同并执行合同中的各项规定，保证采购合同的正常履行。</w:t>
      </w:r>
    </w:p>
    <w:p>
      <w:pPr>
        <w:adjustRightInd/>
        <w:snapToGrid/>
        <w:ind w:firstLine="480" w:firstLineChars="200"/>
        <w:jc w:val="both"/>
        <w:rPr>
          <w:rFonts w:cs="宋体"/>
        </w:rPr>
      </w:pPr>
      <w:r>
        <w:rPr>
          <w:rFonts w:hint="eastAsia" w:cs="宋体"/>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adjustRightInd/>
        <w:snapToGrid/>
        <w:ind w:firstLine="480" w:firstLineChars="200"/>
        <w:jc w:val="both"/>
        <w:rPr>
          <w:rFonts w:cs="宋体"/>
          <w:color w:val="000000"/>
        </w:rPr>
      </w:pPr>
      <w:r>
        <w:rPr>
          <w:rFonts w:hint="eastAsia" w:cs="宋体"/>
          <w:color w:val="000000"/>
        </w:rPr>
        <w:t>3</w:t>
      </w:r>
      <w:r>
        <w:rPr>
          <w:rFonts w:hint="eastAsia" w:cs="宋体"/>
          <w:bCs/>
          <w:color w:val="000000"/>
          <w:szCs w:val="22"/>
        </w:rPr>
        <w:t>.</w:t>
      </w:r>
      <w:r>
        <w:rPr>
          <w:rFonts w:hint="eastAsia" w:cs="宋体"/>
          <w:color w:val="000000"/>
        </w:rPr>
        <w:t>供应商必须遵守采购合同按时完成合同相关工作，若由于供应商原因导致合同迟延履</w:t>
      </w:r>
      <w:r>
        <w:rPr>
          <w:rFonts w:hint="eastAsia" w:cs="宋体"/>
          <w:color w:val="000000"/>
          <w:spacing w:val="-6"/>
        </w:rPr>
        <w:t>行，供应商应承担采购合同中约定的履约保证金。</w:t>
      </w:r>
    </w:p>
    <w:p>
      <w:pPr>
        <w:adjustRightInd/>
        <w:snapToGrid/>
        <w:ind w:firstLine="480" w:firstLineChars="200"/>
        <w:jc w:val="both"/>
        <w:rPr>
          <w:rFonts w:cs="宋体"/>
          <w:color w:val="000000"/>
        </w:rPr>
      </w:pPr>
      <w:r>
        <w:rPr>
          <w:rFonts w:hint="eastAsia" w:cs="宋体"/>
          <w:color w:val="000000"/>
        </w:rPr>
        <w:t>4</w:t>
      </w:r>
      <w:r>
        <w:rPr>
          <w:rFonts w:hint="eastAsia" w:cs="宋体"/>
          <w:bCs/>
          <w:color w:val="000000"/>
          <w:szCs w:val="22"/>
        </w:rPr>
        <w:t>.</w:t>
      </w:r>
      <w:r>
        <w:rPr>
          <w:rFonts w:hint="eastAsia" w:cs="宋体"/>
          <w:color w:val="000000"/>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ind w:firstLine="480" w:firstLineChars="200"/>
        <w:rPr>
          <w:rFonts w:cs="宋体"/>
          <w:kern w:val="0"/>
        </w:rPr>
      </w:pPr>
      <w:r>
        <w:rPr>
          <w:rFonts w:hint="eastAsia" w:cs="宋体"/>
          <w:kern w:val="0"/>
        </w:rPr>
        <w:t>5.有下列情形之一的，当事人可以解除合同：</w:t>
      </w:r>
      <w:r>
        <w:rPr>
          <w:rFonts w:hint="eastAsia" w:cs="宋体"/>
          <w:kern w:val="0"/>
        </w:rPr>
        <w:br w:type="textWrapping"/>
      </w:r>
      <w:r>
        <w:rPr>
          <w:rFonts w:hint="eastAsia" w:cs="宋体"/>
          <w:kern w:val="0"/>
        </w:rPr>
        <w:t>　　5.1因不可抗力致使不能实现合同目的(由于非供应商或采购人原因，致使合同实质性条款无法实现的)；</w:t>
      </w:r>
      <w:r>
        <w:rPr>
          <w:rFonts w:hint="eastAsia" w:cs="宋体"/>
          <w:kern w:val="0"/>
        </w:rPr>
        <w:br w:type="textWrapping"/>
      </w:r>
      <w:r>
        <w:rPr>
          <w:rFonts w:hint="eastAsia" w:cs="宋体"/>
          <w:kern w:val="0"/>
        </w:rPr>
        <w:t>　  5.2当事人一方迟延履行主要债务，经催告后在合理期限内仍未履行；</w:t>
      </w:r>
      <w:r>
        <w:rPr>
          <w:rFonts w:hint="eastAsia" w:cs="宋体"/>
          <w:kern w:val="0"/>
        </w:rPr>
        <w:br w:type="textWrapping"/>
      </w:r>
      <w:r>
        <w:rPr>
          <w:rFonts w:hint="eastAsia" w:cs="宋体"/>
          <w:kern w:val="0"/>
        </w:rPr>
        <w:t>　　5.3当事人一方迟延履行债务或者有其他违约行为致使不能实现合同目的；</w:t>
      </w:r>
      <w:r>
        <w:rPr>
          <w:rFonts w:hint="eastAsia" w:cs="宋体"/>
          <w:kern w:val="0"/>
        </w:rPr>
        <w:br w:type="textWrapping"/>
      </w:r>
      <w:r>
        <w:rPr>
          <w:rFonts w:hint="eastAsia" w:cs="宋体"/>
          <w:kern w:val="0"/>
        </w:rPr>
        <w:t>　  5.4法律规定的其他情形。</w:t>
      </w:r>
    </w:p>
    <w:p>
      <w:pPr>
        <w:numPr>
          <w:ilvl w:val="2"/>
          <w:numId w:val="1"/>
        </w:numPr>
        <w:wordWrap w:val="0"/>
        <w:topLinePunct/>
        <w:ind w:firstLine="482" w:firstLineChars="200"/>
        <w:outlineLvl w:val="2"/>
        <w:rPr>
          <w:rFonts w:cs="Times New Roman"/>
          <w:b/>
          <w:snapToGrid w:val="0"/>
        </w:rPr>
      </w:pPr>
      <w:bookmarkStart w:id="37" w:name="_Toc3506"/>
      <w:bookmarkStart w:id="38" w:name="_Toc9575"/>
      <w:r>
        <w:rPr>
          <w:rFonts w:hint="eastAsia" w:cs="Times New Roman"/>
          <w:b/>
          <w:snapToGrid w:val="0"/>
        </w:rPr>
        <w:t>解决</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cs="Times New Roman"/>
          <w:b/>
          <w:snapToGrid w:val="0"/>
        </w:rPr>
        <w:t>争议的方法</w:t>
      </w:r>
      <w:bookmarkEnd w:id="37"/>
      <w:bookmarkEnd w:id="38"/>
    </w:p>
    <w:p>
      <w:pPr>
        <w:wordWrap w:val="0"/>
        <w:topLinePunct/>
        <w:snapToGrid/>
        <w:ind w:firstLine="480" w:firstLineChars="200"/>
        <w:rPr>
          <w:rFonts w:cs="宋体"/>
        </w:rPr>
      </w:pPr>
      <w:bookmarkStart w:id="39" w:name="_Toc16796_WPSOffice_Level2"/>
      <w:r>
        <w:rPr>
          <w:rFonts w:hint="eastAsia" w:cs="宋体"/>
        </w:rPr>
        <w:t>1.因服务的质量问题发生争议，由采购人或其指定的第三方机构进行质量鉴定。服务符合标准的，鉴定费由采购人承担；服务不符合质量标准的，鉴定费由供应商承担。</w:t>
      </w:r>
    </w:p>
    <w:p>
      <w:pPr>
        <w:snapToGrid/>
        <w:ind w:firstLine="480" w:firstLineChars="200"/>
        <w:rPr>
          <w:rFonts w:cs="宋体"/>
        </w:rPr>
      </w:pPr>
      <w:r>
        <w:rPr>
          <w:rFonts w:hint="eastAsia" w:cs="宋体"/>
        </w:rPr>
        <w:t>2.合同履行期间，若双方发生争议，可协商或由有关部门调解解决，协商或调解不成的，向采购人所在地人民法院起诉。</w:t>
      </w:r>
    </w:p>
    <w:p>
      <w:pPr>
        <w:numPr>
          <w:ilvl w:val="2"/>
          <w:numId w:val="1"/>
        </w:numPr>
        <w:wordWrap w:val="0"/>
        <w:topLinePunct/>
        <w:ind w:firstLine="482" w:firstLineChars="200"/>
        <w:outlineLvl w:val="2"/>
        <w:rPr>
          <w:rFonts w:cs="Times New Roman"/>
          <w:b/>
          <w:snapToGrid w:val="0"/>
        </w:rPr>
      </w:pPr>
      <w:bookmarkStart w:id="40" w:name="_Toc2818"/>
      <w:bookmarkStart w:id="41" w:name="_Toc12956"/>
      <w:r>
        <w:rPr>
          <w:rFonts w:hint="eastAsia" w:cs="Times New Roman"/>
          <w:b/>
          <w:snapToGrid w:val="0"/>
        </w:rPr>
        <w:t>验收方法和标准</w:t>
      </w:r>
      <w:bookmarkEnd w:id="39"/>
      <w:bookmarkEnd w:id="40"/>
      <w:bookmarkEnd w:id="41"/>
    </w:p>
    <w:p>
      <w:pPr>
        <w:numPr>
          <w:ilvl w:val="3"/>
          <w:numId w:val="1"/>
        </w:numPr>
        <w:tabs>
          <w:tab w:val="left" w:pos="360"/>
        </w:tabs>
        <w:wordWrap w:val="0"/>
        <w:topLinePunct/>
        <w:ind w:firstLine="480" w:firstLineChars="200"/>
        <w:rPr>
          <w:rFonts w:cs="Times New Roman"/>
        </w:rPr>
      </w:pPr>
      <w:r>
        <w:rPr>
          <w:rFonts w:hint="eastAsia" w:cs="Times New Roman"/>
        </w:rPr>
        <w:t>供应商在验收准备完成后通知采购人，采购人在接到通知后5日内组织履约验收，验收合格，双方签署《验收报告》；</w:t>
      </w:r>
    </w:p>
    <w:p>
      <w:pPr>
        <w:numPr>
          <w:ilvl w:val="3"/>
          <w:numId w:val="1"/>
        </w:numPr>
        <w:tabs>
          <w:tab w:val="left" w:pos="360"/>
        </w:tabs>
        <w:wordWrap w:val="0"/>
        <w:topLinePunct/>
        <w:ind w:firstLine="480" w:firstLineChars="200"/>
        <w:rPr>
          <w:rFonts w:cs="Times New Roman"/>
        </w:rPr>
      </w:pPr>
      <w:r>
        <w:rPr>
          <w:rFonts w:hint="eastAsia" w:cs="Times New Roman"/>
        </w:rPr>
        <w:t>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numPr>
          <w:ilvl w:val="3"/>
          <w:numId w:val="1"/>
        </w:numPr>
        <w:tabs>
          <w:tab w:val="left" w:pos="360"/>
        </w:tabs>
        <w:wordWrap w:val="0"/>
        <w:topLinePunct/>
        <w:ind w:firstLine="480" w:firstLineChars="200"/>
        <w:rPr>
          <w:rFonts w:cs="Times New Roman"/>
        </w:rPr>
      </w:pPr>
      <w:r>
        <w:rPr>
          <w:rFonts w:hint="eastAsia" w:cs="Times New Roman"/>
        </w:rPr>
        <w:t>采购人在规定时间内无故不进行验收工作并已使用项目履约成果的，视同验收合格。</w:t>
      </w:r>
    </w:p>
    <w:p>
      <w:pPr>
        <w:numPr>
          <w:ilvl w:val="3"/>
          <w:numId w:val="1"/>
        </w:numPr>
        <w:tabs>
          <w:tab w:val="left" w:pos="360"/>
        </w:tabs>
        <w:wordWrap w:val="0"/>
        <w:topLinePunct/>
        <w:ind w:firstLine="480" w:firstLineChars="200"/>
        <w:rPr>
          <w:rFonts w:cs="Times New Roman"/>
        </w:rPr>
      </w:pPr>
      <w:r>
        <w:rPr>
          <w:rFonts w:hint="eastAsia"/>
        </w:rPr>
        <w:t>验收结果合格的，中标人凭《验收报告》至履约保证金收取单位办理履约保证金的退付手续；验收结果不合格的，履约保证金将不予退还，也将不予支付采购资金，还可能会报本项目同级财政部门按照政府采购法律法规等有关规定给予行政处罚</w:t>
      </w:r>
      <w:r>
        <w:rPr>
          <w:rFonts w:hint="eastAsia" w:cs="Times New Roman"/>
        </w:rPr>
        <w:t>。</w:t>
      </w:r>
    </w:p>
    <w:p>
      <w:pPr>
        <w:numPr>
          <w:ilvl w:val="3"/>
          <w:numId w:val="1"/>
        </w:numPr>
        <w:tabs>
          <w:tab w:val="left" w:pos="360"/>
        </w:tabs>
        <w:wordWrap w:val="0"/>
        <w:topLinePunct/>
        <w:ind w:firstLine="480" w:firstLineChars="200"/>
        <w:rPr>
          <w:rFonts w:cs="Times New Roman"/>
        </w:rPr>
      </w:pPr>
      <w:r>
        <w:rPr>
          <w:rFonts w:hint="eastAsia" w:cs="Times New Roman"/>
        </w:rPr>
        <w:t>其他未尽事宜应严格按照《财政部关于进一步加强政府采购需求和履约验收管理的指导意见》(财库〔2016〕205号)要求进行验收。 </w:t>
      </w:r>
    </w:p>
    <w:p>
      <w:pPr>
        <w:numPr>
          <w:ilvl w:val="2"/>
          <w:numId w:val="1"/>
        </w:numPr>
        <w:wordWrap w:val="0"/>
        <w:topLinePunct/>
        <w:ind w:firstLine="482" w:firstLineChars="200"/>
        <w:outlineLvl w:val="2"/>
        <w:rPr>
          <w:rFonts w:cs="Times New Roman"/>
          <w:b/>
          <w:snapToGrid w:val="0"/>
        </w:rPr>
      </w:pPr>
      <w:bookmarkStart w:id="42" w:name="_Toc6879"/>
      <w:bookmarkStart w:id="43" w:name="_Toc9263"/>
      <w:bookmarkStart w:id="44" w:name="_Toc32286_WPSOffice_Level2"/>
      <w:r>
        <w:rPr>
          <w:rFonts w:hint="eastAsia" w:cs="Times New Roman"/>
          <w:b/>
          <w:snapToGrid w:val="0"/>
        </w:rPr>
        <w:t>其他要求</w:t>
      </w:r>
      <w:bookmarkEnd w:id="42"/>
      <w:bookmarkEnd w:id="43"/>
      <w:bookmarkEnd w:id="44"/>
    </w:p>
    <w:p>
      <w:pPr>
        <w:numPr>
          <w:ilvl w:val="3"/>
          <w:numId w:val="1"/>
        </w:numPr>
        <w:tabs>
          <w:tab w:val="left" w:pos="360"/>
        </w:tabs>
        <w:wordWrap w:val="0"/>
        <w:topLinePunct/>
        <w:ind w:firstLine="482" w:firstLineChars="200"/>
        <w:rPr>
          <w:rFonts w:cs="Times New Roman"/>
        </w:rPr>
      </w:pPr>
      <w:r>
        <w:rPr>
          <w:rFonts w:hint="eastAsia" w:cs="Times New Roman"/>
          <w:b/>
          <w:bCs/>
        </w:rPr>
        <w:t>※</w:t>
      </w:r>
      <w:r>
        <w:rPr>
          <w:rFonts w:hint="eastAsia" w:cs="Times New Roman"/>
        </w:rPr>
        <w:t>政府采购合同签订时间：供应商中标后，自中标通知书发出之日起30日内与采购单位签订政府采购合同。</w:t>
      </w:r>
    </w:p>
    <w:p>
      <w:pPr>
        <w:numPr>
          <w:ilvl w:val="3"/>
          <w:numId w:val="1"/>
        </w:numPr>
        <w:tabs>
          <w:tab w:val="left" w:pos="360"/>
        </w:tabs>
        <w:wordWrap w:val="0"/>
        <w:topLinePunct/>
        <w:ind w:firstLine="482" w:firstLineChars="200"/>
        <w:rPr>
          <w:rFonts w:cs="Times New Roman"/>
        </w:rPr>
      </w:pPr>
      <w:r>
        <w:rPr>
          <w:rFonts w:hint="eastAsia" w:cs="Times New Roman"/>
          <w:b/>
          <w:bCs/>
        </w:rPr>
        <w:t>※</w:t>
      </w:r>
      <w:r>
        <w:rPr>
          <w:rFonts w:hint="eastAsia" w:cs="Times New Roman"/>
        </w:rPr>
        <w:t>供应商应保证所提供的服务或其任何一部分均不会侵犯任何第三方的专利权、商标权或著作权</w:t>
      </w:r>
      <w:r>
        <w:rPr>
          <w:rFonts w:hint="eastAsia" w:cs="Times New Roman"/>
          <w:b/>
          <w:bCs/>
        </w:rPr>
        <w:t>(在其他投标文件中提供承诺函进行响应，格式自拟)</w:t>
      </w:r>
      <w:r>
        <w:rPr>
          <w:rFonts w:hint="eastAsia" w:cs="Times New Roman"/>
        </w:rPr>
        <w:t>。</w:t>
      </w:r>
    </w:p>
    <w:p>
      <w:pPr>
        <w:numPr>
          <w:ilvl w:val="3"/>
          <w:numId w:val="1"/>
        </w:numPr>
        <w:tabs>
          <w:tab w:val="left" w:pos="360"/>
        </w:tabs>
        <w:wordWrap w:val="0"/>
        <w:topLinePunct/>
        <w:ind w:firstLine="480" w:firstLineChars="200"/>
        <w:rPr>
          <w:rFonts w:cs="Times New Roman"/>
        </w:rPr>
      </w:pPr>
      <w:r>
        <w:rPr>
          <w:rFonts w:hint="eastAsia" w:cs="Times New Roman"/>
        </w:rPr>
        <w:t>采购人定期核对供应商提供服务所配备的人员数量及相关信息，对于未按照采购文件及投标文件内容执行或存在不合理的部分有权下达整改通知书，并要求供应商限期整改。</w:t>
      </w:r>
    </w:p>
    <w:p>
      <w:pPr>
        <w:numPr>
          <w:ilvl w:val="3"/>
          <w:numId w:val="1"/>
        </w:numPr>
        <w:tabs>
          <w:tab w:val="left" w:pos="360"/>
        </w:tabs>
        <w:wordWrap w:val="0"/>
        <w:topLinePunct/>
        <w:ind w:firstLine="480" w:firstLineChars="200"/>
        <w:rPr>
          <w:rFonts w:cs="Times New Roman"/>
        </w:rPr>
      </w:pPr>
      <w:r>
        <w:rPr>
          <w:rFonts w:hint="eastAsia" w:cs="Times New Roman"/>
        </w:rPr>
        <w:t>供应商定期及时向采购人通告本项目服务范围内有关服务的重大事项及其进度。</w:t>
      </w:r>
    </w:p>
    <w:p>
      <w:pPr>
        <w:numPr>
          <w:ilvl w:val="3"/>
          <w:numId w:val="1"/>
        </w:numPr>
        <w:tabs>
          <w:tab w:val="left" w:pos="360"/>
        </w:tabs>
        <w:wordWrap w:val="0"/>
        <w:topLinePunct/>
        <w:ind w:firstLine="480" w:firstLineChars="200"/>
        <w:rPr>
          <w:rFonts w:cs="Times New Roman"/>
        </w:rPr>
      </w:pPr>
      <w:r>
        <w:rPr>
          <w:rFonts w:hint="eastAsia" w:cs="宋体"/>
          <w:color w:val="000000"/>
        </w:rPr>
        <w:t>在采购合同履约过程中发生的或与本合同有关的争端，供应商与采购人应通过友好协商解决，协商或调解不成的，由当事人依法维护其合法权益。</w:t>
      </w:r>
    </w:p>
    <w:p>
      <w:pPr>
        <w:numPr>
          <w:ilvl w:val="3"/>
          <w:numId w:val="1"/>
        </w:numPr>
        <w:tabs>
          <w:tab w:val="left" w:pos="360"/>
        </w:tabs>
        <w:wordWrap w:val="0"/>
        <w:topLinePunct/>
        <w:ind w:firstLine="480" w:firstLineChars="200"/>
        <w:rPr>
          <w:rFonts w:cs="Times New Roman"/>
        </w:rPr>
      </w:pPr>
      <w:r>
        <w:rPr>
          <w:rFonts w:hint="eastAsia" w:cs="Times New Roman"/>
        </w:rPr>
        <w:t>接受项目行业管理部门及政府有关部门的指导，接受采购人的监督。</w:t>
      </w:r>
    </w:p>
    <w:p>
      <w:pPr>
        <w:rPr>
          <w:b/>
          <w:bCs/>
        </w:rPr>
      </w:pPr>
      <w:r>
        <w:rPr>
          <w:rFonts w:hint="eastAsia" w:cs="Times New Roman"/>
          <w:b/>
          <w:bCs/>
        </w:rPr>
        <w:t>注意：</w:t>
      </w:r>
      <w:r>
        <w:rPr>
          <w:rFonts w:cs="Times New Roman"/>
          <w:b/>
          <w:bCs/>
        </w:rPr>
        <w:t>①</w:t>
      </w:r>
      <w:r>
        <w:rPr>
          <w:rFonts w:hint="eastAsia" w:cs="Times New Roman"/>
          <w:b/>
          <w:bCs/>
        </w:rPr>
        <w:t>本章带“★”号项目作为重要指标要求，带“▲”号项目作为一般指标要求，如未满足将根据评分办法规定分别进行扣分。带“※”号条款为实质性要求，投标人若未满足的，将被视为无效投标</w:t>
      </w:r>
      <w:r>
        <w:rPr>
          <w:rFonts w:hint="eastAsia"/>
          <w:b/>
          <w:bCs/>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6"/>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8"/>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forms" w:enforcement="1" w:cryptProviderType="rsaFull" w:cryptAlgorithmClass="hash" w:cryptAlgorithmType="typeAny" w:cryptAlgorithmSid="4" w:cryptSpinCount="0" w:hash="5FWAyumD/5ZC8L0W5p6kNVr1nNw=" w:salt="+TUHBSpCoAAgHIZkZc5Ayw=="/>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40B6C"/>
    <w:rsid w:val="10940B6C"/>
    <w:rsid w:val="44237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14、“第一章”一级标题"/>
    <w:basedOn w:val="7"/>
    <w:qFormat/>
    <w:uiPriority w:val="0"/>
    <w:pPr>
      <w:numPr>
        <w:ilvl w:val="0"/>
        <w:numId w:val="1"/>
      </w:numPr>
      <w:spacing w:beforeLines="50" w:afterLines="50" w:line="240" w:lineRule="auto"/>
      <w:jc w:val="center"/>
      <w:outlineLvl w:val="0"/>
    </w:pPr>
    <w:rPr>
      <w:b/>
      <w:sz w:val="36"/>
    </w:rPr>
  </w:style>
  <w:style w:type="paragraph" w:customStyle="1" w:styleId="7">
    <w:name w:val="01、普通正文"/>
    <w:basedOn w:val="1"/>
    <w:qFormat/>
    <w:uiPriority w:val="0"/>
    <w:pPr>
      <w:wordWrap w:val="0"/>
      <w:topLinePunct/>
    </w:pPr>
    <w:rPr>
      <w:snapToGrid w:val="0"/>
    </w:rPr>
  </w:style>
  <w:style w:type="paragraph" w:customStyle="1" w:styleId="8">
    <w:name w:val="15、“一、”二级标题"/>
    <w:basedOn w:val="1"/>
    <w:qFormat/>
    <w:uiPriority w:val="0"/>
    <w:pPr>
      <w:numPr>
        <w:ilvl w:val="1"/>
        <w:numId w:val="1"/>
      </w:numPr>
      <w:wordWrap w:val="0"/>
      <w:topLinePunct/>
      <w:ind w:firstLine="803" w:firstLineChars="200"/>
      <w:outlineLvl w:val="1"/>
    </w:pPr>
    <w:rPr>
      <w:b/>
    </w:rPr>
  </w:style>
  <w:style w:type="paragraph" w:customStyle="1" w:styleId="9">
    <w:name w:val="02、首行缩进2字符正文"/>
    <w:basedOn w:val="1"/>
    <w:qFormat/>
    <w:uiPriority w:val="0"/>
    <w:pPr>
      <w:wordWrap w:val="0"/>
      <w:topLinePunct/>
      <w:ind w:firstLine="480" w:firstLineChars="200"/>
    </w:pPr>
  </w:style>
  <w:style w:type="paragraph" w:customStyle="1" w:styleId="10">
    <w:name w:val="03、“注：”正文(加粗，首行缩进2字符)"/>
    <w:basedOn w:val="7"/>
    <w:qFormat/>
    <w:uiPriority w:val="0"/>
    <w:pPr>
      <w:ind w:firstLine="480" w:firstLineChars="200"/>
    </w:pPr>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2021-06-04T07:39:00Z</dcterms:created>
  <dc:creator>gqy</dc:creator>
  <cp:lastModifiedBy>gqy</cp:lastModifiedBy>
  <dcterms:modified xsi:type="dcterms:W3CDTF">2021-06-04T07:40:19Z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CED3A33ED4AA489BAADCD2AAB0BAC5A4</vt:lpwstr>
  </property>
</Properties>
</file>