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rPr>
      </w:pPr>
      <w:r>
        <w:rPr>
          <w:rFonts w:hint="eastAsia" w:ascii="宋体" w:hAnsi="宋体"/>
        </w:rPr>
        <w:t>采购项目技术、服务及商务要求</w:t>
      </w:r>
    </w:p>
    <w:p>
      <w:pPr>
        <w:pStyle w:val="6"/>
        <w:keepNext w:val="0"/>
        <w:keepLines w:val="0"/>
        <w:pageBreakBefore w:val="0"/>
        <w:numPr>
          <w:ilvl w:val="0"/>
          <w:numId w:val="0"/>
        </w:numPr>
        <w:kinsoku/>
        <w:wordWrap/>
        <w:overflowPunct/>
        <w:topLinePunct w:val="0"/>
        <w:autoSpaceDE/>
        <w:autoSpaceDN/>
        <w:bidi w:val="0"/>
        <w:adjustRightInd w:val="0"/>
        <w:snapToGrid w:val="0"/>
        <w:spacing w:after="0" w:line="360" w:lineRule="auto"/>
        <w:textAlignment w:val="auto"/>
        <w:rPr>
          <w:rFonts w:hint="eastAsia" w:ascii="宋体" w:hAnsi="宋体" w:cs="宋体"/>
          <w:b/>
          <w:bCs/>
          <w:sz w:val="24"/>
          <w:highlight w:val="none"/>
          <w:lang w:val="en-US" w:eastAsia="zh-CN"/>
        </w:rPr>
      </w:pPr>
      <w:r>
        <w:rPr>
          <w:rFonts w:hint="eastAsia" w:hAnsi="宋体" w:cs="宋体"/>
          <w:b/>
          <w:bCs/>
          <w:sz w:val="24"/>
          <w:highlight w:val="none"/>
          <w:lang w:val="en-US" w:eastAsia="zh-CN"/>
        </w:rPr>
        <w:t>一、项目概况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项目名称：</w:t>
      </w:r>
      <w:r>
        <w:rPr>
          <w:rFonts w:hint="eastAsia" w:ascii="宋体" w:hAnsi="宋体" w:eastAsia="宋体" w:cs="宋体"/>
          <w:color w:val="000000"/>
          <w:kern w:val="2"/>
          <w:sz w:val="24"/>
          <w:szCs w:val="24"/>
          <w:lang w:val="en-US" w:eastAsia="zh-CN"/>
        </w:rPr>
        <w:t>市级垃圾处理特许经营权出让项目驻厂技术监督服务项目</w:t>
      </w:r>
      <w:r>
        <w:rPr>
          <w:rFonts w:hint="eastAsia" w:ascii="宋体" w:hAnsi="宋体" w:eastAsia="宋体" w:cs="宋体"/>
          <w:color w:val="000000"/>
          <w:kern w:val="2"/>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Calibri" w:eastAsia="宋体" w:cs="宋体"/>
          <w:color w:val="000000"/>
          <w:kern w:val="2"/>
          <w:sz w:val="24"/>
          <w:szCs w:val="24"/>
        </w:rPr>
      </w:pP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rPr>
        <w:t>项目采购方式：竞争性磋商；</w:t>
      </w:r>
    </w:p>
    <w:p>
      <w:pPr>
        <w:widowControl/>
        <w:adjustRightInd w:val="0"/>
        <w:snapToGrid w:val="0"/>
        <w:spacing w:line="360" w:lineRule="auto"/>
        <w:ind w:firstLine="480" w:firstLineChars="200"/>
        <w:jc w:val="left"/>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3、采购内容：1个包，</w:t>
      </w:r>
      <w:r>
        <w:rPr>
          <w:rFonts w:hint="eastAsia" w:ascii="宋体" w:hAnsi="宋体" w:eastAsia="宋体" w:cs="宋体"/>
          <w:sz w:val="24"/>
        </w:rPr>
        <w:t>服务范围包括万兴（二期）环保发电厂、成都宝林环保发电厂等2个项目的驻厂技术监督服务。对上述2个项目技术工艺流程、设施设备运行工况、处理量、污染物排放、安全生产等方面进行7*24小时不间断技术监督。对运营中出现的问题进行技术分析，提出解决方案，及时上报并督促运营方解决</w:t>
      </w:r>
      <w:r>
        <w:rPr>
          <w:rFonts w:hint="eastAsia" w:ascii="宋体" w:hAnsi="宋体" w:eastAsia="宋体" w:cs="宋体"/>
          <w:color w:val="000000"/>
          <w:kern w:val="2"/>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4、</w:t>
      </w:r>
      <w:r>
        <w:rPr>
          <w:rFonts w:hint="eastAsia" w:ascii="宋体" w:hAnsi="宋体" w:eastAsia="宋体" w:cs="宋体"/>
          <w:color w:val="000000"/>
          <w:kern w:val="2"/>
          <w:sz w:val="24"/>
          <w:szCs w:val="24"/>
        </w:rPr>
        <w:t>资金来源：</w:t>
      </w:r>
      <w:r>
        <w:rPr>
          <w:rFonts w:hint="eastAsia" w:ascii="宋体" w:hAnsi="宋体" w:eastAsia="宋体" w:cs="宋体"/>
          <w:color w:val="000000"/>
          <w:kern w:val="2"/>
          <w:sz w:val="24"/>
          <w:szCs w:val="24"/>
          <w:lang w:val="en-US" w:eastAsia="zh-CN"/>
        </w:rPr>
        <w:t>财政</w:t>
      </w:r>
      <w:r>
        <w:rPr>
          <w:rFonts w:hint="eastAsia" w:ascii="宋体" w:hAnsi="宋体" w:eastAsia="宋体" w:cs="宋体"/>
          <w:color w:val="000000"/>
          <w:kern w:val="2"/>
          <w:sz w:val="24"/>
          <w:szCs w:val="24"/>
        </w:rPr>
        <w:t>资金，资金来源已落实；</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rPr>
        <w:t>本项目预算</w:t>
      </w:r>
      <w:r>
        <w:rPr>
          <w:rFonts w:hint="eastAsia" w:ascii="宋体" w:hAnsi="宋体" w:eastAsia="宋体" w:cs="宋体"/>
          <w:color w:val="000000"/>
          <w:kern w:val="2"/>
          <w:sz w:val="24"/>
          <w:szCs w:val="24"/>
          <w:u w:val="single"/>
          <w:lang w:val="en-US" w:eastAsia="zh-CN"/>
        </w:rPr>
        <w:t>220.5</w:t>
      </w:r>
      <w:r>
        <w:rPr>
          <w:rFonts w:hint="eastAsia" w:ascii="宋体" w:hAnsi="宋体" w:eastAsia="宋体" w:cs="宋体"/>
          <w:color w:val="000000"/>
          <w:kern w:val="2"/>
          <w:sz w:val="24"/>
          <w:szCs w:val="24"/>
        </w:rPr>
        <w:t>万元</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最高限价为：</w:t>
      </w:r>
      <w:r>
        <w:rPr>
          <w:rFonts w:hint="eastAsia" w:ascii="宋体" w:hAnsi="宋体" w:eastAsia="宋体" w:cs="宋体"/>
          <w:color w:val="000000"/>
          <w:kern w:val="2"/>
          <w:sz w:val="24"/>
          <w:szCs w:val="24"/>
          <w:u w:val="single"/>
          <w:lang w:val="en-US" w:eastAsia="zh-CN"/>
        </w:rPr>
        <w:t>197.53</w:t>
      </w:r>
      <w:r>
        <w:rPr>
          <w:rFonts w:hint="eastAsia" w:ascii="宋体" w:hAnsi="宋体" w:eastAsia="宋体" w:cs="宋体"/>
          <w:color w:val="000000"/>
          <w:kern w:val="2"/>
          <w:sz w:val="24"/>
          <w:szCs w:val="24"/>
          <w:lang w:val="en-US" w:eastAsia="zh-CN"/>
        </w:rPr>
        <w:t>万元。</w:t>
      </w:r>
    </w:p>
    <w:p>
      <w:pPr>
        <w:widowControl/>
        <w:adjustRightInd w:val="0"/>
        <w:snapToGrid w:val="0"/>
        <w:spacing w:line="360" w:lineRule="auto"/>
        <w:jc w:val="left"/>
        <w:rPr>
          <w:rFonts w:hint="eastAsia" w:ascii="宋体" w:hAnsi="宋体" w:cs="宋体"/>
          <w:b/>
          <w:sz w:val="24"/>
        </w:rPr>
      </w:pPr>
      <w:r>
        <w:rPr>
          <w:rFonts w:hint="eastAsia" w:ascii="宋体" w:hAnsi="宋体" w:cs="宋体"/>
          <w:b/>
          <w:sz w:val="24"/>
          <w:lang w:eastAsia="zh-CN"/>
        </w:rPr>
        <w:t>二、技术</w:t>
      </w:r>
      <w:r>
        <w:rPr>
          <w:rFonts w:hint="eastAsia" w:ascii="宋体" w:hAnsi="宋体" w:cs="宋体"/>
          <w:b/>
          <w:sz w:val="24"/>
        </w:rPr>
        <w:t xml:space="preserve">要求 </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1、驻厂技术监督人员配置</w:t>
      </w:r>
    </w:p>
    <w:p>
      <w:pPr>
        <w:widowControl/>
        <w:adjustRightInd w:val="0"/>
        <w:snapToGrid w:val="0"/>
        <w:spacing w:line="360" w:lineRule="auto"/>
        <w:ind w:firstLine="480" w:firstLineChars="200"/>
        <w:jc w:val="left"/>
        <w:rPr>
          <w:rFonts w:hint="eastAsia" w:ascii="宋体" w:hAnsi="宋体" w:eastAsia="宋体" w:cs="宋体"/>
          <w:sz w:val="24"/>
          <w:lang w:eastAsia="zh-TW"/>
        </w:rPr>
      </w:pPr>
      <w:r>
        <w:rPr>
          <w:rFonts w:hint="eastAsia" w:ascii="宋体" w:hAnsi="宋体" w:eastAsia="宋体" w:cs="宋体"/>
          <w:sz w:val="24"/>
        </w:rPr>
        <w:t>项目总负责人：具有环境、电力相关高级工程师及以上职称，具有垃圾处理设施监管经验，从事垃圾焚烧发电</w:t>
      </w:r>
      <w:r>
        <w:rPr>
          <w:rFonts w:hint="eastAsia" w:ascii="宋体" w:hAnsi="宋体" w:eastAsia="宋体" w:cs="宋体"/>
          <w:sz w:val="24"/>
          <w:lang w:val="en-US" w:eastAsia="zh-CN"/>
        </w:rPr>
        <w:t>及相关</w:t>
      </w:r>
      <w:r>
        <w:rPr>
          <w:rFonts w:hint="eastAsia" w:ascii="宋体" w:hAnsi="宋体" w:eastAsia="宋体" w:cs="宋体"/>
          <w:sz w:val="24"/>
        </w:rPr>
        <w:t>垃圾处理设施运营、咨询或监管工作5年（含）以上，负责掌握总体工作、统筹组织及对外协调等各项工作。</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各厂技术监督负责人：具有环境、电力相关工程师及以上职称，具有垃圾焚烧发电</w:t>
      </w:r>
      <w:r>
        <w:rPr>
          <w:rFonts w:hint="eastAsia" w:ascii="宋体" w:hAnsi="宋体" w:eastAsia="宋体" w:cs="宋体"/>
          <w:sz w:val="24"/>
          <w:lang w:val="en-US" w:eastAsia="zh-CN"/>
        </w:rPr>
        <w:t>及相关</w:t>
      </w:r>
      <w:r>
        <w:rPr>
          <w:rFonts w:hint="eastAsia" w:ascii="宋体" w:hAnsi="宋体" w:eastAsia="宋体" w:cs="宋体"/>
          <w:sz w:val="24"/>
        </w:rPr>
        <w:t>设施的从业经验，熟悉项目工艺流程、安全生产操作规程以及相关的法律法规、技术标准、运行规范等。各厂技术监督负责人需驻场进行办公，为现场监管工作提供技术支持。</w:t>
      </w:r>
    </w:p>
    <w:p>
      <w:pPr>
        <w:widowControl/>
        <w:adjustRightInd w:val="0"/>
        <w:snapToGrid w:val="0"/>
        <w:spacing w:line="360" w:lineRule="auto"/>
        <w:ind w:firstLine="480" w:firstLineChars="200"/>
        <w:jc w:val="left"/>
        <w:rPr>
          <w:rFonts w:hint="eastAsia" w:ascii="宋体" w:hAnsi="宋体" w:eastAsia="宋体" w:cs="宋体"/>
          <w:sz w:val="24"/>
          <w:lang w:eastAsia="zh-TW"/>
        </w:rPr>
      </w:pPr>
      <w:r>
        <w:rPr>
          <w:rFonts w:hint="eastAsia" w:ascii="宋体" w:hAnsi="宋体" w:eastAsia="宋体" w:cs="宋体"/>
          <w:sz w:val="24"/>
        </w:rPr>
        <w:t>现场驻厂人员：具有垃圾处理设施运营、监管经验，负责巡视现场作业，审核运营基础文件，数据统计、分析及预警，监督整改情况，追踪监管意见，编写纪录等工作。</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驻厂技术监督人员配置表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05"/>
        <w:gridCol w:w="3333"/>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3" w:type="dxa"/>
            <w:noWrap/>
            <w:vAlign w:val="center"/>
          </w:tcPr>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项目</w:t>
            </w:r>
          </w:p>
        </w:tc>
        <w:tc>
          <w:tcPr>
            <w:tcW w:w="1205" w:type="dxa"/>
            <w:noWrap/>
            <w:vAlign w:val="center"/>
          </w:tcPr>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监督方式</w:t>
            </w:r>
          </w:p>
        </w:tc>
        <w:tc>
          <w:tcPr>
            <w:tcW w:w="3333" w:type="dxa"/>
            <w:noWrap/>
            <w:vAlign w:val="center"/>
          </w:tcPr>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现场监督人员配置（人）</w:t>
            </w:r>
          </w:p>
        </w:tc>
        <w:tc>
          <w:tcPr>
            <w:tcW w:w="3173" w:type="dxa"/>
            <w:noWrap/>
            <w:vAlign w:val="center"/>
          </w:tcPr>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83" w:type="dxa"/>
            <w:noWrap/>
            <w:vAlign w:val="center"/>
          </w:tcPr>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焚烧</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发电厂</w:t>
            </w:r>
          </w:p>
        </w:tc>
        <w:tc>
          <w:tcPr>
            <w:tcW w:w="1205" w:type="dxa"/>
            <w:noWrap/>
            <w:vAlign w:val="center"/>
          </w:tcPr>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24小时不间断进行技术监督</w:t>
            </w:r>
          </w:p>
        </w:tc>
        <w:tc>
          <w:tcPr>
            <w:tcW w:w="3333" w:type="dxa"/>
            <w:noWrap/>
            <w:vAlign w:val="center"/>
          </w:tcPr>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lang w:val="zh-CN"/>
              </w:rPr>
              <w:t>万兴（二期）环保发电厂、成都宝林环保发电厂，每厂配备驻厂技术监督负责人1名，每厂每班（按</w:t>
            </w:r>
            <w:r>
              <w:rPr>
                <w:rFonts w:hint="eastAsia" w:ascii="宋体" w:hAnsi="宋体" w:eastAsia="宋体" w:cs="宋体"/>
                <w:sz w:val="24"/>
                <w:lang w:val="en-US" w:eastAsia="zh-CN"/>
              </w:rPr>
              <w:t>12</w:t>
            </w:r>
            <w:r>
              <w:rPr>
                <w:rFonts w:hint="eastAsia" w:ascii="宋体" w:hAnsi="宋体" w:eastAsia="宋体" w:cs="宋体"/>
                <w:sz w:val="24"/>
                <w:lang w:val="zh-CN"/>
              </w:rPr>
              <w:t>小时计）配备驻厂技术监督人员1名</w:t>
            </w:r>
            <w:r>
              <w:rPr>
                <w:rFonts w:hint="eastAsia" w:ascii="宋体" w:hAnsi="宋体" w:eastAsia="宋体" w:cs="宋体"/>
                <w:sz w:val="24"/>
              </w:rPr>
              <w:t>及以上。</w:t>
            </w:r>
          </w:p>
        </w:tc>
        <w:tc>
          <w:tcPr>
            <w:tcW w:w="3173" w:type="dxa"/>
            <w:noWrap/>
            <w:vAlign w:val="center"/>
          </w:tcPr>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驻厂技术监督负责人须为热能与动力工程或环境工程等专业毕业且具有垃圾焚烧或火力发电行业5年及以上从业经验，熟悉项目工艺流程、安全生产操作规程以及电力、环保行业的法律法规。</w:t>
            </w:r>
          </w:p>
          <w:p>
            <w:pPr>
              <w:widowControl/>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投入本项目现场驻厂人员须为热能与动力工程或环境工程等专业毕业，具有垃圾焚烧或火力发电工作经验且工作满一年及以上。</w:t>
            </w:r>
          </w:p>
        </w:tc>
      </w:tr>
    </w:tbl>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2、现场技术监督工作内容</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（1）基本运营条件监管：重点检查运营方的运营证、许可证、机构设置的合规性、设施设备配置的合理性、运营相关管理制度的完善性、厂内人员资质的全面性。</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计量监管。对每日入厂处理量进行核实并建立数据库，统计污染物排放量及进厂物料数据准确性，监督垃圾地磅计量及联单执行情况，督促运营方定期对地磅、垃圾吊、流量计、压力表等设备进行校验并审核计量系统的巡检/校验报告，督促运营方事先报告这类设备的检查、维护、维修及重新标定等内容。</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运行监管。对运营方生产数据进行统计分析（含生产指标、经济技术指标、耗材使用指标、废物处理指标、设备运行指标等），并采用数据指标结合现场实际情况的方式进行垃圾处理能力、渗沥液处理能力、剩余库容、耗材物料平衡、水平衡、检修必要性等分析，每月进行总结，对异常数据进行预警，为政府管理工作提供技术咨询及建设性意见。针对企业生产工艺特点，按照相关标准、规程的要求，对全厂的设备、系统的运行情况进行全方面的巡检，发现设备缺陷及运营管理问题及时与运营方沟通，督促进行整改并立即上报主管部门，以确保设备的安全稳定运行。现场作业巡查内容包括但不限于车辆入场秩序、跑冒滴漏、进场垃圾种类、垃圾卸料储料管理、灭蝇除臭、设备运行情况（主要包括垃圾焚烧系统、烟气净化系统、发电系统、渗沥液收集处理系统、热力系统、预处理系统、三相分离系统、</w:t>
      </w:r>
      <w:bookmarkStart w:id="0" w:name="_Hlk41660677"/>
      <w:r>
        <w:rPr>
          <w:rFonts w:hint="eastAsia" w:ascii="宋体" w:hAnsi="宋体" w:eastAsia="宋体" w:cs="宋体"/>
          <w:sz w:val="24"/>
        </w:rPr>
        <w:t>厌氧发酵系统、好氧生化处理系统、</w:t>
      </w:r>
      <w:bookmarkEnd w:id="0"/>
      <w:r>
        <w:rPr>
          <w:rFonts w:hint="eastAsia" w:ascii="宋体" w:hAnsi="宋体" w:eastAsia="宋体" w:cs="宋体"/>
          <w:sz w:val="24"/>
        </w:rPr>
        <w:t>除臭系统及在线监测系统等）、设备检定及维护情况等。核查运营方履行《特许经营权协议》情况，并写入每月驻厂监管报告。</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环保监管。核查运营方投加的环保物料质量，结合进货单等对耗材使用统计量进行审核，计算吨垃圾耗材使用量等；监督运营方委托第三方单位对在线监测系统定期比对，结合国家规范要求对校正记录进行核查，同时要求运营方建立故障处理报告制度，审核异常报告；监督运营单位办理运营信息公开事宜，并比对、核实运营单位信息公开数据合理性与正确性；监督第三方环境监测单位采样人员及采样流程规范性，并审核第三方环境监测报告及监测项目费用清单。监督运营方设施设备环保运行情况（包括但不限于焚烧炉及其附属设备工况、垃圾仓负压、渗滤液处理系统、烟气净化系统、厌氧发酵系统、好氧生化处理系统、炉渣、除臭系统、飞灰运输处置填埋系统、三相分离系统等）。</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安全监管。监管人员应定期检查运营单位安全管理制度的建立和执行情况，应定期检查安全设施的有效性、维修检修计划和实际检修状况、以及各类安全台账的登记情况。审核厂内的人员资质和应急预案，并跟踪应急演习情况。每日巡视现场，对现场的人为因素和设备因素的不安全情况进行检查统计。对检修作业、定期工作进行抽查，核实现场作业的规范性，制止违章作业行为并作考核记录。发现安全隐患应要求运营方限期整改并跟踪整改落实情况。监督运营方建设完善的安全生产管理体系，在设施安全隐患排查、应急计划及处置、安全风险防控，安全生产制度落实等方面制定一套行之有效的措施，确保安全生产无事故。</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公共关系。针对应急突发事件，全程跟踪主动介入，参与事件处置，做好舆情防控及应急处置相关工作。参与各厂各类应急预案编制/演练，熟悉各厂应急处置流程。监督运营方信息公开、周边关系维护和环保宣传工作落实情况，同时督促运营方严格落实《保障农民工工资支付条例》有关规定。</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（7）文明生产。检查厂房内外卫生情况，地面清洗和道路保洁是否完善，厂内臭气控制程度以及相关控制措施、现场管理等是否到位。每日抽查卸料车辆，对</w:t>
      </w:r>
      <w:r>
        <w:rPr>
          <w:rFonts w:hint="eastAsia" w:ascii="宋体" w:hAnsi="宋体" w:eastAsia="宋体" w:cs="宋体"/>
          <w:sz w:val="24"/>
          <w:lang w:val="en-US" w:eastAsia="zh-CN"/>
        </w:rPr>
        <w:t>抛</w:t>
      </w:r>
      <w:r>
        <w:rPr>
          <w:rFonts w:hint="eastAsia" w:ascii="宋体" w:hAnsi="宋体" w:eastAsia="宋体" w:cs="宋体"/>
          <w:sz w:val="24"/>
        </w:rPr>
        <w:t>冒滴漏情况及违规车辆进行统计。</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（8）编写驻厂技术监督报告及相关技术报表，按采购人要求参加有关会议，积极配合接受有关部门的检查、考核、调查等工作，根据实际情况和采购人的要求补充完善技术监督的工作内容。</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供应商</w:t>
      </w:r>
      <w:r>
        <w:rPr>
          <w:rFonts w:hint="eastAsia" w:ascii="宋体" w:hAnsi="宋体" w:eastAsia="宋体" w:cs="宋体"/>
          <w:sz w:val="24"/>
        </w:rPr>
        <w:t>编制详细的《技术监督方案》，作为</w:t>
      </w:r>
      <w:r>
        <w:rPr>
          <w:rFonts w:hint="eastAsia" w:ascii="宋体" w:hAnsi="宋体" w:eastAsia="宋体" w:cs="宋体"/>
          <w:sz w:val="24"/>
          <w:lang w:eastAsia="zh-CN"/>
        </w:rPr>
        <w:t>响应文件</w:t>
      </w:r>
      <w:r>
        <w:rPr>
          <w:rFonts w:hint="eastAsia" w:ascii="宋体" w:hAnsi="宋体" w:eastAsia="宋体" w:cs="宋体"/>
          <w:sz w:val="24"/>
        </w:rPr>
        <w:t>的一部分。</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4、技术监督方案设计必须科学合理、真实可行，能充分体现出自身技术和专业优势。其要点和主要内容包括但不限于以下内容：</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依据国家、地方及行业相关的法律法规、技术标准、运行规范，结合相关特许经营权协议，编写《第三方运营监管工作手册》指导监管工作。若在实施过程中，相关法律法规、技术标准、运行规范有更新，则按照最新的执行。</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供应商</w:t>
      </w:r>
      <w:r>
        <w:rPr>
          <w:rFonts w:hint="eastAsia" w:ascii="宋体" w:hAnsi="宋体" w:eastAsia="宋体" w:cs="宋体"/>
          <w:sz w:val="24"/>
        </w:rPr>
        <w:t>开展技术监督服务的具体措施方案。</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供应商</w:t>
      </w:r>
      <w:r>
        <w:rPr>
          <w:rFonts w:hint="eastAsia" w:ascii="宋体" w:hAnsi="宋体" w:eastAsia="宋体" w:cs="宋体"/>
          <w:sz w:val="24"/>
        </w:rPr>
        <w:t>对各技术监督项目任务划分、人员配置、职责分工、工作协调作详细计划，制定技术监督项目管理制度。对监管项目可能存在的技术风险、缺陷做出分析，从专业角度提出相应的解决方案、措施及合理化建议。</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供应商</w:t>
      </w:r>
      <w:r>
        <w:rPr>
          <w:rFonts w:hint="eastAsia" w:ascii="宋体" w:hAnsi="宋体" w:eastAsia="宋体" w:cs="宋体"/>
          <w:sz w:val="24"/>
        </w:rPr>
        <w:t>监督运营方履行《特许经营权协议》的具体措施。</w:t>
      </w:r>
    </w:p>
    <w:p>
      <w:pPr>
        <w:pStyle w:val="5"/>
        <w:adjustRightInd w:val="0"/>
        <w:snapToGrid w:val="0"/>
        <w:spacing w:line="360" w:lineRule="auto"/>
        <w:ind w:firstLine="0" w:firstLineChars="0"/>
        <w:rPr>
          <w:rFonts w:hint="default" w:ascii="宋体" w:hAnsi="宋体" w:eastAsia="宋体" w:cs="宋体"/>
          <w:b/>
          <w:bCs/>
          <w:sz w:val="24"/>
          <w:lang w:val="en-US" w:eastAsia="zh-CN"/>
        </w:rPr>
      </w:pPr>
      <w:r>
        <w:rPr>
          <w:rFonts w:hint="eastAsia" w:ascii="宋体" w:hAnsi="宋体" w:cs="宋体"/>
          <w:b/>
          <w:bCs/>
          <w:sz w:val="24"/>
          <w:highlight w:val="none"/>
          <w:lang w:eastAsia="zh-CN"/>
        </w:rPr>
        <w:t>三</w:t>
      </w:r>
      <w:r>
        <w:rPr>
          <w:rFonts w:hint="eastAsia" w:ascii="宋体" w:hAnsi="宋体" w:cs="宋体"/>
          <w:b/>
          <w:bCs/>
          <w:sz w:val="24"/>
          <w:highlight w:val="none"/>
        </w:rPr>
        <w:t>、商务要求</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实质性要求）</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1.服务时间：</w:t>
      </w:r>
      <w:r>
        <w:rPr>
          <w:rFonts w:hint="eastAsia" w:ascii="宋体" w:hAnsi="宋体" w:eastAsia="宋体" w:cs="宋体"/>
          <w:sz w:val="24"/>
          <w:lang w:val="en-US" w:eastAsia="zh-CN"/>
        </w:rPr>
        <w:t>2022年1月至2023年9月16日</w:t>
      </w:r>
      <w:r>
        <w:rPr>
          <w:rFonts w:hint="eastAsia" w:ascii="宋体" w:hAnsi="宋体" w:eastAsia="宋体" w:cs="宋体"/>
          <w:sz w:val="24"/>
        </w:rPr>
        <w:t>。</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2.踏勘现场：不组织。</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报价：服务商的报价应当包括技术监督服务过程中所需各种设施设备费、工具费、人工费、管理费、交通费、安全防护费、保险、利润、税金等一切费用。本项目采用总价包干方式结算，采购人不支付报价以外的任何费用。</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4.付款：本项目不支付预付款，在财政资金到位的情况下，原则上采购人按</w:t>
      </w:r>
      <w:r>
        <w:rPr>
          <w:rFonts w:hint="eastAsia" w:ascii="宋体" w:hAnsi="宋体" w:eastAsia="宋体" w:cs="宋体"/>
          <w:sz w:val="24"/>
          <w:lang w:val="en-US" w:eastAsia="zh-CN"/>
        </w:rPr>
        <w:t>月</w:t>
      </w:r>
      <w:r>
        <w:rPr>
          <w:rFonts w:hint="eastAsia" w:ascii="宋体" w:hAnsi="宋体" w:eastAsia="宋体" w:cs="宋体"/>
          <w:sz w:val="24"/>
        </w:rPr>
        <w:t>度向</w:t>
      </w:r>
      <w:r>
        <w:rPr>
          <w:rFonts w:hint="eastAsia" w:ascii="宋体" w:hAnsi="宋体" w:eastAsia="宋体" w:cs="宋体"/>
          <w:sz w:val="24"/>
          <w:lang w:eastAsia="zh-CN"/>
        </w:rPr>
        <w:t>成交人</w:t>
      </w:r>
      <w:r>
        <w:rPr>
          <w:rFonts w:hint="eastAsia" w:ascii="宋体" w:hAnsi="宋体" w:eastAsia="宋体" w:cs="宋体"/>
          <w:sz w:val="24"/>
        </w:rPr>
        <w:t>支付服务费；</w:t>
      </w:r>
      <w:r>
        <w:rPr>
          <w:rFonts w:hint="eastAsia" w:ascii="宋体" w:hAnsi="宋体" w:eastAsia="宋体" w:cs="宋体"/>
          <w:sz w:val="24"/>
          <w:lang w:eastAsia="zh-CN"/>
        </w:rPr>
        <w:t>成交人</w:t>
      </w:r>
      <w:r>
        <w:rPr>
          <w:rFonts w:hint="eastAsia" w:ascii="宋体" w:hAnsi="宋体" w:eastAsia="宋体" w:cs="宋体"/>
          <w:sz w:val="24"/>
        </w:rPr>
        <w:t>正常开展服务后，从第二个月开始，每月由采购人对其提供服务情况进行评价考核，采购人依据考核结果，</w:t>
      </w:r>
      <w:r>
        <w:rPr>
          <w:rFonts w:ascii="宋体" w:hAnsi="宋体" w:eastAsia="宋体" w:cs="宋体"/>
          <w:sz w:val="24"/>
          <w:szCs w:val="24"/>
        </w:rPr>
        <w:t>收到成交人对应金额发票后15个工作日内支付上一月服务费。</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5.其它：若因财政计划调整或采购人其它原因或不可抗力等因素取消此项工作或重新</w:t>
      </w:r>
      <w:r>
        <w:rPr>
          <w:rFonts w:hint="eastAsia" w:ascii="宋体" w:hAnsi="宋体" w:eastAsia="宋体" w:cs="宋体"/>
          <w:sz w:val="24"/>
          <w:lang w:eastAsia="zh-CN"/>
        </w:rPr>
        <w:t>采购</w:t>
      </w:r>
      <w:r>
        <w:rPr>
          <w:rFonts w:hint="eastAsia" w:ascii="宋体" w:hAnsi="宋体" w:eastAsia="宋体" w:cs="宋体"/>
          <w:sz w:val="24"/>
        </w:rPr>
        <w:t>，采购人不承担任何责任，</w:t>
      </w:r>
      <w:r>
        <w:rPr>
          <w:rFonts w:hint="eastAsia" w:ascii="宋体" w:hAnsi="宋体" w:eastAsia="宋体" w:cs="宋体"/>
          <w:sz w:val="24"/>
          <w:lang w:eastAsia="zh-CN"/>
        </w:rPr>
        <w:t>成交</w:t>
      </w:r>
      <w:r>
        <w:rPr>
          <w:rFonts w:hint="eastAsia" w:ascii="宋体" w:hAnsi="宋体" w:eastAsia="宋体" w:cs="宋体"/>
          <w:sz w:val="24"/>
        </w:rPr>
        <w:t>服务商不得向采购人主张权利。</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rPr>
        <w:t>履约保证金：</w:t>
      </w:r>
      <w:r>
        <w:rPr>
          <w:rFonts w:hint="eastAsia" w:ascii="宋体" w:hAnsi="宋体" w:eastAsia="宋体" w:cs="宋体"/>
          <w:sz w:val="24"/>
          <w:lang w:eastAsia="zh-CN"/>
        </w:rPr>
        <w:t>成交</w:t>
      </w:r>
      <w:r>
        <w:rPr>
          <w:rFonts w:hint="eastAsia" w:ascii="宋体" w:hAnsi="宋体" w:eastAsia="宋体" w:cs="宋体"/>
          <w:sz w:val="24"/>
        </w:rPr>
        <w:t>金额:5%，</w:t>
      </w:r>
      <w:r>
        <w:rPr>
          <w:rFonts w:hint="eastAsia" w:ascii="宋体" w:hAnsi="宋体" w:eastAsia="宋体" w:cs="宋体"/>
          <w:sz w:val="24"/>
          <w:lang w:val="en-US" w:eastAsia="zh-CN"/>
        </w:rPr>
        <w:t>合同签订前</w:t>
      </w:r>
      <w:r>
        <w:rPr>
          <w:rFonts w:hint="eastAsia" w:ascii="宋体" w:hAnsi="宋体" w:eastAsia="宋体" w:cs="宋体"/>
          <w:sz w:val="24"/>
        </w:rPr>
        <w:t>以银行转账方式支付到采购人账户；</w:t>
      </w:r>
    </w:p>
    <w:p>
      <w:pPr>
        <w:spacing w:line="440" w:lineRule="exact"/>
        <w:ind w:firstLine="480" w:firstLineChars="200"/>
        <w:rPr>
          <w:rFonts w:hint="eastAsia"/>
        </w:rPr>
      </w:pPr>
      <w:r>
        <w:rPr>
          <w:rFonts w:hint="eastAsia" w:ascii="宋体" w:hAnsi="宋体" w:eastAsia="宋体" w:cs="宋体"/>
          <w:sz w:val="24"/>
          <w:lang w:val="en-US" w:eastAsia="zh-CN"/>
        </w:rPr>
        <w:t>7.</w:t>
      </w:r>
      <w:r>
        <w:rPr>
          <w:rFonts w:hint="eastAsia" w:ascii="宋体" w:hAnsi="宋体" w:eastAsia="宋体" w:cs="宋体"/>
          <w:sz w:val="24"/>
        </w:rPr>
        <w:t>履约保证金退还：合同终止后，经采购人确认交接清楚，15 个工作内退还原账户（不计利息）。</w:t>
      </w:r>
    </w:p>
    <w:p>
      <w:pPr>
        <w:pStyle w:val="5"/>
        <w:adjustRightInd w:val="0"/>
        <w:snapToGrid w:val="0"/>
        <w:spacing w:line="360" w:lineRule="auto"/>
        <w:ind w:firstLine="0" w:firstLineChars="0"/>
        <w:rPr>
          <w:rFonts w:hint="eastAsia" w:ascii="宋体" w:hAnsi="宋体" w:eastAsia="宋体" w:cs="宋体"/>
          <w:b/>
          <w:bCs/>
          <w:sz w:val="24"/>
          <w:lang w:eastAsia="zh-CN"/>
        </w:rPr>
      </w:pPr>
      <w:r>
        <w:rPr>
          <w:rFonts w:hint="eastAsia" w:ascii="宋体" w:hAnsi="宋体" w:eastAsia="宋体" w:cs="宋体"/>
          <w:b/>
          <w:bCs/>
          <w:sz w:val="24"/>
          <w:lang w:eastAsia="zh-CN"/>
        </w:rPr>
        <w:t>四、考核标准</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（1）月考核评分≥90分，不扣减上月服务款（月服务款为合同总金额的月平均数）；</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（2）90分﹥月考核评分≥80分，得分与90分之差值每1分扣减2000元；</w:t>
      </w:r>
    </w:p>
    <w:p>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（3）80分﹥月考核评分≥70分，得分与90分之差值每1分扣减5000元；</w:t>
      </w:r>
    </w:p>
    <w:p>
      <w:pPr>
        <w:widowControl/>
        <w:numPr>
          <w:ilvl w:val="0"/>
          <w:numId w:val="2"/>
        </w:num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月考核评分﹤70分，不支付上月服务款。</w:t>
      </w: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p>
    <w:p>
      <w:pPr>
        <w:spacing w:line="440" w:lineRule="exact"/>
        <w:ind w:firstLine="643" w:firstLineChars="200"/>
        <w:jc w:val="center"/>
        <w:rPr>
          <w:rFonts w:hint="eastAsia"/>
          <w:b/>
          <w:bCs/>
          <w:sz w:val="32"/>
          <w:szCs w:val="32"/>
        </w:rPr>
      </w:pPr>
      <w:r>
        <w:rPr>
          <w:rFonts w:hint="eastAsia"/>
          <w:b/>
          <w:bCs/>
          <w:sz w:val="32"/>
          <w:szCs w:val="32"/>
        </w:rPr>
        <w:t>月考核评分标准</w:t>
      </w:r>
    </w:p>
    <w:p>
      <w:pPr>
        <w:pStyle w:val="6"/>
      </w:pPr>
    </w:p>
    <w:tbl>
      <w:tblPr>
        <w:tblStyle w:val="8"/>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533"/>
        <w:gridCol w:w="2578"/>
        <w:gridCol w:w="721"/>
        <w:gridCol w:w="123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1" w:type="pct"/>
            <w:noWrap w:val="0"/>
            <w:vAlign w:val="top"/>
          </w:tcPr>
          <w:p>
            <w:pPr>
              <w:rPr>
                <w:rFonts w:ascii="宋体" w:hAnsi="宋体"/>
                <w:b/>
                <w:sz w:val="24"/>
                <w:szCs w:val="24"/>
              </w:rPr>
            </w:pPr>
            <w:r>
              <w:rPr>
                <w:rFonts w:hint="eastAsia" w:ascii="宋体" w:hAnsi="宋体"/>
                <w:b/>
                <w:sz w:val="24"/>
                <w:szCs w:val="24"/>
              </w:rPr>
              <w:t>项目</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 w:val="24"/>
                <w:szCs w:val="24"/>
              </w:rPr>
            </w:pPr>
            <w:r>
              <w:rPr>
                <w:rFonts w:hint="eastAsia" w:ascii="宋体" w:hAnsi="宋体"/>
                <w:b/>
                <w:sz w:val="24"/>
                <w:szCs w:val="24"/>
              </w:rPr>
              <w:t>监管要求</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 w:val="24"/>
                <w:szCs w:val="24"/>
              </w:rPr>
            </w:pPr>
            <w:r>
              <w:rPr>
                <w:rFonts w:hint="eastAsia" w:ascii="宋体" w:hAnsi="宋体"/>
                <w:b/>
                <w:sz w:val="24"/>
                <w:szCs w:val="24"/>
              </w:rPr>
              <w:t>评分标准</w:t>
            </w:r>
          </w:p>
        </w:tc>
        <w:tc>
          <w:tcPr>
            <w:tcW w:w="395" w:type="pct"/>
            <w:noWrap w:val="0"/>
            <w:vAlign w:val="top"/>
          </w:tcPr>
          <w:p>
            <w:pPr>
              <w:jc w:val="center"/>
              <w:rPr>
                <w:rFonts w:ascii="宋体" w:hAnsi="宋体"/>
                <w:b/>
                <w:sz w:val="24"/>
                <w:szCs w:val="24"/>
              </w:rPr>
            </w:pPr>
            <w:r>
              <w:rPr>
                <w:rFonts w:hint="eastAsia" w:ascii="宋体" w:hAnsi="宋体"/>
                <w:b/>
                <w:sz w:val="24"/>
                <w:szCs w:val="24"/>
              </w:rPr>
              <w:t>扣分</w:t>
            </w:r>
          </w:p>
        </w:tc>
        <w:tc>
          <w:tcPr>
            <w:tcW w:w="678" w:type="pct"/>
            <w:noWrap w:val="0"/>
            <w:vAlign w:val="top"/>
          </w:tcPr>
          <w:p>
            <w:pPr>
              <w:jc w:val="center"/>
              <w:rPr>
                <w:rFonts w:ascii="宋体" w:hAnsi="宋体"/>
                <w:b/>
                <w:sz w:val="24"/>
                <w:szCs w:val="24"/>
              </w:rPr>
            </w:pPr>
            <w:r>
              <w:rPr>
                <w:rFonts w:hint="eastAsia" w:ascii="宋体" w:hAnsi="宋体"/>
                <w:b/>
                <w:sz w:val="24"/>
                <w:szCs w:val="24"/>
              </w:rPr>
              <w:t>扣减理由</w:t>
            </w:r>
          </w:p>
        </w:tc>
        <w:tc>
          <w:tcPr>
            <w:tcW w:w="434" w:type="pct"/>
            <w:noWrap w:val="0"/>
            <w:vAlign w:val="center"/>
          </w:tcPr>
          <w:p>
            <w:pPr>
              <w:jc w:val="center"/>
              <w:rPr>
                <w:rFonts w:ascii="宋体" w:hAnsi="宋体"/>
                <w:b/>
                <w:sz w:val="24"/>
                <w:szCs w:val="24"/>
              </w:rPr>
            </w:pPr>
            <w:r>
              <w:rPr>
                <w:rFonts w:hint="eastAsia" w:ascii="宋体" w:hAnsi="宋体"/>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91" w:type="pct"/>
            <w:noWrap w:val="0"/>
            <w:vAlign w:val="center"/>
          </w:tcPr>
          <w:p>
            <w:pPr>
              <w:spacing w:line="260" w:lineRule="exact"/>
              <w:jc w:val="center"/>
              <w:rPr>
                <w:rFonts w:ascii="宋体" w:hAnsi="宋体"/>
                <w:sz w:val="24"/>
                <w:szCs w:val="24"/>
              </w:rPr>
            </w:pPr>
            <w:r>
              <w:rPr>
                <w:rFonts w:hint="eastAsia" w:ascii="宋体" w:hAnsi="宋体"/>
                <w:sz w:val="24"/>
                <w:szCs w:val="24"/>
              </w:rPr>
              <w:t>一、基本要求</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eastAsia="zh-CN"/>
              </w:rPr>
            </w:pPr>
            <w:r>
              <w:rPr>
                <w:rFonts w:ascii="宋体" w:hAnsi="宋体" w:cs="宋体"/>
                <w:kern w:val="0"/>
                <w:sz w:val="24"/>
                <w:szCs w:val="24"/>
              </w:rPr>
              <w:t>1</w:t>
            </w:r>
            <w:r>
              <w:rPr>
                <w:rFonts w:hint="eastAsia" w:ascii="宋体" w:hAnsi="宋体" w:cs="宋体"/>
                <w:kern w:val="0"/>
                <w:sz w:val="24"/>
                <w:szCs w:val="24"/>
              </w:rPr>
              <w:t>、人员安排与</w:t>
            </w:r>
            <w:r>
              <w:rPr>
                <w:rFonts w:hint="eastAsia" w:ascii="宋体" w:hAnsi="宋体" w:cs="宋体"/>
                <w:kern w:val="0"/>
                <w:sz w:val="24"/>
                <w:szCs w:val="24"/>
                <w:lang w:eastAsia="zh-CN"/>
              </w:rPr>
              <w:t>响应文件</w:t>
            </w:r>
            <w:r>
              <w:rPr>
                <w:rFonts w:hint="eastAsia" w:ascii="宋体" w:hAnsi="宋体" w:cs="宋体"/>
                <w:kern w:val="0"/>
                <w:sz w:val="24"/>
                <w:szCs w:val="24"/>
              </w:rPr>
              <w:t>一致</w:t>
            </w:r>
            <w:r>
              <w:rPr>
                <w:rFonts w:hint="eastAsia" w:ascii="宋体" w:hAnsi="宋体" w:cs="宋体"/>
                <w:kern w:val="0"/>
                <w:sz w:val="24"/>
                <w:szCs w:val="24"/>
                <w:lang w:eastAsia="zh-CN"/>
              </w:rPr>
              <w:t>。</w:t>
            </w:r>
            <w:r>
              <w:rPr>
                <w:rFonts w:hint="eastAsia" w:ascii="宋体" w:hAnsi="宋体" w:cs="宋体"/>
                <w:kern w:val="0"/>
                <w:sz w:val="24"/>
                <w:szCs w:val="24"/>
              </w:rPr>
              <w:t>2、</w:t>
            </w:r>
            <w:r>
              <w:rPr>
                <w:rFonts w:hint="eastAsia" w:ascii="宋体" w:hAnsi="宋体" w:cs="宋体"/>
                <w:bCs/>
                <w:sz w:val="24"/>
                <w:szCs w:val="24"/>
              </w:rPr>
              <w:t>驻厂技术监督</w:t>
            </w:r>
            <w:r>
              <w:rPr>
                <w:rFonts w:hint="eastAsia" w:ascii="宋体" w:hAnsi="宋体" w:cs="宋体"/>
                <w:sz w:val="24"/>
                <w:szCs w:val="24"/>
              </w:rPr>
              <w:t>负责人工作日9：0</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17</w:t>
            </w:r>
            <w:r>
              <w:rPr>
                <w:rFonts w:hint="eastAsia" w:ascii="宋体" w:hAnsi="宋体" w:cs="宋体"/>
                <w:sz w:val="24"/>
                <w:szCs w:val="24"/>
              </w:rPr>
              <w:t>:</w:t>
            </w:r>
            <w:r>
              <w:rPr>
                <w:rFonts w:ascii="宋体" w:hAnsi="宋体" w:cs="宋体"/>
                <w:sz w:val="24"/>
                <w:szCs w:val="24"/>
              </w:rPr>
              <w:t>00</w:t>
            </w:r>
            <w:r>
              <w:rPr>
                <w:rFonts w:hint="eastAsia" w:ascii="宋体" w:hAnsi="宋体" w:cs="宋体"/>
                <w:sz w:val="24"/>
                <w:szCs w:val="24"/>
              </w:rPr>
              <w:t>必须驻厂工作，</w:t>
            </w:r>
            <w:r>
              <w:rPr>
                <w:rFonts w:hint="eastAsia" w:ascii="宋体" w:hAnsi="宋体" w:cs="宋体"/>
                <w:kern w:val="0"/>
                <w:sz w:val="24"/>
                <w:szCs w:val="24"/>
              </w:rPr>
              <w:t>驻厂技术监督人员24小时不间断全天候驻厂技术监督，所有人员</w:t>
            </w:r>
            <w:r>
              <w:rPr>
                <w:rFonts w:hint="eastAsia" w:ascii="宋体" w:hAnsi="宋体"/>
                <w:sz w:val="24"/>
                <w:szCs w:val="24"/>
              </w:rPr>
              <w:t>无条件配合采购人日常监管工作</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bCs/>
                <w:sz w:val="24"/>
                <w:szCs w:val="24"/>
                <w:lang w:eastAsia="zh-CN"/>
              </w:rPr>
            </w:pPr>
            <w:r>
              <w:rPr>
                <w:rFonts w:hint="eastAsia" w:ascii="宋体" w:hAnsi="宋体" w:cs="宋体"/>
                <w:kern w:val="0"/>
                <w:sz w:val="24"/>
                <w:szCs w:val="24"/>
              </w:rPr>
              <w:t>3、</w:t>
            </w:r>
            <w:r>
              <w:rPr>
                <w:rFonts w:hint="eastAsia" w:ascii="宋体" w:hAnsi="宋体"/>
                <w:bCs/>
                <w:sz w:val="24"/>
                <w:szCs w:val="24"/>
              </w:rPr>
              <w:t>对处理设施设备重点部位、重要环节、安全生产状况定时巡查、记录</w:t>
            </w:r>
            <w:r>
              <w:rPr>
                <w:rFonts w:hint="eastAsia" w:ascii="宋体" w:hAnsi="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cs="宋体"/>
                <w:kern w:val="0"/>
                <w:sz w:val="24"/>
                <w:szCs w:val="24"/>
              </w:rPr>
              <w:t>4、积极配合接受有关部门的检查、考核、调查等工作。</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eastAsia="宋体" w:cs="Times New Roman"/>
                <w:sz w:val="24"/>
                <w:szCs w:val="24"/>
              </w:rPr>
              <w:t>未按要求配合日常监管机构工作，每发现一次扣5分；若发现人员与</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中不一致（未报采购人许可），每发现一次扣5分；若发现驻</w:t>
            </w:r>
            <w:r>
              <w:rPr>
                <w:rFonts w:hint="eastAsia" w:ascii="宋体" w:hAnsi="宋体" w:eastAsia="宋体" w:cs="宋体"/>
                <w:kern w:val="0"/>
                <w:sz w:val="24"/>
                <w:szCs w:val="24"/>
              </w:rPr>
              <w:t>厂技术监督负责人不在岗，每发现一次扣3分，驻厂技术监督人员不在岗，每发现一次扣2分；巡查记录不全，每发现一次扣2分，记录不真实，每发现一次扣5分；不配合有关部门的检查、考核、调查等工作的每发生一次扣5分。</w:t>
            </w:r>
          </w:p>
        </w:tc>
        <w:tc>
          <w:tcPr>
            <w:tcW w:w="395" w:type="pct"/>
            <w:noWrap w:val="0"/>
            <w:vAlign w:val="center"/>
          </w:tcPr>
          <w:p>
            <w:pPr>
              <w:jc w:val="center"/>
              <w:rPr>
                <w:rFonts w:ascii="宋体" w:hAnsi="宋体"/>
                <w:szCs w:val="21"/>
              </w:rPr>
            </w:pPr>
          </w:p>
        </w:tc>
        <w:tc>
          <w:tcPr>
            <w:tcW w:w="678" w:type="pct"/>
            <w:noWrap w:val="0"/>
            <w:vAlign w:val="top"/>
          </w:tcPr>
          <w:p>
            <w:pPr>
              <w:jc w:val="center"/>
              <w:rPr>
                <w:rFonts w:ascii="宋体" w:hAnsi="宋体"/>
                <w:szCs w:val="21"/>
              </w:rPr>
            </w:pPr>
          </w:p>
        </w:tc>
        <w:tc>
          <w:tcPr>
            <w:tcW w:w="434" w:type="pct"/>
            <w:noWrap w:val="0"/>
            <w:vAlign w:val="center"/>
          </w:tcPr>
          <w:p>
            <w:pPr>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spacing w:line="260" w:lineRule="exact"/>
              <w:jc w:val="center"/>
              <w:rPr>
                <w:rFonts w:ascii="宋体" w:hAnsi="宋体"/>
                <w:sz w:val="24"/>
                <w:szCs w:val="24"/>
              </w:rPr>
            </w:pPr>
            <w:r>
              <w:rPr>
                <w:rFonts w:hint="eastAsia" w:ascii="宋体" w:hAnsi="宋体"/>
                <w:sz w:val="24"/>
                <w:szCs w:val="24"/>
              </w:rPr>
              <w:t>二、计量监管</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4"/>
                <w:szCs w:val="24"/>
                <w:lang w:eastAsia="zh-CN"/>
              </w:rPr>
            </w:pPr>
            <w:r>
              <w:rPr>
                <w:rFonts w:hint="eastAsia" w:ascii="宋体" w:hAnsi="宋体" w:cs="宋体"/>
                <w:kern w:val="0"/>
                <w:sz w:val="24"/>
                <w:szCs w:val="24"/>
              </w:rPr>
              <w:t>1、</w:t>
            </w:r>
            <w:r>
              <w:rPr>
                <w:rFonts w:hint="eastAsia" w:ascii="宋体" w:hAnsi="宋体" w:cs="宋体"/>
                <w:bCs/>
                <w:sz w:val="24"/>
                <w:szCs w:val="24"/>
              </w:rPr>
              <w:t>对每日进厂垃圾处理量进行核实，并形成书面记录</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4"/>
                <w:szCs w:val="24"/>
                <w:lang w:eastAsia="zh-CN"/>
              </w:rPr>
            </w:pPr>
            <w:r>
              <w:rPr>
                <w:rFonts w:hint="eastAsia" w:ascii="宋体" w:hAnsi="宋体" w:cs="宋体"/>
                <w:bCs/>
                <w:sz w:val="24"/>
                <w:szCs w:val="24"/>
              </w:rPr>
              <w:t>2、统计污染物排放量及进厂物料数据及其准确性</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4"/>
                <w:szCs w:val="24"/>
                <w:lang w:eastAsia="zh-CN"/>
              </w:rPr>
            </w:pPr>
            <w:r>
              <w:rPr>
                <w:rFonts w:hint="eastAsia" w:ascii="宋体" w:hAnsi="宋体" w:cs="宋体"/>
                <w:bCs/>
                <w:sz w:val="24"/>
                <w:szCs w:val="24"/>
              </w:rPr>
              <w:t>3、建立数据库对垃圾处理量、污染物排放量及进厂物料等进行统计分析</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4"/>
                <w:szCs w:val="24"/>
                <w:lang w:eastAsia="zh-CN"/>
              </w:rPr>
            </w:pPr>
            <w:r>
              <w:rPr>
                <w:rFonts w:hint="eastAsia" w:ascii="宋体" w:hAnsi="宋体" w:cs="宋体"/>
                <w:bCs/>
                <w:sz w:val="24"/>
                <w:szCs w:val="24"/>
              </w:rPr>
              <w:t>4、监督垃圾地磅计量及联单执行情况</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kern w:val="0"/>
                <w:sz w:val="24"/>
                <w:szCs w:val="24"/>
              </w:rPr>
            </w:pPr>
            <w:r>
              <w:rPr>
                <w:rFonts w:hint="eastAsia" w:ascii="宋体" w:hAnsi="宋体" w:cs="宋体"/>
                <w:bCs/>
                <w:sz w:val="24"/>
                <w:szCs w:val="24"/>
              </w:rPr>
              <w:t>5、督促运营方定期对地磅、垃圾吊、流量计、压力表等设备进行校验并审核计量系统的巡检/校验报告。</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sz w:val="24"/>
                <w:szCs w:val="24"/>
              </w:rPr>
              <w:t>若不按期进行检查，每发现一次扣2分；若对发现的问题没有提出整改意见的，每发现一次扣4分；若没督促完成整改的，每发现一次扣4分；若按期进行检查未发现问题，但被相关职能部门或日常监管机构巡查发现存在问题，每发生一次扣5分。</w:t>
            </w:r>
          </w:p>
        </w:tc>
        <w:tc>
          <w:tcPr>
            <w:tcW w:w="395" w:type="pct"/>
            <w:noWrap w:val="0"/>
            <w:vAlign w:val="top"/>
          </w:tcPr>
          <w:p>
            <w:pPr>
              <w:jc w:val="center"/>
              <w:rPr>
                <w:rFonts w:ascii="宋体" w:hAnsi="宋体"/>
                <w:szCs w:val="21"/>
              </w:rPr>
            </w:pPr>
          </w:p>
        </w:tc>
        <w:tc>
          <w:tcPr>
            <w:tcW w:w="678" w:type="pct"/>
            <w:noWrap w:val="0"/>
            <w:vAlign w:val="top"/>
          </w:tcPr>
          <w:p>
            <w:pPr>
              <w:jc w:val="center"/>
              <w:rPr>
                <w:rFonts w:ascii="宋体" w:hAnsi="宋体"/>
                <w:szCs w:val="21"/>
              </w:rPr>
            </w:pPr>
          </w:p>
        </w:tc>
        <w:tc>
          <w:tcPr>
            <w:tcW w:w="434" w:type="pct"/>
            <w:noWrap w:val="0"/>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spacing w:line="260" w:lineRule="exact"/>
              <w:jc w:val="center"/>
              <w:rPr>
                <w:rFonts w:ascii="宋体" w:hAnsi="宋体"/>
                <w:sz w:val="24"/>
                <w:szCs w:val="24"/>
              </w:rPr>
            </w:pPr>
            <w:r>
              <w:rPr>
                <w:rFonts w:hint="eastAsia" w:ascii="宋体" w:hAnsi="宋体"/>
                <w:sz w:val="24"/>
                <w:szCs w:val="24"/>
              </w:rPr>
              <w:t>三、运行监管</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1、统计分析对运营方生产数据，并采用数据指标结合现场实际情况的方式进行垃圾处理能力、渗沥液处理能力、剩余库容、耗材物料平衡、水平衡、检修必要性等分析，每月进行总结，对异常数据进行预警</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2、针对企业生产工艺特点，按照相关标准、规程的要求，对全厂的设备、系统的运行情况进行全方面的巡检，发现设备缺陷及运营管理问题及时与运营方沟通，督促进行整改并立即上报主管部门，以确保设备的安全稳定运行</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3、巡查车辆入场秩序、车容车貌、有无跑冒滴漏、进场垃圾种类等，形成书面记录，并及时上报存在问题</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4、巡查项目垃圾卸料储料管理、灭蝇除臭、设备检定及维护等情况，形成书面记录，并及时上报存在问题</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kern w:val="0"/>
                <w:sz w:val="24"/>
                <w:szCs w:val="24"/>
              </w:rPr>
            </w:pPr>
            <w:r>
              <w:rPr>
                <w:rFonts w:hint="eastAsia" w:ascii="宋体" w:hAnsi="宋体" w:cs="宋体"/>
                <w:bCs/>
                <w:sz w:val="24"/>
                <w:szCs w:val="24"/>
              </w:rPr>
              <w:t>5、</w:t>
            </w:r>
            <w:r>
              <w:rPr>
                <w:rFonts w:hint="eastAsia" w:ascii="宋体" w:hAnsi="宋体"/>
                <w:bCs/>
                <w:sz w:val="24"/>
                <w:szCs w:val="24"/>
              </w:rPr>
              <w:t>及时通报突发事件，督促并协助厂方妥善处置。</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sz w:val="24"/>
                <w:szCs w:val="24"/>
              </w:rPr>
              <w:t>若每月未做统计分析扣2分；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sz w:val="24"/>
                <w:szCs w:val="24"/>
              </w:rPr>
              <w:t>若未及时发现、上报企业设备缺陷及运营管理问题的每发现一次扣2分；若巡查内容未形成书面记录或记录不完整的每发现一次2分，</w:t>
            </w:r>
            <w:r>
              <w:rPr>
                <w:rFonts w:hint="eastAsia" w:ascii="宋体" w:hAnsi="宋体" w:cs="宋体"/>
                <w:bCs/>
                <w:sz w:val="24"/>
                <w:szCs w:val="24"/>
              </w:rPr>
              <w:t>未及时上报存在问题或突发事件的每发现一次扣3分。</w:t>
            </w:r>
          </w:p>
        </w:tc>
        <w:tc>
          <w:tcPr>
            <w:tcW w:w="395" w:type="pct"/>
            <w:noWrap w:val="0"/>
            <w:vAlign w:val="top"/>
          </w:tcPr>
          <w:p>
            <w:pPr>
              <w:jc w:val="center"/>
              <w:rPr>
                <w:rFonts w:ascii="宋体" w:hAnsi="宋体"/>
                <w:szCs w:val="21"/>
              </w:rPr>
            </w:pPr>
          </w:p>
        </w:tc>
        <w:tc>
          <w:tcPr>
            <w:tcW w:w="678" w:type="pct"/>
            <w:noWrap w:val="0"/>
            <w:vAlign w:val="top"/>
          </w:tcPr>
          <w:p>
            <w:pPr>
              <w:jc w:val="center"/>
              <w:rPr>
                <w:rFonts w:ascii="宋体" w:hAnsi="宋体"/>
                <w:szCs w:val="21"/>
              </w:rPr>
            </w:pPr>
          </w:p>
        </w:tc>
        <w:tc>
          <w:tcPr>
            <w:tcW w:w="434" w:type="pct"/>
            <w:noWrap w:val="0"/>
            <w:vAlign w:val="center"/>
          </w:tcPr>
          <w:p>
            <w:pPr>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pct"/>
            <w:noWrap w:val="0"/>
            <w:vAlign w:val="center"/>
          </w:tcPr>
          <w:p>
            <w:pPr>
              <w:spacing w:line="260" w:lineRule="exact"/>
              <w:jc w:val="center"/>
              <w:rPr>
                <w:rFonts w:ascii="宋体" w:hAnsi="宋体"/>
                <w:sz w:val="24"/>
                <w:szCs w:val="24"/>
              </w:rPr>
            </w:pPr>
            <w:r>
              <w:rPr>
                <w:rFonts w:hint="eastAsia" w:ascii="宋体" w:hAnsi="宋体"/>
                <w:sz w:val="24"/>
                <w:szCs w:val="24"/>
              </w:rPr>
              <w:t>四、环保监管</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4"/>
                <w:szCs w:val="24"/>
                <w:lang w:eastAsia="zh-CN"/>
              </w:rPr>
            </w:pPr>
            <w:r>
              <w:rPr>
                <w:rFonts w:ascii="宋体" w:hAnsi="宋体" w:cs="宋体"/>
                <w:bCs/>
                <w:sz w:val="24"/>
                <w:szCs w:val="24"/>
              </w:rPr>
              <w:t>1</w:t>
            </w:r>
            <w:r>
              <w:rPr>
                <w:rFonts w:hint="eastAsia" w:ascii="宋体" w:hAnsi="宋体" w:cs="宋体"/>
                <w:bCs/>
                <w:sz w:val="24"/>
                <w:szCs w:val="24"/>
              </w:rPr>
              <w:t>、监督运营方设施设备环保运行情况</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4"/>
                <w:szCs w:val="24"/>
                <w:lang w:eastAsia="zh-CN"/>
              </w:rPr>
            </w:pPr>
            <w:r>
              <w:rPr>
                <w:rFonts w:hint="eastAsia" w:ascii="宋体" w:hAnsi="宋体" w:cs="宋体"/>
                <w:bCs/>
                <w:sz w:val="24"/>
                <w:szCs w:val="24"/>
              </w:rPr>
              <w:t>2、巡查在线环保监测系统，将巡查情况记录在案，有异常情况及时上报</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ascii="宋体" w:hAnsi="宋体" w:cs="宋体"/>
                <w:bCs/>
                <w:sz w:val="24"/>
                <w:szCs w:val="24"/>
              </w:rPr>
              <w:t>3</w:t>
            </w:r>
            <w:r>
              <w:rPr>
                <w:rFonts w:hint="eastAsia" w:ascii="宋体" w:hAnsi="宋体" w:cs="宋体"/>
                <w:bCs/>
                <w:sz w:val="24"/>
                <w:szCs w:val="24"/>
              </w:rPr>
              <w:t>、监督第三方环境监测单位采样人员及采样流程规范性，并审核第三方环境监测报告及监测项目费用清单。</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sz w:val="24"/>
                <w:szCs w:val="24"/>
              </w:rPr>
              <w:t>未按要求巡查每发现一次扣3分；若巡查不全或不实每发现一次扣3分；未及时上报异常情况每发现一次扣3分；未做好采样监督工作每发现一次扣2分，若未发现环境监测报告中存在的错误，每发现一次扣5分；未发现监测项目费用清单中存在的错误，每发现一次扣5分。</w:t>
            </w:r>
          </w:p>
        </w:tc>
        <w:tc>
          <w:tcPr>
            <w:tcW w:w="395" w:type="pct"/>
            <w:noWrap w:val="0"/>
            <w:vAlign w:val="top"/>
          </w:tcPr>
          <w:p>
            <w:pPr>
              <w:jc w:val="center"/>
              <w:rPr>
                <w:rFonts w:ascii="宋体" w:hAnsi="宋体"/>
                <w:szCs w:val="21"/>
              </w:rPr>
            </w:pPr>
          </w:p>
        </w:tc>
        <w:tc>
          <w:tcPr>
            <w:tcW w:w="678" w:type="pct"/>
            <w:noWrap w:val="0"/>
            <w:vAlign w:val="top"/>
          </w:tcPr>
          <w:p>
            <w:pPr>
              <w:jc w:val="center"/>
              <w:rPr>
                <w:rFonts w:ascii="宋体" w:hAnsi="宋体"/>
                <w:szCs w:val="21"/>
              </w:rPr>
            </w:pPr>
          </w:p>
        </w:tc>
        <w:tc>
          <w:tcPr>
            <w:tcW w:w="434" w:type="pct"/>
            <w:noWrap w:val="0"/>
            <w:vAlign w:val="center"/>
          </w:tcPr>
          <w:p>
            <w:pPr>
              <w:jc w:val="center"/>
              <w:rPr>
                <w:rFonts w:ascii="宋体" w:hAnsi="宋体"/>
                <w:szCs w:val="21"/>
              </w:rPr>
            </w:pPr>
            <w:r>
              <w:rPr>
                <w:rFonts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91" w:type="pct"/>
            <w:noWrap w:val="0"/>
            <w:vAlign w:val="center"/>
          </w:tcPr>
          <w:p>
            <w:pPr>
              <w:spacing w:line="260" w:lineRule="exact"/>
              <w:jc w:val="center"/>
              <w:rPr>
                <w:rFonts w:ascii="宋体" w:hAnsi="宋体"/>
                <w:sz w:val="24"/>
                <w:szCs w:val="24"/>
              </w:rPr>
            </w:pPr>
            <w:r>
              <w:rPr>
                <w:rFonts w:hint="eastAsia" w:ascii="宋体" w:hAnsi="宋体"/>
                <w:sz w:val="24"/>
                <w:szCs w:val="24"/>
              </w:rPr>
              <w:t>五、安全稳定</w:t>
            </w:r>
            <w:r>
              <w:rPr>
                <w:rFonts w:hint="eastAsia" w:ascii="宋体" w:hAnsi="宋体"/>
                <w:sz w:val="24"/>
                <w:szCs w:val="24"/>
                <w:lang w:val="en-US" w:eastAsia="zh-CN"/>
              </w:rPr>
              <w:t xml:space="preserve">  </w:t>
            </w:r>
            <w:r>
              <w:rPr>
                <w:rFonts w:hint="eastAsia" w:ascii="宋体" w:hAnsi="宋体"/>
                <w:sz w:val="24"/>
                <w:szCs w:val="24"/>
              </w:rPr>
              <w:t>生产监管</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1、定期检查运营单位安全管理制度的建立和执行情况、安全设施的有效性、维修检修计划、实际检修状况、各类安全台账的登记情况并做好书面记录</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2、审核厂内的人员资质和应急预案，并跟踪应急演习情况。每日巡视现场，对现场的人为因素和设备因素的不安全情况进行检查统计并及时上报</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hint="eastAsia" w:ascii="宋体" w:hAnsi="宋体" w:cs="宋体"/>
                <w:bCs/>
                <w:sz w:val="24"/>
                <w:szCs w:val="24"/>
              </w:rPr>
              <w:t>3、定期抽查现场作业的规范性，制止违章作业行为并作考核记录</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sz w:val="24"/>
                <w:szCs w:val="24"/>
              </w:rPr>
            </w:pPr>
            <w:r>
              <w:rPr>
                <w:rFonts w:hint="eastAsia" w:ascii="宋体" w:hAnsi="宋体" w:cs="宋体"/>
                <w:bCs/>
                <w:sz w:val="24"/>
                <w:szCs w:val="24"/>
              </w:rPr>
              <w:t>4、发现安全隐患应要求运营方限期整改并跟踪整改落实情况。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eastAsia="zh-CN"/>
              </w:rPr>
            </w:pPr>
            <w:r>
              <w:rPr>
                <w:rFonts w:ascii="宋体" w:hAnsi="宋体" w:cs="宋体"/>
                <w:bCs/>
                <w:sz w:val="24"/>
                <w:szCs w:val="24"/>
              </w:rPr>
              <w:t>5</w:t>
            </w:r>
            <w:r>
              <w:rPr>
                <w:rFonts w:hint="eastAsia" w:ascii="宋体" w:hAnsi="宋体" w:cs="宋体"/>
                <w:bCs/>
                <w:sz w:val="24"/>
                <w:szCs w:val="24"/>
              </w:rPr>
              <w:t>、督促运营方严格落实《保障农民工工资支付条例》相关规定并做好书面记录</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szCs w:val="24"/>
              </w:rPr>
            </w:pPr>
            <w:r>
              <w:rPr>
                <w:rFonts w:hint="eastAsia" w:ascii="宋体" w:hAnsi="宋体" w:cs="宋体"/>
                <w:bCs/>
                <w:sz w:val="24"/>
                <w:szCs w:val="24"/>
              </w:rPr>
              <w:t>6、针对应急突发事件，全程跟踪主动介入，参与事件处置，做好舆情防控及应急处置相关工作。参与各厂各类应急预案编制/演练，熟悉各厂应急处置流程。</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sz w:val="24"/>
                <w:szCs w:val="24"/>
              </w:rPr>
            </w:pPr>
            <w:r>
              <w:rPr>
                <w:rFonts w:hint="eastAsia" w:ascii="宋体" w:hAnsi="宋体"/>
                <w:sz w:val="24"/>
                <w:szCs w:val="24"/>
              </w:rPr>
              <w:t>未定期检查或书面记录不全、不实，每发现一次扣2分；未及时发现或上报安全隐患每发现一次扣</w:t>
            </w:r>
            <w:r>
              <w:rPr>
                <w:rFonts w:ascii="宋体" w:hAnsi="宋体"/>
                <w:sz w:val="24"/>
                <w:szCs w:val="24"/>
              </w:rPr>
              <w:t>5</w:t>
            </w:r>
            <w:r>
              <w:rPr>
                <w:rFonts w:hint="eastAsia" w:ascii="宋体" w:hAnsi="宋体"/>
                <w:sz w:val="24"/>
                <w:szCs w:val="24"/>
              </w:rPr>
              <w:t>分；未跟踪运营方安全隐患整改落实情况每发现一次扣5分。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eastAsia="宋体" w:cs="Times New Roman"/>
                <w:sz w:val="24"/>
                <w:szCs w:val="24"/>
              </w:rPr>
              <w:t>未做好应急突发事件处置工作扣5分；不熟悉或不参与各厂的应急预案编制、演练及应急处置流程等扣3分。</w:t>
            </w:r>
          </w:p>
        </w:tc>
        <w:tc>
          <w:tcPr>
            <w:tcW w:w="395" w:type="pct"/>
            <w:noWrap w:val="0"/>
            <w:vAlign w:val="top"/>
          </w:tcPr>
          <w:p>
            <w:pPr>
              <w:jc w:val="center"/>
              <w:rPr>
                <w:rFonts w:ascii="宋体" w:hAnsi="宋体"/>
                <w:szCs w:val="21"/>
              </w:rPr>
            </w:pPr>
          </w:p>
        </w:tc>
        <w:tc>
          <w:tcPr>
            <w:tcW w:w="678" w:type="pct"/>
            <w:noWrap w:val="0"/>
            <w:vAlign w:val="top"/>
          </w:tcPr>
          <w:p>
            <w:pPr>
              <w:jc w:val="center"/>
              <w:rPr>
                <w:rFonts w:ascii="宋体" w:hAnsi="宋体"/>
                <w:szCs w:val="21"/>
              </w:rPr>
            </w:pPr>
          </w:p>
        </w:tc>
        <w:tc>
          <w:tcPr>
            <w:tcW w:w="434" w:type="pct"/>
            <w:noWrap w:val="0"/>
            <w:vAlign w:val="center"/>
          </w:tcPr>
          <w:p>
            <w:pPr>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91" w:type="pct"/>
            <w:noWrap w:val="0"/>
            <w:vAlign w:val="center"/>
          </w:tcPr>
          <w:p>
            <w:pPr>
              <w:spacing w:line="260" w:lineRule="exact"/>
              <w:jc w:val="center"/>
              <w:rPr>
                <w:rFonts w:ascii="宋体" w:hAnsi="宋体"/>
                <w:sz w:val="24"/>
                <w:szCs w:val="24"/>
              </w:rPr>
            </w:pPr>
            <w:r>
              <w:rPr>
                <w:rFonts w:hint="eastAsia" w:ascii="宋体" w:hAnsi="宋体"/>
                <w:sz w:val="24"/>
                <w:szCs w:val="24"/>
              </w:rPr>
              <w:t>六、监管成果</w:t>
            </w:r>
          </w:p>
        </w:tc>
        <w:tc>
          <w:tcPr>
            <w:tcW w:w="1387"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sz w:val="24"/>
                <w:szCs w:val="24"/>
                <w:lang w:eastAsia="zh-CN"/>
              </w:rPr>
            </w:pPr>
            <w:r>
              <w:rPr>
                <w:rFonts w:hint="eastAsia" w:ascii="宋体" w:hAnsi="宋体" w:cs="宋体"/>
                <w:bCs/>
                <w:sz w:val="24"/>
                <w:szCs w:val="24"/>
              </w:rPr>
              <w:t>1、</w:t>
            </w:r>
            <w:r>
              <w:rPr>
                <w:rFonts w:hint="eastAsia" w:ascii="宋体" w:hAnsi="宋体"/>
                <w:sz w:val="24"/>
                <w:szCs w:val="24"/>
              </w:rPr>
              <w:t>每月15日前提交上月驻厂技术监督报告及其它报表</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sz w:val="24"/>
                <w:szCs w:val="24"/>
                <w:lang w:eastAsia="zh-CN"/>
              </w:rPr>
            </w:pPr>
            <w:r>
              <w:rPr>
                <w:rFonts w:hint="eastAsia" w:ascii="宋体" w:hAnsi="宋体"/>
                <w:sz w:val="24"/>
                <w:szCs w:val="24"/>
              </w:rPr>
              <w:t>2、每年年中前提交半年驻厂技术监督报告及其它报表，每年年底前提交年度驻厂技术监督报告及其它报表</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4"/>
                <w:szCs w:val="24"/>
              </w:rPr>
            </w:pPr>
            <w:r>
              <w:rPr>
                <w:rFonts w:hint="eastAsia" w:ascii="宋体" w:hAnsi="宋体"/>
                <w:sz w:val="24"/>
                <w:szCs w:val="24"/>
              </w:rPr>
              <w:t>3、</w:t>
            </w:r>
            <w:r>
              <w:rPr>
                <w:rFonts w:hint="eastAsia" w:ascii="宋体" w:hAnsi="宋体" w:cs="宋体"/>
                <w:bCs/>
                <w:sz w:val="24"/>
                <w:szCs w:val="24"/>
              </w:rPr>
              <w:t>核查运营方履行《特许经营权协议》情况，并写入每月驻厂监管报告。</w:t>
            </w: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sz w:val="24"/>
                <w:szCs w:val="24"/>
              </w:rPr>
            </w:pPr>
            <w:r>
              <w:rPr>
                <w:rFonts w:hint="eastAsia" w:ascii="宋体" w:hAnsi="宋体"/>
                <w:sz w:val="24"/>
                <w:szCs w:val="24"/>
              </w:rPr>
              <w:t>未按时报送相关报告及报表的扣5分；迟报、漏报扣3分；内容错误或不全每项扣2分。</w:t>
            </w:r>
          </w:p>
        </w:tc>
        <w:tc>
          <w:tcPr>
            <w:tcW w:w="395" w:type="pct"/>
            <w:noWrap w:val="0"/>
            <w:vAlign w:val="top"/>
          </w:tcPr>
          <w:p>
            <w:pPr>
              <w:jc w:val="center"/>
              <w:rPr>
                <w:rFonts w:ascii="宋体" w:hAnsi="宋体"/>
                <w:szCs w:val="21"/>
              </w:rPr>
            </w:pPr>
          </w:p>
        </w:tc>
        <w:tc>
          <w:tcPr>
            <w:tcW w:w="678" w:type="pct"/>
            <w:noWrap w:val="0"/>
            <w:vAlign w:val="top"/>
          </w:tcPr>
          <w:p>
            <w:pPr>
              <w:jc w:val="center"/>
              <w:rPr>
                <w:rFonts w:ascii="宋体" w:hAnsi="宋体"/>
                <w:szCs w:val="21"/>
              </w:rPr>
            </w:pPr>
          </w:p>
        </w:tc>
        <w:tc>
          <w:tcPr>
            <w:tcW w:w="434" w:type="pct"/>
            <w:noWrap w:val="0"/>
            <w:vAlign w:val="center"/>
          </w:tcPr>
          <w:p>
            <w:pPr>
              <w:jc w:val="center"/>
              <w:rPr>
                <w:rFonts w:ascii="宋体" w:hAnsi="宋体"/>
                <w:szCs w:val="21"/>
              </w:rPr>
            </w:pPr>
            <w:r>
              <w:rPr>
                <w:rFonts w:hint="eastAsia" w:ascii="宋体" w:hAnsi="宋体"/>
                <w:szCs w:val="21"/>
              </w:rPr>
              <w:t>1</w:t>
            </w:r>
            <w:r>
              <w:rPr>
                <w:rFonts w:ascii="宋体" w:hAnsi="宋体"/>
                <w:szCs w:val="21"/>
              </w:rPr>
              <w:t>0</w:t>
            </w:r>
          </w:p>
        </w:tc>
      </w:tr>
    </w:tbl>
    <w:p>
      <w:pPr>
        <w:outlineLvl w:val="0"/>
        <w:rPr>
          <w:rFonts w:hint="eastAsia" w:ascii="宋体" w:hAnsi="宋体" w:cs="宋体"/>
          <w:b/>
          <w:bCs/>
          <w:color w:val="auto"/>
          <w:sz w:val="24"/>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1FBC00B7"/>
    <w:multiLevelType w:val="singleLevel"/>
    <w:tmpl w:val="1FBC00B7"/>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648D8"/>
    <w:rsid w:val="6736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after="120"/>
      <w:jc w:val="center"/>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cs="Times New Roman"/>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Normal Indent"/>
    <w:basedOn w:val="1"/>
    <w:qFormat/>
    <w:uiPriority w:val="0"/>
    <w:pPr>
      <w:ind w:firstLine="420" w:firstLineChars="200"/>
    </w:pPr>
  </w:style>
  <w:style w:type="paragraph" w:styleId="6">
    <w:name w:val="Body Text"/>
    <w:basedOn w:val="1"/>
    <w:next w:val="7"/>
    <w:qFormat/>
    <w:uiPriority w:val="99"/>
    <w:pPr>
      <w:spacing w:after="120"/>
    </w:p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2021-12-07T06:01:00Z</dcterms:created>
  <dc:creator>倪哥哥不是开养猪场的！！！！</dc:creator>
  <cp:lastModifiedBy>倪哥哥不是开养猪场的！！！！</cp:lastModifiedBy>
  <dcterms:modified xsi:type="dcterms:W3CDTF">2021-12-07T06:09:46Z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C2822572BFF944E0A4F40769FD2216E9</vt:lpwstr>
  </property>
</Properties>
</file>