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0"/>
        <w:rPr>
          <w:rFonts w:hint="eastAsia" w:ascii="仿宋" w:hAnsi="仿宋" w:eastAsia="仿宋" w:cs="仿宋"/>
          <w:b/>
          <w:color w:val="auto"/>
          <w:sz w:val="28"/>
          <w:szCs w:val="28"/>
        </w:rPr>
      </w:pPr>
      <w:r>
        <w:rPr>
          <w:rFonts w:hint="eastAsia" w:ascii="仿宋" w:hAnsi="仿宋" w:eastAsia="仿宋" w:cs="仿宋"/>
          <w:b/>
          <w:color w:val="auto"/>
          <w:sz w:val="32"/>
          <w:szCs w:val="32"/>
        </w:rPr>
        <w:t>采购项目一般技术、商务要求</w:t>
      </w:r>
    </w:p>
    <w:p>
      <w:pPr>
        <w:spacing w:line="400" w:lineRule="exact"/>
        <w:jc w:val="center"/>
        <w:rPr>
          <w:rFonts w:hint="eastAsia" w:ascii="仿宋" w:hAnsi="仿宋" w:eastAsia="仿宋" w:cs="仿宋"/>
          <w:b/>
          <w:color w:val="auto"/>
          <w:sz w:val="28"/>
          <w:szCs w:val="28"/>
        </w:rPr>
      </w:pP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 项目概况</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本项目一个包，</w:t>
      </w:r>
      <w:r>
        <w:rPr>
          <w:rFonts w:hint="eastAsia" w:ascii="仿宋" w:hAnsi="仿宋" w:eastAsia="仿宋" w:cs="仿宋"/>
          <w:color w:val="auto"/>
          <w:sz w:val="24"/>
          <w:szCs w:val="24"/>
          <w:highlight w:val="none"/>
          <w:lang w:eastAsia="zh-CN"/>
        </w:rPr>
        <w:t>成都生产力促进中心2021年数字科学城内容建设服务项目，</w:t>
      </w:r>
      <w:r>
        <w:rPr>
          <w:rFonts w:hint="eastAsia" w:ascii="仿宋" w:hAnsi="仿宋" w:eastAsia="仿宋" w:cs="仿宋"/>
          <w:color w:val="auto"/>
          <w:sz w:val="24"/>
          <w:szCs w:val="24"/>
          <w:highlight w:val="none"/>
          <w:lang w:val="en-US" w:eastAsia="zh-CN"/>
        </w:rPr>
        <w:t>采购预算：100万元，</w:t>
      </w:r>
      <w:r>
        <w:rPr>
          <w:rFonts w:hint="eastAsia" w:ascii="仿宋" w:hAnsi="仿宋" w:eastAsia="仿宋" w:cs="仿宋"/>
          <w:color w:val="auto"/>
          <w:sz w:val="24"/>
          <w:szCs w:val="24"/>
          <w:highlight w:val="none"/>
          <w:lang w:eastAsia="zh-CN"/>
        </w:rPr>
        <w:t>2020年，成都市科技创新大会上，《中国西部（成都）科学城战略规划（征求意见稿）》（以下简称《规划》）亮相。《规划》中提出，成都将构建“一核四区”空间功能布局，通过5项重点任务14项推进策略，分三步推进西部科学城建设，到2025年，初步建成具有全国影响力的科学城；到2035年，基本建成具有国际影响力的科学城；到2050年，全面建成全球一流的科学城。</w:t>
      </w:r>
    </w:p>
    <w:p>
      <w:pPr>
        <w:spacing w:line="360" w:lineRule="auto"/>
        <w:ind w:firstLine="480"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 w:val="24"/>
          <w:szCs w:val="24"/>
          <w:highlight w:val="none"/>
          <w:lang w:eastAsia="zh-CN"/>
        </w:rPr>
        <w:t>科学城将立足成都创新资源优势和城市发展战略，构建“一核四区”为主的空间功能布局，形成“核心驱动、协同承载、全域联动”的发展格局。“一核”即成都科学城，定位为西部地区重大科技基础设施、科研院所和大学创新平台汇集区，围绕网络安全、航空航天、生命科学等领域，创建综合性国家科学中心，建设天府实验室和国际技术转移中心。“四区”即新经济活力区、天府国际生物城、东部新区未来科技城和新一代信息技术创新基地。</w:t>
      </w: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 技术</w:t>
      </w:r>
      <w:r>
        <w:rPr>
          <w:rFonts w:hint="eastAsia" w:ascii="仿宋" w:hAnsi="仿宋" w:eastAsia="仿宋" w:cs="仿宋"/>
          <w:b/>
          <w:color w:val="auto"/>
          <w:sz w:val="28"/>
          <w:szCs w:val="28"/>
          <w:highlight w:val="none"/>
          <w:lang w:val="en-US" w:eastAsia="zh-CN"/>
        </w:rPr>
        <w:t>服务</w:t>
      </w:r>
      <w:r>
        <w:rPr>
          <w:rFonts w:hint="eastAsia" w:ascii="仿宋" w:hAnsi="仿宋" w:eastAsia="仿宋" w:cs="仿宋"/>
          <w:b/>
          <w:color w:val="auto"/>
          <w:sz w:val="28"/>
          <w:szCs w:val="28"/>
          <w:highlight w:val="none"/>
        </w:rPr>
        <w:t>要求</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）服务目标</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数字科学城建设以线上+线下方式汇聚城市科技创新资源数据，将城市科技创新空间、创新主体、创新要素、创新情报全部整合，实现数字化管理、可视化呈现，为政府决策提供智能辅助。本次数字科学城内容建设为线上部分：采集并整理产业功能区、高品质科创空间、创新载体、科普基地、创新屋等空间布局信息，汇聚人才、企业、高校、科研院所等创新主体资源数据，对数据进行清洗、分析及应用，实现数字化方式呈现成都科技创新资源一图尽揽。</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）服务内容</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1.数据收集整理及清洗</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1.1★一核：成都科学城，58个产业功能区数据整理，内容包括名称、未来赛道\细分领域、面积、功能定位、规划建设面积、责任区（市）县。</w:t>
      </w:r>
      <w:r>
        <w:rPr>
          <w:rFonts w:hint="eastAsia" w:ascii="仿宋" w:hAnsi="仿宋" w:eastAsia="仿宋" w:cs="仿宋"/>
          <w:b/>
          <w:bCs/>
          <w:color w:val="auto"/>
          <w:sz w:val="24"/>
          <w:szCs w:val="24"/>
        </w:rPr>
        <w:t>（提供数据清单等证明材料）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四区：新一代信息技术创新基地、新经济活力区、未来科学城、生命创新区。内容包括归属区（市）县、产业功能区名称、科创空间名称、主要聚焦的产业细分领域、产业细分领域选择考量、企业相关创新资源、高校院所相关创新资源、国家、省市级研发创新机构、专业服务资源、总建筑面积（万平方米）、总投资（亿元）、目前建设阶段、投资建设主体、运营管理主体等。</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1.3企业库</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1.3.1有效高企数量不低于5000家，内容包括所在区市县、企业名称、所在产业功能区、通信地址、联系电话、所属行业、一类知识产权数量、二类知识产权数量。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1.3.2★科创板公司不低于8家，内容包括发行人全称、所在区市县、所在产业园区、与科创通业务关系、办公地址、受理批次、审核状态、上市状态、科创主题、科创主题明细、上市标准、预计市值(亿元)、拟募集资金(亿元)、保荐机构及主承销商、会计师事务所、律师事务所受理日期、资产评估机构、注册地、Wind代码、证券简称、证监会行业、更新日期等。</w:t>
      </w:r>
      <w:r>
        <w:rPr>
          <w:rFonts w:hint="eastAsia" w:ascii="仿宋" w:hAnsi="仿宋" w:eastAsia="仿宋" w:cs="仿宋"/>
          <w:b/>
          <w:bCs/>
          <w:color w:val="auto"/>
          <w:sz w:val="24"/>
          <w:szCs w:val="24"/>
        </w:rPr>
        <w:t>（提供数据清单等证明材料）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1.3.3科技型中小企业不低于5600家，内容包括所在区市县、企业名称、所在产业功能区、通信地址、联系人、联系电话、所属行业、一类知识产权数量、二类知识产权数量。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1.4高校库</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1.4.1★域内高校不低于60家，内容包括学校名称、所在区市县（以在成都的首个地址为准）、联系方式、办学地址、学校网址等。</w:t>
      </w:r>
      <w:r>
        <w:rPr>
          <w:rFonts w:hint="eastAsia" w:ascii="仿宋" w:hAnsi="仿宋" w:eastAsia="仿宋" w:cs="仿宋"/>
          <w:b/>
          <w:bCs/>
          <w:color w:val="auto"/>
          <w:sz w:val="24"/>
          <w:szCs w:val="24"/>
        </w:rPr>
        <w:t>（提供数据清单等证明材料）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1.4.2域外高校不低于11家，内容包括学校名称、所在城市、办学地址、学校网址</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1.5★科研院所不低于22家，内容包括院所名称、所在区市县、院所地址。</w:t>
      </w:r>
      <w:r>
        <w:rPr>
          <w:rFonts w:hint="eastAsia" w:ascii="仿宋" w:hAnsi="仿宋" w:eastAsia="仿宋" w:cs="仿宋"/>
          <w:b/>
          <w:bCs/>
          <w:color w:val="auto"/>
          <w:sz w:val="24"/>
          <w:szCs w:val="24"/>
        </w:rPr>
        <w:t>（提供数据清单等证明材料）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1.6人才库</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1.6.1★国家科学技术奖获得者不低于6位，内容包括立项年度、项目第一完成人、所在单位、单位所在区市县、单位所在产业功能区。</w:t>
      </w:r>
      <w:r>
        <w:rPr>
          <w:rFonts w:hint="eastAsia" w:ascii="仿宋" w:hAnsi="仿宋" w:eastAsia="仿宋" w:cs="仿宋"/>
          <w:b/>
          <w:bCs/>
          <w:color w:val="auto"/>
          <w:sz w:val="24"/>
          <w:szCs w:val="24"/>
        </w:rPr>
        <w:t>（提供数据清单等证明材料）</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1.6.2★国家级创新平台负责人不低于19位，内容包括平台名称、申报单位、平台负责人、单位所在区市县、单位所在产业功能区。</w:t>
      </w:r>
      <w:r>
        <w:rPr>
          <w:rFonts w:hint="eastAsia" w:ascii="仿宋" w:hAnsi="仿宋" w:eastAsia="仿宋" w:cs="仿宋"/>
          <w:b/>
          <w:bCs/>
          <w:color w:val="auto"/>
          <w:sz w:val="24"/>
          <w:szCs w:val="24"/>
        </w:rPr>
        <w:t>（提供数据清单等证明材料）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1.6.3成都市科技人才创业项目入选者不低于200位，内容包括业务类型、立项年度、人员信息-姓名、企业名称、企业所在区市县、企业所在产业功能区、已获科技奖励及奖励等级及排名</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1.7★创新载体库，创新载体数量不低于250家，内容包括载体名称、所在区市县、载体类型、等级、运营单位、具体地址。（</w:t>
      </w:r>
      <w:r>
        <w:rPr>
          <w:rFonts w:hint="eastAsia" w:ascii="仿宋" w:hAnsi="仿宋" w:eastAsia="仿宋" w:cs="仿宋"/>
          <w:b/>
          <w:bCs/>
          <w:color w:val="auto"/>
          <w:sz w:val="24"/>
          <w:szCs w:val="24"/>
        </w:rPr>
        <w:t>提供数据清单等证明材料）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1.8创新平台库</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创新平台数量不低于1700家，内容包括名称、依托单位、行业领域、认定年限、所在区县。</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1.9重点仪器库</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重点仪器数量不低于3000件，内容包括装置名称、仪器型号、产地国别、仪器原值</w:t>
      </w:r>
      <w:r>
        <w:rPr>
          <w:rFonts w:hint="eastAsia" w:ascii="仿宋" w:hAnsi="仿宋" w:eastAsia="仿宋" w:cs="仿宋"/>
          <w:color w:val="auto"/>
          <w:sz w:val="24"/>
          <w:szCs w:val="24"/>
        </w:rPr>
        <w:tab/>
      </w:r>
      <w:r>
        <w:rPr>
          <w:rFonts w:hint="eastAsia" w:ascii="仿宋" w:hAnsi="仿宋" w:eastAsia="仿宋" w:cs="仿宋"/>
          <w:color w:val="auto"/>
          <w:sz w:val="24"/>
          <w:szCs w:val="24"/>
        </w:rPr>
        <w:t>启用时间、所在单位、主要技术指标、主要功能、主要科学领域、服务内容、服务典型成果、运行状态、对外开放共享规定、参考收费标准、预约服务网址、安放地址、图片（放图片地址即可）</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1.10科技金融机构库</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贷投贴机构不低于600家，内容包括机构名称</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1.11科技服务机构库</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科技服务机构不低于700家，内容包括机构名称、所在区市县、联系人、联系方式、是否是贷投贴机构、具体地址、机构类型、所在产业园区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2.数据分析</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2.1一图尽览最近5年全成都创新资源变化情况，展现23个区（市）县，高亮标记高新区。</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2.2★统计分析最近5年产业收入趋势、场景营造、社区服务、服务机构分布和人员数量、入驻科技企业、提供服务、对接活动、科技项目、技术成果。</w:t>
      </w:r>
      <w:r>
        <w:rPr>
          <w:rFonts w:hint="eastAsia" w:ascii="仿宋" w:hAnsi="仿宋" w:eastAsia="仿宋" w:cs="仿宋"/>
          <w:b/>
          <w:bCs/>
          <w:color w:val="auto"/>
          <w:sz w:val="24"/>
          <w:szCs w:val="24"/>
        </w:rPr>
        <w:t>（提供网页截图证明或功能演示截图证明材料）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统计分析：高校类别分布、域内高校创新团队分布、所属高校成果、市高校关联新型产业研究院、所属高校创新平台、所属高校大型仪器、服务产品、服务交易、校企双进成果、最近5年校企双进合作金额、成果转化。</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2.4★统计分析：最近5年科技企业增长趋势、上市科创企业整体情况、全市科技企业分布、科技企业入驻产业功能区TOP10、领域分布、研发投入、发明专利授权、技术合同、高新技术产值。</w:t>
      </w:r>
      <w:r>
        <w:rPr>
          <w:rFonts w:hint="eastAsia" w:ascii="仿宋" w:hAnsi="仿宋" w:eastAsia="仿宋" w:cs="仿宋"/>
          <w:b/>
          <w:bCs/>
          <w:color w:val="auto"/>
          <w:sz w:val="24"/>
          <w:szCs w:val="24"/>
        </w:rPr>
        <w:t>（提供网页截图证明或功能演示截图证明材料）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2.5统计分析：所属科研院所创新平台、全市科研院所分布、服务产品、服务交易。</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2.6★统计分析：科技人才分类、人才流进流出、科技人才毕业高校、全市科技人才分布、科技人才产出成果、科技人才创办企业、科技人才入驻载体。</w:t>
      </w:r>
      <w:r>
        <w:rPr>
          <w:rFonts w:hint="eastAsia" w:ascii="仿宋" w:hAnsi="仿宋" w:eastAsia="仿宋" w:cs="仿宋"/>
          <w:b/>
          <w:bCs/>
          <w:color w:val="auto"/>
          <w:sz w:val="24"/>
          <w:szCs w:val="24"/>
        </w:rPr>
        <w:t>（提供网页截图证明或功能演示截图证明材料）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2.7统计分析：孵化器及创新空间数量、创新创业载体空间分布、科普基地、创新屋、在孵企业、技术合同、创新平台。</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2.8★统计分析：创新平台占比、创新平台类型分布、全市创新平台分布、创新服务整体情况、创新平台公共服务、创新平台产出成果。</w:t>
      </w:r>
      <w:r>
        <w:rPr>
          <w:rFonts w:hint="eastAsia" w:ascii="仿宋" w:hAnsi="仿宋" w:eastAsia="仿宋" w:cs="仿宋"/>
          <w:b/>
          <w:bCs/>
          <w:color w:val="auto"/>
          <w:sz w:val="24"/>
          <w:szCs w:val="24"/>
        </w:rPr>
        <w:t>（提供网页截图证明或功能演示截图证明材料）</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2.9★统计分析：大型仪器类别占比、大型仪器分布、大型仪器服务、全市服务交易。</w:t>
      </w:r>
      <w:r>
        <w:rPr>
          <w:rFonts w:hint="eastAsia" w:ascii="仿宋" w:hAnsi="仿宋" w:eastAsia="仿宋" w:cs="仿宋"/>
          <w:b/>
          <w:bCs/>
          <w:color w:val="auto"/>
          <w:sz w:val="24"/>
          <w:szCs w:val="24"/>
        </w:rPr>
        <w:t>（提供网页截图证明或功能演示截图证明材料）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2.10统计分析：科创贷、天使投资基金、知识产权运营基金、科创通子基金参与机构、最近5年服务企业数、最近5年科创贷放款情况、天使投资基金成效、知识产权运营基金。</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2.11统计分析：最近5年服务机构增长趋势、服务机构类型、全市服务机构分布、服务产品、服务交易、科创券抵扣。</w:t>
      </w:r>
    </w:p>
    <w:p>
      <w:pPr>
        <w:pStyle w:val="2"/>
        <w:rPr>
          <w:rFonts w:hint="eastAsia" w:ascii="仿宋" w:hAnsi="仿宋" w:eastAsia="仿宋" w:cs="仿宋"/>
          <w:color w:val="auto"/>
          <w:sz w:val="24"/>
          <w:szCs w:val="24"/>
          <w:lang w:val="en-US" w:eastAsia="zh-CN"/>
        </w:rPr>
      </w:pPr>
    </w:p>
    <w:p>
      <w:pPr>
        <w:pStyle w:val="2"/>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1、供应商承诺在签定合同前，技术服务要求中“提供网页截图证明或功能演示截图证明材料”的“★”参数，须根据业主要求提供演示demo。无法提供或者提供不全者，视为自动放弃成交资格，成交单位依中标名次依次顺延，提供承诺函。</w:t>
      </w:r>
      <w:r>
        <w:rPr>
          <w:rFonts w:hint="eastAsia" w:ascii="仿宋" w:hAnsi="仿宋" w:eastAsia="仿宋" w:cs="仿宋"/>
          <w:b/>
          <w:bCs/>
          <w:color w:val="auto"/>
          <w:sz w:val="24"/>
          <w:szCs w:val="24"/>
          <w:lang w:val="en-US" w:eastAsia="zh-CN"/>
        </w:rPr>
        <w:t>（实质性要求）</w:t>
      </w:r>
    </w:p>
    <w:p>
      <w:pPr>
        <w:spacing w:line="360" w:lineRule="auto"/>
        <w:ind w:firstLine="480" w:firstLineChars="200"/>
        <w:rPr>
          <w:rFonts w:hint="default"/>
          <w:color w:val="auto"/>
          <w:lang w:val="en-US" w:eastAsia="zh-CN"/>
        </w:rPr>
      </w:pPr>
      <w:r>
        <w:rPr>
          <w:rFonts w:hint="eastAsia" w:ascii="仿宋" w:hAnsi="仿宋" w:eastAsia="仿宋" w:cs="仿宋"/>
          <w:color w:val="auto"/>
          <w:sz w:val="24"/>
          <w:szCs w:val="24"/>
          <w:lang w:val="en-US" w:eastAsia="zh-CN"/>
        </w:rPr>
        <w:t>2、技术服务要求中“</w:t>
      </w:r>
      <w:r>
        <w:rPr>
          <w:rFonts w:hint="eastAsia" w:ascii="仿宋" w:hAnsi="仿宋" w:eastAsia="仿宋" w:cs="仿宋"/>
          <w:b w:val="0"/>
          <w:bCs w:val="0"/>
          <w:color w:val="auto"/>
          <w:sz w:val="24"/>
          <w:szCs w:val="24"/>
        </w:rPr>
        <w:t>提供数据清单等证明材料</w:t>
      </w:r>
      <w:r>
        <w:rPr>
          <w:rFonts w:hint="eastAsia" w:ascii="仿宋" w:hAnsi="仿宋" w:eastAsia="仿宋" w:cs="仿宋"/>
          <w:color w:val="auto"/>
          <w:sz w:val="24"/>
          <w:szCs w:val="24"/>
          <w:lang w:val="en-US" w:eastAsia="zh-CN"/>
        </w:rPr>
        <w:t>”、“提供网页截图证明或功能演示截图证明材料”可提供供应商已完成的项目的相关材料。</w:t>
      </w:r>
    </w:p>
    <w:p>
      <w:pPr>
        <w:pStyle w:val="4"/>
        <w:numPr>
          <w:ilvl w:val="0"/>
          <w:numId w:val="0"/>
        </w:numPr>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 商务要求</w:t>
      </w:r>
      <w:bookmarkStart w:id="0" w:name="_GoBack"/>
      <w:bookmarkEnd w:id="0"/>
    </w:p>
    <w:p>
      <w:pPr>
        <w:snapToGrid w:val="0"/>
        <w:spacing w:line="360" w:lineRule="auto"/>
        <w:ind w:firstLine="240" w:firstLineChars="1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1、服务时间：合同签订后一年。</w:t>
      </w:r>
    </w:p>
    <w:p>
      <w:pPr>
        <w:snapToGrid w:val="0"/>
        <w:spacing w:line="360" w:lineRule="auto"/>
        <w:ind w:firstLine="240" w:firstLineChars="1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2、服务地点：根据服务范围及内容要求，按需到采购人指定地点开展运维服务</w:t>
      </w:r>
      <w:r>
        <w:rPr>
          <w:rFonts w:hint="eastAsia" w:ascii="仿宋" w:hAnsi="仿宋" w:eastAsia="仿宋" w:cs="仿宋"/>
          <w:color w:val="auto"/>
          <w:sz w:val="24"/>
          <w:szCs w:val="24"/>
          <w:highlight w:val="none"/>
          <w:lang w:eastAsia="zh-CN"/>
        </w:rPr>
        <w:t>。</w:t>
      </w:r>
    </w:p>
    <w:p>
      <w:pPr>
        <w:snapToGrid w:val="0"/>
        <w:spacing w:line="360" w:lineRule="auto"/>
        <w:ind w:firstLine="240" w:firstLineChars="1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3、付款方式：合同时约定。</w:t>
      </w:r>
    </w:p>
    <w:p>
      <w:pPr>
        <w:numPr>
          <w:ilvl w:val="0"/>
          <w:numId w:val="1"/>
        </w:numPr>
        <w:snapToGrid w:val="0"/>
        <w:spacing w:line="360" w:lineRule="auto"/>
        <w:ind w:firstLine="240" w:firstLineChars="1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项目资料要求：</w:t>
      </w:r>
    </w:p>
    <w:p>
      <w:pPr>
        <w:numPr>
          <w:ilvl w:val="0"/>
          <w:numId w:val="0"/>
        </w:numPr>
        <w:snapToGrid w:val="0"/>
        <w:spacing w:line="360" w:lineRule="auto"/>
        <w:ind w:firstLine="480" w:firstLineChars="200"/>
        <w:rPr>
          <w:rFonts w:hint="default"/>
          <w:color w:val="auto"/>
          <w:sz w:val="20"/>
          <w:szCs w:val="22"/>
          <w:lang w:val="en-US" w:eastAsia="zh-CN"/>
        </w:rPr>
      </w:pPr>
      <w:r>
        <w:rPr>
          <w:rFonts w:hint="eastAsia" w:ascii="仿宋" w:hAnsi="仿宋" w:eastAsia="仿宋" w:cs="Times New Roman"/>
          <w:color w:val="auto"/>
          <w:sz w:val="24"/>
          <w:szCs w:val="24"/>
          <w:highlight w:val="none"/>
          <w:lang w:val="en-US" w:eastAsia="zh-CN"/>
        </w:rPr>
        <w:t>维护团队定期提供服务报告，服务期结束前应提供服务年报，并对每一次重大故障和问题的原因、解决方法、完成情况等形成专门报告，及时报送用户部门和服务管理部门。在运维服务过程中将产生不限于以下的记录和报告；按年、季度、月制作资源体系运行分析报告，全方位和多角度地呈现运行状况，发现问题，总结经验，为资源体系管理工作的针对性改善和效能提升提供客观基础，包括但不限于：系统运行报告、日常巡检报告、故障记录报告等。</w:t>
      </w:r>
    </w:p>
    <w:p>
      <w:pPr>
        <w:snapToGrid w:val="0"/>
        <w:spacing w:line="360" w:lineRule="auto"/>
        <w:ind w:firstLine="240" w:firstLineChars="100"/>
        <w:rPr>
          <w:rFonts w:hint="eastAsia" w:ascii="仿宋" w:hAnsi="仿宋" w:eastAsia="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5、验收方式：</w:t>
      </w:r>
      <w:r>
        <w:rPr>
          <w:rFonts w:hint="eastAsia" w:ascii="仿宋" w:hAnsi="仿宋" w:eastAsia="仿宋"/>
          <w:color w:val="auto"/>
          <w:sz w:val="24"/>
          <w:szCs w:val="24"/>
          <w:highlight w:val="none"/>
          <w:lang w:val="en-US" w:eastAsia="zh-CN"/>
        </w:rPr>
        <w:t>供应商提供的服务质量须符合国家信息技术运行维护相关标准，服务期内所提供的所有替代备品和更换备件应满足国家和行业相关技术标准。</w:t>
      </w:r>
    </w:p>
    <w:p>
      <w:pPr>
        <w:snapToGrid w:val="0"/>
        <w:spacing w:line="360" w:lineRule="auto"/>
        <w:ind w:firstLine="240" w:firstLineChars="100"/>
        <w:rPr>
          <w:rFonts w:hint="eastAsia" w:ascii="仿宋" w:hAnsi="仿宋" w:eastAsia="仿宋" w:cs="仿宋"/>
          <w:b/>
          <w:bCs/>
          <w:color w:val="auto"/>
          <w:sz w:val="24"/>
          <w:szCs w:val="24"/>
        </w:rPr>
      </w:pPr>
      <w:r>
        <w:rPr>
          <w:rFonts w:hint="eastAsia" w:ascii="仿宋" w:hAnsi="仿宋" w:eastAsia="仿宋"/>
          <w:color w:val="auto"/>
          <w:sz w:val="24"/>
          <w:szCs w:val="24"/>
          <w:highlight w:val="none"/>
          <w:lang w:val="en-US" w:eastAsia="zh-CN"/>
        </w:rPr>
        <w:t>6.其他要求：未尽事宜以中标后签订的《采购合同》为准。</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3E13C"/>
    <w:multiLevelType w:val="singleLevel"/>
    <w:tmpl w:val="5A13E13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4357E"/>
    <w:rsid w:val="1C14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customStyle="1" w:styleId="3">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4">
    <w:name w:val="Body Text 3"/>
    <w:basedOn w:val="1"/>
    <w:qFormat/>
    <w:uiPriority w:val="0"/>
    <w:pPr>
      <w:jc w:val="center"/>
    </w:pPr>
    <w:rPr>
      <w:rFonts w:eastAsia="黑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2021-11-29T07:43:00Z</dcterms:created>
  <dc:creator>欧阳文苏</dc:creator>
  <cp:lastModifiedBy>欧阳文苏</cp:lastModifiedBy>
  <dcterms:modified xsi:type="dcterms:W3CDTF">2021-11-29T07:43:56Z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39C784F4058F4CD8BB796C1E1503AB60</vt:lpwstr>
  </property>
</Properties>
</file>