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400" w:lineRule="exact"/>
        <w:jc w:val="center"/>
        <w:outlineLvl w:val="0"/>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采购项目技术、服务及其他商务要求</w:t>
      </w:r>
    </w:p>
    <w:p>
      <w:pPr>
        <w:pStyle w:val="3"/>
        <w:keepNext w:val="0"/>
        <w:keepLines w:val="0"/>
        <w:numPr>
          <w:ilvl w:val="0"/>
          <w:numId w:val="1"/>
        </w:numPr>
        <w:tabs>
          <w:tab w:val="left" w:pos="2100"/>
        </w:tabs>
        <w:spacing w:before="0" w:after="0" w:line="360" w:lineRule="auto"/>
        <w:jc w:val="left"/>
        <w:rPr>
          <w:rFonts w:hint="eastAsia" w:ascii="宋体" w:hAnsi="宋体" w:eastAsia="宋体"/>
          <w:b/>
          <w:bCs w:val="0"/>
          <w:color w:val="auto"/>
          <w:kern w:val="2"/>
          <w:sz w:val="28"/>
          <w:szCs w:val="28"/>
          <w:lang w:val="en-US" w:eastAsia="zh-CN" w:bidi="ar-SA"/>
        </w:rPr>
      </w:pPr>
      <w:r>
        <w:rPr>
          <w:rFonts w:hint="eastAsia" w:ascii="宋体" w:hAnsi="宋体" w:eastAsia="宋体"/>
          <w:b/>
          <w:bCs w:val="0"/>
          <w:color w:val="auto"/>
          <w:kern w:val="2"/>
          <w:sz w:val="28"/>
          <w:szCs w:val="28"/>
          <w:lang w:val="en-US" w:eastAsia="zh-CN" w:bidi="ar-SA"/>
        </w:rPr>
        <w:t>项目概述及服务内容</w:t>
      </w:r>
    </w:p>
    <w:p>
      <w:pPr>
        <w:pStyle w:val="7"/>
        <w:spacing w:line="400" w:lineRule="exact"/>
        <w:ind w:firstLine="420" w:firstLineChars="175"/>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为进一步完善我市山洪灾害非工程措施，及时修复洪涝灾害受损设施设备，更加精确掌握汛期河道水位、降雨实况等一手资料，为防汛指挥调度提供技术支撑，最大限度保护人民群众生命财产安全，我市通过服务采购形式在重要河道及山洪灾害危险区安装视频监控及水位站。</w:t>
      </w:r>
    </w:p>
    <w:p>
      <w:pPr>
        <w:pStyle w:val="2"/>
        <w:numPr>
          <w:ilvl w:val="0"/>
          <w:numId w:val="1"/>
        </w:numPr>
        <w:ind w:left="0" w:leftChars="0" w:firstLine="0" w:firstLineChars="0"/>
        <w:rPr>
          <w:rFonts w:hint="eastAsia" w:hAnsi="宋体" w:eastAsia="宋体"/>
          <w:b/>
          <w:bCs w:val="0"/>
          <w:color w:val="auto"/>
          <w:sz w:val="28"/>
          <w:szCs w:val="28"/>
          <w:lang w:val="en-US" w:eastAsia="zh-CN" w:bidi="ar-SA"/>
        </w:rPr>
      </w:pPr>
      <w:r>
        <w:rPr>
          <w:rFonts w:hint="eastAsia" w:ascii="宋体" w:hAnsi="宋体" w:eastAsia="宋体"/>
          <w:b/>
          <w:bCs w:val="0"/>
          <w:color w:val="auto"/>
          <w:sz w:val="28"/>
          <w:szCs w:val="28"/>
          <w:lang w:val="en-US" w:eastAsia="zh-CN" w:bidi="ar-SA"/>
        </w:rPr>
        <w:t>项目明细表及安装地点</w:t>
      </w:r>
      <w:r>
        <w:rPr>
          <w:rFonts w:hint="eastAsia" w:hAnsi="宋体" w:eastAsia="宋体"/>
          <w:b/>
          <w:bCs w:val="0"/>
          <w:color w:val="auto"/>
          <w:sz w:val="28"/>
          <w:szCs w:val="28"/>
          <w:lang w:val="en-US" w:eastAsia="zh-CN" w:bidi="ar-SA"/>
        </w:rPr>
        <w:t>统计表</w:t>
      </w:r>
    </w:p>
    <w:tbl>
      <w:tblPr>
        <w:tblStyle w:val="5"/>
        <w:tblW w:w="0" w:type="auto"/>
        <w:tblInd w:w="0" w:type="dxa"/>
        <w:tblLayout w:type="fixed"/>
        <w:tblCellMar>
          <w:top w:w="0" w:type="dxa"/>
          <w:left w:w="0" w:type="dxa"/>
          <w:bottom w:w="0" w:type="dxa"/>
          <w:right w:w="0" w:type="dxa"/>
        </w:tblCellMar>
      </w:tblPr>
      <w:tblGrid>
        <w:gridCol w:w="636"/>
        <w:gridCol w:w="2184"/>
        <w:gridCol w:w="4388"/>
        <w:gridCol w:w="1256"/>
        <w:gridCol w:w="937"/>
      </w:tblGrid>
      <w:tr>
        <w:tblPrEx>
          <w:tblCellMar>
            <w:top w:w="0" w:type="dxa"/>
            <w:left w:w="0" w:type="dxa"/>
            <w:bottom w:w="0" w:type="dxa"/>
            <w:right w:w="0" w:type="dxa"/>
          </w:tblCellMar>
        </w:tblPrEx>
        <w:trPr>
          <w:trHeight w:val="677" w:hRule="atLeast"/>
        </w:trPr>
        <w:tc>
          <w:tcPr>
            <w:tcW w:w="9401" w:type="dxa"/>
            <w:gridSpan w:val="5"/>
            <w:tcBorders>
              <w:top w:val="nil"/>
              <w:left w:val="nil"/>
              <w:bottom w:val="nil"/>
              <w:right w:val="nil"/>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b/>
                <w:bCs/>
                <w:i w:val="0"/>
                <w:color w:val="auto"/>
                <w:kern w:val="0"/>
                <w:sz w:val="32"/>
                <w:szCs w:val="32"/>
                <w:u w:val="none"/>
                <w:lang w:val="en-US" w:eastAsia="zh-CN" w:bidi="ar"/>
              </w:rPr>
              <w:t>2021年邛崃市山洪灾害非工程措施补充完善项目明细表</w:t>
            </w:r>
          </w:p>
        </w:tc>
      </w:tr>
      <w:tr>
        <w:tblPrEx>
          <w:tblCellMar>
            <w:top w:w="0" w:type="dxa"/>
            <w:left w:w="0" w:type="dxa"/>
            <w:bottom w:w="0" w:type="dxa"/>
            <w:right w:w="0" w:type="dxa"/>
          </w:tblCellMar>
        </w:tblPrEx>
        <w:trPr>
          <w:trHeight w:val="700" w:hRule="atLeast"/>
        </w:trPr>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184"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4388"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规格参数及工程内容</w:t>
            </w:r>
          </w:p>
        </w:tc>
        <w:tc>
          <w:tcPr>
            <w:tcW w:w="1256"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937"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CellMar>
            <w:top w:w="0" w:type="dxa"/>
            <w:left w:w="0" w:type="dxa"/>
            <w:bottom w:w="0" w:type="dxa"/>
            <w:right w:w="0"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视频监测租赁服务</w:t>
            </w:r>
          </w:p>
        </w:tc>
        <w:tc>
          <w:tcPr>
            <w:tcW w:w="4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1.高清红外摄像头，像素≥200万.2.摄像头支持360度旋转。3.采用太阳能+蓄电池供电系统。4.同时支持4G（全网通）及有限数据传送。</w:t>
            </w:r>
          </w:p>
        </w:tc>
        <w:tc>
          <w:tcPr>
            <w:tcW w:w="12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9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0" w:type="dxa"/>
            <w:bottom w:w="0" w:type="dxa"/>
            <w:right w:w="0" w:type="dxa"/>
          </w:tblCellMar>
        </w:tblPrEx>
        <w:trPr>
          <w:trHeight w:val="3000" w:hRule="atLeast"/>
        </w:trPr>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自动水位站租赁服务</w:t>
            </w:r>
          </w:p>
        </w:tc>
        <w:tc>
          <w:tcPr>
            <w:tcW w:w="43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1）量程：至少30米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2）精度：+/- 5MM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3）工作温度：-40--+80度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4）工作电压：四线制DC 6-28V ，推荐12V DC；两线制18-28V DC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5）接线：四线屏蔽电缆，防水端子M20X1.5，适合电缆外径9-13MM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6）功耗：最大功耗0.6W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7）输出信号：RS485 标准MODBUS RTU协议；RS232 4-20mA/HART协议</w:t>
            </w:r>
          </w:p>
        </w:tc>
        <w:tc>
          <w:tcPr>
            <w:tcW w:w="125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9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r>
    </w:tbl>
    <w:p>
      <w:pPr>
        <w:pStyle w:val="2"/>
        <w:rPr>
          <w:rFonts w:hint="eastAsia" w:ascii="宋体" w:hAnsi="宋体" w:eastAsia="宋体" w:cs="宋体"/>
          <w:i w:val="0"/>
          <w:color w:val="FF0000"/>
          <w:kern w:val="0"/>
          <w:sz w:val="32"/>
          <w:szCs w:val="32"/>
          <w:u w:val="none"/>
          <w:lang w:val="en-US" w:eastAsia="zh-CN" w:bidi="ar"/>
        </w:rPr>
      </w:pPr>
    </w:p>
    <w:tbl>
      <w:tblPr>
        <w:tblStyle w:val="5"/>
        <w:tblW w:w="13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2393"/>
        <w:gridCol w:w="3393"/>
        <w:gridCol w:w="919"/>
        <w:gridCol w:w="844"/>
        <w:gridCol w:w="1331"/>
        <w:gridCol w:w="199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35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auto"/>
                <w:kern w:val="0"/>
                <w:sz w:val="28"/>
                <w:szCs w:val="28"/>
                <w:u w:val="none"/>
                <w:lang w:val="en-US" w:eastAsia="zh-CN" w:bidi="ar"/>
              </w:rPr>
              <w:t>2021年邛崃市山洪灾害非工程措施补充完善项目安装地点及要求统计表</w:t>
            </w:r>
          </w:p>
        </w:tc>
        <w:tc>
          <w:tcPr>
            <w:tcW w:w="199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名称</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安装位置</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单位</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备注</w:t>
            </w:r>
          </w:p>
        </w:tc>
        <w:tc>
          <w:tcPr>
            <w:tcW w:w="199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园林村与大邑交界处（颜河坝对岸）</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园林村（陈述忠沙场对岸）</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石子村石头堰入河口或右岸毛堰大坝处</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左岸磷石膏堆场处（横一线大桥在建）</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张坝11组</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张坝1组</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五堰大坝</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马鞍村和黑虎村交界（周丕鹏沙场）</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楠杆堰闸房</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天台山游客中心背后</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龙脑河出口</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渔坝河出口</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道佐寨沟出口</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右岸羊安二桥处</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右岸成新蒲大桥处</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新宝林大桥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羊安纵七线小南河大桥</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羊安纵七线小南河大桥</w:t>
            </w: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曾河坝大桥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三河大桥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莲花坝大桥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临济污水处理厂</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临济污水处理厂</w:t>
            </w: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天新邛快速路斜江河大桥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白鹤大桥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黄坝大桥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拱辰大桥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高何上天街口</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小南河与东河汇合口</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大邑唐场镇大桥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高埂镇裕民堰</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大邑新场谢家坝大桥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火井镇三河大桥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平乐镇白沫江绕场大桥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平乐镇王水碾桥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视频站点购买服务</w:t>
            </w:r>
          </w:p>
        </w:tc>
        <w:tc>
          <w:tcPr>
            <w:tcW w:w="339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羊安街道朱濠沟与蒲江河汇合口</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大邑新场谢家坝大桥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大邑唐场镇大桥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石头河小学</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平乐镇王水碾桥</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3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羊安纵七线小南河大桥</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羊安纵七线小南河大桥</w:t>
            </w:r>
          </w:p>
        </w:tc>
        <w:tc>
          <w:tcPr>
            <w:tcW w:w="199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黄坝大桥</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自动水位站购买服务</w:t>
            </w:r>
          </w:p>
        </w:tc>
        <w:tc>
          <w:tcPr>
            <w:tcW w:w="3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拱辰大桥</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
        <w:keepNext w:val="0"/>
        <w:keepLines w:val="0"/>
        <w:tabs>
          <w:tab w:val="left" w:pos="2100"/>
        </w:tabs>
        <w:spacing w:before="0" w:after="0" w:line="360" w:lineRule="auto"/>
        <w:jc w:val="left"/>
        <w:rPr>
          <w:rFonts w:ascii="宋体" w:hAnsi="宋体" w:eastAsia="宋体"/>
          <w:bCs w:val="0"/>
          <w:color w:val="000000"/>
          <w:sz w:val="28"/>
          <w:szCs w:val="28"/>
        </w:rPr>
      </w:pPr>
      <w:bookmarkStart w:id="0" w:name="_GoBack"/>
      <w:bookmarkEnd w:id="0"/>
      <w:r>
        <w:rPr>
          <w:rFonts w:hint="eastAsia" w:ascii="宋体" w:hAnsi="宋体" w:eastAsia="宋体"/>
          <w:bCs w:val="0"/>
          <w:color w:val="000000"/>
          <w:sz w:val="28"/>
          <w:szCs w:val="28"/>
          <w:lang w:val="en-US" w:eastAsia="zh-CN"/>
        </w:rPr>
        <w:t>三</w:t>
      </w:r>
      <w:r>
        <w:rPr>
          <w:rFonts w:hint="eastAsia" w:ascii="宋体" w:hAnsi="宋体" w:eastAsia="宋体"/>
          <w:bCs w:val="0"/>
          <w:color w:val="000000"/>
          <w:sz w:val="28"/>
          <w:szCs w:val="28"/>
        </w:rPr>
        <w:t>、商务要求</w:t>
      </w:r>
    </w:p>
    <w:p>
      <w:pPr>
        <w:pStyle w:val="4"/>
        <w:spacing w:line="440" w:lineRule="exact"/>
        <w:ind w:firstLine="482"/>
        <w:rPr>
          <w:rFonts w:hint="eastAsia" w:ascii="宋体" w:hAnsi="宋体"/>
          <w:b/>
          <w:color w:val="000000"/>
          <w:sz w:val="24"/>
        </w:rPr>
      </w:pPr>
      <w:r>
        <w:rPr>
          <w:rFonts w:hint="eastAsia" w:ascii="宋体" w:hAnsi="宋体"/>
          <w:b/>
          <w:color w:val="000000"/>
          <w:sz w:val="24"/>
        </w:rPr>
        <w:t>1.报价要求：</w:t>
      </w:r>
    </w:p>
    <w:p>
      <w:pPr>
        <w:pStyle w:val="4"/>
        <w:spacing w:line="440" w:lineRule="exact"/>
        <w:ind w:firstLine="480"/>
        <w:rPr>
          <w:rFonts w:hint="eastAsia" w:ascii="宋体" w:hAnsi="宋体"/>
          <w:color w:val="000000"/>
          <w:sz w:val="24"/>
        </w:rPr>
      </w:pPr>
      <w:r>
        <w:rPr>
          <w:rFonts w:hint="eastAsia" w:ascii="宋体" w:hAnsi="宋体"/>
          <w:color w:val="000000"/>
          <w:sz w:val="24"/>
        </w:rPr>
        <w:t>此项目报价</w:t>
      </w:r>
      <w:r>
        <w:rPr>
          <w:rFonts w:hint="eastAsia" w:ascii="宋体" w:hAnsi="宋体"/>
          <w:color w:val="000000"/>
          <w:sz w:val="24"/>
          <w:lang w:val="en-US" w:eastAsia="zh-CN"/>
        </w:rPr>
        <w:t>为</w:t>
      </w:r>
      <w:r>
        <w:rPr>
          <w:rFonts w:hint="eastAsia" w:ascii="宋体" w:hAnsi="宋体"/>
          <w:color w:val="FF0000"/>
          <w:sz w:val="24"/>
          <w:lang w:eastAsia="zh-CN"/>
        </w:rPr>
        <w:t>总价包干</w:t>
      </w:r>
      <w:r>
        <w:rPr>
          <w:rFonts w:hint="eastAsia" w:ascii="宋体" w:hAnsi="宋体"/>
          <w:color w:val="FF0000"/>
          <w:sz w:val="24"/>
        </w:rPr>
        <w:t>，</w:t>
      </w:r>
      <w:r>
        <w:rPr>
          <w:rFonts w:hint="eastAsia" w:ascii="宋体" w:hAnsi="宋体"/>
          <w:color w:val="FF0000"/>
          <w:sz w:val="24"/>
          <w:lang w:val="en-US" w:eastAsia="zh-CN"/>
        </w:rPr>
        <w:t>报</w:t>
      </w:r>
      <w:r>
        <w:rPr>
          <w:rFonts w:hint="eastAsia" w:ascii="宋体" w:hAnsi="宋体"/>
          <w:color w:val="FF0000"/>
          <w:sz w:val="24"/>
          <w:lang w:eastAsia="zh-CN"/>
        </w:rPr>
        <w:t>价</w:t>
      </w:r>
      <w:r>
        <w:rPr>
          <w:rFonts w:hint="eastAsia" w:ascii="宋体" w:hAnsi="宋体"/>
          <w:color w:val="000000"/>
          <w:sz w:val="24"/>
        </w:rPr>
        <w:t>包括</w:t>
      </w:r>
      <w:r>
        <w:rPr>
          <w:rFonts w:hint="eastAsia" w:ascii="宋体" w:hAnsi="宋体"/>
          <w:color w:val="000000"/>
          <w:sz w:val="24"/>
          <w:lang w:val="en-US" w:eastAsia="zh-CN"/>
        </w:rPr>
        <w:t>人工</w:t>
      </w:r>
      <w:r>
        <w:rPr>
          <w:rFonts w:hint="eastAsia" w:ascii="宋体" w:hAnsi="宋体"/>
          <w:color w:val="000000"/>
          <w:sz w:val="24"/>
        </w:rPr>
        <w:t>、保险、售后、税费和采购文件规定的其它费用</w:t>
      </w:r>
      <w:r>
        <w:rPr>
          <w:rFonts w:hint="eastAsia" w:ascii="宋体" w:hAnsi="宋体"/>
          <w:color w:val="000000"/>
          <w:sz w:val="24"/>
          <w:lang w:eastAsia="zh-CN"/>
        </w:rPr>
        <w:t>，</w:t>
      </w:r>
      <w:r>
        <w:rPr>
          <w:rFonts w:hint="eastAsia" w:ascii="宋体" w:hAnsi="宋体"/>
          <w:color w:val="000000"/>
          <w:sz w:val="24"/>
        </w:rPr>
        <w:t>采购人不再另行支付其他一切费用。</w:t>
      </w:r>
    </w:p>
    <w:p>
      <w:pPr>
        <w:pStyle w:val="4"/>
        <w:spacing w:line="440" w:lineRule="exact"/>
        <w:ind w:firstLine="482"/>
        <w:rPr>
          <w:rFonts w:hint="eastAsia" w:ascii="宋体" w:hAnsi="宋体"/>
          <w:b/>
          <w:color w:val="000000"/>
          <w:sz w:val="24"/>
        </w:rPr>
      </w:pPr>
      <w:r>
        <w:rPr>
          <w:rFonts w:hint="eastAsia" w:ascii="宋体" w:hAnsi="宋体"/>
          <w:b/>
          <w:color w:val="000000"/>
          <w:sz w:val="24"/>
        </w:rPr>
        <w:t>2.</w:t>
      </w:r>
      <w:r>
        <w:rPr>
          <w:rFonts w:hint="eastAsia" w:ascii="宋体" w:hAnsi="宋体"/>
          <w:b/>
          <w:color w:val="000000"/>
          <w:sz w:val="24"/>
          <w:lang w:val="en-US" w:eastAsia="zh-CN"/>
        </w:rPr>
        <w:t>合履约期限</w:t>
      </w:r>
      <w:r>
        <w:rPr>
          <w:rFonts w:hint="eastAsia" w:ascii="宋体" w:hAnsi="宋体"/>
          <w:b/>
          <w:color w:val="000000"/>
          <w:sz w:val="24"/>
        </w:rPr>
        <w:t>和地点及付款方式：</w:t>
      </w:r>
    </w:p>
    <w:p>
      <w:pPr>
        <w:spacing w:line="360" w:lineRule="auto"/>
        <w:ind w:firstLine="480" w:firstLineChars="200"/>
        <w:rPr>
          <w:rFonts w:hint="eastAsia" w:hAnsi="宋体" w:eastAsia="宋体" w:cs="宋体"/>
          <w:b/>
          <w:color w:val="000000"/>
          <w:sz w:val="24"/>
          <w:lang w:val="en-US" w:eastAsia="zh-CN"/>
        </w:rPr>
      </w:pPr>
      <w:r>
        <w:rPr>
          <w:rFonts w:hint="eastAsia" w:hAnsi="宋体"/>
          <w:color w:val="000000"/>
          <w:sz w:val="24"/>
          <w:lang w:val="en-US" w:eastAsia="zh-CN"/>
        </w:rPr>
        <w:t>服务</w:t>
      </w:r>
      <w:r>
        <w:rPr>
          <w:rFonts w:hint="eastAsia" w:ascii="宋体" w:hAnsi="宋体"/>
          <w:color w:val="000000"/>
          <w:sz w:val="24"/>
        </w:rPr>
        <w:t>地点：</w:t>
      </w:r>
      <w:r>
        <w:rPr>
          <w:rFonts w:hint="eastAsia" w:hAnsi="宋体"/>
          <w:color w:val="000000"/>
          <w:sz w:val="24"/>
          <w:lang w:eastAsia="zh-CN"/>
        </w:rPr>
        <w:t>采购人指定</w:t>
      </w:r>
      <w:r>
        <w:rPr>
          <w:rFonts w:hint="eastAsia" w:hAnsi="宋体"/>
          <w:color w:val="000000"/>
          <w:sz w:val="24"/>
          <w:lang w:val="en-US" w:eastAsia="zh-CN"/>
        </w:rPr>
        <w:t>地点</w:t>
      </w:r>
      <w:r>
        <w:rPr>
          <w:rFonts w:hint="eastAsia" w:hAnsi="宋体"/>
          <w:color w:val="000000"/>
          <w:sz w:val="24"/>
          <w:lang w:eastAsia="zh-CN"/>
        </w:rPr>
        <w:t>。</w:t>
      </w:r>
    </w:p>
    <w:p>
      <w:pPr>
        <w:spacing w:line="360" w:lineRule="auto"/>
        <w:ind w:firstLine="470" w:firstLineChars="196"/>
        <w:rPr>
          <w:rFonts w:hint="default" w:ascii="宋体" w:hAnsi="宋体" w:eastAsia="宋体"/>
          <w:color w:val="000000"/>
          <w:sz w:val="24"/>
          <w:lang w:val="en-US" w:eastAsia="zh-CN"/>
        </w:rPr>
      </w:pPr>
      <w:r>
        <w:rPr>
          <w:rFonts w:hint="eastAsia" w:ascii="宋体" w:hAnsi="宋体"/>
          <w:color w:val="000000"/>
          <w:sz w:val="24"/>
          <w:lang w:eastAsia="zh-CN"/>
        </w:rPr>
        <w:t>合同履约期限：合同签订之日起</w:t>
      </w:r>
      <w:r>
        <w:rPr>
          <w:rFonts w:hint="eastAsia" w:ascii="宋体" w:hAnsi="宋体"/>
          <w:color w:val="000000"/>
          <w:sz w:val="24"/>
          <w:lang w:val="en-US" w:eastAsia="zh-CN"/>
        </w:rPr>
        <w:t>1年。</w:t>
      </w:r>
    </w:p>
    <w:p>
      <w:pPr>
        <w:spacing w:line="360" w:lineRule="auto"/>
        <w:ind w:firstLine="470" w:firstLineChars="196"/>
        <w:rPr>
          <w:rFonts w:hint="default"/>
          <w:color w:val="000000"/>
          <w:lang w:val="en-US" w:eastAsia="zh-CN"/>
        </w:rPr>
      </w:pPr>
      <w:r>
        <w:rPr>
          <w:rFonts w:hint="eastAsia" w:ascii="宋体" w:hAnsi="宋体"/>
          <w:color w:val="000000"/>
          <w:sz w:val="24"/>
        </w:rPr>
        <w:t>付款方式：</w:t>
      </w:r>
      <w:r>
        <w:rPr>
          <w:rFonts w:hint="eastAsia" w:hAnsi="宋体"/>
          <w:color w:val="000000"/>
          <w:sz w:val="24"/>
          <w:lang w:val="en-US" w:eastAsia="zh-CN"/>
        </w:rPr>
        <w:t>合同签订后，供应商在本年度5月1日前安装调试并正常运行后付合同款的50%，服务期满后的30日内付合同款的50%。</w:t>
      </w:r>
    </w:p>
    <w:p>
      <w:pPr>
        <w:pStyle w:val="4"/>
        <w:spacing w:line="440" w:lineRule="exact"/>
        <w:ind w:firstLine="595" w:firstLineChars="247"/>
        <w:rPr>
          <w:rFonts w:hint="eastAsia" w:ascii="宋体" w:hAnsi="宋体"/>
          <w:b/>
          <w:bCs/>
          <w:color w:val="000000"/>
          <w:sz w:val="24"/>
        </w:rPr>
      </w:pPr>
      <w:r>
        <w:rPr>
          <w:rFonts w:hint="eastAsia" w:ascii="宋体" w:hAnsi="宋体"/>
          <w:b/>
          <w:bCs/>
          <w:color w:val="000000"/>
          <w:sz w:val="24"/>
          <w:lang w:val="en-US" w:eastAsia="zh-CN"/>
        </w:rPr>
        <w:t>3</w:t>
      </w:r>
      <w:r>
        <w:rPr>
          <w:rFonts w:hint="eastAsia" w:ascii="宋体" w:hAnsi="宋体"/>
          <w:b/>
          <w:bCs/>
          <w:color w:val="000000"/>
          <w:sz w:val="24"/>
        </w:rPr>
        <w:t>.验收办法：</w:t>
      </w:r>
    </w:p>
    <w:p>
      <w:pPr>
        <w:pStyle w:val="4"/>
        <w:spacing w:line="440" w:lineRule="exact"/>
        <w:ind w:firstLine="480"/>
        <w:jc w:val="left"/>
        <w:rPr>
          <w:rFonts w:hint="eastAsia" w:ascii="宋体" w:hAnsi="宋体"/>
          <w:color w:val="000000"/>
          <w:sz w:val="24"/>
        </w:rPr>
      </w:pPr>
      <w:r>
        <w:rPr>
          <w:rFonts w:hint="eastAsia" w:ascii="宋体" w:hAnsi="宋体"/>
          <w:color w:val="000000"/>
          <w:sz w:val="24"/>
        </w:rPr>
        <w:t>验收标准：成交人与采购人应严格按照政府采购相关法律法规以及《</w:t>
      </w:r>
      <w:r>
        <w:rPr>
          <w:rFonts w:hint="eastAsia" w:ascii="宋体" w:hAnsi="宋体"/>
          <w:color w:val="000000"/>
          <w:sz w:val="24"/>
          <w:lang w:val="en-US" w:eastAsia="zh-CN"/>
        </w:rPr>
        <w:t>财政部关于进一步加强政府采购</w:t>
      </w:r>
      <w:r>
        <w:rPr>
          <w:rFonts w:hint="eastAsia" w:ascii="宋体" w:hAnsi="宋体"/>
          <w:color w:val="000000"/>
          <w:sz w:val="24"/>
        </w:rPr>
        <w:t>需求和履约验收管理</w:t>
      </w:r>
      <w:r>
        <w:rPr>
          <w:rFonts w:hint="eastAsia" w:ascii="宋体" w:hAnsi="宋体"/>
          <w:color w:val="000000"/>
          <w:sz w:val="24"/>
          <w:lang w:val="en-US" w:eastAsia="zh-CN"/>
        </w:rPr>
        <w:t>的指导意见</w:t>
      </w:r>
      <w:r>
        <w:rPr>
          <w:rFonts w:hint="eastAsia" w:ascii="宋体" w:hAnsi="宋体"/>
          <w:color w:val="000000"/>
          <w:sz w:val="24"/>
        </w:rPr>
        <w:t>》（</w:t>
      </w:r>
      <w:r>
        <w:rPr>
          <w:rFonts w:hint="eastAsia" w:ascii="宋体" w:hAnsi="宋体"/>
          <w:color w:val="000000"/>
          <w:sz w:val="24"/>
          <w:lang w:val="en-US" w:eastAsia="zh-CN"/>
        </w:rPr>
        <w:t>财库</w:t>
      </w:r>
      <w:r>
        <w:rPr>
          <w:rFonts w:hint="eastAsia" w:ascii="宋体" w:hAnsi="宋体"/>
          <w:color w:val="000000"/>
          <w:sz w:val="24"/>
        </w:rPr>
        <w:t>〔201</w:t>
      </w: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205</w:t>
      </w:r>
      <w:r>
        <w:rPr>
          <w:rFonts w:hint="eastAsia" w:ascii="宋体" w:hAnsi="宋体"/>
          <w:color w:val="000000"/>
          <w:sz w:val="24"/>
        </w:rPr>
        <w:t>号）的要求、磋商文件规定的要求和响应文件及合同承诺的内容</w:t>
      </w:r>
      <w:r>
        <w:rPr>
          <w:rFonts w:hint="eastAsia" w:ascii="宋体" w:hAnsi="宋体"/>
          <w:color w:val="000000"/>
          <w:sz w:val="24"/>
          <w:lang w:eastAsia="zh-CN"/>
        </w:rPr>
        <w:t>及行业规范和国家规定、主管部门要求</w:t>
      </w:r>
      <w:r>
        <w:rPr>
          <w:rFonts w:hint="eastAsia" w:ascii="宋体" w:hAnsi="宋体"/>
          <w:color w:val="000000"/>
          <w:sz w:val="24"/>
        </w:rPr>
        <w:t>进行验收。</w:t>
      </w:r>
    </w:p>
    <w:p>
      <w:pPr>
        <w:numPr>
          <w:ilvl w:val="0"/>
          <w:numId w:val="0"/>
        </w:numPr>
        <w:spacing w:line="400" w:lineRule="exact"/>
        <w:ind w:left="420" w:leftChars="0"/>
        <w:jc w:val="left"/>
        <w:outlineLvl w:val="0"/>
        <w:rPr>
          <w:rFonts w:hint="eastAsia" w:ascii="宋体" w:hAnsi="宋体"/>
          <w:b/>
          <w:bCs/>
          <w:color w:val="000000"/>
          <w:kern w:val="2"/>
          <w:sz w:val="24"/>
          <w:szCs w:val="24"/>
          <w:lang w:val="en-US" w:eastAsia="zh-CN" w:bidi="ar-SA"/>
        </w:rPr>
      </w:pPr>
      <w:r>
        <w:rPr>
          <w:rFonts w:hint="eastAsia" w:ascii="宋体" w:hAnsi="宋体"/>
          <w:b/>
          <w:bCs/>
          <w:color w:val="000000"/>
          <w:kern w:val="2"/>
          <w:sz w:val="24"/>
          <w:szCs w:val="24"/>
          <w:lang w:val="en-US" w:eastAsia="zh-CN" w:bidi="ar-SA"/>
        </w:rPr>
        <w:t>四、技术及交付要求</w:t>
      </w:r>
    </w:p>
    <w:p>
      <w:pPr>
        <w:numPr>
          <w:ilvl w:val="0"/>
          <w:numId w:val="0"/>
        </w:numPr>
        <w:spacing w:line="400" w:lineRule="exact"/>
        <w:jc w:val="left"/>
        <w:outlineLvl w:val="0"/>
        <w:rPr>
          <w:rFonts w:hint="eastAsia" w:ascii="宋体" w:hAnsi="宋体"/>
          <w:color w:val="000000"/>
          <w:kern w:val="2"/>
          <w:sz w:val="24"/>
          <w:szCs w:val="24"/>
          <w:lang w:val="en-US" w:eastAsia="zh-CN" w:bidi="ar-SA"/>
        </w:rPr>
      </w:pPr>
      <w:r>
        <w:rPr>
          <w:rFonts w:hint="eastAsia" w:ascii="宋体" w:hAnsi="宋体"/>
          <w:color w:val="000000"/>
          <w:kern w:val="2"/>
          <w:sz w:val="24"/>
          <w:szCs w:val="24"/>
          <w:lang w:val="en-US" w:eastAsia="zh-CN" w:bidi="ar-SA"/>
        </w:rPr>
        <w:t>1、保证汛前即5月1日前，所有安装调试完和服务开通并正常运行。</w:t>
      </w:r>
    </w:p>
    <w:p>
      <w:r>
        <w:rPr>
          <w:rFonts w:hint="eastAsia" w:ascii="宋体" w:hAnsi="宋体"/>
          <w:color w:val="000000"/>
          <w:kern w:val="2"/>
          <w:sz w:val="24"/>
          <w:szCs w:val="24"/>
          <w:lang w:val="en-US" w:eastAsia="zh-CN" w:bidi="ar-SA"/>
        </w:rPr>
        <w:t>2、全年派驻1名技术人员提供技术支持，保证汛期及时处理故障，保障系统的正常运行。</w:t>
      </w:r>
      <w:r>
        <w:rPr>
          <w:rFonts w:hint="eastAsia" w:ascii="黑体" w:hAnsi="宋体" w:eastAsia="黑体"/>
          <w:b/>
          <w:color w:val="000000"/>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C0666"/>
    <w:multiLevelType w:val="singleLevel"/>
    <w:tmpl w:val="699C06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D79B0"/>
    <w:rsid w:val="311D7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2021-04-30T11:25:00Z</dcterms:created>
  <dc:creator>dell</dc:creator>
  <cp:lastModifiedBy>dell</cp:lastModifiedBy>
  <dcterms:modified xsi:type="dcterms:W3CDTF">2021-04-30T11:26:00Z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972CE0DAF75C4DF899D6FAD886B53D84</vt:lpwstr>
  </property>
</Properties>
</file>