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firstLineChars="20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一、项目概况</w:t>
      </w:r>
    </w:p>
    <w:p>
      <w:pPr>
        <w:pStyle w:val="2"/>
        <w:ind w:firstLine="480" w:firstLineChars="200"/>
        <w:jc w:val="both"/>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本项目</w:t>
      </w:r>
      <w:r>
        <w:rPr>
          <w:rFonts w:hint="eastAsia" w:ascii="宋体" w:hAnsi="宋体" w:eastAsia="宋体" w:cs="宋体"/>
          <w:color w:val="auto"/>
          <w:kern w:val="0"/>
          <w:sz w:val="24"/>
          <w:szCs w:val="24"/>
          <w:lang w:val="en-US" w:eastAsia="zh-CN"/>
        </w:rPr>
        <w:t>为涌泉街道办事处农村道路清扫、生活垃圾收运等环卫作业服务项目</w:t>
      </w:r>
      <w:r>
        <w:rPr>
          <w:rFonts w:hint="eastAsia" w:ascii="宋体" w:hAnsi="宋体" w:cs="宋体"/>
          <w:color w:val="auto"/>
          <w:kern w:val="0"/>
          <w:sz w:val="24"/>
          <w:szCs w:val="24"/>
          <w:lang w:val="en-US" w:eastAsia="zh-CN"/>
        </w:rPr>
        <w:t>。其中涉及</w:t>
      </w:r>
      <w:r>
        <w:rPr>
          <w:rFonts w:hint="eastAsia" w:ascii="宋体" w:hAnsi="宋体" w:eastAsia="宋体" w:cs="宋体"/>
          <w:color w:val="auto"/>
          <w:kern w:val="0"/>
          <w:sz w:val="24"/>
          <w:szCs w:val="24"/>
          <w:lang w:val="en-US" w:eastAsia="zh-CN"/>
        </w:rPr>
        <w:t>道路199541.41平方米，绿化27691.0</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平方米</w:t>
      </w:r>
      <w:r>
        <w:rPr>
          <w:rFonts w:hint="eastAsia" w:ascii="宋体" w:hAnsi="宋体" w:cs="宋体"/>
          <w:color w:val="auto"/>
          <w:kern w:val="0"/>
          <w:sz w:val="24"/>
          <w:szCs w:val="24"/>
          <w:lang w:val="en-US" w:eastAsia="zh-CN"/>
        </w:rPr>
        <w:t>，沟渠、河道83350米（详细清单见附件1）。</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服务内容</w:t>
      </w:r>
    </w:p>
    <w:p>
      <w:pPr>
        <w:pStyle w:val="2"/>
        <w:ind w:firstLine="480" w:firstLineChars="20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道路、人行道、绿化带保洁、花木补栽及修剪等；沿线垃圾分类收集设施（垃圾桶、垃圾池等）产生的生活垃圾清掏、清运及箱体清洗，负责垃圾分类收集设施垃圾袋更换；责任区域内杂物、乱倾乱倒生活垃圾的清理；牛皮癣清洗治理；道路的洒水、抑尘车作业降尘；沟渠、河道水域及两侧护坡卫生保洁；完成各项迎检接待、重大活动和重大部署，完成甲方临时安排的与环卫工作相关各项工作；积极处理与环卫作业相关投诉；完成采购人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服务标准及要求</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1、道路清扫保洁作业时间及流程：</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（1）夏季（4月1日至10月31日）环卫作业时间为：7:00至19:00.每日</w:t>
      </w:r>
      <w:r>
        <w:rPr>
          <w:rFonts w:hint="eastAsia" w:ascii="宋体" w:hAnsi="宋体" w:cs="宋体"/>
          <w:color w:val="auto"/>
          <w:kern w:val="0"/>
          <w:sz w:val="24"/>
          <w:szCs w:val="24"/>
          <w:lang w:val="en-US" w:eastAsia="zh-CN" w:bidi="ar-SA"/>
        </w:rPr>
        <w:t>至少做到两次清扫，分别为</w:t>
      </w:r>
      <w:r>
        <w:rPr>
          <w:rFonts w:hint="eastAsia" w:ascii="宋体" w:hAnsi="宋体" w:eastAsia="宋体" w:cs="宋体"/>
          <w:color w:val="auto"/>
          <w:kern w:val="0"/>
          <w:sz w:val="24"/>
          <w:szCs w:val="24"/>
          <w:lang w:val="en-US" w:eastAsia="zh-CN" w:bidi="ar-SA"/>
        </w:rPr>
        <w:t>早晨8:00前</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下午14:30</w:t>
      </w:r>
      <w:r>
        <w:rPr>
          <w:rFonts w:hint="eastAsia" w:ascii="宋体" w:hAnsi="宋体" w:cs="宋体"/>
          <w:color w:val="auto"/>
          <w:kern w:val="0"/>
          <w:sz w:val="24"/>
          <w:szCs w:val="24"/>
          <w:lang w:val="en-US" w:eastAsia="zh-CN" w:bidi="ar-SA"/>
        </w:rPr>
        <w:t>前</w:t>
      </w:r>
      <w:r>
        <w:rPr>
          <w:rFonts w:hint="eastAsia" w:ascii="宋体" w:hAnsi="宋体" w:eastAsia="宋体" w:cs="宋体"/>
          <w:color w:val="auto"/>
          <w:kern w:val="0"/>
          <w:sz w:val="24"/>
          <w:szCs w:val="24"/>
          <w:lang w:val="en-US" w:eastAsia="zh-CN" w:bidi="ar-SA"/>
        </w:rPr>
        <w:t>完成清扫，然后进行巡回</w:t>
      </w:r>
      <w:r>
        <w:rPr>
          <w:rFonts w:hint="eastAsia" w:ascii="宋体" w:hAnsi="宋体" w:cs="宋体"/>
          <w:color w:val="auto"/>
          <w:kern w:val="0"/>
          <w:sz w:val="24"/>
          <w:szCs w:val="24"/>
          <w:lang w:val="en-US" w:eastAsia="zh-CN" w:bidi="ar-SA"/>
        </w:rPr>
        <w:t>检查作</w:t>
      </w:r>
      <w:r>
        <w:rPr>
          <w:rFonts w:hint="eastAsia" w:ascii="宋体" w:hAnsi="宋体" w:eastAsia="宋体" w:cs="宋体"/>
          <w:color w:val="auto"/>
          <w:kern w:val="0"/>
          <w:sz w:val="24"/>
          <w:szCs w:val="24"/>
          <w:lang w:val="en-US" w:eastAsia="zh-CN" w:bidi="ar-SA"/>
        </w:rPr>
        <w:t>业。</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（2）冬季（11月1日至次年3月31日）环卫作业时间为7:00至18:00，每日至少做到两次清扫，分别为早晨8:00前、下午14:30前完成清扫，然后进行巡回检查作业。</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道路清扫标准：清扫保洁质量达到“七无"（即：无堆积物、无积尘、无污染积水、无果皮纸屑塑膜、无烟头、无碎砖瓦砾、无痰迹）；“七净"（即下水净、树池净、绿带周边净、路沿石净、人行道净、车行道净、边沟净）；作业区域人行道（含路沿石、灰带）毎月冲洗3次；道路两侧被污染的方块砖要及时清洗；清扫工具存放在隐蔽位置，不得影响观瞻。凡在街面及视力可及均为清扫保洁范围。</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cs="宋体"/>
          <w:color w:val="auto"/>
          <w:kern w:val="0"/>
          <w:sz w:val="24"/>
          <w:szCs w:val="24"/>
          <w:lang w:val="en-US" w:eastAsia="zh-CN" w:bidi="ar-SA"/>
        </w:rPr>
        <w:t>垃圾转运及</w:t>
      </w:r>
      <w:r>
        <w:rPr>
          <w:rFonts w:hint="eastAsia" w:ascii="宋体" w:hAnsi="宋体" w:eastAsia="宋体" w:cs="宋体"/>
          <w:color w:val="auto"/>
          <w:kern w:val="0"/>
          <w:sz w:val="24"/>
          <w:szCs w:val="24"/>
          <w:lang w:val="en-US" w:eastAsia="zh-CN" w:bidi="ar-SA"/>
        </w:rPr>
        <w:t>收集管理</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每日早晨7：00前，用垃圾转运车将居民院落等处生活垃圾运至指定装车点。</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垃圾房、池管理：垃圾房、池每日使用湿拖布、毛巾清洁地面和立面至少1次，对破损垃圾房进行及时修补。</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垃圾分类：实现在垃圾处置的第一个环节变实现分类处置、分类运输。对垃圾收运装置实施分类标识、分类使用，如：垃圾桶、垃圾收运车等，均应有明显的垃圾分类标识，此外分类配备餐厨垃圾和有毒有害垃圾的收运车，对垃圾实施分类后再装运，提高垃圾分类的效率，减少对环境的污染。配备垃圾分类引导员，在居民投放垃圾时，履行垃圾分类知识普及、正确投放垃圾的指引和劝导的职责。</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4、环卫设施维修管理</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（1）作业流程：每季度对垃圾桶进行一次普查，发现损坏影响使用功能或影响观瞻，及时上报相关部门予以维修、更换或拆除。</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（2）维修管护标准：垃圾桶外观和使用功能完好，无倒伏现象；漆面完好，转向轮、桶盖无缺损。</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5、市容市貌管理</w:t>
      </w:r>
    </w:p>
    <w:p>
      <w:pPr>
        <w:widowControl w:val="0"/>
        <w:numPr>
          <w:ilvl w:val="0"/>
          <w:numId w:val="2"/>
        </w:numPr>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治理牛皮癣：临街立面和公共设施无乱涂、乱画、乱张贴。</w:t>
      </w:r>
    </w:p>
    <w:p>
      <w:pPr>
        <w:pStyle w:val="2"/>
        <w:numPr>
          <w:ilvl w:val="0"/>
          <w:numId w:val="2"/>
        </w:numPr>
        <w:ind w:left="0" w:leftChars="0"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做好责任区域内道路洒水和雾化，冲洗绿化带及行道树等。</w:t>
      </w:r>
    </w:p>
    <w:p>
      <w:pPr>
        <w:widowControl w:val="0"/>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6、沟渠、河道保洁</w:t>
      </w:r>
    </w:p>
    <w:p>
      <w:pPr>
        <w:widowControl w:val="0"/>
        <w:numPr>
          <w:ilvl w:val="0"/>
          <w:numId w:val="2"/>
        </w:numPr>
        <w:spacing w:line="400" w:lineRule="exact"/>
        <w:ind w:firstLine="480" w:firstLineChars="200"/>
        <w:outlineLvl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沟渠、河道水域环境垃圾清理及卫生保洁。</w:t>
      </w:r>
    </w:p>
    <w:p>
      <w:pPr>
        <w:widowControl w:val="0"/>
        <w:numPr>
          <w:ilvl w:val="0"/>
          <w:numId w:val="2"/>
        </w:numPr>
        <w:spacing w:line="400" w:lineRule="exact"/>
        <w:ind w:firstLine="480" w:firstLineChars="200"/>
        <w:outlineLvl w:val="2"/>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沟渠、河道两旁公用设施、护坡保持清洁干净。</w:t>
      </w:r>
    </w:p>
    <w:p>
      <w:pPr>
        <w:widowControl w:val="0"/>
        <w:numPr>
          <w:ilvl w:val="0"/>
          <w:numId w:val="2"/>
        </w:numPr>
        <w:spacing w:line="400" w:lineRule="exact"/>
        <w:ind w:firstLine="480" w:firstLineChars="200"/>
        <w:outlineLvl w:val="2"/>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沟渠、河道无垃圾及漂浮物，河道可视范围内无有色垃圾。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四、人员配置要求</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四川省城乡环境卫生清扫保洁人员配置标准》配置。本项目服务人员（含一线环卫作业人员、驾驶员、管理人员等）由投标人自行合理配置，人员总数不得少于37人。在同等情况下优先承接继续聘用上轮本包号作业范围一线环卫工人。所有作业人员应统一服装，文明作业，协助街办做好生活垃圾分类的工作。</w:t>
      </w:r>
    </w:p>
    <w:p>
      <w:pPr>
        <w:spacing w:line="520" w:lineRule="exact"/>
        <w:ind w:firstLine="482" w:firstLineChars="200"/>
        <w:rPr>
          <w:rFonts w:hint="default" w:hAnsi="宋体" w:eastAsia="宋体"/>
          <w:b/>
          <w:color w:val="auto"/>
          <w:sz w:val="24"/>
          <w:lang w:val="en-US" w:eastAsia="zh-CN"/>
        </w:rPr>
      </w:pPr>
      <w:r>
        <w:rPr>
          <w:rFonts w:hint="eastAsia" w:hAnsi="宋体"/>
          <w:b/>
          <w:color w:val="auto"/>
          <w:sz w:val="24"/>
          <w:lang w:val="en-US" w:eastAsia="zh-CN"/>
        </w:rPr>
        <w:t>五、</w:t>
      </w:r>
      <w:r>
        <w:rPr>
          <w:rFonts w:hAnsi="宋体"/>
          <w:b/>
          <w:color w:val="auto"/>
          <w:sz w:val="24"/>
        </w:rPr>
        <w:t>作业机具配置标准</w:t>
      </w:r>
      <w:r>
        <w:rPr>
          <w:rFonts w:hint="eastAsia" w:hAnsi="宋体"/>
          <w:b/>
          <w:color w:val="auto"/>
          <w:sz w:val="24"/>
          <w:lang w:val="en-US" w:eastAsia="zh-CN"/>
        </w:rPr>
        <w:t>及要求</w:t>
      </w:r>
    </w:p>
    <w:p>
      <w:pPr>
        <w:pStyle w:val="2"/>
        <w:numPr>
          <w:ilvl w:val="0"/>
          <w:numId w:val="0"/>
        </w:numPr>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1、投标人须配置电动高压冲洗车、洒水车各1台（</w:t>
      </w:r>
      <w:r>
        <w:rPr>
          <w:rFonts w:hint="eastAsia" w:hAnsi="宋体"/>
          <w:color w:val="auto"/>
          <w:sz w:val="24"/>
          <w:lang w:val="en-US" w:eastAsia="zh-CN"/>
        </w:rPr>
        <w:t>自有或租赁</w:t>
      </w:r>
      <w:r>
        <w:rPr>
          <w:rFonts w:hint="eastAsia" w:ascii="宋体" w:hAnsi="宋体" w:eastAsia="宋体" w:cs="宋体"/>
          <w:color w:val="auto"/>
          <w:kern w:val="0"/>
          <w:sz w:val="24"/>
          <w:szCs w:val="24"/>
          <w:lang w:val="en-US" w:eastAsia="zh-CN" w:bidi="ar-SA"/>
        </w:rPr>
        <w:t>）。</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人提供1辆多功能抑尘车，在投标人中标后，签订代管协议，交由中标人负责维修和使用，并承担维修保养、驾驶人员工资、车辆保险、油费等相关费用，中标人合理测算相应作业经费。按照合同约定履行合同义务，并接受采购人检查，若投标人不能按照合同约定履行合同义务的，采购人有权单方面终止该合同并不承担任何违约责任。</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3、投标人中标后，多功能抑尘车应视天气情况坚持每天进行降尘、降雾霾作业，并接受采购人检查，检查不合格的，采购人有权视情扣除一定比例考核金。</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投标人承诺中标后，按照成城办[2019]219号文件要求配置新型能源垃圾前端收运车（轻、微卡）1辆，中标人合理测算相应经费。投标人应在投标文件中书面承诺在签订合同后60日内配备到位，按照合同约定履行合同义务，并接受采购人检查，若投标人不能按照合同约定履行合同义务的，采购人有权单方面终止该合同并不承担任何违约责任。</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5、如服务期间执行垃圾分类规定后，中标人需配置1辆四类</w:t>
      </w:r>
      <w:r>
        <w:rPr>
          <w:rFonts w:hint="default" w:ascii="宋体" w:hAnsi="宋体" w:eastAsia="宋体" w:cs="宋体"/>
          <w:color w:val="auto"/>
          <w:kern w:val="0"/>
          <w:sz w:val="24"/>
          <w:szCs w:val="24"/>
          <w:lang w:val="en-US" w:eastAsia="zh-CN" w:bidi="ar-SA"/>
        </w:rPr>
        <w:t>垃圾分类运输车</w:t>
      </w:r>
      <w:r>
        <w:rPr>
          <w:rFonts w:hint="eastAsia" w:ascii="宋体" w:hAnsi="宋体" w:eastAsia="宋体" w:cs="宋体"/>
          <w:color w:val="auto"/>
          <w:kern w:val="0"/>
          <w:sz w:val="24"/>
          <w:szCs w:val="24"/>
          <w:lang w:val="en-US" w:eastAsia="zh-CN" w:bidi="ar-SA"/>
        </w:rPr>
        <w:t>（自有或租赁）。</w:t>
      </w:r>
    </w:p>
    <w:p>
      <w:pPr>
        <w:spacing w:line="520" w:lineRule="exact"/>
        <w:ind w:firstLine="482" w:firstLineChars="200"/>
        <w:rPr>
          <w:rFonts w:hint="eastAsia" w:hAnsi="宋体" w:eastAsia="宋体"/>
          <w:b/>
          <w:color w:val="auto"/>
          <w:sz w:val="24"/>
          <w:lang w:val="en-US" w:eastAsia="zh-CN"/>
        </w:rPr>
      </w:pPr>
      <w:r>
        <w:rPr>
          <w:rFonts w:hint="eastAsia" w:hAnsi="宋体" w:eastAsia="宋体"/>
          <w:b/>
          <w:color w:val="auto"/>
          <w:sz w:val="24"/>
          <w:lang w:val="en-US" w:eastAsia="zh-CN"/>
        </w:rPr>
        <w:t>六、商务要求</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Times New Roman" w:hAnsi="Times New Roman" w:eastAsia="宋体" w:cs="Times New Roman"/>
          <w:color w:val="000000"/>
          <w:sz w:val="21"/>
          <w:szCs w:val="21"/>
          <w:lang w:val="en-US" w:eastAsia="zh-CN"/>
        </w:rPr>
        <w:t>★</w:t>
      </w:r>
      <w:r>
        <w:rPr>
          <w:rFonts w:hint="eastAsia" w:ascii="宋体" w:hAnsi="宋体" w:eastAsia="宋体" w:cs="宋体"/>
          <w:color w:val="auto"/>
          <w:kern w:val="0"/>
          <w:sz w:val="24"/>
          <w:szCs w:val="24"/>
          <w:lang w:val="en-US" w:eastAsia="zh-CN" w:bidi="ar-SA"/>
        </w:rPr>
        <w:t>服务期限：服务期为三年，合同一年一签（在此期间如遇上级部门调整保洁面积，投标人须无条件配合调整；第二年及第三年的采购预算以当年的财政预算为准）。</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2、服务地点：温江涌泉街道办事处指定地点。</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r>
        <w:rPr>
          <w:rFonts w:hint="eastAsia" w:ascii="Times New Roman" w:hAnsi="Times New Roman" w:eastAsia="宋体" w:cs="Times New Roman"/>
          <w:color w:val="000000"/>
          <w:sz w:val="21"/>
          <w:szCs w:val="21"/>
          <w:lang w:val="en-US" w:eastAsia="zh-CN"/>
        </w:rPr>
        <w:t>★</w:t>
      </w:r>
      <w:r>
        <w:rPr>
          <w:rFonts w:hint="eastAsia" w:ascii="宋体" w:hAnsi="宋体" w:eastAsia="宋体" w:cs="宋体"/>
          <w:color w:val="auto"/>
          <w:kern w:val="0"/>
          <w:sz w:val="24"/>
          <w:szCs w:val="24"/>
          <w:lang w:val="en-US" w:eastAsia="zh-CN" w:bidi="ar-SA"/>
        </w:rPr>
        <w:t xml:space="preserve">付款方式：按月支付，每月初七个工作日内支付上月合同经费的85%，另15%作为考核金，每季度按考核结果一次性支付。每次付款前，乙方应提供正式的等额票据，否则甲方有权拒绝付款，由此造成的损失由乙方自行承担。 </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r>
        <w:rPr>
          <w:rFonts w:hint="eastAsia" w:ascii="Times New Roman" w:hAnsi="Times New Roman" w:eastAsia="宋体" w:cs="Times New Roman"/>
          <w:color w:val="000000"/>
          <w:sz w:val="21"/>
          <w:szCs w:val="21"/>
          <w:lang w:val="en-US" w:eastAsia="zh-CN"/>
        </w:rPr>
        <w:t>★</w:t>
      </w:r>
      <w:r>
        <w:rPr>
          <w:rFonts w:hint="eastAsia" w:ascii="宋体" w:hAnsi="宋体" w:eastAsia="宋体" w:cs="宋体"/>
          <w:color w:val="auto"/>
          <w:kern w:val="0"/>
          <w:sz w:val="24"/>
          <w:szCs w:val="24"/>
          <w:lang w:val="en-US" w:eastAsia="zh-CN" w:bidi="ar-SA"/>
        </w:rPr>
        <w:t>验收标准和方法：按照《成都市温江区农村生活垃圾集中收运处理检查考核细则》、《温江区涌泉街道办事处市容环卫作业服务质量标准和要求》进行考核，中标人应主动配合采购人做好城乡环境综合整治考核测评工作，如因中标人原因影响采购人考核成绩排名，采购人有权视情扣除一定比例考核金。如连续多次影响采购人考核排名，采购人有权单方面解除采购合同并不承担任何违约责任。</w:t>
      </w:r>
    </w:p>
    <w:p>
      <w:pPr>
        <w:spacing w:line="520" w:lineRule="exact"/>
        <w:ind w:firstLine="482" w:firstLineChars="200"/>
        <w:rPr>
          <w:rFonts w:hint="eastAsia" w:hAnsi="宋体" w:eastAsia="宋体"/>
          <w:b/>
          <w:color w:val="auto"/>
          <w:sz w:val="24"/>
          <w:lang w:val="en-US" w:eastAsia="zh-CN"/>
        </w:rPr>
      </w:pPr>
      <w:r>
        <w:rPr>
          <w:rFonts w:hint="eastAsia" w:hAnsi="宋体" w:eastAsia="宋体"/>
          <w:b/>
          <w:color w:val="auto"/>
          <w:sz w:val="24"/>
          <w:lang w:val="en-US" w:eastAsia="zh-CN"/>
        </w:rPr>
        <w:t>七、其他要求</w:t>
      </w:r>
    </w:p>
    <w:p>
      <w:pPr>
        <w:pStyle w:val="2"/>
        <w:numPr>
          <w:ilvl w:val="0"/>
          <w:numId w:val="0"/>
        </w:num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人严格按照成都市城市管理委员会关于明确环卫工人工资和福利待遇发放标准的通知（成城函〔2020〕271号文件）执行，如在合同履行期间遇成都市最低工资标准调整，不得要求采购人增加费用，相关风险由投标人自行承担。</w:t>
      </w:r>
      <w:r>
        <w:rPr>
          <w:rFonts w:hint="eastAsia" w:ascii="宋体" w:hAnsi="宋体" w:eastAsia="宋体" w:cs="宋体"/>
          <w:b/>
          <w:bCs/>
          <w:color w:val="auto"/>
          <w:kern w:val="0"/>
          <w:sz w:val="24"/>
          <w:szCs w:val="24"/>
          <w:lang w:val="en-US" w:eastAsia="zh-CN" w:bidi="ar-SA"/>
        </w:rPr>
        <w:t>（提供承诺函加盖公章，格式自拟）。</w:t>
      </w:r>
    </w:p>
    <w:p>
      <w:pPr>
        <w:pStyle w:val="2"/>
        <w:numPr>
          <w:ilvl w:val="0"/>
          <w:numId w:val="0"/>
        </w:numPr>
        <w:ind w:firstLine="480" w:firstLineChars="200"/>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2、供应商中标后所有作业人员应进行环境卫生专业培训，培训合格后方可上岗作业。</w:t>
      </w:r>
      <w:r>
        <w:rPr>
          <w:rFonts w:hint="eastAsia" w:ascii="宋体" w:hAnsi="宋体" w:eastAsia="宋体" w:cs="宋体"/>
          <w:b/>
          <w:bCs/>
          <w:color w:val="auto"/>
          <w:kern w:val="0"/>
          <w:sz w:val="24"/>
          <w:szCs w:val="24"/>
          <w:lang w:val="en-US" w:eastAsia="zh-CN" w:bidi="ar-SA"/>
        </w:rPr>
        <w:t>（提供承诺函加盖公章，格式自拟）。</w:t>
      </w:r>
    </w:p>
    <w:p>
      <w:pPr>
        <w:pStyle w:val="2"/>
        <w:numPr>
          <w:ilvl w:val="0"/>
          <w:numId w:val="0"/>
        </w:numPr>
        <w:ind w:firstLine="480" w:firstLineChars="200"/>
        <w:rPr>
          <w:rFonts w:hint="eastAsia" w:hAnsi="宋体" w:eastAsia="宋体"/>
          <w:b/>
          <w:color w:val="auto"/>
          <w:sz w:val="24"/>
          <w:lang w:val="en-US" w:eastAsia="zh-CN"/>
        </w:rPr>
      </w:pPr>
      <w:r>
        <w:rPr>
          <w:rFonts w:hint="eastAsia" w:ascii="宋体" w:hAnsi="宋体" w:eastAsia="宋体" w:cs="宋体"/>
          <w:color w:val="auto"/>
          <w:kern w:val="0"/>
          <w:sz w:val="24"/>
          <w:szCs w:val="24"/>
          <w:lang w:val="en-US" w:eastAsia="zh-CN" w:bidi="ar-SA"/>
        </w:rPr>
        <w:t>3、遵守安全生产相关规定，安全操作、文明作业。合同期内，中标人在本项目服务的一切安全事故和其它事故由中标人负责。</w:t>
      </w:r>
      <w:r>
        <w:rPr>
          <w:rFonts w:hint="eastAsia" w:ascii="宋体" w:hAnsi="宋体" w:eastAsia="宋体" w:cs="宋体"/>
          <w:b/>
          <w:bCs/>
          <w:color w:val="auto"/>
          <w:kern w:val="0"/>
          <w:sz w:val="24"/>
          <w:szCs w:val="24"/>
          <w:lang w:val="en-US" w:eastAsia="zh-CN" w:bidi="ar-SA"/>
        </w:rPr>
        <w:t>（提供承诺函加盖公章，格式自拟）。</w:t>
      </w:r>
    </w:p>
    <w:p>
      <w:pPr>
        <w:spacing w:line="520" w:lineRule="exact"/>
        <w:rPr>
          <w:rFonts w:hint="eastAsia" w:hAnsi="宋体" w:eastAsia="宋体"/>
          <w:b/>
          <w:color w:val="auto"/>
          <w:sz w:val="24"/>
          <w:lang w:val="en-US" w:eastAsia="zh-CN"/>
        </w:rPr>
      </w:pPr>
      <w:r>
        <w:rPr>
          <w:rFonts w:hint="eastAsia" w:hAnsi="宋体" w:eastAsia="宋体"/>
          <w:b/>
          <w:color w:val="auto"/>
          <w:sz w:val="24"/>
          <w:lang w:val="en-US" w:eastAsia="zh-CN"/>
        </w:rPr>
        <w:t>附件1：清扫保洁服务面积清单</w:t>
      </w:r>
    </w:p>
    <w:p>
      <w:pPr>
        <w:pStyle w:val="2"/>
        <w:jc w:val="center"/>
        <w:rPr>
          <w:rFonts w:hint="default"/>
          <w:sz w:val="21"/>
          <w:szCs w:val="21"/>
          <w:lang w:val="en-US" w:eastAsia="zh-CN"/>
        </w:rPr>
      </w:pPr>
      <w:r>
        <w:rPr>
          <w:rFonts w:hint="eastAsia"/>
          <w:b/>
          <w:bCs/>
          <w:color w:val="auto"/>
          <w:sz w:val="21"/>
          <w:szCs w:val="21"/>
          <w:lang w:val="en-US" w:eastAsia="zh-CN"/>
        </w:rPr>
        <w:t>道路、绿化面积清单</w:t>
      </w:r>
    </w:p>
    <w:tbl>
      <w:tblPr>
        <w:tblStyle w:val="6"/>
        <w:tblW w:w="0" w:type="auto"/>
        <w:tblInd w:w="0" w:type="dxa"/>
        <w:tblLayout w:type="fixed"/>
        <w:tblCellMar>
          <w:top w:w="0" w:type="dxa"/>
          <w:left w:w="0" w:type="dxa"/>
          <w:bottom w:w="0" w:type="dxa"/>
          <w:right w:w="0" w:type="dxa"/>
        </w:tblCellMar>
      </w:tblPr>
      <w:tblGrid>
        <w:gridCol w:w="1042"/>
        <w:gridCol w:w="1042"/>
        <w:gridCol w:w="1042"/>
        <w:gridCol w:w="1042"/>
        <w:gridCol w:w="1042"/>
        <w:gridCol w:w="1042"/>
        <w:gridCol w:w="1042"/>
        <w:gridCol w:w="1044"/>
      </w:tblGrid>
      <w:tr>
        <w:tblPrEx>
          <w:tblCellMar>
            <w:top w:w="0" w:type="dxa"/>
            <w:left w:w="0" w:type="dxa"/>
            <w:bottom w:w="0" w:type="dxa"/>
            <w:right w:w="0" w:type="dxa"/>
          </w:tblCellMar>
        </w:tblPrEx>
        <w:trPr>
          <w:trHeight w:val="360" w:hRule="atLeast"/>
        </w:trPr>
        <w:tc>
          <w:tcPr>
            <w:tcW w:w="10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道路名称</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所在村组</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道路起点</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道路止点</w:t>
            </w:r>
          </w:p>
        </w:tc>
        <w:tc>
          <w:tcPr>
            <w:tcW w:w="1042"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车行道面积（㎡）</w:t>
            </w:r>
          </w:p>
        </w:tc>
        <w:tc>
          <w:tcPr>
            <w:tcW w:w="1042"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人行道面积（㎡）</w:t>
            </w:r>
          </w:p>
        </w:tc>
        <w:tc>
          <w:tcPr>
            <w:tcW w:w="10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绿化面积（㎡）</w:t>
            </w:r>
          </w:p>
        </w:tc>
      </w:tr>
      <w:tr>
        <w:tblPrEx>
          <w:tblCellMar>
            <w:top w:w="0" w:type="dxa"/>
            <w:left w:w="0" w:type="dxa"/>
            <w:bottom w:w="0" w:type="dxa"/>
            <w:right w:w="0" w:type="dxa"/>
          </w:tblCellMar>
        </w:tblPrEx>
        <w:trPr>
          <w:trHeight w:val="360" w:hRule="atLeast"/>
        </w:trPr>
        <w:tc>
          <w:tcPr>
            <w:tcW w:w="10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旺明路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浩旺路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路末</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5725.50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5362.67 </w:t>
            </w: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浩欣路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旺明路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1537.17 </w:t>
            </w: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浩瀚路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旺明路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1628.35 </w:t>
            </w: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浩旺路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浩旺路起点</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浩旺路终点</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12200.62 </w:t>
            </w: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旺辉路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浩旺路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大田村3组道路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1920.53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540.99 </w:t>
            </w: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旺海路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溫黄路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浩旺路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3508.79 </w:t>
            </w: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大田村4组道路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浩旺路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路末</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423.99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大田村3组道路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旺辉路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路末</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1056.42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大田村2、9组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旺海路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大田9组路末</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4186.28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旺海路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与大田村交界处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2840.98 </w:t>
            </w: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明光村11、12组道路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旺海路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凤翔大道</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6422.14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明光村1组、10组道路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明光村11组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双堰村6组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10875.92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明香路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光华八线路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5124.97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5967.78 </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明光村5组道路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凤凰街</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明香路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820.83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明光村3组、4组道路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明香路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骑士大道</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2309.21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明光村6组   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双堰村交界处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凤翔大道</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4135.16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双堰村4组   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浩旺路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溫黄路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3404.36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双堰村2组、6组、7组道路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双关路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明光村交界处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19091.09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490.57 </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双关路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溫黄路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路末</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5762.46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双堰村8组道路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双堰村2组、6组与8组交界</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路末</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2063.39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双关路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光华八线路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11518.39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洪江村4组道路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凤翔大道</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洪江村3组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7792.80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洪江村2组、3组、5组道路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双关路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洪江村6组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16218.03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2584.78 </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洪江村6组道路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洪江村5组交界处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双流县</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6594.09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前峰村1组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花土路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12325.63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双关路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光华八线路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花土路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7388.10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前峰村4组、8组、9组道路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前峰村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10500.81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共耕小区</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花土路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共耕村5组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23762.53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2104.82 </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71.50 </w:t>
            </w: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共耕村9组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共耕村边界</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土龙路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2936.80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5" w:hRule="atLeast"/>
        </w:trPr>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共耕村6组、7组、8组道路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共耕村</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土龙路</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16034.03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bl>
    <w:p>
      <w:pPr>
        <w:pStyle w:val="3"/>
        <w:jc w:val="both"/>
        <w:rPr>
          <w:rFonts w:hint="eastAsia" w:eastAsia="宋体"/>
          <w:b/>
          <w:bCs/>
          <w:color w:val="auto"/>
          <w:sz w:val="24"/>
          <w:szCs w:val="24"/>
          <w:lang w:val="en-US" w:eastAsia="zh-CN"/>
        </w:rPr>
      </w:pPr>
    </w:p>
    <w:p>
      <w:pPr>
        <w:pStyle w:val="2"/>
        <w:jc w:val="center"/>
        <w:rPr>
          <w:rFonts w:hint="default" w:eastAsia="宋体"/>
          <w:b/>
          <w:bCs/>
          <w:color w:val="auto"/>
          <w:sz w:val="21"/>
          <w:szCs w:val="21"/>
          <w:lang w:val="en-US" w:eastAsia="zh-CN"/>
        </w:rPr>
      </w:pPr>
      <w:r>
        <w:rPr>
          <w:rFonts w:hint="eastAsia" w:eastAsia="宋体"/>
          <w:b/>
          <w:bCs/>
          <w:color w:val="auto"/>
          <w:sz w:val="21"/>
          <w:szCs w:val="21"/>
          <w:lang w:val="en-US" w:eastAsia="zh-CN"/>
        </w:rPr>
        <w:t>沟渠、河道面积清单</w:t>
      </w:r>
    </w:p>
    <w:tbl>
      <w:tblPr>
        <w:tblStyle w:val="6"/>
        <w:tblW w:w="0" w:type="auto"/>
        <w:tblInd w:w="0" w:type="dxa"/>
        <w:tblLayout w:type="fixed"/>
        <w:tblCellMar>
          <w:top w:w="0" w:type="dxa"/>
          <w:left w:w="0" w:type="dxa"/>
          <w:bottom w:w="0" w:type="dxa"/>
          <w:right w:w="0" w:type="dxa"/>
        </w:tblCellMar>
      </w:tblPr>
      <w:tblGrid>
        <w:gridCol w:w="568"/>
        <w:gridCol w:w="780"/>
        <w:gridCol w:w="549"/>
        <w:gridCol w:w="642"/>
        <w:gridCol w:w="642"/>
        <w:gridCol w:w="642"/>
        <w:gridCol w:w="642"/>
        <w:gridCol w:w="642"/>
        <w:gridCol w:w="642"/>
        <w:gridCol w:w="642"/>
        <w:gridCol w:w="642"/>
        <w:gridCol w:w="642"/>
        <w:gridCol w:w="648"/>
      </w:tblGrid>
      <w:tr>
        <w:tblPrEx>
          <w:tblCellMar>
            <w:top w:w="0" w:type="dxa"/>
            <w:left w:w="0" w:type="dxa"/>
            <w:bottom w:w="0" w:type="dxa"/>
            <w:right w:w="0" w:type="dxa"/>
          </w:tblCellMar>
        </w:tblPrEx>
        <w:trPr>
          <w:trHeight w:val="600" w:hRule="atLeast"/>
        </w:trPr>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社区（村）</w:t>
            </w:r>
          </w:p>
        </w:tc>
        <w:tc>
          <w:tcPr>
            <w:tcW w:w="19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干  渠</w:t>
            </w: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  渠</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斗   渠</w:t>
            </w:r>
          </w:p>
        </w:tc>
        <w:tc>
          <w:tcPr>
            <w:tcW w:w="128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农渠</w:t>
            </w:r>
          </w:p>
        </w:tc>
        <w:tc>
          <w:tcPr>
            <w:tcW w:w="129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毛渠</w:t>
            </w:r>
          </w:p>
        </w:tc>
      </w:tr>
      <w:tr>
        <w:tblPrEx>
          <w:tblCellMar>
            <w:top w:w="0" w:type="dxa"/>
            <w:left w:w="0" w:type="dxa"/>
            <w:bottom w:w="0" w:type="dxa"/>
            <w:right w:w="0" w:type="dxa"/>
          </w:tblCellMar>
        </w:tblPrEx>
        <w:trPr>
          <w:trHeight w:val="600" w:hRule="atLeast"/>
        </w:trPr>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名称</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名称</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6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64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r>
      <w:tr>
        <w:tblPrEx>
          <w:tblCellMar>
            <w:top w:w="0" w:type="dxa"/>
            <w:left w:w="0" w:type="dxa"/>
            <w:bottom w:w="0" w:type="dxa"/>
            <w:right w:w="0" w:type="dxa"/>
          </w:tblCellMar>
        </w:tblPrEx>
        <w:trPr>
          <w:trHeight w:val="600"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大田</w:t>
            </w:r>
            <w:r>
              <w:rPr>
                <w:rFonts w:hint="eastAsia" w:ascii="宋体" w:hAnsi="宋体" w:eastAsia="宋体" w:cs="宋体"/>
                <w:i w:val="0"/>
                <w:color w:val="auto"/>
                <w:kern w:val="0"/>
                <w:sz w:val="20"/>
                <w:szCs w:val="20"/>
                <w:u w:val="none"/>
                <w:lang w:val="en-US" w:eastAsia="zh-CN" w:bidi="ar"/>
              </w:rPr>
              <w:t>社区</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杨柳河</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6700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7400</w:t>
            </w:r>
          </w:p>
        </w:tc>
      </w:tr>
      <w:tr>
        <w:tblPrEx>
          <w:tblCellMar>
            <w:top w:w="0" w:type="dxa"/>
            <w:left w:w="0" w:type="dxa"/>
            <w:bottom w:w="0" w:type="dxa"/>
            <w:right w:w="0" w:type="dxa"/>
          </w:tblCellMar>
        </w:tblPrEx>
        <w:trPr>
          <w:trHeight w:val="600"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大田社区</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杨柳河</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2700</w:t>
            </w:r>
          </w:p>
        </w:tc>
      </w:tr>
      <w:tr>
        <w:tblPrEx>
          <w:tblCellMar>
            <w:top w:w="0" w:type="dxa"/>
            <w:left w:w="0" w:type="dxa"/>
            <w:bottom w:w="0" w:type="dxa"/>
            <w:right w:w="0" w:type="dxa"/>
          </w:tblCellMar>
        </w:tblPrEx>
        <w:trPr>
          <w:trHeight w:val="600"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明光社区</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凤溪河</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8700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10000</w:t>
            </w:r>
          </w:p>
        </w:tc>
      </w:tr>
      <w:tr>
        <w:tblPrEx>
          <w:tblCellMar>
            <w:top w:w="0" w:type="dxa"/>
            <w:left w:w="0" w:type="dxa"/>
            <w:bottom w:w="0" w:type="dxa"/>
            <w:right w:w="0" w:type="dxa"/>
          </w:tblCellMar>
        </w:tblPrEx>
        <w:trPr>
          <w:trHeight w:val="600"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共耕社区</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江安河</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新堰支渠</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5700</w:t>
            </w:r>
          </w:p>
        </w:tc>
      </w:tr>
      <w:tr>
        <w:tblPrEx>
          <w:tblCellMar>
            <w:top w:w="0" w:type="dxa"/>
            <w:left w:w="0" w:type="dxa"/>
            <w:bottom w:w="0" w:type="dxa"/>
            <w:right w:w="0" w:type="dxa"/>
          </w:tblCellMar>
        </w:tblPrEx>
        <w:trPr>
          <w:trHeight w:val="600"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凤凰社区</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江安河</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00"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官河</w:t>
            </w:r>
            <w:r>
              <w:rPr>
                <w:rFonts w:hint="eastAsia" w:ascii="宋体" w:hAnsi="宋体" w:eastAsia="宋体" w:cs="宋体"/>
                <w:i w:val="0"/>
                <w:color w:val="auto"/>
                <w:kern w:val="0"/>
                <w:sz w:val="20"/>
                <w:szCs w:val="20"/>
                <w:u w:val="none"/>
                <w:lang w:val="en-US" w:eastAsia="zh-CN" w:bidi="ar"/>
              </w:rPr>
              <w:t>社区</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官河支渠</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8200</w:t>
            </w:r>
          </w:p>
        </w:tc>
      </w:tr>
      <w:tr>
        <w:tblPrEx>
          <w:tblCellMar>
            <w:top w:w="0" w:type="dxa"/>
            <w:left w:w="0" w:type="dxa"/>
            <w:bottom w:w="0" w:type="dxa"/>
            <w:right w:w="0" w:type="dxa"/>
          </w:tblCellMar>
        </w:tblPrEx>
        <w:trPr>
          <w:trHeight w:val="600"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官河社区</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官河支渠</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85"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  计</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6300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8850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34000</w:t>
            </w:r>
          </w:p>
        </w:tc>
      </w:tr>
    </w:tbl>
    <w:p>
      <w:pPr>
        <w:pStyle w:val="2"/>
        <w:rPr>
          <w:rFonts w:hint="eastAsia"/>
          <w:color w:val="auto"/>
          <w:lang w:val="en-US" w:eastAsia="zh-CN"/>
        </w:rPr>
      </w:pPr>
    </w:p>
    <w:p>
      <w:pPr>
        <w:rPr>
          <w:rFonts w:hint="eastAsia"/>
          <w:color w:val="auto"/>
          <w:lang w:val="en-US" w:eastAsia="zh-CN"/>
        </w:rPr>
      </w:pPr>
    </w:p>
    <w:p>
      <w:pPr>
        <w:widowControl w:val="0"/>
        <w:spacing w:after="0" w:line="360" w:lineRule="auto"/>
        <w:rPr>
          <w:rFonts w:ascii="宋体" w:hAnsi="宋体" w:eastAsia="宋体" w:cs="仿宋"/>
          <w:b/>
          <w:bCs/>
          <w:color w:val="auto"/>
          <w:sz w:val="24"/>
          <w:lang w:val="zh-CN"/>
        </w:rPr>
      </w:pPr>
    </w:p>
    <w:p>
      <w:pPr>
        <w:spacing w:line="520" w:lineRule="exact"/>
        <w:rPr>
          <w:rFonts w:hint="eastAsia" w:hAnsi="宋体" w:eastAsia="宋体"/>
          <w:b/>
          <w:color w:val="auto"/>
          <w:sz w:val="24"/>
          <w:lang w:val="en-US" w:eastAsia="zh-CN"/>
        </w:rPr>
      </w:pPr>
      <w:r>
        <w:rPr>
          <w:rFonts w:hint="eastAsia" w:hAnsi="宋体" w:eastAsia="宋体"/>
          <w:b/>
          <w:color w:val="auto"/>
          <w:sz w:val="24"/>
          <w:lang w:val="zh-CN" w:eastAsia="zh-CN"/>
        </w:rPr>
        <w:t>附件</w:t>
      </w:r>
      <w:r>
        <w:rPr>
          <w:rFonts w:hint="eastAsia" w:hAnsi="宋体" w:eastAsia="宋体"/>
          <w:b/>
          <w:color w:val="auto"/>
          <w:sz w:val="24"/>
          <w:lang w:val="en-US" w:eastAsia="zh-CN"/>
        </w:rPr>
        <w:t>2</w:t>
      </w:r>
      <w:r>
        <w:rPr>
          <w:rFonts w:hint="eastAsia" w:hAnsi="宋体" w:eastAsia="宋体"/>
          <w:b/>
          <w:color w:val="auto"/>
          <w:sz w:val="24"/>
          <w:lang w:val="zh-CN" w:eastAsia="zh-CN"/>
        </w:rPr>
        <w:t>：</w:t>
      </w:r>
      <w:r>
        <w:rPr>
          <w:rFonts w:hint="eastAsia" w:hAnsi="宋体" w:eastAsia="宋体"/>
          <w:b/>
          <w:color w:val="auto"/>
          <w:sz w:val="24"/>
          <w:lang w:val="en-US" w:eastAsia="zh-CN"/>
        </w:rPr>
        <w:t>成都市城市管理委员会关于进一步规范环卫作业招标投标合同内容提升环卫工作精细化水平的通知</w:t>
      </w:r>
    </w:p>
    <w:p>
      <w:pPr>
        <w:pStyle w:val="2"/>
        <w:rPr>
          <w:rFonts w:hint="eastAsia"/>
          <w:lang w:val="en-US" w:eastAsia="zh-CN"/>
        </w:rPr>
      </w:pPr>
    </w:p>
    <w:p>
      <w:pPr>
        <w:pStyle w:val="2"/>
        <w:jc w:val="center"/>
        <w:rPr>
          <w:rFonts w:hint="eastAsia" w:ascii="宋体" w:hAnsi="宋体" w:eastAsia="宋体" w:cs="仿宋"/>
          <w:b/>
          <w:color w:val="auto"/>
          <w:sz w:val="28"/>
          <w:szCs w:val="28"/>
          <w:lang w:val="en-US" w:eastAsia="zh-CN"/>
        </w:rPr>
      </w:pPr>
      <w:r>
        <w:rPr>
          <w:rFonts w:hint="eastAsia" w:ascii="宋体" w:hAnsi="宋体" w:eastAsia="宋体" w:cs="仿宋"/>
          <w:b/>
          <w:color w:val="auto"/>
          <w:sz w:val="28"/>
          <w:szCs w:val="28"/>
          <w:lang w:val="en-US" w:eastAsia="zh-CN"/>
        </w:rPr>
        <w:t xml:space="preserve">成都市城市管理委员会 成城发[2019]62号 </w:t>
      </w:r>
    </w:p>
    <w:p>
      <w:pPr>
        <w:pStyle w:val="2"/>
        <w:jc w:val="center"/>
        <w:rPr>
          <w:rFonts w:hint="eastAsia" w:ascii="宋体" w:hAnsi="宋体" w:eastAsia="宋体" w:cs="仿宋"/>
          <w:b/>
          <w:color w:val="auto"/>
          <w:sz w:val="28"/>
          <w:szCs w:val="28"/>
          <w:lang w:val="en-US" w:eastAsia="zh-CN"/>
        </w:rPr>
      </w:pPr>
      <w:r>
        <w:rPr>
          <w:rFonts w:hint="eastAsia" w:ascii="宋体" w:hAnsi="宋体" w:eastAsia="宋体" w:cs="仿宋"/>
          <w:b/>
          <w:color w:val="auto"/>
          <w:sz w:val="28"/>
          <w:szCs w:val="28"/>
          <w:lang w:val="en-US" w:eastAsia="zh-CN"/>
        </w:rPr>
        <w:t>成都市城市管理委员会关于进一步规范环卫作业招标投标合同内容提升环卫工作精细化水平的通知</w:t>
      </w:r>
    </w:p>
    <w:p>
      <w:pPr>
        <w:widowControl w:val="0"/>
        <w:spacing w:after="0" w:line="360" w:lineRule="auto"/>
        <w:rPr>
          <w:rFonts w:hint="eastAsia" w:ascii="宋体" w:hAnsi="宋体" w:eastAsia="宋体" w:cs="仿宋"/>
          <w:color w:val="auto"/>
          <w:sz w:val="24"/>
          <w:lang w:val="en-US" w:eastAsia="zh-CN"/>
        </w:rPr>
      </w:pPr>
      <w:r>
        <w:rPr>
          <w:rFonts w:hint="eastAsia" w:ascii="宋体" w:hAnsi="宋体" w:eastAsia="宋体" w:cs="仿宋"/>
          <w:color w:val="auto"/>
          <w:sz w:val="24"/>
          <w:lang w:val="en-US" w:eastAsia="zh-CN"/>
        </w:rPr>
        <w:t>成都天府新区城市管理和市场监督局，成都高新区生态环境与城市管理局，各区（市）县综合执法（城市管理）部门：</w:t>
      </w:r>
    </w:p>
    <w:p>
      <w:pPr>
        <w:pStyle w:val="2"/>
        <w:ind w:firstLine="480" w:firstLineChars="200"/>
        <w:rPr>
          <w:rFonts w:hint="eastAsia" w:ascii="宋体" w:hAnsi="宋体" w:eastAsia="宋体" w:cs="仿宋"/>
          <w:color w:val="auto"/>
          <w:sz w:val="24"/>
          <w:lang w:val="en-US" w:eastAsia="zh-CN"/>
        </w:rPr>
      </w:pPr>
      <w:r>
        <w:rPr>
          <w:rFonts w:hint="eastAsia" w:ascii="宋体" w:hAnsi="宋体" w:eastAsia="宋体" w:cs="仿宋"/>
          <w:color w:val="auto"/>
          <w:sz w:val="24"/>
          <w:lang w:val="en-US" w:eastAsia="zh-CN"/>
        </w:rPr>
        <w:t>为深入推进环境卫生管理工作，进一步提升城市环卫精细化水平，助力美丽宜居公园城市建设，现将有关事项通知如下。</w:t>
      </w:r>
    </w:p>
    <w:p>
      <w:pPr>
        <w:pStyle w:val="2"/>
        <w:numPr>
          <w:ilvl w:val="0"/>
          <w:numId w:val="3"/>
        </w:numPr>
        <w:rPr>
          <w:rFonts w:hint="eastAsia"/>
          <w:color w:val="auto"/>
          <w:sz w:val="24"/>
          <w:szCs w:val="24"/>
          <w:lang w:val="en-US" w:eastAsia="zh-CN"/>
        </w:rPr>
      </w:pPr>
      <w:r>
        <w:rPr>
          <w:rFonts w:hint="eastAsia"/>
          <w:color w:val="auto"/>
          <w:sz w:val="24"/>
          <w:szCs w:val="24"/>
          <w:lang w:val="en-US" w:eastAsia="zh-CN"/>
        </w:rPr>
        <w:t>必须将环卫安全生产作业作为环卫招投标合同中的必备条款。要明确企业为安全生产责任主体，监督部门加强安全监督检查。</w:t>
      </w:r>
    </w:p>
    <w:p>
      <w:pPr>
        <w:pStyle w:val="2"/>
        <w:numPr>
          <w:ilvl w:val="0"/>
          <w:numId w:val="3"/>
        </w:numPr>
        <w:rPr>
          <w:rFonts w:hint="default"/>
          <w:color w:val="auto"/>
          <w:sz w:val="24"/>
          <w:szCs w:val="24"/>
          <w:lang w:val="en-US" w:eastAsia="zh-CN"/>
        </w:rPr>
      </w:pPr>
      <w:r>
        <w:rPr>
          <w:rFonts w:hint="eastAsia"/>
          <w:color w:val="auto"/>
          <w:sz w:val="24"/>
          <w:szCs w:val="24"/>
          <w:lang w:val="en-US" w:eastAsia="zh-CN"/>
        </w:rPr>
        <w:t>必须将道路机械化清扫率指标作为环卫作业招投标合同中的必备条款。要认真执行《成都市环卫清扫保洁精细化作业规范》，规范机械化清扫作业，能实施机械化清扫作业的城市建成区道路必须全部实施机械化清扫作业。</w:t>
      </w:r>
    </w:p>
    <w:p>
      <w:pPr>
        <w:pStyle w:val="2"/>
        <w:numPr>
          <w:ilvl w:val="0"/>
          <w:numId w:val="3"/>
        </w:numPr>
        <w:rPr>
          <w:rFonts w:hint="eastAsia"/>
          <w:color w:val="auto"/>
          <w:sz w:val="24"/>
          <w:szCs w:val="24"/>
          <w:lang w:val="en-US" w:eastAsia="zh-CN"/>
        </w:rPr>
      </w:pPr>
      <w:r>
        <w:rPr>
          <w:rFonts w:hint="eastAsia"/>
          <w:color w:val="auto"/>
          <w:sz w:val="24"/>
          <w:szCs w:val="24"/>
          <w:lang w:val="en-US" w:eastAsia="zh-CN"/>
        </w:rPr>
        <w:t>必须将从事生活垃圾清扫、收集、运输、处置的环卫企业纳入信用体系监管。要加强对生活垃圾清扫、收集、运输、处置工作的监督检查，定期考核评估企业的履约情况，并将履约情况纳入城市管理信用评价监管系统，进行累计计分管理，并在环卫作业招投标合同中予以明确。</w:t>
      </w:r>
    </w:p>
    <w:p>
      <w:pPr>
        <w:pStyle w:val="2"/>
        <w:numPr>
          <w:ilvl w:val="0"/>
          <w:numId w:val="3"/>
        </w:numPr>
        <w:ind w:left="0" w:leftChars="0" w:firstLine="0" w:firstLineChars="0"/>
        <w:rPr>
          <w:rFonts w:hint="default"/>
          <w:color w:val="auto"/>
          <w:sz w:val="24"/>
          <w:szCs w:val="24"/>
          <w:lang w:val="en-US" w:eastAsia="zh-CN"/>
        </w:rPr>
      </w:pPr>
      <w:r>
        <w:rPr>
          <w:rFonts w:hint="eastAsia"/>
          <w:color w:val="auto"/>
          <w:sz w:val="24"/>
          <w:szCs w:val="24"/>
          <w:lang w:val="en-US" w:eastAsia="zh-CN"/>
        </w:rPr>
        <w:t>必须将城镇生活垃圾分类收运工作作为环卫作业招投标合同中的必备条款。要建立完善分类运输体系，配足配强分类运输车辆，喷涂统一的运输车辆标识，防止“前分后混”，并确保使用密闭的运输工具转运生活垃圾，杜绝运输过程中得“抛冒滴漏”。</w:t>
      </w:r>
    </w:p>
    <w:p>
      <w:pPr>
        <w:pStyle w:val="2"/>
        <w:numPr>
          <w:ilvl w:val="0"/>
          <w:numId w:val="3"/>
        </w:numPr>
        <w:rPr>
          <w:rFonts w:hint="eastAsia"/>
          <w:color w:val="auto"/>
          <w:sz w:val="24"/>
          <w:szCs w:val="24"/>
          <w:lang w:val="en-US" w:eastAsia="zh-CN"/>
        </w:rPr>
      </w:pPr>
      <w:r>
        <w:rPr>
          <w:rFonts w:hint="eastAsia"/>
          <w:color w:val="auto"/>
          <w:sz w:val="24"/>
          <w:szCs w:val="24"/>
          <w:lang w:val="en-US" w:eastAsia="zh-CN"/>
        </w:rPr>
        <w:t>必须落实新设施、新设备、新技术的要求。要按照环卫清扫保洁精细化作业规则，执行好人机替换率标准，最大程度减少人工使用和降低环卫工人劳动强度；同时，环卫作业车辆尾气排放必须符合国家适时标准要求，鼓励使用新能源车辆，并在环卫作业招投标合同中予以明确。</w:t>
      </w:r>
    </w:p>
    <w:p>
      <w:pPr>
        <w:pStyle w:val="2"/>
        <w:numPr>
          <w:ilvl w:val="0"/>
          <w:numId w:val="3"/>
        </w:numPr>
        <w:ind w:left="0" w:leftChars="0" w:firstLine="0" w:firstLineChars="0"/>
        <w:rPr>
          <w:rFonts w:hint="default"/>
          <w:color w:val="auto"/>
          <w:sz w:val="24"/>
          <w:szCs w:val="24"/>
          <w:lang w:val="en-US" w:eastAsia="zh-CN"/>
        </w:rPr>
      </w:pPr>
      <w:r>
        <w:rPr>
          <w:rFonts w:hint="eastAsia"/>
          <w:color w:val="auto"/>
          <w:sz w:val="24"/>
          <w:szCs w:val="24"/>
          <w:lang w:val="en-US" w:eastAsia="zh-CN"/>
        </w:rPr>
        <w:t>必须在环卫作业招投标合同中明确环卫工人工作服装应按适时标准要求配置和更新。</w:t>
      </w:r>
    </w:p>
    <w:p>
      <w:pPr>
        <w:spacing w:line="440" w:lineRule="exact"/>
        <w:rPr>
          <w:rFonts w:hint="eastAsia" w:ascii="宋体" w:hAnsi="宋体" w:cs="宋体"/>
          <w:b/>
          <w:bCs/>
          <w:sz w:val="24"/>
          <w:highlight w:val="none"/>
          <w:lang w:eastAsia="zh-CN"/>
        </w:rPr>
      </w:pPr>
      <w:r>
        <w:rPr>
          <w:rFonts w:hint="eastAsia"/>
          <w:color w:val="auto"/>
          <w:sz w:val="24"/>
          <w:szCs w:val="24"/>
          <w:lang w:val="en-US" w:eastAsia="zh-CN"/>
        </w:rPr>
        <w:t>必须在环卫作业招投标合同中明确智慧环卫管理信息平台建设的相关内容。环卫企业需按适时标准要求，及时录入环卫作业人员、设施设备等相关信息，实现环卫作业监管“一平台、一张网、一条链”。</w:t>
      </w:r>
    </w:p>
    <w:p>
      <w:pPr>
        <w:spacing w:line="440" w:lineRule="exact"/>
        <w:rPr>
          <w:rFonts w:hint="eastAsia" w:ascii="宋体" w:hAnsi="宋体" w:cs="宋体"/>
          <w:b/>
          <w:bCs/>
          <w:sz w:val="24"/>
          <w:highlight w:val="none"/>
        </w:rPr>
      </w:pPr>
      <w:r>
        <w:rPr>
          <w:rFonts w:hint="eastAsia" w:ascii="宋体" w:hAnsi="宋体" w:cs="宋体"/>
          <w:b/>
          <w:bCs/>
          <w:sz w:val="24"/>
          <w:highlight w:val="none"/>
        </w:rPr>
        <w:t>磋商过程中可能实质性变动的内容：</w:t>
      </w:r>
    </w:p>
    <w:p>
      <w:pPr>
        <w:pStyle w:val="2"/>
        <w:spacing w:line="440" w:lineRule="exact"/>
        <w:ind w:firstLine="480"/>
        <w:rPr>
          <w:rFonts w:hint="eastAsia" w:ascii="宋体" w:hAnsi="宋体" w:cs="宋体"/>
          <w:b/>
          <w:bCs/>
          <w:sz w:val="24"/>
          <w:highlight w:val="none"/>
        </w:rPr>
      </w:pPr>
      <w:r>
        <w:rPr>
          <w:rFonts w:hint="eastAsia" w:ascii="宋体" w:hAnsi="宋体" w:cs="宋体"/>
          <w:color w:val="auto"/>
          <w:sz w:val="24"/>
          <w:highlight w:val="none"/>
        </w:rPr>
        <w:t xml:space="preserve">磋商小组所有成员应当按顺序集中与单一供应商分别进行磋商。在磋商过程中，磋商小组可以根据磋商文件和磋商情况实质性变动采购需求中的技术、服务要求以及合同草案条款，但不得变动其他内容。实质性变动的内容，须经采购人代表确认。对磋商文件作出的实质性变动是磋商文件的有效组成部分，应当以书面形式及时通知所有参加磋商的供应商，供应商应当按照磋商文件的变动情况和磋商小组的要求重新提交响应文件，但只提供变动后的内容。 </w:t>
      </w:r>
    </w:p>
    <w:p>
      <w:pPr>
        <w:spacing w:line="440" w:lineRule="exact"/>
        <w:rPr>
          <w:rFonts w:hint="eastAsia" w:ascii="宋体" w:hAnsi="宋体" w:cs="宋体"/>
          <w:bCs/>
          <w:sz w:val="24"/>
          <w:highlight w:val="none"/>
        </w:rPr>
      </w:pPr>
      <w:r>
        <w:rPr>
          <w:rFonts w:hint="eastAsia" w:ascii="宋体" w:hAnsi="宋体" w:cs="宋体"/>
          <w:b/>
          <w:bCs/>
          <w:sz w:val="24"/>
          <w:highlight w:val="none"/>
        </w:rPr>
        <w:t>其他未尽事宜，由采购人与成交供应商另行协商解决。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CD3A5"/>
    <w:multiLevelType w:val="singleLevel"/>
    <w:tmpl w:val="C1ACD3A5"/>
    <w:lvl w:ilvl="0" w:tentative="0">
      <w:start w:val="2"/>
      <w:numFmt w:val="chineseCounting"/>
      <w:suff w:val="nothing"/>
      <w:lvlText w:val="%1、"/>
      <w:lvlJc w:val="left"/>
      <w:rPr>
        <w:rFonts w:hint="eastAsia"/>
      </w:rPr>
    </w:lvl>
  </w:abstractNum>
  <w:abstractNum w:abstractNumId="1">
    <w:nsid w:val="E652CC93"/>
    <w:multiLevelType w:val="singleLevel"/>
    <w:tmpl w:val="E652CC93"/>
    <w:lvl w:ilvl="0" w:tentative="0">
      <w:start w:val="1"/>
      <w:numFmt w:val="decimal"/>
      <w:suff w:val="nothing"/>
      <w:lvlText w:val="（%1）"/>
      <w:lvlJc w:val="left"/>
    </w:lvl>
  </w:abstractNum>
  <w:abstractNum w:abstractNumId="2">
    <w:nsid w:val="780DE5B8"/>
    <w:multiLevelType w:val="singleLevel"/>
    <w:tmpl w:val="780DE5B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3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before="340" w:after="330" w:line="578" w:lineRule="auto"/>
      <w:outlineLvl w:val="0"/>
    </w:pPr>
    <w:rPr>
      <w:b w:val="0"/>
      <w:bCs w:val="0"/>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widowControl/>
      <w:spacing w:line="360" w:lineRule="auto"/>
    </w:pPr>
    <w:rPr>
      <w:color w:val="FF0000"/>
    </w:rPr>
  </w:style>
  <w:style w:type="paragraph" w:styleId="3">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5">
    <w:name w:val="Title"/>
    <w:basedOn w:val="1"/>
    <w:next w:val="1"/>
    <w:qFormat/>
    <w:uiPriority w:val="10"/>
    <w:pPr>
      <w:spacing w:before="240" w:after="60"/>
      <w:jc w:val="center"/>
      <w:outlineLvl w:val="0"/>
    </w:pPr>
    <w:rPr>
      <w:rFonts w:ascii="等线 Light" w:hAnsi="等线 Light" w:eastAsia="等线 Light" w:cs="Times New Roman"/>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2021-04-25T08:52:37Z</dcterms:created>
  <dc:creator>Administrator</dc:creator>
  <cp:lastModifiedBy>世界</cp:lastModifiedBy>
  <dcterms:modified xsi:type="dcterms:W3CDTF">2021-04-25T08:52:45Z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14F8EB98DF7D43F5B6054077D57F3794</vt:lpwstr>
  </property>
</Properties>
</file>