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rPr>
      </w:pPr>
      <w:r>
        <w:rPr>
          <w:rFonts w:hint="eastAsia"/>
          <w:sz w:val="36"/>
          <w:szCs w:val="36"/>
          <w:lang w:eastAsia="zh-CN"/>
        </w:rPr>
        <w:t>四川天府新区实验中学视频监控设备采购项目</w:t>
      </w:r>
      <w:r>
        <w:rPr>
          <w:rFonts w:hint="eastAsia"/>
          <w:sz w:val="36"/>
          <w:szCs w:val="36"/>
        </w:rPr>
        <w:t> </w:t>
      </w:r>
    </w:p>
    <w:p>
      <w:pPr>
        <w:jc w:val="center"/>
        <w:rPr>
          <w:rFonts w:hint="eastAsia" w:eastAsiaTheme="minorEastAsia"/>
          <w:sz w:val="36"/>
          <w:szCs w:val="36"/>
          <w:lang w:eastAsia="zh-CN"/>
        </w:rPr>
      </w:pPr>
      <w:r>
        <w:rPr>
          <w:rFonts w:hint="eastAsia"/>
          <w:sz w:val="36"/>
          <w:szCs w:val="36"/>
        </w:rPr>
        <w:t>更正0</w:t>
      </w:r>
      <w:r>
        <w:rPr>
          <w:rFonts w:hint="eastAsia"/>
          <w:sz w:val="36"/>
          <w:szCs w:val="36"/>
          <w:lang w:val="en-US" w:eastAsia="zh-CN"/>
        </w:rPr>
        <w:t>2</w:t>
      </w:r>
    </w:p>
    <w:p>
      <w:pPr>
        <w:spacing w:line="360" w:lineRule="auto"/>
        <w:rPr>
          <w:rFonts w:hint="eastAsia" w:ascii="宋体" w:hAnsi="宋体" w:eastAsia="宋体"/>
          <w:sz w:val="28"/>
          <w:szCs w:val="28"/>
        </w:rPr>
      </w:pPr>
    </w:p>
    <w:p>
      <w:pPr>
        <w:spacing w:line="480" w:lineRule="auto"/>
        <w:rPr>
          <w:rFonts w:hint="eastAsia" w:ascii="宋体" w:hAnsi="宋体" w:eastAsia="宋体" w:cs="宋体"/>
          <w:sz w:val="24"/>
          <w:szCs w:val="24"/>
        </w:rPr>
      </w:pPr>
      <w:r>
        <w:rPr>
          <w:rFonts w:hint="eastAsia" w:ascii="宋体" w:hAnsi="宋体" w:eastAsia="宋体" w:cs="宋体"/>
          <w:sz w:val="24"/>
          <w:szCs w:val="24"/>
        </w:rPr>
        <w:t>致各潜在供应商：</w:t>
      </w:r>
    </w:p>
    <w:p>
      <w:pPr>
        <w:spacing w:line="48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关于四川天府新区实验中学视频监控设备采购项目发布更正事宜如下：</w:t>
      </w:r>
    </w:p>
    <w:p>
      <w:pPr>
        <w:spacing w:line="480" w:lineRule="auto"/>
        <w:ind w:firstLine="480" w:firstLineChars="200"/>
        <w:rPr>
          <w:rFonts w:hint="eastAsia" w:ascii="宋体" w:hAnsi="宋体" w:eastAsia="宋体" w:cs="宋体"/>
          <w:sz w:val="28"/>
          <w:szCs w:val="28"/>
          <w:lang w:val="en-US" w:eastAsia="zh-CN"/>
        </w:rPr>
      </w:pPr>
      <w:r>
        <w:rPr>
          <w:rFonts w:hint="eastAsia" w:ascii="宋体" w:hAnsi="宋体" w:eastAsia="宋体" w:cs="宋体"/>
          <w:sz w:val="24"/>
          <w:szCs w:val="24"/>
          <w:lang w:val="en-US" w:eastAsia="zh-CN"/>
        </w:rPr>
        <w:t>针对“第七章评标办法第</w:t>
      </w:r>
      <w:r>
        <w:rPr>
          <w:rFonts w:hint="eastAsia" w:ascii="宋体" w:hAnsi="宋体" w:eastAsia="宋体" w:cs="宋体"/>
          <w:color w:val="auto"/>
          <w:sz w:val="24"/>
          <w:szCs w:val="24"/>
          <w:highlight w:val="none"/>
        </w:rPr>
        <w:t>4.5.2综合评分明细表</w:t>
      </w:r>
      <w:r>
        <w:rPr>
          <w:rFonts w:hint="default"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有所改动，其中“</w:t>
      </w:r>
      <w:r>
        <w:rPr>
          <w:rFonts w:hint="eastAsia" w:ascii="宋体" w:hAnsi="宋体" w:eastAsia="宋体" w:cs="宋体"/>
          <w:color w:val="auto"/>
          <w:sz w:val="24"/>
          <w:szCs w:val="24"/>
          <w:highlight w:val="none"/>
          <w:lang w:eastAsia="zh-CN"/>
        </w:rPr>
        <w:t>序号</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技术指标和配置中的1.投标人针对采购清单中的一般技术参数条款（指未标注 “▲”的条款，共7</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条）的响应得分规则如下：一般技术参数条款响应得分=（投标人满足一般技术参数条款的数量÷一般技术参数条款的总数量）×10分。2.投标人针对采购清单中带“▲”技术参数条款（共</w:t>
      </w:r>
      <w:r>
        <w:rPr>
          <w:rFonts w:hint="eastAsia" w:ascii="宋体" w:hAnsi="宋体" w:eastAsia="宋体" w:cs="宋体"/>
          <w:color w:val="auto"/>
          <w:sz w:val="24"/>
          <w:szCs w:val="24"/>
          <w:highlight w:val="none"/>
          <w:lang w:val="en-US" w:eastAsia="zh-CN"/>
        </w:rPr>
        <w:t>20</w:t>
      </w:r>
      <w:r>
        <w:rPr>
          <w:rFonts w:hint="eastAsia" w:ascii="宋体" w:hAnsi="宋体" w:eastAsia="宋体" w:cs="宋体"/>
          <w:color w:val="auto"/>
          <w:sz w:val="24"/>
          <w:szCs w:val="24"/>
          <w:highlight w:val="none"/>
          <w:lang w:eastAsia="zh-CN"/>
        </w:rPr>
        <w:t>条）的响应得分规则如下：“▲”技术参数条款响应得分=（投标人满足“▲”技术参数条款的数量÷ “▲”技术参数条款的总数量）×30分。</w:t>
      </w:r>
      <w:r>
        <w:rPr>
          <w:rFonts w:hint="eastAsia" w:ascii="宋体" w:hAnsi="宋体" w:eastAsia="宋体" w:cs="宋体"/>
          <w:sz w:val="24"/>
          <w:szCs w:val="24"/>
          <w:lang w:val="en-US" w:eastAsia="zh-CN"/>
        </w:rPr>
        <w:t>”更改为“</w:t>
      </w:r>
      <w:r>
        <w:rPr>
          <w:rFonts w:hint="eastAsia" w:ascii="宋体" w:hAnsi="宋体" w:eastAsia="宋体" w:cs="宋体"/>
          <w:color w:val="auto"/>
          <w:sz w:val="24"/>
          <w:szCs w:val="24"/>
          <w:highlight w:val="none"/>
          <w:lang w:eastAsia="zh-CN"/>
        </w:rPr>
        <w:t>1.投标人针对采购清单中的一般技术参数条款（指未标注 “▲”的条款，共7</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eastAsia="zh-CN"/>
        </w:rPr>
        <w:t>条）的响应得分规则如下：一般技术参数条款响应得分=（投标人满足一般技术参数条款的数量÷一般技术参数条款的总数量）×10分。2.投标人针对采购清单中带“▲”技术参数条款（共</w:t>
      </w:r>
      <w:r>
        <w:rPr>
          <w:rFonts w:hint="eastAsia" w:ascii="宋体" w:hAnsi="宋体" w:eastAsia="宋体" w:cs="宋体"/>
          <w:color w:val="auto"/>
          <w:sz w:val="24"/>
          <w:szCs w:val="24"/>
          <w:highlight w:val="none"/>
          <w:lang w:val="en-US" w:eastAsia="zh-CN"/>
        </w:rPr>
        <w:t>16</w:t>
      </w:r>
      <w:r>
        <w:rPr>
          <w:rFonts w:hint="eastAsia" w:ascii="宋体" w:hAnsi="宋体" w:eastAsia="宋体" w:cs="宋体"/>
          <w:color w:val="auto"/>
          <w:sz w:val="24"/>
          <w:szCs w:val="24"/>
          <w:highlight w:val="none"/>
          <w:lang w:eastAsia="zh-CN"/>
        </w:rPr>
        <w:t>条）的响应得分规则如下：“▲”技术参数条款响应得分=（投标人满足“▲”技术参数条款的数量÷ “▲”技术参数条款的总数量）×30分。</w:t>
      </w:r>
      <w:r>
        <w:rPr>
          <w:rFonts w:hint="eastAsia" w:ascii="宋体" w:hAnsi="宋体" w:eastAsia="宋体" w:cs="宋体"/>
          <w:sz w:val="24"/>
          <w:szCs w:val="24"/>
          <w:lang w:val="en-US" w:eastAsia="zh-CN"/>
        </w:rPr>
        <w:t>”</w:t>
      </w:r>
    </w:p>
    <w:p>
      <w:pPr>
        <w:rPr>
          <w:rFonts w:hint="eastAsia"/>
          <w:sz w:val="28"/>
          <w:szCs w:val="28"/>
        </w:rPr>
      </w:pPr>
    </w:p>
    <w:p>
      <w:pPr>
        <w:spacing w:line="480" w:lineRule="auto"/>
        <w:ind w:firstLine="480" w:firstLineChars="200"/>
        <w:rPr>
          <w:sz w:val="24"/>
          <w:szCs w:val="24"/>
        </w:rPr>
      </w:pPr>
      <w:r>
        <w:rPr>
          <w:rFonts w:hint="eastAsia" w:ascii="宋体" w:hAnsi="宋体" w:eastAsia="宋体"/>
          <w:sz w:val="24"/>
          <w:szCs w:val="24"/>
        </w:rPr>
        <w:t>请各潜在供应商及时查看本次更正</w:t>
      </w:r>
      <w:r>
        <w:rPr>
          <w:rFonts w:hint="eastAsia" w:ascii="宋体" w:hAnsi="宋体" w:eastAsia="宋体"/>
          <w:sz w:val="24"/>
          <w:szCs w:val="24"/>
          <w:lang w:eastAsia="zh-CN"/>
        </w:rPr>
        <w:t>内容</w:t>
      </w:r>
      <w:r>
        <w:rPr>
          <w:rFonts w:hint="eastAsia" w:ascii="宋体" w:hAnsi="宋体" w:eastAsia="宋体"/>
          <w:sz w:val="24"/>
          <w:szCs w:val="24"/>
        </w:rPr>
        <w:t>，</w:t>
      </w:r>
      <w:r>
        <w:rPr>
          <w:rFonts w:hint="eastAsia" w:ascii="宋体" w:hAnsi="宋体" w:eastAsia="宋体" w:cs="Times New Roman"/>
          <w:sz w:val="24"/>
          <w:szCs w:val="24"/>
        </w:rPr>
        <w:t>其余内容不变。</w:t>
      </w:r>
      <w:bookmarkStart w:id="0" w:name="_GoBack"/>
      <w:bookmarkEnd w:id="0"/>
    </w:p>
    <w:p>
      <w:pPr>
        <w:spacing w:line="480" w:lineRule="auto"/>
        <w:ind w:firstLine="480" w:firstLineChars="200"/>
        <w:jc w:val="center"/>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采购代理机构：四川华韵新诚工程管理咨询有限公司</w:t>
      </w:r>
    </w:p>
    <w:p>
      <w:pPr>
        <w:spacing w:line="480" w:lineRule="auto"/>
        <w:ind w:firstLine="480" w:firstLineChars="200"/>
        <w:jc w:val="center"/>
        <w:rPr>
          <w:sz w:val="24"/>
          <w:szCs w:val="24"/>
        </w:rPr>
      </w:pPr>
      <w:r>
        <w:rPr>
          <w:rFonts w:hint="eastAsia" w:ascii="宋体" w:hAnsi="宋体" w:eastAsia="宋体"/>
          <w:sz w:val="24"/>
          <w:szCs w:val="24"/>
          <w:lang w:val="en-US" w:eastAsia="zh-CN"/>
        </w:rPr>
        <w:t xml:space="preserve">  </w:t>
      </w:r>
      <w:r>
        <w:rPr>
          <w:rFonts w:hint="eastAsia" w:ascii="宋体" w:hAnsi="宋体" w:eastAsia="宋体"/>
          <w:sz w:val="24"/>
          <w:szCs w:val="24"/>
        </w:rPr>
        <w:t>日期：2</w:t>
      </w:r>
      <w:r>
        <w:rPr>
          <w:rFonts w:ascii="宋体" w:hAnsi="宋体" w:eastAsia="宋体"/>
          <w:sz w:val="24"/>
          <w:szCs w:val="24"/>
        </w:rPr>
        <w:t>021</w:t>
      </w:r>
      <w:r>
        <w:rPr>
          <w:rFonts w:hint="eastAsia" w:ascii="宋体" w:hAnsi="宋体" w:eastAsia="宋体"/>
          <w:sz w:val="24"/>
          <w:szCs w:val="24"/>
        </w:rPr>
        <w:t>年</w:t>
      </w:r>
      <w:r>
        <w:rPr>
          <w:rFonts w:hint="eastAsia" w:ascii="宋体" w:hAnsi="宋体" w:eastAsia="宋体"/>
          <w:sz w:val="24"/>
          <w:szCs w:val="24"/>
          <w:lang w:val="en-US" w:eastAsia="zh-CN"/>
        </w:rPr>
        <w:t>7</w:t>
      </w:r>
      <w:r>
        <w:rPr>
          <w:rFonts w:hint="eastAsia" w:ascii="宋体" w:hAnsi="宋体" w:eastAsia="宋体"/>
          <w:sz w:val="24"/>
          <w:szCs w:val="24"/>
        </w:rPr>
        <w:t>月</w:t>
      </w:r>
      <w:r>
        <w:rPr>
          <w:rFonts w:hint="eastAsia" w:ascii="宋体" w:hAnsi="宋体" w:eastAsia="宋体"/>
          <w:sz w:val="24"/>
          <w:szCs w:val="24"/>
          <w:lang w:val="en-US" w:eastAsia="zh-CN"/>
        </w:rPr>
        <w:t>21</w:t>
      </w:r>
      <w:r>
        <w:rPr>
          <w:rFonts w:hint="eastAsia" w:ascii="宋体" w:hAnsi="宋体" w:eastAsia="宋体"/>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方正仿宋_GBK">
    <w:altName w:val="微软雅黑"/>
    <w:panose1 w:val="03000509000000000000"/>
    <w:charset w:val="86"/>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5BA"/>
    <w:rsid w:val="000A3CB5"/>
    <w:rsid w:val="000D1FCF"/>
    <w:rsid w:val="007D45BA"/>
    <w:rsid w:val="00953C43"/>
    <w:rsid w:val="00CA2866"/>
    <w:rsid w:val="00D160EA"/>
    <w:rsid w:val="00FC05FD"/>
    <w:rsid w:val="015E2601"/>
    <w:rsid w:val="027040BD"/>
    <w:rsid w:val="05F3012F"/>
    <w:rsid w:val="0BD244C1"/>
    <w:rsid w:val="111324A4"/>
    <w:rsid w:val="25946F0A"/>
    <w:rsid w:val="36E037B0"/>
    <w:rsid w:val="3D540E55"/>
    <w:rsid w:val="499C2F43"/>
    <w:rsid w:val="4C922A45"/>
    <w:rsid w:val="54346680"/>
    <w:rsid w:val="706B4607"/>
    <w:rsid w:val="73817CE9"/>
    <w:rsid w:val="74C01BA9"/>
    <w:rsid w:val="7A3740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pPr>
      <w:ind w:left="220"/>
    </w:pPr>
    <w:rPr>
      <w:sz w:val="24"/>
      <w:szCs w:val="24"/>
    </w:rPr>
  </w:style>
  <w:style w:type="paragraph" w:styleId="3">
    <w:name w:val="Normal Indent"/>
    <w:basedOn w:val="1"/>
    <w:qFormat/>
    <w:uiPriority w:val="0"/>
    <w:pPr>
      <w:ind w:firstLine="420"/>
    </w:pPr>
    <w:rPr>
      <w:rFonts w:hint="eastAsia" w:ascii="宋体" w:hAnsi="宋体"/>
      <w:kern w:val="0"/>
      <w:sz w:val="24"/>
      <w:szCs w:val="22"/>
    </w:rPr>
  </w:style>
  <w:style w:type="paragraph" w:customStyle="1" w:styleId="6">
    <w:name w:val="TOAHeading"/>
    <w:basedOn w:val="1"/>
    <w:next w:val="1"/>
    <w:qFormat/>
    <w:uiPriority w:val="0"/>
    <w:pPr>
      <w:spacing w:before="120"/>
      <w:textAlignment w:val="baseline"/>
    </w:pPr>
    <w:rPr>
      <w:rFonts w:ascii="Cambria" w:hAnsi="Cambria"/>
      <w:kern w:val="2"/>
      <w:sz w:val="24"/>
      <w:szCs w:val="22"/>
    </w:rPr>
  </w:style>
  <w:style w:type="paragraph" w:styleId="7">
    <w:name w:val="List Paragraph"/>
    <w:basedOn w:val="1"/>
    <w:link w:val="8"/>
    <w:qFormat/>
    <w:uiPriority w:val="34"/>
    <w:pPr>
      <w:ind w:firstLine="420" w:firstLineChars="200"/>
    </w:pPr>
  </w:style>
  <w:style w:type="character" w:customStyle="1" w:styleId="8">
    <w:name w:val="列出段落 Char"/>
    <w:link w:val="7"/>
    <w:qFormat/>
    <w:uiPriority w:val="34"/>
    <w:rPr>
      <w:kern w:val="2"/>
      <w:sz w:val="21"/>
      <w:szCs w:val="22"/>
    </w:rPr>
  </w:style>
  <w:style w:type="character" w:customStyle="1" w:styleId="9">
    <w:name w:val="font61"/>
    <w:qFormat/>
    <w:uiPriority w:val="0"/>
    <w:rPr>
      <w:rFonts w:ascii="方正仿宋_GBK" w:hAnsi="方正仿宋_GBK" w:eastAsia="方正仿宋_GBK" w:cs="方正仿宋_GBK"/>
      <w:color w:val="auto"/>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947</Words>
  <Characters>5398</Characters>
  <Lines>44</Lines>
  <Paragraphs>12</Paragraphs>
  <TotalTime>9</TotalTime>
  <ScaleCrop>false</ScaleCrop>
  <LinksUpToDate>false</LinksUpToDate>
  <CharactersWithSpaces>6333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2021-04-21T03:50:00Z</dcterms:created>
  <dc:creator>li'zhi</dc:creator>
  <cp:lastModifiedBy>ok</cp:lastModifiedBy>
  <cp:lastPrinted>2021-07-13T07:53:00Z</cp:lastPrinted>
  <dcterms:modified xsi:type="dcterms:W3CDTF">2021-07-21T08:16:54Z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3CB497DCAD664297835685A3F4E64312</vt:lpwstr>
  </property>
</Properties>
</file>