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val="0"/>
        <w:kinsoku/>
        <w:overflowPunct/>
        <w:bidi w:val="0"/>
        <w:spacing w:before="0" w:after="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采购项目技术、服务及其他商务要求</w:t>
      </w:r>
    </w:p>
    <w:p>
      <w:pPr>
        <w:pStyle w:val="3"/>
        <w:pageBreakBefore w:val="0"/>
        <w:kinsoku/>
        <w:overflowPunct/>
        <w:bidi w:val="0"/>
        <w:spacing w:before="0" w:after="0" w:line="360" w:lineRule="auto"/>
        <w:ind w:firstLine="236" w:firstLineChars="98"/>
        <w:rPr>
          <w:rFonts w:hint="eastAsia" w:ascii="仿宋" w:hAnsi="仿宋" w:eastAsia="仿宋" w:cs="仿宋"/>
          <w:color w:val="auto"/>
          <w:sz w:val="24"/>
          <w:szCs w:val="24"/>
          <w:highlight w:val="none"/>
        </w:rPr>
      </w:pPr>
      <w:bookmarkStart w:id="0" w:name="PO_默认文件内容_27"/>
      <w:r>
        <w:rPr>
          <w:rFonts w:hint="eastAsia" w:ascii="仿宋" w:hAnsi="仿宋" w:eastAsia="仿宋" w:cs="仿宋"/>
          <w:color w:val="auto"/>
          <w:sz w:val="24"/>
          <w:szCs w:val="24"/>
          <w:highlight w:val="none"/>
        </w:rPr>
        <w:t>本章中标注“★”的条款为本次采购项目的实质性要求条款，供应商应全部满足，否则作无效响应处理。</w:t>
      </w:r>
    </w:p>
    <w:bookmarkEnd w:id="0"/>
    <w:p>
      <w:pPr>
        <w:pageBreakBefore w:val="0"/>
        <w:kinsoku/>
        <w:overflowPunct/>
        <w:bidi w:val="0"/>
        <w:spacing w:line="360" w:lineRule="auto"/>
        <w:ind w:firstLine="482" w:firstLineChars="200"/>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rPr>
        <w:t>一、</w:t>
      </w:r>
      <w:r>
        <w:rPr>
          <w:rFonts w:hint="eastAsia" w:ascii="仿宋" w:hAnsi="仿宋" w:eastAsia="仿宋" w:cs="仿宋"/>
          <w:b/>
          <w:sz w:val="24"/>
          <w:szCs w:val="24"/>
          <w:highlight w:val="none"/>
          <w:lang w:val="en-US" w:eastAsia="zh-CN"/>
        </w:rPr>
        <w:t>服务范围</w:t>
      </w:r>
    </w:p>
    <w:p>
      <w:pPr>
        <w:pageBreakBefore w:val="0"/>
        <w:kinsoku/>
        <w:overflowPunct/>
        <w:bidi w:val="0"/>
        <w:spacing w:line="360" w:lineRule="auto"/>
        <w:ind w:firstLine="480" w:firstLineChars="200"/>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rPr>
        <w:t>为贯彻落实</w:t>
      </w:r>
      <w:r>
        <w:rPr>
          <w:rFonts w:hint="eastAsia" w:ascii="仿宋" w:hAnsi="仿宋" w:eastAsia="仿宋" w:cs="仿宋"/>
          <w:sz w:val="24"/>
          <w:szCs w:val="24"/>
          <w:highlight w:val="none"/>
          <w:lang w:val="en-US" w:eastAsia="zh-CN"/>
        </w:rPr>
        <w:t>成都市财政局、成都市民政局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关于下达2021年中央专项彩票公益金支持居家和社区基本养老服务提升行动项目资金的通知</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2021年中央专项彩票公益金支持成都市居家和社区基本养老服务提升行动项目实施方案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关于做好2021年中央专项彩票公益金支持成都市居家和社区基本养老服务提升行动项目资金管理使用相关工作的通知</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等文件精神，创新养老服务床位供给，</w:t>
      </w:r>
      <w:r>
        <w:rPr>
          <w:rFonts w:hint="eastAsia" w:ascii="仿宋" w:hAnsi="仿宋" w:eastAsia="仿宋" w:cs="仿宋"/>
          <w:sz w:val="24"/>
          <w:szCs w:val="24"/>
          <w:highlight w:val="none"/>
          <w:lang w:val="en-US" w:eastAsia="zh-CN"/>
        </w:rPr>
        <w:t>探索家庭</w:t>
      </w:r>
      <w:r>
        <w:rPr>
          <w:rFonts w:hint="eastAsia" w:ascii="仿宋" w:hAnsi="仿宋" w:eastAsia="仿宋" w:cs="仿宋"/>
          <w:sz w:val="24"/>
          <w:szCs w:val="24"/>
          <w:highlight w:val="none"/>
        </w:rPr>
        <w:t>养老</w:t>
      </w:r>
      <w:r>
        <w:rPr>
          <w:rFonts w:hint="eastAsia" w:ascii="仿宋" w:hAnsi="仿宋" w:eastAsia="仿宋" w:cs="仿宋"/>
          <w:sz w:val="24"/>
          <w:szCs w:val="24"/>
          <w:highlight w:val="none"/>
          <w:lang w:val="en-US" w:eastAsia="zh-CN"/>
        </w:rPr>
        <w:t>专业化照护服务体系</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提升居家和社区基本养老服务能力，让老年人在熟悉的居家环境中享受专业照料、促进居家、社区、机构养老融合发展。</w:t>
      </w:r>
    </w:p>
    <w:p>
      <w:pPr>
        <w:pageBreakBefore w:val="0"/>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成都市作为中央专项彩票公益金支持居家和社区基本养老服务提升行动建设地区。要求到 2022 年2月底前，温江区完成建成家庭养老床位不少于200张，服务人次不少于122人次 。</w:t>
      </w:r>
    </w:p>
    <w:p>
      <w:pPr>
        <w:pageBreakBefore w:val="0"/>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项目</w:t>
      </w:r>
      <w:r>
        <w:rPr>
          <w:rFonts w:hint="eastAsia" w:ascii="仿宋" w:hAnsi="仿宋" w:eastAsia="仿宋" w:cs="仿宋"/>
          <w:sz w:val="24"/>
          <w:szCs w:val="24"/>
          <w:highlight w:val="none"/>
          <w:lang w:val="en-US" w:eastAsia="zh-CN"/>
        </w:rPr>
        <w:t>拟通过围绕1个数字化养老服务中心，数字化养老社工、数字化家庭照护床位、认知症预防及照护、数字化康复护理4种特色服务，</w:t>
      </w:r>
      <w:r>
        <w:rPr>
          <w:rFonts w:hint="eastAsia" w:ascii="仿宋" w:hAnsi="仿宋" w:eastAsia="仿宋" w:cs="仿宋"/>
          <w:sz w:val="24"/>
          <w:szCs w:val="24"/>
          <w:highlight w:val="none"/>
        </w:rPr>
        <w:t>满足老人</w:t>
      </w:r>
      <w:r>
        <w:rPr>
          <w:rFonts w:hint="eastAsia" w:ascii="仿宋" w:hAnsi="仿宋" w:eastAsia="仿宋" w:cs="仿宋"/>
          <w:sz w:val="24"/>
          <w:szCs w:val="24"/>
          <w:highlight w:val="none"/>
          <w:lang w:val="en-US" w:eastAsia="zh-CN"/>
        </w:rPr>
        <w:t>健康管理</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医疗康复</w:t>
      </w:r>
      <w:r>
        <w:rPr>
          <w:rFonts w:hint="eastAsia" w:ascii="仿宋" w:hAnsi="仿宋" w:eastAsia="仿宋" w:cs="仿宋"/>
          <w:sz w:val="24"/>
          <w:szCs w:val="24"/>
          <w:highlight w:val="none"/>
        </w:rPr>
        <w:t>、生活照</w:t>
      </w:r>
      <w:r>
        <w:rPr>
          <w:rFonts w:hint="eastAsia" w:ascii="仿宋" w:hAnsi="仿宋" w:eastAsia="仿宋" w:cs="仿宋"/>
          <w:sz w:val="24"/>
          <w:szCs w:val="24"/>
          <w:highlight w:val="none"/>
          <w:lang w:val="en-US" w:eastAsia="zh-CN"/>
        </w:rPr>
        <w:t>护</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心理支持</w:t>
      </w:r>
      <w:r>
        <w:rPr>
          <w:rFonts w:hint="eastAsia" w:ascii="仿宋" w:hAnsi="仿宋" w:eastAsia="仿宋" w:cs="仿宋"/>
          <w:sz w:val="24"/>
          <w:szCs w:val="24"/>
          <w:highlight w:val="none"/>
        </w:rPr>
        <w:t>等</w:t>
      </w:r>
      <w:r>
        <w:rPr>
          <w:rFonts w:hint="eastAsia" w:ascii="仿宋" w:hAnsi="仿宋" w:eastAsia="仿宋" w:cs="仿宋"/>
          <w:sz w:val="24"/>
          <w:szCs w:val="24"/>
          <w:highlight w:val="none"/>
          <w:lang w:val="en-US" w:eastAsia="zh-CN"/>
        </w:rPr>
        <w:t>多元化、</w:t>
      </w:r>
      <w:r>
        <w:rPr>
          <w:rFonts w:hint="eastAsia" w:ascii="仿宋" w:hAnsi="仿宋" w:eastAsia="仿宋" w:cs="仿宋"/>
          <w:sz w:val="24"/>
          <w:szCs w:val="24"/>
          <w:highlight w:val="none"/>
        </w:rPr>
        <w:t>多</w:t>
      </w:r>
      <w:r>
        <w:rPr>
          <w:rFonts w:hint="eastAsia" w:ascii="仿宋" w:hAnsi="仿宋" w:eastAsia="仿宋" w:cs="仿宋"/>
          <w:sz w:val="24"/>
          <w:szCs w:val="24"/>
          <w:highlight w:val="none"/>
          <w:lang w:val="en-US" w:eastAsia="zh-CN"/>
        </w:rPr>
        <w:t>层次养老服务</w:t>
      </w:r>
      <w:r>
        <w:rPr>
          <w:rFonts w:hint="eastAsia" w:ascii="仿宋" w:hAnsi="仿宋" w:eastAsia="仿宋" w:cs="仿宋"/>
          <w:sz w:val="24"/>
          <w:szCs w:val="24"/>
          <w:highlight w:val="none"/>
        </w:rPr>
        <w:t>需求</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7*24 小时线下+线上</w:t>
      </w:r>
      <w:r>
        <w:rPr>
          <w:rFonts w:hint="eastAsia" w:ascii="仿宋" w:hAnsi="仿宋" w:eastAsia="仿宋" w:cs="仿宋"/>
          <w:sz w:val="24"/>
          <w:szCs w:val="24"/>
          <w:highlight w:val="none"/>
          <w:lang w:val="en-US" w:eastAsia="zh-CN"/>
        </w:rPr>
        <w:t>服务供给、服务响应、服务监管，社区居家紧密相结合，打造“社区-家门口-家”15分钟服务圈，实现让老人在社区、在家享受养老机构专业服务。</w:t>
      </w:r>
    </w:p>
    <w:p>
      <w:pPr>
        <w:pageBreakBefore w:val="0"/>
        <w:numPr>
          <w:ilvl w:val="0"/>
          <w:numId w:val="0"/>
        </w:numPr>
        <w:kinsoku/>
        <w:overflowPunct/>
        <w:bidi w:val="0"/>
        <w:spacing w:line="360" w:lineRule="auto"/>
        <w:ind w:firstLine="482" w:firstLineChars="200"/>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二、服务标准</w:t>
      </w:r>
    </w:p>
    <w:p>
      <w:pPr>
        <w:pageBreakBefore w:val="0"/>
        <w:kinsoku/>
        <w:overflowPunct/>
        <w:bidi w:val="0"/>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sz w:val="24"/>
          <w:szCs w:val="24"/>
          <w:highlight w:val="none"/>
        </w:rPr>
        <w:t>结合老年人实际需求，为具有成都市户籍且长期居住在本市的低保、低保边缘、散居特困和可支配收入低于上年度人均可支配收入中间偏下组（测算数为2852元/月）的失能、半失能老年人，建设家庭照护床位、提供居家养老上门服务。</w:t>
      </w:r>
      <w:r>
        <w:rPr>
          <w:rFonts w:hint="eastAsia" w:ascii="仿宋" w:hAnsi="仿宋" w:eastAsia="仿宋" w:cs="仿宋"/>
          <w:sz w:val="24"/>
          <w:szCs w:val="24"/>
          <w:highlight w:val="none"/>
          <w:lang w:val="en-US" w:eastAsia="zh-CN"/>
        </w:rPr>
        <w:t>可根据</w:t>
      </w:r>
      <w:r>
        <w:rPr>
          <w:rFonts w:hint="eastAsia" w:ascii="仿宋" w:hAnsi="仿宋" w:eastAsia="仿宋" w:cs="仿宋"/>
          <w:sz w:val="24"/>
          <w:szCs w:val="24"/>
          <w:highlight w:val="none"/>
        </w:rPr>
        <w:t>实际情况，将可支配收入低于上年度人均可支配收入中间偏下组（测算数为2852元/月）的失能、半失能老年人，纳入建设家庭照护床位、提供居家养老上门服务。</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2.1.项目目的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通过建设家庭照护床位，提升居家和社区基本养老服务能力，通过让老年人在熟悉的居家环境中享受专业照料，促进居家、社区、机构养老融合发展。</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2.2.项目分目标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2.2.1.2021年2月底前完成不少于200张家庭照护床位建设及不少于47位老人居家上门服务内容；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2.2.2.通过开展上门入户评估，完成家庭照护床位建床签约，掌握200位服务对象的生活情况及身体健康状况，形成200份服务对象健康档案；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2.2.3.根据上门评估的结果，为200位服务对象进行精准匹配，按需进行适老化改造、安装智能化设施设备，制定个人性化照护计划并提供相应的服务，并配备智慧服务平台对老人的需求进行及时响应处理，服务派遣、服务监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2.2.4.组建专业照护服务团队，按需开展助餐、助洁、助行、助医、助急、康复、护理、巡访服务，每月累计服务时长不少于30小时。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2.2.5.完善居家和社区养老服务信息平台，在原有居家和社区养老服务信息平台的基础上增设居家和社区基本养老服务提升行动项目的相应模块，构建政府管理端、服务供给端、老年人及亲属端三者互通的管理服务平台，实现服务监管、床位信息查询、家庭照护床位服务对象动态信息管理、数据实时更新统计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2.2.6.确保相关智能设备能与温江区居家和社区养老服务综合信息平台有效对接，能实现24小时动态管理和远程监护，确保老年人家庭网络正常使用，且相应设备在网率达95%以上；服务开展过程中，同步上传服务对象数据及服务数据至智慧平台，对平台数据进行实时管理，并及时同步至区民政服务监管平台。</w:t>
      </w:r>
    </w:p>
    <w:p>
      <w:pPr>
        <w:pageBreakBefore w:val="0"/>
        <w:kinsoku/>
        <w:overflowPunct/>
        <w:bidi w:val="0"/>
        <w:spacing w:line="360" w:lineRule="auto"/>
        <w:ind w:firstLine="440" w:firstLineChars="200"/>
        <w:rPr>
          <w:rFonts w:hint="eastAsia" w:ascii="仿宋" w:hAnsi="仿宋" w:eastAsia="仿宋" w:cs="仿宋"/>
          <w:b/>
          <w:sz w:val="24"/>
          <w:szCs w:val="24"/>
          <w:highlight w:val="none"/>
          <w:lang w:eastAsia="zh-CN"/>
        </w:rPr>
      </w:pPr>
      <w:r>
        <w:rPr>
          <w:rFonts w:hint="eastAsia" w:ascii="仿宋" w:hAnsi="仿宋" w:eastAsia="仿宋" w:cs="仿宋"/>
          <w:color w:val="auto"/>
          <w:sz w:val="22"/>
          <w:szCs w:val="22"/>
          <w:highlight w:val="none"/>
        </w:rPr>
        <w:t>★</w:t>
      </w:r>
      <w:r>
        <w:rPr>
          <w:rFonts w:hint="eastAsia" w:ascii="仿宋" w:hAnsi="仿宋" w:eastAsia="仿宋" w:cs="仿宋"/>
          <w:b/>
          <w:sz w:val="24"/>
          <w:szCs w:val="24"/>
          <w:highlight w:val="none"/>
          <w:lang w:val="en-US" w:eastAsia="zh-CN"/>
        </w:rPr>
        <w:t>3.</w:t>
      </w:r>
      <w:r>
        <w:rPr>
          <w:rFonts w:hint="eastAsia" w:ascii="仿宋" w:hAnsi="仿宋" w:eastAsia="仿宋" w:cs="仿宋"/>
          <w:b w:val="0"/>
          <w:sz w:val="24"/>
          <w:szCs w:val="24"/>
          <w:highlight w:val="none"/>
          <w:lang w:val="en-US" w:eastAsia="zh-CN"/>
        </w:rPr>
        <w:t>根据</w:t>
      </w:r>
      <w:r>
        <w:rPr>
          <w:rFonts w:hint="eastAsia" w:ascii="仿宋" w:hAnsi="仿宋" w:eastAsia="仿宋" w:cs="仿宋"/>
          <w:b w:val="0"/>
          <w:sz w:val="24"/>
          <w:szCs w:val="24"/>
          <w:highlight w:val="none"/>
        </w:rPr>
        <w:t>成都市民政局成都市财政局关于印发《2021年中央专项彩票公益金支持成都市居家和社区基本养老服务提升行动项目实施方案》的通知</w:t>
      </w:r>
      <w:r>
        <w:rPr>
          <w:rFonts w:hint="eastAsia" w:ascii="仿宋" w:hAnsi="仿宋" w:eastAsia="仿宋" w:cs="仿宋"/>
          <w:b w:val="0"/>
          <w:sz w:val="24"/>
          <w:szCs w:val="24"/>
          <w:highlight w:val="none"/>
          <w:lang w:val="en-US" w:eastAsia="zh-CN"/>
        </w:rPr>
        <w:t>,提供</w:t>
      </w:r>
      <w:r>
        <w:rPr>
          <w:rFonts w:hint="eastAsia" w:ascii="仿宋" w:hAnsi="仿宋" w:eastAsia="仿宋" w:cs="仿宋"/>
          <w:b w:val="0"/>
          <w:sz w:val="24"/>
          <w:szCs w:val="24"/>
          <w:highlight w:val="none"/>
        </w:rPr>
        <w:t>家庭照护床位建设</w:t>
      </w:r>
      <w:r>
        <w:rPr>
          <w:rFonts w:hint="eastAsia" w:ascii="仿宋" w:hAnsi="仿宋" w:eastAsia="仿宋" w:cs="仿宋"/>
          <w:b w:val="0"/>
          <w:sz w:val="24"/>
          <w:szCs w:val="24"/>
          <w:highlight w:val="none"/>
          <w:lang w:val="en-US" w:eastAsia="zh-CN"/>
        </w:rPr>
        <w:t>后续服务</w:t>
      </w:r>
      <w:r>
        <w:rPr>
          <w:rFonts w:hint="eastAsia" w:ascii="仿宋" w:hAnsi="仿宋" w:eastAsia="仿宋" w:cs="仿宋"/>
          <w:b w:val="0"/>
          <w:sz w:val="24"/>
          <w:szCs w:val="24"/>
          <w:highlight w:val="none"/>
        </w:rPr>
        <w:t>的</w:t>
      </w:r>
      <w:r>
        <w:rPr>
          <w:rFonts w:hint="eastAsia" w:ascii="仿宋" w:hAnsi="仿宋" w:eastAsia="仿宋" w:cs="仿宋"/>
          <w:b w:val="0"/>
          <w:sz w:val="24"/>
          <w:szCs w:val="24"/>
          <w:highlight w:val="none"/>
          <w:lang w:val="en-US" w:eastAsia="zh-CN"/>
        </w:rPr>
        <w:t>供应商</w:t>
      </w:r>
      <w:r>
        <w:rPr>
          <w:rFonts w:hint="eastAsia" w:ascii="仿宋" w:hAnsi="仿宋" w:eastAsia="仿宋" w:cs="仿宋"/>
          <w:b w:val="0"/>
          <w:sz w:val="24"/>
          <w:szCs w:val="24"/>
          <w:highlight w:val="none"/>
        </w:rPr>
        <w:t>应为在民政部门备案且运营满1年的养老机构</w:t>
      </w:r>
      <w:r>
        <w:rPr>
          <w:rFonts w:hint="eastAsia" w:ascii="仿宋" w:hAnsi="仿宋" w:eastAsia="仿宋" w:cs="仿宋"/>
          <w:b w:val="0"/>
          <w:sz w:val="24"/>
          <w:szCs w:val="24"/>
          <w:highlight w:val="none"/>
          <w:lang w:eastAsia="zh-CN"/>
        </w:rPr>
        <w:t>。</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lang w:val="en-US" w:eastAsia="zh-CN"/>
        </w:rPr>
        <w:t>提供相关证明材料并加盖供应商公章</w:t>
      </w:r>
      <w:r>
        <w:rPr>
          <w:rFonts w:hint="eastAsia" w:ascii="仿宋" w:hAnsi="仿宋" w:eastAsia="仿宋" w:cs="仿宋"/>
          <w:b/>
          <w:sz w:val="24"/>
          <w:szCs w:val="24"/>
          <w:highlight w:val="none"/>
          <w:lang w:eastAsia="zh-CN"/>
        </w:rPr>
        <w:t>）</w:t>
      </w:r>
    </w:p>
    <w:p>
      <w:pPr>
        <w:pageBreakBefore w:val="0"/>
        <w:kinsoku/>
        <w:overflowPunct/>
        <w:bidi w:val="0"/>
        <w:spacing w:line="360" w:lineRule="auto"/>
        <w:ind w:firstLine="482" w:firstLineChars="200"/>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三、服务</w:t>
      </w:r>
      <w:r>
        <w:rPr>
          <w:rFonts w:hint="eastAsia" w:ascii="仿宋" w:hAnsi="仿宋" w:eastAsia="仿宋" w:cs="仿宋"/>
          <w:b/>
          <w:sz w:val="24"/>
          <w:szCs w:val="24"/>
          <w:highlight w:val="none"/>
        </w:rPr>
        <w:t>内容</w:t>
      </w:r>
      <w:r>
        <w:rPr>
          <w:rFonts w:hint="eastAsia" w:ascii="仿宋" w:hAnsi="仿宋" w:eastAsia="仿宋" w:cs="仿宋"/>
          <w:b/>
          <w:sz w:val="24"/>
          <w:szCs w:val="24"/>
          <w:highlight w:val="none"/>
          <w:lang w:val="en-US" w:eastAsia="zh-CN"/>
        </w:rPr>
        <w:t>及要求</w:t>
      </w:r>
    </w:p>
    <w:p>
      <w:pPr>
        <w:pageBreakBefore w:val="0"/>
        <w:numPr>
          <w:ilvl w:val="0"/>
          <w:numId w:val="0"/>
        </w:numPr>
        <w:kinsoku/>
        <w:overflowPunct/>
        <w:bidi w:val="0"/>
        <w:spacing w:line="360" w:lineRule="auto"/>
        <w:ind w:firstLine="482" w:firstLineChars="200"/>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3.1能力评估与需求评估</w:t>
      </w:r>
    </w:p>
    <w:p>
      <w:pPr>
        <w:pageBreakBefore w:val="0"/>
        <w:numPr>
          <w:ilvl w:val="0"/>
          <w:numId w:val="0"/>
        </w:numPr>
        <w:kinsoku/>
        <w:overflowPunct/>
        <w:bidi w:val="0"/>
        <w:spacing w:line="360" w:lineRule="auto"/>
        <w:ind w:firstLine="482"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w:t>
      </w:r>
      <w:r>
        <w:rPr>
          <w:rFonts w:hint="eastAsia" w:ascii="仿宋" w:hAnsi="仿宋" w:eastAsia="仿宋" w:cs="仿宋"/>
          <w:color w:val="000000"/>
          <w:sz w:val="24"/>
          <w:szCs w:val="24"/>
          <w:highlight w:val="none"/>
          <w:lang w:val="en-US" w:eastAsia="zh-CN"/>
        </w:rPr>
        <w:t>1.工作目标</w:t>
      </w:r>
    </w:p>
    <w:p>
      <w:pPr>
        <w:pageBreakBefore w:val="0"/>
        <w:numPr>
          <w:ilvl w:val="0"/>
          <w:numId w:val="0"/>
        </w:numPr>
        <w:kinsoku/>
        <w:overflowPunct/>
        <w:bidi w:val="0"/>
        <w:spacing w:line="360" w:lineRule="auto"/>
        <w:ind w:firstLine="480"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完成对247位老人身体状况开展能力评估服务，并出具照护需求评估结果。</w:t>
      </w:r>
    </w:p>
    <w:p>
      <w:pPr>
        <w:pageBreakBefore w:val="0"/>
        <w:numPr>
          <w:ilvl w:val="0"/>
          <w:numId w:val="0"/>
        </w:numPr>
        <w:kinsoku/>
        <w:overflowPunct/>
        <w:bidi w:val="0"/>
        <w:spacing w:line="360" w:lineRule="auto"/>
        <w:ind w:firstLine="482"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w:t>
      </w:r>
      <w:r>
        <w:rPr>
          <w:rFonts w:hint="eastAsia" w:ascii="仿宋" w:hAnsi="仿宋" w:eastAsia="仿宋" w:cs="仿宋"/>
          <w:color w:val="000000"/>
          <w:sz w:val="24"/>
          <w:szCs w:val="24"/>
          <w:highlight w:val="none"/>
          <w:lang w:val="en-US" w:eastAsia="zh-CN"/>
        </w:rPr>
        <w:t>2.工作内容及要求</w:t>
      </w:r>
    </w:p>
    <w:p>
      <w:pPr>
        <w:pageBreakBefore w:val="0"/>
        <w:numPr>
          <w:ilvl w:val="0"/>
          <w:numId w:val="0"/>
        </w:numPr>
        <w:kinsoku/>
        <w:overflowPunct/>
        <w:bidi w:val="0"/>
        <w:spacing w:line="360" w:lineRule="auto"/>
        <w:ind w:firstLine="480"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依据《长期护理失能等级评估标准(试行）》《老年人能力评估》（MZ/T039-2013)或本地其他相关标准，对项目服务对象的失能等级进行评估认定。对已开展过能力评估的老年人，可不重复评估。按照老年人能力评估结果，结合老年人居住条件和经济收入水平情况，开展照护评估，并出具经老年人及其家属确认的照护需求评估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w:t>
      </w:r>
      <w:r>
        <w:rPr>
          <w:rFonts w:hint="eastAsia" w:ascii="仿宋" w:hAnsi="仿宋" w:eastAsia="仿宋" w:cs="仿宋"/>
          <w:color w:val="000000"/>
          <w:sz w:val="24"/>
          <w:szCs w:val="24"/>
          <w:highlight w:val="none"/>
          <w:lang w:val="en-US" w:eastAsia="zh-CN"/>
        </w:rPr>
        <w:t xml:space="preserve">3.补助标准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参照成都市长期照护保险评估费用标准，按200元/人给予补贴。</w:t>
      </w:r>
    </w:p>
    <w:p>
      <w:pPr>
        <w:pageBreakBefore w:val="0"/>
        <w:numPr>
          <w:ilvl w:val="0"/>
          <w:numId w:val="0"/>
        </w:numPr>
        <w:kinsoku/>
        <w:overflowPunct/>
        <w:bidi w:val="0"/>
        <w:spacing w:line="360" w:lineRule="auto"/>
        <w:ind w:firstLine="482"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3.1.</w:t>
      </w:r>
      <w:r>
        <w:rPr>
          <w:rFonts w:hint="eastAsia" w:ascii="仿宋" w:hAnsi="仿宋" w:eastAsia="仿宋" w:cs="仿宋"/>
          <w:color w:val="000000"/>
          <w:sz w:val="24"/>
          <w:szCs w:val="24"/>
          <w:highlight w:val="none"/>
          <w:lang w:val="en-US" w:eastAsia="zh-CN"/>
        </w:rPr>
        <w:t>4.补贴对象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color w:val="000000"/>
          <w:sz w:val="24"/>
          <w:szCs w:val="24"/>
          <w:highlight w:val="none"/>
          <w:lang w:val="en-US" w:eastAsia="zh-CN"/>
        </w:rPr>
        <w:t>对参与家庭照护床位建设项目及享受居家养老上门服务项目的所有服务对象开展能力和需求评估的公司予以能力与需求评估补贴。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color w:val="auto"/>
          <w:sz w:val="24"/>
          <w:szCs w:val="24"/>
          <w:highlight w:val="none"/>
        </w:rPr>
        <w:t>★</w:t>
      </w:r>
      <w:r>
        <w:rPr>
          <w:rFonts w:hint="eastAsia" w:ascii="仿宋" w:hAnsi="仿宋" w:eastAsia="仿宋" w:cs="仿宋"/>
          <w:b/>
          <w:bCs/>
          <w:color w:val="000000"/>
          <w:sz w:val="24"/>
          <w:szCs w:val="24"/>
          <w:highlight w:val="none"/>
          <w:lang w:val="en-US" w:eastAsia="zh-CN"/>
        </w:rPr>
        <w:t>3.1.</w:t>
      </w:r>
      <w:r>
        <w:rPr>
          <w:rFonts w:hint="eastAsia" w:ascii="仿宋" w:hAnsi="仿宋" w:eastAsia="仿宋" w:cs="仿宋"/>
          <w:color w:val="000000"/>
          <w:sz w:val="24"/>
          <w:szCs w:val="24"/>
          <w:highlight w:val="none"/>
          <w:lang w:val="en-US" w:eastAsia="zh-CN"/>
        </w:rPr>
        <w:t>5.能力评估与需求评估供应商须具有有效的《医疗机构执业许可证》</w:t>
      </w:r>
      <w:r>
        <w:rPr>
          <w:rFonts w:hint="eastAsia" w:ascii="仿宋" w:hAnsi="仿宋" w:eastAsia="仿宋" w:cs="仿宋"/>
          <w:b/>
          <w:bCs/>
          <w:color w:val="000000"/>
          <w:sz w:val="24"/>
          <w:szCs w:val="24"/>
          <w:highlight w:val="none"/>
          <w:lang w:val="en-US" w:eastAsia="zh-CN"/>
        </w:rPr>
        <w:t>（提供承诺函，格式自拟）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3.2.家庭照护床位建设</w:t>
      </w:r>
    </w:p>
    <w:p>
      <w:pPr>
        <w:pageBreakBefore w:val="0"/>
        <w:numPr>
          <w:ilvl w:val="0"/>
          <w:numId w:val="0"/>
        </w:numPr>
        <w:kinsoku/>
        <w:overflowPunct/>
        <w:bidi w:val="0"/>
        <w:spacing w:line="360" w:lineRule="auto"/>
        <w:ind w:firstLine="482" w:firstLineChars="2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3.2.</w:t>
      </w:r>
      <w:r>
        <w:rPr>
          <w:rFonts w:hint="eastAsia" w:ascii="仿宋" w:hAnsi="仿宋" w:eastAsia="仿宋" w:cs="仿宋"/>
          <w:sz w:val="24"/>
          <w:szCs w:val="24"/>
          <w:highlight w:val="none"/>
          <w:lang w:val="en-US" w:eastAsia="zh-CN"/>
        </w:rPr>
        <w:t>1.工作目标</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2022 年</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月底完成</w:t>
      </w:r>
      <w:r>
        <w:rPr>
          <w:rFonts w:hint="eastAsia" w:ascii="仿宋" w:hAnsi="仿宋" w:eastAsia="仿宋" w:cs="仿宋"/>
          <w:sz w:val="24"/>
          <w:szCs w:val="24"/>
          <w:highlight w:val="none"/>
          <w:lang w:val="en-US" w:eastAsia="zh-CN"/>
        </w:rPr>
        <w:t>200张家庭照护床位建设，包含现场施工、设备调试、服务团队构建等</w:t>
      </w:r>
      <w:r>
        <w:rPr>
          <w:rFonts w:hint="eastAsia" w:ascii="仿宋" w:hAnsi="仿宋" w:eastAsia="仿宋" w:cs="仿宋"/>
          <w:sz w:val="24"/>
          <w:szCs w:val="24"/>
          <w:highlight w:val="none"/>
        </w:rPr>
        <w:t>（具体以采购人要求为准）。</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3.2.</w:t>
      </w:r>
      <w:r>
        <w:rPr>
          <w:rFonts w:hint="eastAsia" w:ascii="仿宋" w:hAnsi="仿宋" w:eastAsia="仿宋" w:cs="仿宋"/>
          <w:sz w:val="24"/>
          <w:szCs w:val="24"/>
          <w:highlight w:val="none"/>
          <w:lang w:val="en-US" w:eastAsia="zh-CN"/>
        </w:rPr>
        <w:t>2.工作内容及要求</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通过对符合条件的老人进行入户调研、上门评估及需求分析，结合需求评估结果及服务对象居住空间条件，与老年人及其家属协商后，对老年人居家环境进行必要的适老化改造和智能化改造。包括但不限于设置护理床、康复器具、呼叫器等必要的设施设备，为开展生活照料、体征监测、康复训练、呼叫响应等服务提供硬件与技术支持。</w:t>
      </w:r>
    </w:p>
    <w:tbl>
      <w:tblPr>
        <w:tblStyle w:val="6"/>
        <w:tblW w:w="9760" w:type="dxa"/>
        <w:jc w:val="center"/>
        <w:tblLayout w:type="autofit"/>
        <w:tblCellMar>
          <w:top w:w="0" w:type="dxa"/>
          <w:left w:w="108" w:type="dxa"/>
          <w:bottom w:w="0" w:type="dxa"/>
          <w:right w:w="108" w:type="dxa"/>
        </w:tblCellMar>
      </w:tblPr>
      <w:tblGrid>
        <w:gridCol w:w="2779"/>
        <w:gridCol w:w="2771"/>
        <w:gridCol w:w="1505"/>
        <w:gridCol w:w="2705"/>
      </w:tblGrid>
      <w:tr>
        <w:tblPrEx>
          <w:tblCellMar>
            <w:top w:w="0" w:type="dxa"/>
            <w:left w:w="108" w:type="dxa"/>
            <w:bottom w:w="0" w:type="dxa"/>
            <w:right w:w="108" w:type="dxa"/>
          </w:tblCellMar>
        </w:tblPrEx>
        <w:trPr>
          <w:trHeight w:val="338" w:hRule="atLeast"/>
          <w:jc w:val="center"/>
        </w:trPr>
        <w:tc>
          <w:tcPr>
            <w:tcW w:w="976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智能设施设备清单</w:t>
            </w:r>
          </w:p>
        </w:tc>
      </w:tr>
      <w:tr>
        <w:tblPrEx>
          <w:tblCellMar>
            <w:top w:w="0" w:type="dxa"/>
            <w:left w:w="108" w:type="dxa"/>
            <w:bottom w:w="0" w:type="dxa"/>
            <w:right w:w="108" w:type="dxa"/>
          </w:tblCellMar>
        </w:tblPrEx>
        <w:trPr>
          <w:trHeight w:val="338" w:hRule="atLeast"/>
          <w:jc w:val="center"/>
        </w:trPr>
        <w:tc>
          <w:tcPr>
            <w:tcW w:w="2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设备名称</w:t>
            </w:r>
          </w:p>
        </w:tc>
        <w:tc>
          <w:tcPr>
            <w:tcW w:w="27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产品</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数量</w:t>
            </w:r>
          </w:p>
        </w:tc>
        <w:tc>
          <w:tcPr>
            <w:tcW w:w="27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备注</w:t>
            </w:r>
          </w:p>
        </w:tc>
      </w:tr>
      <w:tr>
        <w:tblPrEx>
          <w:tblCellMar>
            <w:top w:w="0" w:type="dxa"/>
            <w:left w:w="108" w:type="dxa"/>
            <w:bottom w:w="0" w:type="dxa"/>
            <w:right w:w="108" w:type="dxa"/>
          </w:tblCellMar>
        </w:tblPrEx>
        <w:trPr>
          <w:trHeight w:val="47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网络连接设备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改造内容、数量以服务对象实际需求为准</w:t>
            </w:r>
          </w:p>
        </w:tc>
      </w:tr>
      <w:tr>
        <w:tblPrEx>
          <w:tblCellMar>
            <w:top w:w="0" w:type="dxa"/>
            <w:left w:w="108" w:type="dxa"/>
            <w:bottom w:w="0" w:type="dxa"/>
            <w:right w:w="108" w:type="dxa"/>
          </w:tblCellMar>
        </w:tblPrEx>
        <w:trPr>
          <w:trHeight w:val="445"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紧急呼叫设备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无线紧急按钮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507"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智能红外探测器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生物雷达</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视屏监控设备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摄像头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护理床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护理床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燃气探测器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燃气泄漏探测器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烟感智能监测终端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感烟火灾探测器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48"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睡眠监测床垫</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睡眠监测床垫</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bl>
    <w:p>
      <w:pPr>
        <w:pageBreakBefore w:val="0"/>
        <w:kinsoku/>
        <w:overflowPunct/>
        <w:bidi w:val="0"/>
        <w:spacing w:line="360" w:lineRule="auto"/>
        <w:rPr>
          <w:rFonts w:hint="eastAsia" w:ascii="仿宋" w:hAnsi="仿宋" w:eastAsia="仿宋" w:cs="仿宋"/>
          <w:highlight w:val="none"/>
          <w:lang w:val="en-US" w:eastAsia="zh-CN"/>
        </w:rPr>
      </w:pPr>
    </w:p>
    <w:tbl>
      <w:tblPr>
        <w:tblStyle w:val="6"/>
        <w:tblW w:w="9780" w:type="dxa"/>
        <w:jc w:val="center"/>
        <w:tblLayout w:type="autofit"/>
        <w:tblCellMar>
          <w:top w:w="0" w:type="dxa"/>
          <w:left w:w="108" w:type="dxa"/>
          <w:bottom w:w="0" w:type="dxa"/>
          <w:right w:w="108" w:type="dxa"/>
        </w:tblCellMar>
      </w:tblPr>
      <w:tblGrid>
        <w:gridCol w:w="2460"/>
        <w:gridCol w:w="2776"/>
        <w:gridCol w:w="2435"/>
        <w:gridCol w:w="817"/>
        <w:gridCol w:w="1292"/>
      </w:tblGrid>
      <w:tr>
        <w:tblPrEx>
          <w:tblCellMar>
            <w:top w:w="0" w:type="dxa"/>
            <w:left w:w="108" w:type="dxa"/>
            <w:bottom w:w="0" w:type="dxa"/>
            <w:right w:w="108" w:type="dxa"/>
          </w:tblCellMar>
        </w:tblPrEx>
        <w:trPr>
          <w:trHeight w:val="201" w:hRule="atLeast"/>
          <w:jc w:val="center"/>
        </w:trPr>
        <w:tc>
          <w:tcPr>
            <w:tcW w:w="9780"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适老化改造清单</w:t>
            </w:r>
          </w:p>
        </w:tc>
      </w:tr>
      <w:tr>
        <w:tblPrEx>
          <w:tblCellMar>
            <w:top w:w="0" w:type="dxa"/>
            <w:left w:w="108" w:type="dxa"/>
            <w:bottom w:w="0" w:type="dxa"/>
            <w:right w:w="108" w:type="dxa"/>
          </w:tblCellMar>
        </w:tblPrEx>
        <w:trPr>
          <w:trHeight w:val="201"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类别</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备注</w:t>
            </w:r>
          </w:p>
        </w:tc>
      </w:tr>
      <w:tr>
        <w:tblPrEx>
          <w:tblCellMar>
            <w:top w:w="0" w:type="dxa"/>
            <w:left w:w="108" w:type="dxa"/>
            <w:bottom w:w="0" w:type="dxa"/>
            <w:right w:w="108" w:type="dxa"/>
          </w:tblCellMar>
        </w:tblPrEx>
        <w:trPr>
          <w:trHeight w:val="263"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地面建设</w:t>
            </w: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防滑处理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防滑拖鞋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改造内容、数量以服务对象实际需求为准</w:t>
            </w:r>
          </w:p>
        </w:tc>
      </w:tr>
      <w:tr>
        <w:tblPrEx>
          <w:tblCellMar>
            <w:top w:w="0" w:type="dxa"/>
            <w:left w:w="108" w:type="dxa"/>
            <w:bottom w:w="0" w:type="dxa"/>
            <w:right w:w="108" w:type="dxa"/>
          </w:tblCellMar>
        </w:tblPrEx>
        <w:trPr>
          <w:trHeight w:val="26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防滑地垫X2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95"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卧室建设</w:t>
            </w:r>
          </w:p>
        </w:tc>
        <w:tc>
          <w:tcPr>
            <w:tcW w:w="2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安装床边护栏</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（抓杆）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床边扶手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如厕洗浴设备建设</w:t>
            </w: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安装扶手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一字扶手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L型扶手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上翻扶手</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配置沐浴椅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淋浴椅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蹲便器改坐便器</w:t>
            </w:r>
          </w:p>
        </w:tc>
        <w:tc>
          <w:tcPr>
            <w:tcW w:w="23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可移动座便器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3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物理环境建设</w:t>
            </w:r>
          </w:p>
        </w:tc>
        <w:tc>
          <w:tcPr>
            <w:tcW w:w="27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安装防撞护角/防撞条、提示标识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防撞条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2703"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防撞角</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35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2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安装自动感应应灯具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自动感应灯</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老年用品配置</w:t>
            </w: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助行类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轮椅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助行器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手杖</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助餐类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助食筷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老人餐盘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助穿类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穿衣辅助杆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如厕类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接尿器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便盆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0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洗浴类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卧床洗头盆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r>
        <w:tblPrEx>
          <w:tblCellMar>
            <w:top w:w="0" w:type="dxa"/>
            <w:left w:w="108" w:type="dxa"/>
            <w:bottom w:w="0" w:type="dxa"/>
            <w:right w:w="108" w:type="dxa"/>
          </w:tblCellMar>
        </w:tblPrEx>
        <w:trPr>
          <w:trHeight w:val="21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感知类</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放大镜指甲剪</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bidi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kinsoku/>
              <w:overflowPunct/>
              <w:bidi w:val="0"/>
              <w:spacing w:line="360" w:lineRule="auto"/>
              <w:jc w:val="center"/>
              <w:rPr>
                <w:rFonts w:hint="eastAsia" w:ascii="仿宋" w:hAnsi="仿宋" w:eastAsia="仿宋" w:cs="仿宋"/>
                <w:i w:val="0"/>
                <w:iCs w:val="0"/>
                <w:color w:val="000000"/>
                <w:sz w:val="22"/>
                <w:szCs w:val="22"/>
                <w:highlight w:val="none"/>
                <w:u w:val="none"/>
              </w:rPr>
            </w:pPr>
          </w:p>
        </w:tc>
      </w:tr>
    </w:tbl>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3.2.</w:t>
      </w:r>
      <w:r>
        <w:rPr>
          <w:rFonts w:hint="eastAsia" w:ascii="仿宋" w:hAnsi="仿宋" w:eastAsia="仿宋" w:cs="仿宋"/>
          <w:sz w:val="24"/>
          <w:szCs w:val="24"/>
          <w:highlight w:val="none"/>
          <w:lang w:val="en-US" w:eastAsia="zh-CN"/>
        </w:rPr>
        <w:t xml:space="preserve">3.补助标准 </w:t>
      </w:r>
    </w:p>
    <w:p>
      <w:pPr>
        <w:pageBreakBefore w:val="0"/>
        <w:numPr>
          <w:ilvl w:val="0"/>
          <w:numId w:val="0"/>
        </w:numPr>
        <w:kinsoku/>
        <w:overflowPunct/>
        <w:bidi w:val="0"/>
        <w:spacing w:line="360" w:lineRule="auto"/>
        <w:ind w:leftChars="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符合条件的</w:t>
      </w:r>
      <w:r>
        <w:rPr>
          <w:rFonts w:hint="eastAsia" w:ascii="仿宋" w:hAnsi="仿宋" w:eastAsia="仿宋" w:cs="仿宋"/>
          <w:sz w:val="24"/>
          <w:szCs w:val="24"/>
          <w:highlight w:val="none"/>
          <w:lang w:val="en-US" w:eastAsia="zh-CN"/>
        </w:rPr>
        <w:t>失能、半失能</w:t>
      </w:r>
      <w:r>
        <w:rPr>
          <w:rFonts w:hint="eastAsia" w:ascii="仿宋" w:hAnsi="仿宋" w:eastAsia="仿宋" w:cs="仿宋"/>
          <w:sz w:val="24"/>
          <w:szCs w:val="24"/>
          <w:highlight w:val="none"/>
        </w:rPr>
        <w:t>老年人</w:t>
      </w:r>
      <w:r>
        <w:rPr>
          <w:rFonts w:hint="eastAsia" w:ascii="仿宋" w:hAnsi="仿宋" w:eastAsia="仿宋" w:cs="仿宋"/>
          <w:sz w:val="24"/>
          <w:szCs w:val="24"/>
          <w:highlight w:val="none"/>
          <w:lang w:val="en-US" w:eastAsia="zh-CN"/>
        </w:rPr>
        <w:t>家庭照护床位建设</w:t>
      </w:r>
      <w:r>
        <w:rPr>
          <w:rFonts w:hint="eastAsia" w:ascii="仿宋" w:hAnsi="仿宋" w:eastAsia="仿宋" w:cs="仿宋"/>
          <w:sz w:val="24"/>
          <w:szCs w:val="24"/>
          <w:highlight w:val="none"/>
        </w:rPr>
        <w:t>一次性补贴</w:t>
      </w:r>
      <w:r>
        <w:rPr>
          <w:rFonts w:hint="eastAsia" w:ascii="仿宋" w:hAnsi="仿宋" w:eastAsia="仿宋" w:cs="仿宋"/>
          <w:sz w:val="24"/>
          <w:szCs w:val="24"/>
          <w:highlight w:val="none"/>
          <w:lang w:val="en-US" w:eastAsia="zh-CN"/>
        </w:rPr>
        <w:t>标准</w:t>
      </w:r>
      <w:r>
        <w:rPr>
          <w:rFonts w:hint="eastAsia" w:ascii="仿宋" w:hAnsi="仿宋" w:eastAsia="仿宋" w:cs="仿宋"/>
          <w:sz w:val="24"/>
          <w:szCs w:val="24"/>
          <w:highlight w:val="none"/>
        </w:rPr>
        <w:t>为</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000 元/人，超出建设补贴上限的，超出部分由服务对象自行承担。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3.2.4</w:t>
      </w:r>
      <w:r>
        <w:rPr>
          <w:rFonts w:hint="eastAsia" w:ascii="仿宋" w:hAnsi="仿宋" w:eastAsia="仿宋" w:cs="仿宋"/>
          <w:sz w:val="24"/>
          <w:szCs w:val="24"/>
          <w:highlight w:val="none"/>
          <w:lang w:val="en-US" w:eastAsia="zh-CN"/>
        </w:rPr>
        <w:t>.</w:t>
      </w:r>
      <w:r>
        <w:rPr>
          <w:rFonts w:hint="eastAsia" w:ascii="仿宋" w:hAnsi="仿宋" w:eastAsia="仿宋" w:cs="仿宋"/>
          <w:kern w:val="2"/>
          <w:sz w:val="24"/>
          <w:szCs w:val="24"/>
          <w:highlight w:val="none"/>
          <w:lang w:val="en-US" w:eastAsia="zh-CN" w:bidi="ar-SA"/>
        </w:rPr>
        <w:t>补贴对象</w:t>
      </w:r>
    </w:p>
    <w:p>
      <w:pPr>
        <w:pageBreakBefore w:val="0"/>
        <w:kinsoku/>
        <w:overflowPunct/>
        <w:bidi w:val="0"/>
        <w:spacing w:line="360" w:lineRule="auto"/>
        <w:ind w:firstLine="480" w:firstLineChars="200"/>
        <w:rPr>
          <w:rFonts w:hint="eastAsia" w:ascii="仿宋" w:hAnsi="仿宋" w:eastAsia="仿宋" w:cs="仿宋"/>
          <w:b/>
          <w:bCs/>
          <w:sz w:val="24"/>
          <w:szCs w:val="24"/>
          <w:highlight w:val="none"/>
        </w:rPr>
      </w:pPr>
      <w:r>
        <w:rPr>
          <w:rFonts w:hint="eastAsia" w:ascii="仿宋" w:hAnsi="仿宋" w:eastAsia="仿宋" w:cs="仿宋"/>
          <w:sz w:val="24"/>
          <w:szCs w:val="24"/>
          <w:highlight w:val="none"/>
        </w:rPr>
        <w:t>成都</w:t>
      </w:r>
      <w:r>
        <w:rPr>
          <w:rFonts w:hint="eastAsia" w:ascii="仿宋" w:hAnsi="仿宋" w:eastAsia="仿宋" w:cs="仿宋"/>
          <w:sz w:val="24"/>
          <w:szCs w:val="24"/>
          <w:highlight w:val="none"/>
          <w:lang w:val="en-US" w:eastAsia="zh-CN"/>
        </w:rPr>
        <w:t>市温江</w:t>
      </w:r>
      <w:r>
        <w:rPr>
          <w:rFonts w:hint="eastAsia" w:ascii="仿宋" w:hAnsi="仿宋" w:eastAsia="仿宋" w:cs="仿宋"/>
          <w:sz w:val="24"/>
          <w:szCs w:val="24"/>
          <w:highlight w:val="none"/>
        </w:rPr>
        <w:t>区</w:t>
      </w:r>
      <w:r>
        <w:rPr>
          <w:rFonts w:hint="eastAsia" w:ascii="仿宋" w:hAnsi="仿宋" w:eastAsia="仿宋" w:cs="仿宋"/>
          <w:sz w:val="24"/>
          <w:szCs w:val="24"/>
          <w:highlight w:val="none"/>
          <w:lang w:val="en-US" w:eastAsia="zh-CN"/>
        </w:rPr>
        <w:t>户籍且长期居住在本区的低保、低保边缘、散居特困和可支配收入低于上年度人均可支配收入中间偏下组（</w:t>
      </w:r>
      <w:r>
        <w:rPr>
          <w:rFonts w:hint="eastAsia" w:ascii="仿宋" w:hAnsi="仿宋" w:eastAsia="仿宋" w:cs="仿宋"/>
          <w:sz w:val="24"/>
          <w:szCs w:val="24"/>
          <w:highlight w:val="none"/>
        </w:rPr>
        <w:t>测算数为2852元/月</w:t>
      </w:r>
      <w:r>
        <w:rPr>
          <w:rFonts w:hint="eastAsia" w:ascii="仿宋" w:hAnsi="仿宋" w:eastAsia="仿宋" w:cs="仿宋"/>
          <w:sz w:val="24"/>
          <w:szCs w:val="24"/>
          <w:highlight w:val="none"/>
          <w:lang w:val="en-US" w:eastAsia="zh-CN"/>
        </w:rPr>
        <w:t>）的失能、半失能老年人。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3.2.5</w:t>
      </w:r>
      <w:r>
        <w:rPr>
          <w:rFonts w:hint="eastAsia" w:ascii="仿宋" w:hAnsi="仿宋" w:eastAsia="仿宋" w:cs="仿宋"/>
          <w:sz w:val="24"/>
          <w:szCs w:val="24"/>
          <w:highlight w:val="none"/>
          <w:lang w:val="en-US" w:eastAsia="zh-CN"/>
        </w:rPr>
        <w:t>.</w:t>
      </w:r>
      <w:r>
        <w:rPr>
          <w:rFonts w:hint="eastAsia" w:ascii="仿宋" w:hAnsi="仿宋" w:eastAsia="仿宋" w:cs="仿宋"/>
          <w:kern w:val="2"/>
          <w:sz w:val="24"/>
          <w:szCs w:val="24"/>
          <w:highlight w:val="none"/>
          <w:lang w:val="en-US" w:eastAsia="zh-CN" w:bidi="ar-SA"/>
        </w:rPr>
        <w:t>家庭照护床位建设后续服务：结合签约服务对象需求评估结果，按“一人一策”设定项目服务包。服务机构不得收取床位费，照护服务收费在参照当前养老服务市场同类服务的基础上，由服务机构自助合理定价。服务机构每天早、晚、通过智能设备各查房1次，每月累计服务时长不少于30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3.3.</w:t>
      </w:r>
      <w:r>
        <w:rPr>
          <w:rFonts w:hint="eastAsia" w:ascii="仿宋" w:hAnsi="仿宋" w:eastAsia="仿宋" w:cs="仿宋"/>
          <w:b/>
          <w:bCs/>
          <w:sz w:val="24"/>
          <w:szCs w:val="24"/>
          <w:highlight w:val="none"/>
          <w:lang w:val="en-US" w:eastAsia="zh-CN"/>
        </w:rPr>
        <w:t>居家养老服务上门服务</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3.3.</w:t>
      </w:r>
      <w:r>
        <w:rPr>
          <w:rFonts w:hint="eastAsia" w:ascii="仿宋" w:hAnsi="仿宋" w:eastAsia="仿宋" w:cs="仿宋"/>
          <w:sz w:val="24"/>
          <w:szCs w:val="24"/>
          <w:highlight w:val="none"/>
          <w:lang w:val="en-US" w:eastAsia="zh-CN"/>
        </w:rPr>
        <w:t>1.工作目标</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居家养老上门服务签约人数47人，2022 年2月底上门服务达到147人次。</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3.3.</w:t>
      </w:r>
      <w:r>
        <w:rPr>
          <w:rFonts w:hint="eastAsia" w:ascii="仿宋" w:hAnsi="仿宋" w:eastAsia="仿宋" w:cs="仿宋"/>
          <w:sz w:val="24"/>
          <w:szCs w:val="24"/>
          <w:highlight w:val="none"/>
          <w:lang w:val="en-US" w:eastAsia="zh-CN"/>
        </w:rPr>
        <w:t>2.工作内容及要求</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通过对符合条件的老人进行入户调研、上门评估及需求分析，对不具备家庭照护床位建设条件的服务对象，通过购买服务等方式，为老年人提供助餐、助洁、助行、助浴、助医、助急、康复、护理、巡访关爱等居家养老上门服务。</w:t>
      </w:r>
    </w:p>
    <w:p>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lang w:val="en-US" w:eastAsia="zh-CN"/>
        </w:rPr>
        <w:t>3.3.</w:t>
      </w:r>
      <w:r>
        <w:rPr>
          <w:rFonts w:hint="eastAsia" w:ascii="仿宋" w:hAnsi="仿宋" w:eastAsia="仿宋" w:cs="仿宋"/>
          <w:sz w:val="24"/>
          <w:szCs w:val="24"/>
          <w:highlight w:val="none"/>
          <w:lang w:val="en-US" w:eastAsia="zh-CN"/>
        </w:rPr>
        <w:t xml:space="preserve">3.补助标准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按照每人每月500元的补贴标准支持符合条件的服务对象享受为期一年居家养老上门服务。</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3.3.</w:t>
      </w:r>
      <w:r>
        <w:rPr>
          <w:rFonts w:hint="eastAsia" w:ascii="仿宋" w:hAnsi="仿宋" w:eastAsia="仿宋" w:cs="仿宋"/>
          <w:sz w:val="24"/>
          <w:szCs w:val="24"/>
          <w:highlight w:val="none"/>
          <w:lang w:val="en-US" w:eastAsia="zh-CN"/>
        </w:rPr>
        <w:t>4.</w:t>
      </w:r>
      <w:r>
        <w:rPr>
          <w:rFonts w:hint="eastAsia" w:ascii="仿宋" w:hAnsi="仿宋" w:eastAsia="仿宋" w:cs="仿宋"/>
          <w:kern w:val="2"/>
          <w:sz w:val="24"/>
          <w:szCs w:val="24"/>
          <w:highlight w:val="none"/>
          <w:lang w:val="en-US" w:eastAsia="zh-CN" w:bidi="ar-SA"/>
        </w:rPr>
        <w:t>补贴对象</w:t>
      </w:r>
    </w:p>
    <w:p>
      <w:pPr>
        <w:pageBreakBefore w:val="0"/>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成都</w:t>
      </w:r>
      <w:r>
        <w:rPr>
          <w:rFonts w:hint="eastAsia" w:ascii="仿宋" w:hAnsi="仿宋" w:eastAsia="仿宋" w:cs="仿宋"/>
          <w:sz w:val="24"/>
          <w:szCs w:val="24"/>
          <w:highlight w:val="none"/>
          <w:lang w:val="en-US" w:eastAsia="zh-CN"/>
        </w:rPr>
        <w:t>市温江</w:t>
      </w:r>
      <w:r>
        <w:rPr>
          <w:rFonts w:hint="eastAsia" w:ascii="仿宋" w:hAnsi="仿宋" w:eastAsia="仿宋" w:cs="仿宋"/>
          <w:sz w:val="24"/>
          <w:szCs w:val="24"/>
          <w:highlight w:val="none"/>
        </w:rPr>
        <w:t>区</w:t>
      </w:r>
      <w:r>
        <w:rPr>
          <w:rFonts w:hint="eastAsia" w:ascii="仿宋" w:hAnsi="仿宋" w:eastAsia="仿宋" w:cs="仿宋"/>
          <w:sz w:val="24"/>
          <w:szCs w:val="24"/>
          <w:highlight w:val="none"/>
          <w:lang w:val="en-US" w:eastAsia="zh-CN"/>
        </w:rPr>
        <w:t>户籍且长期居住在本区的低保、低保边缘、散居特困和可支配收入低于上年度人均可支配收入中间偏下组（侧算数为2852元/月）的失能、半失能老年人且未参与家庭照护床位建设项目的，纳入居家养老上门服务补贴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3.4.</w:t>
      </w:r>
      <w:r>
        <w:rPr>
          <w:rFonts w:hint="eastAsia" w:ascii="仿宋" w:hAnsi="仿宋" w:eastAsia="仿宋" w:cs="仿宋"/>
          <w:b/>
          <w:bCs/>
          <w:sz w:val="24"/>
          <w:szCs w:val="24"/>
          <w:highlight w:val="none"/>
          <w:lang w:val="en-US" w:eastAsia="zh-CN"/>
        </w:rPr>
        <w:t>信息系统建设</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3.4.1.</w:t>
      </w:r>
      <w:r>
        <w:rPr>
          <w:rFonts w:hint="eastAsia" w:ascii="仿宋" w:hAnsi="仿宋" w:eastAsia="仿宋" w:cs="仿宋"/>
          <w:sz w:val="24"/>
          <w:szCs w:val="24"/>
          <w:highlight w:val="none"/>
          <w:lang w:val="en-US" w:eastAsia="zh-CN"/>
        </w:rPr>
        <w:t>工作目标</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在原有居家和社区养老服务信息平台的基础上增设居家和社区基本养老服务提升行动项目的相应模块，构建政府管理端、服务供给端、老年人及亲属端三者互通的管理服务平台，实现服务监管、床位信息查询、家庭照护床位服务对象动态信息管理、数据实时更新统计等功能。</w:t>
      </w:r>
    </w:p>
    <w:p>
      <w:pPr>
        <w:pageBreakBefore w:val="0"/>
        <w:numPr>
          <w:ilvl w:val="0"/>
          <w:numId w:val="0"/>
        </w:numPr>
        <w:kinsoku/>
        <w:overflowPunct/>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3.4.2.</w:t>
      </w:r>
      <w:r>
        <w:rPr>
          <w:rFonts w:hint="eastAsia" w:ascii="仿宋" w:hAnsi="仿宋" w:eastAsia="仿宋" w:cs="仿宋"/>
          <w:sz w:val="24"/>
          <w:szCs w:val="24"/>
          <w:highlight w:val="none"/>
          <w:lang w:val="en-US" w:eastAsia="zh-CN"/>
        </w:rPr>
        <w:t>工作内容及要求</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家庭照护床位智慧信息平台实现与区域内养老服务中心社区智慧服务平台、民政区级监管平台数据相通，实现及时做到服务实时监管、一人一档一床一码床位信息及时调取、家庭照护床位服务对象动态监测管理、数据实时更新统计等功能。</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2022年2月底前完成信息系统建设。</w:t>
      </w:r>
    </w:p>
    <w:p>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lang w:val="en-US" w:eastAsia="zh-CN"/>
        </w:rPr>
        <w:t>3.4.3.</w:t>
      </w:r>
      <w:r>
        <w:rPr>
          <w:rFonts w:hint="eastAsia" w:ascii="仿宋" w:hAnsi="仿宋" w:eastAsia="仿宋" w:cs="仿宋"/>
          <w:sz w:val="24"/>
          <w:szCs w:val="24"/>
          <w:highlight w:val="none"/>
          <w:lang w:val="en-US" w:eastAsia="zh-CN"/>
        </w:rPr>
        <w:t xml:space="preserve">补助标准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参照《成都市民政局成都市财政局关于印发成都市居家和社区养老服务改革试点方案的通知》(成民发〔2017〕31号)中对养老服务信息平台建设的补助标准，给予每 个区(市)县10万元信息系统建设资金补贴。</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3.4.4.</w:t>
      </w:r>
      <w:r>
        <w:rPr>
          <w:rFonts w:hint="eastAsia" w:ascii="仿宋" w:hAnsi="仿宋" w:eastAsia="仿宋" w:cs="仿宋"/>
          <w:kern w:val="2"/>
          <w:sz w:val="24"/>
          <w:szCs w:val="24"/>
          <w:highlight w:val="none"/>
          <w:lang w:val="en-US" w:eastAsia="zh-CN" w:bidi="ar-SA"/>
        </w:rPr>
        <w:t>补贴对象</w:t>
      </w:r>
    </w:p>
    <w:p>
      <w:pPr>
        <w:pageBreakBefore w:val="0"/>
        <w:kinsoku/>
        <w:overflowPunct/>
        <w:bidi w:val="0"/>
        <w:spacing w:line="360" w:lineRule="auto"/>
        <w:ind w:firstLine="480" w:firstLineChars="200"/>
        <w:rPr>
          <w:rFonts w:hint="eastAsia" w:ascii="仿宋" w:hAnsi="仿宋" w:eastAsia="仿宋" w:cs="仿宋"/>
          <w:highlight w:val="none"/>
        </w:rPr>
      </w:pPr>
      <w:r>
        <w:rPr>
          <w:rFonts w:hint="eastAsia" w:ascii="仿宋" w:hAnsi="仿宋" w:eastAsia="仿宋" w:cs="仿宋"/>
          <w:sz w:val="24"/>
          <w:szCs w:val="24"/>
          <w:highlight w:val="none"/>
        </w:rPr>
        <w:t>对在原有居家和社区养老服务信息平台上增设居家和社区基本养老服务提升项目模块的</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给予信息系统建设补贴。</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3.5.</w:t>
      </w:r>
      <w:r>
        <w:rPr>
          <w:rFonts w:hint="eastAsia" w:ascii="仿宋" w:hAnsi="仿宋" w:eastAsia="仿宋" w:cs="仿宋"/>
          <w:color w:val="auto"/>
          <w:kern w:val="2"/>
          <w:sz w:val="24"/>
          <w:szCs w:val="24"/>
          <w:highlight w:val="none"/>
          <w:lang w:val="en-US" w:eastAsia="zh-CN" w:bidi="ar-SA"/>
        </w:rPr>
        <w:t>基本人员要求:供应商须配备4名服务人员。</w:t>
      </w:r>
      <w:r>
        <w:rPr>
          <w:rFonts w:hint="eastAsia" w:ascii="仿宋" w:hAnsi="仿宋" w:eastAsia="仿宋" w:cs="仿宋"/>
          <w:b/>
          <w:bCs/>
          <w:color w:val="auto"/>
          <w:kern w:val="2"/>
          <w:sz w:val="24"/>
          <w:szCs w:val="24"/>
          <w:highlight w:val="none"/>
          <w:lang w:val="en-US" w:eastAsia="zh-CN" w:bidi="ar-SA"/>
        </w:rPr>
        <w:t>（提供承诺函，格式自拟）</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、商务要求</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.1服务期：</w:t>
      </w:r>
      <w:r>
        <w:rPr>
          <w:rFonts w:hint="eastAsia" w:ascii="仿宋" w:hAnsi="仿宋" w:eastAsia="仿宋" w:cs="仿宋"/>
          <w:b w:val="0"/>
          <w:bCs w:val="0"/>
          <w:color w:val="auto"/>
          <w:sz w:val="24"/>
          <w:szCs w:val="24"/>
          <w:highlight w:val="none"/>
          <w:lang w:val="en-US" w:eastAsia="zh-CN"/>
        </w:rPr>
        <w:t>合同签订之日起至</w:t>
      </w:r>
      <w:r>
        <w:rPr>
          <w:rFonts w:hint="eastAsia" w:ascii="仿宋" w:hAnsi="仿宋" w:eastAsia="仿宋" w:cs="仿宋"/>
          <w:sz w:val="24"/>
          <w:szCs w:val="24"/>
          <w:highlight w:val="none"/>
          <w:lang w:val="en-US" w:eastAsia="zh-CN"/>
        </w:rPr>
        <w:t>2022年2月28日</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2质保期：1年</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rPr>
        <w:t>付款方式：</w:t>
      </w:r>
      <w:r>
        <w:rPr>
          <w:rFonts w:hint="eastAsia" w:ascii="仿宋" w:hAnsi="仿宋" w:eastAsia="仿宋" w:cs="仿宋"/>
          <w:color w:val="auto"/>
          <w:sz w:val="24"/>
          <w:szCs w:val="24"/>
          <w:highlight w:val="none"/>
        </w:rPr>
        <w:t>合同签订</w:t>
      </w:r>
      <w:r>
        <w:rPr>
          <w:rFonts w:hint="eastAsia" w:ascii="仿宋" w:hAnsi="仿宋" w:eastAsia="仿宋" w:cs="仿宋"/>
          <w:color w:val="auto"/>
          <w:sz w:val="24"/>
          <w:szCs w:val="24"/>
          <w:highlight w:val="none"/>
          <w:lang w:val="en-US" w:eastAsia="zh-CN"/>
        </w:rPr>
        <w:t>后</w:t>
      </w:r>
      <w:r>
        <w:rPr>
          <w:rFonts w:hint="eastAsia" w:ascii="仿宋" w:hAnsi="仿宋" w:eastAsia="仿宋" w:cs="仿宋"/>
          <w:color w:val="auto"/>
          <w:sz w:val="24"/>
          <w:szCs w:val="24"/>
          <w:highlight w:val="none"/>
        </w:rPr>
        <w:t>，采购人收到供应商出具的发票15日内，支付合同金额的</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服务期满经采购人考核后，</w:t>
      </w:r>
      <w:r>
        <w:rPr>
          <w:rFonts w:hint="eastAsia" w:ascii="仿宋" w:hAnsi="仿宋" w:eastAsia="仿宋" w:cs="仿宋"/>
          <w:color w:val="auto"/>
          <w:sz w:val="24"/>
          <w:szCs w:val="24"/>
          <w:highlight w:val="none"/>
        </w:rPr>
        <w:t>采购人收到供应商出具的发票15日内，</w:t>
      </w:r>
      <w:r>
        <w:rPr>
          <w:rFonts w:hint="eastAsia" w:ascii="仿宋" w:hAnsi="仿宋" w:eastAsia="仿宋" w:cs="仿宋"/>
          <w:color w:val="auto"/>
          <w:sz w:val="24"/>
          <w:szCs w:val="24"/>
          <w:highlight w:val="none"/>
          <w:lang w:val="en-US" w:eastAsia="zh-CN"/>
        </w:rPr>
        <w:t>按考核结果支付剩余价款。</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报价要求：</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.1所有报价一律以人民币报价。采购人不接受任何非人民币币种的报价。</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.2供应商的报价是其响应本项目要求的全部工作内容的价格体现（含采购代理服务费），采购人将不再支付其他额外费用。</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项目验收</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按照国家有关规定及采购文件要求、供应商响应文件承诺进行验收</w:t>
      </w:r>
      <w:r>
        <w:rPr>
          <w:rFonts w:hint="eastAsia" w:ascii="仿宋" w:hAnsi="仿宋" w:eastAsia="仿宋" w:cs="仿宋"/>
          <w:b w:val="0"/>
          <w:bCs w:val="0"/>
          <w:color w:val="auto"/>
          <w:sz w:val="24"/>
          <w:szCs w:val="24"/>
          <w:highlight w:val="none"/>
          <w:lang w:eastAsia="zh-CN"/>
        </w:rPr>
        <w:t>。采购人负责对本项目实行全过程监管，加强项目跟踪监测和质量评估，组织对家庭照护床位建设和居家养老上门服务实施情况、目标任务完成情况、资金使用情况等开展自查验收。</w:t>
      </w:r>
    </w:p>
    <w:p>
      <w:pPr>
        <w:pStyle w:val="4"/>
        <w:pageBreakBefore w:val="0"/>
        <w:widowControl w:val="0"/>
        <w:kinsoku/>
        <w:wordWrap/>
        <w:overflowPunct/>
        <w:topLinePunct w:val="0"/>
        <w:autoSpaceDE/>
        <w:autoSpaceDN/>
        <w:bidi w:val="0"/>
        <w:spacing w:after="0" w:line="360" w:lineRule="auto"/>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履约验收办法：成交人与采购人应严格按照《财政部关于进一步加强政府采购需求和履约验收管理的指导意见》（财库〔2016〕205号）的要求进行验收。</w:t>
      </w:r>
    </w:p>
    <w:p>
      <w:pPr>
        <w:pStyle w:val="4"/>
        <w:pageBreakBefore w:val="0"/>
        <w:widowControl w:val="0"/>
        <w:kinsoku/>
        <w:overflowPunct/>
        <w:bidi w:val="0"/>
        <w:spacing w:after="0" w:line="360" w:lineRule="auto"/>
        <w:ind w:firstLine="480" w:firstLineChars="200"/>
        <w:rPr>
          <w:rFonts w:hint="eastAsia" w:ascii="仿宋" w:hAnsi="仿宋" w:eastAsia="仿宋" w:cs="仿宋"/>
          <w:b w:val="0"/>
          <w:bCs w:val="0"/>
          <w:color w:val="auto"/>
          <w:kern w:val="2"/>
          <w:sz w:val="24"/>
          <w:szCs w:val="24"/>
          <w:highlight w:val="none"/>
        </w:rPr>
      </w:pP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color w:val="auto"/>
          <w:sz w:val="24"/>
          <w:highlight w:val="none"/>
          <w:lang w:val="en-US" w:eastAsia="zh-CN"/>
        </w:rPr>
        <w:t>考核办法</w:t>
      </w:r>
    </w:p>
    <w:p>
      <w:pPr>
        <w:pageBreakBefore w:val="0"/>
        <w:kinsoku/>
        <w:overflowPunct/>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项目考核标准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为使政府购买服务工作的有效开展，根据成都市民政局 成都市财政局关于印发《2021年中央专项彩票公益金支持成都市居家和社区基本养老服务提升行动项目实施方案》的通知、成都市民政局 成都市财政局关于下达2021年中央专项彩票公益金支持居家和社区基本养老服务提升行动项目资金的通知、成都市民政局 成都市财政局关于做好2021年中央专项彩票公益金支持成都市居家和社区基本养老服务提升行动项目资金管理使用相关工作的通知，结合温江区实际，特制定本办法。</w:t>
      </w:r>
    </w:p>
    <w:p>
      <w:pPr>
        <w:pageBreakBefore w:val="0"/>
        <w:numPr>
          <w:ilvl w:val="0"/>
          <w:numId w:val="1"/>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总则</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第一条  以深化和创新社会公共服务模式为目标，通过规范政府购买服务项目绩效评估，进一步提高政府购买服务的供给质量和效率，为规范政府购买服务工作有效开展提供全面、科学、准确的依据，推进辖区养老机构健康发展。</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第二条  本办法适用于全部或部分使用财政资金向社会组织及其他组织购买政府公共服务、社会管理类项目。</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第三条  本办法由温江区政府购买服务考评领导小组牵头并统筹组织、实施监督。</w:t>
      </w: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第二章   考核原则</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第四条  讲实效突重点原则。依据《2021年中央专项彩票公益金支持成都市居家和社区基本养老服务提升行动项目实施方案》工作内容进行考核评估，以落实民生服务为导向，重点是养老机构开展服务的能力、对政府购买社会公共服务合同履行情况、服务项目达标程度、 社会效益和受益群体满意度等进行考核和评价，促进服务机构持续改进，提高质量与效果，保证辖区老人受益。</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第五条  内外考核评价结合原则。多方参与，内部评价与外部评价相结合，对养老机构进行科学、客观、公正、公开、透明的考核。内部考核为街道各科室，社区两委；外部考核为社区居民、驻区单位及第三方测评。</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第六条  奖惩结合原则。绩效评估结果作为项目资金结算的重要参考依据。 对绩效考核评估不达标的养老机构由区民政局提出警告或调整退出。</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考核内容</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第七条  对养老机构绩效考核内容主要包括家庭照护床位建设、居家养老上门服务、能力和需求评估、信息系统建设工作开展与落实情况，具体从组织建设、项目运行、社会成效等三个方面进行考核、评价。</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（一）组织建设。主要考核服务提供方组织机构建设情况，管理制度建立、执行情况，专业人员配备、管理情况和重大事项报告、信息公开等情况。</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（二）项目运行。依据《2021年中央专项彩票公益金支持成都市居家和社区基本养老服务提升行动项目实施方案》， 主要考核服务项目总体计划、实施方案的制订情况，项目日常运行情况、项目资金管理、项目规范运行、项目宣传、日常工作按政府购买服务协议约定的目标和标准完成情况以及相关服务记录台账、工作过程资料的收集、整理等情况。</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（三）社会成效。主要考核服务对象对服务提供方所提供服务的满意度；民政部门对服务提供方服务工作的认可程度以及工作配合的密切程度作出的评价。</w:t>
      </w: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第四章   考核方式</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第八条  考核结果采用百分制，对组织建设、项目运行、社会成效等方面进行考核评估的比例分别为 10%，75%，15%。考核评估结果分为 4 个等级，90 分（含 90 分）以上为一等、75 分—89（含 75）为二等、60 分—74 分（含 60）为三等，60分以下为四等。</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   考核程序</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第十条 组织建设和项目运行考评。所有购买事项完成服务后，由民政部门按照《2021年中央专项彩票公益金支持成都市居家和社区基本养老服务提升行动项目实施方案》进行考评。</w:t>
      </w: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考核结果运用</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第十一条  养老机构承接的购买服务项目考核评分结果为“一等”的，该组织在同等条件下具有优先承接政府同类购买服务项目的资格，同时其考评得分情况作为评先表彰的重要依据之一。</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第十二条  区民政局根据绩效考评结果，与承接服务的养老机构进行项目经费结算。养老机构完全履行协议约定的项目要求，其评估结果为“一等”等次的，按照 100%拨付质量考评保证经费；结果为“二等”等次的，按照 90%拨付质量考评保证经费；结果为“三等”等次的，按照 80%拨付质量考评保证经费；结果为“四等”等次的，为考核不合格，全额扣除质量考评保证经费，且该服务机构不再承接政府购买服务项目。其中，服务期限内因任务未按时完成导致不合格的，街道、社区应敦促服务提供方继续提供服务直至政府购买服务合同任务的完成；因主观原因，未完成项目任务，且情节严重、造成不良社会影响的，取消其本次承接政府购买服务项目的资格。某单项工作在全区城区街道排名最末位 (并列除外)的，全额扣除质量考评保证经费，且该服务机构不再承接政府购买服务项目。</w:t>
      </w: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p>
    <w:p>
      <w:pPr>
        <w:pageBreakBefore w:val="0"/>
        <w:numPr>
          <w:ilvl w:val="0"/>
          <w:numId w:val="0"/>
        </w:numPr>
        <w:kinsoku/>
        <w:overflowPunct/>
        <w:bidi w:val="0"/>
        <w:spacing w:line="36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第七章   年终评优表彰</w:t>
      </w:r>
    </w:p>
    <w:p>
      <w:pPr>
        <w:pageBreakBefore w:val="0"/>
        <w:numPr>
          <w:ilvl w:val="0"/>
          <w:numId w:val="0"/>
        </w:numPr>
        <w:kinsoku/>
        <w:overflowPunct/>
        <w:bidi w:val="0"/>
        <w:spacing w:line="360" w:lineRule="auto"/>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第十三条  评优表彰办法。为表彰养老机构做出的贡献，增加养老机构工作积极性，在绩效考核评分的基础上，对工作中积极创新、开展亮点特色工作，特色亮点工作在全辖区具有示范性，得到街道及以上 主管部门肯定的养老机构给予表彰。</w:t>
      </w:r>
    </w:p>
    <w:p>
      <w:pPr>
        <w:pageBreakBefore w:val="0"/>
        <w:kinsoku/>
        <w:overflowPunct/>
        <w:bidi w:val="0"/>
        <w:spacing w:before="0" w:line="360" w:lineRule="auto"/>
        <w:jc w:val="both"/>
        <w:rPr>
          <w:rFonts w:hint="eastAsia" w:ascii="仿宋" w:hAnsi="仿宋" w:eastAsia="仿宋" w:cs="仿宋"/>
          <w:b/>
          <w:bCs/>
          <w:sz w:val="28"/>
          <w:szCs w:val="28"/>
          <w:highlight w:val="none"/>
          <w:lang w:val="en-US" w:eastAsia="zh-CN"/>
        </w:rPr>
      </w:pPr>
      <w:r>
        <w:rPr>
          <w:rFonts w:hint="eastAsia" w:ascii="仿宋" w:hAnsi="仿宋" w:eastAsia="仿宋" w:cs="仿宋"/>
          <w:b w:val="0"/>
          <w:bCs w:val="0"/>
          <w:sz w:val="24"/>
          <w:szCs w:val="24"/>
          <w:highlight w:val="none"/>
          <w:lang w:val="en-US" w:eastAsia="zh-CN"/>
        </w:rPr>
        <w:t>第十四条  突出贡献奖。养老机构在工作中积极创新、开展亮点特色工作， 并在全市、区具有示范性，得到省、市主管部门肯定的；区主要领导肯定的；对所在养老机构给予突出贡献表彰，并给予一定金额的经费奖励（另定）。</w:t>
      </w:r>
    </w:p>
    <w:p>
      <w:pPr>
        <w:pageBreakBefore w:val="0"/>
        <w:kinsoku/>
        <w:overflowPunct/>
        <w:bidi w:val="0"/>
        <w:spacing w:before="0" w:line="360" w:lineRule="auto"/>
        <w:jc w:val="both"/>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考核评估标准</w:t>
      </w:r>
    </w:p>
    <w:tbl>
      <w:tblPr>
        <w:tblStyle w:val="9"/>
        <w:tblW w:w="969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6"/>
        <w:gridCol w:w="1"/>
        <w:gridCol w:w="924"/>
        <w:gridCol w:w="1787"/>
        <w:gridCol w:w="2680"/>
        <w:gridCol w:w="1020"/>
        <w:gridCol w:w="886"/>
        <w:gridCol w:w="3"/>
        <w:gridCol w:w="12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9" w:hRule="atLeast"/>
          <w:jc w:val="center"/>
        </w:trPr>
        <w:tc>
          <w:tcPr>
            <w:tcW w:w="1166" w:type="dxa"/>
            <w:vMerge w:val="restart"/>
            <w:tcBorders>
              <w:top w:val="single" w:color="000000" w:sz="2" w:space="0"/>
              <w:bottom w:val="nil"/>
            </w:tcBorders>
            <w:noWrap w:val="0"/>
            <w:vAlign w:val="center"/>
          </w:tcPr>
          <w:p>
            <w:pPr>
              <w:pageBreakBefore w:val="0"/>
              <w:kinsoku/>
              <w:overflowPunct/>
              <w:bidi w:val="0"/>
              <w:spacing w:before="0" w:line="360" w:lineRule="auto"/>
              <w:jc w:val="center"/>
              <w:rPr>
                <w:rFonts w:hint="eastAsia" w:ascii="仿宋" w:hAnsi="仿宋" w:eastAsia="仿宋" w:cs="仿宋"/>
                <w:b/>
                <w:bCs/>
                <w:sz w:val="28"/>
                <w:szCs w:val="28"/>
                <w:highlight w:val="none"/>
              </w:rPr>
            </w:pPr>
            <w:r>
              <w:rPr>
                <w:rFonts w:hint="eastAsia" w:ascii="仿宋" w:hAnsi="仿宋" w:eastAsia="仿宋" w:cs="仿宋"/>
                <w:b/>
                <w:bCs/>
                <w:spacing w:val="7"/>
                <w:sz w:val="23"/>
                <w:szCs w:val="23"/>
                <w:highlight w:val="none"/>
              </w:rPr>
              <w:t>评估考核项目</w:t>
            </w:r>
          </w:p>
        </w:tc>
        <w:tc>
          <w:tcPr>
            <w:tcW w:w="925" w:type="dxa"/>
            <w:gridSpan w:val="2"/>
            <w:vMerge w:val="restart"/>
            <w:tcBorders>
              <w:top w:val="single" w:color="000000" w:sz="2" w:space="0"/>
              <w:bottom w:val="nil"/>
            </w:tcBorders>
            <w:noWrap w:val="0"/>
            <w:textDirection w:val="tbRlV"/>
            <w:vAlign w:val="center"/>
          </w:tcPr>
          <w:p>
            <w:pPr>
              <w:pageBreakBefore w:val="0"/>
              <w:kinsoku/>
              <w:overflowPunct/>
              <w:bidi w:val="0"/>
              <w:spacing w:before="0" w:line="360" w:lineRule="auto"/>
              <w:jc w:val="center"/>
              <w:rPr>
                <w:rFonts w:hint="eastAsia" w:ascii="仿宋" w:hAnsi="仿宋" w:eastAsia="仿宋" w:cs="仿宋"/>
                <w:b/>
                <w:bCs/>
                <w:sz w:val="28"/>
                <w:szCs w:val="28"/>
                <w:highlight w:val="none"/>
                <w:lang w:val="en-US" w:eastAsia="zh-CN"/>
              </w:rPr>
            </w:pPr>
            <w:r>
              <w:rPr>
                <w:rFonts w:hint="eastAsia" w:ascii="仿宋" w:hAnsi="仿宋" w:eastAsia="仿宋" w:cs="仿宋"/>
                <w:b/>
                <w:bCs/>
                <w:spacing w:val="7"/>
                <w:sz w:val="23"/>
                <w:szCs w:val="23"/>
                <w:highlight w:val="none"/>
                <w:lang w:val="en-US" w:eastAsia="zh-CN"/>
              </w:rPr>
              <w:t>序号</w:t>
            </w:r>
          </w:p>
        </w:tc>
        <w:tc>
          <w:tcPr>
            <w:tcW w:w="1787" w:type="dxa"/>
            <w:vMerge w:val="restart"/>
            <w:tcBorders>
              <w:top w:val="single" w:color="000000" w:sz="2" w:space="0"/>
              <w:bottom w:val="nil"/>
            </w:tcBorders>
            <w:noWrap w:val="0"/>
            <w:vAlign w:val="center"/>
          </w:tcPr>
          <w:p>
            <w:pPr>
              <w:pageBreakBefore w:val="0"/>
              <w:kinsoku/>
              <w:overflowPunct/>
              <w:bidi w:val="0"/>
              <w:spacing w:before="0" w:line="360" w:lineRule="auto"/>
              <w:jc w:val="center"/>
              <w:rPr>
                <w:rFonts w:hint="eastAsia" w:ascii="仿宋" w:hAnsi="仿宋" w:eastAsia="仿宋" w:cs="仿宋"/>
                <w:b/>
                <w:bCs/>
                <w:spacing w:val="7"/>
                <w:sz w:val="23"/>
                <w:szCs w:val="23"/>
                <w:highlight w:val="none"/>
              </w:rPr>
            </w:pPr>
            <w:r>
              <w:rPr>
                <w:rFonts w:hint="eastAsia" w:ascii="仿宋" w:hAnsi="仿宋" w:eastAsia="仿宋" w:cs="仿宋"/>
                <w:b/>
                <w:bCs/>
                <w:spacing w:val="7"/>
                <w:sz w:val="23"/>
                <w:szCs w:val="23"/>
                <w:highlight w:val="none"/>
              </w:rPr>
              <w:t>评估考核</w:t>
            </w:r>
          </w:p>
          <w:p>
            <w:pPr>
              <w:pageBreakBefore w:val="0"/>
              <w:kinsoku/>
              <w:overflowPunct/>
              <w:bidi w:val="0"/>
              <w:spacing w:before="0" w:line="360" w:lineRule="auto"/>
              <w:jc w:val="center"/>
              <w:rPr>
                <w:rFonts w:hint="eastAsia" w:ascii="仿宋" w:hAnsi="仿宋" w:eastAsia="仿宋" w:cs="仿宋"/>
                <w:b/>
                <w:bCs/>
                <w:sz w:val="28"/>
                <w:szCs w:val="28"/>
                <w:highlight w:val="none"/>
              </w:rPr>
            </w:pPr>
            <w:r>
              <w:rPr>
                <w:rFonts w:hint="eastAsia" w:ascii="仿宋" w:hAnsi="仿宋" w:eastAsia="仿宋" w:cs="仿宋"/>
                <w:b/>
                <w:bCs/>
                <w:spacing w:val="7"/>
                <w:sz w:val="23"/>
                <w:szCs w:val="23"/>
                <w:highlight w:val="none"/>
              </w:rPr>
              <w:t>内容</w:t>
            </w:r>
          </w:p>
        </w:tc>
        <w:tc>
          <w:tcPr>
            <w:tcW w:w="2680" w:type="dxa"/>
            <w:vMerge w:val="restart"/>
            <w:tcBorders>
              <w:top w:val="single" w:color="000000" w:sz="2" w:space="0"/>
              <w:bottom w:val="nil"/>
            </w:tcBorders>
            <w:noWrap w:val="0"/>
            <w:vAlign w:val="center"/>
          </w:tcPr>
          <w:p>
            <w:pPr>
              <w:pageBreakBefore w:val="0"/>
              <w:kinsoku/>
              <w:overflowPunct/>
              <w:bidi w:val="0"/>
              <w:spacing w:before="0" w:line="360" w:lineRule="auto"/>
              <w:jc w:val="center"/>
              <w:rPr>
                <w:rFonts w:hint="eastAsia" w:ascii="仿宋" w:hAnsi="仿宋" w:eastAsia="仿宋" w:cs="仿宋"/>
                <w:b/>
                <w:bCs/>
                <w:sz w:val="28"/>
                <w:szCs w:val="28"/>
                <w:highlight w:val="none"/>
              </w:rPr>
            </w:pPr>
            <w:r>
              <w:rPr>
                <w:rFonts w:hint="eastAsia" w:ascii="仿宋" w:hAnsi="仿宋" w:eastAsia="仿宋" w:cs="仿宋"/>
                <w:b/>
                <w:bCs/>
                <w:spacing w:val="7"/>
                <w:sz w:val="23"/>
                <w:szCs w:val="23"/>
                <w:highlight w:val="none"/>
              </w:rPr>
              <w:t>评估考核标准</w:t>
            </w:r>
          </w:p>
        </w:tc>
        <w:tc>
          <w:tcPr>
            <w:tcW w:w="3139" w:type="dxa"/>
            <w:gridSpan w:val="4"/>
            <w:tcBorders>
              <w:top w:val="single" w:color="000000" w:sz="2" w:space="0"/>
              <w:bottom w:val="single" w:color="000000" w:sz="2" w:space="0"/>
            </w:tcBorders>
            <w:noWrap w:val="0"/>
            <w:vAlign w:val="center"/>
          </w:tcPr>
          <w:p>
            <w:pPr>
              <w:pageBreakBefore w:val="0"/>
              <w:kinsoku/>
              <w:overflowPunct/>
              <w:bidi w:val="0"/>
              <w:spacing w:before="0" w:line="360" w:lineRule="auto"/>
              <w:jc w:val="center"/>
              <w:rPr>
                <w:rFonts w:hint="eastAsia" w:ascii="仿宋" w:hAnsi="仿宋" w:eastAsia="仿宋" w:cs="仿宋"/>
                <w:b/>
                <w:bCs/>
                <w:sz w:val="28"/>
                <w:szCs w:val="28"/>
                <w:highlight w:val="none"/>
              </w:rPr>
            </w:pPr>
            <w:r>
              <w:rPr>
                <w:rFonts w:hint="eastAsia" w:ascii="仿宋" w:hAnsi="仿宋" w:eastAsia="仿宋" w:cs="仿宋"/>
                <w:b/>
                <w:bCs/>
                <w:spacing w:val="7"/>
                <w:sz w:val="23"/>
                <w:szCs w:val="23"/>
                <w:highlight w:val="none"/>
              </w:rPr>
              <w:t>量化分值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jc w:val="center"/>
        </w:trPr>
        <w:tc>
          <w:tcPr>
            <w:tcW w:w="1166" w:type="dxa"/>
            <w:vMerge w:val="continue"/>
            <w:tcBorders>
              <w:top w:val="nil"/>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vMerge w:val="continue"/>
            <w:tcBorders>
              <w:top w:val="nil"/>
              <w:bottom w:val="single" w:color="000000" w:sz="2" w:space="0"/>
            </w:tcBorders>
            <w:noWrap w:val="0"/>
            <w:textDirection w:val="tbRlV"/>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787" w:type="dxa"/>
            <w:vMerge w:val="continue"/>
            <w:tcBorders>
              <w:top w:val="nil"/>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2680" w:type="dxa"/>
            <w:vMerge w:val="continue"/>
            <w:tcBorders>
              <w:top w:val="nil"/>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020"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20"/>
              <w:jc w:val="center"/>
              <w:rPr>
                <w:rFonts w:hint="eastAsia" w:ascii="仿宋" w:hAnsi="仿宋" w:eastAsia="仿宋" w:cs="仿宋"/>
                <w:b/>
                <w:bCs/>
                <w:sz w:val="23"/>
                <w:szCs w:val="23"/>
                <w:highlight w:val="none"/>
              </w:rPr>
            </w:pPr>
            <w:r>
              <w:rPr>
                <w:rFonts w:hint="eastAsia" w:ascii="仿宋" w:hAnsi="仿宋" w:eastAsia="仿宋" w:cs="仿宋"/>
                <w:b/>
                <w:bCs/>
                <w:spacing w:val="7"/>
                <w:sz w:val="23"/>
                <w:szCs w:val="23"/>
                <w:highlight w:val="none"/>
              </w:rPr>
              <w:t>标准分值</w:t>
            </w:r>
          </w:p>
        </w:tc>
        <w:tc>
          <w:tcPr>
            <w:tcW w:w="886"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20"/>
              <w:jc w:val="center"/>
              <w:rPr>
                <w:rFonts w:hint="eastAsia" w:ascii="仿宋" w:hAnsi="仿宋" w:eastAsia="仿宋" w:cs="仿宋"/>
                <w:b/>
                <w:bCs/>
                <w:spacing w:val="7"/>
                <w:sz w:val="23"/>
                <w:szCs w:val="23"/>
                <w:highlight w:val="none"/>
              </w:rPr>
            </w:pPr>
            <w:r>
              <w:rPr>
                <w:rFonts w:hint="eastAsia" w:ascii="仿宋" w:hAnsi="仿宋" w:eastAsia="仿宋" w:cs="仿宋"/>
                <w:b/>
                <w:bCs/>
                <w:spacing w:val="7"/>
                <w:sz w:val="23"/>
                <w:szCs w:val="23"/>
                <w:highlight w:val="none"/>
              </w:rPr>
              <w:t>自评分</w:t>
            </w: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before="0" w:line="360" w:lineRule="auto"/>
              <w:ind w:firstLine="20"/>
              <w:jc w:val="center"/>
              <w:rPr>
                <w:rFonts w:hint="eastAsia" w:ascii="仿宋" w:hAnsi="仿宋" w:eastAsia="仿宋" w:cs="仿宋"/>
                <w:b/>
                <w:bCs/>
                <w:spacing w:val="7"/>
                <w:sz w:val="23"/>
                <w:szCs w:val="23"/>
                <w:highlight w:val="none"/>
              </w:rPr>
            </w:pPr>
            <w:r>
              <w:rPr>
                <w:rFonts w:hint="eastAsia" w:ascii="仿宋" w:hAnsi="仿宋" w:eastAsia="仿宋" w:cs="仿宋"/>
                <w:b/>
                <w:bCs/>
                <w:spacing w:val="7"/>
                <w:sz w:val="23"/>
                <w:szCs w:val="23"/>
                <w:highlight w:val="none"/>
              </w:rPr>
              <w:t>评估小组考核分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1166" w:type="dxa"/>
            <w:vMerge w:val="restart"/>
            <w:tcBorders>
              <w:top w:val="single" w:color="000000" w:sz="2"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left="16" w:right="172" w:firstLine="119"/>
              <w:jc w:val="center"/>
              <w:rPr>
                <w:rFonts w:hint="eastAsia" w:ascii="仿宋" w:hAnsi="仿宋" w:eastAsia="仿宋" w:cs="仿宋"/>
                <w:sz w:val="23"/>
                <w:szCs w:val="23"/>
                <w:highlight w:val="none"/>
              </w:rPr>
            </w:pPr>
            <w:r>
              <w:rPr>
                <w:rFonts w:hint="eastAsia" w:ascii="仿宋" w:hAnsi="仿宋" w:eastAsia="仿宋" w:cs="仿宋"/>
                <w:spacing w:val="6"/>
                <w:sz w:val="23"/>
                <w:szCs w:val="23"/>
                <w:highlight w:val="none"/>
              </w:rPr>
              <w:t>组织</w:t>
            </w:r>
            <w:r>
              <w:rPr>
                <w:rFonts w:hint="eastAsia" w:ascii="仿宋" w:hAnsi="仿宋" w:eastAsia="仿宋" w:cs="仿宋"/>
                <w:spacing w:val="5"/>
                <w:sz w:val="23"/>
                <w:szCs w:val="23"/>
                <w:highlight w:val="none"/>
              </w:rPr>
              <w:t>建</w:t>
            </w:r>
            <w:r>
              <w:rPr>
                <w:rFonts w:hint="eastAsia" w:ascii="仿宋" w:hAnsi="仿宋" w:eastAsia="仿宋" w:cs="仿宋"/>
                <w:sz w:val="23"/>
                <w:szCs w:val="23"/>
                <w:highlight w:val="none"/>
              </w:rPr>
              <w:t xml:space="preserve"> 设</w:t>
            </w:r>
          </w:p>
          <w:p>
            <w:pPr>
              <w:pageBreakBefore w:val="0"/>
              <w:kinsoku/>
              <w:overflowPunct/>
              <w:bidi w:val="0"/>
              <w:spacing w:line="360" w:lineRule="auto"/>
              <w:ind w:firstLine="144"/>
              <w:jc w:val="center"/>
              <w:rPr>
                <w:rFonts w:hint="eastAsia" w:ascii="仿宋" w:hAnsi="仿宋" w:eastAsia="仿宋" w:cs="仿宋"/>
                <w:sz w:val="21"/>
                <w:szCs w:val="21"/>
                <w:highlight w:val="none"/>
              </w:rPr>
            </w:pPr>
            <w:r>
              <w:rPr>
                <w:rFonts w:hint="eastAsia" w:ascii="仿宋" w:hAnsi="仿宋" w:eastAsia="仿宋" w:cs="仿宋"/>
                <w:position w:val="1"/>
                <w:sz w:val="21"/>
                <w:szCs w:val="21"/>
                <w:highlight w:val="none"/>
              </w:rPr>
              <w:t>（10</w:t>
            </w:r>
            <w:r>
              <w:rPr>
                <w:rFonts w:hint="eastAsia" w:ascii="仿宋" w:hAnsi="仿宋" w:eastAsia="仿宋" w:cs="仿宋"/>
                <w:spacing w:val="-1"/>
                <w:position w:val="1"/>
                <w:sz w:val="21"/>
                <w:szCs w:val="21"/>
                <w:highlight w:val="none"/>
              </w:rPr>
              <w:t xml:space="preserve"> </w:t>
            </w:r>
            <w:r>
              <w:rPr>
                <w:rFonts w:hint="eastAsia" w:ascii="仿宋" w:hAnsi="仿宋" w:eastAsia="仿宋" w:cs="仿宋"/>
                <w:position w:val="1"/>
                <w:sz w:val="21"/>
                <w:szCs w:val="21"/>
                <w:highlight w:val="none"/>
              </w:rPr>
              <w:t>分</w:t>
            </w:r>
            <w:r>
              <w:rPr>
                <w:rFonts w:hint="eastAsia" w:ascii="仿宋" w:hAnsi="仿宋" w:eastAsia="仿宋" w:cs="仿宋"/>
                <w:spacing w:val="-73"/>
                <w:position w:val="1"/>
                <w:sz w:val="21"/>
                <w:szCs w:val="21"/>
                <w:highlight w:val="none"/>
              </w:rPr>
              <w:t>）</w:t>
            </w: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20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1787"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79"/>
              <w:jc w:val="center"/>
              <w:rPr>
                <w:rFonts w:hint="eastAsia" w:ascii="仿宋" w:hAnsi="仿宋" w:eastAsia="仿宋" w:cs="仿宋"/>
                <w:sz w:val="23"/>
                <w:szCs w:val="23"/>
                <w:highlight w:val="none"/>
              </w:rPr>
            </w:pPr>
            <w:r>
              <w:rPr>
                <w:rFonts w:hint="eastAsia" w:ascii="仿宋" w:hAnsi="仿宋" w:eastAsia="仿宋" w:cs="仿宋"/>
                <w:spacing w:val="7"/>
                <w:sz w:val="23"/>
                <w:szCs w:val="23"/>
                <w:highlight w:val="none"/>
              </w:rPr>
              <w:t>组织领</w:t>
            </w:r>
            <w:r>
              <w:rPr>
                <w:rFonts w:hint="eastAsia" w:ascii="仿宋" w:hAnsi="仿宋" w:eastAsia="仿宋" w:cs="仿宋"/>
                <w:spacing w:val="6"/>
                <w:sz w:val="23"/>
                <w:szCs w:val="23"/>
                <w:highlight w:val="none"/>
              </w:rPr>
              <w:t>导</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9" w:firstLine="1"/>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依法按规定程序产生</w:t>
            </w:r>
            <w:r>
              <w:rPr>
                <w:rFonts w:hint="eastAsia" w:ascii="仿宋" w:hAnsi="仿宋" w:eastAsia="仿宋" w:cs="仿宋"/>
                <w:spacing w:val="-54"/>
                <w:sz w:val="23"/>
                <w:szCs w:val="23"/>
                <w:highlight w:val="none"/>
              </w:rPr>
              <w:t>，</w:t>
            </w:r>
            <w:r>
              <w:rPr>
                <w:rFonts w:hint="eastAsia" w:ascii="仿宋" w:hAnsi="仿宋" w:eastAsia="仿宋" w:cs="仿宋"/>
                <w:sz w:val="23"/>
                <w:szCs w:val="23"/>
                <w:highlight w:val="none"/>
              </w:rPr>
              <w:t xml:space="preserve">运转 </w:t>
            </w:r>
            <w:r>
              <w:rPr>
                <w:rFonts w:hint="eastAsia" w:ascii="仿宋" w:hAnsi="仿宋" w:eastAsia="仿宋" w:cs="仿宋"/>
                <w:spacing w:val="5"/>
                <w:sz w:val="23"/>
                <w:szCs w:val="23"/>
                <w:highlight w:val="none"/>
              </w:rPr>
              <w:t>正常成立了项目</w:t>
            </w:r>
            <w:r>
              <w:rPr>
                <w:rFonts w:hint="eastAsia" w:ascii="仿宋" w:hAnsi="仿宋" w:eastAsia="仿宋" w:cs="仿宋"/>
                <w:spacing w:val="4"/>
                <w:sz w:val="23"/>
                <w:szCs w:val="23"/>
                <w:highlight w:val="none"/>
              </w:rPr>
              <w:t>实施工作</w:t>
            </w:r>
            <w:r>
              <w:rPr>
                <w:rFonts w:hint="eastAsia" w:ascii="仿宋" w:hAnsi="仿宋" w:eastAsia="仿宋" w:cs="仿宋"/>
                <w:sz w:val="23"/>
                <w:szCs w:val="23"/>
                <w:highlight w:val="none"/>
              </w:rPr>
              <w:t xml:space="preserve"> 领导机构</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做到分工明确， </w:t>
            </w:r>
            <w:r>
              <w:rPr>
                <w:rFonts w:hint="eastAsia" w:ascii="仿宋" w:hAnsi="仿宋" w:eastAsia="仿宋" w:cs="仿宋"/>
                <w:spacing w:val="3"/>
                <w:sz w:val="23"/>
                <w:szCs w:val="23"/>
                <w:highlight w:val="none"/>
              </w:rPr>
              <w:t>责任落实</w:t>
            </w:r>
          </w:p>
        </w:tc>
        <w:tc>
          <w:tcPr>
            <w:tcW w:w="1020"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jc w:val="center"/>
        </w:trPr>
        <w:tc>
          <w:tcPr>
            <w:tcW w:w="1166" w:type="dxa"/>
            <w:vMerge w:val="continue"/>
            <w:tcBorders>
              <w:top w:val="nil"/>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92"/>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1787"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205"/>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内</w:t>
            </w:r>
            <w:r>
              <w:rPr>
                <w:rFonts w:hint="eastAsia" w:ascii="仿宋" w:hAnsi="仿宋" w:eastAsia="仿宋" w:cs="仿宋"/>
                <w:sz w:val="23"/>
                <w:szCs w:val="23"/>
                <w:highlight w:val="none"/>
              </w:rPr>
              <w:t>设机构</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9" w:firstLine="1"/>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按规定要求设置</w:t>
            </w:r>
            <w:r>
              <w:rPr>
                <w:rFonts w:hint="eastAsia" w:ascii="仿宋" w:hAnsi="仿宋" w:eastAsia="仿宋" w:cs="仿宋"/>
                <w:spacing w:val="-2"/>
                <w:sz w:val="23"/>
                <w:szCs w:val="23"/>
                <w:highlight w:val="none"/>
              </w:rPr>
              <w:t>，</w:t>
            </w:r>
            <w:r>
              <w:rPr>
                <w:rFonts w:hint="eastAsia" w:ascii="仿宋" w:hAnsi="仿宋" w:eastAsia="仿宋" w:cs="仿宋"/>
                <w:sz w:val="23"/>
                <w:szCs w:val="23"/>
                <w:highlight w:val="none"/>
              </w:rPr>
              <w:t xml:space="preserve">内设机构 </w:t>
            </w:r>
            <w:r>
              <w:rPr>
                <w:rFonts w:hint="eastAsia" w:ascii="仿宋" w:hAnsi="仿宋" w:eastAsia="仿宋" w:cs="仿宋"/>
                <w:spacing w:val="3"/>
                <w:sz w:val="23"/>
                <w:szCs w:val="23"/>
                <w:highlight w:val="none"/>
              </w:rPr>
              <w:t>健全</w:t>
            </w:r>
            <w:r>
              <w:rPr>
                <w:rFonts w:hint="eastAsia" w:ascii="仿宋" w:hAnsi="仿宋" w:eastAsia="仿宋" w:cs="仿宋"/>
                <w:spacing w:val="4"/>
                <w:sz w:val="23"/>
                <w:szCs w:val="23"/>
                <w:highlight w:val="none"/>
              </w:rPr>
              <w:t>，</w:t>
            </w:r>
          </w:p>
          <w:p>
            <w:pPr>
              <w:pageBreakBefore w:val="0"/>
              <w:kinsoku/>
              <w:overflowPunct/>
              <w:bidi w:val="0"/>
              <w:spacing w:before="0" w:line="360" w:lineRule="auto"/>
              <w:ind w:firstLine="9"/>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运行</w:t>
            </w:r>
            <w:r>
              <w:rPr>
                <w:rFonts w:hint="eastAsia" w:ascii="仿宋" w:hAnsi="仿宋" w:eastAsia="仿宋" w:cs="仿宋"/>
                <w:spacing w:val="7"/>
                <w:sz w:val="23"/>
                <w:szCs w:val="23"/>
                <w:highlight w:val="none"/>
              </w:rPr>
              <w:t>正常</w:t>
            </w:r>
          </w:p>
        </w:tc>
        <w:tc>
          <w:tcPr>
            <w:tcW w:w="1020"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jc w:val="center"/>
        </w:trPr>
        <w:tc>
          <w:tcPr>
            <w:tcW w:w="1166" w:type="dxa"/>
            <w:vMerge w:val="continue"/>
            <w:tcBorders>
              <w:top w:val="nil"/>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before="0" w:line="360" w:lineRule="auto"/>
              <w:ind w:firstLine="19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3</w:t>
            </w:r>
          </w:p>
        </w:tc>
        <w:tc>
          <w:tcPr>
            <w:tcW w:w="1787"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177"/>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专</w:t>
            </w:r>
            <w:r>
              <w:rPr>
                <w:rFonts w:hint="eastAsia" w:ascii="仿宋" w:hAnsi="仿宋" w:eastAsia="仿宋" w:cs="仿宋"/>
                <w:spacing w:val="7"/>
                <w:sz w:val="23"/>
                <w:szCs w:val="23"/>
                <w:highlight w:val="none"/>
              </w:rPr>
              <w:t>业资质</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10" w:right="130" w:firstLine="3"/>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具备购买服务相</w:t>
            </w:r>
            <w:r>
              <w:rPr>
                <w:rFonts w:hint="eastAsia" w:ascii="仿宋" w:hAnsi="仿宋" w:eastAsia="仿宋" w:cs="仿宋"/>
                <w:spacing w:val="8"/>
                <w:sz w:val="23"/>
                <w:szCs w:val="23"/>
                <w:highlight w:val="none"/>
              </w:rPr>
              <w:t>应的资质</w:t>
            </w:r>
            <w:r>
              <w:rPr>
                <w:rFonts w:hint="eastAsia" w:ascii="仿宋" w:hAnsi="仿宋" w:eastAsia="仿宋" w:cs="仿宋"/>
                <w:sz w:val="23"/>
                <w:szCs w:val="23"/>
                <w:highlight w:val="none"/>
              </w:rPr>
              <w:t xml:space="preserve"> </w:t>
            </w:r>
            <w:r>
              <w:rPr>
                <w:rFonts w:hint="eastAsia" w:ascii="仿宋" w:hAnsi="仿宋" w:eastAsia="仿宋" w:cs="仿宋"/>
                <w:spacing w:val="7"/>
                <w:sz w:val="23"/>
                <w:szCs w:val="23"/>
                <w:highlight w:val="none"/>
              </w:rPr>
              <w:t>和</w:t>
            </w:r>
            <w:r>
              <w:rPr>
                <w:rFonts w:hint="eastAsia" w:ascii="仿宋" w:hAnsi="仿宋" w:eastAsia="仿宋" w:cs="仿宋"/>
                <w:spacing w:val="6"/>
                <w:sz w:val="23"/>
                <w:szCs w:val="23"/>
                <w:highlight w:val="none"/>
              </w:rPr>
              <w:t>条件</w:t>
            </w:r>
          </w:p>
        </w:tc>
        <w:tc>
          <w:tcPr>
            <w:tcW w:w="1020"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6" w:hRule="atLeast"/>
          <w:jc w:val="center"/>
        </w:trPr>
        <w:tc>
          <w:tcPr>
            <w:tcW w:w="1166" w:type="dxa"/>
            <w:vMerge w:val="continue"/>
            <w:tcBorders>
              <w:top w:val="nil"/>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before="0" w:line="360" w:lineRule="auto"/>
              <w:ind w:firstLine="188"/>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4</w:t>
            </w:r>
          </w:p>
        </w:tc>
        <w:tc>
          <w:tcPr>
            <w:tcW w:w="1787" w:type="dxa"/>
            <w:tcBorders>
              <w:top w:val="single" w:color="000000" w:sz="2" w:space="0"/>
              <w:bottom w:val="single" w:color="000000" w:sz="2" w:space="0"/>
            </w:tcBorders>
            <w:noWrap w:val="0"/>
            <w:vAlign w:val="center"/>
          </w:tcPr>
          <w:p>
            <w:pPr>
              <w:pageBreakBefore w:val="0"/>
              <w:kinsoku/>
              <w:overflowPunct/>
              <w:bidi w:val="0"/>
              <w:spacing w:before="0" w:line="360" w:lineRule="auto"/>
              <w:ind w:left="539" w:right="56" w:hanging="482"/>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专业队伍</w:t>
            </w:r>
            <w:r>
              <w:rPr>
                <w:rFonts w:hint="eastAsia" w:ascii="仿宋" w:hAnsi="仿宋" w:eastAsia="仿宋" w:cs="仿宋"/>
                <w:spacing w:val="7"/>
                <w:sz w:val="23"/>
                <w:szCs w:val="23"/>
                <w:highlight w:val="none"/>
              </w:rPr>
              <w:t>建</w:t>
            </w:r>
            <w:r>
              <w:rPr>
                <w:rFonts w:hint="eastAsia" w:ascii="仿宋" w:hAnsi="仿宋" w:eastAsia="仿宋" w:cs="仿宋"/>
                <w:sz w:val="23"/>
                <w:szCs w:val="23"/>
                <w:highlight w:val="none"/>
              </w:rPr>
              <w:t>设</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28" w:right="130" w:hanging="14"/>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具有一定数量从</w:t>
            </w:r>
            <w:r>
              <w:rPr>
                <w:rFonts w:hint="eastAsia" w:ascii="仿宋" w:hAnsi="仿宋" w:eastAsia="仿宋" w:cs="仿宋"/>
                <w:spacing w:val="8"/>
                <w:sz w:val="23"/>
                <w:szCs w:val="23"/>
                <w:highlight w:val="none"/>
              </w:rPr>
              <w:t>事本行业</w:t>
            </w:r>
            <w:r>
              <w:rPr>
                <w:rFonts w:hint="eastAsia" w:ascii="仿宋" w:hAnsi="仿宋" w:eastAsia="仿宋" w:cs="仿宋"/>
                <w:sz w:val="23"/>
                <w:szCs w:val="23"/>
                <w:highlight w:val="none"/>
              </w:rPr>
              <w:t xml:space="preserve"> </w:t>
            </w:r>
            <w:r>
              <w:rPr>
                <w:rFonts w:hint="eastAsia" w:ascii="仿宋" w:hAnsi="仿宋" w:eastAsia="仿宋" w:cs="仿宋"/>
                <w:spacing w:val="6"/>
                <w:sz w:val="23"/>
                <w:szCs w:val="23"/>
                <w:highlight w:val="none"/>
              </w:rPr>
              <w:t>的专业技术人</w:t>
            </w:r>
            <w:r>
              <w:rPr>
                <w:rFonts w:hint="eastAsia" w:ascii="仿宋" w:hAnsi="仿宋" w:eastAsia="仿宋" w:cs="仿宋"/>
                <w:spacing w:val="4"/>
                <w:sz w:val="23"/>
                <w:szCs w:val="23"/>
                <w:highlight w:val="none"/>
              </w:rPr>
              <w:t>员</w:t>
            </w:r>
          </w:p>
        </w:tc>
        <w:tc>
          <w:tcPr>
            <w:tcW w:w="1020"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442"/>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jc w:val="center"/>
        </w:trPr>
        <w:tc>
          <w:tcPr>
            <w:tcW w:w="1166" w:type="dxa"/>
            <w:vMerge w:val="continue"/>
            <w:tcBorders>
              <w:top w:val="nil"/>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before="0" w:line="360" w:lineRule="auto"/>
              <w:ind w:firstLine="19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5</w:t>
            </w:r>
          </w:p>
        </w:tc>
        <w:tc>
          <w:tcPr>
            <w:tcW w:w="1787"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177"/>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制</w:t>
            </w:r>
            <w:r>
              <w:rPr>
                <w:rFonts w:hint="eastAsia" w:ascii="仿宋" w:hAnsi="仿宋" w:eastAsia="仿宋" w:cs="仿宋"/>
                <w:spacing w:val="7"/>
                <w:sz w:val="23"/>
                <w:szCs w:val="23"/>
                <w:highlight w:val="none"/>
              </w:rPr>
              <w:t>度建设</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9" w:right="130"/>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制度健全完善并得到有效</w:t>
            </w:r>
            <w:r>
              <w:rPr>
                <w:rFonts w:hint="eastAsia" w:ascii="仿宋" w:hAnsi="仿宋" w:eastAsia="仿宋" w:cs="仿宋"/>
                <w:sz w:val="23"/>
                <w:szCs w:val="23"/>
                <w:highlight w:val="none"/>
              </w:rPr>
              <w:t xml:space="preserve"> </w:t>
            </w:r>
            <w:r>
              <w:rPr>
                <w:rFonts w:hint="eastAsia" w:ascii="仿宋" w:hAnsi="仿宋" w:eastAsia="仿宋" w:cs="仿宋"/>
                <w:spacing w:val="5"/>
                <w:sz w:val="23"/>
                <w:szCs w:val="23"/>
                <w:highlight w:val="none"/>
              </w:rPr>
              <w:t>执行</w:t>
            </w:r>
          </w:p>
        </w:tc>
        <w:tc>
          <w:tcPr>
            <w:tcW w:w="1020" w:type="dxa"/>
            <w:tcBorders>
              <w:top w:val="single" w:color="000000" w:sz="2" w:space="0"/>
              <w:bottom w:val="single" w:color="000000" w:sz="2" w:space="0"/>
            </w:tcBorders>
            <w:noWrap w:val="0"/>
            <w:vAlign w:val="center"/>
          </w:tcPr>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4" w:hRule="atLeast"/>
          <w:jc w:val="center"/>
        </w:trPr>
        <w:tc>
          <w:tcPr>
            <w:tcW w:w="1166" w:type="dxa"/>
            <w:vMerge w:val="continue"/>
            <w:tcBorders>
              <w:top w:val="nil"/>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91"/>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6</w:t>
            </w:r>
          </w:p>
        </w:tc>
        <w:tc>
          <w:tcPr>
            <w:tcW w:w="1787"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77"/>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财</w:t>
            </w:r>
            <w:r>
              <w:rPr>
                <w:rFonts w:hint="eastAsia" w:ascii="仿宋" w:hAnsi="仿宋" w:eastAsia="仿宋" w:cs="仿宋"/>
                <w:spacing w:val="7"/>
                <w:sz w:val="23"/>
                <w:szCs w:val="23"/>
                <w:highlight w:val="none"/>
              </w:rPr>
              <w:t>务管理</w:t>
            </w:r>
          </w:p>
        </w:tc>
        <w:tc>
          <w:tcPr>
            <w:tcW w:w="2680" w:type="dxa"/>
            <w:tcBorders>
              <w:top w:val="single" w:color="000000" w:sz="2" w:space="0"/>
              <w:bottom w:val="single" w:color="000000" w:sz="2" w:space="0"/>
            </w:tcBorders>
            <w:noWrap w:val="0"/>
            <w:vAlign w:val="center"/>
          </w:tcPr>
          <w:p>
            <w:pPr>
              <w:pageBreakBefore w:val="0"/>
              <w:kinsoku/>
              <w:overflowPunct/>
              <w:bidi w:val="0"/>
              <w:spacing w:before="0" w:line="360" w:lineRule="auto"/>
              <w:ind w:left="9"/>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配有专（兼</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职财务人员， </w:t>
            </w:r>
            <w:r>
              <w:rPr>
                <w:rFonts w:hint="eastAsia" w:ascii="仿宋" w:hAnsi="仿宋" w:eastAsia="仿宋" w:cs="仿宋"/>
                <w:spacing w:val="5"/>
                <w:sz w:val="23"/>
                <w:szCs w:val="23"/>
                <w:highlight w:val="none"/>
              </w:rPr>
              <w:t>严格执行社会组</w:t>
            </w:r>
            <w:r>
              <w:rPr>
                <w:rFonts w:hint="eastAsia" w:ascii="仿宋" w:hAnsi="仿宋" w:eastAsia="仿宋" w:cs="仿宋"/>
                <w:spacing w:val="4"/>
                <w:sz w:val="23"/>
                <w:szCs w:val="23"/>
                <w:highlight w:val="none"/>
              </w:rPr>
              <w:t>织财务会</w:t>
            </w:r>
            <w:r>
              <w:rPr>
                <w:rFonts w:hint="eastAsia" w:ascii="仿宋" w:hAnsi="仿宋" w:eastAsia="仿宋" w:cs="仿宋"/>
                <w:sz w:val="23"/>
                <w:szCs w:val="23"/>
                <w:highlight w:val="none"/>
              </w:rPr>
              <w:t xml:space="preserve"> </w:t>
            </w:r>
            <w:r>
              <w:rPr>
                <w:rFonts w:hint="eastAsia" w:ascii="仿宋" w:hAnsi="仿宋" w:eastAsia="仿宋" w:cs="仿宋"/>
                <w:spacing w:val="5"/>
                <w:sz w:val="23"/>
                <w:szCs w:val="23"/>
                <w:highlight w:val="none"/>
              </w:rPr>
              <w:t>计</w:t>
            </w:r>
            <w:r>
              <w:rPr>
                <w:rFonts w:hint="eastAsia" w:ascii="仿宋" w:hAnsi="仿宋" w:eastAsia="仿宋" w:cs="仿宋"/>
                <w:spacing w:val="4"/>
                <w:sz w:val="23"/>
                <w:szCs w:val="23"/>
                <w:highlight w:val="none"/>
              </w:rPr>
              <w:t>制度</w:t>
            </w:r>
            <w:r>
              <w:rPr>
                <w:rFonts w:hint="eastAsia" w:ascii="仿宋" w:hAnsi="仿宋" w:eastAsia="仿宋" w:cs="仿宋"/>
                <w:spacing w:val="5"/>
                <w:sz w:val="23"/>
                <w:szCs w:val="23"/>
                <w:highlight w:val="none"/>
              </w:rPr>
              <w:t>，</w:t>
            </w:r>
            <w:r>
              <w:rPr>
                <w:rFonts w:hint="eastAsia" w:ascii="仿宋" w:hAnsi="仿宋" w:eastAsia="仿宋" w:cs="仿宋"/>
                <w:spacing w:val="4"/>
                <w:sz w:val="23"/>
                <w:szCs w:val="23"/>
                <w:highlight w:val="none"/>
              </w:rPr>
              <w:t>管理规范</w:t>
            </w:r>
          </w:p>
        </w:tc>
        <w:tc>
          <w:tcPr>
            <w:tcW w:w="1020"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2"/>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6" w:type="dxa"/>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single" w:color="000000" w:sz="2" w:space="0"/>
              <w:bottom w:val="single" w:color="000000" w:sz="2"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166" w:type="dxa"/>
            <w:vMerge w:val="restart"/>
            <w:tcBorders>
              <w:top w:val="nil"/>
              <w:left w:val="single" w:color="000000" w:sz="6" w:space="0"/>
              <w:bottom w:val="nil"/>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top w:val="nil"/>
              <w:left w:val="single" w:color="000000" w:sz="6" w:space="0"/>
              <w:right w:val="single" w:color="000000" w:sz="6" w:space="0"/>
            </w:tcBorders>
            <w:noWrap w:val="0"/>
            <w:vAlign w:val="center"/>
          </w:tcPr>
          <w:p>
            <w:pPr>
              <w:pageBreakBefore w:val="0"/>
              <w:kinsoku/>
              <w:overflowPunct/>
              <w:bidi w:val="0"/>
              <w:spacing w:before="0" w:line="360" w:lineRule="auto"/>
              <w:ind w:firstLine="195"/>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7</w:t>
            </w:r>
          </w:p>
        </w:tc>
        <w:tc>
          <w:tcPr>
            <w:tcW w:w="1787" w:type="dxa"/>
            <w:tcBorders>
              <w:top w:val="nil"/>
              <w:left w:val="single" w:color="000000" w:sz="6" w:space="0"/>
              <w:right w:val="single" w:color="000000" w:sz="6" w:space="0"/>
            </w:tcBorders>
            <w:noWrap w:val="0"/>
            <w:vAlign w:val="center"/>
          </w:tcPr>
          <w:p>
            <w:pPr>
              <w:pageBreakBefore w:val="0"/>
              <w:kinsoku/>
              <w:overflowPunct/>
              <w:bidi w:val="0"/>
              <w:spacing w:before="0" w:line="360" w:lineRule="auto"/>
              <w:ind w:left="541" w:right="56" w:hanging="484"/>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重大事项</w:t>
            </w:r>
            <w:r>
              <w:rPr>
                <w:rFonts w:hint="eastAsia" w:ascii="仿宋" w:hAnsi="仿宋" w:eastAsia="仿宋" w:cs="仿宋"/>
                <w:spacing w:val="7"/>
                <w:sz w:val="23"/>
                <w:szCs w:val="23"/>
                <w:highlight w:val="none"/>
              </w:rPr>
              <w:t>报</w:t>
            </w:r>
            <w:r>
              <w:rPr>
                <w:rFonts w:hint="eastAsia" w:ascii="仿宋" w:hAnsi="仿宋" w:eastAsia="仿宋" w:cs="仿宋"/>
                <w:sz w:val="23"/>
                <w:szCs w:val="23"/>
                <w:highlight w:val="none"/>
              </w:rPr>
              <w:t xml:space="preserve"> 告</w:t>
            </w:r>
          </w:p>
        </w:tc>
        <w:tc>
          <w:tcPr>
            <w:tcW w:w="2680" w:type="dxa"/>
            <w:tcBorders>
              <w:top w:val="nil"/>
              <w:left w:val="single" w:color="000000" w:sz="6" w:space="0"/>
              <w:right w:val="single" w:color="000000" w:sz="6" w:space="0"/>
            </w:tcBorders>
            <w:noWrap w:val="0"/>
            <w:vAlign w:val="center"/>
          </w:tcPr>
          <w:p>
            <w:pPr>
              <w:pageBreakBefore w:val="0"/>
              <w:kinsoku/>
              <w:overflowPunct/>
              <w:bidi w:val="0"/>
              <w:spacing w:before="0" w:line="360" w:lineRule="auto"/>
              <w:ind w:left="8" w:right="130" w:firstLine="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重大事项及时履行报告制</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度</w:t>
            </w:r>
          </w:p>
        </w:tc>
        <w:tc>
          <w:tcPr>
            <w:tcW w:w="1020" w:type="dxa"/>
            <w:tcBorders>
              <w:top w:val="nil"/>
              <w:left w:val="single" w:color="000000" w:sz="6" w:space="0"/>
              <w:right w:val="single" w:color="000000" w:sz="6" w:space="0"/>
            </w:tcBorders>
            <w:noWrap w:val="0"/>
            <w:vAlign w:val="center"/>
          </w:tcPr>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top w:val="nil"/>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top w:val="nil"/>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jc w:val="center"/>
        </w:trPr>
        <w:tc>
          <w:tcPr>
            <w:tcW w:w="1166" w:type="dxa"/>
            <w:vMerge w:val="continue"/>
            <w:tcBorders>
              <w:top w:val="nil"/>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left w:val="single" w:color="000000" w:sz="6" w:space="0"/>
              <w:right w:val="single" w:color="000000" w:sz="6" w:space="0"/>
            </w:tcBorders>
            <w:noWrap w:val="0"/>
            <w:vAlign w:val="center"/>
          </w:tcPr>
          <w:p>
            <w:pPr>
              <w:pageBreakBefore w:val="0"/>
              <w:kinsoku/>
              <w:overflowPunct/>
              <w:bidi w:val="0"/>
              <w:spacing w:before="0" w:line="360" w:lineRule="auto"/>
              <w:ind w:firstLine="190"/>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8</w:t>
            </w:r>
          </w:p>
        </w:tc>
        <w:tc>
          <w:tcPr>
            <w:tcW w:w="1787" w:type="dxa"/>
            <w:tcBorders>
              <w:left w:val="single" w:color="000000" w:sz="6" w:space="0"/>
              <w:right w:val="single" w:color="000000" w:sz="6" w:space="0"/>
            </w:tcBorders>
            <w:noWrap w:val="0"/>
            <w:vAlign w:val="center"/>
          </w:tcPr>
          <w:p>
            <w:pPr>
              <w:pageBreakBefore w:val="0"/>
              <w:kinsoku/>
              <w:overflowPunct/>
              <w:bidi w:val="0"/>
              <w:spacing w:before="0" w:line="360" w:lineRule="auto"/>
              <w:ind w:firstLine="177"/>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年</w:t>
            </w:r>
            <w:r>
              <w:rPr>
                <w:rFonts w:hint="eastAsia" w:ascii="仿宋" w:hAnsi="仿宋" w:eastAsia="仿宋" w:cs="仿宋"/>
                <w:spacing w:val="7"/>
                <w:sz w:val="23"/>
                <w:szCs w:val="23"/>
                <w:highlight w:val="none"/>
              </w:rPr>
              <w:t>度检查</w:t>
            </w:r>
          </w:p>
        </w:tc>
        <w:tc>
          <w:tcPr>
            <w:tcW w:w="2680" w:type="dxa"/>
            <w:tcBorders>
              <w:left w:val="single" w:color="000000" w:sz="6" w:space="0"/>
              <w:right w:val="single" w:color="000000" w:sz="6" w:space="0"/>
            </w:tcBorders>
            <w:noWrap w:val="0"/>
            <w:vAlign w:val="center"/>
          </w:tcPr>
          <w:p>
            <w:pPr>
              <w:pageBreakBefore w:val="0"/>
              <w:kinsoku/>
              <w:overflowPunct/>
              <w:bidi w:val="0"/>
              <w:spacing w:before="0" w:line="360" w:lineRule="auto"/>
              <w:ind w:firstLine="1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年</w:t>
            </w:r>
            <w:r>
              <w:rPr>
                <w:rFonts w:hint="eastAsia" w:ascii="仿宋" w:hAnsi="仿宋" w:eastAsia="仿宋" w:cs="仿宋"/>
                <w:spacing w:val="7"/>
                <w:sz w:val="23"/>
                <w:szCs w:val="23"/>
                <w:highlight w:val="none"/>
              </w:rPr>
              <w:t>检合格</w:t>
            </w:r>
          </w:p>
        </w:tc>
        <w:tc>
          <w:tcPr>
            <w:tcW w:w="1020" w:type="dxa"/>
            <w:tcBorders>
              <w:left w:val="single" w:color="000000" w:sz="6" w:space="0"/>
              <w:right w:val="single" w:color="000000" w:sz="6" w:space="0"/>
            </w:tcBorders>
            <w:noWrap w:val="0"/>
            <w:vAlign w:val="center"/>
          </w:tcPr>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jc w:val="center"/>
        </w:trPr>
        <w:tc>
          <w:tcPr>
            <w:tcW w:w="1166" w:type="dxa"/>
            <w:vMerge w:val="restart"/>
            <w:tcBorders>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left="16"/>
              <w:jc w:val="center"/>
              <w:rPr>
                <w:rFonts w:hint="eastAsia" w:ascii="仿宋" w:hAnsi="仿宋" w:eastAsia="仿宋" w:cs="仿宋"/>
                <w:sz w:val="22"/>
                <w:szCs w:val="22"/>
                <w:highlight w:val="none"/>
              </w:rPr>
            </w:pPr>
            <w:r>
              <w:rPr>
                <w:rFonts w:hint="eastAsia" w:ascii="仿宋" w:hAnsi="仿宋" w:eastAsia="仿宋" w:cs="仿宋"/>
                <w:spacing w:val="-3"/>
                <w:sz w:val="22"/>
                <w:szCs w:val="22"/>
                <w:highlight w:val="none"/>
              </w:rPr>
              <w:t>项目运作</w:t>
            </w:r>
            <w:r>
              <w:rPr>
                <w:rFonts w:hint="eastAsia" w:ascii="仿宋" w:hAnsi="仿宋" w:eastAsia="仿宋" w:cs="仿宋"/>
                <w:sz w:val="22"/>
                <w:szCs w:val="22"/>
                <w:highlight w:val="none"/>
              </w:rPr>
              <w:t xml:space="preserve"> （75</w:t>
            </w:r>
            <w:r>
              <w:rPr>
                <w:rFonts w:hint="eastAsia" w:ascii="仿宋" w:hAnsi="仿宋" w:eastAsia="仿宋" w:cs="仿宋"/>
                <w:spacing w:val="-1"/>
                <w:sz w:val="22"/>
                <w:szCs w:val="22"/>
                <w:highlight w:val="none"/>
              </w:rPr>
              <w:t xml:space="preserve"> </w:t>
            </w:r>
            <w:r>
              <w:rPr>
                <w:rFonts w:hint="eastAsia" w:ascii="仿宋" w:hAnsi="仿宋" w:eastAsia="仿宋" w:cs="仿宋"/>
                <w:sz w:val="22"/>
                <w:szCs w:val="22"/>
                <w:highlight w:val="none"/>
              </w:rPr>
              <w:t>分</w:t>
            </w:r>
            <w:r>
              <w:rPr>
                <w:rFonts w:hint="eastAsia" w:ascii="仿宋" w:hAnsi="仿宋" w:eastAsia="仿宋" w:cs="仿宋"/>
                <w:spacing w:val="-89"/>
                <w:sz w:val="22"/>
                <w:szCs w:val="22"/>
                <w:highlight w:val="none"/>
              </w:rPr>
              <w:t>）</w:t>
            </w:r>
          </w:p>
        </w:tc>
        <w:tc>
          <w:tcPr>
            <w:tcW w:w="925"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90"/>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9</w:t>
            </w:r>
          </w:p>
        </w:tc>
        <w:tc>
          <w:tcPr>
            <w:tcW w:w="1787"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2"/>
              <w:jc w:val="center"/>
              <w:rPr>
                <w:rFonts w:hint="eastAsia" w:ascii="仿宋" w:hAnsi="仿宋" w:eastAsia="仿宋" w:cs="仿宋"/>
                <w:sz w:val="23"/>
                <w:szCs w:val="23"/>
                <w:highlight w:val="none"/>
              </w:rPr>
            </w:pPr>
            <w:r>
              <w:rPr>
                <w:rFonts w:hint="eastAsia" w:ascii="仿宋" w:hAnsi="仿宋" w:eastAsia="仿宋" w:cs="仿宋"/>
                <w:spacing w:val="6"/>
                <w:sz w:val="23"/>
                <w:szCs w:val="23"/>
                <w:highlight w:val="none"/>
              </w:rPr>
              <w:t>实施方案</w:t>
            </w:r>
          </w:p>
        </w:tc>
        <w:tc>
          <w:tcPr>
            <w:tcW w:w="2680" w:type="dxa"/>
            <w:tcBorders>
              <w:left w:val="single" w:color="000000" w:sz="6" w:space="0"/>
              <w:right w:val="single" w:color="000000" w:sz="6" w:space="0"/>
            </w:tcBorders>
            <w:noWrap w:val="0"/>
            <w:vAlign w:val="center"/>
          </w:tcPr>
          <w:p>
            <w:pPr>
              <w:pageBreakBefore w:val="0"/>
              <w:kinsoku/>
              <w:overflowPunct/>
              <w:bidi w:val="0"/>
              <w:spacing w:before="0" w:line="360" w:lineRule="auto"/>
              <w:ind w:left="9"/>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制定了符合实际</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操作性较 强的项目实施方案，培训类 </w:t>
            </w:r>
            <w:r>
              <w:rPr>
                <w:rFonts w:hint="eastAsia" w:ascii="仿宋" w:hAnsi="仿宋" w:eastAsia="仿宋" w:cs="仿宋"/>
                <w:spacing w:val="10"/>
                <w:sz w:val="23"/>
                <w:szCs w:val="23"/>
                <w:highlight w:val="none"/>
              </w:rPr>
              <w:t>应</w:t>
            </w:r>
            <w:r>
              <w:rPr>
                <w:rFonts w:hint="eastAsia" w:ascii="仿宋" w:hAnsi="仿宋" w:eastAsia="仿宋" w:cs="仿宋"/>
                <w:spacing w:val="9"/>
                <w:sz w:val="23"/>
                <w:szCs w:val="23"/>
                <w:highlight w:val="none"/>
              </w:rPr>
              <w:t>制订详细培训计划或教</w:t>
            </w:r>
            <w:r>
              <w:rPr>
                <w:rFonts w:hint="eastAsia" w:ascii="仿宋" w:hAnsi="仿宋" w:eastAsia="仿宋" w:cs="仿宋"/>
                <w:sz w:val="23"/>
                <w:szCs w:val="23"/>
                <w:highlight w:val="none"/>
              </w:rPr>
              <w:t xml:space="preserve"> 案</w:t>
            </w:r>
          </w:p>
        </w:tc>
        <w:tc>
          <w:tcPr>
            <w:tcW w:w="1020"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jc w:val="center"/>
        </w:trPr>
        <w:tc>
          <w:tcPr>
            <w:tcW w:w="1166" w:type="dxa"/>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47"/>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10</w:t>
            </w:r>
          </w:p>
        </w:tc>
        <w:tc>
          <w:tcPr>
            <w:tcW w:w="1787"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79"/>
              <w:jc w:val="center"/>
              <w:rPr>
                <w:rFonts w:hint="eastAsia" w:ascii="仿宋" w:hAnsi="仿宋" w:eastAsia="仿宋" w:cs="仿宋"/>
                <w:sz w:val="23"/>
                <w:szCs w:val="23"/>
                <w:highlight w:val="none"/>
              </w:rPr>
            </w:pPr>
            <w:r>
              <w:rPr>
                <w:rFonts w:hint="eastAsia" w:ascii="仿宋" w:hAnsi="仿宋" w:eastAsia="仿宋" w:cs="仿宋"/>
                <w:spacing w:val="7"/>
                <w:sz w:val="23"/>
                <w:szCs w:val="23"/>
                <w:highlight w:val="none"/>
              </w:rPr>
              <w:t>工作计</w:t>
            </w:r>
            <w:r>
              <w:rPr>
                <w:rFonts w:hint="eastAsia" w:ascii="仿宋" w:hAnsi="仿宋" w:eastAsia="仿宋" w:cs="仿宋"/>
                <w:spacing w:val="6"/>
                <w:sz w:val="23"/>
                <w:szCs w:val="23"/>
                <w:highlight w:val="none"/>
              </w:rPr>
              <w:t>划</w:t>
            </w:r>
          </w:p>
        </w:tc>
        <w:tc>
          <w:tcPr>
            <w:tcW w:w="2680" w:type="dxa"/>
            <w:tcBorders>
              <w:left w:val="single" w:color="000000" w:sz="6" w:space="0"/>
              <w:right w:val="single" w:color="000000" w:sz="6" w:space="0"/>
            </w:tcBorders>
            <w:noWrap w:val="0"/>
            <w:vAlign w:val="center"/>
          </w:tcPr>
          <w:p>
            <w:pPr>
              <w:pageBreakBefore w:val="0"/>
              <w:kinsoku/>
              <w:overflowPunct/>
              <w:bidi w:val="0"/>
              <w:spacing w:before="0" w:line="360" w:lineRule="auto"/>
              <w:ind w:left="8" w:firstLine="22"/>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围绕</w:t>
            </w:r>
            <w:r>
              <w:rPr>
                <w:rFonts w:hint="eastAsia" w:ascii="仿宋" w:hAnsi="仿宋" w:eastAsia="仿宋" w:cs="仿宋"/>
                <w:spacing w:val="7"/>
                <w:sz w:val="23"/>
                <w:szCs w:val="23"/>
                <w:highlight w:val="none"/>
              </w:rPr>
              <w:t>服务项目的目标制订</w:t>
            </w:r>
            <w:r>
              <w:rPr>
                <w:rFonts w:hint="eastAsia" w:ascii="仿宋" w:hAnsi="仿宋" w:eastAsia="仿宋" w:cs="仿宋"/>
                <w:sz w:val="23"/>
                <w:szCs w:val="23"/>
                <w:highlight w:val="none"/>
              </w:rPr>
              <w:t xml:space="preserve"> </w:t>
            </w:r>
            <w:r>
              <w:rPr>
                <w:rFonts w:hint="eastAsia" w:ascii="仿宋" w:hAnsi="仿宋" w:eastAsia="仿宋" w:cs="仿宋"/>
                <w:spacing w:val="10"/>
                <w:sz w:val="23"/>
                <w:szCs w:val="23"/>
                <w:highlight w:val="none"/>
              </w:rPr>
              <w:t>总体</w:t>
            </w:r>
            <w:r>
              <w:rPr>
                <w:rFonts w:hint="eastAsia" w:ascii="仿宋" w:hAnsi="仿宋" w:eastAsia="仿宋" w:cs="仿宋"/>
                <w:spacing w:val="9"/>
                <w:sz w:val="23"/>
                <w:szCs w:val="23"/>
                <w:highlight w:val="none"/>
              </w:rPr>
              <w:t>工作计划和阶段性计</w:t>
            </w:r>
            <w:r>
              <w:rPr>
                <w:rFonts w:hint="eastAsia" w:ascii="仿宋" w:hAnsi="仿宋" w:eastAsia="仿宋" w:cs="仿宋"/>
                <w:sz w:val="23"/>
                <w:szCs w:val="23"/>
                <w:highlight w:val="none"/>
              </w:rPr>
              <w:t xml:space="preserve"> 划</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对各项任务进行分解细 化</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明确任务分工和时限要 </w:t>
            </w:r>
            <w:r>
              <w:rPr>
                <w:rFonts w:hint="eastAsia" w:ascii="仿宋" w:hAnsi="仿宋" w:eastAsia="仿宋" w:cs="仿宋"/>
                <w:spacing w:val="9"/>
                <w:sz w:val="23"/>
                <w:szCs w:val="23"/>
                <w:highlight w:val="none"/>
              </w:rPr>
              <w:t>求</w:t>
            </w:r>
            <w:r>
              <w:rPr>
                <w:rFonts w:hint="eastAsia" w:ascii="仿宋" w:hAnsi="仿宋" w:eastAsia="仿宋" w:cs="仿宋"/>
                <w:spacing w:val="10"/>
                <w:sz w:val="23"/>
                <w:szCs w:val="23"/>
                <w:highlight w:val="none"/>
              </w:rPr>
              <w:t>，</w:t>
            </w:r>
            <w:r>
              <w:rPr>
                <w:rFonts w:hint="eastAsia" w:ascii="仿宋" w:hAnsi="仿宋" w:eastAsia="仿宋" w:cs="仿宋"/>
                <w:spacing w:val="8"/>
                <w:sz w:val="23"/>
                <w:szCs w:val="23"/>
                <w:highlight w:val="none"/>
              </w:rPr>
              <w:t>并按计划分步实施</w:t>
            </w:r>
            <w:r>
              <w:rPr>
                <w:rFonts w:hint="eastAsia" w:ascii="仿宋" w:hAnsi="仿宋" w:eastAsia="仿宋" w:cs="仿宋"/>
                <w:spacing w:val="10"/>
                <w:sz w:val="23"/>
                <w:szCs w:val="23"/>
                <w:highlight w:val="none"/>
              </w:rPr>
              <w:t>。</w:t>
            </w:r>
          </w:p>
        </w:tc>
        <w:tc>
          <w:tcPr>
            <w:tcW w:w="1020"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jc w:val="center"/>
        </w:trPr>
        <w:tc>
          <w:tcPr>
            <w:tcW w:w="1166" w:type="dxa"/>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47"/>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11</w:t>
            </w:r>
          </w:p>
        </w:tc>
        <w:tc>
          <w:tcPr>
            <w:tcW w:w="1787"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7"/>
              <w:jc w:val="center"/>
              <w:rPr>
                <w:rFonts w:hint="eastAsia" w:ascii="仿宋" w:hAnsi="仿宋" w:eastAsia="仿宋" w:cs="仿宋"/>
                <w:sz w:val="23"/>
                <w:szCs w:val="23"/>
                <w:highlight w:val="none"/>
              </w:rPr>
            </w:pPr>
            <w:r>
              <w:rPr>
                <w:rFonts w:hint="eastAsia" w:ascii="仿宋" w:hAnsi="仿宋" w:eastAsia="仿宋" w:cs="仿宋"/>
                <w:spacing w:val="5"/>
                <w:sz w:val="23"/>
                <w:szCs w:val="23"/>
                <w:highlight w:val="none"/>
              </w:rPr>
              <w:t>资金管理</w:t>
            </w:r>
          </w:p>
        </w:tc>
        <w:tc>
          <w:tcPr>
            <w:tcW w:w="2680" w:type="dxa"/>
            <w:tcBorders>
              <w:left w:val="single" w:color="000000" w:sz="6" w:space="0"/>
              <w:right w:val="single" w:color="000000" w:sz="6" w:space="0"/>
            </w:tcBorders>
            <w:noWrap w:val="0"/>
            <w:vAlign w:val="center"/>
          </w:tcPr>
          <w:p>
            <w:pPr>
              <w:pageBreakBefore w:val="0"/>
              <w:kinsoku/>
              <w:overflowPunct/>
              <w:bidi w:val="0"/>
              <w:spacing w:before="0" w:line="360" w:lineRule="auto"/>
              <w:ind w:left="9" w:firstLine="3"/>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项目资金实行专帐管理</w:t>
            </w:r>
            <w:r>
              <w:rPr>
                <w:rFonts w:hint="eastAsia" w:ascii="仿宋" w:hAnsi="仿宋" w:eastAsia="仿宋" w:cs="仿宋"/>
                <w:spacing w:val="-4"/>
                <w:sz w:val="23"/>
                <w:szCs w:val="23"/>
                <w:highlight w:val="none"/>
              </w:rPr>
              <w:t>，</w:t>
            </w:r>
            <w:r>
              <w:rPr>
                <w:rFonts w:hint="eastAsia" w:ascii="仿宋" w:hAnsi="仿宋" w:eastAsia="仿宋" w:cs="仿宋"/>
                <w:sz w:val="23"/>
                <w:szCs w:val="23"/>
                <w:highlight w:val="none"/>
              </w:rPr>
              <w:t xml:space="preserve">专 款专用，专人负责，合理安 </w:t>
            </w:r>
            <w:r>
              <w:rPr>
                <w:rFonts w:hint="eastAsia" w:ascii="仿宋" w:hAnsi="仿宋" w:eastAsia="仿宋" w:cs="仿宋"/>
                <w:spacing w:val="8"/>
                <w:sz w:val="23"/>
                <w:szCs w:val="23"/>
                <w:highlight w:val="none"/>
              </w:rPr>
              <w:t>排</w:t>
            </w:r>
            <w:r>
              <w:rPr>
                <w:rFonts w:hint="eastAsia" w:ascii="仿宋" w:hAnsi="仿宋" w:eastAsia="仿宋" w:cs="仿宋"/>
                <w:spacing w:val="10"/>
                <w:sz w:val="23"/>
                <w:szCs w:val="23"/>
                <w:highlight w:val="none"/>
              </w:rPr>
              <w:t>，</w:t>
            </w:r>
            <w:r>
              <w:rPr>
                <w:rFonts w:hint="eastAsia" w:ascii="仿宋" w:hAnsi="仿宋" w:eastAsia="仿宋" w:cs="仿宋"/>
                <w:spacing w:val="8"/>
                <w:sz w:val="23"/>
                <w:szCs w:val="23"/>
                <w:highlight w:val="none"/>
              </w:rPr>
              <w:t>不得</w:t>
            </w:r>
            <w:r>
              <w:rPr>
                <w:rFonts w:hint="eastAsia" w:ascii="仿宋" w:hAnsi="仿宋" w:eastAsia="仿宋" w:cs="仿宋"/>
                <w:spacing w:val="7"/>
                <w:sz w:val="23"/>
                <w:szCs w:val="23"/>
                <w:highlight w:val="none"/>
              </w:rPr>
              <w:t>挪作他用</w:t>
            </w:r>
            <w:r>
              <w:rPr>
                <w:rFonts w:hint="eastAsia" w:ascii="仿宋" w:hAnsi="仿宋" w:eastAsia="仿宋" w:cs="仿宋"/>
                <w:spacing w:val="10"/>
                <w:sz w:val="23"/>
                <w:szCs w:val="23"/>
                <w:highlight w:val="none"/>
              </w:rPr>
              <w:t>。</w:t>
            </w:r>
          </w:p>
        </w:tc>
        <w:tc>
          <w:tcPr>
            <w:tcW w:w="1020"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tcBorders>
              <w:left w:val="single" w:color="000000" w:sz="6" w:space="0"/>
              <w:righ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1" w:hRule="atLeast"/>
          <w:jc w:val="center"/>
        </w:trPr>
        <w:tc>
          <w:tcPr>
            <w:tcW w:w="1166" w:type="dxa"/>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2"/>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12</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2"/>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规</w:t>
            </w:r>
            <w:r>
              <w:rPr>
                <w:rFonts w:hint="eastAsia" w:ascii="仿宋" w:hAnsi="仿宋" w:eastAsia="仿宋" w:cs="仿宋"/>
                <w:spacing w:val="7"/>
                <w:sz w:val="23"/>
                <w:szCs w:val="23"/>
                <w:highlight w:val="none"/>
              </w:rPr>
              <w:t>范运作</w:t>
            </w:r>
          </w:p>
        </w:tc>
        <w:tc>
          <w:tcPr>
            <w:tcW w:w="2680" w:type="dxa"/>
            <w:noWrap w:val="0"/>
            <w:vAlign w:val="center"/>
          </w:tcPr>
          <w:p>
            <w:pPr>
              <w:pageBreakBefore w:val="0"/>
              <w:kinsoku/>
              <w:overflowPunct/>
              <w:bidi w:val="0"/>
              <w:spacing w:before="0" w:line="360" w:lineRule="auto"/>
              <w:ind w:left="8" w:right="1"/>
              <w:jc w:val="center"/>
              <w:rPr>
                <w:rFonts w:hint="eastAsia" w:ascii="仿宋" w:hAnsi="仿宋" w:eastAsia="仿宋" w:cs="仿宋"/>
                <w:sz w:val="23"/>
                <w:szCs w:val="23"/>
                <w:highlight w:val="none"/>
              </w:rPr>
            </w:pPr>
            <w:r>
              <w:rPr>
                <w:rFonts w:hint="eastAsia" w:ascii="仿宋" w:hAnsi="仿宋" w:eastAsia="仿宋" w:cs="仿宋"/>
                <w:spacing w:val="10"/>
                <w:sz w:val="23"/>
                <w:szCs w:val="23"/>
                <w:highlight w:val="none"/>
              </w:rPr>
              <w:t>每</w:t>
            </w:r>
            <w:r>
              <w:rPr>
                <w:rFonts w:hint="eastAsia" w:ascii="仿宋" w:hAnsi="仿宋" w:eastAsia="仿宋" w:cs="仿宋"/>
                <w:spacing w:val="9"/>
                <w:sz w:val="23"/>
                <w:szCs w:val="23"/>
                <w:highlight w:val="none"/>
              </w:rPr>
              <w:t>项</w:t>
            </w:r>
            <w:r>
              <w:rPr>
                <w:rFonts w:hint="eastAsia" w:ascii="仿宋" w:hAnsi="仿宋" w:eastAsia="仿宋" w:cs="仿宋"/>
                <w:spacing w:val="9"/>
                <w:sz w:val="23"/>
                <w:szCs w:val="23"/>
                <w:highlight w:val="none"/>
                <w:lang w:val="en-US" w:eastAsia="zh-CN"/>
              </w:rPr>
              <w:t>服务</w:t>
            </w:r>
            <w:r>
              <w:rPr>
                <w:rFonts w:hint="eastAsia" w:ascii="仿宋" w:hAnsi="仿宋" w:eastAsia="仿宋" w:cs="仿宋"/>
                <w:spacing w:val="9"/>
                <w:sz w:val="23"/>
                <w:szCs w:val="23"/>
                <w:highlight w:val="none"/>
              </w:rPr>
              <w:t>事前有具体安排</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方案，事后有</w:t>
            </w:r>
            <w:r>
              <w:rPr>
                <w:rFonts w:hint="eastAsia" w:ascii="仿宋" w:hAnsi="仿宋" w:eastAsia="仿宋" w:cs="仿宋"/>
                <w:spacing w:val="1"/>
                <w:sz w:val="23"/>
                <w:szCs w:val="23"/>
                <w:highlight w:val="none"/>
                <w:lang w:val="en-US" w:eastAsia="zh-CN"/>
              </w:rPr>
              <w:t>服务</w:t>
            </w:r>
            <w:r>
              <w:rPr>
                <w:rFonts w:hint="eastAsia" w:ascii="仿宋" w:hAnsi="仿宋" w:eastAsia="仿宋" w:cs="仿宋"/>
                <w:spacing w:val="1"/>
                <w:sz w:val="23"/>
                <w:szCs w:val="23"/>
                <w:highlight w:val="none"/>
              </w:rPr>
              <w:t>小结</w:t>
            </w:r>
            <w:r>
              <w:rPr>
                <w:rFonts w:hint="eastAsia" w:ascii="仿宋" w:hAnsi="仿宋" w:eastAsia="仿宋" w:cs="仿宋"/>
                <w:sz w:val="23"/>
                <w:szCs w:val="23"/>
                <w:highlight w:val="none"/>
              </w:rPr>
              <w:t xml:space="preserve">及针 </w:t>
            </w:r>
            <w:r>
              <w:rPr>
                <w:rFonts w:hint="eastAsia" w:ascii="仿宋" w:hAnsi="仿宋" w:eastAsia="仿宋" w:cs="仿宋"/>
                <w:spacing w:val="10"/>
                <w:sz w:val="23"/>
                <w:szCs w:val="23"/>
                <w:highlight w:val="none"/>
              </w:rPr>
              <w:t>对存</w:t>
            </w:r>
            <w:r>
              <w:rPr>
                <w:rFonts w:hint="eastAsia" w:ascii="仿宋" w:hAnsi="仿宋" w:eastAsia="仿宋" w:cs="仿宋"/>
                <w:spacing w:val="9"/>
                <w:sz w:val="23"/>
                <w:szCs w:val="23"/>
                <w:highlight w:val="none"/>
              </w:rPr>
              <w:t>在不足或问题提出的</w:t>
            </w:r>
            <w:r>
              <w:rPr>
                <w:rFonts w:hint="eastAsia" w:ascii="仿宋" w:hAnsi="仿宋" w:eastAsia="仿宋" w:cs="仿宋"/>
                <w:sz w:val="23"/>
                <w:szCs w:val="23"/>
                <w:highlight w:val="none"/>
              </w:rPr>
              <w:t xml:space="preserve"> </w:t>
            </w:r>
            <w:r>
              <w:rPr>
                <w:rFonts w:hint="eastAsia" w:ascii="仿宋" w:hAnsi="仿宋" w:eastAsia="仿宋" w:cs="仿宋"/>
                <w:spacing w:val="9"/>
                <w:sz w:val="23"/>
                <w:szCs w:val="23"/>
                <w:highlight w:val="none"/>
              </w:rPr>
              <w:t>改进措施</w:t>
            </w:r>
            <w:r>
              <w:rPr>
                <w:rFonts w:hint="eastAsia" w:ascii="仿宋" w:hAnsi="仿宋" w:eastAsia="仿宋" w:cs="仿宋"/>
                <w:spacing w:val="11"/>
                <w:sz w:val="23"/>
                <w:szCs w:val="23"/>
                <w:highlight w:val="none"/>
              </w:rPr>
              <w:t>，</w:t>
            </w:r>
            <w:r>
              <w:rPr>
                <w:rFonts w:hint="eastAsia" w:ascii="仿宋" w:hAnsi="仿宋" w:eastAsia="仿宋" w:cs="仿宋"/>
                <w:spacing w:val="9"/>
                <w:sz w:val="23"/>
                <w:szCs w:val="23"/>
                <w:highlight w:val="none"/>
              </w:rPr>
              <w:t>并履行报告程</w:t>
            </w:r>
            <w:r>
              <w:rPr>
                <w:rFonts w:hint="eastAsia" w:ascii="仿宋" w:hAnsi="仿宋" w:eastAsia="仿宋" w:cs="仿宋"/>
                <w:spacing w:val="1"/>
                <w:sz w:val="23"/>
                <w:szCs w:val="23"/>
                <w:highlight w:val="none"/>
              </w:rPr>
              <w:t>序。</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62"/>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6"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jc w:val="center"/>
        </w:trPr>
        <w:tc>
          <w:tcPr>
            <w:tcW w:w="1166" w:type="dxa"/>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2"/>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13</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60"/>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业</w:t>
            </w:r>
            <w:r>
              <w:rPr>
                <w:rFonts w:hint="eastAsia" w:ascii="仿宋" w:hAnsi="仿宋" w:eastAsia="仿宋" w:cs="仿宋"/>
                <w:spacing w:val="8"/>
                <w:sz w:val="23"/>
                <w:szCs w:val="23"/>
                <w:highlight w:val="none"/>
              </w:rPr>
              <w:t>务工作开</w:t>
            </w:r>
          </w:p>
          <w:p>
            <w:pPr>
              <w:pageBreakBefore w:val="0"/>
              <w:kinsoku/>
              <w:overflowPunct/>
              <w:bidi w:val="0"/>
              <w:spacing w:before="0" w:line="360" w:lineRule="auto"/>
              <w:ind w:firstLine="63"/>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展及完</w:t>
            </w:r>
            <w:r>
              <w:rPr>
                <w:rFonts w:hint="eastAsia" w:ascii="仿宋" w:hAnsi="仿宋" w:eastAsia="仿宋" w:cs="仿宋"/>
                <w:spacing w:val="7"/>
                <w:sz w:val="23"/>
                <w:szCs w:val="23"/>
                <w:highlight w:val="none"/>
              </w:rPr>
              <w:t>成情</w:t>
            </w:r>
          </w:p>
          <w:p>
            <w:pPr>
              <w:pageBreakBefore w:val="0"/>
              <w:kinsoku/>
              <w:overflowPunct/>
              <w:bidi w:val="0"/>
              <w:spacing w:before="0" w:line="360" w:lineRule="auto"/>
              <w:ind w:firstLine="543"/>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况</w:t>
            </w:r>
          </w:p>
        </w:tc>
        <w:tc>
          <w:tcPr>
            <w:tcW w:w="2680" w:type="dxa"/>
            <w:noWrap w:val="0"/>
            <w:vAlign w:val="center"/>
          </w:tcPr>
          <w:p>
            <w:pPr>
              <w:pageBreakBefore w:val="0"/>
              <w:kinsoku/>
              <w:overflowPunct/>
              <w:bidi w:val="0"/>
              <w:spacing w:before="0" w:line="360" w:lineRule="auto"/>
              <w:ind w:right="1"/>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依据《</w:t>
            </w:r>
            <w:r>
              <w:rPr>
                <w:rFonts w:hint="eastAsia" w:ascii="仿宋" w:hAnsi="仿宋" w:eastAsia="仿宋" w:cs="仿宋"/>
                <w:spacing w:val="1"/>
                <w:sz w:val="23"/>
                <w:szCs w:val="23"/>
                <w:highlight w:val="none"/>
                <w:lang w:val="en-US" w:eastAsia="zh-CN"/>
              </w:rPr>
              <w:t>2021年中央专项彩票公益金支持成都市居家和社区基本养老服务提升行动项目实施方案</w:t>
            </w:r>
            <w:r>
              <w:rPr>
                <w:rFonts w:hint="eastAsia" w:ascii="仿宋" w:hAnsi="仿宋" w:eastAsia="仿宋" w:cs="仿宋"/>
                <w:spacing w:val="1"/>
                <w:sz w:val="23"/>
                <w:szCs w:val="23"/>
                <w:highlight w:val="none"/>
              </w:rPr>
              <w:t>》，围</w:t>
            </w:r>
            <w:r>
              <w:rPr>
                <w:rFonts w:hint="eastAsia" w:ascii="仿宋" w:hAnsi="仿宋" w:eastAsia="仿宋" w:cs="仿宋"/>
                <w:sz w:val="23"/>
                <w:szCs w:val="23"/>
                <w:highlight w:val="none"/>
              </w:rPr>
              <w:t xml:space="preserve">绕政 </w:t>
            </w:r>
            <w:r>
              <w:rPr>
                <w:rFonts w:hint="eastAsia" w:ascii="仿宋" w:hAnsi="仿宋" w:eastAsia="仿宋" w:cs="仿宋"/>
                <w:spacing w:val="10"/>
                <w:sz w:val="23"/>
                <w:szCs w:val="23"/>
                <w:highlight w:val="none"/>
              </w:rPr>
              <w:t>府购</w:t>
            </w:r>
            <w:r>
              <w:rPr>
                <w:rFonts w:hint="eastAsia" w:ascii="仿宋" w:hAnsi="仿宋" w:eastAsia="仿宋" w:cs="仿宋"/>
                <w:spacing w:val="9"/>
                <w:sz w:val="23"/>
                <w:szCs w:val="23"/>
                <w:highlight w:val="none"/>
              </w:rPr>
              <w:t>买服务协议约定的目</w:t>
            </w:r>
            <w:r>
              <w:rPr>
                <w:rFonts w:hint="eastAsia" w:ascii="仿宋" w:hAnsi="仿宋" w:eastAsia="仿宋" w:cs="仿宋"/>
                <w:sz w:val="23"/>
                <w:szCs w:val="23"/>
                <w:highlight w:val="none"/>
              </w:rPr>
              <w:t xml:space="preserve"> </w:t>
            </w:r>
            <w:r>
              <w:rPr>
                <w:rFonts w:hint="eastAsia" w:ascii="仿宋" w:hAnsi="仿宋" w:eastAsia="仿宋" w:cs="仿宋"/>
                <w:spacing w:val="9"/>
                <w:sz w:val="23"/>
                <w:szCs w:val="23"/>
                <w:highlight w:val="none"/>
              </w:rPr>
              <w:t>标和任务完成情</w:t>
            </w:r>
            <w:r>
              <w:rPr>
                <w:rFonts w:hint="eastAsia" w:ascii="仿宋" w:hAnsi="仿宋" w:eastAsia="仿宋" w:cs="仿宋"/>
                <w:spacing w:val="8"/>
                <w:sz w:val="23"/>
                <w:szCs w:val="23"/>
                <w:highlight w:val="none"/>
              </w:rPr>
              <w:t>况</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386"/>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60</w:t>
            </w:r>
          </w:p>
        </w:tc>
        <w:tc>
          <w:tcPr>
            <w:tcW w:w="886"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6" w:hRule="atLeast"/>
          <w:jc w:val="center"/>
        </w:trPr>
        <w:tc>
          <w:tcPr>
            <w:tcW w:w="1166" w:type="dxa"/>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5"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2"/>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14</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舆论宣</w:t>
            </w:r>
            <w:r>
              <w:rPr>
                <w:rFonts w:hint="eastAsia" w:ascii="仿宋" w:hAnsi="仿宋" w:eastAsia="仿宋" w:cs="仿宋"/>
                <w:spacing w:val="7"/>
                <w:sz w:val="23"/>
                <w:szCs w:val="23"/>
                <w:highlight w:val="none"/>
              </w:rPr>
              <w:t>传</w:t>
            </w:r>
          </w:p>
        </w:tc>
        <w:tc>
          <w:tcPr>
            <w:tcW w:w="2680" w:type="dxa"/>
            <w:noWrap w:val="0"/>
            <w:vAlign w:val="center"/>
          </w:tcPr>
          <w:p>
            <w:pPr>
              <w:pageBreakBefore w:val="0"/>
              <w:kinsoku/>
              <w:overflowPunct/>
              <w:bidi w:val="0"/>
              <w:spacing w:before="0" w:line="360" w:lineRule="auto"/>
              <w:ind w:left="8" w:firstLine="2"/>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有总体宣传工作方案</w:t>
            </w:r>
            <w:r>
              <w:rPr>
                <w:rFonts w:hint="eastAsia" w:ascii="仿宋" w:hAnsi="仿宋" w:eastAsia="仿宋" w:cs="仿宋"/>
                <w:spacing w:val="-50"/>
                <w:sz w:val="23"/>
                <w:szCs w:val="23"/>
                <w:highlight w:val="none"/>
              </w:rPr>
              <w:t>，</w:t>
            </w:r>
            <w:r>
              <w:rPr>
                <w:rFonts w:hint="eastAsia" w:ascii="仿宋" w:hAnsi="仿宋" w:eastAsia="仿宋" w:cs="仿宋"/>
                <w:sz w:val="23"/>
                <w:szCs w:val="23"/>
                <w:highlight w:val="none"/>
              </w:rPr>
              <w:t xml:space="preserve">有计 </w:t>
            </w:r>
            <w:r>
              <w:rPr>
                <w:rFonts w:hint="eastAsia" w:ascii="仿宋" w:hAnsi="仿宋" w:eastAsia="仿宋" w:cs="仿宋"/>
                <w:spacing w:val="5"/>
                <w:sz w:val="23"/>
                <w:szCs w:val="23"/>
                <w:highlight w:val="none"/>
              </w:rPr>
              <w:t>划地</w:t>
            </w:r>
            <w:r>
              <w:rPr>
                <w:rFonts w:hint="eastAsia" w:ascii="仿宋" w:hAnsi="仿宋" w:eastAsia="仿宋" w:cs="仿宋"/>
                <w:spacing w:val="4"/>
                <w:sz w:val="23"/>
                <w:szCs w:val="23"/>
                <w:highlight w:val="none"/>
              </w:rPr>
              <w:t>主动邀请和配合新闻</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媒体对项目实施进展情况、</w:t>
            </w:r>
            <w:r>
              <w:rPr>
                <w:rFonts w:hint="eastAsia" w:ascii="仿宋" w:hAnsi="仿宋" w:eastAsia="仿宋" w:cs="仿宋"/>
                <w:sz w:val="23"/>
                <w:szCs w:val="23"/>
                <w:highlight w:val="none"/>
              </w:rPr>
              <w:t xml:space="preserve"> </w:t>
            </w:r>
            <w:r>
              <w:rPr>
                <w:rFonts w:hint="eastAsia" w:ascii="仿宋" w:hAnsi="仿宋" w:eastAsia="仿宋" w:cs="仿宋"/>
                <w:spacing w:val="5"/>
                <w:sz w:val="23"/>
                <w:szCs w:val="23"/>
                <w:highlight w:val="none"/>
              </w:rPr>
              <w:t>典型</w:t>
            </w:r>
            <w:r>
              <w:rPr>
                <w:rFonts w:hint="eastAsia" w:ascii="仿宋" w:hAnsi="仿宋" w:eastAsia="仿宋" w:cs="仿宋"/>
                <w:spacing w:val="4"/>
                <w:sz w:val="23"/>
                <w:szCs w:val="23"/>
                <w:highlight w:val="none"/>
              </w:rPr>
              <w:t>案例及其他相关情况</w:t>
            </w:r>
            <w:r>
              <w:rPr>
                <w:rFonts w:hint="eastAsia" w:ascii="仿宋" w:hAnsi="仿宋" w:eastAsia="仿宋" w:cs="仿宋"/>
                <w:sz w:val="23"/>
                <w:szCs w:val="23"/>
                <w:highlight w:val="none"/>
              </w:rPr>
              <w:t xml:space="preserve"> 进行跟踪报道</w:t>
            </w:r>
            <w:r>
              <w:rPr>
                <w:rFonts w:hint="eastAsia" w:ascii="仿宋" w:hAnsi="仿宋" w:eastAsia="仿宋" w:cs="仿宋"/>
                <w:spacing w:val="-24"/>
                <w:sz w:val="23"/>
                <w:szCs w:val="23"/>
                <w:highlight w:val="none"/>
              </w:rPr>
              <w:t>；</w:t>
            </w:r>
            <w:r>
              <w:rPr>
                <w:rFonts w:hint="eastAsia" w:ascii="仿宋" w:hAnsi="仿宋" w:eastAsia="仿宋" w:cs="仿宋"/>
                <w:sz w:val="23"/>
                <w:szCs w:val="23"/>
                <w:highlight w:val="none"/>
              </w:rPr>
              <w:t>同时</w:t>
            </w:r>
            <w:r>
              <w:rPr>
                <w:rFonts w:hint="eastAsia" w:ascii="仿宋" w:hAnsi="仿宋" w:eastAsia="仿宋" w:cs="仿宋"/>
                <w:spacing w:val="-23"/>
                <w:sz w:val="23"/>
                <w:szCs w:val="23"/>
                <w:highlight w:val="none"/>
              </w:rPr>
              <w:t>，</w:t>
            </w:r>
            <w:r>
              <w:rPr>
                <w:rFonts w:hint="eastAsia" w:ascii="仿宋" w:hAnsi="仿宋" w:eastAsia="仿宋" w:cs="仿宋"/>
                <w:sz w:val="23"/>
                <w:szCs w:val="23"/>
                <w:highlight w:val="none"/>
              </w:rPr>
              <w:t>通过 印发宣传资料</w:t>
            </w:r>
            <w:r>
              <w:rPr>
                <w:rFonts w:hint="eastAsia" w:ascii="仿宋" w:hAnsi="仿宋" w:eastAsia="仿宋" w:cs="仿宋"/>
                <w:spacing w:val="-47"/>
                <w:sz w:val="23"/>
                <w:szCs w:val="23"/>
                <w:highlight w:val="none"/>
              </w:rPr>
              <w:t>、</w:t>
            </w:r>
            <w:r>
              <w:rPr>
                <w:rFonts w:hint="eastAsia" w:ascii="仿宋" w:hAnsi="仿宋" w:eastAsia="仿宋" w:cs="仿宋"/>
                <w:sz w:val="23"/>
                <w:szCs w:val="23"/>
                <w:highlight w:val="none"/>
              </w:rPr>
              <w:t>制作展板等 多种形式广泛开展宣传</w:t>
            </w:r>
            <w:r>
              <w:rPr>
                <w:rFonts w:hint="eastAsia" w:ascii="仿宋" w:hAnsi="仿宋" w:eastAsia="仿宋" w:cs="仿宋"/>
                <w:spacing w:val="-47"/>
                <w:sz w:val="23"/>
                <w:szCs w:val="23"/>
                <w:highlight w:val="none"/>
              </w:rPr>
              <w:t>，</w:t>
            </w:r>
            <w:r>
              <w:rPr>
                <w:rFonts w:hint="eastAsia" w:ascii="仿宋" w:hAnsi="仿宋" w:eastAsia="仿宋" w:cs="仿宋"/>
                <w:sz w:val="23"/>
                <w:szCs w:val="23"/>
                <w:highlight w:val="none"/>
              </w:rPr>
              <w:t xml:space="preserve">普 </w:t>
            </w:r>
            <w:r>
              <w:rPr>
                <w:rFonts w:hint="eastAsia" w:ascii="仿宋" w:hAnsi="仿宋" w:eastAsia="仿宋" w:cs="仿宋"/>
                <w:spacing w:val="-4"/>
                <w:sz w:val="23"/>
                <w:szCs w:val="23"/>
                <w:highlight w:val="none"/>
              </w:rPr>
              <w:t>及相关知识（媒体报道不</w:t>
            </w:r>
            <w:r>
              <w:rPr>
                <w:rFonts w:hint="eastAsia" w:ascii="仿宋" w:hAnsi="仿宋" w:eastAsia="仿宋" w:cs="仿宋"/>
                <w:spacing w:val="-3"/>
                <w:sz w:val="23"/>
                <w:szCs w:val="23"/>
                <w:highlight w:val="none"/>
              </w:rPr>
              <w:t>少</w:t>
            </w:r>
            <w:r>
              <w:rPr>
                <w:rFonts w:hint="eastAsia" w:ascii="仿宋" w:hAnsi="仿宋" w:eastAsia="仿宋" w:cs="仿宋"/>
                <w:sz w:val="23"/>
                <w:szCs w:val="23"/>
                <w:highlight w:val="none"/>
              </w:rPr>
              <w:t xml:space="preserve"> 于 3 次</w:t>
            </w:r>
            <w:r>
              <w:rPr>
                <w:rFonts w:hint="eastAsia" w:ascii="仿宋" w:hAnsi="仿宋" w:eastAsia="仿宋" w:cs="仿宋"/>
                <w:spacing w:val="-81"/>
                <w:sz w:val="23"/>
                <w:szCs w:val="23"/>
                <w:highlight w:val="none"/>
              </w:rPr>
              <w:t>），</w:t>
            </w:r>
            <w:r>
              <w:rPr>
                <w:rFonts w:hint="eastAsia" w:ascii="仿宋" w:hAnsi="仿宋" w:eastAsia="仿宋" w:cs="仿宋"/>
                <w:sz w:val="23"/>
                <w:szCs w:val="23"/>
                <w:highlight w:val="none"/>
              </w:rPr>
              <w:t xml:space="preserve">营造良好的舆论 </w:t>
            </w:r>
            <w:r>
              <w:rPr>
                <w:rFonts w:hint="eastAsia" w:ascii="仿宋" w:hAnsi="仿宋" w:eastAsia="仿宋" w:cs="仿宋"/>
                <w:spacing w:val="1"/>
                <w:sz w:val="23"/>
                <w:szCs w:val="23"/>
                <w:highlight w:val="none"/>
              </w:rPr>
              <w:t>氛围。</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6"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3"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jc w:val="center"/>
        </w:trPr>
        <w:tc>
          <w:tcPr>
            <w:tcW w:w="1167" w:type="dxa"/>
            <w:gridSpan w:val="2"/>
            <w:vMerge w:val="restart"/>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15</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90"/>
              <w:jc w:val="center"/>
              <w:rPr>
                <w:rFonts w:hint="eastAsia" w:ascii="仿宋" w:hAnsi="仿宋" w:eastAsia="仿宋" w:cs="仿宋"/>
                <w:sz w:val="23"/>
                <w:szCs w:val="23"/>
                <w:highlight w:val="none"/>
              </w:rPr>
            </w:pPr>
            <w:r>
              <w:rPr>
                <w:rFonts w:hint="eastAsia" w:ascii="仿宋" w:hAnsi="仿宋" w:eastAsia="仿宋" w:cs="仿宋"/>
                <w:spacing w:val="6"/>
                <w:sz w:val="23"/>
                <w:szCs w:val="23"/>
                <w:highlight w:val="none"/>
              </w:rPr>
              <w:t>吸</w:t>
            </w:r>
            <w:r>
              <w:rPr>
                <w:rFonts w:hint="eastAsia" w:ascii="仿宋" w:hAnsi="仿宋" w:eastAsia="仿宋" w:cs="仿宋"/>
                <w:spacing w:val="5"/>
                <w:sz w:val="23"/>
                <w:szCs w:val="23"/>
                <w:highlight w:val="none"/>
              </w:rPr>
              <w:t>纳意见</w:t>
            </w:r>
          </w:p>
        </w:tc>
        <w:tc>
          <w:tcPr>
            <w:tcW w:w="2680" w:type="dxa"/>
            <w:noWrap w:val="0"/>
            <w:vAlign w:val="center"/>
          </w:tcPr>
          <w:p>
            <w:pPr>
              <w:pageBreakBefore w:val="0"/>
              <w:kinsoku/>
              <w:overflowPunct/>
              <w:bidi w:val="0"/>
              <w:spacing w:before="0" w:line="360" w:lineRule="auto"/>
              <w:ind w:left="6"/>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在项目实施过程中</w:t>
            </w:r>
            <w:r>
              <w:rPr>
                <w:rFonts w:hint="eastAsia" w:ascii="仿宋" w:hAnsi="仿宋" w:eastAsia="仿宋" w:cs="仿宋"/>
                <w:spacing w:val="-45"/>
                <w:sz w:val="23"/>
                <w:szCs w:val="23"/>
                <w:highlight w:val="none"/>
              </w:rPr>
              <w:t>，</w:t>
            </w:r>
            <w:r>
              <w:rPr>
                <w:rFonts w:hint="eastAsia" w:ascii="仿宋" w:hAnsi="仿宋" w:eastAsia="仿宋" w:cs="仿宋"/>
                <w:sz w:val="23"/>
                <w:szCs w:val="23"/>
                <w:highlight w:val="none"/>
              </w:rPr>
              <w:t xml:space="preserve">广泛收 </w:t>
            </w:r>
            <w:r>
              <w:rPr>
                <w:rFonts w:hint="eastAsia" w:ascii="仿宋" w:hAnsi="仿宋" w:eastAsia="仿宋" w:cs="仿宋"/>
                <w:spacing w:val="1"/>
                <w:sz w:val="23"/>
                <w:szCs w:val="23"/>
                <w:highlight w:val="none"/>
              </w:rPr>
              <w:t>集和采纳服务对象</w:t>
            </w:r>
            <w:r>
              <w:rPr>
                <w:rFonts w:hint="eastAsia" w:ascii="仿宋" w:hAnsi="仿宋" w:eastAsia="仿宋" w:cs="仿宋"/>
                <w:spacing w:val="2"/>
                <w:sz w:val="23"/>
                <w:szCs w:val="23"/>
                <w:highlight w:val="none"/>
              </w:rPr>
              <w:t>、</w:t>
            </w:r>
            <w:r>
              <w:rPr>
                <w:rFonts w:hint="eastAsia" w:ascii="仿宋" w:hAnsi="仿宋" w:eastAsia="仿宋" w:cs="仿宋"/>
                <w:spacing w:val="1"/>
                <w:sz w:val="23"/>
                <w:szCs w:val="23"/>
                <w:highlight w:val="none"/>
              </w:rPr>
              <w:t>社区</w:t>
            </w:r>
            <w:r>
              <w:rPr>
                <w:rFonts w:hint="eastAsia" w:ascii="仿宋" w:hAnsi="仿宋" w:eastAsia="仿宋" w:cs="仿宋"/>
                <w:spacing w:val="1"/>
                <w:sz w:val="23"/>
                <w:szCs w:val="23"/>
                <w:highlight w:val="none"/>
                <w:lang w:val="en-US" w:eastAsia="zh-CN"/>
              </w:rPr>
              <w:t>及</w:t>
            </w:r>
            <w:r>
              <w:rPr>
                <w:rFonts w:hint="eastAsia" w:ascii="仿宋" w:hAnsi="仿宋" w:eastAsia="仿宋" w:cs="仿宋"/>
                <w:spacing w:val="4"/>
                <w:sz w:val="23"/>
                <w:szCs w:val="23"/>
                <w:highlight w:val="none"/>
              </w:rPr>
              <w:t>相关部门的</w:t>
            </w:r>
            <w:r>
              <w:rPr>
                <w:rFonts w:hint="eastAsia" w:ascii="仿宋" w:hAnsi="仿宋" w:eastAsia="仿宋" w:cs="仿宋"/>
                <w:spacing w:val="3"/>
                <w:sz w:val="23"/>
                <w:szCs w:val="23"/>
                <w:highlight w:val="none"/>
              </w:rPr>
              <w:t>意见</w:t>
            </w:r>
            <w:r>
              <w:rPr>
                <w:rFonts w:hint="eastAsia" w:ascii="仿宋" w:hAnsi="仿宋" w:eastAsia="仿宋" w:cs="仿宋"/>
                <w:spacing w:val="5"/>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9"/>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jc w:val="center"/>
        </w:trPr>
        <w:tc>
          <w:tcPr>
            <w:tcW w:w="1167" w:type="dxa"/>
            <w:gridSpan w:val="2"/>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16</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w:t>
            </w:r>
            <w:r>
              <w:rPr>
                <w:rFonts w:hint="eastAsia" w:ascii="仿宋" w:hAnsi="仿宋" w:eastAsia="仿宋" w:cs="仿宋"/>
                <w:spacing w:val="7"/>
                <w:sz w:val="23"/>
                <w:szCs w:val="23"/>
                <w:highlight w:val="none"/>
              </w:rPr>
              <w:t>记录</w:t>
            </w:r>
          </w:p>
        </w:tc>
        <w:tc>
          <w:tcPr>
            <w:tcW w:w="2680" w:type="dxa"/>
            <w:noWrap w:val="0"/>
            <w:vAlign w:val="center"/>
          </w:tcPr>
          <w:p>
            <w:pPr>
              <w:pageBreakBefore w:val="0"/>
              <w:kinsoku/>
              <w:overflowPunct/>
              <w:bidi w:val="0"/>
              <w:spacing w:before="0" w:line="360" w:lineRule="auto"/>
              <w:ind w:left="6" w:right="4"/>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服务机构应全面、真</w:t>
            </w:r>
            <w:r>
              <w:rPr>
                <w:rFonts w:hint="eastAsia" w:ascii="仿宋" w:hAnsi="仿宋" w:eastAsia="仿宋" w:cs="仿宋"/>
                <w:sz w:val="23"/>
                <w:szCs w:val="23"/>
                <w:highlight w:val="none"/>
              </w:rPr>
              <w:t xml:space="preserve">实地记 </w:t>
            </w:r>
            <w:r>
              <w:rPr>
                <w:rFonts w:hint="eastAsia" w:ascii="仿宋" w:hAnsi="仿宋" w:eastAsia="仿宋" w:cs="仿宋"/>
                <w:spacing w:val="1"/>
                <w:sz w:val="23"/>
                <w:szCs w:val="23"/>
                <w:highlight w:val="none"/>
              </w:rPr>
              <w:t>录其服务运作、服务活</w:t>
            </w:r>
            <w:r>
              <w:rPr>
                <w:rFonts w:hint="eastAsia" w:ascii="仿宋" w:hAnsi="仿宋" w:eastAsia="仿宋" w:cs="仿宋"/>
                <w:sz w:val="23"/>
                <w:szCs w:val="23"/>
                <w:highlight w:val="none"/>
              </w:rPr>
              <w:t xml:space="preserve">动以 </w:t>
            </w:r>
            <w:r>
              <w:rPr>
                <w:rFonts w:hint="eastAsia" w:ascii="仿宋" w:hAnsi="仿宋" w:eastAsia="仿宋" w:cs="仿宋"/>
                <w:spacing w:val="10"/>
                <w:sz w:val="23"/>
                <w:szCs w:val="23"/>
                <w:highlight w:val="none"/>
              </w:rPr>
              <w:t>及投</w:t>
            </w:r>
            <w:r>
              <w:rPr>
                <w:rFonts w:hint="eastAsia" w:ascii="仿宋" w:hAnsi="仿宋" w:eastAsia="仿宋" w:cs="仿宋"/>
                <w:spacing w:val="9"/>
                <w:sz w:val="23"/>
                <w:szCs w:val="23"/>
                <w:highlight w:val="none"/>
              </w:rPr>
              <w:t>诉处理情况并完整保</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存</w:t>
            </w:r>
            <w:r>
              <w:rPr>
                <w:rFonts w:hint="eastAsia" w:ascii="仿宋" w:hAnsi="仿宋" w:eastAsia="仿宋" w:cs="仿宋"/>
                <w:spacing w:val="2"/>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jc w:val="center"/>
        </w:trPr>
        <w:tc>
          <w:tcPr>
            <w:tcW w:w="1167" w:type="dxa"/>
            <w:gridSpan w:val="2"/>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17</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91"/>
              <w:jc w:val="center"/>
              <w:rPr>
                <w:rFonts w:hint="eastAsia" w:ascii="仿宋" w:hAnsi="仿宋" w:eastAsia="仿宋" w:cs="仿宋"/>
                <w:sz w:val="23"/>
                <w:szCs w:val="23"/>
                <w:highlight w:val="none"/>
              </w:rPr>
            </w:pPr>
            <w:r>
              <w:rPr>
                <w:rFonts w:hint="eastAsia" w:ascii="仿宋" w:hAnsi="仿宋" w:eastAsia="仿宋" w:cs="仿宋"/>
                <w:spacing w:val="5"/>
                <w:sz w:val="23"/>
                <w:szCs w:val="23"/>
                <w:highlight w:val="none"/>
              </w:rPr>
              <w:t>资料保管</w:t>
            </w:r>
          </w:p>
        </w:tc>
        <w:tc>
          <w:tcPr>
            <w:tcW w:w="2680" w:type="dxa"/>
            <w:noWrap w:val="0"/>
            <w:vAlign w:val="center"/>
          </w:tcPr>
          <w:p>
            <w:pPr>
              <w:pageBreakBefore w:val="0"/>
              <w:kinsoku/>
              <w:overflowPunct/>
              <w:bidi w:val="0"/>
              <w:spacing w:before="0" w:line="360" w:lineRule="auto"/>
              <w:ind w:left="7" w:right="4"/>
              <w:jc w:val="center"/>
              <w:rPr>
                <w:rFonts w:hint="eastAsia" w:ascii="仿宋" w:hAnsi="仿宋" w:eastAsia="仿宋" w:cs="仿宋"/>
                <w:sz w:val="23"/>
                <w:szCs w:val="23"/>
                <w:highlight w:val="none"/>
              </w:rPr>
            </w:pPr>
            <w:r>
              <w:rPr>
                <w:rFonts w:hint="eastAsia" w:ascii="仿宋" w:hAnsi="仿宋" w:eastAsia="仿宋" w:cs="仿宋"/>
                <w:spacing w:val="10"/>
                <w:sz w:val="23"/>
                <w:szCs w:val="23"/>
                <w:highlight w:val="none"/>
              </w:rPr>
              <w:t>服</w:t>
            </w:r>
            <w:r>
              <w:rPr>
                <w:rFonts w:hint="eastAsia" w:ascii="仿宋" w:hAnsi="仿宋" w:eastAsia="仿宋" w:cs="仿宋"/>
                <w:spacing w:val="9"/>
                <w:sz w:val="23"/>
                <w:szCs w:val="23"/>
                <w:highlight w:val="none"/>
              </w:rPr>
              <w:t>务机构应及时收集整理</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各项活动资料，确保</w:t>
            </w:r>
            <w:r>
              <w:rPr>
                <w:rFonts w:hint="eastAsia" w:ascii="仿宋" w:hAnsi="仿宋" w:eastAsia="仿宋" w:cs="仿宋"/>
                <w:sz w:val="23"/>
                <w:szCs w:val="23"/>
                <w:highlight w:val="none"/>
              </w:rPr>
              <w:t xml:space="preserve">整个项 </w:t>
            </w:r>
            <w:r>
              <w:rPr>
                <w:rFonts w:hint="eastAsia" w:ascii="仿宋" w:hAnsi="仿宋" w:eastAsia="仿宋" w:cs="仿宋"/>
                <w:spacing w:val="10"/>
                <w:sz w:val="23"/>
                <w:szCs w:val="23"/>
                <w:highlight w:val="none"/>
              </w:rPr>
              <w:t>目</w:t>
            </w:r>
            <w:r>
              <w:rPr>
                <w:rFonts w:hint="eastAsia" w:ascii="仿宋" w:hAnsi="仿宋" w:eastAsia="仿宋" w:cs="仿宋"/>
                <w:spacing w:val="9"/>
                <w:sz w:val="23"/>
                <w:szCs w:val="23"/>
                <w:highlight w:val="none"/>
              </w:rPr>
              <w:t>从方案制定到实施完毕</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全过程资料的完整</w:t>
            </w:r>
            <w:r>
              <w:rPr>
                <w:rFonts w:hint="eastAsia" w:ascii="仿宋" w:hAnsi="仿宋" w:eastAsia="仿宋" w:cs="仿宋"/>
                <w:sz w:val="23"/>
                <w:szCs w:val="23"/>
                <w:highlight w:val="none"/>
              </w:rPr>
              <w:t>齐全</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并 </w:t>
            </w:r>
            <w:r>
              <w:rPr>
                <w:rFonts w:hint="eastAsia" w:ascii="仿宋" w:hAnsi="仿宋" w:eastAsia="仿宋" w:cs="仿宋"/>
                <w:spacing w:val="8"/>
                <w:sz w:val="23"/>
                <w:szCs w:val="23"/>
                <w:highlight w:val="none"/>
              </w:rPr>
              <w:t>分类装订</w:t>
            </w:r>
            <w:r>
              <w:rPr>
                <w:rFonts w:hint="eastAsia" w:ascii="仿宋" w:hAnsi="仿宋" w:eastAsia="仿宋" w:cs="仿宋"/>
                <w:spacing w:val="11"/>
                <w:sz w:val="23"/>
                <w:szCs w:val="23"/>
                <w:highlight w:val="none"/>
              </w:rPr>
              <w:t>、</w:t>
            </w:r>
            <w:r>
              <w:rPr>
                <w:rFonts w:hint="eastAsia" w:ascii="仿宋" w:hAnsi="仿宋" w:eastAsia="仿宋" w:cs="仿宋"/>
                <w:spacing w:val="7"/>
                <w:sz w:val="23"/>
                <w:szCs w:val="23"/>
                <w:highlight w:val="none"/>
              </w:rPr>
              <w:t>清晰明了</w:t>
            </w:r>
            <w:r>
              <w:rPr>
                <w:rFonts w:hint="eastAsia" w:ascii="仿宋" w:hAnsi="仿宋" w:eastAsia="仿宋" w:cs="仿宋"/>
                <w:spacing w:val="11"/>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9"/>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 w:hRule="atLeast"/>
          <w:jc w:val="center"/>
        </w:trPr>
        <w:tc>
          <w:tcPr>
            <w:tcW w:w="1167" w:type="dxa"/>
            <w:gridSpan w:val="2"/>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18</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left="542" w:right="63" w:hanging="483"/>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接</w:t>
            </w:r>
            <w:r>
              <w:rPr>
                <w:rFonts w:hint="eastAsia" w:ascii="仿宋" w:hAnsi="仿宋" w:eastAsia="仿宋" w:cs="仿宋"/>
                <w:spacing w:val="8"/>
                <w:sz w:val="23"/>
                <w:szCs w:val="23"/>
                <w:highlight w:val="none"/>
              </w:rPr>
              <w:t>受监督管</w:t>
            </w:r>
            <w:r>
              <w:rPr>
                <w:rFonts w:hint="eastAsia" w:ascii="仿宋" w:hAnsi="仿宋" w:eastAsia="仿宋" w:cs="仿宋"/>
                <w:sz w:val="23"/>
                <w:szCs w:val="23"/>
                <w:highlight w:val="none"/>
              </w:rPr>
              <w:t xml:space="preserve"> 理</w:t>
            </w:r>
          </w:p>
        </w:tc>
        <w:tc>
          <w:tcPr>
            <w:tcW w:w="2680" w:type="dxa"/>
            <w:noWrap w:val="0"/>
            <w:vAlign w:val="center"/>
          </w:tcPr>
          <w:p>
            <w:pPr>
              <w:pageBreakBefore w:val="0"/>
              <w:kinsoku/>
              <w:overflowPunct/>
              <w:bidi w:val="0"/>
              <w:spacing w:before="0" w:line="360" w:lineRule="auto"/>
              <w:ind w:left="8" w:right="4"/>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按月上报项目进展情况</w:t>
            </w:r>
            <w:r>
              <w:rPr>
                <w:rFonts w:hint="eastAsia" w:ascii="仿宋" w:hAnsi="仿宋" w:eastAsia="仿宋" w:cs="仿宋"/>
                <w:spacing w:val="8"/>
                <w:sz w:val="23"/>
                <w:szCs w:val="23"/>
                <w:highlight w:val="none"/>
              </w:rPr>
              <w:t>及</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有关数据报表，自</w:t>
            </w:r>
            <w:r>
              <w:rPr>
                <w:rFonts w:hint="eastAsia" w:ascii="仿宋" w:hAnsi="仿宋" w:eastAsia="仿宋" w:cs="仿宋"/>
                <w:sz w:val="23"/>
                <w:szCs w:val="23"/>
                <w:highlight w:val="none"/>
              </w:rPr>
              <w:t xml:space="preserve">觉接受有 </w:t>
            </w:r>
            <w:r>
              <w:rPr>
                <w:rFonts w:hint="eastAsia" w:ascii="仿宋" w:hAnsi="仿宋" w:eastAsia="仿宋" w:cs="仿宋"/>
                <w:spacing w:val="1"/>
                <w:sz w:val="23"/>
                <w:szCs w:val="23"/>
                <w:highlight w:val="none"/>
              </w:rPr>
              <w:t>关部门和社会监</w:t>
            </w:r>
            <w:r>
              <w:rPr>
                <w:rFonts w:hint="eastAsia" w:ascii="仿宋" w:hAnsi="仿宋" w:eastAsia="仿宋" w:cs="仿宋"/>
                <w:sz w:val="23"/>
                <w:szCs w:val="23"/>
                <w:highlight w:val="none"/>
              </w:rPr>
              <w:t>督</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积极配 </w:t>
            </w:r>
            <w:r>
              <w:rPr>
                <w:rFonts w:hint="eastAsia" w:ascii="仿宋" w:hAnsi="仿宋" w:eastAsia="仿宋" w:cs="仿宋"/>
                <w:spacing w:val="9"/>
                <w:sz w:val="23"/>
                <w:szCs w:val="23"/>
                <w:highlight w:val="none"/>
              </w:rPr>
              <w:t>合做好评估和绩效考评工</w:t>
            </w:r>
            <w:r>
              <w:rPr>
                <w:rFonts w:hint="eastAsia" w:ascii="仿宋" w:hAnsi="仿宋" w:eastAsia="仿宋" w:cs="仿宋"/>
                <w:sz w:val="23"/>
                <w:szCs w:val="23"/>
                <w:highlight w:val="none"/>
              </w:rPr>
              <w:t xml:space="preserve"> 作</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jc w:val="center"/>
        </w:trPr>
        <w:tc>
          <w:tcPr>
            <w:tcW w:w="1167" w:type="dxa"/>
            <w:gridSpan w:val="2"/>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51"/>
              <w:jc w:val="center"/>
              <w:rPr>
                <w:rFonts w:hint="eastAsia" w:ascii="仿宋" w:hAnsi="仿宋" w:eastAsia="仿宋" w:cs="仿宋"/>
                <w:sz w:val="23"/>
                <w:szCs w:val="23"/>
                <w:highlight w:val="none"/>
              </w:rPr>
            </w:pPr>
            <w:r>
              <w:rPr>
                <w:rFonts w:hint="eastAsia" w:ascii="仿宋" w:hAnsi="仿宋" w:eastAsia="仿宋" w:cs="仿宋"/>
                <w:spacing w:val="-9"/>
                <w:sz w:val="23"/>
                <w:szCs w:val="23"/>
                <w:highlight w:val="none"/>
              </w:rPr>
              <w:t>19</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w:t>
            </w:r>
            <w:r>
              <w:rPr>
                <w:rFonts w:hint="eastAsia" w:ascii="仿宋" w:hAnsi="仿宋" w:eastAsia="仿宋" w:cs="仿宋"/>
                <w:spacing w:val="7"/>
                <w:sz w:val="23"/>
                <w:szCs w:val="23"/>
                <w:highlight w:val="none"/>
              </w:rPr>
              <w:t>次数</w:t>
            </w:r>
          </w:p>
        </w:tc>
        <w:tc>
          <w:tcPr>
            <w:tcW w:w="2680" w:type="dxa"/>
            <w:noWrap w:val="0"/>
            <w:vAlign w:val="center"/>
          </w:tcPr>
          <w:p>
            <w:pPr>
              <w:pageBreakBefore w:val="0"/>
              <w:kinsoku/>
              <w:overflowPunct/>
              <w:bidi w:val="0"/>
              <w:spacing w:before="0" w:line="360" w:lineRule="auto"/>
              <w:ind w:left="6" w:right="4"/>
              <w:jc w:val="center"/>
              <w:rPr>
                <w:rFonts w:hint="eastAsia" w:ascii="仿宋" w:hAnsi="仿宋" w:eastAsia="仿宋" w:cs="仿宋"/>
                <w:sz w:val="23"/>
                <w:szCs w:val="23"/>
                <w:highlight w:val="none"/>
              </w:rPr>
            </w:pPr>
            <w:r>
              <w:rPr>
                <w:rFonts w:hint="eastAsia" w:ascii="仿宋" w:hAnsi="仿宋" w:eastAsia="仿宋" w:cs="仿宋"/>
                <w:spacing w:val="10"/>
                <w:sz w:val="23"/>
                <w:szCs w:val="23"/>
                <w:highlight w:val="none"/>
              </w:rPr>
              <w:t>在政</w:t>
            </w:r>
            <w:r>
              <w:rPr>
                <w:rFonts w:hint="eastAsia" w:ascii="仿宋" w:hAnsi="仿宋" w:eastAsia="仿宋" w:cs="仿宋"/>
                <w:spacing w:val="9"/>
                <w:sz w:val="23"/>
                <w:szCs w:val="23"/>
                <w:highlight w:val="none"/>
              </w:rPr>
              <w:t>府购买服务合同约定</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的期限内，完成各项</w:t>
            </w:r>
            <w:r>
              <w:rPr>
                <w:rFonts w:hint="eastAsia" w:ascii="仿宋" w:hAnsi="仿宋" w:eastAsia="仿宋" w:cs="仿宋"/>
                <w:sz w:val="23"/>
                <w:szCs w:val="23"/>
                <w:highlight w:val="none"/>
              </w:rPr>
              <w:t xml:space="preserve">服务内 </w:t>
            </w:r>
            <w:r>
              <w:rPr>
                <w:rFonts w:hint="eastAsia" w:ascii="仿宋" w:hAnsi="仿宋" w:eastAsia="仿宋" w:cs="仿宋"/>
                <w:spacing w:val="1"/>
                <w:sz w:val="23"/>
                <w:szCs w:val="23"/>
                <w:highlight w:val="none"/>
              </w:rPr>
              <w:t>容和数量的，得满</w:t>
            </w:r>
            <w:r>
              <w:rPr>
                <w:rFonts w:hint="eastAsia" w:ascii="仿宋" w:hAnsi="仿宋" w:eastAsia="仿宋" w:cs="仿宋"/>
                <w:sz w:val="23"/>
                <w:szCs w:val="23"/>
                <w:highlight w:val="none"/>
              </w:rPr>
              <w:t>分</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因特 </w:t>
            </w:r>
            <w:r>
              <w:rPr>
                <w:rFonts w:hint="eastAsia" w:ascii="仿宋" w:hAnsi="仿宋" w:eastAsia="仿宋" w:cs="仿宋"/>
                <w:spacing w:val="10"/>
                <w:sz w:val="23"/>
                <w:szCs w:val="23"/>
                <w:highlight w:val="none"/>
              </w:rPr>
              <w:t>殊</w:t>
            </w:r>
            <w:r>
              <w:rPr>
                <w:rFonts w:hint="eastAsia" w:ascii="仿宋" w:hAnsi="仿宋" w:eastAsia="仿宋" w:cs="仿宋"/>
                <w:spacing w:val="9"/>
                <w:sz w:val="23"/>
                <w:szCs w:val="23"/>
                <w:highlight w:val="none"/>
              </w:rPr>
              <w:t>原因未在合同约定期限</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内完成，经购买方与</w:t>
            </w:r>
            <w:r>
              <w:rPr>
                <w:rFonts w:hint="eastAsia" w:ascii="仿宋" w:hAnsi="仿宋" w:eastAsia="仿宋" w:cs="仿宋"/>
                <w:sz w:val="23"/>
                <w:szCs w:val="23"/>
                <w:highlight w:val="none"/>
              </w:rPr>
              <w:t xml:space="preserve">服务方 </w:t>
            </w:r>
            <w:r>
              <w:rPr>
                <w:rFonts w:hint="eastAsia" w:ascii="仿宋" w:hAnsi="仿宋" w:eastAsia="仿宋" w:cs="仿宋"/>
                <w:spacing w:val="1"/>
                <w:sz w:val="23"/>
                <w:szCs w:val="23"/>
                <w:highlight w:val="none"/>
              </w:rPr>
              <w:t>协商，在限</w:t>
            </w:r>
            <w:r>
              <w:rPr>
                <w:rFonts w:hint="eastAsia" w:ascii="仿宋" w:hAnsi="仿宋" w:eastAsia="仿宋" w:cs="仿宋"/>
                <w:sz w:val="23"/>
                <w:szCs w:val="23"/>
                <w:highlight w:val="none"/>
              </w:rPr>
              <w:t>期（1</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个月</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内 </w:t>
            </w:r>
            <w:r>
              <w:rPr>
                <w:rFonts w:hint="eastAsia" w:ascii="仿宋" w:hAnsi="仿宋" w:eastAsia="仿宋" w:cs="仿宋"/>
                <w:spacing w:val="1"/>
                <w:sz w:val="23"/>
                <w:szCs w:val="23"/>
                <w:highlight w:val="none"/>
              </w:rPr>
              <w:t>全面完成的，酌情</w:t>
            </w:r>
            <w:r>
              <w:rPr>
                <w:rFonts w:hint="eastAsia" w:ascii="仿宋" w:hAnsi="仿宋" w:eastAsia="仿宋" w:cs="仿宋"/>
                <w:sz w:val="23"/>
                <w:szCs w:val="23"/>
                <w:highlight w:val="none"/>
              </w:rPr>
              <w:t>扣分</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限 </w:t>
            </w:r>
            <w:r>
              <w:rPr>
                <w:rFonts w:hint="eastAsia" w:ascii="仿宋" w:hAnsi="仿宋" w:eastAsia="仿宋" w:cs="仿宋"/>
                <w:spacing w:val="1"/>
                <w:sz w:val="23"/>
                <w:szCs w:val="23"/>
                <w:highlight w:val="none"/>
              </w:rPr>
              <w:t>期内仍未完成的，造</w:t>
            </w:r>
            <w:r>
              <w:rPr>
                <w:rFonts w:hint="eastAsia" w:ascii="仿宋" w:hAnsi="仿宋" w:eastAsia="仿宋" w:cs="仿宋"/>
                <w:sz w:val="23"/>
                <w:szCs w:val="23"/>
                <w:highlight w:val="none"/>
              </w:rPr>
              <w:t xml:space="preserve">成不良 </w:t>
            </w:r>
            <w:r>
              <w:rPr>
                <w:rFonts w:hint="eastAsia" w:ascii="仿宋" w:hAnsi="仿宋" w:eastAsia="仿宋" w:cs="仿宋"/>
                <w:spacing w:val="1"/>
                <w:sz w:val="23"/>
                <w:szCs w:val="23"/>
                <w:highlight w:val="none"/>
              </w:rPr>
              <w:t>社会影响的，视情取</w:t>
            </w:r>
            <w:r>
              <w:rPr>
                <w:rFonts w:hint="eastAsia" w:ascii="仿宋" w:hAnsi="仿宋" w:eastAsia="仿宋" w:cs="仿宋"/>
                <w:sz w:val="23"/>
                <w:szCs w:val="23"/>
                <w:highlight w:val="none"/>
              </w:rPr>
              <w:t xml:space="preserve">消其购 </w:t>
            </w:r>
            <w:r>
              <w:rPr>
                <w:rFonts w:hint="eastAsia" w:ascii="仿宋" w:hAnsi="仿宋" w:eastAsia="仿宋" w:cs="仿宋"/>
                <w:spacing w:val="7"/>
                <w:sz w:val="23"/>
                <w:szCs w:val="23"/>
                <w:highlight w:val="none"/>
              </w:rPr>
              <w:t>买服务资</w:t>
            </w:r>
            <w:r>
              <w:rPr>
                <w:rFonts w:hint="eastAsia" w:ascii="仿宋" w:hAnsi="仿宋" w:eastAsia="仿宋" w:cs="仿宋"/>
                <w:spacing w:val="6"/>
                <w:sz w:val="23"/>
                <w:szCs w:val="23"/>
                <w:highlight w:val="none"/>
              </w:rPr>
              <w:t>格</w:t>
            </w:r>
            <w:r>
              <w:rPr>
                <w:rFonts w:hint="eastAsia" w:ascii="仿宋" w:hAnsi="仿宋" w:eastAsia="仿宋" w:cs="仿宋"/>
                <w:spacing w:val="8"/>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2</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6" w:hRule="atLeast"/>
          <w:jc w:val="center"/>
        </w:trPr>
        <w:tc>
          <w:tcPr>
            <w:tcW w:w="1167" w:type="dxa"/>
            <w:gridSpan w:val="2"/>
            <w:vMerge w:val="continue"/>
            <w:tcBorders>
              <w:top w:val="nil"/>
              <w:lef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36"/>
              <w:jc w:val="center"/>
              <w:rPr>
                <w:rFonts w:hint="eastAsia" w:ascii="仿宋" w:hAnsi="仿宋" w:eastAsia="仿宋" w:cs="仿宋"/>
                <w:sz w:val="23"/>
                <w:szCs w:val="23"/>
                <w:highlight w:val="none"/>
              </w:rPr>
            </w:pPr>
            <w:r>
              <w:rPr>
                <w:rFonts w:hint="eastAsia" w:ascii="仿宋" w:hAnsi="仿宋" w:eastAsia="仿宋" w:cs="仿宋"/>
                <w:spacing w:val="-2"/>
                <w:sz w:val="23"/>
                <w:szCs w:val="23"/>
                <w:highlight w:val="none"/>
              </w:rPr>
              <w:t>2</w:t>
            </w:r>
            <w:r>
              <w:rPr>
                <w:rFonts w:hint="eastAsia" w:ascii="仿宋" w:hAnsi="仿宋" w:eastAsia="仿宋" w:cs="仿宋"/>
                <w:spacing w:val="-1"/>
                <w:sz w:val="23"/>
                <w:szCs w:val="23"/>
                <w:highlight w:val="none"/>
              </w:rPr>
              <w:t>0</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8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w:t>
            </w:r>
            <w:r>
              <w:rPr>
                <w:rFonts w:hint="eastAsia" w:ascii="仿宋" w:hAnsi="仿宋" w:eastAsia="仿宋" w:cs="仿宋"/>
                <w:spacing w:val="7"/>
                <w:sz w:val="23"/>
                <w:szCs w:val="23"/>
                <w:highlight w:val="none"/>
              </w:rPr>
              <w:t>人次</w:t>
            </w:r>
          </w:p>
        </w:tc>
        <w:tc>
          <w:tcPr>
            <w:tcW w:w="2680" w:type="dxa"/>
            <w:noWrap w:val="0"/>
            <w:vAlign w:val="center"/>
          </w:tcPr>
          <w:p>
            <w:pPr>
              <w:pageBreakBefore w:val="0"/>
              <w:kinsoku/>
              <w:overflowPunct/>
              <w:bidi w:val="0"/>
              <w:spacing w:before="0" w:line="360" w:lineRule="auto"/>
              <w:ind w:left="8"/>
              <w:jc w:val="center"/>
              <w:rPr>
                <w:rFonts w:hint="eastAsia" w:ascii="仿宋" w:hAnsi="仿宋" w:eastAsia="仿宋" w:cs="仿宋"/>
                <w:sz w:val="23"/>
                <w:szCs w:val="23"/>
                <w:highlight w:val="none"/>
              </w:rPr>
            </w:pPr>
            <w:r>
              <w:rPr>
                <w:rFonts w:hint="eastAsia" w:ascii="仿宋" w:hAnsi="仿宋" w:eastAsia="仿宋" w:cs="仿宋"/>
                <w:spacing w:val="3"/>
                <w:sz w:val="23"/>
                <w:szCs w:val="23"/>
                <w:highlight w:val="none"/>
              </w:rPr>
              <w:t>面向辖区群众的</w:t>
            </w:r>
            <w:r>
              <w:rPr>
                <w:rFonts w:hint="eastAsia" w:ascii="仿宋" w:hAnsi="仿宋" w:eastAsia="仿宋" w:cs="仿宋"/>
                <w:spacing w:val="2"/>
                <w:sz w:val="23"/>
                <w:szCs w:val="23"/>
                <w:highlight w:val="none"/>
              </w:rPr>
              <w:t>服务覆盖</w:t>
            </w:r>
            <w:r>
              <w:rPr>
                <w:rFonts w:hint="eastAsia" w:ascii="仿宋" w:hAnsi="仿宋" w:eastAsia="仿宋" w:cs="仿宋"/>
                <w:sz w:val="23"/>
                <w:szCs w:val="23"/>
                <w:highlight w:val="none"/>
              </w:rPr>
              <w:t xml:space="preserve">  率达</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100%</w:t>
            </w:r>
            <w:r>
              <w:rPr>
                <w:rFonts w:hint="eastAsia" w:ascii="仿宋" w:hAnsi="仿宋" w:eastAsia="仿宋" w:cs="仿宋"/>
                <w:spacing w:val="-27"/>
                <w:sz w:val="23"/>
                <w:szCs w:val="23"/>
                <w:highlight w:val="none"/>
              </w:rPr>
              <w:t>，</w:t>
            </w:r>
            <w:r>
              <w:rPr>
                <w:rFonts w:hint="eastAsia" w:ascii="仿宋" w:hAnsi="仿宋" w:eastAsia="仿宋" w:cs="仿宋"/>
                <w:sz w:val="23"/>
                <w:szCs w:val="23"/>
                <w:highlight w:val="none"/>
              </w:rPr>
              <w:t>无推诿拖延现 象得满分</w:t>
            </w:r>
            <w:r>
              <w:rPr>
                <w:rFonts w:hint="eastAsia" w:ascii="仿宋" w:hAnsi="仿宋" w:eastAsia="仿宋" w:cs="仿宋"/>
                <w:spacing w:val="-33"/>
                <w:sz w:val="23"/>
                <w:szCs w:val="23"/>
                <w:highlight w:val="none"/>
              </w:rPr>
              <w:t>；</w:t>
            </w:r>
            <w:r>
              <w:rPr>
                <w:rFonts w:hint="eastAsia" w:ascii="仿宋" w:hAnsi="仿宋" w:eastAsia="仿宋" w:cs="仿宋"/>
                <w:sz w:val="23"/>
                <w:szCs w:val="23"/>
                <w:highlight w:val="none"/>
              </w:rPr>
              <w:t>因推诿</w:t>
            </w:r>
            <w:r>
              <w:rPr>
                <w:rFonts w:hint="eastAsia" w:ascii="仿宋" w:hAnsi="仿宋" w:eastAsia="仿宋" w:cs="仿宋"/>
                <w:spacing w:val="-33"/>
                <w:sz w:val="23"/>
                <w:szCs w:val="23"/>
                <w:highlight w:val="none"/>
              </w:rPr>
              <w:t>、</w:t>
            </w:r>
            <w:r>
              <w:rPr>
                <w:rFonts w:hint="eastAsia" w:ascii="仿宋" w:hAnsi="仿宋" w:eastAsia="仿宋" w:cs="仿宋"/>
                <w:sz w:val="23"/>
                <w:szCs w:val="23"/>
                <w:highlight w:val="none"/>
              </w:rPr>
              <w:t xml:space="preserve">拖延出 </w:t>
            </w:r>
            <w:r>
              <w:rPr>
                <w:rFonts w:hint="eastAsia" w:ascii="仿宋" w:hAnsi="仿宋" w:eastAsia="仿宋" w:cs="仿宋"/>
                <w:spacing w:val="-3"/>
                <w:sz w:val="23"/>
                <w:szCs w:val="23"/>
                <w:highlight w:val="none"/>
              </w:rPr>
              <w:t>现举报投</w:t>
            </w:r>
            <w:r>
              <w:rPr>
                <w:rFonts w:hint="eastAsia" w:ascii="仿宋" w:hAnsi="仿宋" w:eastAsia="仿宋" w:cs="仿宋"/>
                <w:spacing w:val="-2"/>
                <w:sz w:val="23"/>
                <w:szCs w:val="23"/>
                <w:highlight w:val="none"/>
              </w:rPr>
              <w:t>诉</w:t>
            </w:r>
            <w:r>
              <w:rPr>
                <w:rFonts w:hint="eastAsia" w:ascii="仿宋" w:hAnsi="仿宋" w:eastAsia="仿宋" w:cs="仿宋"/>
                <w:spacing w:val="-19"/>
                <w:sz w:val="23"/>
                <w:szCs w:val="23"/>
                <w:highlight w:val="none"/>
              </w:rPr>
              <w:t xml:space="preserve"> </w:t>
            </w:r>
            <w:r>
              <w:rPr>
                <w:rFonts w:hint="eastAsia" w:ascii="仿宋" w:hAnsi="仿宋" w:eastAsia="仿宋" w:cs="仿宋"/>
                <w:spacing w:val="-1"/>
                <w:sz w:val="23"/>
                <w:szCs w:val="23"/>
                <w:highlight w:val="none"/>
              </w:rPr>
              <w:t>3</w:t>
            </w:r>
            <w:r>
              <w:rPr>
                <w:rFonts w:hint="eastAsia" w:ascii="仿宋" w:hAnsi="仿宋" w:eastAsia="仿宋" w:cs="仿宋"/>
                <w:spacing w:val="-19"/>
                <w:sz w:val="23"/>
                <w:szCs w:val="23"/>
                <w:highlight w:val="none"/>
              </w:rPr>
              <w:t xml:space="preserve"> </w:t>
            </w:r>
            <w:r>
              <w:rPr>
                <w:rFonts w:hint="eastAsia" w:ascii="仿宋" w:hAnsi="仿宋" w:eastAsia="仿宋" w:cs="仿宋"/>
                <w:spacing w:val="-2"/>
                <w:sz w:val="23"/>
                <w:szCs w:val="23"/>
                <w:highlight w:val="none"/>
              </w:rPr>
              <w:t>次（含</w:t>
            </w:r>
            <w:r>
              <w:rPr>
                <w:rFonts w:hint="eastAsia" w:ascii="仿宋" w:hAnsi="仿宋" w:eastAsia="仿宋" w:cs="仿宋"/>
                <w:spacing w:val="-19"/>
                <w:sz w:val="23"/>
                <w:szCs w:val="23"/>
                <w:highlight w:val="none"/>
              </w:rPr>
              <w:t xml:space="preserve"> </w:t>
            </w:r>
            <w:r>
              <w:rPr>
                <w:rFonts w:hint="eastAsia" w:ascii="仿宋" w:hAnsi="仿宋" w:eastAsia="仿宋" w:cs="仿宋"/>
                <w:spacing w:val="-1"/>
                <w:sz w:val="23"/>
                <w:szCs w:val="23"/>
                <w:highlight w:val="none"/>
              </w:rPr>
              <w:t>3</w:t>
            </w:r>
            <w:r>
              <w:rPr>
                <w:rFonts w:hint="eastAsia" w:ascii="仿宋" w:hAnsi="仿宋" w:eastAsia="仿宋" w:cs="仿宋"/>
                <w:spacing w:val="-19"/>
                <w:sz w:val="23"/>
                <w:szCs w:val="23"/>
                <w:highlight w:val="none"/>
              </w:rPr>
              <w:t xml:space="preserve"> </w:t>
            </w:r>
            <w:r>
              <w:rPr>
                <w:rFonts w:hint="eastAsia" w:ascii="仿宋" w:hAnsi="仿宋" w:eastAsia="仿宋" w:cs="仿宋"/>
                <w:spacing w:val="-2"/>
                <w:sz w:val="23"/>
                <w:szCs w:val="23"/>
                <w:highlight w:val="none"/>
              </w:rPr>
              <w:t>次</w:t>
            </w:r>
            <w:r>
              <w:rPr>
                <w:rFonts w:hint="eastAsia" w:ascii="仿宋" w:hAnsi="仿宋" w:eastAsia="仿宋" w:cs="仿宋"/>
                <w:spacing w:val="-118"/>
                <w:sz w:val="23"/>
                <w:szCs w:val="23"/>
                <w:highlight w:val="none"/>
              </w:rPr>
              <w:t>）</w:t>
            </w:r>
            <w:r>
              <w:rPr>
                <w:rFonts w:hint="eastAsia" w:ascii="仿宋" w:hAnsi="仿宋" w:eastAsia="仿宋" w:cs="仿宋"/>
                <w:sz w:val="23"/>
                <w:szCs w:val="23"/>
                <w:highlight w:val="none"/>
              </w:rPr>
              <w:t xml:space="preserve"> 扣</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1 分</w:t>
            </w:r>
            <w:r>
              <w:rPr>
                <w:rFonts w:hint="eastAsia" w:ascii="仿宋" w:hAnsi="仿宋" w:eastAsia="仿宋" w:cs="仿宋"/>
                <w:spacing w:val="-72"/>
                <w:sz w:val="23"/>
                <w:szCs w:val="23"/>
                <w:highlight w:val="none"/>
              </w:rPr>
              <w:t>，</w:t>
            </w:r>
            <w:r>
              <w:rPr>
                <w:rFonts w:hint="eastAsia" w:ascii="仿宋" w:hAnsi="仿宋" w:eastAsia="仿宋" w:cs="仿宋"/>
                <w:sz w:val="23"/>
                <w:szCs w:val="23"/>
                <w:highlight w:val="none"/>
              </w:rPr>
              <w:t>3 次以上不得分</w:t>
            </w:r>
            <w:r>
              <w:rPr>
                <w:rFonts w:hint="eastAsia" w:ascii="仿宋" w:hAnsi="仿宋" w:eastAsia="仿宋" w:cs="仿宋"/>
                <w:spacing w:val="-72"/>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59"/>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1</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7" w:hRule="atLeast"/>
          <w:jc w:val="center"/>
        </w:trPr>
        <w:tc>
          <w:tcPr>
            <w:tcW w:w="1167" w:type="dxa"/>
            <w:gridSpan w:val="2"/>
            <w:vMerge w:val="restart"/>
            <w:tcBorders>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left="24" w:right="19" w:hanging="9"/>
              <w:jc w:val="center"/>
              <w:rPr>
                <w:rFonts w:hint="eastAsia" w:ascii="仿宋" w:hAnsi="仿宋" w:eastAsia="仿宋" w:cs="仿宋"/>
                <w:sz w:val="23"/>
                <w:szCs w:val="23"/>
                <w:highlight w:val="none"/>
              </w:rPr>
            </w:pPr>
            <w:r>
              <w:rPr>
                <w:rFonts w:hint="eastAsia" w:ascii="仿宋" w:hAnsi="仿宋" w:eastAsia="仿宋" w:cs="仿宋"/>
                <w:spacing w:val="7"/>
                <w:sz w:val="23"/>
                <w:szCs w:val="23"/>
                <w:highlight w:val="none"/>
              </w:rPr>
              <w:t>社会成效</w:t>
            </w:r>
            <w:r>
              <w:rPr>
                <w:rFonts w:hint="eastAsia" w:ascii="仿宋" w:hAnsi="仿宋" w:eastAsia="仿宋" w:cs="仿宋"/>
                <w:sz w:val="23"/>
                <w:szCs w:val="23"/>
                <w:highlight w:val="none"/>
              </w:rPr>
              <w:t xml:space="preserve"> （15</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分</w:t>
            </w:r>
            <w:r>
              <w:rPr>
                <w:rFonts w:hint="eastAsia" w:ascii="仿宋" w:hAnsi="仿宋" w:eastAsia="仿宋" w:cs="仿宋"/>
                <w:spacing w:val="-56"/>
                <w:sz w:val="23"/>
                <w:szCs w:val="23"/>
                <w:highlight w:val="none"/>
              </w:rPr>
              <w:t>）</w:t>
            </w: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36"/>
              <w:jc w:val="center"/>
              <w:rPr>
                <w:rFonts w:hint="eastAsia" w:ascii="仿宋" w:hAnsi="仿宋" w:eastAsia="仿宋" w:cs="仿宋"/>
                <w:sz w:val="23"/>
                <w:szCs w:val="23"/>
                <w:highlight w:val="none"/>
              </w:rPr>
            </w:pPr>
            <w:r>
              <w:rPr>
                <w:rFonts w:hint="eastAsia" w:ascii="仿宋" w:hAnsi="仿宋" w:eastAsia="仿宋" w:cs="仿宋"/>
                <w:spacing w:val="-2"/>
                <w:sz w:val="23"/>
                <w:szCs w:val="23"/>
                <w:highlight w:val="none"/>
              </w:rPr>
              <w:t>2</w:t>
            </w:r>
            <w:r>
              <w:rPr>
                <w:rFonts w:hint="eastAsia" w:ascii="仿宋" w:hAnsi="仿宋" w:eastAsia="仿宋" w:cs="仿宋"/>
                <w:spacing w:val="-1"/>
                <w:sz w:val="23"/>
                <w:szCs w:val="23"/>
                <w:highlight w:val="none"/>
              </w:rPr>
              <w:t>1</w:t>
            </w:r>
          </w:p>
        </w:tc>
        <w:tc>
          <w:tcPr>
            <w:tcW w:w="1787" w:type="dxa"/>
            <w:noWrap w:val="0"/>
            <w:vAlign w:val="center"/>
          </w:tcPr>
          <w:p>
            <w:pPr>
              <w:pageBreakBefore w:val="0"/>
              <w:kinsoku/>
              <w:overflowPunct/>
              <w:bidi w:val="0"/>
              <w:spacing w:before="0" w:line="360" w:lineRule="auto"/>
              <w:ind w:left="59" w:right="63"/>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w:t>
            </w:r>
            <w:r>
              <w:rPr>
                <w:rFonts w:hint="eastAsia" w:ascii="仿宋" w:hAnsi="仿宋" w:eastAsia="仿宋" w:cs="仿宋"/>
                <w:spacing w:val="7"/>
                <w:sz w:val="23"/>
                <w:szCs w:val="23"/>
                <w:highlight w:val="none"/>
              </w:rPr>
              <w:t>对象</w:t>
            </w:r>
            <w:r>
              <w:rPr>
                <w:rFonts w:hint="eastAsia" w:ascii="仿宋" w:hAnsi="仿宋" w:eastAsia="仿宋" w:cs="仿宋"/>
                <w:spacing w:val="10"/>
                <w:sz w:val="23"/>
                <w:szCs w:val="23"/>
                <w:highlight w:val="none"/>
              </w:rPr>
              <w:t>、</w:t>
            </w:r>
            <w:r>
              <w:rPr>
                <w:rFonts w:hint="eastAsia" w:ascii="仿宋" w:hAnsi="仿宋" w:eastAsia="仿宋" w:cs="仿宋"/>
                <w:sz w:val="23"/>
                <w:szCs w:val="23"/>
                <w:highlight w:val="none"/>
              </w:rPr>
              <w:t xml:space="preserve"> </w:t>
            </w:r>
            <w:r>
              <w:rPr>
                <w:rFonts w:hint="eastAsia" w:ascii="仿宋" w:hAnsi="仿宋" w:eastAsia="仿宋" w:cs="仿宋"/>
                <w:spacing w:val="9"/>
                <w:sz w:val="23"/>
                <w:szCs w:val="23"/>
                <w:highlight w:val="none"/>
              </w:rPr>
              <w:t>对</w:t>
            </w:r>
            <w:r>
              <w:rPr>
                <w:rFonts w:hint="eastAsia" w:ascii="仿宋" w:hAnsi="仿宋" w:eastAsia="仿宋" w:cs="仿宋"/>
                <w:spacing w:val="8"/>
                <w:sz w:val="23"/>
                <w:szCs w:val="23"/>
                <w:highlight w:val="none"/>
              </w:rPr>
              <w:t>服务方所</w:t>
            </w:r>
            <w:r>
              <w:rPr>
                <w:rFonts w:hint="eastAsia" w:ascii="仿宋" w:hAnsi="仿宋" w:eastAsia="仿宋" w:cs="仿宋"/>
                <w:spacing w:val="9"/>
                <w:sz w:val="23"/>
                <w:szCs w:val="23"/>
                <w:highlight w:val="none"/>
              </w:rPr>
              <w:t>提</w:t>
            </w:r>
            <w:r>
              <w:rPr>
                <w:rFonts w:hint="eastAsia" w:ascii="仿宋" w:hAnsi="仿宋" w:eastAsia="仿宋" w:cs="仿宋"/>
                <w:spacing w:val="8"/>
                <w:sz w:val="23"/>
                <w:szCs w:val="23"/>
                <w:highlight w:val="none"/>
              </w:rPr>
              <w:t>供服务的</w:t>
            </w:r>
            <w:r>
              <w:rPr>
                <w:rFonts w:hint="eastAsia" w:ascii="仿宋" w:hAnsi="仿宋" w:eastAsia="仿宋" w:cs="仿宋"/>
                <w:spacing w:val="7"/>
                <w:sz w:val="23"/>
                <w:szCs w:val="23"/>
                <w:highlight w:val="none"/>
              </w:rPr>
              <w:t>满意</w:t>
            </w:r>
            <w:r>
              <w:rPr>
                <w:rFonts w:hint="eastAsia" w:ascii="仿宋" w:hAnsi="仿宋" w:eastAsia="仿宋" w:cs="仿宋"/>
                <w:spacing w:val="6"/>
                <w:sz w:val="23"/>
                <w:szCs w:val="23"/>
                <w:highlight w:val="none"/>
              </w:rPr>
              <w:t>度</w:t>
            </w:r>
          </w:p>
        </w:tc>
        <w:tc>
          <w:tcPr>
            <w:tcW w:w="2680" w:type="dxa"/>
            <w:noWrap w:val="0"/>
            <w:vAlign w:val="center"/>
          </w:tcPr>
          <w:p>
            <w:pPr>
              <w:pageBreakBefore w:val="0"/>
              <w:kinsoku/>
              <w:overflowPunct/>
              <w:bidi w:val="0"/>
              <w:spacing w:before="0" w:line="360" w:lineRule="auto"/>
              <w:ind w:left="7" w:right="4"/>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满意度达到</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90%（含 90%</w:t>
            </w:r>
            <w:r>
              <w:rPr>
                <w:rFonts w:hint="eastAsia" w:ascii="仿宋" w:hAnsi="仿宋" w:eastAsia="仿宋" w:cs="仿宋"/>
                <w:spacing w:val="-30"/>
                <w:sz w:val="23"/>
                <w:szCs w:val="23"/>
                <w:highlight w:val="none"/>
              </w:rPr>
              <w:t>）</w:t>
            </w:r>
            <w:r>
              <w:rPr>
                <w:rFonts w:hint="eastAsia" w:ascii="仿宋" w:hAnsi="仿宋" w:eastAsia="仿宋" w:cs="仿宋"/>
                <w:sz w:val="23"/>
                <w:szCs w:val="23"/>
                <w:highlight w:val="none"/>
              </w:rPr>
              <w:t xml:space="preserve"> </w:t>
            </w:r>
            <w:r>
              <w:rPr>
                <w:rFonts w:hint="eastAsia" w:ascii="仿宋" w:hAnsi="仿宋" w:eastAsia="仿宋" w:cs="仿宋"/>
                <w:spacing w:val="1"/>
                <w:sz w:val="23"/>
                <w:szCs w:val="23"/>
                <w:highlight w:val="none"/>
              </w:rPr>
              <w:t>以上，得满分，依</w:t>
            </w:r>
            <w:r>
              <w:rPr>
                <w:rFonts w:hint="eastAsia" w:ascii="仿宋" w:hAnsi="仿宋" w:eastAsia="仿宋" w:cs="仿宋"/>
                <w:sz w:val="23"/>
                <w:szCs w:val="23"/>
                <w:highlight w:val="none"/>
              </w:rPr>
              <w:t xml:space="preserve">次每降低 </w:t>
            </w:r>
            <w:r>
              <w:rPr>
                <w:rFonts w:hint="eastAsia" w:ascii="仿宋" w:hAnsi="仿宋" w:eastAsia="仿宋" w:cs="仿宋"/>
                <w:spacing w:val="-2"/>
                <w:sz w:val="23"/>
                <w:szCs w:val="23"/>
                <w:highlight w:val="none"/>
              </w:rPr>
              <w:t>1</w:t>
            </w:r>
            <w:r>
              <w:rPr>
                <w:rFonts w:hint="eastAsia" w:ascii="仿宋" w:hAnsi="仿宋" w:eastAsia="仿宋" w:cs="仿宋"/>
                <w:spacing w:val="-25"/>
                <w:sz w:val="23"/>
                <w:szCs w:val="23"/>
                <w:highlight w:val="none"/>
              </w:rPr>
              <w:t xml:space="preserve"> </w:t>
            </w:r>
            <w:r>
              <w:rPr>
                <w:rFonts w:hint="eastAsia" w:ascii="仿宋" w:hAnsi="仿宋" w:eastAsia="仿宋" w:cs="仿宋"/>
                <w:spacing w:val="-3"/>
                <w:sz w:val="23"/>
                <w:szCs w:val="23"/>
                <w:highlight w:val="none"/>
              </w:rPr>
              <w:t>个百分点扣</w:t>
            </w:r>
            <w:r>
              <w:rPr>
                <w:rFonts w:hint="eastAsia" w:ascii="仿宋" w:hAnsi="仿宋" w:eastAsia="仿宋" w:cs="仿宋"/>
                <w:spacing w:val="-25"/>
                <w:sz w:val="23"/>
                <w:szCs w:val="23"/>
                <w:highlight w:val="none"/>
              </w:rPr>
              <w:t xml:space="preserve"> </w:t>
            </w:r>
            <w:r>
              <w:rPr>
                <w:rFonts w:hint="eastAsia" w:ascii="仿宋" w:hAnsi="仿宋" w:eastAsia="仿宋" w:cs="仿宋"/>
                <w:spacing w:val="-2"/>
                <w:sz w:val="23"/>
                <w:szCs w:val="23"/>
                <w:highlight w:val="none"/>
              </w:rPr>
              <w:t>0.1</w:t>
            </w:r>
            <w:r>
              <w:rPr>
                <w:rFonts w:hint="eastAsia" w:ascii="仿宋" w:hAnsi="仿宋" w:eastAsia="仿宋" w:cs="仿宋"/>
                <w:spacing w:val="-25"/>
                <w:sz w:val="23"/>
                <w:szCs w:val="23"/>
                <w:highlight w:val="none"/>
              </w:rPr>
              <w:t xml:space="preserve"> </w:t>
            </w:r>
            <w:r>
              <w:rPr>
                <w:rFonts w:hint="eastAsia" w:ascii="仿宋" w:hAnsi="仿宋" w:eastAsia="仿宋" w:cs="仿宋"/>
                <w:spacing w:val="-3"/>
                <w:sz w:val="23"/>
                <w:szCs w:val="23"/>
                <w:highlight w:val="none"/>
              </w:rPr>
              <w:t>分</w:t>
            </w:r>
            <w:r>
              <w:rPr>
                <w:rFonts w:hint="eastAsia" w:ascii="仿宋" w:hAnsi="仿宋" w:eastAsia="仿宋" w:cs="仿宋"/>
                <w:spacing w:val="-2"/>
                <w:sz w:val="23"/>
                <w:szCs w:val="23"/>
                <w:highlight w:val="none"/>
              </w:rPr>
              <w:t>（参加</w:t>
            </w:r>
            <w:r>
              <w:rPr>
                <w:rFonts w:hint="eastAsia" w:ascii="仿宋" w:hAnsi="仿宋" w:eastAsia="仿宋" w:cs="仿宋"/>
                <w:sz w:val="23"/>
                <w:szCs w:val="23"/>
                <w:highlight w:val="none"/>
              </w:rPr>
              <w:t xml:space="preserve"> 测评人数为</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50 人</w:t>
            </w:r>
            <w:r>
              <w:rPr>
                <w:rFonts w:hint="eastAsia" w:ascii="仿宋" w:hAnsi="仿宋" w:eastAsia="仿宋" w:cs="仿宋"/>
                <w:spacing w:val="-19"/>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0"/>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4</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4" w:hRule="atLeast"/>
          <w:jc w:val="center"/>
        </w:trPr>
        <w:tc>
          <w:tcPr>
            <w:tcW w:w="1167" w:type="dxa"/>
            <w:gridSpan w:val="2"/>
            <w:vMerge w:val="continue"/>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36"/>
              <w:jc w:val="center"/>
              <w:rPr>
                <w:rFonts w:hint="eastAsia" w:ascii="仿宋" w:hAnsi="仿宋" w:eastAsia="仿宋" w:cs="仿宋"/>
                <w:sz w:val="23"/>
                <w:szCs w:val="23"/>
                <w:highlight w:val="none"/>
              </w:rPr>
            </w:pPr>
            <w:r>
              <w:rPr>
                <w:rFonts w:hint="eastAsia" w:ascii="仿宋" w:hAnsi="仿宋" w:eastAsia="仿宋" w:cs="仿宋"/>
                <w:spacing w:val="-2"/>
                <w:sz w:val="23"/>
                <w:szCs w:val="23"/>
                <w:highlight w:val="none"/>
              </w:rPr>
              <w:t>2</w:t>
            </w:r>
            <w:r>
              <w:rPr>
                <w:rFonts w:hint="eastAsia" w:ascii="仿宋" w:hAnsi="仿宋" w:eastAsia="仿宋" w:cs="仿宋"/>
                <w:spacing w:val="-1"/>
                <w:sz w:val="23"/>
                <w:szCs w:val="23"/>
                <w:highlight w:val="none"/>
              </w:rPr>
              <w:t>2</w:t>
            </w:r>
          </w:p>
        </w:tc>
        <w:tc>
          <w:tcPr>
            <w:tcW w:w="1787"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6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服务区域内</w:t>
            </w:r>
          </w:p>
          <w:p>
            <w:pPr>
              <w:pageBreakBefore w:val="0"/>
              <w:kinsoku/>
              <w:overflowPunct/>
              <w:bidi w:val="0"/>
              <w:spacing w:before="0" w:line="360" w:lineRule="auto"/>
              <w:ind w:firstLine="61"/>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有关单位</w:t>
            </w:r>
            <w:r>
              <w:rPr>
                <w:rFonts w:hint="eastAsia" w:ascii="仿宋" w:hAnsi="仿宋" w:eastAsia="仿宋" w:cs="仿宋"/>
                <w:spacing w:val="7"/>
                <w:sz w:val="23"/>
                <w:szCs w:val="23"/>
                <w:highlight w:val="none"/>
              </w:rPr>
              <w:t>对</w:t>
            </w:r>
          </w:p>
          <w:p>
            <w:pPr>
              <w:pageBreakBefore w:val="0"/>
              <w:kinsoku/>
              <w:overflowPunct/>
              <w:bidi w:val="0"/>
              <w:spacing w:before="0" w:line="360" w:lineRule="auto"/>
              <w:ind w:firstLine="6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服务提供机</w:t>
            </w:r>
          </w:p>
          <w:p>
            <w:pPr>
              <w:pageBreakBefore w:val="0"/>
              <w:kinsoku/>
              <w:overflowPunct/>
              <w:bidi w:val="0"/>
              <w:spacing w:before="0" w:line="360" w:lineRule="auto"/>
              <w:ind w:firstLine="63"/>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构服</w:t>
            </w:r>
            <w:r>
              <w:rPr>
                <w:rFonts w:hint="eastAsia" w:ascii="仿宋" w:hAnsi="仿宋" w:eastAsia="仿宋" w:cs="仿宋"/>
                <w:spacing w:val="7"/>
                <w:sz w:val="23"/>
                <w:szCs w:val="23"/>
                <w:highlight w:val="none"/>
              </w:rPr>
              <w:t>务工作</w:t>
            </w:r>
          </w:p>
          <w:p>
            <w:pPr>
              <w:pageBreakBefore w:val="0"/>
              <w:kinsoku/>
              <w:overflowPunct/>
              <w:bidi w:val="0"/>
              <w:spacing w:before="0" w:line="360" w:lineRule="auto"/>
              <w:ind w:firstLine="200"/>
              <w:jc w:val="center"/>
              <w:rPr>
                <w:rFonts w:hint="eastAsia" w:ascii="仿宋" w:hAnsi="仿宋" w:eastAsia="仿宋" w:cs="仿宋"/>
                <w:sz w:val="23"/>
                <w:szCs w:val="23"/>
                <w:highlight w:val="none"/>
              </w:rPr>
            </w:pPr>
            <w:r>
              <w:rPr>
                <w:rFonts w:hint="eastAsia" w:ascii="仿宋" w:hAnsi="仿宋" w:eastAsia="仿宋" w:cs="仿宋"/>
                <w:spacing w:val="3"/>
                <w:sz w:val="23"/>
                <w:szCs w:val="23"/>
                <w:highlight w:val="none"/>
              </w:rPr>
              <w:t>的认</w:t>
            </w:r>
            <w:r>
              <w:rPr>
                <w:rFonts w:hint="eastAsia" w:ascii="仿宋" w:hAnsi="仿宋" w:eastAsia="仿宋" w:cs="仿宋"/>
                <w:spacing w:val="2"/>
                <w:sz w:val="23"/>
                <w:szCs w:val="23"/>
                <w:highlight w:val="none"/>
              </w:rPr>
              <w:t>可度</w:t>
            </w:r>
          </w:p>
        </w:tc>
        <w:tc>
          <w:tcPr>
            <w:tcW w:w="2680" w:type="dxa"/>
            <w:noWrap w:val="0"/>
            <w:vAlign w:val="center"/>
          </w:tcPr>
          <w:p>
            <w:pPr>
              <w:pageBreakBefore w:val="0"/>
              <w:kinsoku/>
              <w:overflowPunct/>
              <w:bidi w:val="0"/>
              <w:spacing w:before="0" w:line="360" w:lineRule="auto"/>
              <w:ind w:left="7"/>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90%（含</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90%</w:t>
            </w:r>
            <w:r>
              <w:rPr>
                <w:rFonts w:hint="eastAsia" w:ascii="仿宋" w:hAnsi="仿宋" w:eastAsia="仿宋" w:cs="仿宋"/>
                <w:spacing w:val="-11"/>
                <w:sz w:val="23"/>
                <w:szCs w:val="23"/>
                <w:highlight w:val="none"/>
              </w:rPr>
              <w:t>）</w:t>
            </w:r>
            <w:r>
              <w:rPr>
                <w:rFonts w:hint="eastAsia" w:ascii="仿宋" w:hAnsi="仿宋" w:eastAsia="仿宋" w:cs="仿宋"/>
                <w:sz w:val="23"/>
                <w:szCs w:val="23"/>
                <w:highlight w:val="none"/>
              </w:rPr>
              <w:t>以上单位认同的</w:t>
            </w:r>
            <w:r>
              <w:rPr>
                <w:rFonts w:hint="eastAsia" w:ascii="仿宋" w:hAnsi="仿宋" w:eastAsia="仿宋" w:cs="仿宋"/>
                <w:spacing w:val="-81"/>
                <w:sz w:val="23"/>
                <w:szCs w:val="23"/>
                <w:highlight w:val="none"/>
              </w:rPr>
              <w:t>，</w:t>
            </w:r>
            <w:r>
              <w:rPr>
                <w:rFonts w:hint="eastAsia" w:ascii="仿宋" w:hAnsi="仿宋" w:eastAsia="仿宋" w:cs="仿宋"/>
                <w:sz w:val="23"/>
                <w:szCs w:val="23"/>
                <w:highlight w:val="none"/>
              </w:rPr>
              <w:t>得</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4</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分</w:t>
            </w:r>
            <w:r>
              <w:rPr>
                <w:rFonts w:hint="eastAsia" w:ascii="仿宋" w:hAnsi="仿宋" w:eastAsia="仿宋" w:cs="仿宋"/>
                <w:spacing w:val="-81"/>
                <w:sz w:val="23"/>
                <w:szCs w:val="23"/>
                <w:highlight w:val="none"/>
              </w:rPr>
              <w:t>；</w:t>
            </w:r>
            <w:r>
              <w:rPr>
                <w:rFonts w:hint="eastAsia" w:ascii="仿宋" w:hAnsi="仿宋" w:eastAsia="仿宋" w:cs="仿宋"/>
                <w:sz w:val="23"/>
                <w:szCs w:val="23"/>
                <w:highlight w:val="none"/>
              </w:rPr>
              <w:t>90-70%（含 70%</w:t>
            </w:r>
            <w:r>
              <w:rPr>
                <w:rFonts w:hint="eastAsia" w:ascii="仿宋" w:hAnsi="仿宋" w:eastAsia="仿宋" w:cs="仿宋"/>
                <w:spacing w:val="-72"/>
                <w:sz w:val="23"/>
                <w:szCs w:val="23"/>
                <w:highlight w:val="none"/>
              </w:rPr>
              <w:t>）</w:t>
            </w:r>
            <w:r>
              <w:rPr>
                <w:rFonts w:hint="eastAsia" w:ascii="仿宋" w:hAnsi="仿宋" w:eastAsia="仿宋" w:cs="仿宋"/>
                <w:sz w:val="23"/>
                <w:szCs w:val="23"/>
                <w:highlight w:val="none"/>
              </w:rPr>
              <w:t>单位认同的</w:t>
            </w:r>
            <w:r>
              <w:rPr>
                <w:rFonts w:hint="eastAsia" w:ascii="仿宋" w:hAnsi="仿宋" w:eastAsia="仿宋" w:cs="仿宋"/>
                <w:spacing w:val="-72"/>
                <w:sz w:val="23"/>
                <w:szCs w:val="23"/>
                <w:highlight w:val="none"/>
              </w:rPr>
              <w:t>，</w:t>
            </w:r>
            <w:r>
              <w:rPr>
                <w:rFonts w:hint="eastAsia" w:ascii="仿宋" w:hAnsi="仿宋" w:eastAsia="仿宋" w:cs="仿宋"/>
                <w:sz w:val="23"/>
                <w:szCs w:val="23"/>
                <w:highlight w:val="none"/>
              </w:rPr>
              <w:t>得 2 分</w:t>
            </w:r>
            <w:r>
              <w:rPr>
                <w:rFonts w:hint="eastAsia" w:ascii="仿宋" w:hAnsi="仿宋" w:eastAsia="仿宋" w:cs="仿宋"/>
                <w:spacing w:val="-72"/>
                <w:sz w:val="23"/>
                <w:szCs w:val="23"/>
                <w:highlight w:val="none"/>
              </w:rPr>
              <w:t>；</w:t>
            </w:r>
            <w:r>
              <w:rPr>
                <w:rFonts w:hint="eastAsia" w:ascii="仿宋" w:hAnsi="仿宋" w:eastAsia="仿宋" w:cs="仿宋"/>
                <w:sz w:val="23"/>
                <w:szCs w:val="23"/>
                <w:highlight w:val="none"/>
              </w:rPr>
              <w:t xml:space="preserve"> 60-70%（含</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60%</w:t>
            </w:r>
            <w:r>
              <w:rPr>
                <w:rFonts w:hint="eastAsia" w:ascii="仿宋" w:hAnsi="仿宋" w:eastAsia="仿宋" w:cs="仿宋"/>
                <w:spacing w:val="-48"/>
                <w:sz w:val="23"/>
                <w:szCs w:val="23"/>
                <w:highlight w:val="none"/>
              </w:rPr>
              <w:t>）</w:t>
            </w:r>
            <w:r>
              <w:rPr>
                <w:rFonts w:hint="eastAsia" w:ascii="仿宋" w:hAnsi="仿宋" w:eastAsia="仿宋" w:cs="仿宋"/>
                <w:sz w:val="23"/>
                <w:szCs w:val="23"/>
                <w:highlight w:val="none"/>
              </w:rPr>
              <w:t>单位认同 的</w:t>
            </w:r>
            <w:r>
              <w:rPr>
                <w:rFonts w:hint="eastAsia" w:ascii="仿宋" w:hAnsi="仿宋" w:eastAsia="仿宋" w:cs="仿宋"/>
                <w:spacing w:val="-110"/>
                <w:sz w:val="23"/>
                <w:szCs w:val="23"/>
                <w:highlight w:val="none"/>
              </w:rPr>
              <w:t>，</w:t>
            </w:r>
            <w:r>
              <w:rPr>
                <w:rFonts w:hint="eastAsia" w:ascii="仿宋" w:hAnsi="仿宋" w:eastAsia="仿宋" w:cs="仿宋"/>
                <w:sz w:val="23"/>
                <w:szCs w:val="23"/>
                <w:highlight w:val="none"/>
              </w:rPr>
              <w:t>得</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0.5 分</w:t>
            </w:r>
            <w:r>
              <w:rPr>
                <w:rFonts w:hint="eastAsia" w:ascii="仿宋" w:hAnsi="仿宋" w:eastAsia="仿宋" w:cs="仿宋"/>
                <w:spacing w:val="-110"/>
                <w:sz w:val="23"/>
                <w:szCs w:val="23"/>
                <w:highlight w:val="none"/>
              </w:rPr>
              <w:t>；</w:t>
            </w:r>
            <w:r>
              <w:rPr>
                <w:rFonts w:hint="eastAsia" w:ascii="仿宋" w:hAnsi="仿宋" w:eastAsia="仿宋" w:cs="仿宋"/>
                <w:sz w:val="23"/>
                <w:szCs w:val="23"/>
                <w:highlight w:val="none"/>
              </w:rPr>
              <w:t>低于 60%的</w:t>
            </w:r>
            <w:r>
              <w:rPr>
                <w:rFonts w:hint="eastAsia" w:ascii="仿宋" w:hAnsi="仿宋" w:eastAsia="仿宋" w:cs="仿宋"/>
                <w:spacing w:val="-110"/>
                <w:sz w:val="23"/>
                <w:szCs w:val="23"/>
                <w:highlight w:val="none"/>
              </w:rPr>
              <w:t>，</w:t>
            </w:r>
            <w:r>
              <w:rPr>
                <w:rFonts w:hint="eastAsia" w:ascii="仿宋" w:hAnsi="仿宋" w:eastAsia="仿宋" w:cs="仿宋"/>
                <w:sz w:val="23"/>
                <w:szCs w:val="23"/>
                <w:highlight w:val="none"/>
              </w:rPr>
              <w:t xml:space="preserve"> 不得分</w:t>
            </w:r>
            <w:r>
              <w:rPr>
                <w:rFonts w:hint="eastAsia" w:ascii="仿宋" w:hAnsi="仿宋" w:eastAsia="仿宋" w:cs="仿宋"/>
                <w:spacing w:val="-67"/>
                <w:sz w:val="23"/>
                <w:szCs w:val="23"/>
                <w:highlight w:val="none"/>
              </w:rPr>
              <w:t>。</w:t>
            </w:r>
            <w:r>
              <w:rPr>
                <w:rFonts w:hint="eastAsia" w:ascii="仿宋" w:hAnsi="仿宋" w:eastAsia="仿宋" w:cs="仿宋"/>
                <w:spacing w:val="-115"/>
                <w:sz w:val="23"/>
                <w:szCs w:val="23"/>
                <w:highlight w:val="none"/>
              </w:rPr>
              <w:t xml:space="preserve">  </w:t>
            </w:r>
            <w:r>
              <w:rPr>
                <w:rFonts w:hint="eastAsia" w:ascii="仿宋" w:hAnsi="仿宋" w:eastAsia="仿宋" w:cs="仿宋"/>
                <w:sz w:val="23"/>
                <w:szCs w:val="23"/>
                <w:highlight w:val="none"/>
              </w:rPr>
              <w:t>（不少于10家单 位</w:t>
            </w:r>
            <w:r>
              <w:rPr>
                <w:rFonts w:hint="eastAsia" w:ascii="仿宋" w:hAnsi="仿宋" w:eastAsia="仿宋" w:cs="仿宋"/>
                <w:spacing w:val="-5"/>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0"/>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4</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6" w:hRule="atLeast"/>
          <w:jc w:val="center"/>
        </w:trPr>
        <w:tc>
          <w:tcPr>
            <w:tcW w:w="1167" w:type="dxa"/>
            <w:gridSpan w:val="2"/>
            <w:vMerge w:val="restart"/>
            <w:tcBorders>
              <w:top w:val="nil"/>
              <w:left w:val="single" w:color="000000" w:sz="6" w:space="0"/>
              <w:bottom w:val="nil"/>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36"/>
              <w:jc w:val="center"/>
              <w:rPr>
                <w:rFonts w:hint="eastAsia" w:ascii="仿宋" w:hAnsi="仿宋" w:eastAsia="仿宋" w:cs="仿宋"/>
                <w:sz w:val="23"/>
                <w:szCs w:val="23"/>
                <w:highlight w:val="none"/>
              </w:rPr>
            </w:pPr>
            <w:r>
              <w:rPr>
                <w:rFonts w:hint="eastAsia" w:ascii="仿宋" w:hAnsi="仿宋" w:eastAsia="仿宋" w:cs="仿宋"/>
                <w:spacing w:val="-2"/>
                <w:sz w:val="23"/>
                <w:szCs w:val="23"/>
                <w:highlight w:val="none"/>
              </w:rPr>
              <w:t>2</w:t>
            </w:r>
            <w:r>
              <w:rPr>
                <w:rFonts w:hint="eastAsia" w:ascii="仿宋" w:hAnsi="仿宋" w:eastAsia="仿宋" w:cs="仿宋"/>
                <w:spacing w:val="-1"/>
                <w:sz w:val="23"/>
                <w:szCs w:val="23"/>
                <w:highlight w:val="none"/>
              </w:rPr>
              <w:t>3</w:t>
            </w:r>
          </w:p>
        </w:tc>
        <w:tc>
          <w:tcPr>
            <w:tcW w:w="1787" w:type="dxa"/>
            <w:noWrap w:val="0"/>
            <w:vAlign w:val="center"/>
          </w:tcPr>
          <w:p>
            <w:pPr>
              <w:pageBreakBefore w:val="0"/>
              <w:kinsoku/>
              <w:overflowPunct/>
              <w:bidi w:val="0"/>
              <w:spacing w:before="0" w:line="360" w:lineRule="auto"/>
              <w:ind w:firstLine="60"/>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群众对服务</w:t>
            </w:r>
          </w:p>
          <w:p>
            <w:pPr>
              <w:pageBreakBefore w:val="0"/>
              <w:kinsoku/>
              <w:overflowPunct/>
              <w:bidi w:val="0"/>
              <w:spacing w:before="0" w:line="360" w:lineRule="auto"/>
              <w:ind w:firstLine="61"/>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提供机构</w:t>
            </w:r>
            <w:r>
              <w:rPr>
                <w:rFonts w:hint="eastAsia" w:ascii="仿宋" w:hAnsi="仿宋" w:eastAsia="仿宋" w:cs="仿宋"/>
                <w:spacing w:val="7"/>
                <w:sz w:val="23"/>
                <w:szCs w:val="23"/>
                <w:highlight w:val="none"/>
              </w:rPr>
              <w:t>服</w:t>
            </w:r>
          </w:p>
          <w:p>
            <w:pPr>
              <w:pageBreakBefore w:val="0"/>
              <w:kinsoku/>
              <w:overflowPunct/>
              <w:bidi w:val="0"/>
              <w:spacing w:before="0" w:line="360" w:lineRule="auto"/>
              <w:ind w:firstLine="62"/>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务工作</w:t>
            </w:r>
            <w:r>
              <w:rPr>
                <w:rFonts w:hint="eastAsia" w:ascii="仿宋" w:hAnsi="仿宋" w:eastAsia="仿宋" w:cs="仿宋"/>
                <w:spacing w:val="7"/>
                <w:sz w:val="23"/>
                <w:szCs w:val="23"/>
                <w:highlight w:val="none"/>
              </w:rPr>
              <w:t>的整</w:t>
            </w:r>
          </w:p>
          <w:p>
            <w:pPr>
              <w:pageBreakBefore w:val="0"/>
              <w:kinsoku/>
              <w:overflowPunct/>
              <w:bidi w:val="0"/>
              <w:spacing w:before="0" w:line="360" w:lineRule="auto"/>
              <w:ind w:firstLine="300"/>
              <w:jc w:val="center"/>
              <w:rPr>
                <w:rFonts w:hint="eastAsia" w:ascii="仿宋" w:hAnsi="仿宋" w:eastAsia="仿宋" w:cs="仿宋"/>
                <w:sz w:val="23"/>
                <w:szCs w:val="23"/>
                <w:highlight w:val="none"/>
              </w:rPr>
            </w:pPr>
            <w:r>
              <w:rPr>
                <w:rFonts w:hint="eastAsia" w:ascii="仿宋" w:hAnsi="仿宋" w:eastAsia="仿宋" w:cs="仿宋"/>
                <w:spacing w:val="7"/>
                <w:sz w:val="23"/>
                <w:szCs w:val="23"/>
                <w:highlight w:val="none"/>
              </w:rPr>
              <w:t>体评</w:t>
            </w:r>
            <w:r>
              <w:rPr>
                <w:rFonts w:hint="eastAsia" w:ascii="仿宋" w:hAnsi="仿宋" w:eastAsia="仿宋" w:cs="仿宋"/>
                <w:spacing w:val="6"/>
                <w:sz w:val="23"/>
                <w:szCs w:val="23"/>
                <w:highlight w:val="none"/>
              </w:rPr>
              <w:t>价</w:t>
            </w:r>
          </w:p>
        </w:tc>
        <w:tc>
          <w:tcPr>
            <w:tcW w:w="2680" w:type="dxa"/>
            <w:noWrap w:val="0"/>
            <w:vAlign w:val="center"/>
          </w:tcPr>
          <w:p>
            <w:pPr>
              <w:pageBreakBefore w:val="0"/>
              <w:kinsoku/>
              <w:overflowPunct/>
              <w:bidi w:val="0"/>
              <w:spacing w:before="0" w:line="360" w:lineRule="auto"/>
              <w:ind w:firstLine="14"/>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整体评价结果</w:t>
            </w:r>
            <w:r>
              <w:rPr>
                <w:rFonts w:hint="eastAsia" w:ascii="仿宋" w:hAnsi="仿宋" w:eastAsia="仿宋" w:cs="仿宋"/>
                <w:sz w:val="23"/>
                <w:szCs w:val="23"/>
                <w:highlight w:val="none"/>
              </w:rPr>
              <w:t>为“好”的</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 xml:space="preserve"> 得</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4 分</w:t>
            </w:r>
            <w:r>
              <w:rPr>
                <w:rFonts w:hint="eastAsia" w:ascii="仿宋" w:hAnsi="仿宋" w:eastAsia="仿宋" w:cs="仿宋"/>
                <w:spacing w:val="-68"/>
                <w:sz w:val="23"/>
                <w:szCs w:val="23"/>
                <w:highlight w:val="none"/>
              </w:rPr>
              <w:t>；</w:t>
            </w:r>
            <w:r>
              <w:rPr>
                <w:rFonts w:hint="eastAsia" w:ascii="仿宋" w:hAnsi="仿宋" w:eastAsia="仿宋" w:cs="仿宋"/>
                <w:sz w:val="23"/>
                <w:szCs w:val="23"/>
                <w:highlight w:val="none"/>
              </w:rPr>
              <w:t>“较好”的</w:t>
            </w:r>
            <w:r>
              <w:rPr>
                <w:rFonts w:hint="eastAsia" w:ascii="仿宋" w:hAnsi="仿宋" w:eastAsia="仿宋" w:cs="仿宋"/>
                <w:spacing w:val="-68"/>
                <w:sz w:val="23"/>
                <w:szCs w:val="23"/>
                <w:highlight w:val="none"/>
              </w:rPr>
              <w:t>，</w:t>
            </w:r>
            <w:r>
              <w:rPr>
                <w:rFonts w:hint="eastAsia" w:ascii="仿宋" w:hAnsi="仿宋" w:eastAsia="仿宋" w:cs="仿宋"/>
                <w:sz w:val="23"/>
                <w:szCs w:val="23"/>
                <w:highlight w:val="none"/>
              </w:rPr>
              <w:t>得 3 分</w:t>
            </w:r>
            <w:r>
              <w:rPr>
                <w:rFonts w:hint="eastAsia" w:ascii="仿宋" w:hAnsi="仿宋" w:eastAsia="仿宋" w:cs="仿宋"/>
                <w:spacing w:val="-31"/>
                <w:sz w:val="23"/>
                <w:szCs w:val="23"/>
                <w:highlight w:val="none"/>
              </w:rPr>
              <w:t>；</w:t>
            </w:r>
            <w:r>
              <w:rPr>
                <w:rFonts w:hint="eastAsia" w:ascii="仿宋" w:hAnsi="仿宋" w:eastAsia="仿宋" w:cs="仿宋"/>
                <w:spacing w:val="-115"/>
                <w:sz w:val="23"/>
                <w:szCs w:val="23"/>
                <w:highlight w:val="none"/>
              </w:rPr>
              <w:t xml:space="preserve">  </w:t>
            </w:r>
            <w:r>
              <w:rPr>
                <w:rFonts w:hint="eastAsia" w:ascii="仿宋" w:hAnsi="仿宋" w:eastAsia="仿宋" w:cs="仿宋"/>
                <w:sz w:val="23"/>
                <w:szCs w:val="23"/>
                <w:highlight w:val="none"/>
              </w:rPr>
              <w:t>“一般”的</w:t>
            </w:r>
            <w:r>
              <w:rPr>
                <w:rFonts w:hint="eastAsia" w:ascii="仿宋" w:hAnsi="仿宋" w:eastAsia="仿宋" w:cs="仿宋"/>
                <w:spacing w:val="-31"/>
                <w:sz w:val="23"/>
                <w:szCs w:val="23"/>
                <w:highlight w:val="none"/>
              </w:rPr>
              <w:t>，</w:t>
            </w:r>
            <w:r>
              <w:rPr>
                <w:rFonts w:hint="eastAsia" w:ascii="仿宋" w:hAnsi="仿宋" w:eastAsia="仿宋" w:cs="仿宋"/>
                <w:sz w:val="23"/>
                <w:szCs w:val="23"/>
                <w:highlight w:val="none"/>
              </w:rPr>
              <w:t>得 2 分</w:t>
            </w:r>
            <w:r>
              <w:rPr>
                <w:rFonts w:hint="eastAsia" w:ascii="仿宋" w:hAnsi="仿宋" w:eastAsia="仿宋" w:cs="仿宋"/>
                <w:spacing w:val="-31"/>
                <w:sz w:val="23"/>
                <w:szCs w:val="23"/>
                <w:highlight w:val="none"/>
              </w:rPr>
              <w:t>；</w:t>
            </w:r>
            <w:r>
              <w:rPr>
                <w:rFonts w:hint="eastAsia" w:ascii="仿宋" w:hAnsi="仿宋" w:eastAsia="仿宋" w:cs="仿宋"/>
                <w:sz w:val="23"/>
                <w:szCs w:val="23"/>
                <w:highlight w:val="none"/>
              </w:rPr>
              <w:t xml:space="preserve"> </w:t>
            </w:r>
            <w:r>
              <w:rPr>
                <w:rFonts w:hint="eastAsia" w:ascii="仿宋" w:hAnsi="仿宋" w:eastAsia="仿宋" w:cs="仿宋"/>
                <w:spacing w:val="6"/>
                <w:sz w:val="23"/>
                <w:szCs w:val="23"/>
                <w:highlight w:val="none"/>
              </w:rPr>
              <w:t>“差”</w:t>
            </w:r>
            <w:r>
              <w:rPr>
                <w:rFonts w:hint="eastAsia" w:ascii="仿宋" w:hAnsi="仿宋" w:eastAsia="仿宋" w:cs="仿宋"/>
                <w:spacing w:val="5"/>
                <w:sz w:val="23"/>
                <w:szCs w:val="23"/>
                <w:highlight w:val="none"/>
              </w:rPr>
              <w:t>的</w:t>
            </w:r>
            <w:r>
              <w:rPr>
                <w:rFonts w:hint="eastAsia" w:ascii="仿宋" w:hAnsi="仿宋" w:eastAsia="仿宋" w:cs="仿宋"/>
                <w:spacing w:val="8"/>
                <w:sz w:val="23"/>
                <w:szCs w:val="23"/>
                <w:highlight w:val="none"/>
              </w:rPr>
              <w:t>，</w:t>
            </w:r>
            <w:r>
              <w:rPr>
                <w:rFonts w:hint="eastAsia" w:ascii="仿宋" w:hAnsi="仿宋" w:eastAsia="仿宋" w:cs="仿宋"/>
                <w:spacing w:val="5"/>
                <w:sz w:val="23"/>
                <w:szCs w:val="23"/>
                <w:highlight w:val="none"/>
              </w:rPr>
              <w:t>不得分</w:t>
            </w:r>
            <w:r>
              <w:rPr>
                <w:rFonts w:hint="eastAsia" w:ascii="仿宋" w:hAnsi="仿宋" w:eastAsia="仿宋" w:cs="仿宋"/>
                <w:spacing w:val="8"/>
                <w:sz w:val="23"/>
                <w:szCs w:val="23"/>
                <w:highlight w:val="none"/>
              </w:rPr>
              <w:t>。</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0"/>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4</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8" w:hRule="atLeast"/>
          <w:jc w:val="center"/>
        </w:trPr>
        <w:tc>
          <w:tcPr>
            <w:tcW w:w="1167" w:type="dxa"/>
            <w:gridSpan w:val="2"/>
            <w:vMerge w:val="continue"/>
            <w:tcBorders>
              <w:top w:val="nil"/>
              <w:left w:val="single" w:color="000000" w:sz="6" w:space="0"/>
            </w:tcBorders>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924"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136"/>
              <w:jc w:val="center"/>
              <w:rPr>
                <w:rFonts w:hint="eastAsia" w:ascii="仿宋" w:hAnsi="仿宋" w:eastAsia="仿宋" w:cs="仿宋"/>
                <w:sz w:val="23"/>
                <w:szCs w:val="23"/>
                <w:highlight w:val="none"/>
              </w:rPr>
            </w:pPr>
            <w:r>
              <w:rPr>
                <w:rFonts w:hint="eastAsia" w:ascii="仿宋" w:hAnsi="仿宋" w:eastAsia="仿宋" w:cs="仿宋"/>
                <w:spacing w:val="-2"/>
                <w:sz w:val="23"/>
                <w:szCs w:val="23"/>
                <w:highlight w:val="none"/>
              </w:rPr>
              <w:t>2</w:t>
            </w:r>
            <w:r>
              <w:rPr>
                <w:rFonts w:hint="eastAsia" w:ascii="仿宋" w:hAnsi="仿宋" w:eastAsia="仿宋" w:cs="仿宋"/>
                <w:spacing w:val="-1"/>
                <w:sz w:val="23"/>
                <w:szCs w:val="23"/>
                <w:highlight w:val="none"/>
              </w:rPr>
              <w:t>4</w:t>
            </w:r>
          </w:p>
        </w:tc>
        <w:tc>
          <w:tcPr>
            <w:tcW w:w="1787" w:type="dxa"/>
            <w:noWrap w:val="0"/>
            <w:vAlign w:val="center"/>
          </w:tcPr>
          <w:p>
            <w:pPr>
              <w:pageBreakBefore w:val="0"/>
              <w:kinsoku/>
              <w:overflowPunct/>
              <w:bidi w:val="0"/>
              <w:spacing w:before="0" w:line="360" w:lineRule="auto"/>
              <w:ind w:left="60" w:right="63"/>
              <w:jc w:val="center"/>
              <w:rPr>
                <w:rFonts w:hint="eastAsia" w:ascii="仿宋" w:hAnsi="仿宋" w:eastAsia="仿宋" w:cs="仿宋"/>
                <w:sz w:val="23"/>
                <w:szCs w:val="23"/>
                <w:highlight w:val="none"/>
              </w:rPr>
            </w:pPr>
            <w:r>
              <w:rPr>
                <w:rFonts w:hint="eastAsia" w:ascii="仿宋" w:hAnsi="仿宋" w:eastAsia="仿宋" w:cs="仿宋"/>
                <w:spacing w:val="8"/>
                <w:sz w:val="23"/>
                <w:szCs w:val="23"/>
                <w:highlight w:val="none"/>
              </w:rPr>
              <w:t>相关社区对</w:t>
            </w:r>
            <w:r>
              <w:rPr>
                <w:rFonts w:hint="eastAsia" w:ascii="仿宋" w:hAnsi="仿宋" w:eastAsia="仿宋" w:cs="仿宋"/>
                <w:sz w:val="23"/>
                <w:szCs w:val="23"/>
                <w:highlight w:val="none"/>
              </w:rPr>
              <w:t xml:space="preserve"> </w:t>
            </w:r>
            <w:r>
              <w:rPr>
                <w:rFonts w:hint="eastAsia" w:ascii="仿宋" w:hAnsi="仿宋" w:eastAsia="仿宋" w:cs="仿宋"/>
                <w:spacing w:val="8"/>
                <w:sz w:val="23"/>
                <w:szCs w:val="23"/>
                <w:highlight w:val="none"/>
              </w:rPr>
              <w:t>服务提供机</w:t>
            </w:r>
            <w:r>
              <w:rPr>
                <w:rFonts w:hint="eastAsia" w:ascii="仿宋" w:hAnsi="仿宋" w:eastAsia="仿宋" w:cs="仿宋"/>
                <w:sz w:val="23"/>
                <w:szCs w:val="23"/>
                <w:highlight w:val="none"/>
              </w:rPr>
              <w:t xml:space="preserve"> </w:t>
            </w:r>
            <w:r>
              <w:rPr>
                <w:rFonts w:hint="eastAsia" w:ascii="仿宋" w:hAnsi="仿宋" w:eastAsia="仿宋" w:cs="仿宋"/>
                <w:spacing w:val="8"/>
                <w:sz w:val="23"/>
                <w:szCs w:val="23"/>
                <w:highlight w:val="none"/>
              </w:rPr>
              <w:t>构服务工作</w:t>
            </w:r>
            <w:r>
              <w:rPr>
                <w:rFonts w:hint="eastAsia" w:ascii="仿宋" w:hAnsi="仿宋" w:eastAsia="仿宋" w:cs="仿宋"/>
                <w:sz w:val="23"/>
                <w:szCs w:val="23"/>
                <w:highlight w:val="none"/>
              </w:rPr>
              <w:t xml:space="preserve"> </w:t>
            </w:r>
            <w:r>
              <w:rPr>
                <w:rFonts w:hint="eastAsia" w:ascii="仿宋" w:hAnsi="仿宋" w:eastAsia="仿宋" w:cs="仿宋"/>
                <w:spacing w:val="8"/>
                <w:sz w:val="23"/>
                <w:szCs w:val="23"/>
                <w:highlight w:val="none"/>
              </w:rPr>
              <w:t>的整体评价</w:t>
            </w:r>
          </w:p>
        </w:tc>
        <w:tc>
          <w:tcPr>
            <w:tcW w:w="2680" w:type="dxa"/>
            <w:noWrap w:val="0"/>
            <w:vAlign w:val="center"/>
          </w:tcPr>
          <w:p>
            <w:pPr>
              <w:pageBreakBefore w:val="0"/>
              <w:kinsoku/>
              <w:overflowPunct/>
              <w:bidi w:val="0"/>
              <w:spacing w:before="0" w:line="360" w:lineRule="auto"/>
              <w:ind w:left="8"/>
              <w:jc w:val="center"/>
              <w:rPr>
                <w:rFonts w:hint="eastAsia" w:ascii="仿宋" w:hAnsi="仿宋" w:eastAsia="仿宋" w:cs="仿宋"/>
                <w:sz w:val="23"/>
                <w:szCs w:val="23"/>
                <w:highlight w:val="none"/>
              </w:rPr>
            </w:pPr>
            <w:r>
              <w:rPr>
                <w:rFonts w:hint="eastAsia" w:ascii="仿宋" w:hAnsi="仿宋" w:eastAsia="仿宋" w:cs="仿宋"/>
                <w:spacing w:val="1"/>
                <w:sz w:val="23"/>
                <w:szCs w:val="23"/>
                <w:highlight w:val="none"/>
              </w:rPr>
              <w:t>整体评价结果为“好”的</w:t>
            </w:r>
            <w:r>
              <w:rPr>
                <w:rFonts w:hint="eastAsia" w:ascii="仿宋" w:hAnsi="仿宋" w:eastAsia="仿宋" w:cs="仿宋"/>
                <w:spacing w:val="2"/>
                <w:sz w:val="23"/>
                <w:szCs w:val="23"/>
                <w:highlight w:val="none"/>
              </w:rPr>
              <w:t>，</w:t>
            </w:r>
            <w:r>
              <w:rPr>
                <w:rFonts w:hint="eastAsia" w:ascii="仿宋" w:hAnsi="仿宋" w:eastAsia="仿宋" w:cs="仿宋"/>
                <w:sz w:val="23"/>
                <w:szCs w:val="23"/>
                <w:highlight w:val="none"/>
              </w:rPr>
              <w:t xml:space="preserve"> 得满分</w:t>
            </w:r>
            <w:r>
              <w:rPr>
                <w:rFonts w:hint="eastAsia" w:ascii="仿宋" w:hAnsi="仿宋" w:eastAsia="仿宋" w:cs="仿宋"/>
                <w:spacing w:val="-15"/>
                <w:sz w:val="23"/>
                <w:szCs w:val="23"/>
                <w:highlight w:val="none"/>
              </w:rPr>
              <w:t>；</w:t>
            </w:r>
            <w:r>
              <w:rPr>
                <w:rFonts w:hint="eastAsia" w:ascii="仿宋" w:hAnsi="仿宋" w:eastAsia="仿宋" w:cs="仿宋"/>
                <w:sz w:val="23"/>
                <w:szCs w:val="23"/>
                <w:highlight w:val="none"/>
              </w:rPr>
              <w:t>“较好”的</w:t>
            </w:r>
            <w:r>
              <w:rPr>
                <w:rFonts w:hint="eastAsia" w:ascii="仿宋" w:hAnsi="仿宋" w:eastAsia="仿宋" w:cs="仿宋"/>
                <w:spacing w:val="-15"/>
                <w:sz w:val="23"/>
                <w:szCs w:val="23"/>
                <w:highlight w:val="none"/>
              </w:rPr>
              <w:t>，</w:t>
            </w:r>
            <w:r>
              <w:rPr>
                <w:rFonts w:hint="eastAsia" w:ascii="仿宋" w:hAnsi="仿宋" w:eastAsia="仿宋" w:cs="仿宋"/>
                <w:sz w:val="23"/>
                <w:szCs w:val="23"/>
                <w:highlight w:val="none"/>
              </w:rPr>
              <w:t>得</w:t>
            </w:r>
            <w:r>
              <w:rPr>
                <w:rFonts w:hint="eastAsia" w:ascii="仿宋" w:hAnsi="仿宋" w:eastAsia="仿宋" w:cs="仿宋"/>
                <w:spacing w:val="-1"/>
                <w:sz w:val="23"/>
                <w:szCs w:val="23"/>
                <w:highlight w:val="none"/>
              </w:rPr>
              <w:t xml:space="preserve"> </w:t>
            </w:r>
            <w:r>
              <w:rPr>
                <w:rFonts w:hint="eastAsia" w:ascii="仿宋" w:hAnsi="仿宋" w:eastAsia="仿宋" w:cs="仿宋"/>
                <w:sz w:val="23"/>
                <w:szCs w:val="23"/>
                <w:highlight w:val="none"/>
              </w:rPr>
              <w:t>1 分</w:t>
            </w:r>
            <w:r>
              <w:rPr>
                <w:rFonts w:hint="eastAsia" w:ascii="仿宋" w:hAnsi="仿宋" w:eastAsia="仿宋" w:cs="仿宋"/>
                <w:spacing w:val="-1"/>
                <w:sz w:val="23"/>
                <w:szCs w:val="23"/>
                <w:highlight w:val="none"/>
              </w:rPr>
              <w:t>；</w:t>
            </w:r>
            <w:r>
              <w:rPr>
                <w:rFonts w:hint="eastAsia" w:ascii="仿宋" w:hAnsi="仿宋" w:eastAsia="仿宋" w:cs="仿宋"/>
                <w:spacing w:val="-113"/>
                <w:sz w:val="23"/>
                <w:szCs w:val="23"/>
                <w:highlight w:val="none"/>
              </w:rPr>
              <w:t xml:space="preserve">  </w:t>
            </w:r>
            <w:r>
              <w:rPr>
                <w:rFonts w:hint="eastAsia" w:ascii="仿宋" w:hAnsi="仿宋" w:eastAsia="仿宋" w:cs="仿宋"/>
                <w:sz w:val="23"/>
                <w:szCs w:val="23"/>
                <w:highlight w:val="none"/>
              </w:rPr>
              <w:t>“一般”的，得 0.5  分</w:t>
            </w:r>
            <w:r>
              <w:rPr>
                <w:rFonts w:hint="eastAsia" w:ascii="仿宋" w:hAnsi="仿宋" w:eastAsia="仿宋" w:cs="仿宋"/>
                <w:spacing w:val="-1"/>
                <w:sz w:val="23"/>
                <w:szCs w:val="23"/>
                <w:highlight w:val="none"/>
              </w:rPr>
              <w:t>；</w:t>
            </w:r>
            <w:r>
              <w:rPr>
                <w:rFonts w:hint="eastAsia" w:ascii="仿宋" w:hAnsi="仿宋" w:eastAsia="仿宋" w:cs="仿宋"/>
                <w:spacing w:val="-86"/>
                <w:sz w:val="23"/>
                <w:szCs w:val="23"/>
                <w:highlight w:val="none"/>
              </w:rPr>
              <w:t xml:space="preserve">  </w:t>
            </w:r>
            <w:r>
              <w:rPr>
                <w:rFonts w:hint="eastAsia" w:ascii="仿宋" w:hAnsi="仿宋" w:eastAsia="仿宋" w:cs="仿宋"/>
                <w:sz w:val="23"/>
                <w:szCs w:val="23"/>
                <w:highlight w:val="none"/>
              </w:rPr>
              <w:t>“差”的</w:t>
            </w:r>
            <w:r>
              <w:rPr>
                <w:rFonts w:hint="eastAsia" w:ascii="仿宋" w:hAnsi="仿宋" w:eastAsia="仿宋" w:cs="仿宋"/>
                <w:spacing w:val="-1"/>
                <w:sz w:val="23"/>
                <w:szCs w:val="23"/>
                <w:highlight w:val="none"/>
              </w:rPr>
              <w:t>，</w:t>
            </w:r>
            <w:r>
              <w:rPr>
                <w:rFonts w:hint="eastAsia" w:ascii="仿宋" w:hAnsi="仿宋" w:eastAsia="仿宋" w:cs="仿宋"/>
                <w:sz w:val="23"/>
                <w:szCs w:val="23"/>
                <w:highlight w:val="none"/>
              </w:rPr>
              <w:t>不得分。</w:t>
            </w:r>
          </w:p>
        </w:tc>
        <w:tc>
          <w:tcPr>
            <w:tcW w:w="102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line="360" w:lineRule="auto"/>
              <w:jc w:val="center"/>
              <w:rPr>
                <w:rFonts w:hint="eastAsia" w:ascii="仿宋" w:hAnsi="仿宋" w:eastAsia="仿宋" w:cs="仿宋"/>
                <w:sz w:val="21"/>
                <w:highlight w:val="none"/>
              </w:rPr>
            </w:pPr>
          </w:p>
          <w:p>
            <w:pPr>
              <w:pageBreakBefore w:val="0"/>
              <w:kinsoku/>
              <w:overflowPunct/>
              <w:bidi w:val="0"/>
              <w:spacing w:before="0" w:line="360" w:lineRule="auto"/>
              <w:ind w:firstLine="446"/>
              <w:jc w:val="center"/>
              <w:rPr>
                <w:rFonts w:hint="eastAsia" w:ascii="仿宋" w:hAnsi="仿宋" w:eastAsia="仿宋" w:cs="仿宋"/>
                <w:sz w:val="23"/>
                <w:szCs w:val="23"/>
                <w:highlight w:val="none"/>
              </w:rPr>
            </w:pPr>
            <w:r>
              <w:rPr>
                <w:rFonts w:hint="eastAsia" w:ascii="仿宋" w:hAnsi="仿宋" w:eastAsia="仿宋" w:cs="仿宋"/>
                <w:sz w:val="23"/>
                <w:szCs w:val="23"/>
                <w:highlight w:val="none"/>
              </w:rPr>
              <w:t>3</w:t>
            </w:r>
          </w:p>
        </w:tc>
        <w:tc>
          <w:tcPr>
            <w:tcW w:w="889" w:type="dxa"/>
            <w:gridSpan w:val="2"/>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c>
          <w:tcPr>
            <w:tcW w:w="1230" w:type="dxa"/>
            <w:noWrap w:val="0"/>
            <w:vAlign w:val="center"/>
          </w:tcPr>
          <w:p>
            <w:pPr>
              <w:pageBreakBefore w:val="0"/>
              <w:kinsoku/>
              <w:overflowPunct/>
              <w:bidi w:val="0"/>
              <w:spacing w:line="360" w:lineRule="auto"/>
              <w:jc w:val="center"/>
              <w:rPr>
                <w:rFonts w:hint="eastAsia" w:ascii="仿宋" w:hAnsi="仿宋" w:eastAsia="仿宋" w:cs="仿宋"/>
                <w:sz w:val="21"/>
                <w:highlight w:val="none"/>
              </w:rPr>
            </w:pP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ACAFD"/>
    <w:multiLevelType w:val="singleLevel"/>
    <w:tmpl w:val="706ACAFD"/>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F60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alloon Text"/>
    <w:basedOn w:val="1"/>
    <w:next w:val="1"/>
    <w:qFormat/>
    <w:uiPriority w:val="0"/>
    <w:rPr>
      <w:sz w:val="18"/>
      <w:szCs w:val="18"/>
    </w:rPr>
  </w:style>
  <w:style w:type="paragraph" w:styleId="4">
    <w:name w:val="Body Text"/>
    <w:basedOn w:val="1"/>
    <w:next w:val="1"/>
    <w:qFormat/>
    <w:uiPriority w:val="0"/>
    <w:pPr>
      <w:spacing w:after="120"/>
    </w:pPr>
  </w:style>
  <w:style w:type="paragraph" w:styleId="5">
    <w:name w:val="Title"/>
    <w:basedOn w:val="1"/>
    <w:next w:val="1"/>
    <w:qFormat/>
    <w:uiPriority w:val="99"/>
    <w:pPr>
      <w:spacing w:before="240" w:after="60"/>
      <w:jc w:val="center"/>
      <w:outlineLvl w:val="0"/>
    </w:pPr>
    <w:rPr>
      <w:rFonts w:ascii="Cambria" w:hAnsi="Cambria"/>
      <w:b/>
      <w:bCs/>
      <w:sz w:val="32"/>
      <w:szCs w:val="32"/>
    </w:rPr>
  </w:style>
  <w:style w:type="paragraph" w:styleId="8">
    <w:name w:val="List Paragraph"/>
    <w:basedOn w:val="1"/>
    <w:qFormat/>
    <w:uiPriority w:val="0"/>
    <w:pPr>
      <w:ind w:firstLine="420" w:firstLineChars="200"/>
    </w:p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2022-02-11T02:29:46Z</dcterms:created>
  <dc:creator>ysy</dc:creator>
  <cp:lastModifiedBy>WPS_388996160</cp:lastModifiedBy>
  <dcterms:modified xsi:type="dcterms:W3CDTF">2022-02-11T02:30:19Z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3B2E2C061ED64292873E9156A9AA3455</vt:lpwstr>
  </property>
</Properties>
</file>