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napToGrid w:val="0"/>
        <w:spacing w:before="260" w:after="260" w:line="360" w:lineRule="auto"/>
        <w:outlineLvl w:val="1"/>
        <w:rPr>
          <w:rFonts w:hint="eastAsia" w:hAnsi="宋体" w:cs="宋体"/>
          <w:b/>
          <w:bCs/>
          <w:kern w:val="2"/>
          <w:sz w:val="28"/>
          <w:szCs w:val="28"/>
        </w:rPr>
      </w:pPr>
      <w:r>
        <w:rPr>
          <w:rFonts w:hint="eastAsia" w:hAnsi="宋体" w:cs="宋体"/>
          <w:b/>
          <w:bCs/>
          <w:kern w:val="2"/>
          <w:sz w:val="28"/>
          <w:szCs w:val="28"/>
        </w:rPr>
        <w:t>其他补充事宜</w:t>
      </w:r>
    </w:p>
    <w:p>
      <w:pPr>
        <w:pStyle w:val="4"/>
        <w:snapToGrid w:val="0"/>
        <w:spacing w:line="360" w:lineRule="auto"/>
        <w:ind w:firstLine="56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1、计划备案表号：</w:t>
      </w:r>
      <w:r>
        <w:rPr>
          <w:rFonts w:hint="eastAsia" w:hAnsi="宋体" w:cs="宋体"/>
          <w:sz w:val="28"/>
          <w:szCs w:val="28"/>
        </w:rPr>
        <w:fldChar w:fldCharType="begin"/>
      </w:r>
      <w:r>
        <w:rPr>
          <w:rFonts w:hint="eastAsia" w:hAnsi="宋体" w:cs="宋体"/>
          <w:sz w:val="28"/>
          <w:szCs w:val="28"/>
        </w:rPr>
        <w:instrText xml:space="preserve"> HYPERLINK "https://pay.zcygov.cn/purchaseplan_front/" \l "/plan/list/detail?id=1000000000007449147&amp;encrypt=2ca96f21e7b67ac748d11a0362c309e6" \t "https://www.zcygov.cn/project-center/purchasePlans/_blank" </w:instrText>
      </w:r>
      <w:r>
        <w:rPr>
          <w:rFonts w:hint="eastAsia" w:hAnsi="宋体" w:cs="宋体"/>
          <w:sz w:val="28"/>
          <w:szCs w:val="28"/>
        </w:rPr>
        <w:fldChar w:fldCharType="separate"/>
      </w:r>
      <w:r>
        <w:rPr>
          <w:rFonts w:hint="eastAsia" w:hAnsi="宋体" w:cs="宋体"/>
          <w:sz w:val="28"/>
          <w:szCs w:val="28"/>
        </w:rPr>
        <w:t>51010522210200000619-000</w:t>
      </w:r>
      <w:r>
        <w:rPr>
          <w:rFonts w:hint="eastAsia" w:hAnsi="宋体" w:cs="宋体"/>
          <w:sz w:val="28"/>
          <w:szCs w:val="28"/>
        </w:rPr>
        <w:fldChar w:fldCharType="end"/>
      </w:r>
    </w:p>
    <w:p>
      <w:pPr>
        <w:snapToGrid w:val="0"/>
        <w:ind w:firstLine="560" w:firstLineChars="200"/>
        <w:rPr>
          <w:rFonts w:hint="eastAsia" w:hAnsi="宋体"/>
          <w:kern w:val="2"/>
          <w:sz w:val="28"/>
          <w:szCs w:val="28"/>
        </w:rPr>
      </w:pPr>
      <w:r>
        <w:rPr>
          <w:rFonts w:hint="eastAsia" w:hAnsi="宋体"/>
          <w:kern w:val="2"/>
          <w:sz w:val="28"/>
          <w:szCs w:val="28"/>
        </w:rPr>
        <w:t xml:space="preserve">2、采购预算及限价：（1）采购预算：45万元；  </w:t>
      </w:r>
    </w:p>
    <w:p>
      <w:pPr>
        <w:snapToGrid w:val="0"/>
        <w:ind w:firstLine="3220" w:firstLineChars="1150"/>
        <w:rPr>
          <w:rFonts w:hint="eastAsia" w:hAnsi="宋体"/>
          <w:kern w:val="2"/>
          <w:sz w:val="28"/>
          <w:szCs w:val="28"/>
        </w:rPr>
      </w:pPr>
      <w:r>
        <w:rPr>
          <w:rFonts w:hint="eastAsia" w:hAnsi="宋体"/>
          <w:kern w:val="2"/>
          <w:sz w:val="28"/>
          <w:szCs w:val="28"/>
        </w:rPr>
        <w:t>（2）最高限价：管理费：120元/人/月。报价只需报管理服务费用。</w:t>
      </w:r>
    </w:p>
    <w:p>
      <w:pPr>
        <w:pStyle w:val="4"/>
        <w:snapToGrid w:val="0"/>
        <w:spacing w:line="360" w:lineRule="auto"/>
        <w:ind w:firstLine="56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3、投诉受理单位：本项目同级财政部门，即成都市青羊区财政局，地址：成都市西华门街19号，联系电话：028-86699817。</w:t>
      </w:r>
    </w:p>
    <w:p>
      <w:pPr>
        <w:pStyle w:val="4"/>
        <w:wordWrap w:val="0"/>
        <w:topLinePunct/>
        <w:snapToGrid w:val="0"/>
        <w:spacing w:line="360" w:lineRule="auto"/>
        <w:ind w:firstLine="56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 xml:space="preserve">4、（1）根据《四川省财政厅关于推进四川省政府采购供应商信用融资工作的通知》（川财采 [2018]123 号）文件要求，为助力解决政府采购中标、成交供应商资金不足、融资难、融资贵的困难，促进供应商依法诚信参加政府采购活动，有融资需求的供应商可根据四川政府采购网公示的银行及其“政采贷”产品，自行选择符合自身情况的“政采贷”银行及其产品， 凭中标（成交）通知书向银行提出贷款意向申请，并按照相关规定要求和贷款流程申请信用融资贷款。 </w:t>
      </w:r>
    </w:p>
    <w:p>
      <w:pPr>
        <w:pStyle w:val="4"/>
        <w:wordWrap w:val="0"/>
        <w:topLinePunct/>
        <w:snapToGrid w:val="0"/>
        <w:spacing w:line="360" w:lineRule="auto"/>
        <w:ind w:firstLine="56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 xml:space="preserve">（2）为有效缓解中小企业融资难、融资贵问题，成都市财政局、中国人民银行成都分行营业管理部制定了《成都市中小企业政府采购信用融资暂行办法》（成财采[2019]17 号）和《成都市级支持中小企业政府采购信用融资实施方案》，成都市范围内政府采购项目中标（成交）的中小微企业可向开展政府采购信用融资业务的银行提出融资申请。 </w:t>
      </w:r>
    </w:p>
    <w:p>
      <w:pPr>
        <w:pStyle w:val="4"/>
        <w:wordWrap w:val="0"/>
        <w:topLinePunct/>
        <w:snapToGrid w:val="0"/>
        <w:spacing w:line="360" w:lineRule="auto"/>
        <w:ind w:firstLine="560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5、本项目中供应商在经营活动中的重大违法记录的标准和范围：参照中华人民共和国政府采购法实施条例第一十九条之规定。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C3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uiPriority w:val="0"/>
    <w:pPr>
      <w:ind w:firstLine="420" w:firstLineChars="100"/>
    </w:pPr>
    <w:rPr>
      <w:rFonts w:hAnsi="宋体"/>
      <w:sz w:val="24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2022-03-29T05:49:15Z</dcterms:created>
  <dc:creator>Administrator</dc:creator>
  <cp:lastModifiedBy>木槿安年、</cp:lastModifiedBy>
  <dcterms:modified xsi:type="dcterms:W3CDTF">2022-03-29T05:49:20Z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316954D868654F2582FA6A76A4EA91BA</vt:lpwstr>
  </property>
</Properties>
</file>