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before="260" w:after="260" w:line="360" w:lineRule="auto"/>
        <w:outlineLvl w:val="1"/>
        <w:rPr>
          <w:rFonts w:hint="eastAsia" w:hAnsi="宋体" w:cs="宋体"/>
          <w:b/>
          <w:bCs/>
          <w:kern w:val="2"/>
          <w:sz w:val="28"/>
          <w:szCs w:val="28"/>
        </w:rPr>
      </w:pPr>
      <w:r>
        <w:rPr>
          <w:rFonts w:hint="eastAsia" w:hAnsi="宋体" w:cs="宋体"/>
          <w:b/>
          <w:bCs/>
          <w:kern w:val="2"/>
          <w:sz w:val="28"/>
          <w:szCs w:val="28"/>
        </w:rPr>
        <w:t>其他补充事宜</w:t>
      </w:r>
    </w:p>
    <w:p>
      <w:pPr>
        <w:pStyle w:val="4"/>
        <w:snapToGrid w:val="0"/>
        <w:spacing w:line="360" w:lineRule="auto"/>
        <w:ind w:firstLine="56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1、计划备案表号：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 HYPERLINK "https://pay.zcygov.cn/purchaseplan_front/" \l "/plan/list/detail?id=1000000000007449147&amp;encrypt=2ca96f21e7b67ac748d11a0362c309e6" \t "https://www.zcygov.cn/project-center/purchasePlans/_blank" </w:instrText>
      </w:r>
      <w:r>
        <w:rPr>
          <w:rFonts w:hint="eastAsia" w:hAnsi="宋体" w:cs="宋体"/>
          <w:sz w:val="28"/>
          <w:szCs w:val="28"/>
        </w:rPr>
        <w:fldChar w:fldCharType="separate"/>
      </w:r>
      <w:r>
        <w:rPr>
          <w:rFonts w:hint="eastAsia" w:hAnsi="宋体" w:cs="宋体"/>
          <w:sz w:val="28"/>
          <w:szCs w:val="28"/>
        </w:rPr>
        <w:t>51010522210200000619-000</w:t>
      </w:r>
      <w:r>
        <w:rPr>
          <w:rFonts w:hint="eastAsia" w:hAnsi="宋体" w:cs="宋体"/>
          <w:sz w:val="28"/>
          <w:szCs w:val="28"/>
        </w:rPr>
        <w:fldChar w:fldCharType="end"/>
      </w:r>
    </w:p>
    <w:p>
      <w:pPr>
        <w:snapToGrid w:val="0"/>
        <w:ind w:firstLine="560" w:firstLineChars="20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 xml:space="preserve">2、采购预算及限价：（1）采购预算：45万元；  </w:t>
      </w:r>
    </w:p>
    <w:p>
      <w:pPr>
        <w:snapToGrid w:val="0"/>
        <w:ind w:firstLine="3220" w:firstLineChars="115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（2）最高限价：管理费：120元/人/月。报价只需报管理服务费用。</w:t>
      </w:r>
    </w:p>
    <w:p>
      <w:pPr>
        <w:pStyle w:val="4"/>
        <w:snapToGrid w:val="0"/>
        <w:spacing w:line="360" w:lineRule="auto"/>
        <w:ind w:firstLine="56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3、投诉受理单位：本项目同级财政部门，即成都市青羊区财政局，地址：成都市西华门街19号，联系电话：028-86699817。</w:t>
      </w:r>
    </w:p>
    <w:p>
      <w:pPr>
        <w:pStyle w:val="4"/>
        <w:wordWrap w:val="0"/>
        <w:topLinePunct/>
        <w:snapToGrid w:val="0"/>
        <w:spacing w:line="360" w:lineRule="auto"/>
        <w:ind w:firstLine="56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4、（1）根据《四川省财政厅关于推进四川省政府采购供应商信用融资工作的通知》（川财采 [2018]123 号）文件要求，为助力解决政府采购中标、成交供应商资金不足、融资难、融资贵的困难，促进供应商依法诚信参加政府采购活动，有融资需求的供应商可根据四川政府采购网公示的银行及其“政采贷”产品，自行选择符合自身情况的“政采贷”银行及其产品， 凭中标（成交）通知书向银行提出贷款意向申请，并按照相关规定要求和贷款流程申请信用融资贷款。 </w:t>
      </w:r>
    </w:p>
    <w:p>
      <w:pPr>
        <w:pStyle w:val="4"/>
        <w:wordWrap w:val="0"/>
        <w:topLinePunct/>
        <w:snapToGrid w:val="0"/>
        <w:spacing w:line="360" w:lineRule="auto"/>
        <w:ind w:firstLine="56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（2）为有效缓解中小企业融资难、融资贵问题，成都市财政局、中国人民银行成都分行营业管理部制定了《成都市中小企业政府采购信用融资暂行办法》（成财采[2019]17 号）和《成都市级支持中小企业政府采购信用融资实施方案》，成都市范围内政府采购项目中标（成交）的中小微企业可向开展政府采购信用融资业务的银行提出融资申请。 </w:t>
      </w:r>
    </w:p>
    <w:p>
      <w:pPr>
        <w:pStyle w:val="4"/>
        <w:wordWrap w:val="0"/>
        <w:topLinePunct/>
        <w:snapToGrid w:val="0"/>
        <w:spacing w:line="360" w:lineRule="auto"/>
        <w:ind w:firstLine="560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5、本项目中供应商在经营活动中的重大违法记录的标准和范围：参照中华人民共和国政府采购法实施条例第一十九条之规定。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uiPriority w:val="0"/>
    <w:pPr>
      <w:ind w:firstLine="420" w:firstLineChars="100"/>
    </w:pPr>
    <w:rPr>
      <w:rFonts w:hAnsi="宋体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2022-03-29T05:49:15Z</dcterms:created>
  <dc:creator>Administrator</dc:creator>
  <cp:lastModifiedBy>木槿安年、</cp:lastModifiedBy>
  <dcterms:modified xsi:type="dcterms:W3CDTF">2022-03-29T05:49:20Z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316954D868654F2582FA6A76A4EA91BA</vt:lpwstr>
  </property>
</Properties>
</file>