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60" w:lineRule="auto"/>
        <w:ind w:firstLine="482" w:firstLineChars="200"/>
        <w:rPr>
          <w:rFonts w:ascii="宋体" w:hAnsi="宋体" w:eastAsia="宋体"/>
          <w:color w:val="auto"/>
          <w:sz w:val="24"/>
          <w:szCs w:val="24"/>
        </w:rPr>
      </w:pPr>
      <w:r>
        <w:rPr>
          <w:rFonts w:hint="eastAsia" w:ascii="宋体" w:hAnsi="宋体" w:eastAsia="宋体"/>
          <w:color w:val="auto"/>
          <w:sz w:val="24"/>
          <w:szCs w:val="24"/>
        </w:rPr>
        <w:t>一、项目概述</w:t>
      </w:r>
      <w:bookmarkStart w:id="0" w:name="_GoBack"/>
      <w:bookmarkEnd w:id="0"/>
    </w:p>
    <w:p>
      <w:pPr>
        <w:widowControl/>
        <w:spacing w:line="360" w:lineRule="auto"/>
        <w:jc w:val="left"/>
        <w:rPr>
          <w:rFonts w:hint="eastAsia" w:ascii="宋体" w:hAnsi="宋体" w:cs="宋体"/>
          <w:color w:val="auto"/>
          <w:sz w:val="24"/>
        </w:rPr>
      </w:pPr>
      <w:r>
        <w:rPr>
          <w:rFonts w:hint="eastAsia" w:ascii="宋体" w:hAnsi="宋体" w:cs="宋体"/>
          <w:color w:val="auto"/>
          <w:sz w:val="24"/>
        </w:rPr>
        <w:t>本项目共一个包，采购成都市武侯区环卫清运中心车厢可卸式垃圾车八辆：采购清单如下：</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1"/>
        <w:gridCol w:w="2211"/>
        <w:gridCol w:w="1317"/>
        <w:gridCol w:w="1433"/>
        <w:gridCol w:w="1433"/>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atLeast"/>
        </w:trPr>
        <w:tc>
          <w:tcPr>
            <w:tcW w:w="731"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序号</w:t>
            </w:r>
          </w:p>
        </w:tc>
        <w:tc>
          <w:tcPr>
            <w:tcW w:w="2211"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产品名称</w:t>
            </w:r>
          </w:p>
        </w:tc>
        <w:tc>
          <w:tcPr>
            <w:tcW w:w="1317"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数量（辆）</w:t>
            </w:r>
          </w:p>
        </w:tc>
        <w:tc>
          <w:tcPr>
            <w:tcW w:w="1433"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单价最高限价（万元）</w:t>
            </w:r>
          </w:p>
        </w:tc>
        <w:tc>
          <w:tcPr>
            <w:tcW w:w="1433"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lang w:val="en-US" w:eastAsia="zh-CN"/>
              </w:rPr>
              <w:t>最高限价</w:t>
            </w:r>
            <w:r>
              <w:rPr>
                <w:rFonts w:hint="eastAsia" w:ascii="宋体" w:hAnsi="宋体" w:cs="宋体"/>
                <w:color w:val="auto"/>
                <w:sz w:val="24"/>
              </w:rPr>
              <w:t>（万元）</w:t>
            </w:r>
          </w:p>
        </w:tc>
        <w:tc>
          <w:tcPr>
            <w:tcW w:w="1397"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2" w:hRule="atLeast"/>
        </w:trPr>
        <w:tc>
          <w:tcPr>
            <w:tcW w:w="731"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211"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车厢可卸式垃圾车（罐式专用汽车）</w:t>
            </w:r>
          </w:p>
        </w:tc>
        <w:tc>
          <w:tcPr>
            <w:tcW w:w="1317"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8</w:t>
            </w:r>
          </w:p>
        </w:tc>
        <w:tc>
          <w:tcPr>
            <w:tcW w:w="1433"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96.685</w:t>
            </w:r>
          </w:p>
        </w:tc>
        <w:tc>
          <w:tcPr>
            <w:tcW w:w="1433"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773.48</w:t>
            </w:r>
          </w:p>
        </w:tc>
        <w:tc>
          <w:tcPr>
            <w:tcW w:w="1397" w:type="dxa"/>
            <w:noWrap w:val="0"/>
            <w:vAlign w:val="center"/>
          </w:tcPr>
          <w:p>
            <w:pPr>
              <w:widowControl/>
              <w:spacing w:line="360" w:lineRule="auto"/>
              <w:jc w:val="center"/>
              <w:rPr>
                <w:rFonts w:hint="eastAsia" w:ascii="宋体" w:hAnsi="宋体" w:cs="宋体"/>
                <w:color w:val="auto"/>
                <w:sz w:val="24"/>
              </w:rPr>
            </w:pPr>
            <w:r>
              <w:rPr>
                <w:rFonts w:hint="eastAsia" w:ascii="宋体" w:hAnsi="宋体" w:cs="宋体"/>
                <w:color w:val="auto"/>
                <w:sz w:val="24"/>
              </w:rPr>
              <w:t>不允许采购进口产品；不含转运容器。</w:t>
            </w:r>
          </w:p>
        </w:tc>
      </w:tr>
    </w:tbl>
    <w:p>
      <w:pPr>
        <w:widowControl/>
        <w:spacing w:line="360" w:lineRule="auto"/>
        <w:jc w:val="left"/>
        <w:rPr>
          <w:rFonts w:hint="eastAsia" w:ascii="宋体" w:hAnsi="宋体" w:cs="宋体"/>
          <w:sz w:val="24"/>
        </w:rPr>
      </w:pPr>
      <w:r>
        <w:rPr>
          <w:rFonts w:hint="eastAsia" w:ascii="宋体" w:hAnsi="宋体" w:cs="宋体"/>
          <w:sz w:val="24"/>
        </w:rPr>
        <w:t>二、技术参数和配置等标准要求</w:t>
      </w:r>
    </w:p>
    <w:p>
      <w:pPr>
        <w:pStyle w:val="4"/>
        <w:spacing w:line="360" w:lineRule="auto"/>
        <w:ind w:firstLine="480"/>
        <w:rPr>
          <w:rFonts w:hint="eastAsia" w:ascii="宋体" w:hAnsi="宋体" w:cs="宋体"/>
          <w:sz w:val="24"/>
        </w:rPr>
      </w:pPr>
      <w:r>
        <w:rPr>
          <w:rFonts w:hint="eastAsia" w:ascii="宋体" w:hAnsi="宋体" w:cs="宋体"/>
          <w:sz w:val="24"/>
        </w:rPr>
        <w:t>车厢可卸式垃圾车(罐式专用汽车)</w:t>
      </w:r>
    </w:p>
    <w:p>
      <w:pPr>
        <w:spacing w:line="360" w:lineRule="auto"/>
        <w:rPr>
          <w:rFonts w:hint="eastAsia" w:ascii="宋体" w:hAnsi="宋体" w:cs="宋体"/>
          <w:sz w:val="24"/>
        </w:rPr>
      </w:pPr>
      <w:r>
        <w:rPr>
          <w:rFonts w:hint="eastAsia" w:ascii="宋体" w:hAnsi="宋体" w:cs="宋体"/>
          <w:sz w:val="24"/>
        </w:rPr>
        <w:t>（一）总体要求</w:t>
      </w:r>
    </w:p>
    <w:p>
      <w:pPr>
        <w:spacing w:line="360" w:lineRule="auto"/>
        <w:ind w:firstLine="480"/>
        <w:rPr>
          <w:rFonts w:hint="eastAsia" w:ascii="宋体" w:hAnsi="宋体" w:cs="宋体"/>
          <w:sz w:val="24"/>
        </w:rPr>
      </w:pPr>
      <w:r>
        <w:rPr>
          <w:rFonts w:hint="eastAsia" w:ascii="宋体" w:hAnsi="宋体" w:cs="宋体"/>
          <w:sz w:val="24"/>
          <w:lang w:val="zh-CN"/>
        </w:rPr>
        <w:t>本项目</w:t>
      </w:r>
      <w:r>
        <w:rPr>
          <w:rFonts w:hint="eastAsia" w:ascii="宋体" w:hAnsi="宋体" w:cs="宋体"/>
          <w:sz w:val="24"/>
        </w:rPr>
        <w:t>车厢可卸式垃圾车</w:t>
      </w:r>
      <w:r>
        <w:rPr>
          <w:rFonts w:hint="eastAsia" w:ascii="宋体" w:hAnsi="宋体" w:cs="宋体"/>
          <w:sz w:val="24"/>
          <w:lang w:val="zh-CN"/>
        </w:rPr>
        <w:t>属于与成都市武侯区环卫清运中心南桥垃圾压缩中转站的配套设备，</w:t>
      </w:r>
      <w:r>
        <w:rPr>
          <w:rFonts w:hint="eastAsia" w:ascii="宋体" w:hAnsi="宋体" w:cs="宋体"/>
          <w:sz w:val="24"/>
        </w:rPr>
        <w:t>装有钢丝绳牵引系统的车辆可完成垃圾容器的装车、转运、垃圾的卸料、容器的复位及移位放置。因</w:t>
      </w:r>
      <w:r>
        <w:rPr>
          <w:rFonts w:hint="eastAsia" w:ascii="宋体" w:hAnsi="宋体" w:cs="宋体"/>
          <w:sz w:val="24"/>
          <w:lang w:val="zh-CN"/>
        </w:rPr>
        <w:t>南桥垃圾压缩中转站使用的垃圾容器的底座不可变更，因此本项目采购的车厢可卸式垃圾转运车辆必须满足现有垃圾容器的</w:t>
      </w:r>
      <w:r>
        <w:rPr>
          <w:rFonts w:hint="eastAsia" w:ascii="宋体" w:hAnsi="宋体" w:cs="宋体"/>
          <w:sz w:val="24"/>
        </w:rPr>
        <w:t>装车、转运、垃圾的卸料、容器的复位及移位放置需要。</w:t>
      </w:r>
    </w:p>
    <w:p>
      <w:pPr>
        <w:spacing w:line="360" w:lineRule="auto"/>
        <w:rPr>
          <w:rFonts w:hint="eastAsia" w:ascii="宋体" w:hAnsi="宋体" w:cs="宋体"/>
          <w:sz w:val="24"/>
          <w:lang w:val="zh-CN"/>
        </w:rPr>
      </w:pPr>
      <w:r>
        <w:rPr>
          <w:rFonts w:hint="eastAsia" w:ascii="宋体" w:hAnsi="宋体" w:cs="宋体"/>
          <w:sz w:val="24"/>
        </w:rPr>
        <w:t>（二）</w:t>
      </w:r>
      <w:r>
        <w:rPr>
          <w:rFonts w:hint="eastAsia" w:ascii="宋体" w:hAnsi="宋体" w:cs="宋体"/>
          <w:sz w:val="24"/>
          <w:lang w:val="zh-CN"/>
        </w:rPr>
        <w:t>系统组成</w:t>
      </w:r>
    </w:p>
    <w:p>
      <w:pPr>
        <w:spacing w:line="360" w:lineRule="auto"/>
        <w:ind w:firstLine="480"/>
        <w:rPr>
          <w:rFonts w:hint="eastAsia" w:ascii="宋体" w:hAnsi="宋体" w:cs="宋体"/>
          <w:sz w:val="24"/>
        </w:rPr>
      </w:pPr>
      <w:r>
        <w:rPr>
          <w:rFonts w:hint="eastAsia" w:ascii="宋体" w:hAnsi="宋体" w:cs="宋体"/>
          <w:sz w:val="24"/>
          <w:lang w:val="zh-CN"/>
        </w:rPr>
        <w:t>采用专用车厢可卸式重型专项作业车，整车结构组成：底盘和上装（改装部分），上装机构包括钢丝牵引机构、液压系统和电器系统构成。</w:t>
      </w:r>
    </w:p>
    <w:p>
      <w:pPr>
        <w:spacing w:line="360" w:lineRule="auto"/>
        <w:rPr>
          <w:rFonts w:hint="eastAsia" w:ascii="宋体" w:hAnsi="宋体" w:cs="宋体"/>
          <w:sz w:val="24"/>
        </w:rPr>
      </w:pPr>
      <w:r>
        <w:rPr>
          <w:rFonts w:hint="eastAsia" w:ascii="宋体" w:hAnsi="宋体" w:cs="宋体"/>
          <w:sz w:val="24"/>
        </w:rPr>
        <w:t>（三）主要技术参数：</w:t>
      </w:r>
    </w:p>
    <w:tbl>
      <w:tblPr>
        <w:tblStyle w:val="5"/>
        <w:tblW w:w="8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23"/>
        <w:gridCol w:w="3432"/>
        <w:gridCol w:w="3799"/>
        <w:gridCol w:w="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tblHeader/>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序号</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项 目</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驱动形式</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8×4，后轴驱动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★2</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满载总质量</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highlight w:val="yellow"/>
              </w:rPr>
            </w:pPr>
            <w:r>
              <w:rPr>
                <w:rFonts w:hint="eastAsia" w:ascii="宋体" w:hAnsi="宋体" w:cs="宋体"/>
                <w:sz w:val="24"/>
              </w:rPr>
              <w:t>≥31000kg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★3</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额定载质量</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≥18300kg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4</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轴距</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  1800（mm）+3000（mm）+1300（mm）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★5</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接近角/离去角</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接近角/离去角≥18°/34°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6</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最小转弯直径</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≤24000mm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7</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最高车速</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≥90km/h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★8</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最大爬坡度</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9</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外形尺寸（长×宽×高）</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(8300～8800)×(2300～2600)×(2900～3300)mm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10</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排量</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≤8000ml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﹡11</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排放标准</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国VI（国六）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12</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轮胎</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全钢载重子午线轮胎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13</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720" w:firstLineChars="300"/>
              <w:rPr>
                <w:rFonts w:hint="eastAsia" w:ascii="宋体" w:hAnsi="宋体" w:cs="宋体"/>
                <w:sz w:val="24"/>
              </w:rPr>
            </w:pPr>
            <w:r>
              <w:rPr>
                <w:rFonts w:hint="eastAsia" w:ascii="宋体" w:hAnsi="宋体" w:cs="宋体"/>
                <w:sz w:val="24"/>
              </w:rPr>
              <w:t>发动机额定功率</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≥250kW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14</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燃料种类</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8246"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（配套安装在转运车上的钢丝牵引机构技术参数）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装置重量</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≤3000kg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2</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绞盘拉力</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≥300kN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3</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最大举升角</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≥70</w:t>
            </w:r>
            <w:r>
              <w:rPr>
                <w:rFonts w:hint="eastAsia" w:ascii="宋体" w:hAnsi="宋体" w:cs="宋体"/>
                <w:sz w:val="24"/>
                <w:vertAlign w:val="superscript"/>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4</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工作电压</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5</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液压系统最大工作压力</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≥20MPa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6</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液压油箱容积</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≥120L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7</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钢丝绳直径</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8</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钢丝绳的抗拉强度</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≥1800MPa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9</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额定工作能力</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≥20T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﹡10</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车辆举升架最高点限定离地工作高度</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C00000"/>
                <w:sz w:val="24"/>
              </w:rPr>
            </w:pPr>
            <w:r>
              <w:rPr>
                <w:rFonts w:hint="eastAsia" w:ascii="宋体" w:hAnsi="宋体" w:cs="宋体"/>
                <w:sz w:val="24"/>
              </w:rPr>
              <w:t xml:space="preserve">＜6700 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10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44"/>
                <w:szCs w:val="44"/>
              </w:rPr>
            </w:pPr>
            <w:r>
              <w:rPr>
                <w:rFonts w:hint="eastAsia" w:ascii="宋体" w:hAnsi="宋体" w:cs="宋体"/>
                <w:sz w:val="24"/>
              </w:rPr>
              <w:t>11</w:t>
            </w:r>
          </w:p>
        </w:tc>
        <w:tc>
          <w:tcPr>
            <w:tcW w:w="34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装载容器运输作业限定净高度</w:t>
            </w:r>
          </w:p>
        </w:tc>
        <w:tc>
          <w:tcPr>
            <w:tcW w:w="37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rPr>
            </w:pPr>
            <w:r>
              <w:rPr>
                <w:rFonts w:hint="eastAsia" w:ascii="宋体" w:hAnsi="宋体" w:cs="宋体"/>
                <w:sz w:val="24"/>
              </w:rPr>
              <w:t>≤4300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397" w:hRule="atLeast"/>
          <w:jc w:val="center"/>
        </w:trPr>
        <w:tc>
          <w:tcPr>
            <w:tcW w:w="8246" w:type="dxa"/>
            <w:gridSpan w:val="4"/>
            <w:tcBorders>
              <w:top w:val="single" w:color="auto" w:sz="4" w:space="0"/>
              <w:left w:val="single" w:color="auto" w:sz="4" w:space="0"/>
              <w:bottom w:val="single" w:color="auto" w:sz="4" w:space="0"/>
              <w:right w:val="single" w:color="auto" w:sz="4" w:space="0"/>
            </w:tcBorders>
            <w:noWrap w:val="0"/>
            <w:vAlign w:val="center"/>
          </w:tcPr>
          <w:p>
            <w:pPr>
              <w:pStyle w:val="7"/>
              <w:ind w:firstLine="0" w:firstLineChars="0"/>
              <w:jc w:val="center"/>
              <w:rPr>
                <w:rFonts w:hint="eastAsia"/>
                <w:b/>
              </w:rPr>
            </w:pPr>
            <w:r>
              <w:rPr>
                <w:rFonts w:hint="eastAsia"/>
                <w:b/>
                <w:lang w:val="zh-CN"/>
              </w:rPr>
              <w:t>功能与性能要求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lang w:val="zh-CN"/>
              </w:rPr>
            </w:pPr>
            <w:r>
              <w:rPr>
                <w:rFonts w:hint="eastAsia" w:ascii="宋体" w:hAnsi="宋体" w:cs="宋体"/>
                <w:sz w:val="24"/>
                <w:lang w:val="zh-CN"/>
              </w:rPr>
              <w:t>1</w:t>
            </w:r>
          </w:p>
        </w:tc>
        <w:tc>
          <w:tcPr>
            <w:tcW w:w="7494" w:type="dxa"/>
            <w:gridSpan w:val="4"/>
            <w:noWrap w:val="0"/>
            <w:vAlign w:val="center"/>
          </w:tcPr>
          <w:p>
            <w:pPr>
              <w:spacing w:line="360" w:lineRule="auto"/>
              <w:rPr>
                <w:rFonts w:hint="eastAsia" w:ascii="宋体" w:hAnsi="宋体" w:cs="宋体"/>
                <w:sz w:val="24"/>
                <w:lang w:val="zh-CN"/>
              </w:rPr>
            </w:pPr>
            <w:r>
              <w:rPr>
                <w:rFonts w:hint="eastAsia" w:ascii="宋体" w:hAnsi="宋体" w:cs="宋体"/>
                <w:sz w:val="24"/>
                <w:lang w:val="zh-CN"/>
              </w:rPr>
              <w:t>底盘采用国产二类汽车底盘，投标人提供底盘品牌、型号。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lang w:val="zh-CN"/>
              </w:rPr>
            </w:pPr>
            <w:r>
              <w:rPr>
                <w:rFonts w:hint="eastAsia" w:ascii="宋体" w:hAnsi="宋体" w:cs="宋体"/>
                <w:sz w:val="24"/>
              </w:rPr>
              <w:t>2</w:t>
            </w:r>
          </w:p>
        </w:tc>
        <w:tc>
          <w:tcPr>
            <w:tcW w:w="7494" w:type="dxa"/>
            <w:gridSpan w:val="4"/>
            <w:noWrap w:val="0"/>
            <w:vAlign w:val="center"/>
          </w:tcPr>
          <w:p>
            <w:pPr>
              <w:spacing w:line="360" w:lineRule="auto"/>
              <w:rPr>
                <w:rFonts w:hint="eastAsia" w:ascii="宋体" w:hAnsi="宋体" w:cs="宋体"/>
                <w:snapToGrid w:val="0"/>
                <w:sz w:val="24"/>
              </w:rPr>
            </w:pPr>
            <w:r>
              <w:rPr>
                <w:rFonts w:hint="eastAsia" w:ascii="宋体" w:hAnsi="宋体" w:cs="宋体"/>
                <w:sz w:val="24"/>
              </w:rPr>
              <w:t>车辆根据相关标准、法规要求，加装安全和防护装置，并按行业规定的颜色、图案、中文文字等予以警示，具体要求应符合采购人的明确要求。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lang w:val="zh-CN"/>
              </w:rPr>
            </w:pPr>
            <w:r>
              <w:rPr>
                <w:rFonts w:hint="eastAsia" w:ascii="宋体" w:hAnsi="宋体" w:cs="宋体"/>
                <w:sz w:val="24"/>
              </w:rPr>
              <w:t>3</w:t>
            </w:r>
          </w:p>
        </w:tc>
        <w:tc>
          <w:tcPr>
            <w:tcW w:w="7494" w:type="dxa"/>
            <w:gridSpan w:val="4"/>
            <w:noWrap w:val="0"/>
            <w:vAlign w:val="center"/>
          </w:tcPr>
          <w:p>
            <w:pPr>
              <w:spacing w:line="360" w:lineRule="auto"/>
              <w:rPr>
                <w:rFonts w:hint="eastAsia" w:ascii="宋体" w:hAnsi="宋体" w:cs="宋体"/>
                <w:sz w:val="24"/>
              </w:rPr>
            </w:pPr>
            <w:r>
              <w:rPr>
                <w:rFonts w:hint="eastAsia" w:ascii="宋体" w:hAnsi="宋体" w:cs="宋体"/>
                <w:sz w:val="24"/>
              </w:rPr>
              <w:t>车辆应安装具备记录、储存、显示、打印车辆行驶速度、时间、里程等车辆行驶状态信息的行驶记录装置，装置必须满足GB7258-2017《机动车运行安全技术条件》要求。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rPr>
            </w:pPr>
            <w:r>
              <w:rPr>
                <w:rFonts w:hint="eastAsia" w:ascii="宋体" w:hAnsi="宋体" w:cs="宋体"/>
                <w:sz w:val="24"/>
              </w:rPr>
              <w:t>4</w:t>
            </w:r>
          </w:p>
        </w:tc>
        <w:tc>
          <w:tcPr>
            <w:tcW w:w="7494" w:type="dxa"/>
            <w:gridSpan w:val="4"/>
            <w:noWrap w:val="0"/>
            <w:vAlign w:val="center"/>
          </w:tcPr>
          <w:p>
            <w:pPr>
              <w:spacing w:line="360" w:lineRule="auto"/>
              <w:rPr>
                <w:rFonts w:hint="eastAsia" w:ascii="宋体" w:hAnsi="宋体" w:cs="宋体"/>
                <w:sz w:val="24"/>
                <w:lang w:val="zh-CN"/>
              </w:rPr>
            </w:pPr>
            <w:r>
              <w:rPr>
                <w:rFonts w:hint="eastAsia" w:ascii="宋体" w:hAnsi="宋体" w:cs="宋体"/>
                <w:sz w:val="24"/>
              </w:rPr>
              <w:t>作业机构运动应灵活、平稳可靠，维修保养应简单、方便，液压控制操作盒设在驾驶室中，专用机构操作可在驾驶室中完成。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lang w:val="zh-CN"/>
              </w:rPr>
            </w:pPr>
            <w:r>
              <w:rPr>
                <w:rFonts w:hint="eastAsia" w:ascii="宋体" w:hAnsi="宋体" w:cs="宋体"/>
                <w:sz w:val="24"/>
                <w:lang w:val="zh-CN"/>
              </w:rPr>
              <w:t>5</w:t>
            </w:r>
          </w:p>
        </w:tc>
        <w:tc>
          <w:tcPr>
            <w:tcW w:w="7494" w:type="dxa"/>
            <w:gridSpan w:val="4"/>
            <w:noWrap w:val="0"/>
            <w:vAlign w:val="center"/>
          </w:tcPr>
          <w:p>
            <w:pPr>
              <w:spacing w:line="360" w:lineRule="auto"/>
              <w:rPr>
                <w:rFonts w:hint="eastAsia" w:ascii="宋体" w:hAnsi="宋体" w:cs="宋体"/>
                <w:sz w:val="24"/>
              </w:rPr>
            </w:pPr>
            <w:r>
              <w:rPr>
                <w:rFonts w:hint="eastAsia" w:ascii="宋体" w:hAnsi="宋体" w:cs="宋体"/>
                <w:sz w:val="24"/>
              </w:rPr>
              <w:t>驾驶室密封性良好，视野宽敞；随车安装有暖风和空调。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lang w:val="zh-CN"/>
              </w:rPr>
            </w:pPr>
            <w:r>
              <w:rPr>
                <w:rFonts w:hint="eastAsia" w:ascii="宋体" w:hAnsi="宋体" w:cs="宋体"/>
                <w:sz w:val="24"/>
                <w:lang w:val="zh-CN"/>
              </w:rPr>
              <w:t>6</w:t>
            </w:r>
          </w:p>
        </w:tc>
        <w:tc>
          <w:tcPr>
            <w:tcW w:w="7494" w:type="dxa"/>
            <w:gridSpan w:val="4"/>
            <w:noWrap w:val="0"/>
            <w:vAlign w:val="center"/>
          </w:tcPr>
          <w:p>
            <w:pPr>
              <w:spacing w:line="360" w:lineRule="auto"/>
              <w:rPr>
                <w:rFonts w:hint="eastAsia" w:ascii="宋体" w:hAnsi="宋体" w:cs="宋体"/>
                <w:sz w:val="24"/>
              </w:rPr>
            </w:pPr>
            <w:r>
              <w:rPr>
                <w:rFonts w:hint="eastAsia" w:ascii="宋体" w:hAnsi="宋体" w:cs="宋体"/>
                <w:sz w:val="24"/>
              </w:rPr>
              <w:t>产品交付时应有原车底盘随车工具和备胎、装置专用工具及维修包。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lang w:val="zh-CN"/>
              </w:rPr>
            </w:pPr>
            <w:r>
              <w:rPr>
                <w:rFonts w:hint="eastAsia" w:ascii="宋体" w:hAnsi="宋体" w:cs="宋体"/>
                <w:sz w:val="24"/>
                <w:lang w:val="zh-CN"/>
              </w:rPr>
              <w:t>7</w:t>
            </w:r>
          </w:p>
        </w:tc>
        <w:tc>
          <w:tcPr>
            <w:tcW w:w="7494" w:type="dxa"/>
            <w:gridSpan w:val="4"/>
            <w:noWrap w:val="0"/>
            <w:vAlign w:val="center"/>
          </w:tcPr>
          <w:p>
            <w:pPr>
              <w:spacing w:line="360" w:lineRule="auto"/>
              <w:rPr>
                <w:rFonts w:hint="eastAsia" w:ascii="宋体" w:hAnsi="宋体" w:cs="宋体"/>
                <w:sz w:val="24"/>
              </w:rPr>
            </w:pPr>
            <w:r>
              <w:rPr>
                <w:rFonts w:hint="eastAsia" w:ascii="宋体" w:hAnsi="宋体" w:cs="宋体"/>
                <w:sz w:val="24"/>
              </w:rPr>
              <w:t>产品交付时应提交的技术文件含产品合格证、汽车底盘使用说明书、专用车辆操作手册和辅助设备的使用说明书、以及可供指导维护和保养的系统工作原理图、常见故障处理手册及工具清单等文件。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lang w:val="zh-CN"/>
              </w:rPr>
            </w:pPr>
            <w:r>
              <w:rPr>
                <w:rFonts w:hint="eastAsia" w:ascii="宋体" w:hAnsi="宋体" w:cs="宋体"/>
                <w:sz w:val="24"/>
                <w:lang w:val="zh-CN"/>
              </w:rPr>
              <w:t>8</w:t>
            </w:r>
          </w:p>
        </w:tc>
        <w:tc>
          <w:tcPr>
            <w:tcW w:w="7494" w:type="dxa"/>
            <w:gridSpan w:val="4"/>
            <w:noWrap w:val="0"/>
            <w:vAlign w:val="center"/>
          </w:tcPr>
          <w:p>
            <w:pPr>
              <w:spacing w:line="360" w:lineRule="auto"/>
              <w:rPr>
                <w:rFonts w:hint="eastAsia" w:ascii="宋体" w:hAnsi="宋体" w:cs="宋体"/>
                <w:sz w:val="24"/>
                <w:lang w:val="zh-CN"/>
              </w:rPr>
            </w:pPr>
            <w:r>
              <w:rPr>
                <w:rFonts w:hint="eastAsia" w:ascii="宋体" w:hAnsi="宋体" w:cs="宋体"/>
                <w:sz w:val="24"/>
                <w:lang w:val="zh-CN"/>
              </w:rPr>
              <w:t>钢丝绳牵引机构应包含以下功能：</w:t>
            </w:r>
          </w:p>
          <w:p>
            <w:pPr>
              <w:spacing w:line="360" w:lineRule="auto"/>
              <w:rPr>
                <w:rFonts w:hint="eastAsia" w:ascii="宋体" w:hAnsi="宋体" w:cs="宋体"/>
                <w:sz w:val="24"/>
                <w:lang w:val="zh-CN"/>
              </w:rPr>
            </w:pPr>
            <w:r>
              <w:rPr>
                <w:rFonts w:hint="eastAsia" w:ascii="宋体" w:hAnsi="宋体" w:cs="宋体"/>
                <w:sz w:val="24"/>
              </w:rPr>
              <w:t>a.</w:t>
            </w:r>
            <w:r>
              <w:rPr>
                <w:rFonts w:hint="eastAsia" w:ascii="宋体" w:hAnsi="宋体" w:cs="宋体"/>
                <w:sz w:val="24"/>
                <w:lang w:val="zh-CN"/>
              </w:rPr>
              <w:t>可将竖直摆放的容器牵引到车上呈水平运输状；</w:t>
            </w:r>
          </w:p>
          <w:p>
            <w:pPr>
              <w:spacing w:line="360" w:lineRule="auto"/>
              <w:rPr>
                <w:rFonts w:hint="eastAsia" w:ascii="宋体" w:hAnsi="宋体" w:cs="宋体"/>
                <w:sz w:val="24"/>
                <w:lang w:val="zh-CN"/>
              </w:rPr>
            </w:pPr>
            <w:r>
              <w:rPr>
                <w:rFonts w:hint="eastAsia" w:ascii="宋体" w:hAnsi="宋体" w:cs="宋体"/>
                <w:sz w:val="24"/>
              </w:rPr>
              <w:t>b.</w:t>
            </w:r>
            <w:r>
              <w:rPr>
                <w:rFonts w:hint="eastAsia" w:ascii="宋体" w:hAnsi="宋体" w:cs="宋体"/>
                <w:sz w:val="24"/>
                <w:lang w:val="zh-CN"/>
              </w:rPr>
              <w:t>可将车上的容器从水平的运输状态竖立放至地面；</w:t>
            </w:r>
          </w:p>
          <w:p>
            <w:pPr>
              <w:spacing w:line="360" w:lineRule="auto"/>
              <w:rPr>
                <w:rFonts w:hint="eastAsia" w:ascii="宋体" w:hAnsi="宋体" w:cs="宋体"/>
                <w:sz w:val="24"/>
                <w:lang w:val="zh-CN"/>
              </w:rPr>
            </w:pPr>
            <w:r>
              <w:rPr>
                <w:rFonts w:hint="eastAsia" w:ascii="宋体" w:hAnsi="宋体" w:cs="宋体"/>
                <w:sz w:val="24"/>
              </w:rPr>
              <w:t>c.</w:t>
            </w:r>
            <w:r>
              <w:rPr>
                <w:rFonts w:hint="eastAsia" w:ascii="宋体" w:hAnsi="宋体" w:cs="宋体"/>
                <w:sz w:val="24"/>
                <w:lang w:val="zh-CN"/>
              </w:rPr>
              <w:t>可将水平摆放的容器牵引到车上呈水平运输状；</w:t>
            </w:r>
          </w:p>
          <w:p>
            <w:pPr>
              <w:spacing w:line="360" w:lineRule="auto"/>
              <w:rPr>
                <w:rFonts w:hint="eastAsia" w:ascii="宋体" w:hAnsi="宋体" w:cs="宋体"/>
                <w:sz w:val="24"/>
              </w:rPr>
            </w:pPr>
            <w:r>
              <w:rPr>
                <w:rFonts w:hint="eastAsia" w:ascii="宋体" w:hAnsi="宋体" w:cs="宋体"/>
                <w:sz w:val="24"/>
              </w:rPr>
              <w:t>d.</w:t>
            </w:r>
            <w:r>
              <w:rPr>
                <w:rFonts w:hint="eastAsia" w:ascii="宋体" w:hAnsi="宋体" w:cs="宋体"/>
                <w:sz w:val="24"/>
                <w:lang w:val="zh-CN"/>
              </w:rPr>
              <w:t>可将车上的容器从水平的运输状态水平放至地面；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24"/>
              </w:rPr>
            </w:pPr>
            <w:r>
              <w:rPr>
                <w:rFonts w:hint="eastAsia" w:ascii="宋体" w:hAnsi="宋体" w:cs="宋体"/>
                <w:sz w:val="24"/>
              </w:rPr>
              <w:t>9</w:t>
            </w:r>
          </w:p>
        </w:tc>
        <w:tc>
          <w:tcPr>
            <w:tcW w:w="7494" w:type="dxa"/>
            <w:gridSpan w:val="4"/>
            <w:noWrap w:val="0"/>
            <w:vAlign w:val="center"/>
          </w:tcPr>
          <w:p>
            <w:pPr>
              <w:spacing w:line="360" w:lineRule="auto"/>
              <w:rPr>
                <w:rFonts w:hint="eastAsia" w:ascii="宋体" w:hAnsi="宋体" w:cs="宋体"/>
                <w:sz w:val="24"/>
                <w:lang w:val="zh-CN"/>
              </w:rPr>
            </w:pPr>
            <w:r>
              <w:rPr>
                <w:rFonts w:hint="eastAsia" w:ascii="宋体" w:hAnsi="宋体" w:cs="宋体"/>
                <w:sz w:val="24"/>
                <w:lang w:val="zh-CN"/>
              </w:rPr>
              <w:t>液压机构应包含以下功能：</w:t>
            </w:r>
          </w:p>
          <w:p>
            <w:pPr>
              <w:spacing w:line="360" w:lineRule="auto"/>
              <w:rPr>
                <w:rFonts w:hint="eastAsia" w:ascii="宋体" w:hAnsi="宋体" w:cs="宋体"/>
                <w:sz w:val="24"/>
                <w:lang w:val="zh-CN"/>
              </w:rPr>
            </w:pPr>
            <w:r>
              <w:rPr>
                <w:rFonts w:hint="eastAsia" w:ascii="宋体" w:hAnsi="宋体" w:cs="宋体"/>
                <w:sz w:val="24"/>
                <w:lang w:val="zh-CN"/>
              </w:rPr>
              <w:t>a.能够为车载的液压设备提供动力，完成垃圾容器卸料；</w:t>
            </w:r>
          </w:p>
          <w:p>
            <w:pPr>
              <w:spacing w:line="360" w:lineRule="auto"/>
              <w:rPr>
                <w:rFonts w:hint="eastAsia" w:ascii="宋体" w:hAnsi="宋体" w:cs="宋体"/>
                <w:sz w:val="24"/>
                <w:lang w:val="zh-CN"/>
              </w:rPr>
            </w:pPr>
            <w:r>
              <w:rPr>
                <w:rFonts w:hint="eastAsia" w:ascii="宋体" w:hAnsi="宋体" w:cs="宋体"/>
                <w:sz w:val="24"/>
                <w:lang w:val="zh-CN"/>
              </w:rPr>
              <w:t>b.能够为垃圾容器液压设备提供动力，完成垃圾容器的锁紧。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dxa"/>
            <w:noWrap w:val="0"/>
            <w:vAlign w:val="center"/>
          </w:tcPr>
          <w:p>
            <w:pPr>
              <w:spacing w:line="360" w:lineRule="auto"/>
              <w:jc w:val="center"/>
              <w:rPr>
                <w:rFonts w:hint="eastAsia" w:ascii="宋体" w:hAnsi="宋体" w:cs="宋体"/>
                <w:sz w:val="32"/>
                <w:szCs w:val="32"/>
              </w:rPr>
            </w:pPr>
            <w:r>
              <w:rPr>
                <w:rFonts w:hint="eastAsia" w:ascii="宋体" w:hAnsi="宋体" w:cs="宋体"/>
                <w:sz w:val="24"/>
                <w:lang w:val="zh-CN"/>
              </w:rPr>
              <w:t>﹡10</w:t>
            </w:r>
          </w:p>
        </w:tc>
        <w:tc>
          <w:tcPr>
            <w:tcW w:w="7494" w:type="dxa"/>
            <w:gridSpan w:val="4"/>
            <w:noWrap w:val="0"/>
            <w:vAlign w:val="center"/>
          </w:tcPr>
          <w:p>
            <w:pPr>
              <w:spacing w:line="360" w:lineRule="auto"/>
              <w:rPr>
                <w:rFonts w:hint="eastAsia" w:ascii="宋体" w:hAnsi="宋体" w:cs="宋体"/>
                <w:sz w:val="24"/>
                <w:lang w:val="zh-CN"/>
              </w:rPr>
            </w:pPr>
            <w:r>
              <w:rPr>
                <w:rFonts w:hint="eastAsia" w:ascii="宋体" w:hAnsi="宋体" w:cs="宋体"/>
                <w:sz w:val="24"/>
                <w:lang w:val="zh-CN"/>
              </w:rPr>
              <w:t>必须与采购人现有的转运容器外形尺寸和液压系统相匹配，与现有压缩设施设备相匹配（供应商若虚假响应或违反承诺，需承担相应的经济责任和法律责任），提供承诺函。</w:t>
            </w:r>
          </w:p>
        </w:tc>
      </w:tr>
    </w:tbl>
    <w:p>
      <w:pPr>
        <w:ind w:firstLine="480"/>
        <w:rPr>
          <w:rFonts w:hint="eastAsia" w:ascii="宋体" w:hAnsi="宋体" w:cs="宋体"/>
          <w:sz w:val="24"/>
        </w:rPr>
      </w:pPr>
      <w:r>
        <w:rPr>
          <w:rFonts w:hint="eastAsia" w:ascii="宋体" w:hAnsi="宋体" w:cs="宋体"/>
          <w:sz w:val="24"/>
        </w:rPr>
        <w:t>（四） 现有罐体（容器）主要技术参数：（见详图）</w:t>
      </w:r>
    </w:p>
    <w:tbl>
      <w:tblPr>
        <w:tblStyle w:val="5"/>
        <w:tblW w:w="821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4"/>
        <w:gridCol w:w="2689"/>
        <w:gridCol w:w="45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54" w:type="dxa"/>
            <w:tcBorders>
              <w:top w:val="single" w:color="auto" w:sz="4"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序号</w:t>
            </w:r>
          </w:p>
        </w:tc>
        <w:tc>
          <w:tcPr>
            <w:tcW w:w="2689" w:type="dxa"/>
            <w:tcBorders>
              <w:top w:val="single" w:color="auto" w:sz="4"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项 目</w:t>
            </w:r>
          </w:p>
        </w:tc>
        <w:tc>
          <w:tcPr>
            <w:tcW w:w="4576" w:type="dxa"/>
            <w:tcBorders>
              <w:top w:val="single" w:color="auto" w:sz="4"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技术参数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1</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长度</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5917mm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2</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宽度</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2500mm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3</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高度</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2600mm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4</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直径</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2310mm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5</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有效容积</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24m</w:t>
            </w:r>
            <w:r>
              <w:rPr>
                <w:rFonts w:hint="eastAsia" w:ascii="仿宋" w:hAnsi="仿宋" w:eastAsia="仿宋" w:cs="仿宋"/>
                <w:b/>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6</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自重</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3700kg</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7</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额定最大装载质量</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16500kg</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仿宋" w:hAnsi="仿宋" w:eastAsia="仿宋" w:cs="仿宋"/>
                <w:b/>
                <w:szCs w:val="21"/>
              </w:rPr>
            </w:pPr>
            <w:r>
              <w:rPr>
                <w:rFonts w:hint="eastAsia" w:ascii="仿宋" w:hAnsi="仿宋" w:eastAsia="仿宋" w:cs="仿宋"/>
                <w:b/>
                <w:szCs w:val="21"/>
              </w:rPr>
              <w:t>8</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 w:hAnsi="仿宋" w:eastAsia="仿宋" w:cs="仿宋"/>
                <w:b/>
                <w:szCs w:val="21"/>
              </w:rPr>
            </w:pPr>
            <w:r>
              <w:rPr>
                <w:rFonts w:hint="eastAsia" w:ascii="仿宋" w:hAnsi="仿宋" w:eastAsia="仿宋" w:cs="仿宋"/>
                <w:b/>
                <w:szCs w:val="21"/>
              </w:rPr>
              <w:t>容器梁宽</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ascii="仿宋" w:hAnsi="仿宋" w:eastAsia="仿宋" w:cs="仿宋"/>
                <w:b/>
                <w:szCs w:val="21"/>
              </w:rPr>
            </w:pPr>
            <w:r>
              <w:rPr>
                <w:rFonts w:hint="eastAsia" w:ascii="仿宋" w:hAnsi="仿宋" w:eastAsia="仿宋" w:cs="仿宋"/>
                <w:b/>
                <w:szCs w:val="21"/>
              </w:rPr>
              <w:t>1065mm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仿宋" w:hAnsi="仿宋" w:eastAsia="仿宋" w:cs="仿宋"/>
                <w:b/>
                <w:szCs w:val="21"/>
              </w:rPr>
            </w:pPr>
            <w:r>
              <w:rPr>
                <w:rFonts w:hint="eastAsia" w:ascii="仿宋" w:hAnsi="仿宋" w:eastAsia="仿宋" w:cs="仿宋"/>
                <w:b/>
                <w:szCs w:val="21"/>
              </w:rPr>
              <w:t>9</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 w:hAnsi="仿宋" w:eastAsia="仿宋" w:cs="仿宋"/>
                <w:b/>
                <w:szCs w:val="21"/>
              </w:rPr>
            </w:pPr>
            <w:r>
              <w:rPr>
                <w:rFonts w:hint="eastAsia" w:ascii="仿宋" w:hAnsi="仿宋" w:eastAsia="仿宋" w:cs="仿宋"/>
                <w:b/>
                <w:szCs w:val="21"/>
              </w:rPr>
              <w:t>液压快速接头</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ascii="仿宋" w:hAnsi="仿宋" w:eastAsia="仿宋" w:cs="仿宋"/>
                <w:b/>
                <w:szCs w:val="21"/>
              </w:rPr>
            </w:pPr>
            <w:r>
              <w:rPr>
                <w:rFonts w:hint="eastAsia" w:ascii="仿宋" w:hAnsi="仿宋" w:eastAsia="仿宋" w:cs="仿宋"/>
                <w:b/>
                <w:szCs w:val="21"/>
              </w:rPr>
              <w:t>QJHA0502200   QJHA0502100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10</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进料门开启方式</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电动牵引，由卸料溜槽上的驱动机构完成。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11</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jc w:val="center"/>
              <w:rPr>
                <w:rFonts w:ascii="仿宋" w:hAnsi="仿宋" w:eastAsia="仿宋" w:cs="仿宋"/>
                <w:b/>
                <w:szCs w:val="21"/>
              </w:rPr>
            </w:pPr>
            <w:r>
              <w:rPr>
                <w:rFonts w:hint="eastAsia" w:ascii="仿宋" w:hAnsi="仿宋" w:eastAsia="仿宋" w:cs="仿宋"/>
                <w:b/>
                <w:szCs w:val="21"/>
              </w:rPr>
              <w:t>卸载门开启方式</w:t>
            </w:r>
          </w:p>
        </w:tc>
        <w:tc>
          <w:tcPr>
            <w:tcW w:w="4576" w:type="dxa"/>
            <w:tcBorders>
              <w:top w:val="single" w:color="auto" w:sz="6" w:space="0"/>
              <w:left w:val="single" w:color="auto" w:sz="6" w:space="0"/>
              <w:bottom w:val="single" w:color="auto" w:sz="6" w:space="0"/>
              <w:right w:val="single" w:color="auto" w:sz="4" w:space="0"/>
            </w:tcBorders>
            <w:noWrap w:val="0"/>
            <w:vAlign w:val="center"/>
          </w:tcPr>
          <w:p>
            <w:pPr>
              <w:jc w:val="center"/>
              <w:rPr>
                <w:rFonts w:ascii="仿宋" w:hAnsi="仿宋" w:eastAsia="仿宋" w:cs="仿宋"/>
                <w:b/>
                <w:szCs w:val="21"/>
              </w:rPr>
            </w:pPr>
            <w:r>
              <w:rPr>
                <w:rFonts w:hint="eastAsia" w:ascii="仿宋" w:hAnsi="仿宋" w:eastAsia="仿宋" w:cs="仿宋"/>
                <w:b/>
                <w:szCs w:val="21"/>
              </w:rPr>
              <w:t>液压驱动，动力源来自转运车辆</w:t>
            </w:r>
          </w:p>
        </w:tc>
      </w:tr>
    </w:tbl>
    <w:p>
      <w:pPr>
        <w:widowControl/>
        <w:spacing w:line="360" w:lineRule="auto"/>
        <w:jc w:val="left"/>
        <w:rPr>
          <w:rFonts w:hint="eastAsia" w:ascii="宋体" w:hAnsi="宋体" w:cs="宋体"/>
          <w:b/>
          <w:bCs/>
          <w:sz w:val="24"/>
        </w:rPr>
      </w:pPr>
      <w:r>
        <w:rPr>
          <w:rFonts w:ascii="宋体" w:hAnsi="宋体" w:cs="宋体"/>
          <w:b/>
          <w:bCs/>
          <w:sz w:val="24"/>
        </w:rPr>
        <w:drawing>
          <wp:inline distT="0" distB="0" distL="114300" distR="114300">
            <wp:extent cx="5213350" cy="4776470"/>
            <wp:effectExtent l="0" t="0" r="6350" b="5080"/>
            <wp:docPr id="1" name="图片 1" descr="5eac3bb2a7dee4812e37489ba92c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ac3bb2a7dee4812e37489ba92cd29"/>
                    <pic:cNvPicPr>
                      <a:picLocks noChangeAspect="1"/>
                    </pic:cNvPicPr>
                  </pic:nvPicPr>
                  <pic:blipFill>
                    <a:blip r:embed="rId4"/>
                    <a:stretch>
                      <a:fillRect/>
                    </a:stretch>
                  </pic:blipFill>
                  <pic:spPr>
                    <a:xfrm>
                      <a:off x="0" y="0"/>
                      <a:ext cx="5213350" cy="4776470"/>
                    </a:xfrm>
                    <a:prstGeom prst="rect">
                      <a:avLst/>
                    </a:prstGeom>
                    <a:noFill/>
                    <a:ln>
                      <a:noFill/>
                    </a:ln>
                  </pic:spPr>
                </pic:pic>
              </a:graphicData>
            </a:graphic>
          </wp:inline>
        </w:drawing>
      </w:r>
    </w:p>
    <w:p>
      <w:pPr>
        <w:widowControl/>
        <w:spacing w:line="360" w:lineRule="auto"/>
        <w:jc w:val="left"/>
        <w:rPr>
          <w:rFonts w:hint="eastAsia" w:ascii="宋体" w:hAnsi="宋体" w:cs="宋体"/>
          <w:b/>
          <w:bCs/>
          <w:color w:val="auto"/>
          <w:sz w:val="24"/>
          <w:highlight w:val="none"/>
        </w:rPr>
      </w:pPr>
      <w:r>
        <w:rPr>
          <w:rFonts w:hint="eastAsia" w:ascii="宋体" w:hAnsi="宋体" w:cs="宋体"/>
          <w:b/>
          <w:bCs/>
          <w:color w:val="auto"/>
          <w:sz w:val="24"/>
          <w:highlight w:val="none"/>
        </w:rPr>
        <w:t>三、商务要求</w:t>
      </w:r>
    </w:p>
    <w:p>
      <w:pPr>
        <w:widowControl/>
        <w:spacing w:line="360" w:lineRule="auto"/>
        <w:ind w:firstLine="470" w:firstLineChars="196"/>
        <w:jc w:val="left"/>
        <w:outlineLvl w:val="1"/>
        <w:rPr>
          <w:rFonts w:hint="eastAsia" w:ascii="宋体" w:hAnsi="宋体"/>
          <w:color w:val="auto"/>
          <w:sz w:val="24"/>
          <w:highlight w:val="none"/>
        </w:rPr>
      </w:pPr>
      <w:r>
        <w:rPr>
          <w:rFonts w:hint="eastAsia" w:ascii="宋体" w:hAnsi="宋体" w:cs="宋体"/>
          <w:color w:val="auto"/>
          <w:sz w:val="24"/>
          <w:highlight w:val="none"/>
        </w:rPr>
        <w:t>*1</w:t>
      </w:r>
      <w:r>
        <w:rPr>
          <w:rFonts w:hint="eastAsia" w:ascii="仿宋" w:hAnsi="仿宋" w:eastAsia="仿宋"/>
          <w:b/>
          <w:color w:val="auto"/>
          <w:sz w:val="24"/>
          <w:highlight w:val="none"/>
        </w:rPr>
        <w:t xml:space="preserve"> </w:t>
      </w:r>
      <w:r>
        <w:rPr>
          <w:rFonts w:hint="eastAsia" w:ascii="宋体" w:hAnsi="宋体"/>
          <w:color w:val="auto"/>
          <w:sz w:val="24"/>
          <w:highlight w:val="none"/>
        </w:rPr>
        <w:t>报价应是采购人最终验收车厢可卸式垃圾车合格后的总价，包括车厢可卸式垃圾车运输、运输保险、其它委托代理、安装调试、培训、车辆保险、车辆购置税、车辆上户、牌照等费用。</w:t>
      </w:r>
    </w:p>
    <w:p>
      <w:pPr>
        <w:widowControl/>
        <w:spacing w:line="360" w:lineRule="auto"/>
        <w:ind w:firstLine="470" w:firstLineChars="196"/>
        <w:jc w:val="left"/>
        <w:outlineLvl w:val="1"/>
        <w:rPr>
          <w:rFonts w:hint="eastAsia" w:ascii="宋体" w:hAnsi="宋体"/>
          <w:color w:val="auto"/>
          <w:sz w:val="24"/>
          <w:highlight w:val="none"/>
        </w:rPr>
      </w:pPr>
      <w:r>
        <w:rPr>
          <w:rFonts w:hint="eastAsia" w:ascii="宋体" w:hAnsi="宋体"/>
          <w:color w:val="auto"/>
          <w:sz w:val="24"/>
          <w:highlight w:val="none"/>
        </w:rPr>
        <w:t>车辆保险应含交强险和商业保险，其中商业保险应包含足额的车损险</w:t>
      </w:r>
      <w:r>
        <w:rPr>
          <w:rFonts w:hint="eastAsia" w:ascii="宋体" w:hAnsi="宋体"/>
          <w:color w:val="auto"/>
          <w:sz w:val="24"/>
          <w:highlight w:val="none"/>
          <w:u w:val="single"/>
        </w:rPr>
        <w:t xml:space="preserve">      </w:t>
      </w:r>
      <w:r>
        <w:rPr>
          <w:rFonts w:hint="eastAsia" w:ascii="宋体" w:hAnsi="宋体"/>
          <w:color w:val="auto"/>
          <w:sz w:val="24"/>
          <w:highlight w:val="none"/>
        </w:rPr>
        <w:t>万/年；机动车车上人员责任保险（司机）、机动车车上人员责任保险（乘客）险各50万/座*1座；第三者责任险：保额200万元/年。以上保险的保险期限应为一年。</w:t>
      </w:r>
    </w:p>
    <w:p>
      <w:pPr>
        <w:widowControl/>
        <w:spacing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本项目采购人不再另行支付其它费用。</w:t>
      </w:r>
    </w:p>
    <w:p>
      <w:pPr>
        <w:widowControl/>
        <w:spacing w:line="360" w:lineRule="auto"/>
        <w:jc w:val="left"/>
        <w:outlineLvl w:val="1"/>
        <w:rPr>
          <w:rFonts w:hint="eastAsia" w:ascii="宋体" w:hAnsi="宋体"/>
          <w:sz w:val="24"/>
        </w:rPr>
      </w:pPr>
      <w:r>
        <w:rPr>
          <w:rFonts w:hint="eastAsia" w:ascii="宋体" w:hAnsi="宋体"/>
          <w:color w:val="auto"/>
          <w:sz w:val="24"/>
          <w:highlight w:val="none"/>
        </w:rPr>
        <w:t>注：1.1 所有新购车辆的交强险和商业保险均应注明投保人：成都市武侯区环卫清运中心，被保险人：成都市武侯区环卫清</w:t>
      </w:r>
      <w:r>
        <w:rPr>
          <w:rFonts w:hint="eastAsia" w:ascii="宋体" w:hAnsi="宋体"/>
          <w:sz w:val="24"/>
        </w:rPr>
        <w:t>运中心。</w:t>
      </w:r>
    </w:p>
    <w:p>
      <w:pPr>
        <w:widowControl/>
        <w:spacing w:line="360" w:lineRule="auto"/>
        <w:ind w:firstLine="480" w:firstLineChars="200"/>
        <w:jc w:val="left"/>
        <w:outlineLvl w:val="1"/>
        <w:rPr>
          <w:rFonts w:hint="eastAsia" w:ascii="宋体" w:hAnsi="宋体"/>
          <w:sz w:val="24"/>
        </w:rPr>
      </w:pPr>
      <w:r>
        <w:rPr>
          <w:rFonts w:hint="eastAsia" w:ascii="宋体" w:hAnsi="宋体"/>
          <w:sz w:val="24"/>
        </w:rPr>
        <w:t>1.2车辆交强险、商业险（票据单开）</w:t>
      </w:r>
    </w:p>
    <w:p>
      <w:pPr>
        <w:spacing w:line="360" w:lineRule="auto"/>
        <w:ind w:firstLine="480" w:firstLineChars="200"/>
        <w:rPr>
          <w:rFonts w:ascii="宋体" w:hAnsi="宋体"/>
          <w:sz w:val="24"/>
        </w:rPr>
      </w:pPr>
      <w:r>
        <w:rPr>
          <w:rFonts w:hint="eastAsia" w:ascii="宋体" w:hAnsi="宋体"/>
          <w:sz w:val="24"/>
        </w:rPr>
        <w:t>1.3所有新购车辆的交强险和商业险均应在成都市武侯区机关、事业单位和团体组织2019-2021年度公务车辆定点保险公司（中国人民财产保险股份有限公司成都市分公司、中国太平洋财产保险股份有限公司四川分公司、中华联合财产保险股份有限公司四川分公司）任选一家购买。</w:t>
      </w:r>
    </w:p>
    <w:p>
      <w:pPr>
        <w:pStyle w:val="4"/>
        <w:spacing w:line="360" w:lineRule="auto"/>
        <w:ind w:firstLine="480"/>
        <w:rPr>
          <w:rFonts w:hint="eastAsia" w:ascii="宋体" w:hAnsi="宋体"/>
          <w:sz w:val="24"/>
          <w:highlight w:val="none"/>
        </w:rPr>
      </w:pPr>
      <w:r>
        <w:rPr>
          <w:rFonts w:hint="eastAsia" w:ascii="宋体" w:hAnsi="宋体"/>
          <w:sz w:val="24"/>
          <w:highlight w:val="none"/>
        </w:rPr>
        <w:t>*2.交货期及地点</w:t>
      </w:r>
    </w:p>
    <w:p>
      <w:pPr>
        <w:pStyle w:val="4"/>
        <w:spacing w:line="360" w:lineRule="auto"/>
        <w:ind w:firstLine="480"/>
        <w:rPr>
          <w:rFonts w:hint="eastAsia" w:ascii="宋体" w:hAnsi="宋体" w:cs="宋体"/>
          <w:sz w:val="24"/>
          <w:highlight w:val="none"/>
        </w:rPr>
      </w:pPr>
      <w:r>
        <w:rPr>
          <w:rFonts w:hint="eastAsia" w:ascii="宋体" w:hAnsi="宋体" w:cs="宋体"/>
          <w:sz w:val="24"/>
          <w:highlight w:val="none"/>
        </w:rPr>
        <w:t>2.1.1 交货期：合同签订并生效后20日内（含20日）。</w:t>
      </w:r>
    </w:p>
    <w:p>
      <w:pPr>
        <w:pStyle w:val="4"/>
        <w:spacing w:line="360" w:lineRule="auto"/>
        <w:ind w:firstLine="480"/>
        <w:rPr>
          <w:rFonts w:hint="eastAsia" w:ascii="宋体" w:hAnsi="宋体" w:cs="宋体"/>
          <w:sz w:val="24"/>
        </w:rPr>
      </w:pPr>
      <w:r>
        <w:rPr>
          <w:rFonts w:hint="eastAsia" w:ascii="宋体" w:hAnsi="宋体" w:cs="宋体"/>
          <w:sz w:val="24"/>
          <w:highlight w:val="none"/>
        </w:rPr>
        <w:t>2.1.2 交货地点：</w:t>
      </w:r>
      <w:r>
        <w:rPr>
          <w:rFonts w:hint="eastAsia" w:ascii="宋体" w:hAnsi="宋体" w:cs="宋体"/>
          <w:spacing w:val="-4"/>
          <w:sz w:val="24"/>
          <w:highlight w:val="none"/>
        </w:rPr>
        <w:t>成都市武侯区环卫清运中心</w:t>
      </w:r>
      <w:r>
        <w:rPr>
          <w:rFonts w:hint="eastAsia" w:ascii="宋体" w:hAnsi="宋体" w:cs="宋体"/>
          <w:sz w:val="24"/>
          <w:highlight w:val="none"/>
        </w:rPr>
        <w:t>指定地点，武侯</w:t>
      </w:r>
      <w:r>
        <w:rPr>
          <w:rFonts w:hint="eastAsia" w:ascii="宋体" w:hAnsi="宋体" w:cs="宋体"/>
          <w:sz w:val="24"/>
        </w:rPr>
        <w:t>区簇桥乡南桥村六组18号。</w:t>
      </w:r>
    </w:p>
    <w:p>
      <w:pPr>
        <w:pStyle w:val="4"/>
        <w:spacing w:line="360" w:lineRule="auto"/>
        <w:ind w:firstLine="480"/>
        <w:rPr>
          <w:rFonts w:hint="eastAsia" w:ascii="宋体" w:hAnsi="宋体" w:cs="宋体"/>
          <w:sz w:val="24"/>
        </w:rPr>
      </w:pPr>
      <w:r>
        <w:rPr>
          <w:rFonts w:hint="eastAsia" w:ascii="宋体" w:hAnsi="宋体" w:cs="宋体"/>
          <w:sz w:val="24"/>
        </w:rPr>
        <w:t>*3.付款方式</w:t>
      </w:r>
    </w:p>
    <w:p>
      <w:pPr>
        <w:pStyle w:val="4"/>
        <w:spacing w:line="360" w:lineRule="auto"/>
        <w:ind w:firstLine="480"/>
        <w:rPr>
          <w:rFonts w:hint="eastAsia" w:ascii="宋体" w:hAnsi="宋体" w:cs="宋体"/>
          <w:sz w:val="24"/>
          <w:highlight w:val="none"/>
        </w:rPr>
      </w:pPr>
      <w:r>
        <w:rPr>
          <w:rFonts w:hint="eastAsia" w:ascii="宋体" w:hAnsi="宋体" w:cs="宋体"/>
          <w:sz w:val="24"/>
        </w:rPr>
        <w:t>货物经安装、调试、</w:t>
      </w:r>
      <w:r>
        <w:rPr>
          <w:rFonts w:hint="eastAsia" w:ascii="宋体" w:hAnsi="宋体" w:cs="宋体"/>
          <w:sz w:val="24"/>
          <w:highlight w:val="none"/>
        </w:rPr>
        <w:t>培训且验收合格1个月后，采购人在收到中标人合法票据且完善支付流程后以对公转账的方式支付合同总金额的100%。</w:t>
      </w:r>
    </w:p>
    <w:p>
      <w:pPr>
        <w:pStyle w:val="4"/>
        <w:spacing w:line="360" w:lineRule="auto"/>
        <w:ind w:firstLine="480"/>
        <w:rPr>
          <w:rFonts w:hint="eastAsia" w:ascii="宋体" w:hAnsi="宋体" w:cs="宋体"/>
          <w:sz w:val="24"/>
        </w:rPr>
      </w:pPr>
      <w:r>
        <w:rPr>
          <w:rFonts w:hint="eastAsia" w:ascii="宋体" w:hAnsi="宋体" w:cs="宋体"/>
          <w:sz w:val="24"/>
        </w:rPr>
        <w:t>*3.1质量金及质保期：</w:t>
      </w:r>
    </w:p>
    <w:p>
      <w:pPr>
        <w:pStyle w:val="4"/>
        <w:spacing w:line="360" w:lineRule="auto"/>
        <w:ind w:firstLine="480"/>
        <w:rPr>
          <w:rFonts w:hint="eastAsia" w:ascii="宋体" w:hAnsi="宋体" w:cs="宋体"/>
          <w:sz w:val="24"/>
        </w:rPr>
      </w:pPr>
      <w:r>
        <w:rPr>
          <w:rFonts w:hint="eastAsia" w:ascii="宋体" w:hAnsi="宋体" w:cs="宋体"/>
          <w:sz w:val="24"/>
        </w:rPr>
        <w:t>在合同签订后5个工作日内，乙方应先缴纳中标总金额的5%作为质保金，质保金在供应商承诺的质保期满后由甲方无息返还乙方。</w:t>
      </w:r>
    </w:p>
    <w:p>
      <w:pPr>
        <w:pStyle w:val="4"/>
        <w:spacing w:line="360" w:lineRule="auto"/>
        <w:ind w:firstLine="480"/>
        <w:rPr>
          <w:rFonts w:hint="eastAsia" w:ascii="宋体" w:hAnsi="宋体" w:cs="宋体"/>
          <w:sz w:val="24"/>
        </w:rPr>
      </w:pPr>
      <w:r>
        <w:rPr>
          <w:rFonts w:hint="eastAsia" w:ascii="宋体" w:hAnsi="宋体" w:cs="宋体"/>
          <w:sz w:val="24"/>
        </w:rPr>
        <w:t>车厢可卸式垃圾车经调试验收合格后至少1年。车厢可卸式垃圾车单车单次出现故障后3日内不能恢复正常使用的，需提供备用产品或给出能继续使用的替代方案。车厢可卸式垃圾车出现单车单次故障</w:t>
      </w:r>
      <w:r>
        <w:rPr>
          <w:rFonts w:ascii="宋体" w:hAnsi="宋体" w:cs="宋体"/>
          <w:sz w:val="24"/>
        </w:rPr>
        <w:t>7</w:t>
      </w:r>
      <w:r>
        <w:rPr>
          <w:rFonts w:hint="eastAsia" w:ascii="宋体" w:hAnsi="宋体" w:cs="宋体"/>
          <w:sz w:val="24"/>
        </w:rPr>
        <w:t>日内不能恢复正常使用的，应当更换新的车厢可卸式垃圾车，所需费用包含在投标报价中。</w:t>
      </w:r>
    </w:p>
    <w:p>
      <w:pPr>
        <w:pStyle w:val="4"/>
        <w:spacing w:line="360" w:lineRule="auto"/>
        <w:ind w:firstLine="480"/>
        <w:rPr>
          <w:rFonts w:hint="eastAsia" w:ascii="宋体" w:hAnsi="宋体" w:cs="宋体"/>
          <w:sz w:val="24"/>
        </w:rPr>
      </w:pPr>
      <w:r>
        <w:rPr>
          <w:rFonts w:hint="eastAsia" w:ascii="宋体" w:hAnsi="宋体" w:cs="宋体"/>
          <w:sz w:val="24"/>
        </w:rPr>
        <w:t>*4安装调试及验收</w:t>
      </w:r>
    </w:p>
    <w:p>
      <w:pPr>
        <w:pStyle w:val="4"/>
        <w:spacing w:line="360" w:lineRule="auto"/>
        <w:ind w:firstLine="480"/>
        <w:rPr>
          <w:rFonts w:hint="eastAsia" w:ascii="宋体" w:hAnsi="宋体" w:cs="宋体"/>
          <w:sz w:val="24"/>
        </w:rPr>
      </w:pPr>
      <w:r>
        <w:rPr>
          <w:rFonts w:hint="eastAsia" w:ascii="宋体" w:hAnsi="宋体" w:cs="宋体"/>
          <w:sz w:val="24"/>
        </w:rPr>
        <w:t>4.1供应商负责车厢可卸式垃圾车安装、调试、并协助采购人完成车辆证照办理手续。</w:t>
      </w:r>
    </w:p>
    <w:p>
      <w:pPr>
        <w:pStyle w:val="4"/>
        <w:spacing w:line="360" w:lineRule="auto"/>
        <w:ind w:firstLine="480"/>
        <w:rPr>
          <w:rFonts w:hint="eastAsia" w:ascii="宋体" w:hAnsi="宋体" w:cs="宋体"/>
          <w:sz w:val="24"/>
        </w:rPr>
      </w:pPr>
      <w:r>
        <w:rPr>
          <w:rFonts w:hint="eastAsia" w:ascii="宋体" w:hAnsi="宋体" w:cs="宋体"/>
          <w:sz w:val="24"/>
        </w:rPr>
        <w:t>4.2车厢可卸式垃圾车送达后，供应商接到采购人通知后7日内到达现场组织安装、调试，达到正常运行要求，确保采购人正常使用。所需的费用包括在投标总价格中。</w:t>
      </w:r>
    </w:p>
    <w:p>
      <w:pPr>
        <w:pStyle w:val="4"/>
        <w:spacing w:line="360" w:lineRule="auto"/>
        <w:ind w:firstLine="480"/>
        <w:rPr>
          <w:rFonts w:hint="eastAsia" w:ascii="宋体" w:hAnsi="宋体" w:cs="宋体"/>
          <w:sz w:val="24"/>
        </w:rPr>
      </w:pPr>
      <w:r>
        <w:rPr>
          <w:rFonts w:hint="eastAsia" w:ascii="宋体" w:hAnsi="宋体" w:cs="宋体"/>
          <w:sz w:val="24"/>
        </w:rPr>
        <w:t>4.3供应商应就车厢可卸式垃圾车的安装、调试、操作、维修、保养等对采购人维修技术人员进行培训。设备安装调试完毕后，供应商应对采购人操作人员进行现场培训，直至采购人的技术人员能独立操作，同时能完成一般常见故障的维修工作。</w:t>
      </w:r>
    </w:p>
    <w:p>
      <w:pPr>
        <w:pStyle w:val="4"/>
        <w:spacing w:line="360" w:lineRule="auto"/>
        <w:ind w:firstLine="480"/>
        <w:rPr>
          <w:rFonts w:ascii="宋体" w:hAnsi="宋体" w:cs="宋体"/>
          <w:sz w:val="24"/>
        </w:rPr>
      </w:pPr>
      <w:r>
        <w:rPr>
          <w:rFonts w:hint="eastAsia" w:ascii="宋体" w:hAnsi="宋体" w:cs="宋体"/>
          <w:sz w:val="24"/>
        </w:rPr>
        <w:t>4.4如乙方未能按时交付车厢可卸式垃圾车，则每延期一天扣除合同总金额的千分之二作为违约金。</w:t>
      </w:r>
    </w:p>
    <w:p>
      <w:pPr>
        <w:pStyle w:val="4"/>
        <w:spacing w:line="360" w:lineRule="auto"/>
        <w:ind w:firstLine="480"/>
        <w:rPr>
          <w:rFonts w:hint="eastAsia" w:ascii="宋体" w:hAnsi="宋体" w:cs="宋体"/>
          <w:sz w:val="24"/>
        </w:rPr>
      </w:pPr>
      <w:r>
        <w:rPr>
          <w:rFonts w:hint="eastAsia" w:ascii="宋体" w:hAnsi="宋体" w:cs="宋体"/>
          <w:sz w:val="24"/>
        </w:rPr>
        <w:t>4</w:t>
      </w:r>
      <w:r>
        <w:rPr>
          <w:rFonts w:ascii="宋体" w:hAnsi="宋体" w:cs="宋体"/>
          <w:sz w:val="24"/>
        </w:rPr>
        <w:t>.5 所有交付的</w:t>
      </w:r>
      <w:r>
        <w:rPr>
          <w:rFonts w:hint="eastAsia" w:ascii="宋体" w:hAnsi="宋体" w:cs="宋体"/>
          <w:sz w:val="24"/>
        </w:rPr>
        <w:t>车厢可卸式垃圾车</w:t>
      </w:r>
      <w:r>
        <w:rPr>
          <w:rFonts w:ascii="宋体" w:hAnsi="宋体" w:cs="宋体"/>
          <w:sz w:val="24"/>
        </w:rPr>
        <w:t>的外观涂层</w:t>
      </w:r>
      <w:r>
        <w:rPr>
          <w:rFonts w:hint="eastAsia" w:ascii="宋体" w:hAnsi="宋体" w:cs="宋体"/>
          <w:sz w:val="24"/>
        </w:rPr>
        <w:t>、</w:t>
      </w:r>
      <w:r>
        <w:rPr>
          <w:rFonts w:ascii="宋体" w:hAnsi="宋体" w:cs="宋体"/>
          <w:sz w:val="24"/>
        </w:rPr>
        <w:t>警示标志</w:t>
      </w:r>
      <w:r>
        <w:rPr>
          <w:rFonts w:hint="eastAsia" w:ascii="宋体" w:hAnsi="宋体" w:cs="宋体"/>
          <w:sz w:val="24"/>
        </w:rPr>
        <w:t>、</w:t>
      </w:r>
      <w:r>
        <w:rPr>
          <w:rFonts w:ascii="宋体" w:hAnsi="宋体" w:cs="宋体"/>
          <w:sz w:val="24"/>
        </w:rPr>
        <w:t>标识应一致</w:t>
      </w:r>
      <w:r>
        <w:rPr>
          <w:rFonts w:hint="eastAsia" w:ascii="宋体" w:hAnsi="宋体" w:cs="宋体"/>
          <w:sz w:val="24"/>
        </w:rPr>
        <w:t>。</w:t>
      </w:r>
    </w:p>
    <w:p>
      <w:pPr>
        <w:pStyle w:val="4"/>
        <w:spacing w:line="360" w:lineRule="auto"/>
        <w:ind w:firstLine="480"/>
        <w:rPr>
          <w:rFonts w:hint="eastAsia" w:ascii="宋体" w:hAnsi="宋体" w:cs="宋体"/>
          <w:sz w:val="24"/>
        </w:rPr>
      </w:pPr>
      <w:r>
        <w:rPr>
          <w:rFonts w:hint="eastAsia" w:ascii="宋体" w:hAnsi="宋体" w:cs="宋体"/>
          <w:sz w:val="24"/>
        </w:rPr>
        <w:t>4.6 车厢可卸式垃圾车交付前的风险由供应商承担。</w:t>
      </w:r>
    </w:p>
    <w:p>
      <w:pPr>
        <w:pStyle w:val="4"/>
        <w:spacing w:line="360" w:lineRule="auto"/>
        <w:ind w:firstLine="480"/>
        <w:rPr>
          <w:rFonts w:hint="eastAsia" w:ascii="宋体" w:hAnsi="宋体" w:cs="宋体"/>
          <w:sz w:val="24"/>
        </w:rPr>
      </w:pPr>
      <w:r>
        <w:rPr>
          <w:rFonts w:hint="eastAsia" w:ascii="宋体" w:hAnsi="宋体" w:cs="宋体"/>
          <w:sz w:val="24"/>
        </w:rPr>
        <w:t>*5.售后服务</w:t>
      </w:r>
    </w:p>
    <w:p>
      <w:pPr>
        <w:pStyle w:val="4"/>
        <w:spacing w:line="360" w:lineRule="auto"/>
        <w:ind w:firstLine="480"/>
        <w:rPr>
          <w:rFonts w:hint="eastAsia" w:ascii="宋体" w:hAnsi="宋体" w:cs="宋体"/>
          <w:sz w:val="24"/>
        </w:rPr>
      </w:pPr>
      <w:r>
        <w:rPr>
          <w:rFonts w:hint="eastAsia" w:ascii="宋体" w:hAnsi="宋体" w:cs="宋体"/>
          <w:sz w:val="24"/>
        </w:rPr>
        <w:t>5.1提供有关资料及售后服务承诺。</w:t>
      </w:r>
    </w:p>
    <w:p>
      <w:pPr>
        <w:pStyle w:val="4"/>
        <w:spacing w:line="360" w:lineRule="auto"/>
        <w:ind w:firstLine="480"/>
        <w:rPr>
          <w:rFonts w:hint="eastAsia" w:ascii="宋体" w:hAnsi="宋体" w:cs="宋体"/>
          <w:sz w:val="24"/>
        </w:rPr>
      </w:pPr>
      <w:r>
        <w:rPr>
          <w:rFonts w:hint="eastAsia" w:ascii="宋体" w:hAnsi="宋体" w:cs="宋体"/>
          <w:sz w:val="24"/>
        </w:rPr>
        <w:t>5.2备件送达期限：供应商应保证不超过15天。</w:t>
      </w:r>
    </w:p>
    <w:p>
      <w:pPr>
        <w:pStyle w:val="4"/>
        <w:spacing w:line="360" w:lineRule="auto"/>
        <w:ind w:firstLine="480"/>
        <w:rPr>
          <w:rFonts w:hint="eastAsia" w:ascii="宋体" w:hAnsi="宋体" w:cs="宋体"/>
          <w:sz w:val="24"/>
        </w:rPr>
      </w:pPr>
      <w:r>
        <w:rPr>
          <w:rFonts w:hint="eastAsia" w:ascii="宋体" w:hAnsi="宋体" w:cs="宋体"/>
          <w:sz w:val="24"/>
        </w:rPr>
        <w:t>5.3终身零配件供应：投标人应保证车厢可卸式垃圾车停产后的备件供应，至少保证10年，并以优惠的价格提供该设备所需的维修零配件。</w:t>
      </w:r>
    </w:p>
    <w:p>
      <w:pPr>
        <w:pStyle w:val="4"/>
        <w:spacing w:line="360" w:lineRule="auto"/>
        <w:ind w:firstLine="480"/>
        <w:rPr>
          <w:rFonts w:hint="eastAsia" w:ascii="宋体" w:hAnsi="宋体" w:cs="宋体"/>
          <w:sz w:val="24"/>
        </w:rPr>
      </w:pPr>
      <w:r>
        <w:rPr>
          <w:rFonts w:hint="eastAsia" w:ascii="宋体" w:hAnsi="宋体" w:cs="宋体"/>
          <w:sz w:val="24"/>
        </w:rPr>
        <w:t>5.4供应商应有24小时电话维修系统。</w:t>
      </w:r>
    </w:p>
    <w:p>
      <w:pPr>
        <w:pStyle w:val="4"/>
        <w:spacing w:line="360" w:lineRule="auto"/>
        <w:ind w:firstLine="480"/>
        <w:rPr>
          <w:rFonts w:hint="eastAsia" w:ascii="宋体" w:hAnsi="宋体" w:cs="宋体"/>
          <w:sz w:val="24"/>
        </w:rPr>
      </w:pPr>
      <w:r>
        <w:rPr>
          <w:rFonts w:hint="eastAsia" w:ascii="宋体" w:hAnsi="宋体" w:cs="宋体"/>
          <w:sz w:val="24"/>
        </w:rPr>
        <w:t>5.5质保期后，供应商应向用户提供及时的、优质的、价格优惠的技术服务和备品备件供应。</w:t>
      </w:r>
    </w:p>
    <w:p>
      <w:pPr>
        <w:pStyle w:val="4"/>
        <w:spacing w:line="360" w:lineRule="auto"/>
        <w:ind w:firstLine="480"/>
        <w:rPr>
          <w:rFonts w:hint="eastAsia" w:ascii="宋体" w:hAnsi="宋体" w:cs="宋体"/>
          <w:sz w:val="24"/>
        </w:rPr>
      </w:pPr>
      <w:r>
        <w:rPr>
          <w:rFonts w:hint="eastAsia" w:ascii="宋体" w:hAnsi="宋体" w:cs="宋体"/>
          <w:sz w:val="24"/>
        </w:rPr>
        <w:t>*6.验收：严格参照《财政部关于进一步加强政府采购需求和履约验收管理的指导意见》（财库〔2016〕205 号）的要求及招标文件技术要求、投标文件响应情况和国家、行业标准进行验收。验收时供应商应提供质检报告或材质报告等作为产品材质的有效证明。</w:t>
      </w:r>
    </w:p>
    <w:p>
      <w:pPr>
        <w:pStyle w:val="4"/>
        <w:spacing w:line="360" w:lineRule="auto"/>
        <w:ind w:firstLine="480"/>
        <w:rPr>
          <w:rFonts w:hint="eastAsia" w:ascii="宋体" w:hAnsi="宋体" w:cs="宋体"/>
          <w:sz w:val="24"/>
        </w:rPr>
      </w:pPr>
      <w:r>
        <w:rPr>
          <w:rFonts w:hint="eastAsia" w:ascii="宋体" w:hAnsi="宋体" w:cs="宋体"/>
          <w:sz w:val="24"/>
        </w:rPr>
        <w:t>*7.中标后合同签订时，必须提供投标产品的保养计划，明确保养内容及执行表单。每次对投标产品定期巡检后将巡检报告交由使用科室相关负责人签字确认，巡检报告将作为产品质保服务评价的重要依据。</w:t>
      </w:r>
    </w:p>
    <w:p>
      <w:pPr>
        <w:widowControl/>
        <w:spacing w:line="360" w:lineRule="auto"/>
        <w:jc w:val="left"/>
      </w:pPr>
      <w:r>
        <w:rPr>
          <w:rFonts w:hint="eastAsia" w:ascii="宋体" w:hAnsi="宋体" w:cs="宋体"/>
          <w:sz w:val="24"/>
        </w:rPr>
        <w:t>注：标注“*”的条款为本项目的实质性条款，投标人不满足的，将按照无效投标处理。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1E1A56"/>
    <w:rsid w:val="261E1A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4">
    <w:name w:val="Normal Indent"/>
    <w:basedOn w:val="1"/>
    <w:qFormat/>
    <w:uiPriority w:val="0"/>
    <w:pPr>
      <w:ind w:firstLine="200" w:firstLineChars="200"/>
    </w:pPr>
  </w:style>
  <w:style w:type="paragraph" w:customStyle="1" w:styleId="7">
    <w:name w:val="_Style 1"/>
    <w:basedOn w:val="1"/>
    <w:qFormat/>
    <w:uiPriority w:val="0"/>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2021-06-28T03:44:00Z</dcterms:created>
  <dc:creator>嵐</dc:creator>
  <cp:lastModifiedBy>嵐</cp:lastModifiedBy>
  <dcterms:modified xsi:type="dcterms:W3CDTF">2021-06-28T03:44:45Z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