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3"/>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b/>
          <w:bCs/>
          <w:sz w:val="40"/>
          <w:szCs w:val="40"/>
          <w:lang w:val="en-US"/>
        </w:rPr>
      </w:pPr>
      <w:bookmarkStart w:id="0" w:name="_Toc578"/>
      <w:bookmarkStart w:id="1" w:name="_Toc5725"/>
      <w:bookmarkStart w:id="2" w:name="_Toc6478"/>
      <w:r>
        <w:rPr>
          <w:rFonts w:hint="eastAsia"/>
          <w:b/>
          <w:bCs/>
          <w:sz w:val="40"/>
          <w:szCs w:val="40"/>
        </w:rPr>
        <w:t>项目编号：510107202100193</w:t>
      </w:r>
    </w:p>
    <w:p>
      <w:pPr>
        <w:pStyle w:val="3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b/>
          <w:bCs/>
          <w:sz w:val="40"/>
          <w:szCs w:val="40"/>
          <w:lang w:val="en-US" w:eastAsia="zh-CN"/>
        </w:rPr>
      </w:pPr>
      <w:r>
        <w:rPr>
          <w:rFonts w:hint="eastAsia"/>
          <w:b/>
          <w:bCs/>
          <w:sz w:val="40"/>
          <w:szCs w:val="40"/>
          <w:lang w:val="en-US" w:eastAsia="zh-CN"/>
        </w:rPr>
        <w:t>内部编号：SCGHX-GZ-20210177</w:t>
      </w:r>
    </w:p>
    <w:p>
      <w:pPr>
        <w:pStyle w:val="3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bCs/>
          <w:sz w:val="40"/>
          <w:szCs w:val="40"/>
        </w:rPr>
      </w:pPr>
      <w:r>
        <w:rPr>
          <w:rFonts w:hint="eastAsia"/>
          <w:b/>
          <w:bCs/>
          <w:sz w:val="40"/>
          <w:szCs w:val="40"/>
        </w:rPr>
        <w:t>项目名称：</w:t>
      </w:r>
      <w:r>
        <w:rPr>
          <w:rFonts w:hint="eastAsia"/>
          <w:b/>
          <w:bCs/>
          <w:sz w:val="40"/>
          <w:szCs w:val="40"/>
          <w:lang w:eastAsia="zh-CN"/>
        </w:rPr>
        <w:t>成都市武侯区市场监督管理局食品安全巡查第三方服务</w:t>
      </w:r>
      <w:r>
        <w:rPr>
          <w:rFonts w:hint="eastAsia"/>
          <w:b/>
          <w:bCs/>
          <w:sz w:val="40"/>
          <w:szCs w:val="40"/>
          <w:lang w:val="en-US" w:eastAsia="zh-CN"/>
        </w:rPr>
        <w:t>采购项目</w:t>
      </w:r>
    </w:p>
    <w:p>
      <w:pPr>
        <w:pStyle w:val="3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bCs/>
          <w:sz w:val="40"/>
          <w:szCs w:val="40"/>
        </w:rPr>
      </w:pPr>
      <w:r>
        <w:rPr>
          <w:rFonts w:hint="eastAsia"/>
          <w:b/>
          <w:bCs/>
          <w:sz w:val="40"/>
          <w:szCs w:val="40"/>
        </w:rPr>
        <w:t xml:space="preserve"> </w:t>
      </w:r>
    </w:p>
    <w:p>
      <w:pPr>
        <w:pStyle w:val="33"/>
        <w:keepNext w:val="0"/>
        <w:keepLines w:val="0"/>
        <w:pageBreakBefore w:val="0"/>
        <w:widowControl w:val="0"/>
        <w:kinsoku/>
        <w:wordWrap w:val="0"/>
        <w:overflowPunct/>
        <w:topLinePunct/>
        <w:autoSpaceDE/>
        <w:autoSpaceDN/>
        <w:bidi w:val="0"/>
        <w:adjustRightInd w:val="0"/>
        <w:snapToGrid w:val="0"/>
        <w:spacing w:before="3433" w:beforeLines="1100" w:after="3433" w:afterLines="1100" w:line="240" w:lineRule="auto"/>
        <w:jc w:val="center"/>
        <w:textAlignment w:val="auto"/>
        <w:rPr>
          <w:rFonts w:hint="eastAsia"/>
          <w:b/>
          <w:bCs/>
          <w:sz w:val="96"/>
          <w:szCs w:val="96"/>
        </w:rPr>
      </w:pPr>
      <w:r>
        <w:rPr>
          <w:rFonts w:hint="eastAsia"/>
          <w:b/>
          <w:bCs/>
          <w:sz w:val="96"/>
          <w:szCs w:val="96"/>
        </w:rPr>
        <w:t>招标文件</w:t>
      </w:r>
    </w:p>
    <w:p>
      <w:pPr>
        <w:pStyle w:val="33"/>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sz w:val="28"/>
          <w:szCs w:val="28"/>
        </w:rPr>
      </w:pPr>
      <w:r>
        <w:rPr>
          <w:rFonts w:hint="eastAsia"/>
          <w:b/>
          <w:bCs/>
          <w:sz w:val="28"/>
          <w:szCs w:val="28"/>
        </w:rPr>
        <w:t>中国·四川</w:t>
      </w:r>
    </w:p>
    <w:p>
      <w:pPr>
        <w:pStyle w:val="33"/>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sz w:val="28"/>
          <w:szCs w:val="28"/>
        </w:rPr>
      </w:pPr>
      <w:r>
        <w:rPr>
          <w:rFonts w:hint="eastAsia"/>
          <w:b/>
          <w:bCs/>
          <w:sz w:val="28"/>
          <w:szCs w:val="28"/>
        </w:rPr>
        <w:t>采   购   人：</w:t>
      </w:r>
      <w:r>
        <w:rPr>
          <w:rFonts w:hint="eastAsia"/>
          <w:b/>
          <w:bCs/>
          <w:sz w:val="28"/>
          <w:szCs w:val="28"/>
          <w:lang w:eastAsia="zh-CN"/>
        </w:rPr>
        <w:t>成都市武侯区市场监督管理局</w:t>
      </w:r>
      <w:r>
        <w:rPr>
          <w:rFonts w:hint="eastAsia"/>
          <w:b/>
          <w:bCs/>
          <w:sz w:val="28"/>
          <w:szCs w:val="28"/>
        </w:rPr>
        <w:t xml:space="preserve">         </w:t>
      </w:r>
    </w:p>
    <w:p>
      <w:pPr>
        <w:pStyle w:val="33"/>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eastAsia="宋体"/>
          <w:b/>
          <w:bCs/>
          <w:sz w:val="28"/>
          <w:szCs w:val="28"/>
          <w:lang w:eastAsia="zh-CN"/>
        </w:rPr>
      </w:pPr>
      <w:r>
        <w:rPr>
          <w:rFonts w:hint="eastAsia"/>
          <w:b/>
          <w:bCs/>
          <w:sz w:val="28"/>
          <w:szCs w:val="28"/>
        </w:rPr>
        <w:t>采购代理机构：</w:t>
      </w:r>
      <w:r>
        <w:rPr>
          <w:rFonts w:hint="eastAsia"/>
          <w:b/>
          <w:bCs/>
          <w:sz w:val="28"/>
          <w:szCs w:val="28"/>
          <w:lang w:eastAsia="zh-CN"/>
        </w:rPr>
        <w:t>成都公恒信工程项目管理有限公司</w:t>
      </w:r>
    </w:p>
    <w:p>
      <w:pPr>
        <w:pStyle w:val="33"/>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sz w:val="28"/>
          <w:szCs w:val="28"/>
        </w:rPr>
      </w:pPr>
      <w:r>
        <w:rPr>
          <w:rFonts w:hint="eastAsia"/>
          <w:b/>
          <w:bCs/>
          <w:sz w:val="28"/>
          <w:szCs w:val="28"/>
          <w:lang w:val="en-US" w:eastAsia="zh-CN"/>
        </w:rPr>
        <w:t>文  件 编 制：由采购人和</w:t>
      </w:r>
      <w:r>
        <w:rPr>
          <w:rFonts w:hint="eastAsia"/>
          <w:b/>
          <w:bCs/>
          <w:sz w:val="28"/>
          <w:szCs w:val="28"/>
        </w:rPr>
        <w:t>采购代理机构</w:t>
      </w:r>
      <w:r>
        <w:rPr>
          <w:rFonts w:hint="eastAsia"/>
          <w:b/>
          <w:bCs/>
          <w:sz w:val="28"/>
          <w:szCs w:val="28"/>
          <w:lang w:val="en-US" w:eastAsia="zh-CN"/>
        </w:rPr>
        <w:t>共同编制</w:t>
      </w:r>
    </w:p>
    <w:p>
      <w:pPr>
        <w:pStyle w:val="33"/>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eastAsia="宋体"/>
          <w:b/>
          <w:bCs/>
          <w:sz w:val="28"/>
          <w:szCs w:val="28"/>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083" w:bottom="1440" w:left="1083" w:header="851" w:footer="992" w:gutter="0"/>
          <w:pgBorders>
            <w:top w:val="none" w:sz="0" w:space="0"/>
            <w:left w:val="none" w:sz="0" w:space="0"/>
            <w:bottom w:val="none" w:sz="0" w:space="0"/>
            <w:right w:val="none" w:sz="0" w:space="0"/>
          </w:pgBorders>
          <w:pgNumType w:fmt="decimal" w:start="0"/>
          <w:cols w:space="720" w:num="1"/>
          <w:titlePg/>
          <w:docGrid w:linePitch="312" w:charSpace="0"/>
        </w:sectPr>
      </w:pPr>
      <w:r>
        <w:rPr>
          <w:rFonts w:hint="eastAsia"/>
          <w:b/>
          <w:bCs/>
          <w:sz w:val="28"/>
          <w:szCs w:val="28"/>
          <w:lang w:eastAsia="zh-CN"/>
        </w:rPr>
        <w:t>二○二</w:t>
      </w:r>
      <w:r>
        <w:rPr>
          <w:rFonts w:hint="eastAsia"/>
          <w:b/>
          <w:bCs/>
          <w:sz w:val="28"/>
          <w:szCs w:val="28"/>
          <w:lang w:val="en-US" w:eastAsia="zh-CN"/>
        </w:rPr>
        <w:t>一</w:t>
      </w:r>
      <w:r>
        <w:rPr>
          <w:rFonts w:hint="eastAsia"/>
          <w:b/>
          <w:bCs/>
          <w:sz w:val="28"/>
          <w:szCs w:val="28"/>
          <w:lang w:eastAsia="zh-CN"/>
        </w:rPr>
        <w:t>年</w:t>
      </w:r>
      <w:r>
        <w:rPr>
          <w:rFonts w:hint="eastAsia"/>
          <w:b/>
          <w:bCs/>
          <w:sz w:val="28"/>
          <w:szCs w:val="28"/>
          <w:lang w:val="en-US" w:eastAsia="zh-CN"/>
        </w:rPr>
        <w:t>八</w:t>
      </w:r>
      <w:r>
        <w:rPr>
          <w:rFonts w:hint="eastAsia"/>
          <w:b/>
          <w:bCs/>
          <w:sz w:val="28"/>
          <w:szCs w:val="28"/>
          <w:lang w:eastAsia="zh-CN"/>
        </w:rPr>
        <w:t>月</w:t>
      </w:r>
    </w:p>
    <w:p>
      <w:pPr>
        <w:pStyle w:val="33"/>
        <w:bidi w:val="0"/>
        <w:jc w:val="center"/>
        <w:rPr>
          <w:rFonts w:hint="eastAsia"/>
        </w:rPr>
      </w:pPr>
      <w:r>
        <w:rPr>
          <w:rFonts w:hint="eastAsia"/>
        </w:rPr>
        <w:t>目  录</w:t>
      </w:r>
      <w:bookmarkEnd w:id="0"/>
      <w:bookmarkEnd w:id="1"/>
    </w:p>
    <w:p>
      <w:pPr>
        <w:pStyle w:val="17"/>
        <w:tabs>
          <w:tab w:val="clear" w:pos="0"/>
        </w:tabs>
      </w:pPr>
      <w:bookmarkStart w:id="3" w:name="_Toc15794"/>
      <w:bookmarkStart w:id="4" w:name="_Toc26242"/>
      <w:bookmarkStart w:id="5" w:name="_Toc28748"/>
      <w:r>
        <w:fldChar w:fldCharType="begin"/>
      </w:r>
      <w:r>
        <w:instrText xml:space="preserve">TOC \o "1-3" \h \u </w:instrText>
      </w:r>
      <w:r>
        <w:fldChar w:fldCharType="separate"/>
      </w:r>
      <w:r>
        <w:fldChar w:fldCharType="begin"/>
      </w:r>
      <w:r>
        <w:instrText xml:space="preserve"> HYPERLINK \l _Toc16166 </w:instrText>
      </w:r>
      <w:r>
        <w:fldChar w:fldCharType="separate"/>
      </w:r>
      <w:r>
        <w:rPr>
          <w:rFonts w:hint="eastAsia" w:ascii="宋体" w:hAnsi="宋体" w:eastAsia="宋体" w:cs="宋体"/>
        </w:rPr>
        <w:t xml:space="preserve">第一章 </w:t>
      </w:r>
      <w:r>
        <w:rPr>
          <w:rFonts w:hint="eastAsia"/>
        </w:rPr>
        <w:t>投标邀请</w:t>
      </w:r>
      <w:r>
        <w:tab/>
      </w:r>
      <w:r>
        <w:fldChar w:fldCharType="begin"/>
      </w:r>
      <w:r>
        <w:instrText xml:space="preserve"> PAGEREF _Toc16166 \h </w:instrText>
      </w:r>
      <w:r>
        <w:fldChar w:fldCharType="separate"/>
      </w:r>
      <w:r>
        <w:t>5</w:t>
      </w:r>
      <w:r>
        <w:fldChar w:fldCharType="end"/>
      </w:r>
      <w:r>
        <w:fldChar w:fldCharType="end"/>
      </w:r>
    </w:p>
    <w:p>
      <w:pPr>
        <w:pStyle w:val="17"/>
        <w:tabs>
          <w:tab w:val="clear" w:pos="0"/>
        </w:tabs>
      </w:pPr>
      <w:r>
        <w:fldChar w:fldCharType="begin"/>
      </w:r>
      <w:r>
        <w:instrText xml:space="preserve"> HYPERLINK \l _Toc5120 </w:instrText>
      </w:r>
      <w:r>
        <w:fldChar w:fldCharType="separate"/>
      </w:r>
      <w:r>
        <w:rPr>
          <w:rFonts w:hint="eastAsia" w:ascii="宋体" w:hAnsi="宋体" w:eastAsia="宋体" w:cs="宋体"/>
          <w:lang w:val="en-US" w:eastAsia="zh-CN"/>
        </w:rPr>
        <w:t xml:space="preserve">第二章 </w:t>
      </w:r>
      <w:r>
        <w:rPr>
          <w:rFonts w:hint="eastAsia"/>
          <w:lang w:val="en-US" w:eastAsia="zh-CN"/>
        </w:rPr>
        <w:t>投标人须知</w:t>
      </w:r>
      <w:r>
        <w:tab/>
      </w:r>
      <w:r>
        <w:fldChar w:fldCharType="begin"/>
      </w:r>
      <w:r>
        <w:instrText xml:space="preserve"> PAGEREF _Toc5120 \h </w:instrText>
      </w:r>
      <w:r>
        <w:fldChar w:fldCharType="separate"/>
      </w:r>
      <w:r>
        <w:t>8</w:t>
      </w:r>
      <w:r>
        <w:fldChar w:fldCharType="end"/>
      </w:r>
      <w:r>
        <w:fldChar w:fldCharType="end"/>
      </w:r>
    </w:p>
    <w:p>
      <w:pPr>
        <w:pStyle w:val="18"/>
        <w:tabs>
          <w:tab w:val="right" w:leader="dot" w:pos="9746"/>
          <w:tab w:val="clear" w:pos="0"/>
        </w:tabs>
      </w:pPr>
      <w:r>
        <w:fldChar w:fldCharType="begin"/>
      </w:r>
      <w:r>
        <w:instrText xml:space="preserve"> HYPERLINK \l _Toc9876 </w:instrText>
      </w:r>
      <w:r>
        <w:fldChar w:fldCharType="separate"/>
      </w:r>
      <w:r>
        <w:rPr>
          <w:rFonts w:hint="eastAsia"/>
        </w:rPr>
        <w:t>一、 投标人须知</w:t>
      </w:r>
      <w:r>
        <w:rPr>
          <w:rFonts w:hint="eastAsia"/>
          <w:lang w:val="en-US" w:eastAsia="zh-CN"/>
        </w:rPr>
        <w:t>前</w:t>
      </w:r>
      <w:r>
        <w:rPr>
          <w:rFonts w:hint="eastAsia"/>
        </w:rPr>
        <w:t>附表</w:t>
      </w:r>
      <w:r>
        <w:tab/>
      </w:r>
      <w:r>
        <w:fldChar w:fldCharType="begin"/>
      </w:r>
      <w:r>
        <w:instrText xml:space="preserve"> PAGEREF _Toc9876 \h </w:instrText>
      </w:r>
      <w:r>
        <w:fldChar w:fldCharType="separate"/>
      </w:r>
      <w:r>
        <w:t>8</w:t>
      </w:r>
      <w:r>
        <w:fldChar w:fldCharType="end"/>
      </w:r>
      <w:r>
        <w:fldChar w:fldCharType="end"/>
      </w:r>
    </w:p>
    <w:p>
      <w:pPr>
        <w:pStyle w:val="18"/>
        <w:tabs>
          <w:tab w:val="right" w:leader="dot" w:pos="9746"/>
          <w:tab w:val="clear" w:pos="0"/>
        </w:tabs>
      </w:pPr>
      <w:r>
        <w:fldChar w:fldCharType="begin"/>
      </w:r>
      <w:r>
        <w:instrText xml:space="preserve"> HYPERLINK \l _Toc17951 </w:instrText>
      </w:r>
      <w:r>
        <w:fldChar w:fldCharType="separate"/>
      </w:r>
      <w:r>
        <w:rPr>
          <w:rFonts w:hint="eastAsia"/>
        </w:rPr>
        <w:t>二、 总 则</w:t>
      </w:r>
      <w:r>
        <w:tab/>
      </w:r>
      <w:r>
        <w:fldChar w:fldCharType="begin"/>
      </w:r>
      <w:r>
        <w:instrText xml:space="preserve"> PAGEREF _Toc17951 \h </w:instrText>
      </w:r>
      <w:r>
        <w:fldChar w:fldCharType="separate"/>
      </w:r>
      <w:r>
        <w:t>14</w:t>
      </w:r>
      <w:r>
        <w:fldChar w:fldCharType="end"/>
      </w:r>
      <w:r>
        <w:fldChar w:fldCharType="end"/>
      </w:r>
    </w:p>
    <w:p>
      <w:pPr>
        <w:pStyle w:val="14"/>
        <w:tabs>
          <w:tab w:val="right" w:leader="dot" w:pos="9746"/>
          <w:tab w:val="clear" w:pos="0"/>
        </w:tabs>
      </w:pPr>
      <w:r>
        <w:fldChar w:fldCharType="begin"/>
      </w:r>
      <w:r>
        <w:instrText xml:space="preserve"> HYPERLINK \l _Toc410 </w:instrText>
      </w:r>
      <w:r>
        <w:fldChar w:fldCharType="separate"/>
      </w:r>
      <w:r>
        <w:rPr>
          <w:rFonts w:hint="eastAsia" w:ascii="宋体" w:hAnsi="宋体" w:eastAsia="宋体" w:cs="宋体"/>
        </w:rPr>
        <w:t xml:space="preserve">(一) </w:t>
      </w:r>
      <w:r>
        <w:rPr>
          <w:rFonts w:hint="eastAsia"/>
        </w:rPr>
        <w:t>适用范围</w:t>
      </w:r>
      <w:r>
        <w:tab/>
      </w:r>
      <w:r>
        <w:fldChar w:fldCharType="begin"/>
      </w:r>
      <w:r>
        <w:instrText xml:space="preserve"> PAGEREF _Toc410 \h </w:instrText>
      </w:r>
      <w:r>
        <w:fldChar w:fldCharType="separate"/>
      </w:r>
      <w:r>
        <w:t>14</w:t>
      </w:r>
      <w:r>
        <w:fldChar w:fldCharType="end"/>
      </w:r>
      <w:r>
        <w:fldChar w:fldCharType="end"/>
      </w:r>
    </w:p>
    <w:p>
      <w:pPr>
        <w:pStyle w:val="14"/>
        <w:tabs>
          <w:tab w:val="right" w:leader="dot" w:pos="9746"/>
          <w:tab w:val="clear" w:pos="0"/>
        </w:tabs>
      </w:pPr>
      <w:r>
        <w:fldChar w:fldCharType="begin"/>
      </w:r>
      <w:r>
        <w:instrText xml:space="preserve"> HYPERLINK \l _Toc24841 </w:instrText>
      </w:r>
      <w:r>
        <w:fldChar w:fldCharType="separate"/>
      </w:r>
      <w:r>
        <w:rPr>
          <w:rFonts w:hint="eastAsia" w:ascii="宋体" w:hAnsi="宋体" w:eastAsia="宋体" w:cs="宋体"/>
        </w:rPr>
        <w:t xml:space="preserve">(二) </w:t>
      </w:r>
      <w:r>
        <w:rPr>
          <w:rFonts w:hint="eastAsia"/>
        </w:rPr>
        <w:t>有关定义</w:t>
      </w:r>
      <w:r>
        <w:tab/>
      </w:r>
      <w:r>
        <w:fldChar w:fldCharType="begin"/>
      </w:r>
      <w:r>
        <w:instrText xml:space="preserve"> PAGEREF _Toc24841 \h </w:instrText>
      </w:r>
      <w:r>
        <w:fldChar w:fldCharType="separate"/>
      </w:r>
      <w:r>
        <w:t>14</w:t>
      </w:r>
      <w:r>
        <w:fldChar w:fldCharType="end"/>
      </w:r>
      <w:r>
        <w:fldChar w:fldCharType="end"/>
      </w:r>
    </w:p>
    <w:p>
      <w:pPr>
        <w:pStyle w:val="14"/>
        <w:tabs>
          <w:tab w:val="right" w:leader="dot" w:pos="9746"/>
          <w:tab w:val="clear" w:pos="0"/>
        </w:tabs>
      </w:pPr>
      <w:r>
        <w:fldChar w:fldCharType="begin"/>
      </w:r>
      <w:r>
        <w:instrText xml:space="preserve"> HYPERLINK \l _Toc11401 </w:instrText>
      </w:r>
      <w:r>
        <w:fldChar w:fldCharType="separate"/>
      </w:r>
      <w:r>
        <w:rPr>
          <w:rFonts w:hint="eastAsia" w:ascii="宋体" w:hAnsi="宋体" w:eastAsia="宋体" w:cs="宋体"/>
        </w:rPr>
        <w:t xml:space="preserve">(三) </w:t>
      </w:r>
      <w:r>
        <w:rPr>
          <w:rFonts w:hint="eastAsia"/>
        </w:rPr>
        <w:t>合格的投标人</w:t>
      </w:r>
      <w:r>
        <w:rPr>
          <w:rFonts w:hint="eastAsia"/>
          <w:lang w:val="en-US" w:eastAsia="zh-CN"/>
        </w:rPr>
        <w:t>(实质性要求)</w:t>
      </w:r>
      <w:r>
        <w:tab/>
      </w:r>
      <w:r>
        <w:fldChar w:fldCharType="begin"/>
      </w:r>
      <w:r>
        <w:instrText xml:space="preserve"> PAGEREF _Toc11401 \h </w:instrText>
      </w:r>
      <w:r>
        <w:fldChar w:fldCharType="separate"/>
      </w:r>
      <w:r>
        <w:t>14</w:t>
      </w:r>
      <w:r>
        <w:fldChar w:fldCharType="end"/>
      </w:r>
      <w:r>
        <w:fldChar w:fldCharType="end"/>
      </w:r>
    </w:p>
    <w:p>
      <w:pPr>
        <w:pStyle w:val="14"/>
        <w:tabs>
          <w:tab w:val="right" w:leader="dot" w:pos="9746"/>
          <w:tab w:val="clear" w:pos="0"/>
        </w:tabs>
      </w:pPr>
      <w:r>
        <w:fldChar w:fldCharType="begin"/>
      </w:r>
      <w:r>
        <w:instrText xml:space="preserve"> HYPERLINK \l _Toc28242 </w:instrText>
      </w:r>
      <w:r>
        <w:fldChar w:fldCharType="separate"/>
      </w:r>
      <w:r>
        <w:rPr>
          <w:rFonts w:hint="eastAsia" w:ascii="宋体" w:hAnsi="宋体" w:eastAsia="宋体" w:cs="宋体"/>
        </w:rPr>
        <w:t xml:space="preserve">(四) </w:t>
      </w:r>
      <w:r>
        <w:rPr>
          <w:rFonts w:hint="eastAsia"/>
        </w:rPr>
        <w:t>投标费用</w:t>
      </w:r>
      <w:r>
        <w:rPr>
          <w:rFonts w:hint="eastAsia"/>
          <w:lang w:val="en-US" w:eastAsia="zh-CN"/>
        </w:rPr>
        <w:t>(实质性要求)</w:t>
      </w:r>
      <w:r>
        <w:tab/>
      </w:r>
      <w:r>
        <w:fldChar w:fldCharType="begin"/>
      </w:r>
      <w:r>
        <w:instrText xml:space="preserve"> PAGEREF _Toc28242 \h </w:instrText>
      </w:r>
      <w:r>
        <w:fldChar w:fldCharType="separate"/>
      </w:r>
      <w:r>
        <w:t>14</w:t>
      </w:r>
      <w:r>
        <w:fldChar w:fldCharType="end"/>
      </w:r>
      <w:r>
        <w:fldChar w:fldCharType="end"/>
      </w:r>
    </w:p>
    <w:p>
      <w:pPr>
        <w:pStyle w:val="14"/>
        <w:tabs>
          <w:tab w:val="right" w:leader="dot" w:pos="9746"/>
          <w:tab w:val="clear" w:pos="0"/>
        </w:tabs>
      </w:pPr>
      <w:r>
        <w:fldChar w:fldCharType="begin"/>
      </w:r>
      <w:r>
        <w:instrText xml:space="preserve"> HYPERLINK \l _Toc22280 </w:instrText>
      </w:r>
      <w:r>
        <w:fldChar w:fldCharType="separate"/>
      </w:r>
      <w:r>
        <w:rPr>
          <w:rFonts w:hint="eastAsia" w:ascii="宋体" w:hAnsi="宋体" w:eastAsia="宋体" w:cs="宋体"/>
        </w:rPr>
        <w:t xml:space="preserve">(五) </w:t>
      </w:r>
      <w:r>
        <w:rPr>
          <w:rFonts w:hint="eastAsia"/>
        </w:rPr>
        <w:t>充分、公平竞争保障措施</w:t>
      </w:r>
      <w:r>
        <w:rPr>
          <w:rFonts w:hint="eastAsia"/>
          <w:lang w:val="en-US" w:eastAsia="zh-CN"/>
        </w:rPr>
        <w:t>(实质性要求)</w:t>
      </w:r>
      <w:r>
        <w:tab/>
      </w:r>
      <w:r>
        <w:fldChar w:fldCharType="begin"/>
      </w:r>
      <w:r>
        <w:instrText xml:space="preserve"> PAGEREF _Toc22280 \h </w:instrText>
      </w:r>
      <w:r>
        <w:fldChar w:fldCharType="separate"/>
      </w:r>
      <w:r>
        <w:t>14</w:t>
      </w:r>
      <w:r>
        <w:fldChar w:fldCharType="end"/>
      </w:r>
      <w:r>
        <w:fldChar w:fldCharType="end"/>
      </w:r>
    </w:p>
    <w:p>
      <w:pPr>
        <w:pStyle w:val="18"/>
        <w:tabs>
          <w:tab w:val="right" w:leader="dot" w:pos="9746"/>
          <w:tab w:val="clear" w:pos="0"/>
        </w:tabs>
      </w:pPr>
      <w:r>
        <w:fldChar w:fldCharType="begin"/>
      </w:r>
      <w:r>
        <w:instrText xml:space="preserve"> HYPERLINK \l _Toc481 </w:instrText>
      </w:r>
      <w:r>
        <w:fldChar w:fldCharType="separate"/>
      </w:r>
      <w:r>
        <w:rPr>
          <w:rFonts w:hint="eastAsia"/>
        </w:rPr>
        <w:t>三、 招标文件</w:t>
      </w:r>
      <w:r>
        <w:tab/>
      </w:r>
      <w:r>
        <w:fldChar w:fldCharType="begin"/>
      </w:r>
      <w:r>
        <w:instrText xml:space="preserve"> PAGEREF _Toc481 \h </w:instrText>
      </w:r>
      <w:r>
        <w:fldChar w:fldCharType="separate"/>
      </w:r>
      <w:r>
        <w:t>15</w:t>
      </w:r>
      <w:r>
        <w:fldChar w:fldCharType="end"/>
      </w:r>
      <w:r>
        <w:fldChar w:fldCharType="end"/>
      </w:r>
    </w:p>
    <w:p>
      <w:pPr>
        <w:pStyle w:val="14"/>
        <w:tabs>
          <w:tab w:val="right" w:leader="dot" w:pos="9746"/>
          <w:tab w:val="clear" w:pos="0"/>
        </w:tabs>
      </w:pPr>
      <w:r>
        <w:fldChar w:fldCharType="begin"/>
      </w:r>
      <w:r>
        <w:instrText xml:space="preserve"> HYPERLINK \l _Toc17626 </w:instrText>
      </w:r>
      <w:r>
        <w:fldChar w:fldCharType="separate"/>
      </w:r>
      <w:r>
        <w:rPr>
          <w:rFonts w:hint="eastAsia" w:ascii="宋体" w:hAnsi="宋体" w:eastAsia="宋体" w:cs="宋体"/>
        </w:rPr>
        <w:t xml:space="preserve">(一) </w:t>
      </w:r>
      <w:r>
        <w:rPr>
          <w:rFonts w:hint="eastAsia"/>
        </w:rPr>
        <w:t>招标文件的构成</w:t>
      </w:r>
      <w:r>
        <w:tab/>
      </w:r>
      <w:r>
        <w:fldChar w:fldCharType="begin"/>
      </w:r>
      <w:r>
        <w:instrText xml:space="preserve"> PAGEREF _Toc17626 \h </w:instrText>
      </w:r>
      <w:r>
        <w:fldChar w:fldCharType="separate"/>
      </w:r>
      <w:r>
        <w:t>15</w:t>
      </w:r>
      <w:r>
        <w:fldChar w:fldCharType="end"/>
      </w:r>
      <w:r>
        <w:fldChar w:fldCharType="end"/>
      </w:r>
    </w:p>
    <w:p>
      <w:pPr>
        <w:pStyle w:val="14"/>
        <w:tabs>
          <w:tab w:val="right" w:leader="dot" w:pos="9746"/>
          <w:tab w:val="clear" w:pos="0"/>
        </w:tabs>
      </w:pPr>
      <w:r>
        <w:fldChar w:fldCharType="begin"/>
      </w:r>
      <w:r>
        <w:instrText xml:space="preserve"> HYPERLINK \l _Toc6678 </w:instrText>
      </w:r>
      <w:r>
        <w:fldChar w:fldCharType="separate"/>
      </w:r>
      <w:r>
        <w:rPr>
          <w:rFonts w:hint="eastAsia" w:ascii="宋体" w:hAnsi="宋体" w:eastAsia="宋体" w:cs="宋体"/>
        </w:rPr>
        <w:t xml:space="preserve">(二) </w:t>
      </w:r>
      <w:r>
        <w:rPr>
          <w:rFonts w:hint="eastAsia"/>
        </w:rPr>
        <w:t>招标文件的澄清和修改</w:t>
      </w:r>
      <w:r>
        <w:tab/>
      </w:r>
      <w:r>
        <w:fldChar w:fldCharType="begin"/>
      </w:r>
      <w:r>
        <w:instrText xml:space="preserve"> PAGEREF _Toc6678 \h </w:instrText>
      </w:r>
      <w:r>
        <w:fldChar w:fldCharType="separate"/>
      </w:r>
      <w:r>
        <w:t>16</w:t>
      </w:r>
      <w:r>
        <w:fldChar w:fldCharType="end"/>
      </w:r>
      <w:r>
        <w:fldChar w:fldCharType="end"/>
      </w:r>
    </w:p>
    <w:p>
      <w:pPr>
        <w:pStyle w:val="14"/>
        <w:tabs>
          <w:tab w:val="right" w:leader="dot" w:pos="9746"/>
          <w:tab w:val="clear" w:pos="0"/>
        </w:tabs>
      </w:pPr>
      <w:r>
        <w:fldChar w:fldCharType="begin"/>
      </w:r>
      <w:r>
        <w:instrText xml:space="preserve"> HYPERLINK \l _Toc17880 </w:instrText>
      </w:r>
      <w:r>
        <w:fldChar w:fldCharType="separate"/>
      </w:r>
      <w:r>
        <w:rPr>
          <w:rFonts w:hint="eastAsia" w:ascii="宋体" w:hAnsi="宋体" w:eastAsia="宋体" w:cs="宋体"/>
        </w:rPr>
        <w:t xml:space="preserve">(三) </w:t>
      </w:r>
      <w:r>
        <w:rPr>
          <w:rFonts w:hint="eastAsia"/>
        </w:rPr>
        <w:t>答疑会和现场考察</w:t>
      </w:r>
      <w:r>
        <w:tab/>
      </w:r>
      <w:r>
        <w:fldChar w:fldCharType="begin"/>
      </w:r>
      <w:r>
        <w:instrText xml:space="preserve"> PAGEREF _Toc17880 \h </w:instrText>
      </w:r>
      <w:r>
        <w:fldChar w:fldCharType="separate"/>
      </w:r>
      <w:r>
        <w:t>16</w:t>
      </w:r>
      <w:r>
        <w:fldChar w:fldCharType="end"/>
      </w:r>
      <w:r>
        <w:fldChar w:fldCharType="end"/>
      </w:r>
    </w:p>
    <w:p>
      <w:pPr>
        <w:pStyle w:val="18"/>
        <w:tabs>
          <w:tab w:val="right" w:leader="dot" w:pos="9746"/>
          <w:tab w:val="clear" w:pos="0"/>
        </w:tabs>
      </w:pPr>
      <w:r>
        <w:fldChar w:fldCharType="begin"/>
      </w:r>
      <w:r>
        <w:instrText xml:space="preserve"> HYPERLINK \l _Toc28257 </w:instrText>
      </w:r>
      <w:r>
        <w:fldChar w:fldCharType="separate"/>
      </w:r>
      <w:r>
        <w:rPr>
          <w:rFonts w:hint="eastAsia"/>
        </w:rPr>
        <w:t>四、 投标文件</w:t>
      </w:r>
      <w:r>
        <w:tab/>
      </w:r>
      <w:r>
        <w:fldChar w:fldCharType="begin"/>
      </w:r>
      <w:r>
        <w:instrText xml:space="preserve"> PAGEREF _Toc28257 \h </w:instrText>
      </w:r>
      <w:r>
        <w:fldChar w:fldCharType="separate"/>
      </w:r>
      <w:r>
        <w:t>16</w:t>
      </w:r>
      <w:r>
        <w:fldChar w:fldCharType="end"/>
      </w:r>
      <w:r>
        <w:fldChar w:fldCharType="end"/>
      </w:r>
    </w:p>
    <w:p>
      <w:pPr>
        <w:pStyle w:val="14"/>
        <w:tabs>
          <w:tab w:val="right" w:leader="dot" w:pos="9746"/>
          <w:tab w:val="clear" w:pos="0"/>
        </w:tabs>
      </w:pPr>
      <w:r>
        <w:fldChar w:fldCharType="begin"/>
      </w:r>
      <w:r>
        <w:instrText xml:space="preserve"> HYPERLINK \l _Toc9931 </w:instrText>
      </w:r>
      <w:r>
        <w:fldChar w:fldCharType="separate"/>
      </w:r>
      <w:r>
        <w:rPr>
          <w:rFonts w:hint="eastAsia" w:ascii="宋体" w:hAnsi="宋体" w:eastAsia="宋体" w:cs="宋体"/>
        </w:rPr>
        <w:t xml:space="preserve">(一) </w:t>
      </w:r>
      <w:r>
        <w:rPr>
          <w:rFonts w:hint="eastAsia"/>
        </w:rPr>
        <w:t>投标文件的语言</w:t>
      </w:r>
      <w:r>
        <w:rPr>
          <w:rFonts w:hint="eastAsia"/>
          <w:lang w:val="en-US" w:eastAsia="zh-CN"/>
        </w:rPr>
        <w:t>(实质性要求)</w:t>
      </w:r>
      <w:r>
        <w:tab/>
      </w:r>
      <w:r>
        <w:fldChar w:fldCharType="begin"/>
      </w:r>
      <w:r>
        <w:instrText xml:space="preserve"> PAGEREF _Toc9931 \h </w:instrText>
      </w:r>
      <w:r>
        <w:fldChar w:fldCharType="separate"/>
      </w:r>
      <w:r>
        <w:t>16</w:t>
      </w:r>
      <w:r>
        <w:fldChar w:fldCharType="end"/>
      </w:r>
      <w:r>
        <w:fldChar w:fldCharType="end"/>
      </w:r>
    </w:p>
    <w:p>
      <w:pPr>
        <w:pStyle w:val="14"/>
        <w:tabs>
          <w:tab w:val="right" w:leader="dot" w:pos="9746"/>
          <w:tab w:val="clear" w:pos="0"/>
        </w:tabs>
      </w:pPr>
      <w:r>
        <w:fldChar w:fldCharType="begin"/>
      </w:r>
      <w:r>
        <w:instrText xml:space="preserve"> HYPERLINK \l _Toc10762 </w:instrText>
      </w:r>
      <w:r>
        <w:fldChar w:fldCharType="separate"/>
      </w:r>
      <w:r>
        <w:rPr>
          <w:rFonts w:hint="eastAsia" w:ascii="宋体" w:hAnsi="宋体" w:eastAsia="宋体" w:cs="宋体"/>
        </w:rPr>
        <w:t xml:space="preserve">(二) </w:t>
      </w:r>
      <w:r>
        <w:rPr>
          <w:rFonts w:hint="eastAsia"/>
        </w:rPr>
        <w:t>计量单位</w:t>
      </w:r>
      <w:r>
        <w:rPr>
          <w:rFonts w:hint="eastAsia"/>
          <w:lang w:val="en-US" w:eastAsia="zh-CN"/>
        </w:rPr>
        <w:t>(实质性要求)</w:t>
      </w:r>
      <w:r>
        <w:tab/>
      </w:r>
      <w:r>
        <w:fldChar w:fldCharType="begin"/>
      </w:r>
      <w:r>
        <w:instrText xml:space="preserve"> PAGEREF _Toc10762 \h </w:instrText>
      </w:r>
      <w:r>
        <w:fldChar w:fldCharType="separate"/>
      </w:r>
      <w:r>
        <w:t>17</w:t>
      </w:r>
      <w:r>
        <w:fldChar w:fldCharType="end"/>
      </w:r>
      <w:r>
        <w:fldChar w:fldCharType="end"/>
      </w:r>
    </w:p>
    <w:p>
      <w:pPr>
        <w:pStyle w:val="14"/>
        <w:tabs>
          <w:tab w:val="right" w:leader="dot" w:pos="9746"/>
          <w:tab w:val="clear" w:pos="0"/>
        </w:tabs>
      </w:pPr>
      <w:r>
        <w:fldChar w:fldCharType="begin"/>
      </w:r>
      <w:r>
        <w:instrText xml:space="preserve"> HYPERLINK \l _Toc4759 </w:instrText>
      </w:r>
      <w:r>
        <w:fldChar w:fldCharType="separate"/>
      </w:r>
      <w:r>
        <w:rPr>
          <w:rFonts w:hint="eastAsia" w:ascii="宋体" w:hAnsi="宋体" w:eastAsia="宋体" w:cs="宋体"/>
        </w:rPr>
        <w:t xml:space="preserve">(三) </w:t>
      </w:r>
      <w:r>
        <w:rPr>
          <w:rFonts w:hint="eastAsia"/>
        </w:rPr>
        <w:t>投标货币</w:t>
      </w:r>
      <w:r>
        <w:rPr>
          <w:rFonts w:hint="eastAsia"/>
          <w:lang w:val="en-US" w:eastAsia="zh-CN"/>
        </w:rPr>
        <w:t>(实质性要求)</w:t>
      </w:r>
      <w:r>
        <w:tab/>
      </w:r>
      <w:r>
        <w:fldChar w:fldCharType="begin"/>
      </w:r>
      <w:r>
        <w:instrText xml:space="preserve"> PAGEREF _Toc4759 \h </w:instrText>
      </w:r>
      <w:r>
        <w:fldChar w:fldCharType="separate"/>
      </w:r>
      <w:r>
        <w:t>17</w:t>
      </w:r>
      <w:r>
        <w:fldChar w:fldCharType="end"/>
      </w:r>
      <w:r>
        <w:fldChar w:fldCharType="end"/>
      </w:r>
    </w:p>
    <w:p>
      <w:pPr>
        <w:pStyle w:val="14"/>
        <w:tabs>
          <w:tab w:val="right" w:leader="dot" w:pos="9746"/>
          <w:tab w:val="clear" w:pos="0"/>
        </w:tabs>
      </w:pPr>
      <w:r>
        <w:fldChar w:fldCharType="begin"/>
      </w:r>
      <w:r>
        <w:instrText xml:space="preserve"> HYPERLINK \l _Toc19971 </w:instrText>
      </w:r>
      <w:r>
        <w:fldChar w:fldCharType="separate"/>
      </w:r>
      <w:r>
        <w:rPr>
          <w:rFonts w:hint="eastAsia" w:ascii="宋体" w:hAnsi="宋体" w:eastAsia="宋体" w:cs="宋体"/>
          <w:lang w:eastAsia="zh-CN"/>
        </w:rPr>
        <w:t xml:space="preserve">(四) </w:t>
      </w:r>
      <w:r>
        <w:rPr>
          <w:rFonts w:hint="eastAsia"/>
        </w:rPr>
        <w:t>联合体投标</w:t>
      </w:r>
      <w:r>
        <w:rPr>
          <w:rFonts w:hint="eastAsia"/>
          <w:lang w:val="en-US" w:eastAsia="zh-CN"/>
        </w:rPr>
        <w:t>(实质性要求)</w:t>
      </w:r>
      <w:r>
        <w:tab/>
      </w:r>
      <w:r>
        <w:fldChar w:fldCharType="begin"/>
      </w:r>
      <w:r>
        <w:instrText xml:space="preserve"> PAGEREF _Toc19971 \h </w:instrText>
      </w:r>
      <w:r>
        <w:fldChar w:fldCharType="separate"/>
      </w:r>
      <w:r>
        <w:t>17</w:t>
      </w:r>
      <w:r>
        <w:fldChar w:fldCharType="end"/>
      </w:r>
      <w:r>
        <w:fldChar w:fldCharType="end"/>
      </w:r>
    </w:p>
    <w:p>
      <w:pPr>
        <w:pStyle w:val="14"/>
        <w:tabs>
          <w:tab w:val="right" w:leader="dot" w:pos="9746"/>
          <w:tab w:val="clear" w:pos="0"/>
        </w:tabs>
      </w:pPr>
      <w:r>
        <w:fldChar w:fldCharType="begin"/>
      </w:r>
      <w:r>
        <w:instrText xml:space="preserve"> HYPERLINK \l _Toc17207 </w:instrText>
      </w:r>
      <w:r>
        <w:fldChar w:fldCharType="separate"/>
      </w:r>
      <w:r>
        <w:rPr>
          <w:rFonts w:hint="eastAsia" w:ascii="宋体" w:hAnsi="宋体" w:eastAsia="宋体" w:cs="宋体"/>
        </w:rPr>
        <w:t xml:space="preserve">(五) </w:t>
      </w:r>
      <w:r>
        <w:rPr>
          <w:rFonts w:hint="eastAsia"/>
        </w:rPr>
        <w:t>知识产权</w:t>
      </w:r>
      <w:r>
        <w:rPr>
          <w:rFonts w:hint="eastAsia"/>
          <w:lang w:val="en-US" w:eastAsia="zh-CN"/>
        </w:rPr>
        <w:t>(实质性要求)</w:t>
      </w:r>
      <w:r>
        <w:tab/>
      </w:r>
      <w:r>
        <w:fldChar w:fldCharType="begin"/>
      </w:r>
      <w:r>
        <w:instrText xml:space="preserve"> PAGEREF _Toc17207 \h </w:instrText>
      </w:r>
      <w:r>
        <w:fldChar w:fldCharType="separate"/>
      </w:r>
      <w:r>
        <w:t>17</w:t>
      </w:r>
      <w:r>
        <w:fldChar w:fldCharType="end"/>
      </w:r>
      <w:r>
        <w:fldChar w:fldCharType="end"/>
      </w:r>
    </w:p>
    <w:p>
      <w:pPr>
        <w:pStyle w:val="14"/>
        <w:tabs>
          <w:tab w:val="right" w:leader="dot" w:pos="9746"/>
          <w:tab w:val="clear" w:pos="0"/>
        </w:tabs>
      </w:pPr>
      <w:r>
        <w:fldChar w:fldCharType="begin"/>
      </w:r>
      <w:r>
        <w:instrText xml:space="preserve"> HYPERLINK \l _Toc6429 </w:instrText>
      </w:r>
      <w:r>
        <w:fldChar w:fldCharType="separate"/>
      </w:r>
      <w:r>
        <w:rPr>
          <w:rFonts w:hint="eastAsia" w:ascii="宋体" w:hAnsi="宋体" w:eastAsia="宋体" w:cs="宋体"/>
        </w:rPr>
        <w:t xml:space="preserve">(六) </w:t>
      </w:r>
      <w:r>
        <w:rPr>
          <w:rFonts w:hint="eastAsia"/>
        </w:rPr>
        <w:t>投标文件的组成</w:t>
      </w:r>
      <w:r>
        <w:tab/>
      </w:r>
      <w:r>
        <w:fldChar w:fldCharType="begin"/>
      </w:r>
      <w:r>
        <w:instrText xml:space="preserve"> PAGEREF _Toc6429 \h </w:instrText>
      </w:r>
      <w:r>
        <w:fldChar w:fldCharType="separate"/>
      </w:r>
      <w:r>
        <w:t>17</w:t>
      </w:r>
      <w:r>
        <w:fldChar w:fldCharType="end"/>
      </w:r>
      <w:r>
        <w:fldChar w:fldCharType="end"/>
      </w:r>
    </w:p>
    <w:p>
      <w:pPr>
        <w:pStyle w:val="14"/>
        <w:tabs>
          <w:tab w:val="right" w:leader="dot" w:pos="9746"/>
          <w:tab w:val="clear" w:pos="0"/>
        </w:tabs>
      </w:pPr>
      <w:r>
        <w:fldChar w:fldCharType="begin"/>
      </w:r>
      <w:r>
        <w:instrText xml:space="preserve"> HYPERLINK \l _Toc13081 </w:instrText>
      </w:r>
      <w:r>
        <w:fldChar w:fldCharType="separate"/>
      </w:r>
      <w:r>
        <w:rPr>
          <w:rFonts w:hint="eastAsia" w:ascii="宋体" w:hAnsi="宋体" w:eastAsia="宋体" w:cs="宋体"/>
        </w:rPr>
        <w:t xml:space="preserve">(七) </w:t>
      </w:r>
      <w:r>
        <w:rPr>
          <w:rFonts w:hint="eastAsia"/>
        </w:rPr>
        <w:t>投标文件格式</w:t>
      </w:r>
      <w:r>
        <w:tab/>
      </w:r>
      <w:r>
        <w:fldChar w:fldCharType="begin"/>
      </w:r>
      <w:r>
        <w:instrText xml:space="preserve"> PAGEREF _Toc13081 \h </w:instrText>
      </w:r>
      <w:r>
        <w:fldChar w:fldCharType="separate"/>
      </w:r>
      <w:r>
        <w:t>19</w:t>
      </w:r>
      <w:r>
        <w:fldChar w:fldCharType="end"/>
      </w:r>
      <w:r>
        <w:fldChar w:fldCharType="end"/>
      </w:r>
    </w:p>
    <w:p>
      <w:pPr>
        <w:pStyle w:val="14"/>
        <w:tabs>
          <w:tab w:val="right" w:leader="dot" w:pos="9746"/>
          <w:tab w:val="clear" w:pos="0"/>
        </w:tabs>
      </w:pPr>
      <w:r>
        <w:fldChar w:fldCharType="begin"/>
      </w:r>
      <w:r>
        <w:instrText xml:space="preserve"> HYPERLINK \l _Toc21142 </w:instrText>
      </w:r>
      <w:r>
        <w:fldChar w:fldCharType="separate"/>
      </w:r>
      <w:r>
        <w:rPr>
          <w:rFonts w:hint="eastAsia" w:ascii="宋体" w:hAnsi="宋体" w:eastAsia="宋体" w:cs="宋体"/>
        </w:rPr>
        <w:t xml:space="preserve">(八) </w:t>
      </w:r>
      <w:r>
        <w:rPr>
          <w:rFonts w:hint="eastAsia"/>
        </w:rPr>
        <w:t>投标保证金</w:t>
      </w:r>
      <w:r>
        <w:tab/>
      </w:r>
      <w:r>
        <w:fldChar w:fldCharType="begin"/>
      </w:r>
      <w:r>
        <w:instrText xml:space="preserve"> PAGEREF _Toc21142 \h </w:instrText>
      </w:r>
      <w:r>
        <w:fldChar w:fldCharType="separate"/>
      </w:r>
      <w:r>
        <w:t>19</w:t>
      </w:r>
      <w:r>
        <w:fldChar w:fldCharType="end"/>
      </w:r>
      <w:r>
        <w:fldChar w:fldCharType="end"/>
      </w:r>
    </w:p>
    <w:p>
      <w:pPr>
        <w:pStyle w:val="14"/>
        <w:tabs>
          <w:tab w:val="right" w:leader="dot" w:pos="9746"/>
          <w:tab w:val="clear" w:pos="0"/>
        </w:tabs>
      </w:pPr>
      <w:r>
        <w:fldChar w:fldCharType="begin"/>
      </w:r>
      <w:r>
        <w:instrText xml:space="preserve"> HYPERLINK \l _Toc15663 </w:instrText>
      </w:r>
      <w:r>
        <w:fldChar w:fldCharType="separate"/>
      </w:r>
      <w:r>
        <w:rPr>
          <w:rFonts w:hint="eastAsia" w:ascii="宋体" w:hAnsi="宋体" w:eastAsia="宋体" w:cs="宋体"/>
        </w:rPr>
        <w:t xml:space="preserve">(九) </w:t>
      </w:r>
      <w:r>
        <w:rPr>
          <w:rFonts w:hint="eastAsia"/>
        </w:rPr>
        <w:t>投标有效期</w:t>
      </w:r>
      <w:r>
        <w:rPr>
          <w:rFonts w:hint="eastAsia"/>
          <w:lang w:eastAsia="zh-CN"/>
        </w:rPr>
        <w:t>(</w:t>
      </w:r>
      <w:r>
        <w:rPr>
          <w:rFonts w:hint="eastAsia"/>
        </w:rPr>
        <w:t>实质性要求</w:t>
      </w:r>
      <w:r>
        <w:rPr>
          <w:rFonts w:hint="eastAsia"/>
          <w:lang w:eastAsia="zh-CN"/>
        </w:rPr>
        <w:t>)</w:t>
      </w:r>
      <w:r>
        <w:tab/>
      </w:r>
      <w:r>
        <w:fldChar w:fldCharType="begin"/>
      </w:r>
      <w:r>
        <w:instrText xml:space="preserve"> PAGEREF _Toc15663 \h </w:instrText>
      </w:r>
      <w:r>
        <w:fldChar w:fldCharType="separate"/>
      </w:r>
      <w:r>
        <w:t>19</w:t>
      </w:r>
      <w:r>
        <w:fldChar w:fldCharType="end"/>
      </w:r>
      <w:r>
        <w:fldChar w:fldCharType="end"/>
      </w:r>
    </w:p>
    <w:p>
      <w:pPr>
        <w:pStyle w:val="14"/>
        <w:tabs>
          <w:tab w:val="right" w:leader="dot" w:pos="9746"/>
          <w:tab w:val="clear" w:pos="0"/>
        </w:tabs>
      </w:pPr>
      <w:r>
        <w:fldChar w:fldCharType="begin"/>
      </w:r>
      <w:r>
        <w:instrText xml:space="preserve"> HYPERLINK \l _Toc27545 </w:instrText>
      </w:r>
      <w:r>
        <w:fldChar w:fldCharType="separate"/>
      </w:r>
      <w:r>
        <w:rPr>
          <w:rFonts w:hint="eastAsia" w:ascii="宋体" w:hAnsi="宋体" w:eastAsia="宋体" w:cs="宋体"/>
        </w:rPr>
        <w:t>(十) 投标文件的制作和签章、加密</w:t>
      </w:r>
      <w:r>
        <w:tab/>
      </w:r>
      <w:r>
        <w:fldChar w:fldCharType="begin"/>
      </w:r>
      <w:r>
        <w:instrText xml:space="preserve"> PAGEREF _Toc27545 \h </w:instrText>
      </w:r>
      <w:r>
        <w:fldChar w:fldCharType="separate"/>
      </w:r>
      <w:r>
        <w:t>19</w:t>
      </w:r>
      <w:r>
        <w:fldChar w:fldCharType="end"/>
      </w:r>
      <w:r>
        <w:fldChar w:fldCharType="end"/>
      </w:r>
    </w:p>
    <w:p>
      <w:pPr>
        <w:pStyle w:val="14"/>
        <w:tabs>
          <w:tab w:val="right" w:leader="dot" w:pos="9746"/>
          <w:tab w:val="clear" w:pos="0"/>
        </w:tabs>
      </w:pPr>
      <w:r>
        <w:fldChar w:fldCharType="begin"/>
      </w:r>
      <w:r>
        <w:instrText xml:space="preserve"> HYPERLINK \l _Toc13356 </w:instrText>
      </w:r>
      <w:r>
        <w:fldChar w:fldCharType="separate"/>
      </w:r>
      <w:r>
        <w:rPr>
          <w:rFonts w:hint="eastAsia" w:ascii="宋体" w:hAnsi="宋体" w:eastAsia="宋体" w:cs="宋体"/>
        </w:rPr>
        <w:t xml:space="preserve">(十一) </w:t>
      </w:r>
      <w:r>
        <w:rPr>
          <w:rFonts w:hint="eastAsia"/>
        </w:rPr>
        <w:t>投标文件的递交</w:t>
      </w:r>
      <w:r>
        <w:tab/>
      </w:r>
      <w:r>
        <w:fldChar w:fldCharType="begin"/>
      </w:r>
      <w:r>
        <w:instrText xml:space="preserve"> PAGEREF _Toc13356 \h </w:instrText>
      </w:r>
      <w:r>
        <w:fldChar w:fldCharType="separate"/>
      </w:r>
      <w:r>
        <w:t>20</w:t>
      </w:r>
      <w:r>
        <w:fldChar w:fldCharType="end"/>
      </w:r>
      <w:r>
        <w:fldChar w:fldCharType="end"/>
      </w:r>
    </w:p>
    <w:p>
      <w:pPr>
        <w:pStyle w:val="14"/>
        <w:tabs>
          <w:tab w:val="right" w:leader="dot" w:pos="9746"/>
          <w:tab w:val="clear" w:pos="0"/>
        </w:tabs>
      </w:pPr>
      <w:r>
        <w:fldChar w:fldCharType="begin"/>
      </w:r>
      <w:r>
        <w:instrText xml:space="preserve"> HYPERLINK \l _Toc17326 </w:instrText>
      </w:r>
      <w:r>
        <w:fldChar w:fldCharType="separate"/>
      </w:r>
      <w:r>
        <w:rPr>
          <w:rFonts w:hint="eastAsia" w:ascii="宋体" w:hAnsi="宋体" w:eastAsia="宋体" w:cs="宋体"/>
        </w:rPr>
        <w:t xml:space="preserve">(十二) </w:t>
      </w:r>
      <w:r>
        <w:rPr>
          <w:rFonts w:hint="eastAsia"/>
        </w:rPr>
        <w:t>投标文件的修改和撤回</w:t>
      </w:r>
      <w:r>
        <w:tab/>
      </w:r>
      <w:r>
        <w:fldChar w:fldCharType="begin"/>
      </w:r>
      <w:r>
        <w:instrText xml:space="preserve"> PAGEREF _Toc17326 \h </w:instrText>
      </w:r>
      <w:r>
        <w:fldChar w:fldCharType="separate"/>
      </w:r>
      <w:r>
        <w:t>20</w:t>
      </w:r>
      <w:r>
        <w:fldChar w:fldCharType="end"/>
      </w:r>
      <w:r>
        <w:fldChar w:fldCharType="end"/>
      </w:r>
    </w:p>
    <w:p>
      <w:pPr>
        <w:pStyle w:val="14"/>
        <w:tabs>
          <w:tab w:val="right" w:leader="dot" w:pos="9746"/>
          <w:tab w:val="clear" w:pos="0"/>
        </w:tabs>
      </w:pPr>
      <w:r>
        <w:fldChar w:fldCharType="begin"/>
      </w:r>
      <w:r>
        <w:instrText xml:space="preserve"> HYPERLINK \l _Toc27493 </w:instrText>
      </w:r>
      <w:r>
        <w:fldChar w:fldCharType="separate"/>
      </w:r>
      <w:r>
        <w:rPr>
          <w:rFonts w:hint="eastAsia" w:ascii="宋体" w:hAnsi="宋体" w:eastAsia="宋体" w:cs="宋体"/>
        </w:rPr>
        <w:t>(十三) 投标文件的解密</w:t>
      </w:r>
      <w:r>
        <w:tab/>
      </w:r>
      <w:r>
        <w:fldChar w:fldCharType="begin"/>
      </w:r>
      <w:r>
        <w:instrText xml:space="preserve"> PAGEREF _Toc27493 \h </w:instrText>
      </w:r>
      <w:r>
        <w:fldChar w:fldCharType="separate"/>
      </w:r>
      <w:r>
        <w:t>20</w:t>
      </w:r>
      <w:r>
        <w:fldChar w:fldCharType="end"/>
      </w:r>
      <w:r>
        <w:fldChar w:fldCharType="end"/>
      </w:r>
    </w:p>
    <w:p>
      <w:pPr>
        <w:pStyle w:val="18"/>
        <w:tabs>
          <w:tab w:val="right" w:leader="dot" w:pos="9746"/>
          <w:tab w:val="clear" w:pos="0"/>
        </w:tabs>
      </w:pPr>
      <w:r>
        <w:fldChar w:fldCharType="begin"/>
      </w:r>
      <w:r>
        <w:instrText xml:space="preserve"> HYPERLINK \l _Toc31674 </w:instrText>
      </w:r>
      <w:r>
        <w:fldChar w:fldCharType="separate"/>
      </w:r>
      <w:r>
        <w:rPr>
          <w:rFonts w:hint="eastAsia"/>
        </w:rPr>
        <w:t>五、 开标和中标</w:t>
      </w:r>
      <w:r>
        <w:tab/>
      </w:r>
      <w:r>
        <w:fldChar w:fldCharType="begin"/>
      </w:r>
      <w:r>
        <w:instrText xml:space="preserve"> PAGEREF _Toc31674 \h </w:instrText>
      </w:r>
      <w:r>
        <w:fldChar w:fldCharType="separate"/>
      </w:r>
      <w:r>
        <w:t>20</w:t>
      </w:r>
      <w:r>
        <w:fldChar w:fldCharType="end"/>
      </w:r>
      <w:r>
        <w:fldChar w:fldCharType="end"/>
      </w:r>
    </w:p>
    <w:p>
      <w:pPr>
        <w:pStyle w:val="14"/>
        <w:tabs>
          <w:tab w:val="right" w:leader="dot" w:pos="9746"/>
          <w:tab w:val="clear" w:pos="0"/>
        </w:tabs>
      </w:pPr>
      <w:r>
        <w:fldChar w:fldCharType="begin"/>
      </w:r>
      <w:r>
        <w:instrText xml:space="preserve"> HYPERLINK \l _Toc21951 </w:instrText>
      </w:r>
      <w:r>
        <w:fldChar w:fldCharType="separate"/>
      </w:r>
      <w:r>
        <w:rPr>
          <w:rFonts w:hint="eastAsia" w:ascii="宋体" w:hAnsi="宋体" w:eastAsia="宋体" w:cs="宋体"/>
          <w:bCs w:val="0"/>
        </w:rPr>
        <w:t xml:space="preserve">(一) </w:t>
      </w:r>
      <w:r>
        <w:rPr>
          <w:rFonts w:hint="eastAsia"/>
          <w:bCs w:val="0"/>
        </w:rPr>
        <w:t>开标</w:t>
      </w:r>
      <w:r>
        <w:rPr>
          <w:rFonts w:hint="eastAsia"/>
          <w:bCs w:val="0"/>
          <w:lang w:val="en-US" w:eastAsia="zh-CN"/>
        </w:rPr>
        <w:t>及开标程序</w:t>
      </w:r>
      <w:r>
        <w:tab/>
      </w:r>
      <w:r>
        <w:fldChar w:fldCharType="begin"/>
      </w:r>
      <w:r>
        <w:instrText xml:space="preserve"> PAGEREF _Toc21951 \h </w:instrText>
      </w:r>
      <w:r>
        <w:fldChar w:fldCharType="separate"/>
      </w:r>
      <w:r>
        <w:t>20</w:t>
      </w:r>
      <w:r>
        <w:fldChar w:fldCharType="end"/>
      </w:r>
      <w:r>
        <w:fldChar w:fldCharType="end"/>
      </w:r>
    </w:p>
    <w:p>
      <w:pPr>
        <w:pStyle w:val="14"/>
        <w:tabs>
          <w:tab w:val="right" w:leader="dot" w:pos="9746"/>
          <w:tab w:val="clear" w:pos="0"/>
        </w:tabs>
      </w:pPr>
      <w:r>
        <w:fldChar w:fldCharType="begin"/>
      </w:r>
      <w:r>
        <w:instrText xml:space="preserve"> HYPERLINK \l _Toc598 </w:instrText>
      </w:r>
      <w:r>
        <w:fldChar w:fldCharType="separate"/>
      </w:r>
      <w:r>
        <w:rPr>
          <w:rFonts w:hint="eastAsia" w:ascii="宋体" w:hAnsi="宋体" w:eastAsia="宋体" w:cs="宋体"/>
          <w:lang w:val="en-US" w:eastAsia="zh-CN"/>
        </w:rPr>
        <w:t xml:space="preserve">(二) </w:t>
      </w:r>
      <w:r>
        <w:rPr>
          <w:rFonts w:hint="eastAsia"/>
          <w:lang w:val="en-US" w:eastAsia="zh-CN"/>
        </w:rPr>
        <w:t>开评标过程存档</w:t>
      </w:r>
      <w:r>
        <w:tab/>
      </w:r>
      <w:r>
        <w:fldChar w:fldCharType="begin"/>
      </w:r>
      <w:r>
        <w:instrText xml:space="preserve"> PAGEREF _Toc598 \h </w:instrText>
      </w:r>
      <w:r>
        <w:fldChar w:fldCharType="separate"/>
      </w:r>
      <w:r>
        <w:t>21</w:t>
      </w:r>
      <w:r>
        <w:fldChar w:fldCharType="end"/>
      </w:r>
      <w:r>
        <w:fldChar w:fldCharType="end"/>
      </w:r>
    </w:p>
    <w:p>
      <w:pPr>
        <w:pStyle w:val="14"/>
        <w:tabs>
          <w:tab w:val="right" w:leader="dot" w:pos="9746"/>
          <w:tab w:val="clear" w:pos="0"/>
        </w:tabs>
      </w:pPr>
      <w:r>
        <w:fldChar w:fldCharType="begin"/>
      </w:r>
      <w:r>
        <w:instrText xml:space="preserve"> HYPERLINK \l _Toc31117 </w:instrText>
      </w:r>
      <w:r>
        <w:fldChar w:fldCharType="separate"/>
      </w:r>
      <w:r>
        <w:rPr>
          <w:rFonts w:hint="eastAsia" w:ascii="宋体" w:hAnsi="宋体" w:eastAsia="宋体" w:cs="宋体"/>
        </w:rPr>
        <w:t xml:space="preserve">(三) </w:t>
      </w:r>
      <w:r>
        <w:rPr>
          <w:rFonts w:hint="eastAsia"/>
        </w:rPr>
        <w:t>中标通知书</w:t>
      </w:r>
      <w:r>
        <w:tab/>
      </w:r>
      <w:r>
        <w:fldChar w:fldCharType="begin"/>
      </w:r>
      <w:r>
        <w:instrText xml:space="preserve"> PAGEREF _Toc31117 \h </w:instrText>
      </w:r>
      <w:r>
        <w:fldChar w:fldCharType="separate"/>
      </w:r>
      <w:r>
        <w:t>21</w:t>
      </w:r>
      <w:r>
        <w:fldChar w:fldCharType="end"/>
      </w:r>
      <w:r>
        <w:fldChar w:fldCharType="end"/>
      </w:r>
    </w:p>
    <w:p>
      <w:pPr>
        <w:pStyle w:val="18"/>
        <w:tabs>
          <w:tab w:val="right" w:leader="dot" w:pos="9746"/>
          <w:tab w:val="clear" w:pos="0"/>
        </w:tabs>
      </w:pPr>
      <w:r>
        <w:fldChar w:fldCharType="begin"/>
      </w:r>
      <w:r>
        <w:instrText xml:space="preserve"> HYPERLINK \l _Toc22050 </w:instrText>
      </w:r>
      <w:r>
        <w:fldChar w:fldCharType="separate"/>
      </w:r>
      <w:r>
        <w:rPr>
          <w:rFonts w:hint="eastAsia"/>
        </w:rPr>
        <w:t>六、 签订及履行合同和验收</w:t>
      </w:r>
      <w:r>
        <w:tab/>
      </w:r>
      <w:r>
        <w:fldChar w:fldCharType="begin"/>
      </w:r>
      <w:r>
        <w:instrText xml:space="preserve"> PAGEREF _Toc22050 \h </w:instrText>
      </w:r>
      <w:r>
        <w:fldChar w:fldCharType="separate"/>
      </w:r>
      <w:r>
        <w:t>21</w:t>
      </w:r>
      <w:r>
        <w:fldChar w:fldCharType="end"/>
      </w:r>
      <w:r>
        <w:fldChar w:fldCharType="end"/>
      </w:r>
    </w:p>
    <w:p>
      <w:pPr>
        <w:pStyle w:val="14"/>
        <w:tabs>
          <w:tab w:val="right" w:leader="dot" w:pos="9746"/>
          <w:tab w:val="clear" w:pos="0"/>
        </w:tabs>
      </w:pPr>
      <w:r>
        <w:fldChar w:fldCharType="begin"/>
      </w:r>
      <w:r>
        <w:instrText xml:space="preserve"> HYPERLINK \l _Toc3621 </w:instrText>
      </w:r>
      <w:r>
        <w:fldChar w:fldCharType="separate"/>
      </w:r>
      <w:r>
        <w:rPr>
          <w:rFonts w:hint="eastAsia" w:ascii="宋体" w:hAnsi="宋体" w:eastAsia="宋体" w:cs="宋体"/>
        </w:rPr>
        <w:t xml:space="preserve">(一) </w:t>
      </w:r>
      <w:r>
        <w:rPr>
          <w:rFonts w:hint="eastAsia"/>
        </w:rPr>
        <w:t>签订合同</w:t>
      </w:r>
      <w:r>
        <w:tab/>
      </w:r>
      <w:r>
        <w:fldChar w:fldCharType="begin"/>
      </w:r>
      <w:r>
        <w:instrText xml:space="preserve"> PAGEREF _Toc3621 \h </w:instrText>
      </w:r>
      <w:r>
        <w:fldChar w:fldCharType="separate"/>
      </w:r>
      <w:r>
        <w:t>21</w:t>
      </w:r>
      <w:r>
        <w:fldChar w:fldCharType="end"/>
      </w:r>
      <w:r>
        <w:fldChar w:fldCharType="end"/>
      </w:r>
    </w:p>
    <w:p>
      <w:pPr>
        <w:pStyle w:val="14"/>
        <w:tabs>
          <w:tab w:val="right" w:leader="dot" w:pos="9746"/>
          <w:tab w:val="clear" w:pos="0"/>
        </w:tabs>
      </w:pPr>
      <w:r>
        <w:fldChar w:fldCharType="begin"/>
      </w:r>
      <w:r>
        <w:instrText xml:space="preserve"> HYPERLINK \l _Toc32650 </w:instrText>
      </w:r>
      <w:r>
        <w:fldChar w:fldCharType="separate"/>
      </w:r>
      <w:r>
        <w:rPr>
          <w:rFonts w:hint="eastAsia" w:ascii="宋体" w:hAnsi="宋体" w:eastAsia="宋体" w:cs="宋体"/>
          <w:lang w:val="en-US"/>
        </w:rPr>
        <w:t xml:space="preserve">(二) </w:t>
      </w:r>
      <w:r>
        <w:rPr>
          <w:rFonts w:hint="eastAsia"/>
        </w:rPr>
        <w:t>合同分包</w:t>
      </w:r>
      <w:r>
        <w:rPr>
          <w:rFonts w:hint="eastAsia"/>
          <w:lang w:val="en-US" w:eastAsia="zh-CN"/>
        </w:rPr>
        <w:t>(实质性要求)</w:t>
      </w:r>
      <w:r>
        <w:tab/>
      </w:r>
      <w:r>
        <w:fldChar w:fldCharType="begin"/>
      </w:r>
      <w:r>
        <w:instrText xml:space="preserve"> PAGEREF _Toc32650 \h </w:instrText>
      </w:r>
      <w:r>
        <w:fldChar w:fldCharType="separate"/>
      </w:r>
      <w:r>
        <w:t>22</w:t>
      </w:r>
      <w:r>
        <w:fldChar w:fldCharType="end"/>
      </w:r>
      <w:r>
        <w:fldChar w:fldCharType="end"/>
      </w:r>
    </w:p>
    <w:p>
      <w:pPr>
        <w:pStyle w:val="14"/>
        <w:tabs>
          <w:tab w:val="right" w:leader="dot" w:pos="9746"/>
          <w:tab w:val="clear" w:pos="0"/>
        </w:tabs>
      </w:pPr>
      <w:r>
        <w:fldChar w:fldCharType="begin"/>
      </w:r>
      <w:r>
        <w:instrText xml:space="preserve"> HYPERLINK \l _Toc5890 </w:instrText>
      </w:r>
      <w:r>
        <w:fldChar w:fldCharType="separate"/>
      </w:r>
      <w:r>
        <w:rPr>
          <w:rFonts w:hint="eastAsia" w:ascii="宋体" w:hAnsi="宋体" w:eastAsia="宋体" w:cs="宋体"/>
        </w:rPr>
        <w:t xml:space="preserve">(三) </w:t>
      </w:r>
      <w:r>
        <w:rPr>
          <w:rFonts w:hint="eastAsia"/>
        </w:rPr>
        <w:t>合同转包</w:t>
      </w:r>
      <w:r>
        <w:rPr>
          <w:rFonts w:hint="eastAsia"/>
          <w:lang w:val="en-US" w:eastAsia="zh-CN"/>
        </w:rPr>
        <w:t>(实质性要求)</w:t>
      </w:r>
      <w:r>
        <w:tab/>
      </w:r>
      <w:r>
        <w:fldChar w:fldCharType="begin"/>
      </w:r>
      <w:r>
        <w:instrText xml:space="preserve"> PAGEREF _Toc5890 \h </w:instrText>
      </w:r>
      <w:r>
        <w:fldChar w:fldCharType="separate"/>
      </w:r>
      <w:r>
        <w:t>22</w:t>
      </w:r>
      <w:r>
        <w:fldChar w:fldCharType="end"/>
      </w:r>
      <w:r>
        <w:fldChar w:fldCharType="end"/>
      </w:r>
    </w:p>
    <w:p>
      <w:pPr>
        <w:pStyle w:val="14"/>
        <w:tabs>
          <w:tab w:val="right" w:leader="dot" w:pos="9746"/>
          <w:tab w:val="clear" w:pos="0"/>
        </w:tabs>
      </w:pPr>
      <w:r>
        <w:fldChar w:fldCharType="begin"/>
      </w:r>
      <w:r>
        <w:instrText xml:space="preserve"> HYPERLINK \l _Toc9680 </w:instrText>
      </w:r>
      <w:r>
        <w:fldChar w:fldCharType="separate"/>
      </w:r>
      <w:r>
        <w:rPr>
          <w:rFonts w:hint="eastAsia" w:ascii="宋体" w:hAnsi="宋体" w:eastAsia="宋体" w:cs="宋体"/>
        </w:rPr>
        <w:t xml:space="preserve">(四) </w:t>
      </w:r>
      <w:r>
        <w:rPr>
          <w:rFonts w:hint="eastAsia"/>
        </w:rPr>
        <w:t>补充合同</w:t>
      </w:r>
      <w:r>
        <w:tab/>
      </w:r>
      <w:r>
        <w:fldChar w:fldCharType="begin"/>
      </w:r>
      <w:r>
        <w:instrText xml:space="preserve"> PAGEREF _Toc9680 \h </w:instrText>
      </w:r>
      <w:r>
        <w:fldChar w:fldCharType="separate"/>
      </w:r>
      <w:r>
        <w:t>22</w:t>
      </w:r>
      <w:r>
        <w:fldChar w:fldCharType="end"/>
      </w:r>
      <w:r>
        <w:fldChar w:fldCharType="end"/>
      </w:r>
    </w:p>
    <w:p>
      <w:pPr>
        <w:pStyle w:val="14"/>
        <w:tabs>
          <w:tab w:val="right" w:leader="dot" w:pos="9746"/>
          <w:tab w:val="clear" w:pos="0"/>
        </w:tabs>
      </w:pPr>
      <w:r>
        <w:fldChar w:fldCharType="begin"/>
      </w:r>
      <w:r>
        <w:instrText xml:space="preserve"> HYPERLINK \l _Toc28976 </w:instrText>
      </w:r>
      <w:r>
        <w:fldChar w:fldCharType="separate"/>
      </w:r>
      <w:r>
        <w:rPr>
          <w:rFonts w:hint="eastAsia" w:ascii="宋体" w:hAnsi="宋体" w:eastAsia="宋体" w:cs="宋体"/>
        </w:rPr>
        <w:t xml:space="preserve">(五) </w:t>
      </w:r>
      <w:r>
        <w:rPr>
          <w:rFonts w:hint="eastAsia"/>
        </w:rPr>
        <w:t>合同公告</w:t>
      </w:r>
      <w:r>
        <w:tab/>
      </w:r>
      <w:r>
        <w:fldChar w:fldCharType="begin"/>
      </w:r>
      <w:r>
        <w:instrText xml:space="preserve"> PAGEREF _Toc28976 \h </w:instrText>
      </w:r>
      <w:r>
        <w:fldChar w:fldCharType="separate"/>
      </w:r>
      <w:r>
        <w:t>22</w:t>
      </w:r>
      <w:r>
        <w:fldChar w:fldCharType="end"/>
      </w:r>
      <w:r>
        <w:fldChar w:fldCharType="end"/>
      </w:r>
    </w:p>
    <w:p>
      <w:pPr>
        <w:pStyle w:val="14"/>
        <w:tabs>
          <w:tab w:val="right" w:leader="dot" w:pos="9746"/>
          <w:tab w:val="clear" w:pos="0"/>
        </w:tabs>
      </w:pPr>
      <w:r>
        <w:fldChar w:fldCharType="begin"/>
      </w:r>
      <w:r>
        <w:instrText xml:space="preserve"> HYPERLINK \l _Toc352 </w:instrText>
      </w:r>
      <w:r>
        <w:fldChar w:fldCharType="separate"/>
      </w:r>
      <w:r>
        <w:rPr>
          <w:rFonts w:hint="eastAsia" w:ascii="宋体" w:hAnsi="宋体" w:eastAsia="宋体" w:cs="宋体"/>
          <w:lang w:val="en-US" w:eastAsia="zh-CN"/>
        </w:rPr>
        <w:t xml:space="preserve">(六) </w:t>
      </w:r>
      <w:r>
        <w:rPr>
          <w:rFonts w:hint="eastAsia"/>
          <w:lang w:val="en-US" w:eastAsia="zh-CN"/>
        </w:rPr>
        <w:t>合同备案</w:t>
      </w:r>
      <w:r>
        <w:tab/>
      </w:r>
      <w:r>
        <w:fldChar w:fldCharType="begin"/>
      </w:r>
      <w:r>
        <w:instrText xml:space="preserve"> PAGEREF _Toc352 \h </w:instrText>
      </w:r>
      <w:r>
        <w:fldChar w:fldCharType="separate"/>
      </w:r>
      <w:r>
        <w:t>22</w:t>
      </w:r>
      <w:r>
        <w:fldChar w:fldCharType="end"/>
      </w:r>
      <w:r>
        <w:fldChar w:fldCharType="end"/>
      </w:r>
    </w:p>
    <w:p>
      <w:pPr>
        <w:pStyle w:val="14"/>
        <w:tabs>
          <w:tab w:val="right" w:leader="dot" w:pos="9746"/>
          <w:tab w:val="clear" w:pos="0"/>
        </w:tabs>
      </w:pPr>
      <w:r>
        <w:fldChar w:fldCharType="begin"/>
      </w:r>
      <w:r>
        <w:instrText xml:space="preserve"> HYPERLINK \l _Toc11472 </w:instrText>
      </w:r>
      <w:r>
        <w:fldChar w:fldCharType="separate"/>
      </w:r>
      <w:r>
        <w:rPr>
          <w:rFonts w:hint="eastAsia" w:ascii="宋体" w:hAnsi="宋体" w:eastAsia="宋体" w:cs="宋体"/>
        </w:rPr>
        <w:t xml:space="preserve">(七) </w:t>
      </w:r>
      <w:r>
        <w:rPr>
          <w:rFonts w:hint="eastAsia"/>
          <w:highlight w:val="none"/>
        </w:rPr>
        <w:t>履约保证金</w:t>
      </w:r>
      <w:r>
        <w:tab/>
      </w:r>
      <w:r>
        <w:fldChar w:fldCharType="begin"/>
      </w:r>
      <w:r>
        <w:instrText xml:space="preserve"> PAGEREF _Toc11472 \h </w:instrText>
      </w:r>
      <w:r>
        <w:fldChar w:fldCharType="separate"/>
      </w:r>
      <w:r>
        <w:t>22</w:t>
      </w:r>
      <w:r>
        <w:fldChar w:fldCharType="end"/>
      </w:r>
      <w:r>
        <w:fldChar w:fldCharType="end"/>
      </w:r>
    </w:p>
    <w:p>
      <w:pPr>
        <w:pStyle w:val="14"/>
        <w:tabs>
          <w:tab w:val="right" w:leader="dot" w:pos="9746"/>
          <w:tab w:val="clear" w:pos="0"/>
        </w:tabs>
      </w:pPr>
      <w:r>
        <w:fldChar w:fldCharType="begin"/>
      </w:r>
      <w:r>
        <w:instrText xml:space="preserve"> HYPERLINK \l _Toc15792 </w:instrText>
      </w:r>
      <w:r>
        <w:fldChar w:fldCharType="separate"/>
      </w:r>
      <w:r>
        <w:rPr>
          <w:rFonts w:hint="eastAsia" w:ascii="宋体" w:hAnsi="宋体" w:eastAsia="宋体" w:cs="宋体"/>
        </w:rPr>
        <w:t xml:space="preserve">(八) </w:t>
      </w:r>
      <w:r>
        <w:rPr>
          <w:rFonts w:hint="eastAsia"/>
        </w:rPr>
        <w:t>履行合同</w:t>
      </w:r>
      <w:r>
        <w:tab/>
      </w:r>
      <w:r>
        <w:fldChar w:fldCharType="begin"/>
      </w:r>
      <w:r>
        <w:instrText xml:space="preserve"> PAGEREF _Toc15792 \h </w:instrText>
      </w:r>
      <w:r>
        <w:fldChar w:fldCharType="separate"/>
      </w:r>
      <w:r>
        <w:t>23</w:t>
      </w:r>
      <w:r>
        <w:fldChar w:fldCharType="end"/>
      </w:r>
      <w:r>
        <w:fldChar w:fldCharType="end"/>
      </w:r>
    </w:p>
    <w:p>
      <w:pPr>
        <w:pStyle w:val="14"/>
        <w:tabs>
          <w:tab w:val="right" w:leader="dot" w:pos="9746"/>
          <w:tab w:val="clear" w:pos="0"/>
        </w:tabs>
      </w:pPr>
      <w:r>
        <w:fldChar w:fldCharType="begin"/>
      </w:r>
      <w:r>
        <w:instrText xml:space="preserve"> HYPERLINK \l _Toc7153 </w:instrText>
      </w:r>
      <w:r>
        <w:fldChar w:fldCharType="separate"/>
      </w:r>
      <w:r>
        <w:rPr>
          <w:rFonts w:hint="eastAsia" w:ascii="宋体" w:hAnsi="宋体" w:eastAsia="宋体" w:cs="宋体"/>
        </w:rPr>
        <w:t xml:space="preserve">(九) </w:t>
      </w:r>
      <w:r>
        <w:rPr>
          <w:rFonts w:hint="eastAsia"/>
        </w:rPr>
        <w:t>验收</w:t>
      </w:r>
      <w:r>
        <w:tab/>
      </w:r>
      <w:r>
        <w:fldChar w:fldCharType="begin"/>
      </w:r>
      <w:r>
        <w:instrText xml:space="preserve"> PAGEREF _Toc7153 \h </w:instrText>
      </w:r>
      <w:r>
        <w:fldChar w:fldCharType="separate"/>
      </w:r>
      <w:r>
        <w:t>23</w:t>
      </w:r>
      <w:r>
        <w:fldChar w:fldCharType="end"/>
      </w:r>
      <w:r>
        <w:fldChar w:fldCharType="end"/>
      </w:r>
    </w:p>
    <w:p>
      <w:pPr>
        <w:pStyle w:val="14"/>
        <w:tabs>
          <w:tab w:val="right" w:leader="dot" w:pos="9746"/>
          <w:tab w:val="clear" w:pos="0"/>
        </w:tabs>
      </w:pPr>
      <w:r>
        <w:fldChar w:fldCharType="begin"/>
      </w:r>
      <w:r>
        <w:instrText xml:space="preserve"> HYPERLINK \l _Toc12094 </w:instrText>
      </w:r>
      <w:r>
        <w:fldChar w:fldCharType="separate"/>
      </w:r>
      <w:r>
        <w:rPr>
          <w:rFonts w:hint="eastAsia" w:ascii="宋体" w:hAnsi="宋体" w:eastAsia="宋体" w:cs="宋体"/>
        </w:rPr>
        <w:t xml:space="preserve">(十) </w:t>
      </w:r>
      <w:r>
        <w:rPr>
          <w:rFonts w:hint="eastAsia"/>
        </w:rPr>
        <w:t>资金支付</w:t>
      </w:r>
      <w:r>
        <w:rPr>
          <w:rFonts w:hint="eastAsia"/>
          <w:lang w:val="en-US" w:eastAsia="zh-CN"/>
        </w:rPr>
        <w:t>方式、时间、条件</w:t>
      </w:r>
      <w:r>
        <w:tab/>
      </w:r>
      <w:r>
        <w:fldChar w:fldCharType="begin"/>
      </w:r>
      <w:r>
        <w:instrText xml:space="preserve"> PAGEREF _Toc12094 \h </w:instrText>
      </w:r>
      <w:r>
        <w:fldChar w:fldCharType="separate"/>
      </w:r>
      <w:r>
        <w:t>23</w:t>
      </w:r>
      <w:r>
        <w:fldChar w:fldCharType="end"/>
      </w:r>
      <w:r>
        <w:fldChar w:fldCharType="end"/>
      </w:r>
    </w:p>
    <w:p>
      <w:pPr>
        <w:pStyle w:val="18"/>
        <w:tabs>
          <w:tab w:val="right" w:leader="dot" w:pos="9746"/>
          <w:tab w:val="clear" w:pos="0"/>
        </w:tabs>
      </w:pPr>
      <w:r>
        <w:fldChar w:fldCharType="begin"/>
      </w:r>
      <w:r>
        <w:instrText xml:space="preserve"> HYPERLINK \l _Toc2329 </w:instrText>
      </w:r>
      <w:r>
        <w:fldChar w:fldCharType="separate"/>
      </w:r>
      <w:r>
        <w:rPr>
          <w:rFonts w:hint="eastAsia"/>
        </w:rPr>
        <w:t>七、 投标纪律要求</w:t>
      </w:r>
      <w:r>
        <w:tab/>
      </w:r>
      <w:r>
        <w:fldChar w:fldCharType="begin"/>
      </w:r>
      <w:r>
        <w:instrText xml:space="preserve"> PAGEREF _Toc2329 \h </w:instrText>
      </w:r>
      <w:r>
        <w:fldChar w:fldCharType="separate"/>
      </w:r>
      <w:r>
        <w:t>23</w:t>
      </w:r>
      <w:r>
        <w:fldChar w:fldCharType="end"/>
      </w:r>
      <w:r>
        <w:fldChar w:fldCharType="end"/>
      </w:r>
    </w:p>
    <w:p>
      <w:pPr>
        <w:pStyle w:val="18"/>
        <w:tabs>
          <w:tab w:val="right" w:leader="dot" w:pos="9746"/>
          <w:tab w:val="clear" w:pos="0"/>
        </w:tabs>
      </w:pPr>
      <w:r>
        <w:fldChar w:fldCharType="begin"/>
      </w:r>
      <w:r>
        <w:instrText xml:space="preserve"> HYPERLINK \l _Toc9837 </w:instrText>
      </w:r>
      <w:r>
        <w:fldChar w:fldCharType="separate"/>
      </w:r>
      <w:r>
        <w:rPr>
          <w:rFonts w:hint="eastAsia"/>
        </w:rPr>
        <w:t xml:space="preserve">八、 </w:t>
      </w:r>
      <w:r>
        <w:rPr>
          <w:rFonts w:hint="eastAsia"/>
          <w:lang w:val="en-US" w:eastAsia="zh-CN"/>
        </w:rPr>
        <w:t>其他</w:t>
      </w:r>
      <w:r>
        <w:tab/>
      </w:r>
      <w:r>
        <w:fldChar w:fldCharType="begin"/>
      </w:r>
      <w:r>
        <w:instrText xml:space="preserve"> PAGEREF _Toc9837 \h </w:instrText>
      </w:r>
      <w:r>
        <w:fldChar w:fldCharType="separate"/>
      </w:r>
      <w:r>
        <w:t>24</w:t>
      </w:r>
      <w:r>
        <w:fldChar w:fldCharType="end"/>
      </w:r>
      <w:r>
        <w:fldChar w:fldCharType="end"/>
      </w:r>
    </w:p>
    <w:p>
      <w:pPr>
        <w:pStyle w:val="14"/>
        <w:tabs>
          <w:tab w:val="right" w:leader="dot" w:pos="9746"/>
          <w:tab w:val="clear" w:pos="0"/>
        </w:tabs>
      </w:pPr>
      <w:r>
        <w:fldChar w:fldCharType="begin"/>
      </w:r>
      <w:r>
        <w:instrText xml:space="preserve"> HYPERLINK \l _Toc23347 </w:instrText>
      </w:r>
      <w:r>
        <w:fldChar w:fldCharType="separate"/>
      </w:r>
      <w:r>
        <w:rPr>
          <w:rFonts w:hint="eastAsia" w:ascii="宋体" w:hAnsi="宋体" w:eastAsia="宋体" w:cs="宋体"/>
        </w:rPr>
        <w:t xml:space="preserve">(一) </w:t>
      </w:r>
      <w:r>
        <w:rPr>
          <w:rFonts w:hint="eastAsia"/>
        </w:rPr>
        <w:t>询问</w:t>
      </w:r>
      <w:r>
        <w:rPr>
          <w:rFonts w:hint="eastAsia"/>
          <w:lang w:eastAsia="zh-CN"/>
        </w:rPr>
        <w:t>、</w:t>
      </w:r>
      <w:r>
        <w:rPr>
          <w:rFonts w:hint="eastAsia"/>
          <w:lang w:val="en-US" w:eastAsia="zh-CN"/>
        </w:rPr>
        <w:t>质疑和投诉</w:t>
      </w:r>
      <w:r>
        <w:tab/>
      </w:r>
      <w:r>
        <w:fldChar w:fldCharType="begin"/>
      </w:r>
      <w:r>
        <w:instrText xml:space="preserve"> PAGEREF _Toc23347 \h </w:instrText>
      </w:r>
      <w:r>
        <w:fldChar w:fldCharType="separate"/>
      </w:r>
      <w:r>
        <w:t>24</w:t>
      </w:r>
      <w:r>
        <w:fldChar w:fldCharType="end"/>
      </w:r>
      <w:r>
        <w:fldChar w:fldCharType="end"/>
      </w:r>
    </w:p>
    <w:p>
      <w:pPr>
        <w:pStyle w:val="14"/>
        <w:tabs>
          <w:tab w:val="right" w:leader="dot" w:pos="9746"/>
          <w:tab w:val="clear" w:pos="0"/>
        </w:tabs>
      </w:pPr>
      <w:r>
        <w:fldChar w:fldCharType="begin"/>
      </w:r>
      <w:r>
        <w:instrText xml:space="preserve"> HYPERLINK \l _Toc11851 </w:instrText>
      </w:r>
      <w:r>
        <w:fldChar w:fldCharType="separate"/>
      </w:r>
      <w:r>
        <w:rPr>
          <w:rFonts w:hint="eastAsia" w:ascii="宋体" w:hAnsi="宋体" w:eastAsia="宋体" w:cs="宋体"/>
        </w:rPr>
        <w:t xml:space="preserve">(二) </w:t>
      </w:r>
      <w:r>
        <w:rPr>
          <w:rFonts w:hint="eastAsia"/>
        </w:rPr>
        <w:t>关于行贿犯罪档案查询工作的规定</w:t>
      </w:r>
      <w:r>
        <w:tab/>
      </w:r>
      <w:r>
        <w:fldChar w:fldCharType="begin"/>
      </w:r>
      <w:r>
        <w:instrText xml:space="preserve"> PAGEREF _Toc11851 \h </w:instrText>
      </w:r>
      <w:r>
        <w:fldChar w:fldCharType="separate"/>
      </w:r>
      <w:r>
        <w:t>24</w:t>
      </w:r>
      <w:r>
        <w:fldChar w:fldCharType="end"/>
      </w:r>
      <w:r>
        <w:fldChar w:fldCharType="end"/>
      </w:r>
    </w:p>
    <w:p>
      <w:pPr>
        <w:pStyle w:val="14"/>
        <w:tabs>
          <w:tab w:val="right" w:leader="dot" w:pos="9746"/>
          <w:tab w:val="clear" w:pos="0"/>
        </w:tabs>
      </w:pPr>
      <w:r>
        <w:fldChar w:fldCharType="begin"/>
      </w:r>
      <w:r>
        <w:instrText xml:space="preserve"> HYPERLINK \l _Toc22968 </w:instrText>
      </w:r>
      <w:r>
        <w:fldChar w:fldCharType="separate"/>
      </w:r>
      <w:r>
        <w:rPr>
          <w:rFonts w:hint="eastAsia" w:ascii="宋体" w:hAnsi="宋体" w:eastAsia="宋体" w:cs="宋体"/>
          <w:lang w:val="en-US" w:eastAsia="zh-CN"/>
        </w:rPr>
        <w:t xml:space="preserve">(三) </w:t>
      </w:r>
      <w:r>
        <w:rPr>
          <w:rFonts w:hint="eastAsia"/>
          <w:lang w:val="en-US" w:eastAsia="zh-CN"/>
        </w:rPr>
        <w:t>串通投标的情形</w:t>
      </w:r>
      <w:r>
        <w:tab/>
      </w:r>
      <w:r>
        <w:fldChar w:fldCharType="begin"/>
      </w:r>
      <w:r>
        <w:instrText xml:space="preserve"> PAGEREF _Toc22968 \h </w:instrText>
      </w:r>
      <w:r>
        <w:fldChar w:fldCharType="separate"/>
      </w:r>
      <w:r>
        <w:t>24</w:t>
      </w:r>
      <w:r>
        <w:fldChar w:fldCharType="end"/>
      </w:r>
      <w:r>
        <w:fldChar w:fldCharType="end"/>
      </w:r>
    </w:p>
    <w:p>
      <w:pPr>
        <w:pStyle w:val="14"/>
        <w:tabs>
          <w:tab w:val="right" w:leader="dot" w:pos="9746"/>
          <w:tab w:val="clear" w:pos="0"/>
        </w:tabs>
      </w:pPr>
      <w:r>
        <w:fldChar w:fldCharType="begin"/>
      </w:r>
      <w:r>
        <w:instrText xml:space="preserve"> HYPERLINK \l _Toc16007 </w:instrText>
      </w:r>
      <w:r>
        <w:fldChar w:fldCharType="separate"/>
      </w:r>
      <w:r>
        <w:rPr>
          <w:rFonts w:hint="eastAsia" w:ascii="宋体" w:hAnsi="宋体" w:eastAsia="宋体" w:cs="宋体"/>
          <w:lang w:val="en-US" w:eastAsia="zh-CN"/>
        </w:rPr>
        <w:t xml:space="preserve">(四) </w:t>
      </w:r>
      <w:r>
        <w:rPr>
          <w:rFonts w:hint="eastAsia"/>
          <w:lang w:val="en-US" w:eastAsia="zh-CN"/>
        </w:rPr>
        <w:t>投标人信用信息查询</w:t>
      </w:r>
      <w:r>
        <w:tab/>
      </w:r>
      <w:r>
        <w:fldChar w:fldCharType="begin"/>
      </w:r>
      <w:r>
        <w:instrText xml:space="preserve"> PAGEREF _Toc16007 \h </w:instrText>
      </w:r>
      <w:r>
        <w:fldChar w:fldCharType="separate"/>
      </w:r>
      <w:r>
        <w:t>24</w:t>
      </w:r>
      <w:r>
        <w:fldChar w:fldCharType="end"/>
      </w:r>
      <w:r>
        <w:fldChar w:fldCharType="end"/>
      </w:r>
    </w:p>
    <w:p>
      <w:pPr>
        <w:pStyle w:val="14"/>
        <w:tabs>
          <w:tab w:val="right" w:leader="dot" w:pos="9746"/>
          <w:tab w:val="clear" w:pos="0"/>
        </w:tabs>
      </w:pPr>
      <w:r>
        <w:fldChar w:fldCharType="begin"/>
      </w:r>
      <w:r>
        <w:instrText xml:space="preserve"> HYPERLINK \l _Toc6985 </w:instrText>
      </w:r>
      <w:r>
        <w:fldChar w:fldCharType="separate"/>
      </w:r>
      <w:r>
        <w:rPr>
          <w:rFonts w:hint="eastAsia" w:ascii="宋体" w:hAnsi="宋体" w:eastAsia="宋体" w:cs="宋体"/>
          <w:lang w:val="en-US" w:eastAsia="zh-CN"/>
        </w:rPr>
        <w:t xml:space="preserve">(五) </w:t>
      </w:r>
      <w:r>
        <w:rPr>
          <w:rFonts w:hint="eastAsia"/>
          <w:lang w:val="en-US" w:eastAsia="zh-CN"/>
        </w:rPr>
        <w:t>保密</w:t>
      </w:r>
      <w:r>
        <w:tab/>
      </w:r>
      <w:r>
        <w:fldChar w:fldCharType="begin"/>
      </w:r>
      <w:r>
        <w:instrText xml:space="preserve"> PAGEREF _Toc6985 \h </w:instrText>
      </w:r>
      <w:r>
        <w:fldChar w:fldCharType="separate"/>
      </w:r>
      <w:r>
        <w:t>24</w:t>
      </w:r>
      <w:r>
        <w:fldChar w:fldCharType="end"/>
      </w:r>
      <w:r>
        <w:fldChar w:fldCharType="end"/>
      </w:r>
    </w:p>
    <w:p>
      <w:pPr>
        <w:pStyle w:val="14"/>
        <w:tabs>
          <w:tab w:val="right" w:leader="dot" w:pos="9746"/>
          <w:tab w:val="clear" w:pos="0"/>
        </w:tabs>
      </w:pPr>
      <w:r>
        <w:fldChar w:fldCharType="begin"/>
      </w:r>
      <w:r>
        <w:instrText xml:space="preserve"> HYPERLINK \l _Toc25123 </w:instrText>
      </w:r>
      <w:r>
        <w:fldChar w:fldCharType="separate"/>
      </w:r>
      <w:r>
        <w:rPr>
          <w:rFonts w:hint="eastAsia" w:ascii="宋体" w:hAnsi="宋体" w:eastAsia="宋体" w:cs="宋体"/>
          <w:lang w:val="en-US" w:eastAsia="zh-CN"/>
        </w:rPr>
        <w:t xml:space="preserve">(六) </w:t>
      </w:r>
      <w:r>
        <w:rPr>
          <w:rFonts w:hint="eastAsia"/>
          <w:lang w:val="en-US" w:eastAsia="zh-CN"/>
        </w:rPr>
        <w:t>回避</w:t>
      </w:r>
      <w:r>
        <w:tab/>
      </w:r>
      <w:r>
        <w:fldChar w:fldCharType="begin"/>
      </w:r>
      <w:r>
        <w:instrText xml:space="preserve"> PAGEREF _Toc25123 \h </w:instrText>
      </w:r>
      <w:r>
        <w:fldChar w:fldCharType="separate"/>
      </w:r>
      <w:r>
        <w:t>25</w:t>
      </w:r>
      <w:r>
        <w:fldChar w:fldCharType="end"/>
      </w:r>
      <w:r>
        <w:fldChar w:fldCharType="end"/>
      </w:r>
    </w:p>
    <w:p>
      <w:pPr>
        <w:pStyle w:val="14"/>
        <w:tabs>
          <w:tab w:val="right" w:leader="dot" w:pos="9746"/>
          <w:tab w:val="clear" w:pos="0"/>
        </w:tabs>
      </w:pPr>
      <w:r>
        <w:fldChar w:fldCharType="begin"/>
      </w:r>
      <w:r>
        <w:instrText xml:space="preserve"> HYPERLINK \l _Toc14883 </w:instrText>
      </w:r>
      <w:r>
        <w:fldChar w:fldCharType="separate"/>
      </w:r>
      <w:r>
        <w:rPr>
          <w:rFonts w:hint="eastAsia" w:ascii="宋体" w:hAnsi="宋体" w:eastAsia="宋体" w:cs="宋体"/>
          <w:lang w:val="en-US" w:eastAsia="zh-CN"/>
        </w:rPr>
        <w:t xml:space="preserve">(七) </w:t>
      </w:r>
      <w:r>
        <w:rPr>
          <w:rFonts w:hint="eastAsia"/>
          <w:lang w:val="en-US" w:eastAsia="zh-CN"/>
        </w:rPr>
        <w:t>解释说明</w:t>
      </w:r>
      <w:r>
        <w:tab/>
      </w:r>
      <w:r>
        <w:fldChar w:fldCharType="begin"/>
      </w:r>
      <w:r>
        <w:instrText xml:space="preserve"> PAGEREF _Toc14883 \h </w:instrText>
      </w:r>
      <w:r>
        <w:fldChar w:fldCharType="separate"/>
      </w:r>
      <w:r>
        <w:t>25</w:t>
      </w:r>
      <w:r>
        <w:fldChar w:fldCharType="end"/>
      </w:r>
      <w:r>
        <w:fldChar w:fldCharType="end"/>
      </w:r>
    </w:p>
    <w:p>
      <w:pPr>
        <w:pStyle w:val="17"/>
        <w:tabs>
          <w:tab w:val="clear" w:pos="0"/>
        </w:tabs>
      </w:pPr>
      <w:r>
        <w:fldChar w:fldCharType="begin"/>
      </w:r>
      <w:r>
        <w:instrText xml:space="preserve"> HYPERLINK \l _Toc8357 </w:instrText>
      </w:r>
      <w:r>
        <w:fldChar w:fldCharType="separate"/>
      </w:r>
      <w:r>
        <w:rPr>
          <w:rFonts w:hint="eastAsia" w:ascii="宋体" w:hAnsi="宋体" w:eastAsia="宋体" w:cs="宋体"/>
        </w:rPr>
        <w:t xml:space="preserve">第三章 </w:t>
      </w:r>
      <w:r>
        <w:rPr>
          <w:rFonts w:hint="eastAsia"/>
        </w:rPr>
        <w:t>投标文件格式</w:t>
      </w:r>
      <w:r>
        <w:tab/>
      </w:r>
      <w:r>
        <w:fldChar w:fldCharType="begin"/>
      </w:r>
      <w:r>
        <w:instrText xml:space="preserve"> PAGEREF _Toc8357 \h </w:instrText>
      </w:r>
      <w:r>
        <w:fldChar w:fldCharType="separate"/>
      </w:r>
      <w:r>
        <w:t>26</w:t>
      </w:r>
      <w:r>
        <w:fldChar w:fldCharType="end"/>
      </w:r>
      <w:r>
        <w:fldChar w:fldCharType="end"/>
      </w:r>
    </w:p>
    <w:p>
      <w:pPr>
        <w:pStyle w:val="18"/>
        <w:tabs>
          <w:tab w:val="right" w:leader="dot" w:pos="9746"/>
          <w:tab w:val="clear" w:pos="0"/>
        </w:tabs>
      </w:pPr>
      <w:r>
        <w:fldChar w:fldCharType="begin"/>
      </w:r>
      <w:r>
        <w:instrText xml:space="preserve"> HYPERLINK \l _Toc1290 </w:instrText>
      </w:r>
      <w:r>
        <w:fldChar w:fldCharType="separate"/>
      </w:r>
      <w:r>
        <w:rPr>
          <w:rFonts w:hint="eastAsia"/>
          <w:szCs w:val="32"/>
          <w:lang w:val="en-US" w:eastAsia="zh-CN"/>
        </w:rPr>
        <w:t>第一部</w:t>
      </w:r>
      <w:r>
        <w:rPr>
          <w:rFonts w:hint="eastAsia"/>
          <w:szCs w:val="32"/>
        </w:rPr>
        <w:t>分 资格、资质性及其他类似效力</w:t>
      </w:r>
      <w:r>
        <w:rPr>
          <w:rFonts w:hint="eastAsia"/>
          <w:szCs w:val="32"/>
          <w:lang w:val="en-US" w:eastAsia="zh-CN"/>
        </w:rPr>
        <w:t>投标</w:t>
      </w:r>
      <w:r>
        <w:rPr>
          <w:rFonts w:hint="eastAsia"/>
          <w:szCs w:val="32"/>
        </w:rPr>
        <w:t>文件(格式)</w:t>
      </w:r>
      <w:r>
        <w:tab/>
      </w:r>
      <w:r>
        <w:fldChar w:fldCharType="begin"/>
      </w:r>
      <w:r>
        <w:instrText xml:space="preserve"> PAGEREF _Toc1290 \h </w:instrText>
      </w:r>
      <w:r>
        <w:fldChar w:fldCharType="separate"/>
      </w:r>
      <w:r>
        <w:t>29</w:t>
      </w:r>
      <w:r>
        <w:fldChar w:fldCharType="end"/>
      </w:r>
      <w:r>
        <w:fldChar w:fldCharType="end"/>
      </w:r>
    </w:p>
    <w:p>
      <w:pPr>
        <w:pStyle w:val="14"/>
        <w:tabs>
          <w:tab w:val="right" w:leader="dot" w:pos="9746"/>
          <w:tab w:val="clear" w:pos="0"/>
        </w:tabs>
      </w:pPr>
      <w:r>
        <w:fldChar w:fldCharType="begin"/>
      </w:r>
      <w:r>
        <w:instrText xml:space="preserve"> HYPERLINK \l _Toc9679 </w:instrText>
      </w:r>
      <w:r>
        <w:fldChar w:fldCharType="separate"/>
      </w:r>
      <w:r>
        <w:rPr>
          <w:rFonts w:hint="eastAsia"/>
          <w:lang w:val="en-US" w:eastAsia="zh-CN"/>
        </w:rPr>
        <w:t>一、 法定代表人/单位负责人身份证明书</w:t>
      </w:r>
      <w:r>
        <w:tab/>
      </w:r>
      <w:r>
        <w:fldChar w:fldCharType="begin"/>
      </w:r>
      <w:r>
        <w:instrText xml:space="preserve"> PAGEREF _Toc9679 \h </w:instrText>
      </w:r>
      <w:r>
        <w:fldChar w:fldCharType="separate"/>
      </w:r>
      <w:r>
        <w:t>30</w:t>
      </w:r>
      <w:r>
        <w:fldChar w:fldCharType="end"/>
      </w:r>
      <w:r>
        <w:fldChar w:fldCharType="end"/>
      </w:r>
    </w:p>
    <w:p>
      <w:pPr>
        <w:pStyle w:val="14"/>
        <w:tabs>
          <w:tab w:val="right" w:leader="dot" w:pos="9746"/>
          <w:tab w:val="clear" w:pos="0"/>
        </w:tabs>
      </w:pPr>
      <w:r>
        <w:fldChar w:fldCharType="begin"/>
      </w:r>
      <w:r>
        <w:instrText xml:space="preserve"> HYPERLINK \l _Toc22678 </w:instrText>
      </w:r>
      <w:r>
        <w:fldChar w:fldCharType="separate"/>
      </w:r>
      <w:r>
        <w:rPr>
          <w:rFonts w:hint="eastAsia"/>
          <w:lang w:val="en-US" w:eastAsia="zh-CN"/>
        </w:rPr>
        <w:t>二、 具有独立承担民事责任的能力的证明材料</w:t>
      </w:r>
      <w:r>
        <w:tab/>
      </w:r>
      <w:r>
        <w:fldChar w:fldCharType="begin"/>
      </w:r>
      <w:r>
        <w:instrText xml:space="preserve"> PAGEREF _Toc22678 \h </w:instrText>
      </w:r>
      <w:r>
        <w:fldChar w:fldCharType="separate"/>
      </w:r>
      <w:r>
        <w:t>31</w:t>
      </w:r>
      <w:r>
        <w:fldChar w:fldCharType="end"/>
      </w:r>
      <w:r>
        <w:fldChar w:fldCharType="end"/>
      </w:r>
    </w:p>
    <w:p>
      <w:pPr>
        <w:pStyle w:val="14"/>
        <w:tabs>
          <w:tab w:val="right" w:leader="dot" w:pos="9746"/>
          <w:tab w:val="clear" w:pos="0"/>
        </w:tabs>
      </w:pPr>
      <w:r>
        <w:fldChar w:fldCharType="begin"/>
      </w:r>
      <w:r>
        <w:instrText xml:space="preserve"> HYPERLINK \l _Toc17452 </w:instrText>
      </w:r>
      <w:r>
        <w:fldChar w:fldCharType="separate"/>
      </w:r>
      <w:r>
        <w:rPr>
          <w:rFonts w:hint="eastAsia"/>
          <w:lang w:val="en-US" w:eastAsia="zh-CN"/>
        </w:rPr>
        <w:t>三、 投标人具有良好的商业信誉和健全的财务会计制度的证明材料</w:t>
      </w:r>
      <w:r>
        <w:tab/>
      </w:r>
      <w:r>
        <w:fldChar w:fldCharType="begin"/>
      </w:r>
      <w:r>
        <w:instrText xml:space="preserve"> PAGEREF _Toc17452 \h </w:instrText>
      </w:r>
      <w:r>
        <w:fldChar w:fldCharType="separate"/>
      </w:r>
      <w:r>
        <w:t>32</w:t>
      </w:r>
      <w:r>
        <w:fldChar w:fldCharType="end"/>
      </w:r>
      <w:r>
        <w:fldChar w:fldCharType="end"/>
      </w:r>
    </w:p>
    <w:p>
      <w:pPr>
        <w:pStyle w:val="14"/>
        <w:tabs>
          <w:tab w:val="right" w:leader="dot" w:pos="9746"/>
          <w:tab w:val="clear" w:pos="0"/>
        </w:tabs>
      </w:pPr>
      <w:r>
        <w:fldChar w:fldCharType="begin"/>
      </w:r>
      <w:r>
        <w:instrText xml:space="preserve"> HYPERLINK \l _Toc27673 </w:instrText>
      </w:r>
      <w:r>
        <w:fldChar w:fldCharType="separate"/>
      </w:r>
      <w:r>
        <w:rPr>
          <w:rFonts w:hint="eastAsia"/>
          <w:lang w:val="en-US" w:eastAsia="zh-CN"/>
        </w:rPr>
        <w:t>四、 投标人具有依法缴纳税收和社会保障资金的良好记录的证明材料</w:t>
      </w:r>
      <w:r>
        <w:tab/>
      </w:r>
      <w:r>
        <w:fldChar w:fldCharType="begin"/>
      </w:r>
      <w:r>
        <w:instrText xml:space="preserve"> PAGEREF _Toc27673 \h </w:instrText>
      </w:r>
      <w:r>
        <w:fldChar w:fldCharType="separate"/>
      </w:r>
      <w:r>
        <w:t>33</w:t>
      </w:r>
      <w:r>
        <w:fldChar w:fldCharType="end"/>
      </w:r>
      <w:r>
        <w:fldChar w:fldCharType="end"/>
      </w:r>
    </w:p>
    <w:p>
      <w:pPr>
        <w:pStyle w:val="14"/>
        <w:tabs>
          <w:tab w:val="right" w:leader="dot" w:pos="9746"/>
          <w:tab w:val="clear" w:pos="0"/>
        </w:tabs>
      </w:pPr>
      <w:r>
        <w:fldChar w:fldCharType="begin"/>
      </w:r>
      <w:r>
        <w:instrText xml:space="preserve"> HYPERLINK \l _Toc4340 </w:instrText>
      </w:r>
      <w:r>
        <w:fldChar w:fldCharType="separate"/>
      </w:r>
      <w:r>
        <w:rPr>
          <w:rFonts w:hint="eastAsia"/>
          <w:lang w:val="en-US" w:eastAsia="zh-CN"/>
        </w:rPr>
        <w:t>五、 投标人具有履行合同所必需的设备和专业技术能力证明材料</w:t>
      </w:r>
      <w:r>
        <w:tab/>
      </w:r>
      <w:r>
        <w:fldChar w:fldCharType="begin"/>
      </w:r>
      <w:r>
        <w:instrText xml:space="preserve"> PAGEREF _Toc4340 \h </w:instrText>
      </w:r>
      <w:r>
        <w:fldChar w:fldCharType="separate"/>
      </w:r>
      <w:r>
        <w:t>34</w:t>
      </w:r>
      <w:r>
        <w:fldChar w:fldCharType="end"/>
      </w:r>
      <w:r>
        <w:fldChar w:fldCharType="end"/>
      </w:r>
    </w:p>
    <w:p>
      <w:pPr>
        <w:pStyle w:val="14"/>
        <w:tabs>
          <w:tab w:val="right" w:leader="dot" w:pos="9746"/>
          <w:tab w:val="clear" w:pos="0"/>
        </w:tabs>
      </w:pPr>
      <w:r>
        <w:fldChar w:fldCharType="begin"/>
      </w:r>
      <w:r>
        <w:instrText xml:space="preserve"> HYPERLINK \l _Toc30318 </w:instrText>
      </w:r>
      <w:r>
        <w:fldChar w:fldCharType="separate"/>
      </w:r>
      <w:r>
        <w:rPr>
          <w:rFonts w:hint="eastAsia"/>
          <w:lang w:val="en-US" w:eastAsia="zh-CN"/>
        </w:rPr>
        <w:t>六、 投标人参加政府采购活动前三年内，在经营活动中没有重大违法记录的证明材料</w:t>
      </w:r>
      <w:r>
        <w:tab/>
      </w:r>
      <w:r>
        <w:fldChar w:fldCharType="begin"/>
      </w:r>
      <w:r>
        <w:instrText xml:space="preserve"> PAGEREF _Toc30318 \h </w:instrText>
      </w:r>
      <w:r>
        <w:fldChar w:fldCharType="separate"/>
      </w:r>
      <w:r>
        <w:t>35</w:t>
      </w:r>
      <w:r>
        <w:fldChar w:fldCharType="end"/>
      </w:r>
      <w:r>
        <w:fldChar w:fldCharType="end"/>
      </w:r>
    </w:p>
    <w:p>
      <w:pPr>
        <w:pStyle w:val="14"/>
        <w:tabs>
          <w:tab w:val="right" w:leader="dot" w:pos="9746"/>
          <w:tab w:val="clear" w:pos="0"/>
        </w:tabs>
      </w:pPr>
      <w:r>
        <w:fldChar w:fldCharType="begin"/>
      </w:r>
      <w:r>
        <w:instrText xml:space="preserve"> HYPERLINK \l _Toc3088 </w:instrText>
      </w:r>
      <w:r>
        <w:fldChar w:fldCharType="separate"/>
      </w:r>
      <w:r>
        <w:rPr>
          <w:rFonts w:hint="eastAsia"/>
          <w:lang w:val="zh-CN" w:eastAsia="zh-CN"/>
        </w:rPr>
        <w:t xml:space="preserve">七、 </w:t>
      </w:r>
      <w:r>
        <w:rPr>
          <w:rFonts w:hint="eastAsia"/>
          <w:lang w:val="en-US" w:eastAsia="zh-CN"/>
        </w:rPr>
        <w:t>投标人</w:t>
      </w:r>
      <w:r>
        <w:rPr>
          <w:rFonts w:hint="eastAsia"/>
          <w:lang w:val="zh-CN" w:eastAsia="zh-CN"/>
        </w:rPr>
        <w:t>及其现任法定代表人、主要负责人不得具有行贿犯罪记录</w:t>
      </w:r>
      <w:r>
        <w:rPr>
          <w:rFonts w:hint="eastAsia"/>
          <w:lang w:val="en-US" w:eastAsia="zh-CN"/>
        </w:rPr>
        <w:t>的承诺函</w:t>
      </w:r>
      <w:r>
        <w:tab/>
      </w:r>
      <w:r>
        <w:fldChar w:fldCharType="begin"/>
      </w:r>
      <w:r>
        <w:instrText xml:space="preserve"> PAGEREF _Toc3088 \h </w:instrText>
      </w:r>
      <w:r>
        <w:fldChar w:fldCharType="separate"/>
      </w:r>
      <w:r>
        <w:t>36</w:t>
      </w:r>
      <w:r>
        <w:fldChar w:fldCharType="end"/>
      </w:r>
      <w:r>
        <w:fldChar w:fldCharType="end"/>
      </w:r>
    </w:p>
    <w:p>
      <w:pPr>
        <w:pStyle w:val="14"/>
        <w:tabs>
          <w:tab w:val="right" w:leader="dot" w:pos="9746"/>
          <w:tab w:val="clear" w:pos="0"/>
        </w:tabs>
      </w:pPr>
      <w:r>
        <w:fldChar w:fldCharType="begin"/>
      </w:r>
      <w:r>
        <w:instrText xml:space="preserve"> HYPERLINK \l _Toc29290 </w:instrText>
      </w:r>
      <w:r>
        <w:fldChar w:fldCharType="separate"/>
      </w:r>
      <w:r>
        <w:rPr>
          <w:rFonts w:hint="eastAsia"/>
          <w:lang w:val="en-US" w:eastAsia="zh-CN"/>
        </w:rPr>
        <w:t>八、 符合《中华人民共和国政府采购法》第二十二条规定的条件的承诺及声明函</w:t>
      </w:r>
      <w:r>
        <w:tab/>
      </w:r>
      <w:r>
        <w:fldChar w:fldCharType="begin"/>
      </w:r>
      <w:r>
        <w:instrText xml:space="preserve"> PAGEREF _Toc29290 \h </w:instrText>
      </w:r>
      <w:r>
        <w:fldChar w:fldCharType="separate"/>
      </w:r>
      <w:r>
        <w:t>37</w:t>
      </w:r>
      <w:r>
        <w:fldChar w:fldCharType="end"/>
      </w:r>
      <w:r>
        <w:fldChar w:fldCharType="end"/>
      </w:r>
    </w:p>
    <w:p>
      <w:pPr>
        <w:pStyle w:val="18"/>
        <w:tabs>
          <w:tab w:val="right" w:leader="dot" w:pos="9746"/>
          <w:tab w:val="clear" w:pos="0"/>
        </w:tabs>
      </w:pPr>
      <w:r>
        <w:fldChar w:fldCharType="begin"/>
      </w:r>
      <w:r>
        <w:instrText xml:space="preserve"> HYPERLINK \l _Toc7498 </w:instrText>
      </w:r>
      <w:r>
        <w:fldChar w:fldCharType="separate"/>
      </w:r>
      <w:r>
        <w:rPr>
          <w:rFonts w:hint="eastAsia"/>
          <w:szCs w:val="32"/>
        </w:rPr>
        <w:t>第</w:t>
      </w:r>
      <w:r>
        <w:rPr>
          <w:rFonts w:hint="eastAsia"/>
          <w:szCs w:val="32"/>
          <w:lang w:val="en-US" w:eastAsia="zh-CN"/>
        </w:rPr>
        <w:t>二</w:t>
      </w:r>
      <w:r>
        <w:rPr>
          <w:rFonts w:hint="eastAsia"/>
          <w:szCs w:val="32"/>
        </w:rPr>
        <w:t>部分 其他</w:t>
      </w:r>
      <w:r>
        <w:rPr>
          <w:rFonts w:hint="eastAsia"/>
          <w:szCs w:val="32"/>
          <w:lang w:val="en-US" w:eastAsia="zh-CN"/>
        </w:rPr>
        <w:t>投标</w:t>
      </w:r>
      <w:r>
        <w:rPr>
          <w:rFonts w:hint="eastAsia"/>
          <w:szCs w:val="32"/>
        </w:rPr>
        <w:t>文件(格式)</w:t>
      </w:r>
      <w:r>
        <w:tab/>
      </w:r>
      <w:r>
        <w:fldChar w:fldCharType="begin"/>
      </w:r>
      <w:r>
        <w:instrText xml:space="preserve"> PAGEREF _Toc7498 \h </w:instrText>
      </w:r>
      <w:r>
        <w:fldChar w:fldCharType="separate"/>
      </w:r>
      <w:r>
        <w:t>38</w:t>
      </w:r>
      <w:r>
        <w:fldChar w:fldCharType="end"/>
      </w:r>
      <w:r>
        <w:fldChar w:fldCharType="end"/>
      </w:r>
    </w:p>
    <w:p>
      <w:pPr>
        <w:pStyle w:val="14"/>
        <w:tabs>
          <w:tab w:val="right" w:leader="dot" w:pos="9746"/>
          <w:tab w:val="clear" w:pos="0"/>
        </w:tabs>
      </w:pPr>
      <w:r>
        <w:fldChar w:fldCharType="begin"/>
      </w:r>
      <w:r>
        <w:instrText xml:space="preserve"> HYPERLINK \l _Toc18387 </w:instrText>
      </w:r>
      <w:r>
        <w:fldChar w:fldCharType="separate"/>
      </w:r>
      <w:r>
        <w:rPr>
          <w:rFonts w:hint="eastAsia"/>
          <w:lang w:val="en-US" w:eastAsia="zh-CN"/>
        </w:rPr>
        <w:t>一、 投标函</w:t>
      </w:r>
      <w:r>
        <w:tab/>
      </w:r>
      <w:r>
        <w:fldChar w:fldCharType="begin"/>
      </w:r>
      <w:r>
        <w:instrText xml:space="preserve"> PAGEREF _Toc18387 \h </w:instrText>
      </w:r>
      <w:r>
        <w:fldChar w:fldCharType="separate"/>
      </w:r>
      <w:r>
        <w:t>39</w:t>
      </w:r>
      <w:r>
        <w:fldChar w:fldCharType="end"/>
      </w:r>
      <w:r>
        <w:fldChar w:fldCharType="end"/>
      </w:r>
    </w:p>
    <w:p>
      <w:pPr>
        <w:pStyle w:val="14"/>
        <w:tabs>
          <w:tab w:val="right" w:leader="dot" w:pos="9746"/>
          <w:tab w:val="clear" w:pos="0"/>
        </w:tabs>
      </w:pPr>
      <w:r>
        <w:fldChar w:fldCharType="begin"/>
      </w:r>
      <w:r>
        <w:instrText xml:space="preserve"> HYPERLINK \l _Toc14315 </w:instrText>
      </w:r>
      <w:r>
        <w:fldChar w:fldCharType="separate"/>
      </w:r>
      <w:r>
        <w:rPr>
          <w:rFonts w:hint="eastAsia"/>
          <w:lang w:val="en-US" w:eastAsia="zh-CN"/>
        </w:rPr>
        <w:t>二、 实质性要求承诺</w:t>
      </w:r>
      <w:r>
        <w:tab/>
      </w:r>
      <w:r>
        <w:fldChar w:fldCharType="begin"/>
      </w:r>
      <w:r>
        <w:instrText xml:space="preserve"> PAGEREF _Toc14315 \h </w:instrText>
      </w:r>
      <w:r>
        <w:fldChar w:fldCharType="separate"/>
      </w:r>
      <w:r>
        <w:t>41</w:t>
      </w:r>
      <w:r>
        <w:fldChar w:fldCharType="end"/>
      </w:r>
      <w:r>
        <w:fldChar w:fldCharType="end"/>
      </w:r>
    </w:p>
    <w:p>
      <w:pPr>
        <w:pStyle w:val="14"/>
        <w:tabs>
          <w:tab w:val="right" w:leader="dot" w:pos="9746"/>
          <w:tab w:val="clear" w:pos="0"/>
        </w:tabs>
      </w:pPr>
      <w:r>
        <w:fldChar w:fldCharType="begin"/>
      </w:r>
      <w:r>
        <w:instrText xml:space="preserve"> HYPERLINK \l _Toc1281 </w:instrText>
      </w:r>
      <w:r>
        <w:fldChar w:fldCharType="separate"/>
      </w:r>
      <w:r>
        <w:rPr>
          <w:rFonts w:hint="eastAsia"/>
          <w:lang w:val="en-US" w:eastAsia="zh-CN"/>
        </w:rPr>
        <w:t>三、 投标人基本情况表</w:t>
      </w:r>
      <w:r>
        <w:tab/>
      </w:r>
      <w:r>
        <w:fldChar w:fldCharType="begin"/>
      </w:r>
      <w:r>
        <w:instrText xml:space="preserve"> PAGEREF _Toc1281 \h </w:instrText>
      </w:r>
      <w:r>
        <w:fldChar w:fldCharType="separate"/>
      </w:r>
      <w:r>
        <w:t>43</w:t>
      </w:r>
      <w:r>
        <w:fldChar w:fldCharType="end"/>
      </w:r>
      <w:r>
        <w:fldChar w:fldCharType="end"/>
      </w:r>
    </w:p>
    <w:p>
      <w:pPr>
        <w:pStyle w:val="14"/>
        <w:tabs>
          <w:tab w:val="right" w:leader="dot" w:pos="9746"/>
          <w:tab w:val="clear" w:pos="0"/>
        </w:tabs>
      </w:pPr>
      <w:r>
        <w:fldChar w:fldCharType="begin"/>
      </w:r>
      <w:r>
        <w:instrText xml:space="preserve"> HYPERLINK \l _Toc16464 </w:instrText>
      </w:r>
      <w:r>
        <w:fldChar w:fldCharType="separate"/>
      </w:r>
      <w:r>
        <w:rPr>
          <w:rFonts w:hint="eastAsia"/>
          <w:lang w:val="en-US" w:eastAsia="zh-CN"/>
        </w:rPr>
        <w:t>四、 开标一览表</w:t>
      </w:r>
      <w:r>
        <w:tab/>
      </w:r>
      <w:r>
        <w:fldChar w:fldCharType="begin"/>
      </w:r>
      <w:r>
        <w:instrText xml:space="preserve"> PAGEREF _Toc16464 \h </w:instrText>
      </w:r>
      <w:r>
        <w:fldChar w:fldCharType="separate"/>
      </w:r>
      <w:r>
        <w:t>44</w:t>
      </w:r>
      <w:r>
        <w:fldChar w:fldCharType="end"/>
      </w:r>
      <w:r>
        <w:fldChar w:fldCharType="end"/>
      </w:r>
    </w:p>
    <w:p>
      <w:pPr>
        <w:pStyle w:val="14"/>
        <w:tabs>
          <w:tab w:val="right" w:leader="dot" w:pos="9746"/>
          <w:tab w:val="clear" w:pos="0"/>
        </w:tabs>
      </w:pPr>
      <w:r>
        <w:fldChar w:fldCharType="begin"/>
      </w:r>
      <w:r>
        <w:instrText xml:space="preserve"> HYPERLINK \l _Toc27468 </w:instrText>
      </w:r>
      <w:r>
        <w:fldChar w:fldCharType="separate"/>
      </w:r>
      <w:r>
        <w:rPr>
          <w:rFonts w:hint="eastAsia"/>
          <w:lang w:val="en-US" w:eastAsia="zh-CN"/>
        </w:rPr>
        <w:t>五、 商务应答表</w:t>
      </w:r>
      <w:r>
        <w:tab/>
      </w:r>
      <w:r>
        <w:fldChar w:fldCharType="begin"/>
      </w:r>
      <w:r>
        <w:instrText xml:space="preserve"> PAGEREF _Toc27468 \h </w:instrText>
      </w:r>
      <w:r>
        <w:fldChar w:fldCharType="separate"/>
      </w:r>
      <w:r>
        <w:t>45</w:t>
      </w:r>
      <w:r>
        <w:fldChar w:fldCharType="end"/>
      </w:r>
      <w:r>
        <w:fldChar w:fldCharType="end"/>
      </w:r>
    </w:p>
    <w:p>
      <w:pPr>
        <w:pStyle w:val="14"/>
        <w:tabs>
          <w:tab w:val="right" w:leader="dot" w:pos="9746"/>
          <w:tab w:val="clear" w:pos="0"/>
        </w:tabs>
      </w:pPr>
      <w:r>
        <w:fldChar w:fldCharType="begin"/>
      </w:r>
      <w:r>
        <w:instrText xml:space="preserve"> HYPERLINK \l _Toc5629 </w:instrText>
      </w:r>
      <w:r>
        <w:fldChar w:fldCharType="separate"/>
      </w:r>
      <w:r>
        <w:rPr>
          <w:rFonts w:hint="eastAsia"/>
          <w:lang w:val="en-US" w:eastAsia="zh-CN"/>
        </w:rPr>
        <w:t>六、 服务应答表</w:t>
      </w:r>
      <w:r>
        <w:tab/>
      </w:r>
      <w:r>
        <w:fldChar w:fldCharType="begin"/>
      </w:r>
      <w:r>
        <w:instrText xml:space="preserve"> PAGEREF _Toc5629 \h </w:instrText>
      </w:r>
      <w:r>
        <w:fldChar w:fldCharType="separate"/>
      </w:r>
      <w:r>
        <w:t>46</w:t>
      </w:r>
      <w:r>
        <w:fldChar w:fldCharType="end"/>
      </w:r>
      <w:r>
        <w:fldChar w:fldCharType="end"/>
      </w:r>
    </w:p>
    <w:p>
      <w:pPr>
        <w:pStyle w:val="14"/>
        <w:tabs>
          <w:tab w:val="right" w:leader="dot" w:pos="9746"/>
          <w:tab w:val="clear" w:pos="0"/>
        </w:tabs>
      </w:pPr>
      <w:r>
        <w:fldChar w:fldCharType="begin"/>
      </w:r>
      <w:r>
        <w:instrText xml:space="preserve"> HYPERLINK \l _Toc19775 </w:instrText>
      </w:r>
      <w:r>
        <w:fldChar w:fldCharType="separate"/>
      </w:r>
      <w:r>
        <w:rPr>
          <w:rFonts w:hint="eastAsia"/>
          <w:lang w:val="en-US" w:eastAsia="zh-CN"/>
        </w:rPr>
        <w:t>七、 履约能力及相关证明</w:t>
      </w:r>
      <w:r>
        <w:tab/>
      </w:r>
      <w:r>
        <w:fldChar w:fldCharType="begin"/>
      </w:r>
      <w:r>
        <w:instrText xml:space="preserve"> PAGEREF _Toc19775 \h </w:instrText>
      </w:r>
      <w:r>
        <w:fldChar w:fldCharType="separate"/>
      </w:r>
      <w:r>
        <w:t>47</w:t>
      </w:r>
      <w:r>
        <w:fldChar w:fldCharType="end"/>
      </w:r>
      <w:r>
        <w:fldChar w:fldCharType="end"/>
      </w:r>
    </w:p>
    <w:p>
      <w:pPr>
        <w:pStyle w:val="14"/>
        <w:tabs>
          <w:tab w:val="right" w:leader="dot" w:pos="9746"/>
          <w:tab w:val="clear" w:pos="0"/>
        </w:tabs>
      </w:pPr>
      <w:r>
        <w:fldChar w:fldCharType="begin"/>
      </w:r>
      <w:r>
        <w:instrText xml:space="preserve"> HYPERLINK \l _Toc19560 </w:instrText>
      </w:r>
      <w:r>
        <w:fldChar w:fldCharType="separate"/>
      </w:r>
      <w:r>
        <w:rPr>
          <w:rFonts w:hint="eastAsia"/>
          <w:lang w:val="en-US" w:eastAsia="zh-CN"/>
        </w:rPr>
        <w:t>八、 投标人针对本项目人员配置情况表</w:t>
      </w:r>
      <w:r>
        <w:tab/>
      </w:r>
      <w:r>
        <w:fldChar w:fldCharType="begin"/>
      </w:r>
      <w:r>
        <w:instrText xml:space="preserve"> PAGEREF _Toc19560 \h </w:instrText>
      </w:r>
      <w:r>
        <w:fldChar w:fldCharType="separate"/>
      </w:r>
      <w:r>
        <w:t>48</w:t>
      </w:r>
      <w:r>
        <w:fldChar w:fldCharType="end"/>
      </w:r>
      <w:r>
        <w:fldChar w:fldCharType="end"/>
      </w:r>
    </w:p>
    <w:p>
      <w:pPr>
        <w:pStyle w:val="14"/>
        <w:tabs>
          <w:tab w:val="right" w:leader="dot" w:pos="9746"/>
          <w:tab w:val="clear" w:pos="0"/>
        </w:tabs>
      </w:pPr>
      <w:r>
        <w:fldChar w:fldCharType="begin"/>
      </w:r>
      <w:r>
        <w:instrText xml:space="preserve"> HYPERLINK \l _Toc16209 </w:instrText>
      </w:r>
      <w:r>
        <w:fldChar w:fldCharType="separate"/>
      </w:r>
      <w:r>
        <w:rPr>
          <w:rFonts w:hint="eastAsia" w:ascii="宋体" w:hAnsi="宋体" w:eastAsia="宋体" w:cstheme="minorBidi"/>
          <w:snapToGrid w:val="0"/>
          <w:kern w:val="2"/>
          <w:szCs w:val="24"/>
          <w:lang w:val="zh-CN" w:eastAsia="zh-CN" w:bidi="ar-SA"/>
        </w:rPr>
        <w:t>九、 小微企业、监狱企业、残疾人福利性单位价格扣除</w:t>
      </w:r>
      <w:r>
        <w:rPr>
          <w:rFonts w:hint="eastAsia" w:cstheme="minorBidi"/>
          <w:snapToGrid w:val="0"/>
          <w:kern w:val="2"/>
          <w:szCs w:val="24"/>
          <w:lang w:val="en-US" w:eastAsia="zh-CN" w:bidi="ar-SA"/>
        </w:rPr>
        <w:t>政策材料</w:t>
      </w:r>
      <w:r>
        <w:tab/>
      </w:r>
      <w:r>
        <w:fldChar w:fldCharType="begin"/>
      </w:r>
      <w:r>
        <w:instrText xml:space="preserve"> PAGEREF _Toc16209 \h </w:instrText>
      </w:r>
      <w:r>
        <w:fldChar w:fldCharType="separate"/>
      </w:r>
      <w:r>
        <w:t>49</w:t>
      </w:r>
      <w:r>
        <w:fldChar w:fldCharType="end"/>
      </w:r>
      <w:r>
        <w:fldChar w:fldCharType="end"/>
      </w:r>
    </w:p>
    <w:p>
      <w:pPr>
        <w:pStyle w:val="14"/>
        <w:tabs>
          <w:tab w:val="right" w:leader="dot" w:pos="9746"/>
          <w:tab w:val="clear" w:pos="0"/>
        </w:tabs>
      </w:pPr>
      <w:r>
        <w:fldChar w:fldCharType="begin"/>
      </w:r>
      <w:r>
        <w:instrText xml:space="preserve"> HYPERLINK \l _Toc14294 </w:instrText>
      </w:r>
      <w:r>
        <w:fldChar w:fldCharType="separate"/>
      </w:r>
      <w:r>
        <w:rPr>
          <w:rFonts w:hint="eastAsia" w:cs="宋体" w:asciiTheme="minorEastAsia" w:hAnsiTheme="minorEastAsia" w:eastAsiaTheme="minorEastAsia"/>
          <w:highlight w:val="none"/>
          <w:lang w:val="en-US" w:eastAsia="zh-CN"/>
        </w:rPr>
        <w:t>(二)监狱企业相关证明材料(如涉及)</w:t>
      </w:r>
      <w:r>
        <w:tab/>
      </w:r>
      <w:r>
        <w:fldChar w:fldCharType="begin"/>
      </w:r>
      <w:r>
        <w:instrText xml:space="preserve"> PAGEREF _Toc14294 \h </w:instrText>
      </w:r>
      <w:r>
        <w:fldChar w:fldCharType="separate"/>
      </w:r>
      <w:r>
        <w:t>50</w:t>
      </w:r>
      <w:r>
        <w:fldChar w:fldCharType="end"/>
      </w:r>
      <w:r>
        <w:fldChar w:fldCharType="end"/>
      </w:r>
    </w:p>
    <w:p>
      <w:pPr>
        <w:pStyle w:val="14"/>
        <w:tabs>
          <w:tab w:val="right" w:leader="dot" w:pos="9746"/>
          <w:tab w:val="clear" w:pos="0"/>
        </w:tabs>
      </w:pPr>
      <w:r>
        <w:fldChar w:fldCharType="begin"/>
      </w:r>
      <w:r>
        <w:instrText xml:space="preserve"> HYPERLINK \l _Toc13116 </w:instrText>
      </w:r>
      <w:r>
        <w:fldChar w:fldCharType="separate"/>
      </w:r>
      <w:r>
        <w:rPr>
          <w:rFonts w:hint="eastAsia" w:cs="宋体" w:asciiTheme="minorEastAsia" w:hAnsiTheme="minorEastAsia" w:eastAsiaTheme="minorEastAsia"/>
          <w:highlight w:val="none"/>
          <w:lang w:val="en-US" w:eastAsia="zh-CN"/>
        </w:rPr>
        <w:t>(三)残疾人福利性单位声明函(如涉及)</w:t>
      </w:r>
      <w:r>
        <w:tab/>
      </w:r>
      <w:r>
        <w:fldChar w:fldCharType="begin"/>
      </w:r>
      <w:r>
        <w:instrText xml:space="preserve"> PAGEREF _Toc13116 \h </w:instrText>
      </w:r>
      <w:r>
        <w:fldChar w:fldCharType="separate"/>
      </w:r>
      <w:r>
        <w:t>51</w:t>
      </w:r>
      <w:r>
        <w:fldChar w:fldCharType="end"/>
      </w:r>
      <w:r>
        <w:fldChar w:fldCharType="end"/>
      </w:r>
    </w:p>
    <w:p>
      <w:pPr>
        <w:pStyle w:val="14"/>
        <w:tabs>
          <w:tab w:val="right" w:leader="dot" w:pos="9746"/>
          <w:tab w:val="clear" w:pos="0"/>
        </w:tabs>
      </w:pPr>
      <w:r>
        <w:fldChar w:fldCharType="begin"/>
      </w:r>
      <w:r>
        <w:instrText xml:space="preserve"> HYPERLINK \l _Toc18459 </w:instrText>
      </w:r>
      <w:r>
        <w:fldChar w:fldCharType="separate"/>
      </w:r>
      <w:r>
        <w:rPr>
          <w:rFonts w:hint="eastAsia"/>
          <w:lang w:val="en-US" w:eastAsia="zh-CN"/>
        </w:rPr>
        <w:t>十、 服务方案</w:t>
      </w:r>
      <w:r>
        <w:tab/>
      </w:r>
      <w:r>
        <w:fldChar w:fldCharType="begin"/>
      </w:r>
      <w:r>
        <w:instrText xml:space="preserve"> PAGEREF _Toc18459 \h </w:instrText>
      </w:r>
      <w:r>
        <w:fldChar w:fldCharType="separate"/>
      </w:r>
      <w:r>
        <w:t>52</w:t>
      </w:r>
      <w:r>
        <w:fldChar w:fldCharType="end"/>
      </w:r>
      <w:r>
        <w:fldChar w:fldCharType="end"/>
      </w:r>
    </w:p>
    <w:p>
      <w:pPr>
        <w:pStyle w:val="14"/>
        <w:tabs>
          <w:tab w:val="right" w:leader="dot" w:pos="9746"/>
          <w:tab w:val="clear" w:pos="0"/>
        </w:tabs>
      </w:pPr>
      <w:r>
        <w:fldChar w:fldCharType="begin"/>
      </w:r>
      <w:r>
        <w:instrText xml:space="preserve"> HYPERLINK \l _Toc4728 </w:instrText>
      </w:r>
      <w:r>
        <w:fldChar w:fldCharType="separate"/>
      </w:r>
      <w:r>
        <w:rPr>
          <w:rFonts w:hint="eastAsia"/>
          <w:lang w:val="en-US" w:eastAsia="zh-CN"/>
        </w:rPr>
        <w:t>十一、 招标代理服务费承诺函</w:t>
      </w:r>
      <w:r>
        <w:tab/>
      </w:r>
      <w:r>
        <w:fldChar w:fldCharType="begin"/>
      </w:r>
      <w:r>
        <w:instrText xml:space="preserve"> PAGEREF _Toc4728 \h </w:instrText>
      </w:r>
      <w:r>
        <w:fldChar w:fldCharType="separate"/>
      </w:r>
      <w:r>
        <w:t>53</w:t>
      </w:r>
      <w:r>
        <w:fldChar w:fldCharType="end"/>
      </w:r>
      <w:r>
        <w:fldChar w:fldCharType="end"/>
      </w:r>
    </w:p>
    <w:p>
      <w:pPr>
        <w:pStyle w:val="17"/>
        <w:tabs>
          <w:tab w:val="clear" w:pos="0"/>
        </w:tabs>
      </w:pPr>
      <w:r>
        <w:fldChar w:fldCharType="begin"/>
      </w:r>
      <w:r>
        <w:instrText xml:space="preserve"> HYPERLINK \l _Toc32227 </w:instrText>
      </w:r>
      <w:r>
        <w:fldChar w:fldCharType="separate"/>
      </w:r>
      <w:r>
        <w:rPr>
          <w:rFonts w:hint="eastAsia" w:ascii="宋体" w:hAnsi="宋体" w:eastAsia="宋体" w:cs="宋体"/>
          <w:lang w:val="en-US" w:eastAsia="zh-CN"/>
        </w:rPr>
        <w:t xml:space="preserve">第四章 </w:t>
      </w:r>
      <w:r>
        <w:rPr>
          <w:rFonts w:hint="eastAsia"/>
          <w:lang w:val="en-US" w:eastAsia="zh-CN"/>
        </w:rPr>
        <w:t>投标人和投标产品的资格、资质性及其他类似效力要求</w:t>
      </w:r>
      <w:r>
        <w:tab/>
      </w:r>
      <w:r>
        <w:fldChar w:fldCharType="begin"/>
      </w:r>
      <w:r>
        <w:instrText xml:space="preserve"> PAGEREF _Toc32227 \h </w:instrText>
      </w:r>
      <w:r>
        <w:fldChar w:fldCharType="separate"/>
      </w:r>
      <w:r>
        <w:t>54</w:t>
      </w:r>
      <w:r>
        <w:fldChar w:fldCharType="end"/>
      </w:r>
      <w:r>
        <w:fldChar w:fldCharType="end"/>
      </w:r>
    </w:p>
    <w:p>
      <w:pPr>
        <w:pStyle w:val="18"/>
        <w:tabs>
          <w:tab w:val="right" w:leader="dot" w:pos="9746"/>
          <w:tab w:val="clear" w:pos="0"/>
        </w:tabs>
      </w:pPr>
      <w:r>
        <w:fldChar w:fldCharType="begin"/>
      </w:r>
      <w:r>
        <w:instrText xml:space="preserve"> HYPERLINK \l _Toc27601 </w:instrText>
      </w:r>
      <w:r>
        <w:fldChar w:fldCharType="separate"/>
      </w:r>
      <w:r>
        <w:rPr>
          <w:rFonts w:hint="eastAsia" w:ascii="宋体" w:hAnsi="宋体" w:eastAsia="宋体" w:cs="宋体"/>
          <w:lang w:val="zh-CN"/>
        </w:rPr>
        <w:t xml:space="preserve">一、 </w:t>
      </w:r>
      <w:r>
        <w:rPr>
          <w:rFonts w:hint="eastAsia"/>
        </w:rPr>
        <w:t>投标人资格、资质性及其他类似效力要求</w:t>
      </w:r>
      <w:r>
        <w:tab/>
      </w:r>
      <w:r>
        <w:fldChar w:fldCharType="begin"/>
      </w:r>
      <w:r>
        <w:instrText xml:space="preserve"> PAGEREF _Toc27601 \h </w:instrText>
      </w:r>
      <w:r>
        <w:fldChar w:fldCharType="separate"/>
      </w:r>
      <w:r>
        <w:t>54</w:t>
      </w:r>
      <w:r>
        <w:fldChar w:fldCharType="end"/>
      </w:r>
      <w:r>
        <w:fldChar w:fldCharType="end"/>
      </w:r>
    </w:p>
    <w:p>
      <w:pPr>
        <w:pStyle w:val="18"/>
        <w:tabs>
          <w:tab w:val="right" w:leader="dot" w:pos="9746"/>
          <w:tab w:val="clear" w:pos="0"/>
        </w:tabs>
      </w:pPr>
      <w:r>
        <w:fldChar w:fldCharType="begin"/>
      </w:r>
      <w:r>
        <w:instrText xml:space="preserve"> HYPERLINK \l _Toc8807 </w:instrText>
      </w:r>
      <w:r>
        <w:fldChar w:fldCharType="separate"/>
      </w:r>
      <w:r>
        <w:rPr>
          <w:rFonts w:hint="eastAsia" w:ascii="宋体" w:hAnsi="宋体" w:eastAsia="宋体" w:cs="宋体"/>
        </w:rPr>
        <w:t xml:space="preserve">二、 </w:t>
      </w:r>
      <w:r>
        <w:rPr>
          <w:rFonts w:hint="eastAsia"/>
          <w:highlight w:val="none"/>
        </w:rPr>
        <w:t>投标产品的资格、资质性及其他类似效力要求</w:t>
      </w:r>
      <w:r>
        <w:tab/>
      </w:r>
      <w:r>
        <w:fldChar w:fldCharType="begin"/>
      </w:r>
      <w:r>
        <w:instrText xml:space="preserve"> PAGEREF _Toc8807 \h </w:instrText>
      </w:r>
      <w:r>
        <w:fldChar w:fldCharType="separate"/>
      </w:r>
      <w:r>
        <w:t>54</w:t>
      </w:r>
      <w:r>
        <w:fldChar w:fldCharType="end"/>
      </w:r>
      <w:r>
        <w:fldChar w:fldCharType="end"/>
      </w:r>
    </w:p>
    <w:p>
      <w:pPr>
        <w:pStyle w:val="18"/>
        <w:tabs>
          <w:tab w:val="right" w:leader="dot" w:pos="9746"/>
          <w:tab w:val="clear" w:pos="0"/>
        </w:tabs>
      </w:pPr>
      <w:r>
        <w:fldChar w:fldCharType="begin"/>
      </w:r>
      <w:r>
        <w:instrText xml:space="preserve"> HYPERLINK \l _Toc2738 </w:instrText>
      </w:r>
      <w:r>
        <w:fldChar w:fldCharType="separate"/>
      </w:r>
      <w:r>
        <w:rPr>
          <w:rFonts w:hint="eastAsia" w:ascii="宋体" w:hAnsi="宋体" w:eastAsia="宋体" w:cs="宋体"/>
          <w:lang w:val="en-US" w:eastAsia="zh-CN"/>
        </w:rPr>
        <w:t xml:space="preserve">三、 </w:t>
      </w:r>
      <w:r>
        <w:rPr>
          <w:rFonts w:hint="eastAsia"/>
          <w:lang w:val="en-US" w:eastAsia="zh-CN"/>
        </w:rPr>
        <w:t>其他类似效力要求</w:t>
      </w:r>
      <w:r>
        <w:tab/>
      </w:r>
      <w:r>
        <w:fldChar w:fldCharType="begin"/>
      </w:r>
      <w:r>
        <w:instrText xml:space="preserve"> PAGEREF _Toc2738 \h </w:instrText>
      </w:r>
      <w:r>
        <w:fldChar w:fldCharType="separate"/>
      </w:r>
      <w:r>
        <w:t>54</w:t>
      </w:r>
      <w:r>
        <w:fldChar w:fldCharType="end"/>
      </w:r>
      <w:r>
        <w:fldChar w:fldCharType="end"/>
      </w:r>
    </w:p>
    <w:p>
      <w:pPr>
        <w:pStyle w:val="17"/>
        <w:tabs>
          <w:tab w:val="clear" w:pos="0"/>
        </w:tabs>
      </w:pPr>
      <w:r>
        <w:fldChar w:fldCharType="begin"/>
      </w:r>
      <w:r>
        <w:instrText xml:space="preserve"> HYPERLINK \l _Toc11678 </w:instrText>
      </w:r>
      <w:r>
        <w:fldChar w:fldCharType="separate"/>
      </w:r>
      <w:r>
        <w:rPr>
          <w:rFonts w:hint="eastAsia" w:ascii="宋体" w:hAnsi="宋体" w:eastAsia="宋体" w:cs="宋体"/>
          <w:lang w:val="en-US" w:eastAsia="zh-CN"/>
        </w:rPr>
        <w:t xml:space="preserve">第五章 </w:t>
      </w:r>
      <w:r>
        <w:rPr>
          <w:rFonts w:hint="eastAsia"/>
          <w:lang w:val="en-US" w:eastAsia="zh-CN"/>
        </w:rPr>
        <w:t>资格性审查内容</w:t>
      </w:r>
      <w:r>
        <w:tab/>
      </w:r>
      <w:r>
        <w:fldChar w:fldCharType="begin"/>
      </w:r>
      <w:r>
        <w:instrText xml:space="preserve"> PAGEREF _Toc11678 \h </w:instrText>
      </w:r>
      <w:r>
        <w:fldChar w:fldCharType="separate"/>
      </w:r>
      <w:r>
        <w:t>56</w:t>
      </w:r>
      <w:r>
        <w:fldChar w:fldCharType="end"/>
      </w:r>
      <w:r>
        <w:fldChar w:fldCharType="end"/>
      </w:r>
    </w:p>
    <w:p>
      <w:pPr>
        <w:pStyle w:val="18"/>
        <w:tabs>
          <w:tab w:val="right" w:leader="dot" w:pos="9746"/>
          <w:tab w:val="clear" w:pos="0"/>
        </w:tabs>
      </w:pPr>
      <w:r>
        <w:fldChar w:fldCharType="begin"/>
      </w:r>
      <w:r>
        <w:instrText xml:space="preserve"> HYPERLINK \l _Toc1469 </w:instrText>
      </w:r>
      <w:r>
        <w:fldChar w:fldCharType="separate"/>
      </w:r>
      <w:r>
        <w:rPr>
          <w:rFonts w:hint="eastAsia" w:ascii="宋体" w:hAnsi="宋体" w:eastAsia="宋体" w:cs="宋体"/>
        </w:rPr>
        <w:t xml:space="preserve">一、 </w:t>
      </w:r>
      <w:r>
        <w:rPr>
          <w:rFonts w:hint="eastAsia"/>
        </w:rPr>
        <w:t>应当提供的投标人</w:t>
      </w:r>
      <w:r>
        <w:rPr>
          <w:rFonts w:hint="eastAsia"/>
          <w:lang w:eastAsia="zh-CN"/>
        </w:rPr>
        <w:t>及投标产品</w:t>
      </w:r>
      <w:r>
        <w:rPr>
          <w:rFonts w:hint="eastAsia"/>
        </w:rPr>
        <w:t>资格、资质性及其他类似效力要求的相关证明材料</w:t>
      </w:r>
      <w:r>
        <w:tab/>
      </w:r>
      <w:r>
        <w:fldChar w:fldCharType="begin"/>
      </w:r>
      <w:r>
        <w:instrText xml:space="preserve"> PAGEREF _Toc1469 \h </w:instrText>
      </w:r>
      <w:r>
        <w:fldChar w:fldCharType="separate"/>
      </w:r>
      <w:r>
        <w:t>56</w:t>
      </w:r>
      <w:r>
        <w:fldChar w:fldCharType="end"/>
      </w:r>
      <w:r>
        <w:fldChar w:fldCharType="end"/>
      </w:r>
    </w:p>
    <w:p>
      <w:pPr>
        <w:pStyle w:val="18"/>
        <w:tabs>
          <w:tab w:val="right" w:leader="dot" w:pos="9746"/>
          <w:tab w:val="clear" w:pos="0"/>
        </w:tabs>
      </w:pPr>
      <w:r>
        <w:fldChar w:fldCharType="begin"/>
      </w:r>
      <w:r>
        <w:instrText xml:space="preserve"> HYPERLINK \l _Toc32185 </w:instrText>
      </w:r>
      <w:r>
        <w:fldChar w:fldCharType="separate"/>
      </w:r>
      <w:r>
        <w:rPr>
          <w:rFonts w:hint="eastAsia" w:ascii="宋体" w:hAnsi="宋体" w:eastAsia="宋体" w:cs="宋体"/>
          <w:lang w:eastAsia="zh-CN"/>
        </w:rPr>
        <w:t xml:space="preserve">二、 </w:t>
      </w:r>
      <w:r>
        <w:rPr>
          <w:rFonts w:hint="eastAsia"/>
          <w:lang w:eastAsia="zh-CN"/>
        </w:rPr>
        <w:t>审查程序</w:t>
      </w:r>
      <w:r>
        <w:tab/>
      </w:r>
      <w:r>
        <w:fldChar w:fldCharType="begin"/>
      </w:r>
      <w:r>
        <w:instrText xml:space="preserve"> PAGEREF _Toc32185 \h </w:instrText>
      </w:r>
      <w:r>
        <w:fldChar w:fldCharType="separate"/>
      </w:r>
      <w:r>
        <w:t>58</w:t>
      </w:r>
      <w:r>
        <w:fldChar w:fldCharType="end"/>
      </w:r>
      <w:r>
        <w:fldChar w:fldCharType="end"/>
      </w:r>
    </w:p>
    <w:p>
      <w:pPr>
        <w:pStyle w:val="17"/>
        <w:tabs>
          <w:tab w:val="clear" w:pos="0"/>
        </w:tabs>
      </w:pPr>
      <w:r>
        <w:fldChar w:fldCharType="begin"/>
      </w:r>
      <w:r>
        <w:instrText xml:space="preserve"> HYPERLINK \l _Toc20524 </w:instrText>
      </w:r>
      <w:r>
        <w:fldChar w:fldCharType="separate"/>
      </w:r>
      <w:r>
        <w:rPr>
          <w:rFonts w:hint="eastAsia" w:ascii="宋体" w:hAnsi="宋体" w:eastAsia="宋体" w:cs="宋体"/>
        </w:rPr>
        <w:t xml:space="preserve">第六章 </w:t>
      </w:r>
      <w:r>
        <w:rPr>
          <w:rFonts w:hint="eastAsia"/>
        </w:rPr>
        <w:t>招标项目技术、服务、政府采购合同内容条款及其他商务要求</w:t>
      </w:r>
      <w:r>
        <w:tab/>
      </w:r>
      <w:r>
        <w:fldChar w:fldCharType="begin"/>
      </w:r>
      <w:r>
        <w:instrText xml:space="preserve"> PAGEREF _Toc20524 \h </w:instrText>
      </w:r>
      <w:r>
        <w:fldChar w:fldCharType="separate"/>
      </w:r>
      <w:r>
        <w:t>59</w:t>
      </w:r>
      <w:r>
        <w:fldChar w:fldCharType="end"/>
      </w:r>
      <w:r>
        <w:fldChar w:fldCharType="end"/>
      </w:r>
    </w:p>
    <w:p>
      <w:pPr>
        <w:pStyle w:val="18"/>
        <w:tabs>
          <w:tab w:val="right" w:leader="dot" w:pos="9746"/>
          <w:tab w:val="clear" w:pos="0"/>
        </w:tabs>
      </w:pPr>
      <w:r>
        <w:fldChar w:fldCharType="begin"/>
      </w:r>
      <w:r>
        <w:instrText xml:space="preserve"> HYPERLINK \l _Toc14156 </w:instrText>
      </w:r>
      <w:r>
        <w:fldChar w:fldCharType="separate"/>
      </w:r>
      <w:r>
        <w:rPr>
          <w:rFonts w:hint="eastAsia" w:ascii="宋体" w:hAnsi="宋体" w:eastAsia="宋体" w:cs="宋体"/>
          <w:bCs/>
        </w:rPr>
        <w:t xml:space="preserve">一、 </w:t>
      </w:r>
      <w:r>
        <w:rPr>
          <w:rFonts w:hint="eastAsia" w:cs="宋体"/>
          <w:bCs/>
        </w:rPr>
        <w:t>项目基本情况</w:t>
      </w:r>
      <w:r>
        <w:tab/>
      </w:r>
      <w:r>
        <w:fldChar w:fldCharType="begin"/>
      </w:r>
      <w:r>
        <w:instrText xml:space="preserve"> PAGEREF _Toc14156 \h </w:instrText>
      </w:r>
      <w:r>
        <w:fldChar w:fldCharType="separate"/>
      </w:r>
      <w:r>
        <w:t>59</w:t>
      </w:r>
      <w:r>
        <w:fldChar w:fldCharType="end"/>
      </w:r>
      <w:r>
        <w:fldChar w:fldCharType="end"/>
      </w:r>
    </w:p>
    <w:p>
      <w:pPr>
        <w:pStyle w:val="18"/>
        <w:tabs>
          <w:tab w:val="right" w:leader="dot" w:pos="9746"/>
          <w:tab w:val="clear" w:pos="0"/>
        </w:tabs>
      </w:pPr>
      <w:r>
        <w:fldChar w:fldCharType="begin"/>
      </w:r>
      <w:r>
        <w:instrText xml:space="preserve"> HYPERLINK \l _Toc32113 </w:instrText>
      </w:r>
      <w:r>
        <w:fldChar w:fldCharType="separate"/>
      </w:r>
      <w:r>
        <w:rPr>
          <w:rFonts w:hint="eastAsia" w:ascii="宋体" w:hAnsi="宋体" w:eastAsia="宋体" w:cs="宋体"/>
          <w:bCs/>
        </w:rPr>
        <w:t xml:space="preserve">二、 </w:t>
      </w:r>
      <w:r>
        <w:rPr>
          <w:rFonts w:hint="eastAsia" w:cs="宋体"/>
          <w:bCs/>
        </w:rPr>
        <w:t>服务内容</w:t>
      </w:r>
      <w:r>
        <w:tab/>
      </w:r>
      <w:r>
        <w:fldChar w:fldCharType="begin"/>
      </w:r>
      <w:r>
        <w:instrText xml:space="preserve"> PAGEREF _Toc32113 \h </w:instrText>
      </w:r>
      <w:r>
        <w:fldChar w:fldCharType="separate"/>
      </w:r>
      <w:r>
        <w:t>59</w:t>
      </w:r>
      <w:r>
        <w:fldChar w:fldCharType="end"/>
      </w:r>
      <w:r>
        <w:fldChar w:fldCharType="end"/>
      </w:r>
    </w:p>
    <w:p>
      <w:pPr>
        <w:pStyle w:val="18"/>
        <w:tabs>
          <w:tab w:val="right" w:leader="dot" w:pos="9746"/>
          <w:tab w:val="clear" w:pos="0"/>
        </w:tabs>
      </w:pPr>
      <w:r>
        <w:fldChar w:fldCharType="begin"/>
      </w:r>
      <w:r>
        <w:instrText xml:space="preserve"> HYPERLINK \l _Toc13220 </w:instrText>
      </w:r>
      <w:r>
        <w:fldChar w:fldCharType="separate"/>
      </w:r>
      <w:r>
        <w:rPr>
          <w:rFonts w:hint="eastAsia" w:ascii="宋体" w:hAnsi="宋体" w:eastAsia="宋体" w:cs="宋体"/>
          <w:bCs/>
        </w:rPr>
        <w:t xml:space="preserve">三、 </w:t>
      </w:r>
      <w:r>
        <w:rPr>
          <w:rFonts w:hint="eastAsia" w:cs="宋体"/>
          <w:bCs/>
          <w:highlight w:val="none"/>
        </w:rPr>
        <w:t>※验收标准</w:t>
      </w:r>
      <w:r>
        <w:tab/>
      </w:r>
      <w:r>
        <w:fldChar w:fldCharType="begin"/>
      </w:r>
      <w:r>
        <w:instrText xml:space="preserve"> PAGEREF _Toc13220 \h </w:instrText>
      </w:r>
      <w:r>
        <w:fldChar w:fldCharType="separate"/>
      </w:r>
      <w:r>
        <w:t>60</w:t>
      </w:r>
      <w:r>
        <w:fldChar w:fldCharType="end"/>
      </w:r>
      <w:r>
        <w:fldChar w:fldCharType="end"/>
      </w:r>
    </w:p>
    <w:p>
      <w:pPr>
        <w:pStyle w:val="18"/>
        <w:tabs>
          <w:tab w:val="right" w:leader="dot" w:pos="9746"/>
          <w:tab w:val="clear" w:pos="0"/>
        </w:tabs>
      </w:pPr>
      <w:r>
        <w:fldChar w:fldCharType="begin"/>
      </w:r>
      <w:r>
        <w:instrText xml:space="preserve"> HYPERLINK \l _Toc17816 </w:instrText>
      </w:r>
      <w:r>
        <w:fldChar w:fldCharType="separate"/>
      </w:r>
      <w:r>
        <w:rPr>
          <w:rFonts w:hint="eastAsia" w:ascii="宋体" w:hAnsi="宋体" w:eastAsia="宋体" w:cs="宋体"/>
          <w:bCs/>
        </w:rPr>
        <w:t xml:space="preserve">四、 </w:t>
      </w:r>
      <w:r>
        <w:rPr>
          <w:rFonts w:hint="eastAsia" w:cs="宋体"/>
          <w:bCs/>
        </w:rPr>
        <w:t>※商务要求</w:t>
      </w:r>
      <w:r>
        <w:tab/>
      </w:r>
      <w:r>
        <w:fldChar w:fldCharType="begin"/>
      </w:r>
      <w:r>
        <w:instrText xml:space="preserve"> PAGEREF _Toc17816 \h </w:instrText>
      </w:r>
      <w:r>
        <w:fldChar w:fldCharType="separate"/>
      </w:r>
      <w:r>
        <w:t>60</w:t>
      </w:r>
      <w:r>
        <w:fldChar w:fldCharType="end"/>
      </w:r>
      <w:r>
        <w:fldChar w:fldCharType="end"/>
      </w:r>
    </w:p>
    <w:p>
      <w:pPr>
        <w:pStyle w:val="18"/>
        <w:tabs>
          <w:tab w:val="right" w:leader="dot" w:pos="9746"/>
          <w:tab w:val="clear" w:pos="0"/>
        </w:tabs>
      </w:pPr>
      <w:r>
        <w:fldChar w:fldCharType="begin"/>
      </w:r>
      <w:r>
        <w:instrText xml:space="preserve"> HYPERLINK \l _Toc18115 </w:instrText>
      </w:r>
      <w:r>
        <w:fldChar w:fldCharType="separate"/>
      </w:r>
      <w:r>
        <w:rPr>
          <w:rFonts w:hint="eastAsia" w:ascii="宋体" w:hAnsi="宋体" w:eastAsia="宋体" w:cs="宋体"/>
          <w:bCs/>
        </w:rPr>
        <w:t xml:space="preserve">五、 </w:t>
      </w:r>
      <w:r>
        <w:rPr>
          <w:rFonts w:hint="eastAsia" w:cs="宋体"/>
          <w:bCs/>
        </w:rPr>
        <w:t>其他要求</w:t>
      </w:r>
      <w:r>
        <w:tab/>
      </w:r>
      <w:r>
        <w:fldChar w:fldCharType="begin"/>
      </w:r>
      <w:r>
        <w:instrText xml:space="preserve"> PAGEREF _Toc18115 \h </w:instrText>
      </w:r>
      <w:r>
        <w:fldChar w:fldCharType="separate"/>
      </w:r>
      <w:r>
        <w:t>61</w:t>
      </w:r>
      <w:r>
        <w:fldChar w:fldCharType="end"/>
      </w:r>
      <w:r>
        <w:fldChar w:fldCharType="end"/>
      </w:r>
    </w:p>
    <w:p>
      <w:pPr>
        <w:pStyle w:val="17"/>
        <w:tabs>
          <w:tab w:val="clear" w:pos="0"/>
        </w:tabs>
      </w:pPr>
      <w:r>
        <w:fldChar w:fldCharType="begin"/>
      </w:r>
      <w:r>
        <w:instrText xml:space="preserve"> HYPERLINK \l _Toc24603 </w:instrText>
      </w:r>
      <w:r>
        <w:fldChar w:fldCharType="separate"/>
      </w:r>
      <w:r>
        <w:rPr>
          <w:rFonts w:hint="eastAsia" w:ascii="宋体" w:hAnsi="宋体" w:eastAsia="宋体" w:cs="宋体"/>
        </w:rPr>
        <w:t xml:space="preserve">第七章 </w:t>
      </w:r>
      <w:r>
        <w:rPr>
          <w:rFonts w:hint="eastAsia"/>
        </w:rPr>
        <w:t>评标办法</w:t>
      </w:r>
      <w:r>
        <w:tab/>
      </w:r>
      <w:r>
        <w:fldChar w:fldCharType="begin"/>
      </w:r>
      <w:r>
        <w:instrText xml:space="preserve"> PAGEREF _Toc24603 \h </w:instrText>
      </w:r>
      <w:r>
        <w:fldChar w:fldCharType="separate"/>
      </w:r>
      <w:r>
        <w:t>62</w:t>
      </w:r>
      <w:r>
        <w:fldChar w:fldCharType="end"/>
      </w:r>
      <w:r>
        <w:fldChar w:fldCharType="end"/>
      </w:r>
    </w:p>
    <w:p>
      <w:pPr>
        <w:pStyle w:val="18"/>
        <w:tabs>
          <w:tab w:val="right" w:leader="dot" w:pos="9746"/>
          <w:tab w:val="clear" w:pos="0"/>
        </w:tabs>
      </w:pPr>
      <w:r>
        <w:fldChar w:fldCharType="begin"/>
      </w:r>
      <w:r>
        <w:instrText xml:space="preserve"> HYPERLINK \l _Toc14265 </w:instrText>
      </w:r>
      <w:r>
        <w:fldChar w:fldCharType="separate"/>
      </w:r>
      <w:r>
        <w:rPr>
          <w:rFonts w:hint="eastAsia" w:ascii="宋体" w:hAnsi="宋体" w:eastAsia="宋体" w:cs="宋体"/>
        </w:rPr>
        <w:t xml:space="preserve">一、 </w:t>
      </w:r>
      <w:r>
        <w:rPr>
          <w:rFonts w:hint="eastAsia"/>
        </w:rPr>
        <w:t>总则</w:t>
      </w:r>
      <w:r>
        <w:tab/>
      </w:r>
      <w:r>
        <w:fldChar w:fldCharType="begin"/>
      </w:r>
      <w:r>
        <w:instrText xml:space="preserve"> PAGEREF _Toc14265 \h </w:instrText>
      </w:r>
      <w:r>
        <w:fldChar w:fldCharType="separate"/>
      </w:r>
      <w:r>
        <w:t>62</w:t>
      </w:r>
      <w:r>
        <w:fldChar w:fldCharType="end"/>
      </w:r>
      <w:r>
        <w:fldChar w:fldCharType="end"/>
      </w:r>
    </w:p>
    <w:p>
      <w:pPr>
        <w:pStyle w:val="18"/>
        <w:tabs>
          <w:tab w:val="right" w:leader="dot" w:pos="9746"/>
          <w:tab w:val="clear" w:pos="0"/>
        </w:tabs>
      </w:pPr>
      <w:r>
        <w:fldChar w:fldCharType="begin"/>
      </w:r>
      <w:r>
        <w:instrText xml:space="preserve"> HYPERLINK \l _Toc5984 </w:instrText>
      </w:r>
      <w:r>
        <w:fldChar w:fldCharType="separate"/>
      </w:r>
      <w:r>
        <w:rPr>
          <w:rFonts w:hint="eastAsia" w:ascii="宋体" w:hAnsi="宋体" w:eastAsia="宋体" w:cs="宋体"/>
        </w:rPr>
        <w:t xml:space="preserve">二、 </w:t>
      </w:r>
      <w:r>
        <w:rPr>
          <w:rFonts w:hint="eastAsia"/>
        </w:rPr>
        <w:t>评标方法</w:t>
      </w:r>
      <w:r>
        <w:tab/>
      </w:r>
      <w:r>
        <w:fldChar w:fldCharType="begin"/>
      </w:r>
      <w:r>
        <w:instrText xml:space="preserve"> PAGEREF _Toc5984 \h </w:instrText>
      </w:r>
      <w:r>
        <w:fldChar w:fldCharType="separate"/>
      </w:r>
      <w:r>
        <w:t>62</w:t>
      </w:r>
      <w:r>
        <w:fldChar w:fldCharType="end"/>
      </w:r>
      <w:r>
        <w:fldChar w:fldCharType="end"/>
      </w:r>
    </w:p>
    <w:p>
      <w:pPr>
        <w:pStyle w:val="18"/>
        <w:tabs>
          <w:tab w:val="right" w:leader="dot" w:pos="9746"/>
          <w:tab w:val="clear" w:pos="0"/>
        </w:tabs>
      </w:pPr>
      <w:r>
        <w:fldChar w:fldCharType="begin"/>
      </w:r>
      <w:r>
        <w:instrText xml:space="preserve"> HYPERLINK \l _Toc4253 </w:instrText>
      </w:r>
      <w:r>
        <w:fldChar w:fldCharType="separate"/>
      </w:r>
      <w:r>
        <w:rPr>
          <w:rFonts w:hint="eastAsia" w:ascii="宋体" w:hAnsi="宋体" w:eastAsia="宋体" w:cs="宋体"/>
        </w:rPr>
        <w:t xml:space="preserve">三、 </w:t>
      </w:r>
      <w:r>
        <w:rPr>
          <w:rFonts w:hint="eastAsia"/>
        </w:rPr>
        <w:t>评标程序</w:t>
      </w:r>
      <w:r>
        <w:tab/>
      </w:r>
      <w:r>
        <w:fldChar w:fldCharType="begin"/>
      </w:r>
      <w:r>
        <w:instrText xml:space="preserve"> PAGEREF _Toc4253 \h </w:instrText>
      </w:r>
      <w:r>
        <w:fldChar w:fldCharType="separate"/>
      </w:r>
      <w:r>
        <w:t>62</w:t>
      </w:r>
      <w:r>
        <w:fldChar w:fldCharType="end"/>
      </w:r>
      <w:r>
        <w:fldChar w:fldCharType="end"/>
      </w:r>
    </w:p>
    <w:p>
      <w:pPr>
        <w:pStyle w:val="18"/>
        <w:tabs>
          <w:tab w:val="right" w:leader="dot" w:pos="9746"/>
          <w:tab w:val="clear" w:pos="0"/>
        </w:tabs>
      </w:pPr>
      <w:r>
        <w:fldChar w:fldCharType="begin"/>
      </w:r>
      <w:r>
        <w:instrText xml:space="preserve"> HYPERLINK \l _Toc14654 </w:instrText>
      </w:r>
      <w:r>
        <w:fldChar w:fldCharType="separate"/>
      </w:r>
      <w:r>
        <w:rPr>
          <w:rFonts w:hint="eastAsia" w:ascii="宋体" w:hAnsi="宋体" w:eastAsia="宋体" w:cs="宋体"/>
        </w:rPr>
        <w:t xml:space="preserve">四、 </w:t>
      </w:r>
      <w:r>
        <w:rPr>
          <w:rFonts w:hint="eastAsia"/>
        </w:rPr>
        <w:t>评标细则及标准</w:t>
      </w:r>
      <w:r>
        <w:tab/>
      </w:r>
      <w:r>
        <w:fldChar w:fldCharType="begin"/>
      </w:r>
      <w:r>
        <w:instrText xml:space="preserve"> PAGEREF _Toc14654 \h </w:instrText>
      </w:r>
      <w:r>
        <w:fldChar w:fldCharType="separate"/>
      </w:r>
      <w:r>
        <w:t>65</w:t>
      </w:r>
      <w:r>
        <w:fldChar w:fldCharType="end"/>
      </w:r>
      <w:r>
        <w:fldChar w:fldCharType="end"/>
      </w:r>
    </w:p>
    <w:p>
      <w:pPr>
        <w:pStyle w:val="18"/>
        <w:tabs>
          <w:tab w:val="right" w:leader="dot" w:pos="9746"/>
          <w:tab w:val="clear" w:pos="0"/>
        </w:tabs>
      </w:pPr>
      <w:r>
        <w:fldChar w:fldCharType="begin"/>
      </w:r>
      <w:r>
        <w:instrText xml:space="preserve"> HYPERLINK \l _Toc11138 </w:instrText>
      </w:r>
      <w:r>
        <w:fldChar w:fldCharType="separate"/>
      </w:r>
      <w:r>
        <w:rPr>
          <w:rFonts w:hint="eastAsia" w:ascii="宋体" w:hAnsi="宋体" w:eastAsia="宋体" w:cs="宋体"/>
          <w:lang w:val="en-US" w:eastAsia="zh-CN"/>
        </w:rPr>
        <w:t xml:space="preserve">五、 </w:t>
      </w:r>
      <w:r>
        <w:rPr>
          <w:rFonts w:hint="eastAsia"/>
          <w:lang w:val="en-US" w:eastAsia="zh-CN"/>
        </w:rPr>
        <w:t>复核</w:t>
      </w:r>
      <w:r>
        <w:tab/>
      </w:r>
      <w:r>
        <w:fldChar w:fldCharType="begin"/>
      </w:r>
      <w:r>
        <w:instrText xml:space="preserve"> PAGEREF _Toc11138 \h </w:instrText>
      </w:r>
      <w:r>
        <w:fldChar w:fldCharType="separate"/>
      </w:r>
      <w:r>
        <w:t>68</w:t>
      </w:r>
      <w:r>
        <w:fldChar w:fldCharType="end"/>
      </w:r>
      <w:r>
        <w:fldChar w:fldCharType="end"/>
      </w:r>
    </w:p>
    <w:p>
      <w:pPr>
        <w:pStyle w:val="18"/>
        <w:tabs>
          <w:tab w:val="right" w:leader="dot" w:pos="9746"/>
          <w:tab w:val="clear" w:pos="0"/>
        </w:tabs>
      </w:pPr>
      <w:r>
        <w:fldChar w:fldCharType="begin"/>
      </w:r>
      <w:r>
        <w:instrText xml:space="preserve"> HYPERLINK \l _Toc21682 </w:instrText>
      </w:r>
      <w:r>
        <w:fldChar w:fldCharType="separate"/>
      </w:r>
      <w:r>
        <w:rPr>
          <w:rFonts w:hint="eastAsia" w:ascii="宋体" w:hAnsi="宋体" w:eastAsia="宋体" w:cs="宋体"/>
          <w:lang w:val="en-US" w:eastAsia="zh-CN"/>
        </w:rPr>
        <w:t xml:space="preserve">六、 </w:t>
      </w:r>
      <w:r>
        <w:rPr>
          <w:rFonts w:hint="eastAsia"/>
          <w:lang w:val="en-US" w:eastAsia="zh-CN"/>
        </w:rPr>
        <w:t>推荐中标候选供应商</w:t>
      </w:r>
      <w:r>
        <w:tab/>
      </w:r>
      <w:r>
        <w:fldChar w:fldCharType="begin"/>
      </w:r>
      <w:r>
        <w:instrText xml:space="preserve"> PAGEREF _Toc21682 \h </w:instrText>
      </w:r>
      <w:r>
        <w:fldChar w:fldCharType="separate"/>
      </w:r>
      <w:r>
        <w:t>69</w:t>
      </w:r>
      <w:r>
        <w:fldChar w:fldCharType="end"/>
      </w:r>
      <w:r>
        <w:fldChar w:fldCharType="end"/>
      </w:r>
    </w:p>
    <w:p>
      <w:pPr>
        <w:pStyle w:val="18"/>
        <w:tabs>
          <w:tab w:val="right" w:leader="dot" w:pos="9746"/>
          <w:tab w:val="clear" w:pos="0"/>
        </w:tabs>
      </w:pPr>
      <w:r>
        <w:fldChar w:fldCharType="begin"/>
      </w:r>
      <w:r>
        <w:instrText xml:space="preserve"> HYPERLINK \l _Toc19418 </w:instrText>
      </w:r>
      <w:r>
        <w:fldChar w:fldCharType="separate"/>
      </w:r>
      <w:r>
        <w:rPr>
          <w:rFonts w:hint="eastAsia" w:ascii="宋体" w:hAnsi="宋体" w:eastAsia="宋体" w:cs="宋体"/>
          <w:lang w:val="en-US" w:eastAsia="zh-CN"/>
        </w:rPr>
        <w:t xml:space="preserve">七、 </w:t>
      </w:r>
      <w:r>
        <w:rPr>
          <w:rFonts w:hint="eastAsia"/>
          <w:lang w:val="en-US" w:eastAsia="zh-CN"/>
        </w:rPr>
        <w:t>出具评标报告</w:t>
      </w:r>
      <w:r>
        <w:tab/>
      </w:r>
      <w:r>
        <w:fldChar w:fldCharType="begin"/>
      </w:r>
      <w:r>
        <w:instrText xml:space="preserve"> PAGEREF _Toc19418 \h </w:instrText>
      </w:r>
      <w:r>
        <w:fldChar w:fldCharType="separate"/>
      </w:r>
      <w:r>
        <w:t>69</w:t>
      </w:r>
      <w:r>
        <w:fldChar w:fldCharType="end"/>
      </w:r>
      <w:r>
        <w:fldChar w:fldCharType="end"/>
      </w:r>
    </w:p>
    <w:p>
      <w:pPr>
        <w:pStyle w:val="18"/>
        <w:tabs>
          <w:tab w:val="right" w:leader="dot" w:pos="9746"/>
          <w:tab w:val="clear" w:pos="0"/>
        </w:tabs>
      </w:pPr>
      <w:r>
        <w:fldChar w:fldCharType="begin"/>
      </w:r>
      <w:r>
        <w:instrText xml:space="preserve"> HYPERLINK \l _Toc30247 </w:instrText>
      </w:r>
      <w:r>
        <w:fldChar w:fldCharType="separate"/>
      </w:r>
      <w:r>
        <w:rPr>
          <w:rFonts w:hint="eastAsia" w:ascii="宋体" w:hAnsi="宋体" w:eastAsia="宋体" w:cs="宋体"/>
        </w:rPr>
        <w:t xml:space="preserve">八、 </w:t>
      </w:r>
      <w:r>
        <w:rPr>
          <w:rFonts w:hint="eastAsia"/>
        </w:rPr>
        <w:t>废标</w:t>
      </w:r>
      <w:r>
        <w:tab/>
      </w:r>
      <w:r>
        <w:fldChar w:fldCharType="begin"/>
      </w:r>
      <w:r>
        <w:instrText xml:space="preserve"> PAGEREF _Toc30247 \h </w:instrText>
      </w:r>
      <w:r>
        <w:fldChar w:fldCharType="separate"/>
      </w:r>
      <w:r>
        <w:t>70</w:t>
      </w:r>
      <w:r>
        <w:fldChar w:fldCharType="end"/>
      </w:r>
      <w:r>
        <w:fldChar w:fldCharType="end"/>
      </w:r>
    </w:p>
    <w:p>
      <w:pPr>
        <w:pStyle w:val="18"/>
        <w:tabs>
          <w:tab w:val="right" w:leader="dot" w:pos="9746"/>
          <w:tab w:val="clear" w:pos="0"/>
        </w:tabs>
      </w:pPr>
      <w:r>
        <w:fldChar w:fldCharType="begin"/>
      </w:r>
      <w:r>
        <w:instrText xml:space="preserve"> HYPERLINK \l _Toc20515 </w:instrText>
      </w:r>
      <w:r>
        <w:fldChar w:fldCharType="separate"/>
      </w:r>
      <w:r>
        <w:rPr>
          <w:rFonts w:hint="eastAsia" w:ascii="宋体" w:hAnsi="宋体" w:eastAsia="宋体" w:cs="宋体"/>
        </w:rPr>
        <w:t xml:space="preserve">九、 </w:t>
      </w:r>
      <w:r>
        <w:rPr>
          <w:rFonts w:hint="eastAsia"/>
        </w:rPr>
        <w:t>定标</w:t>
      </w:r>
      <w:r>
        <w:tab/>
      </w:r>
      <w:r>
        <w:fldChar w:fldCharType="begin"/>
      </w:r>
      <w:r>
        <w:instrText xml:space="preserve"> PAGEREF _Toc20515 \h </w:instrText>
      </w:r>
      <w:r>
        <w:fldChar w:fldCharType="separate"/>
      </w:r>
      <w:r>
        <w:t>70</w:t>
      </w:r>
      <w:r>
        <w:fldChar w:fldCharType="end"/>
      </w:r>
      <w:r>
        <w:fldChar w:fldCharType="end"/>
      </w:r>
    </w:p>
    <w:p>
      <w:pPr>
        <w:pStyle w:val="18"/>
        <w:tabs>
          <w:tab w:val="right" w:leader="dot" w:pos="9746"/>
          <w:tab w:val="clear" w:pos="0"/>
        </w:tabs>
      </w:pPr>
      <w:r>
        <w:fldChar w:fldCharType="begin"/>
      </w:r>
      <w:r>
        <w:instrText xml:space="preserve"> HYPERLINK \l _Toc24311 </w:instrText>
      </w:r>
      <w:r>
        <w:fldChar w:fldCharType="separate"/>
      </w:r>
      <w:r>
        <w:rPr>
          <w:rFonts w:hint="eastAsia" w:ascii="宋体" w:hAnsi="宋体" w:eastAsia="宋体" w:cs="宋体"/>
        </w:rPr>
        <w:t xml:space="preserve">十、 </w:t>
      </w:r>
      <w:r>
        <w:rPr>
          <w:rFonts w:hint="eastAsia"/>
          <w:lang w:eastAsia="zh-CN"/>
        </w:rPr>
        <w:t>评标专家</w:t>
      </w:r>
      <w:r>
        <w:rPr>
          <w:rFonts w:hint="eastAsia"/>
        </w:rPr>
        <w:t>在政府采购活动中承担以下义务</w:t>
      </w:r>
      <w:r>
        <w:tab/>
      </w:r>
      <w:r>
        <w:fldChar w:fldCharType="begin"/>
      </w:r>
      <w:r>
        <w:instrText xml:space="preserve"> PAGEREF _Toc24311 \h </w:instrText>
      </w:r>
      <w:r>
        <w:fldChar w:fldCharType="separate"/>
      </w:r>
      <w:r>
        <w:t>70</w:t>
      </w:r>
      <w:r>
        <w:fldChar w:fldCharType="end"/>
      </w:r>
      <w:r>
        <w:fldChar w:fldCharType="end"/>
      </w:r>
    </w:p>
    <w:p>
      <w:pPr>
        <w:pStyle w:val="18"/>
        <w:tabs>
          <w:tab w:val="right" w:leader="dot" w:pos="9746"/>
          <w:tab w:val="clear" w:pos="0"/>
        </w:tabs>
      </w:pPr>
      <w:r>
        <w:fldChar w:fldCharType="begin"/>
      </w:r>
      <w:r>
        <w:instrText xml:space="preserve"> HYPERLINK \l _Toc9685 </w:instrText>
      </w:r>
      <w:r>
        <w:fldChar w:fldCharType="separate"/>
      </w:r>
      <w:r>
        <w:rPr>
          <w:rFonts w:hint="eastAsia" w:ascii="宋体" w:hAnsi="宋体" w:eastAsia="宋体" w:cs="宋体"/>
        </w:rPr>
        <w:t xml:space="preserve">十一、 </w:t>
      </w:r>
      <w:r>
        <w:rPr>
          <w:rFonts w:hint="eastAsia"/>
          <w:lang w:eastAsia="zh-CN"/>
        </w:rPr>
        <w:t>评标专家</w:t>
      </w:r>
      <w:r>
        <w:rPr>
          <w:rFonts w:hint="eastAsia"/>
        </w:rPr>
        <w:t>在政府采购活动中应当遵守以下工作纪律</w:t>
      </w:r>
      <w:r>
        <w:tab/>
      </w:r>
      <w:r>
        <w:fldChar w:fldCharType="begin"/>
      </w:r>
      <w:r>
        <w:instrText xml:space="preserve"> PAGEREF _Toc9685 \h </w:instrText>
      </w:r>
      <w:r>
        <w:fldChar w:fldCharType="separate"/>
      </w:r>
      <w:r>
        <w:t>71</w:t>
      </w:r>
      <w:r>
        <w:fldChar w:fldCharType="end"/>
      </w:r>
      <w:r>
        <w:fldChar w:fldCharType="end"/>
      </w:r>
    </w:p>
    <w:p>
      <w:pPr>
        <w:pStyle w:val="18"/>
        <w:tabs>
          <w:tab w:val="right" w:leader="dot" w:pos="9746"/>
          <w:tab w:val="clear" w:pos="0"/>
        </w:tabs>
      </w:pPr>
      <w:r>
        <w:fldChar w:fldCharType="begin"/>
      </w:r>
      <w:r>
        <w:instrText xml:space="preserve"> HYPERLINK \l _Toc23064 </w:instrText>
      </w:r>
      <w:r>
        <w:fldChar w:fldCharType="separate"/>
      </w:r>
      <w:r>
        <w:rPr>
          <w:rFonts w:hint="eastAsia" w:ascii="宋体" w:hAnsi="宋体" w:eastAsia="宋体" w:cs="宋体"/>
        </w:rPr>
        <w:t xml:space="preserve">十二、 </w:t>
      </w:r>
      <w:r>
        <w:rPr>
          <w:rFonts w:hint="eastAsia"/>
        </w:rPr>
        <w:t>评标委员会及其成员不得有下列行为</w:t>
      </w:r>
      <w:r>
        <w:tab/>
      </w:r>
      <w:r>
        <w:fldChar w:fldCharType="begin"/>
      </w:r>
      <w:r>
        <w:instrText xml:space="preserve"> PAGEREF _Toc23064 \h </w:instrText>
      </w:r>
      <w:r>
        <w:fldChar w:fldCharType="separate"/>
      </w:r>
      <w:r>
        <w:t>71</w:t>
      </w:r>
      <w:r>
        <w:fldChar w:fldCharType="end"/>
      </w:r>
      <w:r>
        <w:fldChar w:fldCharType="end"/>
      </w:r>
    </w:p>
    <w:p>
      <w:pPr>
        <w:pStyle w:val="18"/>
        <w:tabs>
          <w:tab w:val="right" w:leader="dot" w:pos="9746"/>
          <w:tab w:val="clear" w:pos="0"/>
        </w:tabs>
      </w:pPr>
      <w:r>
        <w:fldChar w:fldCharType="begin"/>
      </w:r>
      <w:r>
        <w:instrText xml:space="preserve"> HYPERLINK \l _Toc14826 </w:instrText>
      </w:r>
      <w:r>
        <w:fldChar w:fldCharType="separate"/>
      </w:r>
      <w:r>
        <w:rPr>
          <w:rFonts w:hint="eastAsia" w:ascii="宋体" w:hAnsi="宋体" w:eastAsia="宋体" w:cs="宋体"/>
        </w:rPr>
        <w:t xml:space="preserve">十三、 </w:t>
      </w:r>
      <w:r>
        <w:rPr>
          <w:rFonts w:hint="eastAsia"/>
          <w:lang w:val="en-US" w:eastAsia="zh-CN"/>
        </w:rPr>
        <w:t>评标委员会及其成员不得有下列违约情形</w:t>
      </w:r>
      <w:r>
        <w:tab/>
      </w:r>
      <w:r>
        <w:fldChar w:fldCharType="begin"/>
      </w:r>
      <w:r>
        <w:instrText xml:space="preserve"> PAGEREF _Toc14826 \h </w:instrText>
      </w:r>
      <w:r>
        <w:fldChar w:fldCharType="separate"/>
      </w:r>
      <w:r>
        <w:t>72</w:t>
      </w:r>
      <w:r>
        <w:fldChar w:fldCharType="end"/>
      </w:r>
      <w:r>
        <w:fldChar w:fldCharType="end"/>
      </w:r>
    </w:p>
    <w:p>
      <w:pPr>
        <w:pStyle w:val="17"/>
        <w:tabs>
          <w:tab w:val="clear" w:pos="0"/>
        </w:tabs>
      </w:pPr>
      <w:r>
        <w:fldChar w:fldCharType="begin"/>
      </w:r>
      <w:r>
        <w:instrText xml:space="preserve"> HYPERLINK \l _Toc7953 </w:instrText>
      </w:r>
      <w:r>
        <w:fldChar w:fldCharType="separate"/>
      </w:r>
      <w:r>
        <w:rPr>
          <w:rFonts w:hint="eastAsia" w:ascii="宋体" w:hAnsi="宋体" w:eastAsia="宋体" w:cs="宋体"/>
        </w:rPr>
        <w:t xml:space="preserve">第八章 </w:t>
      </w:r>
      <w:r>
        <w:rPr>
          <w:rFonts w:hint="eastAsia"/>
        </w:rPr>
        <w:t>政府采购合同</w:t>
      </w:r>
      <w:r>
        <w:rPr>
          <w:rFonts w:hint="eastAsia"/>
          <w:lang w:val="en-US" w:eastAsia="zh-CN"/>
        </w:rPr>
        <w:t>(参考文本)</w:t>
      </w:r>
      <w:r>
        <w:tab/>
      </w:r>
      <w:r>
        <w:fldChar w:fldCharType="begin"/>
      </w:r>
      <w:r>
        <w:instrText xml:space="preserve"> PAGEREF _Toc7953 \h </w:instrText>
      </w:r>
      <w:r>
        <w:fldChar w:fldCharType="separate"/>
      </w:r>
      <w:r>
        <w:t>73</w:t>
      </w:r>
      <w:r>
        <w:fldChar w:fldCharType="end"/>
      </w:r>
      <w:r>
        <w:fldChar w:fldCharType="end"/>
      </w:r>
    </w:p>
    <w:p>
      <w:pPr>
        <w:pStyle w:val="18"/>
        <w:tabs>
          <w:tab w:val="right" w:leader="dot" w:pos="9746"/>
          <w:tab w:val="clear" w:pos="0"/>
        </w:tabs>
      </w:pPr>
      <w:r>
        <w:fldChar w:fldCharType="begin"/>
      </w:r>
      <w:r>
        <w:instrText xml:space="preserve"> HYPERLINK \l _Toc12918 </w:instrText>
      </w:r>
      <w:r>
        <w:fldChar w:fldCharType="separate"/>
      </w:r>
      <w:r>
        <w:rPr>
          <w:rFonts w:hint="eastAsia"/>
        </w:rPr>
        <w:t>第一条 项目基本情况</w:t>
      </w:r>
      <w:r>
        <w:tab/>
      </w:r>
      <w:r>
        <w:fldChar w:fldCharType="begin"/>
      </w:r>
      <w:r>
        <w:instrText xml:space="preserve"> PAGEREF _Toc12918 \h </w:instrText>
      </w:r>
      <w:r>
        <w:fldChar w:fldCharType="separate"/>
      </w:r>
      <w:r>
        <w:t>73</w:t>
      </w:r>
      <w:r>
        <w:fldChar w:fldCharType="end"/>
      </w:r>
      <w:r>
        <w:fldChar w:fldCharType="end"/>
      </w:r>
    </w:p>
    <w:p>
      <w:pPr>
        <w:pStyle w:val="18"/>
        <w:tabs>
          <w:tab w:val="right" w:leader="dot" w:pos="9746"/>
          <w:tab w:val="clear" w:pos="0"/>
        </w:tabs>
      </w:pPr>
      <w:r>
        <w:fldChar w:fldCharType="begin"/>
      </w:r>
      <w:r>
        <w:instrText xml:space="preserve"> HYPERLINK \l _Toc32166 </w:instrText>
      </w:r>
      <w:r>
        <w:fldChar w:fldCharType="separate"/>
      </w:r>
      <w:r>
        <w:rPr>
          <w:rFonts w:hint="eastAsia"/>
        </w:rPr>
        <w:t>第二条 合同</w:t>
      </w:r>
      <w:r>
        <w:rPr>
          <w:rFonts w:hint="eastAsia"/>
          <w:lang w:val="en-US" w:eastAsia="zh-CN"/>
        </w:rPr>
        <w:t>履行</w:t>
      </w:r>
      <w:r>
        <w:tab/>
      </w:r>
      <w:r>
        <w:fldChar w:fldCharType="begin"/>
      </w:r>
      <w:r>
        <w:instrText xml:space="preserve"> PAGEREF _Toc32166 \h </w:instrText>
      </w:r>
      <w:r>
        <w:fldChar w:fldCharType="separate"/>
      </w:r>
      <w:r>
        <w:t>73</w:t>
      </w:r>
      <w:r>
        <w:fldChar w:fldCharType="end"/>
      </w:r>
      <w:r>
        <w:fldChar w:fldCharType="end"/>
      </w:r>
    </w:p>
    <w:p>
      <w:pPr>
        <w:pStyle w:val="18"/>
        <w:tabs>
          <w:tab w:val="right" w:leader="dot" w:pos="9746"/>
          <w:tab w:val="clear" w:pos="0"/>
        </w:tabs>
      </w:pPr>
      <w:r>
        <w:fldChar w:fldCharType="begin"/>
      </w:r>
      <w:r>
        <w:instrText xml:space="preserve"> HYPERLINK \l _Toc25128 </w:instrText>
      </w:r>
      <w:r>
        <w:fldChar w:fldCharType="separate"/>
      </w:r>
      <w:r>
        <w:rPr>
          <w:rFonts w:hint="eastAsia"/>
        </w:rPr>
        <w:t xml:space="preserve">第三条 </w:t>
      </w:r>
      <w:r>
        <w:rPr>
          <w:rFonts w:hint="eastAsia"/>
          <w:lang w:val="en-US" w:eastAsia="zh-CN"/>
        </w:rPr>
        <w:t>合同标的</w:t>
      </w:r>
      <w:r>
        <w:tab/>
      </w:r>
      <w:r>
        <w:fldChar w:fldCharType="begin"/>
      </w:r>
      <w:r>
        <w:instrText xml:space="preserve"> PAGEREF _Toc25128 \h </w:instrText>
      </w:r>
      <w:r>
        <w:fldChar w:fldCharType="separate"/>
      </w:r>
      <w:r>
        <w:t>73</w:t>
      </w:r>
      <w:r>
        <w:fldChar w:fldCharType="end"/>
      </w:r>
      <w:r>
        <w:fldChar w:fldCharType="end"/>
      </w:r>
    </w:p>
    <w:p>
      <w:pPr>
        <w:pStyle w:val="18"/>
        <w:tabs>
          <w:tab w:val="right" w:leader="dot" w:pos="9746"/>
          <w:tab w:val="clear" w:pos="0"/>
        </w:tabs>
      </w:pPr>
      <w:r>
        <w:fldChar w:fldCharType="begin"/>
      </w:r>
      <w:r>
        <w:instrText xml:space="preserve"> HYPERLINK \l _Toc8161 </w:instrText>
      </w:r>
      <w:r>
        <w:fldChar w:fldCharType="separate"/>
      </w:r>
      <w:r>
        <w:rPr>
          <w:rFonts w:hint="eastAsia"/>
          <w:lang w:val="en-US" w:eastAsia="zh-CN"/>
        </w:rPr>
        <w:t xml:space="preserve">第四条 </w:t>
      </w:r>
      <w:r>
        <w:rPr>
          <w:rFonts w:hint="eastAsia"/>
        </w:rPr>
        <w:t>质量标准</w:t>
      </w:r>
      <w:r>
        <w:tab/>
      </w:r>
      <w:r>
        <w:fldChar w:fldCharType="begin"/>
      </w:r>
      <w:r>
        <w:instrText xml:space="preserve"> PAGEREF _Toc8161 \h </w:instrText>
      </w:r>
      <w:r>
        <w:fldChar w:fldCharType="separate"/>
      </w:r>
      <w:r>
        <w:t>73</w:t>
      </w:r>
      <w:r>
        <w:fldChar w:fldCharType="end"/>
      </w:r>
      <w:r>
        <w:fldChar w:fldCharType="end"/>
      </w:r>
    </w:p>
    <w:p>
      <w:pPr>
        <w:pStyle w:val="18"/>
        <w:tabs>
          <w:tab w:val="right" w:leader="dot" w:pos="9746"/>
          <w:tab w:val="clear" w:pos="0"/>
        </w:tabs>
      </w:pPr>
      <w:r>
        <w:fldChar w:fldCharType="begin"/>
      </w:r>
      <w:r>
        <w:instrText xml:space="preserve"> HYPERLINK \l _Toc11434 </w:instrText>
      </w:r>
      <w:r>
        <w:fldChar w:fldCharType="separate"/>
      </w:r>
      <w:r>
        <w:rPr>
          <w:rFonts w:hint="eastAsia"/>
          <w:lang w:val="en-US" w:eastAsia="zh-CN"/>
        </w:rPr>
        <w:t>第五条 验收要求</w:t>
      </w:r>
      <w:r>
        <w:tab/>
      </w:r>
      <w:r>
        <w:fldChar w:fldCharType="begin"/>
      </w:r>
      <w:r>
        <w:instrText xml:space="preserve"> PAGEREF _Toc11434 \h </w:instrText>
      </w:r>
      <w:r>
        <w:fldChar w:fldCharType="separate"/>
      </w:r>
      <w:r>
        <w:t>73</w:t>
      </w:r>
      <w:r>
        <w:fldChar w:fldCharType="end"/>
      </w:r>
      <w:r>
        <w:fldChar w:fldCharType="end"/>
      </w:r>
    </w:p>
    <w:p>
      <w:pPr>
        <w:pStyle w:val="18"/>
        <w:tabs>
          <w:tab w:val="right" w:leader="dot" w:pos="9746"/>
          <w:tab w:val="clear" w:pos="0"/>
        </w:tabs>
      </w:pPr>
      <w:r>
        <w:fldChar w:fldCharType="begin"/>
      </w:r>
      <w:r>
        <w:instrText xml:space="preserve"> HYPERLINK \l _Toc23904 </w:instrText>
      </w:r>
      <w:r>
        <w:fldChar w:fldCharType="separate"/>
      </w:r>
      <w:r>
        <w:rPr>
          <w:rFonts w:hint="eastAsia"/>
        </w:rPr>
        <w:t xml:space="preserve">第六条 </w:t>
      </w:r>
      <w:r>
        <w:rPr>
          <w:rFonts w:hint="eastAsia"/>
          <w:lang w:val="en-US" w:eastAsia="zh-CN"/>
        </w:rPr>
        <w:t>合同价款</w:t>
      </w:r>
      <w:r>
        <w:rPr>
          <w:rFonts w:hint="eastAsia"/>
        </w:rPr>
        <w:t>及支付方式</w:t>
      </w:r>
      <w:r>
        <w:tab/>
      </w:r>
      <w:r>
        <w:fldChar w:fldCharType="begin"/>
      </w:r>
      <w:r>
        <w:instrText xml:space="preserve"> PAGEREF _Toc23904 \h </w:instrText>
      </w:r>
      <w:r>
        <w:fldChar w:fldCharType="separate"/>
      </w:r>
      <w:r>
        <w:t>74</w:t>
      </w:r>
      <w:r>
        <w:fldChar w:fldCharType="end"/>
      </w:r>
      <w:r>
        <w:fldChar w:fldCharType="end"/>
      </w:r>
    </w:p>
    <w:p>
      <w:pPr>
        <w:pStyle w:val="18"/>
        <w:tabs>
          <w:tab w:val="right" w:leader="dot" w:pos="9746"/>
          <w:tab w:val="clear" w:pos="0"/>
        </w:tabs>
      </w:pPr>
      <w:r>
        <w:fldChar w:fldCharType="begin"/>
      </w:r>
      <w:r>
        <w:instrText xml:space="preserve"> HYPERLINK \l _Toc2879 </w:instrText>
      </w:r>
      <w:r>
        <w:fldChar w:fldCharType="separate"/>
      </w:r>
      <w:r>
        <w:rPr>
          <w:rFonts w:hint="eastAsia"/>
        </w:rPr>
        <w:t>第七条 知识产权</w:t>
      </w:r>
      <w:r>
        <w:tab/>
      </w:r>
      <w:r>
        <w:fldChar w:fldCharType="begin"/>
      </w:r>
      <w:r>
        <w:instrText xml:space="preserve"> PAGEREF _Toc2879 \h </w:instrText>
      </w:r>
      <w:r>
        <w:fldChar w:fldCharType="separate"/>
      </w:r>
      <w:r>
        <w:t>74</w:t>
      </w:r>
      <w:r>
        <w:fldChar w:fldCharType="end"/>
      </w:r>
      <w:r>
        <w:fldChar w:fldCharType="end"/>
      </w:r>
    </w:p>
    <w:p>
      <w:pPr>
        <w:pStyle w:val="18"/>
        <w:tabs>
          <w:tab w:val="right" w:leader="dot" w:pos="9746"/>
          <w:tab w:val="clear" w:pos="0"/>
        </w:tabs>
      </w:pPr>
      <w:r>
        <w:fldChar w:fldCharType="begin"/>
      </w:r>
      <w:r>
        <w:instrText xml:space="preserve"> HYPERLINK \l _Toc12813 </w:instrText>
      </w:r>
      <w:r>
        <w:fldChar w:fldCharType="separate"/>
      </w:r>
      <w:r>
        <w:rPr>
          <w:rFonts w:hint="eastAsia"/>
        </w:rPr>
        <w:t>第八条 无产权瑕疵条款</w:t>
      </w:r>
      <w:r>
        <w:tab/>
      </w:r>
      <w:r>
        <w:fldChar w:fldCharType="begin"/>
      </w:r>
      <w:r>
        <w:instrText xml:space="preserve"> PAGEREF _Toc12813 \h </w:instrText>
      </w:r>
      <w:r>
        <w:fldChar w:fldCharType="separate"/>
      </w:r>
      <w:r>
        <w:t>74</w:t>
      </w:r>
      <w:r>
        <w:fldChar w:fldCharType="end"/>
      </w:r>
      <w:r>
        <w:fldChar w:fldCharType="end"/>
      </w:r>
    </w:p>
    <w:p>
      <w:pPr>
        <w:pStyle w:val="18"/>
        <w:tabs>
          <w:tab w:val="right" w:leader="dot" w:pos="9746"/>
          <w:tab w:val="clear" w:pos="0"/>
        </w:tabs>
      </w:pPr>
      <w:r>
        <w:fldChar w:fldCharType="begin"/>
      </w:r>
      <w:r>
        <w:instrText xml:space="preserve"> HYPERLINK \l _Toc6928 </w:instrText>
      </w:r>
      <w:r>
        <w:fldChar w:fldCharType="separate"/>
      </w:r>
      <w:r>
        <w:rPr>
          <w:rFonts w:hint="eastAsia"/>
        </w:rPr>
        <w:t>第九条 履约保证金</w:t>
      </w:r>
      <w:r>
        <w:tab/>
      </w:r>
      <w:r>
        <w:fldChar w:fldCharType="begin"/>
      </w:r>
      <w:r>
        <w:instrText xml:space="preserve"> PAGEREF _Toc6928 \h </w:instrText>
      </w:r>
      <w:r>
        <w:fldChar w:fldCharType="separate"/>
      </w:r>
      <w:r>
        <w:t>74</w:t>
      </w:r>
      <w:r>
        <w:fldChar w:fldCharType="end"/>
      </w:r>
      <w:r>
        <w:fldChar w:fldCharType="end"/>
      </w:r>
    </w:p>
    <w:p>
      <w:pPr>
        <w:pStyle w:val="18"/>
        <w:tabs>
          <w:tab w:val="right" w:leader="dot" w:pos="9746"/>
          <w:tab w:val="clear" w:pos="0"/>
        </w:tabs>
      </w:pPr>
      <w:r>
        <w:fldChar w:fldCharType="begin"/>
      </w:r>
      <w:r>
        <w:instrText xml:space="preserve"> HYPERLINK \l _Toc15281 </w:instrText>
      </w:r>
      <w:r>
        <w:fldChar w:fldCharType="separate"/>
      </w:r>
      <w:r>
        <w:rPr>
          <w:rFonts w:hint="eastAsia"/>
        </w:rPr>
        <w:t>第十条 甲方的权利和义务</w:t>
      </w:r>
      <w:r>
        <w:tab/>
      </w:r>
      <w:r>
        <w:fldChar w:fldCharType="begin"/>
      </w:r>
      <w:r>
        <w:instrText xml:space="preserve"> PAGEREF _Toc15281 \h </w:instrText>
      </w:r>
      <w:r>
        <w:fldChar w:fldCharType="separate"/>
      </w:r>
      <w:r>
        <w:t>74</w:t>
      </w:r>
      <w:r>
        <w:fldChar w:fldCharType="end"/>
      </w:r>
      <w:r>
        <w:fldChar w:fldCharType="end"/>
      </w:r>
    </w:p>
    <w:p>
      <w:pPr>
        <w:pStyle w:val="18"/>
        <w:tabs>
          <w:tab w:val="right" w:leader="dot" w:pos="9746"/>
          <w:tab w:val="clear" w:pos="0"/>
        </w:tabs>
      </w:pPr>
      <w:r>
        <w:fldChar w:fldCharType="begin"/>
      </w:r>
      <w:r>
        <w:instrText xml:space="preserve"> HYPERLINK \l _Toc11005 </w:instrText>
      </w:r>
      <w:r>
        <w:fldChar w:fldCharType="separate"/>
      </w:r>
      <w:r>
        <w:rPr>
          <w:rFonts w:hint="eastAsia"/>
        </w:rPr>
        <w:t>第十一条 乙方的权利和义务</w:t>
      </w:r>
      <w:r>
        <w:tab/>
      </w:r>
      <w:r>
        <w:fldChar w:fldCharType="begin"/>
      </w:r>
      <w:r>
        <w:instrText xml:space="preserve"> PAGEREF _Toc11005 \h </w:instrText>
      </w:r>
      <w:r>
        <w:fldChar w:fldCharType="separate"/>
      </w:r>
      <w:r>
        <w:t>74</w:t>
      </w:r>
      <w:r>
        <w:fldChar w:fldCharType="end"/>
      </w:r>
      <w:r>
        <w:fldChar w:fldCharType="end"/>
      </w:r>
    </w:p>
    <w:p>
      <w:pPr>
        <w:pStyle w:val="18"/>
        <w:tabs>
          <w:tab w:val="right" w:leader="dot" w:pos="9746"/>
          <w:tab w:val="clear" w:pos="0"/>
        </w:tabs>
      </w:pPr>
      <w:r>
        <w:fldChar w:fldCharType="begin"/>
      </w:r>
      <w:r>
        <w:instrText xml:space="preserve"> HYPERLINK \l _Toc32000 </w:instrText>
      </w:r>
      <w:r>
        <w:fldChar w:fldCharType="separate"/>
      </w:r>
      <w:r>
        <w:rPr>
          <w:rFonts w:hint="eastAsia"/>
        </w:rPr>
        <w:t>第十二条 违约责任</w:t>
      </w:r>
      <w:r>
        <w:tab/>
      </w:r>
      <w:r>
        <w:fldChar w:fldCharType="begin"/>
      </w:r>
      <w:r>
        <w:instrText xml:space="preserve"> PAGEREF _Toc32000 \h </w:instrText>
      </w:r>
      <w:r>
        <w:fldChar w:fldCharType="separate"/>
      </w:r>
      <w:r>
        <w:t>75</w:t>
      </w:r>
      <w:r>
        <w:fldChar w:fldCharType="end"/>
      </w:r>
      <w:r>
        <w:fldChar w:fldCharType="end"/>
      </w:r>
    </w:p>
    <w:p>
      <w:pPr>
        <w:pStyle w:val="18"/>
        <w:tabs>
          <w:tab w:val="right" w:leader="dot" w:pos="9746"/>
          <w:tab w:val="clear" w:pos="0"/>
        </w:tabs>
      </w:pPr>
      <w:r>
        <w:fldChar w:fldCharType="begin"/>
      </w:r>
      <w:r>
        <w:instrText xml:space="preserve"> HYPERLINK \l _Toc11510 </w:instrText>
      </w:r>
      <w:r>
        <w:fldChar w:fldCharType="separate"/>
      </w:r>
      <w:r>
        <w:rPr>
          <w:rFonts w:hint="eastAsia"/>
        </w:rPr>
        <w:t>第十三条 不可抗力事件处理</w:t>
      </w:r>
      <w:r>
        <w:tab/>
      </w:r>
      <w:r>
        <w:fldChar w:fldCharType="begin"/>
      </w:r>
      <w:r>
        <w:instrText xml:space="preserve"> PAGEREF _Toc11510 \h </w:instrText>
      </w:r>
      <w:r>
        <w:fldChar w:fldCharType="separate"/>
      </w:r>
      <w:r>
        <w:t>75</w:t>
      </w:r>
      <w:r>
        <w:fldChar w:fldCharType="end"/>
      </w:r>
      <w:r>
        <w:fldChar w:fldCharType="end"/>
      </w:r>
    </w:p>
    <w:p>
      <w:pPr>
        <w:pStyle w:val="18"/>
        <w:tabs>
          <w:tab w:val="right" w:leader="dot" w:pos="9746"/>
          <w:tab w:val="clear" w:pos="0"/>
        </w:tabs>
      </w:pPr>
      <w:r>
        <w:fldChar w:fldCharType="begin"/>
      </w:r>
      <w:r>
        <w:instrText xml:space="preserve"> HYPERLINK \l _Toc23048 </w:instrText>
      </w:r>
      <w:r>
        <w:fldChar w:fldCharType="separate"/>
      </w:r>
      <w:r>
        <w:rPr>
          <w:rFonts w:hint="eastAsia"/>
        </w:rPr>
        <w:t>第十四条 解决</w:t>
      </w:r>
      <w:r>
        <w:rPr>
          <w:rFonts w:hint="eastAsia"/>
          <w:lang w:val="en-US" w:eastAsia="zh-CN"/>
        </w:rPr>
        <w:t>争议的方法</w:t>
      </w:r>
      <w:r>
        <w:tab/>
      </w:r>
      <w:r>
        <w:fldChar w:fldCharType="begin"/>
      </w:r>
      <w:r>
        <w:instrText xml:space="preserve"> PAGEREF _Toc23048 \h </w:instrText>
      </w:r>
      <w:r>
        <w:fldChar w:fldCharType="separate"/>
      </w:r>
      <w:r>
        <w:t>75</w:t>
      </w:r>
      <w:r>
        <w:fldChar w:fldCharType="end"/>
      </w:r>
      <w:r>
        <w:fldChar w:fldCharType="end"/>
      </w:r>
    </w:p>
    <w:p>
      <w:pPr>
        <w:pStyle w:val="18"/>
        <w:tabs>
          <w:tab w:val="right" w:leader="dot" w:pos="9746"/>
          <w:tab w:val="clear" w:pos="0"/>
        </w:tabs>
      </w:pPr>
      <w:r>
        <w:fldChar w:fldCharType="begin"/>
      </w:r>
      <w:r>
        <w:instrText xml:space="preserve"> HYPERLINK \l _Toc20264 </w:instrText>
      </w:r>
      <w:r>
        <w:fldChar w:fldCharType="separate"/>
      </w:r>
      <w:r>
        <w:rPr>
          <w:rFonts w:hint="eastAsia"/>
        </w:rPr>
        <w:t>第十五条 合同生效及其他</w:t>
      </w:r>
      <w:r>
        <w:tab/>
      </w:r>
      <w:r>
        <w:fldChar w:fldCharType="begin"/>
      </w:r>
      <w:r>
        <w:instrText xml:space="preserve"> PAGEREF _Toc20264 \h </w:instrText>
      </w:r>
      <w:r>
        <w:fldChar w:fldCharType="separate"/>
      </w:r>
      <w:r>
        <w:t>75</w:t>
      </w:r>
      <w:r>
        <w:fldChar w:fldCharType="end"/>
      </w:r>
      <w:r>
        <w:fldChar w:fldCharType="end"/>
      </w:r>
    </w:p>
    <w:p>
      <w:pPr>
        <w:pStyle w:val="17"/>
        <w:tabs>
          <w:tab w:val="clear" w:pos="0"/>
        </w:tabs>
      </w:pPr>
      <w:r>
        <w:fldChar w:fldCharType="begin"/>
      </w:r>
      <w:r>
        <w:instrText xml:space="preserve"> HYPERLINK \l _Toc8498 </w:instrText>
      </w:r>
      <w:r>
        <w:fldChar w:fldCharType="separate"/>
      </w:r>
      <w:r>
        <w:rPr>
          <w:rFonts w:hint="eastAsia" w:ascii="宋体" w:hAnsi="宋体" w:eastAsia="宋体" w:cs="宋体"/>
          <w:lang w:val="en-US" w:eastAsia="zh-CN"/>
        </w:rPr>
        <w:t xml:space="preserve">第九章 </w:t>
      </w:r>
      <w:r>
        <w:rPr>
          <w:rFonts w:hint="eastAsia"/>
          <w:lang w:val="en-US" w:eastAsia="zh-CN"/>
        </w:rPr>
        <w:t>附件</w:t>
      </w:r>
      <w:r>
        <w:tab/>
      </w:r>
      <w:r>
        <w:fldChar w:fldCharType="begin"/>
      </w:r>
      <w:r>
        <w:instrText xml:space="preserve"> PAGEREF _Toc8498 \h </w:instrText>
      </w:r>
      <w:r>
        <w:fldChar w:fldCharType="separate"/>
      </w:r>
      <w:r>
        <w:t>77</w:t>
      </w:r>
      <w:r>
        <w:fldChar w:fldCharType="end"/>
      </w:r>
      <w:r>
        <w:fldChar w:fldCharType="end"/>
      </w:r>
    </w:p>
    <w:p>
      <w:r>
        <w:fldChar w:fldCharType="end"/>
      </w:r>
    </w:p>
    <w:p>
      <w:pPr>
        <w:pStyle w:val="48"/>
        <w:bidi w:val="0"/>
        <w:rPr>
          <w:rFonts w:hint="eastAsia"/>
        </w:rPr>
      </w:pPr>
      <w:r>
        <w:rPr>
          <w:rFonts w:hint="eastAsia"/>
        </w:rPr>
        <w:br w:type="page"/>
      </w:r>
      <w:bookmarkEnd w:id="2"/>
      <w:bookmarkEnd w:id="3"/>
      <w:bookmarkEnd w:id="4"/>
      <w:bookmarkStart w:id="6" w:name="_Toc16166"/>
      <w:bookmarkStart w:id="7" w:name="_Toc9731"/>
      <w:bookmarkStart w:id="8" w:name="_Toc217446031"/>
      <w:bookmarkStart w:id="9" w:name="_Toc213396945"/>
      <w:bookmarkStart w:id="10" w:name="_Toc213397009"/>
      <w:bookmarkStart w:id="11" w:name="_Toc213496267"/>
      <w:bookmarkStart w:id="12" w:name="_Toc213396759"/>
      <w:r>
        <w:rPr>
          <w:rFonts w:hint="eastAsia"/>
        </w:rPr>
        <w:t>投标邀请</w:t>
      </w:r>
      <w:bookmarkEnd w:id="5"/>
      <w:bookmarkEnd w:id="6"/>
      <w:bookmarkEnd w:id="7"/>
    </w:p>
    <w:p>
      <w:pPr>
        <w:pStyle w:val="46"/>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lang w:val="zh-CN"/>
        </w:rPr>
        <w:t>成都公恒信工程项目管理有限公司</w:t>
      </w:r>
      <w:r>
        <w:rPr>
          <w:rFonts w:hint="eastAsia"/>
        </w:rPr>
        <w:t>受</w:t>
      </w:r>
      <w:r>
        <w:rPr>
          <w:rFonts w:hint="eastAsia"/>
          <w:lang w:eastAsia="zh-CN"/>
        </w:rPr>
        <w:t>成都市武侯区市场监督管理局</w:t>
      </w:r>
      <w:r>
        <w:rPr>
          <w:rFonts w:hint="eastAsia"/>
        </w:rPr>
        <w:t>的委托，拟对</w:t>
      </w:r>
      <w:r>
        <w:rPr>
          <w:rFonts w:hint="eastAsia"/>
          <w:lang w:eastAsia="zh-CN"/>
        </w:rPr>
        <w:t>成都市武侯区市场监督管理局食品安全巡查第三方服务采购项目</w:t>
      </w:r>
      <w:r>
        <w:rPr>
          <w:rFonts w:hint="eastAsia"/>
        </w:rPr>
        <w:t>进行国内公开招标，兹邀请符合本次招标要求的供应商参加投标。</w:t>
      </w:r>
    </w:p>
    <w:p>
      <w:pPr>
        <w:pStyle w:val="42"/>
        <w:keepNext w:val="0"/>
        <w:keepLines w:val="0"/>
        <w:pageBreakBefore w:val="0"/>
        <w:widowControl w:val="0"/>
        <w:numPr>
          <w:ilvl w:val="0"/>
          <w:numId w:val="8"/>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rPr>
      </w:pPr>
      <w:r>
        <w:rPr>
          <w:rFonts w:hint="eastAsia"/>
          <w:b/>
          <w:bCs/>
        </w:rPr>
        <w:t>项目编号：510107202100193</w:t>
      </w:r>
      <w:r>
        <w:rPr>
          <w:rFonts w:hint="eastAsia"/>
        </w:rPr>
        <w:t xml:space="preserve">       </w:t>
      </w:r>
    </w:p>
    <w:p>
      <w:pPr>
        <w:pStyle w:val="42"/>
        <w:keepNext w:val="0"/>
        <w:keepLines w:val="0"/>
        <w:pageBreakBefore w:val="0"/>
        <w:widowControl w:val="0"/>
        <w:numPr>
          <w:ilvl w:val="0"/>
          <w:numId w:val="8"/>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rPr>
      </w:pPr>
      <w:r>
        <w:rPr>
          <w:rFonts w:hint="eastAsia"/>
          <w:b/>
          <w:bCs/>
        </w:rPr>
        <w:t>项目名称：</w:t>
      </w:r>
      <w:r>
        <w:rPr>
          <w:rFonts w:hint="eastAsia"/>
          <w:b/>
          <w:bCs/>
          <w:lang w:eastAsia="zh-CN"/>
        </w:rPr>
        <w:t>成都市武侯区市场监督管理局食品安全巡查第三方服务采购项目</w:t>
      </w:r>
    </w:p>
    <w:p>
      <w:pPr>
        <w:pStyle w:val="42"/>
        <w:keepNext w:val="0"/>
        <w:keepLines w:val="0"/>
        <w:pageBreakBefore w:val="0"/>
        <w:widowControl w:val="0"/>
        <w:numPr>
          <w:ilvl w:val="0"/>
          <w:numId w:val="8"/>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b/>
          <w:bCs/>
          <w:highlight w:val="none"/>
        </w:rPr>
      </w:pPr>
      <w:r>
        <w:rPr>
          <w:rFonts w:hint="eastAsia" w:ascii="宋体" w:hAnsi="宋体" w:eastAsia="宋体"/>
          <w:b/>
          <w:bCs/>
          <w:lang w:val="en-US" w:eastAsia="zh-CN"/>
        </w:rPr>
        <w:t>资金来源</w:t>
      </w:r>
      <w:r>
        <w:rPr>
          <w:rFonts w:hint="eastAsia" w:ascii="宋体" w:hAnsi="宋体" w:eastAsia="宋体"/>
          <w:b/>
          <w:bCs/>
        </w:rPr>
        <w:t>：根据</w:t>
      </w:r>
      <w:r>
        <w:rPr>
          <w:rFonts w:hint="eastAsia" w:ascii="宋体" w:hAnsi="宋体" w:eastAsia="宋体"/>
          <w:b/>
          <w:bCs/>
          <w:lang w:val="en-US" w:eastAsia="zh-CN"/>
        </w:rPr>
        <w:t>成都市</w:t>
      </w:r>
      <w:r>
        <w:rPr>
          <w:rFonts w:hint="eastAsia"/>
          <w:b/>
          <w:bCs/>
          <w:lang w:val="en-US" w:eastAsia="zh-CN"/>
        </w:rPr>
        <w:t>武侯区</w:t>
      </w:r>
      <w:r>
        <w:rPr>
          <w:rFonts w:hint="eastAsia" w:ascii="宋体" w:hAnsi="宋体" w:eastAsia="宋体"/>
          <w:b/>
          <w:bCs/>
        </w:rPr>
        <w:t>财政局下达的《成都市</w:t>
      </w:r>
      <w:r>
        <w:rPr>
          <w:rFonts w:hint="eastAsia"/>
          <w:b/>
          <w:bCs/>
          <w:lang w:val="en-US" w:eastAsia="zh-CN"/>
        </w:rPr>
        <w:t>武侯区</w:t>
      </w:r>
      <w:r>
        <w:rPr>
          <w:rFonts w:hint="eastAsia" w:ascii="宋体" w:hAnsi="宋体" w:eastAsia="宋体"/>
          <w:b/>
          <w:bCs/>
        </w:rPr>
        <w:t>政府采购实施计划备案表》</w:t>
      </w:r>
      <w:r>
        <w:rPr>
          <w:rFonts w:hint="eastAsia"/>
          <w:b/>
          <w:bCs/>
          <w:lang w:eastAsia="zh-CN"/>
        </w:rPr>
        <w:t>(</w:t>
      </w:r>
      <w:r>
        <w:rPr>
          <w:rFonts w:hint="eastAsia" w:ascii="宋体" w:hAnsi="宋体" w:eastAsia="宋体"/>
          <w:b/>
          <w:bCs/>
        </w:rPr>
        <w:t>备案号</w:t>
      </w:r>
      <w:r>
        <w:rPr>
          <w:rFonts w:hint="eastAsia"/>
          <w:b/>
          <w:bCs/>
          <w:highlight w:val="none"/>
          <w:lang w:val="en-US" w:eastAsia="zh-CN"/>
        </w:rPr>
        <w:t>:</w:t>
      </w:r>
      <w:r>
        <w:rPr>
          <w:rFonts w:hint="eastAsia" w:ascii="宋体" w:hAnsi="宋体" w:eastAsia="宋体"/>
          <w:b/>
          <w:bCs/>
          <w:highlight w:val="none"/>
          <w:lang w:val="en-US" w:eastAsia="zh-CN"/>
        </w:rPr>
        <w:t>(2021)1030号</w:t>
      </w:r>
      <w:r>
        <w:rPr>
          <w:rFonts w:hint="eastAsia"/>
          <w:b/>
          <w:bCs/>
          <w:highlight w:val="none"/>
          <w:lang w:eastAsia="zh-CN"/>
        </w:rPr>
        <w:t>)</w:t>
      </w:r>
      <w:r>
        <w:rPr>
          <w:rFonts w:hint="eastAsia" w:ascii="宋体" w:hAnsi="宋体" w:eastAsia="宋体"/>
          <w:b/>
          <w:bCs/>
          <w:highlight w:val="none"/>
        </w:rPr>
        <w:t>，该项目20</w:t>
      </w:r>
      <w:r>
        <w:rPr>
          <w:rFonts w:hint="eastAsia" w:ascii="宋体" w:hAnsi="宋体" w:eastAsia="宋体"/>
          <w:b/>
          <w:bCs/>
          <w:highlight w:val="none"/>
          <w:lang w:val="en-US" w:eastAsia="zh-CN"/>
        </w:rPr>
        <w:t>21</w:t>
      </w:r>
      <w:r>
        <w:rPr>
          <w:rFonts w:hint="eastAsia" w:ascii="宋体" w:hAnsi="宋体" w:eastAsia="宋体"/>
          <w:b/>
          <w:bCs/>
          <w:highlight w:val="none"/>
        </w:rPr>
        <w:t>年预算资金为</w:t>
      </w:r>
      <w:r>
        <w:rPr>
          <w:rFonts w:hint="eastAsia"/>
          <w:b/>
          <w:bCs/>
          <w:highlight w:val="none"/>
          <w:lang w:val="en-US" w:eastAsia="zh-CN"/>
        </w:rPr>
        <w:t>400</w:t>
      </w:r>
      <w:r>
        <w:rPr>
          <w:rFonts w:hint="eastAsia" w:ascii="宋体" w:hAnsi="宋体" w:eastAsia="宋体"/>
          <w:b/>
          <w:bCs/>
          <w:highlight w:val="none"/>
        </w:rPr>
        <w:t>万元</w:t>
      </w:r>
      <w:r>
        <w:rPr>
          <w:rFonts w:hint="eastAsia"/>
          <w:b/>
          <w:bCs/>
          <w:highlight w:val="none"/>
          <w:lang w:eastAsia="zh-CN"/>
        </w:rPr>
        <w:t>，</w:t>
      </w:r>
      <w:r>
        <w:rPr>
          <w:rFonts w:hint="eastAsia"/>
          <w:b/>
          <w:bCs/>
          <w:highlight w:val="none"/>
          <w:lang w:val="en-US" w:eastAsia="zh-CN"/>
        </w:rPr>
        <w:t>采购品目：C0899其他商务服务</w:t>
      </w:r>
      <w:r>
        <w:rPr>
          <w:rFonts w:hint="eastAsia" w:ascii="宋体" w:hAnsi="宋体" w:eastAsia="宋体"/>
          <w:b/>
          <w:bCs/>
          <w:highlight w:val="none"/>
          <w:lang w:val="en-US" w:eastAsia="zh-CN"/>
        </w:rPr>
        <w:t>。</w:t>
      </w:r>
    </w:p>
    <w:p>
      <w:pPr>
        <w:pStyle w:val="42"/>
        <w:keepNext w:val="0"/>
        <w:keepLines w:val="0"/>
        <w:pageBreakBefore w:val="0"/>
        <w:widowControl w:val="0"/>
        <w:numPr>
          <w:ilvl w:val="0"/>
          <w:numId w:val="8"/>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rPr>
      </w:pPr>
      <w:r>
        <w:rPr>
          <w:rFonts w:hint="eastAsia"/>
          <w:b/>
          <w:bCs/>
        </w:rPr>
        <w:t>招标项目简介：</w:t>
      </w:r>
    </w:p>
    <w:p>
      <w:pPr>
        <w:pStyle w:val="42"/>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highlight w:val="none"/>
        </w:rPr>
      </w:pPr>
      <w:r>
        <w:rPr>
          <w:rFonts w:hint="eastAsia"/>
          <w:b/>
          <w:bCs/>
          <w:lang w:val="en-US" w:eastAsia="zh-CN"/>
        </w:rPr>
        <w:t>(一)采购内容：</w:t>
      </w:r>
      <w:r>
        <w:rPr>
          <w:rFonts w:hint="eastAsia"/>
          <w:b w:val="0"/>
          <w:bCs w:val="0"/>
          <w:highlight w:val="none"/>
        </w:rPr>
        <w:t>共</w:t>
      </w:r>
      <w:r>
        <w:rPr>
          <w:rFonts w:hint="eastAsia"/>
          <w:b w:val="0"/>
          <w:bCs w:val="0"/>
          <w:color w:val="000000" w:themeColor="text1"/>
          <w:highlight w:val="none"/>
          <w14:textFill>
            <w14:solidFill>
              <w14:schemeClr w14:val="tx1"/>
            </w14:solidFill>
          </w14:textFill>
        </w:rPr>
        <w:t>计</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个</w:t>
      </w:r>
      <w:r>
        <w:rPr>
          <w:rFonts w:hint="eastAsia"/>
          <w:highlight w:val="none"/>
        </w:rPr>
        <w:t>包，</w:t>
      </w:r>
      <w:r>
        <w:rPr>
          <w:rFonts w:hint="eastAsia"/>
          <w:highlight w:val="none"/>
          <w:lang w:val="en-US" w:eastAsia="zh-CN"/>
        </w:rPr>
        <w:t>具体</w:t>
      </w:r>
      <w:r>
        <w:rPr>
          <w:rFonts w:hint="eastAsia"/>
          <w:highlight w:val="none"/>
        </w:rPr>
        <w:t>详见招标文件第六章。</w:t>
      </w:r>
    </w:p>
    <w:p>
      <w:pPr>
        <w:pStyle w:val="42"/>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highlight w:val="none"/>
          <w:lang w:val="en-US" w:eastAsia="zh-CN"/>
        </w:rPr>
      </w:pPr>
      <w:r>
        <w:rPr>
          <w:rFonts w:hint="eastAsia"/>
          <w:b/>
          <w:bCs/>
          <w:highlight w:val="none"/>
          <w:lang w:val="en-US" w:eastAsia="zh-CN"/>
        </w:rPr>
        <w:t>(二)采购用途：协助成都市武侯区市场监督管理局完成</w:t>
      </w:r>
      <w:r>
        <w:rPr>
          <w:rFonts w:hint="eastAsia"/>
          <w:b/>
          <w:bCs/>
          <w:lang w:eastAsia="zh-CN"/>
        </w:rPr>
        <w:t>食品安全巡查</w:t>
      </w:r>
      <w:r>
        <w:rPr>
          <w:rFonts w:hint="eastAsia"/>
          <w:highlight w:val="none"/>
          <w:u w:val="none"/>
          <w:lang w:val="en-US" w:eastAsia="zh-CN"/>
        </w:rPr>
        <w:t>。</w:t>
      </w:r>
    </w:p>
    <w:p>
      <w:pPr>
        <w:pStyle w:val="42"/>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lang w:val="en-US" w:eastAsia="zh-CN"/>
        </w:rPr>
      </w:pPr>
      <w:r>
        <w:rPr>
          <w:rFonts w:hint="eastAsia"/>
          <w:b/>
          <w:bCs/>
          <w:lang w:val="en-US" w:eastAsia="zh-CN"/>
        </w:rPr>
        <w:t>(三)项目性质：</w:t>
      </w:r>
      <w:r>
        <w:rPr>
          <w:rFonts w:hint="eastAsia"/>
          <w:lang w:val="en-US" w:eastAsia="zh-CN"/>
        </w:rPr>
        <w:t>政府采购。</w:t>
      </w:r>
    </w:p>
    <w:p>
      <w:pPr>
        <w:pStyle w:val="42"/>
        <w:keepNext w:val="0"/>
        <w:keepLines w:val="0"/>
        <w:pageBreakBefore w:val="0"/>
        <w:widowControl w:val="0"/>
        <w:numPr>
          <w:ilvl w:val="0"/>
          <w:numId w:val="8"/>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rPr>
      </w:pPr>
      <w:r>
        <w:rPr>
          <w:rFonts w:hint="eastAsia"/>
          <w:b/>
          <w:bCs/>
        </w:rPr>
        <w:t>供应商参加本次政府采购活动应具备下列条件：</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zh-CN"/>
        </w:rPr>
      </w:pPr>
      <w:r>
        <w:rPr>
          <w:rFonts w:hint="eastAsia"/>
          <w:highlight w:val="none"/>
          <w:lang w:val="en-US" w:eastAsia="zh-CN"/>
        </w:rPr>
        <w:t>(一)</w:t>
      </w:r>
      <w:r>
        <w:rPr>
          <w:rFonts w:hint="eastAsia"/>
          <w:highlight w:val="none"/>
          <w:lang w:val="zh-CN"/>
        </w:rPr>
        <w:t>符合《中华人民共和国政府采购法》第二十二条规定的条件：</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lang w:val="en-US" w:eastAsia="zh-CN"/>
        </w:rPr>
        <w:t>1.</w:t>
      </w:r>
      <w:r>
        <w:rPr>
          <w:rFonts w:hint="eastAsia"/>
          <w:highlight w:val="none"/>
        </w:rPr>
        <w:t>具有独立承担</w:t>
      </w:r>
      <w:r>
        <w:rPr>
          <w:rFonts w:hint="eastAsia"/>
          <w:highlight w:val="none"/>
        </w:rPr>
        <w:fldChar w:fldCharType="begin"/>
      </w:r>
      <w:r>
        <w:rPr>
          <w:rFonts w:hint="eastAsia"/>
          <w:highlight w:val="none"/>
        </w:rPr>
        <w:instrText xml:space="preserve"> HYPERLINK "http://www.lawtime.cn/info/minfa/mszeren/" \t "_blank" </w:instrText>
      </w:r>
      <w:r>
        <w:rPr>
          <w:rFonts w:hint="eastAsia"/>
          <w:highlight w:val="none"/>
        </w:rPr>
        <w:fldChar w:fldCharType="separate"/>
      </w:r>
      <w:r>
        <w:rPr>
          <w:rFonts w:hint="eastAsia"/>
          <w:highlight w:val="none"/>
        </w:rPr>
        <w:t>民事责任</w:t>
      </w:r>
      <w:r>
        <w:rPr>
          <w:rFonts w:hint="eastAsia"/>
          <w:highlight w:val="none"/>
        </w:rPr>
        <w:fldChar w:fldCharType="end"/>
      </w:r>
      <w:r>
        <w:rPr>
          <w:rFonts w:hint="eastAsia"/>
          <w:highlight w:val="none"/>
        </w:rPr>
        <w:t>的能力；</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lang w:val="en-US" w:eastAsia="zh-CN"/>
        </w:rPr>
        <w:t>2.</w:t>
      </w:r>
      <w:r>
        <w:rPr>
          <w:rFonts w:hint="eastAsia"/>
          <w:highlight w:val="none"/>
        </w:rPr>
        <w:t>具有良好的商业信誉和健全的财务会计制度；</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lang w:val="en-US" w:eastAsia="zh-CN"/>
        </w:rPr>
        <w:t>3.</w:t>
      </w:r>
      <w:r>
        <w:rPr>
          <w:rFonts w:hint="eastAsia"/>
          <w:highlight w:val="none"/>
        </w:rPr>
        <w:t>具有履行合同所必需的设备和专业技术能力；</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en-US" w:eastAsia="zh-CN"/>
        </w:rPr>
      </w:pPr>
      <w:r>
        <w:rPr>
          <w:rFonts w:hint="eastAsia"/>
          <w:highlight w:val="none"/>
          <w:lang w:val="en-US" w:eastAsia="zh-CN"/>
        </w:rPr>
        <w:t>4.有依法缴纳税收和</w:t>
      </w:r>
      <w:r>
        <w:rPr>
          <w:rFonts w:hint="eastAsia"/>
          <w:highlight w:val="none"/>
          <w:lang w:val="en-US" w:eastAsia="zh-CN"/>
        </w:rPr>
        <w:fldChar w:fldCharType="begin"/>
      </w:r>
      <w:r>
        <w:rPr>
          <w:rFonts w:hint="eastAsia"/>
          <w:highlight w:val="none"/>
          <w:lang w:val="en-US" w:eastAsia="zh-CN"/>
        </w:rPr>
        <w:instrText xml:space="preserve"> HYPERLINK "http://www.lawtime.cn/info/laodong/shehuibaozhang/" \t "_blank" </w:instrText>
      </w:r>
      <w:r>
        <w:rPr>
          <w:rFonts w:hint="eastAsia"/>
          <w:highlight w:val="none"/>
          <w:lang w:val="en-US" w:eastAsia="zh-CN"/>
        </w:rPr>
        <w:fldChar w:fldCharType="separate"/>
      </w:r>
      <w:r>
        <w:rPr>
          <w:rFonts w:hint="eastAsia"/>
          <w:highlight w:val="none"/>
          <w:lang w:val="en-US" w:eastAsia="zh-CN"/>
        </w:rPr>
        <w:t>社会保障</w:t>
      </w:r>
      <w:r>
        <w:rPr>
          <w:rFonts w:hint="eastAsia"/>
          <w:highlight w:val="none"/>
          <w:lang w:val="en-US" w:eastAsia="zh-CN"/>
        </w:rPr>
        <w:fldChar w:fldCharType="end"/>
      </w:r>
      <w:r>
        <w:rPr>
          <w:rFonts w:hint="eastAsia"/>
          <w:highlight w:val="none"/>
          <w:lang w:val="en-US" w:eastAsia="zh-CN"/>
        </w:rPr>
        <w:t>资金的良好记录；</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en-US" w:eastAsia="zh-CN"/>
        </w:rPr>
      </w:pPr>
      <w:r>
        <w:rPr>
          <w:rFonts w:hint="eastAsia"/>
          <w:highlight w:val="none"/>
          <w:lang w:val="en-US" w:eastAsia="zh-CN"/>
        </w:rPr>
        <w:t>5.参加政府采购活动前三年内，在经营活动中没有重大违法记录；</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en-US" w:eastAsia="zh-CN"/>
        </w:rPr>
      </w:pPr>
      <w:r>
        <w:rPr>
          <w:rFonts w:hint="eastAsia"/>
          <w:highlight w:val="none"/>
          <w:lang w:val="en-US" w:eastAsia="zh-CN"/>
        </w:rPr>
        <w:t>6.法律、</w:t>
      </w:r>
      <w:r>
        <w:rPr>
          <w:rFonts w:hint="eastAsia"/>
          <w:highlight w:val="none"/>
          <w:lang w:val="en-US" w:eastAsia="zh-CN"/>
        </w:rPr>
        <w:fldChar w:fldCharType="begin"/>
      </w:r>
      <w:r>
        <w:rPr>
          <w:rFonts w:hint="eastAsia"/>
          <w:highlight w:val="none"/>
          <w:lang w:val="en-US" w:eastAsia="zh-CN"/>
        </w:rPr>
        <w:instrText xml:space="preserve"> HYPERLINK "http://www.lawtime.cn/info/sifakaoshi/xingzhengfa/" \t "_blank" </w:instrText>
      </w:r>
      <w:r>
        <w:rPr>
          <w:rFonts w:hint="eastAsia"/>
          <w:highlight w:val="none"/>
          <w:lang w:val="en-US" w:eastAsia="zh-CN"/>
        </w:rPr>
        <w:fldChar w:fldCharType="separate"/>
      </w:r>
      <w:r>
        <w:rPr>
          <w:rFonts w:hint="eastAsia"/>
          <w:highlight w:val="none"/>
          <w:lang w:val="en-US" w:eastAsia="zh-CN"/>
        </w:rPr>
        <w:t>行政法</w:t>
      </w:r>
      <w:r>
        <w:rPr>
          <w:rFonts w:hint="eastAsia"/>
          <w:highlight w:val="none"/>
          <w:lang w:val="en-US" w:eastAsia="zh-CN"/>
        </w:rPr>
        <w:fldChar w:fldCharType="end"/>
      </w:r>
      <w:r>
        <w:rPr>
          <w:rFonts w:hint="eastAsia"/>
          <w:highlight w:val="none"/>
          <w:lang w:val="en-US" w:eastAsia="zh-CN"/>
        </w:rPr>
        <w:t>规规定的其他条件；</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eastAsia="宋体"/>
          <w:highlight w:val="none"/>
          <w:lang w:val="en-US" w:eastAsia="zh-CN"/>
        </w:rPr>
      </w:pPr>
      <w:r>
        <w:rPr>
          <w:rFonts w:hint="eastAsia" w:ascii="宋体" w:hAnsi="宋体" w:eastAsia="宋体"/>
          <w:highlight w:val="none"/>
          <w:lang w:val="en-US" w:eastAsia="zh-CN"/>
        </w:rPr>
        <w:t>(二)</w:t>
      </w:r>
      <w:r>
        <w:rPr>
          <w:rFonts w:hint="eastAsia"/>
          <w:highlight w:val="none"/>
          <w:lang w:val="zh-CN"/>
        </w:rPr>
        <w:t>落实政府采购政策需满足的资格要求：</w:t>
      </w:r>
      <w:r>
        <w:rPr>
          <w:rFonts w:hint="eastAsia"/>
          <w:highlight w:val="none"/>
          <w:lang w:val="en-US" w:eastAsia="zh-CN"/>
        </w:rPr>
        <w:t>本项目不为专门面向中小企业采购的项目。</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olor w:val="auto"/>
          <w:highlight w:val="yellow"/>
          <w:lang w:val="zh-CN" w:eastAsia="zh-CN"/>
        </w:rPr>
      </w:pPr>
      <w:r>
        <w:rPr>
          <w:rFonts w:hint="eastAsia"/>
          <w:highlight w:val="none"/>
          <w:lang w:val="en-US" w:eastAsia="zh-CN"/>
        </w:rPr>
        <w:t>(三)</w:t>
      </w:r>
      <w:r>
        <w:rPr>
          <w:rFonts w:hint="eastAsia" w:ascii="宋体" w:hAnsi="宋体" w:eastAsia="宋体"/>
          <w:color w:val="auto"/>
          <w:highlight w:val="none"/>
          <w:lang w:val="zh-CN" w:eastAsia="zh-CN"/>
        </w:rPr>
        <w:t>本项目的特定资格要求：</w:t>
      </w:r>
      <w:r>
        <w:rPr>
          <w:rFonts w:hint="eastAsia" w:ascii="宋体" w:hAnsi="宋体" w:eastAsia="宋体"/>
          <w:color w:val="auto"/>
          <w:highlight w:val="none"/>
          <w:lang w:val="en-US" w:eastAsia="zh-CN"/>
        </w:rPr>
        <w:t>本项目不接受联合体投标</w:t>
      </w:r>
      <w:r>
        <w:rPr>
          <w:rFonts w:hint="eastAsia" w:ascii="宋体" w:hAnsi="宋体" w:eastAsia="宋体"/>
          <w:color w:val="auto"/>
          <w:highlight w:val="none"/>
          <w:lang w:val="zh-CN" w:eastAsia="zh-CN"/>
        </w:rPr>
        <w:t>。</w:t>
      </w:r>
    </w:p>
    <w:p>
      <w:pPr>
        <w:pStyle w:val="42"/>
        <w:keepNext w:val="0"/>
        <w:keepLines w:val="0"/>
        <w:pageBreakBefore w:val="0"/>
        <w:widowControl w:val="0"/>
        <w:numPr>
          <w:ilvl w:val="0"/>
          <w:numId w:val="8"/>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rPr>
      </w:pPr>
      <w:r>
        <w:rPr>
          <w:rFonts w:hint="eastAsia"/>
          <w:b/>
          <w:bCs/>
        </w:rPr>
        <w:t>禁止参加本次采购活动的供应商</w:t>
      </w:r>
    </w:p>
    <w:p>
      <w:pPr>
        <w:pStyle w:val="33"/>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lang w:val="en-US" w:eastAsia="zh-CN"/>
        </w:rPr>
      </w:pPr>
      <w:bookmarkStart w:id="13" w:name="PO_默认文件内容_4"/>
      <w:r>
        <w:rPr>
          <w:rFonts w:hint="eastAsia"/>
          <w:lang w:val="en-US" w:eastAsia="zh-CN"/>
        </w:rPr>
        <w:t>根据《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参加本项目的采购活动。</w:t>
      </w:r>
    </w:p>
    <w:bookmarkEnd w:id="13"/>
    <w:p>
      <w:pPr>
        <w:pStyle w:val="42"/>
        <w:keepNext w:val="0"/>
        <w:keepLines w:val="0"/>
        <w:pageBreakBefore w:val="0"/>
        <w:widowControl w:val="0"/>
        <w:numPr>
          <w:ilvl w:val="0"/>
          <w:numId w:val="8"/>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rPr>
      </w:pPr>
      <w:r>
        <w:rPr>
          <w:rFonts w:hint="eastAsia"/>
          <w:b/>
          <w:bCs/>
        </w:rPr>
        <w:t>招标文件获取</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b/>
          <w:bCs/>
          <w:highlight w:val="none"/>
          <w:lang w:val="zh-CN" w:eastAsia="zh-CN"/>
        </w:rPr>
      </w:pPr>
      <w:r>
        <w:rPr>
          <w:rFonts w:hint="eastAsia" w:ascii="宋体" w:hAnsi="宋体" w:eastAsia="宋体" w:cs="宋体"/>
          <w:b w:val="0"/>
          <w:bCs w:val="0"/>
          <w:highlight w:val="none"/>
          <w:lang w:val="en-US" w:eastAsia="zh-CN"/>
        </w:rPr>
        <w:t>(一)</w:t>
      </w:r>
      <w:r>
        <w:rPr>
          <w:rFonts w:hint="eastAsia" w:ascii="宋体" w:hAnsi="宋体" w:eastAsia="宋体" w:cs="宋体"/>
          <w:b/>
          <w:bCs/>
          <w:highlight w:val="none"/>
          <w:lang w:val="zh-CN" w:eastAsia="zh-CN"/>
        </w:rPr>
        <w:t>招标文件获取时间：</w:t>
      </w:r>
      <w:r>
        <w:rPr>
          <w:rFonts w:hint="eastAsia" w:ascii="宋体" w:hAnsi="宋体" w:eastAsia="宋体" w:cs="宋体"/>
          <w:highlight w:val="none"/>
          <w:u w:val="none"/>
          <w:lang w:eastAsia="zh-CN"/>
        </w:rPr>
        <w:t>202</w:t>
      </w:r>
      <w:r>
        <w:rPr>
          <w:rFonts w:hint="eastAsia" w:ascii="宋体" w:hAnsi="宋体" w:eastAsia="宋体" w:cs="宋体"/>
          <w:highlight w:val="none"/>
          <w:u w:val="none"/>
          <w:lang w:val="en-US" w:eastAsia="zh-CN"/>
        </w:rPr>
        <w:t>1</w:t>
      </w:r>
      <w:r>
        <w:rPr>
          <w:rFonts w:hint="eastAsia" w:ascii="宋体" w:hAnsi="宋体" w:eastAsia="宋体" w:cs="宋体"/>
          <w:highlight w:val="none"/>
          <w:u w:val="none"/>
          <w:lang w:eastAsia="zh-CN"/>
        </w:rPr>
        <w:t>年</w:t>
      </w:r>
      <w:r>
        <w:rPr>
          <w:rFonts w:hint="eastAsia" w:cs="宋体"/>
          <w:highlight w:val="none"/>
          <w:u w:val="none"/>
          <w:lang w:val="en-US" w:eastAsia="zh-CN"/>
        </w:rPr>
        <w:t>8</w:t>
      </w:r>
      <w:r>
        <w:rPr>
          <w:rFonts w:hint="eastAsia" w:ascii="宋体" w:hAnsi="宋体" w:eastAsia="宋体" w:cs="宋体"/>
          <w:highlight w:val="none"/>
          <w:u w:val="none"/>
          <w:lang w:eastAsia="zh-CN"/>
        </w:rPr>
        <w:t>月</w:t>
      </w:r>
      <w:r>
        <w:rPr>
          <w:rFonts w:hint="eastAsia" w:cs="宋体"/>
          <w:highlight w:val="none"/>
          <w:u w:val="none"/>
          <w:lang w:val="en-US" w:eastAsia="zh-CN"/>
        </w:rPr>
        <w:t>24</w:t>
      </w:r>
      <w:r>
        <w:rPr>
          <w:rFonts w:hint="eastAsia" w:ascii="宋体" w:hAnsi="宋体" w:eastAsia="宋体" w:cs="宋体"/>
          <w:highlight w:val="none"/>
          <w:u w:val="none"/>
          <w:lang w:eastAsia="zh-CN"/>
        </w:rPr>
        <w:t>日至202</w:t>
      </w:r>
      <w:r>
        <w:rPr>
          <w:rFonts w:hint="eastAsia" w:ascii="宋体" w:hAnsi="宋体" w:eastAsia="宋体" w:cs="宋体"/>
          <w:highlight w:val="none"/>
          <w:u w:val="none"/>
          <w:lang w:val="en-US" w:eastAsia="zh-CN"/>
        </w:rPr>
        <w:t>1</w:t>
      </w:r>
      <w:r>
        <w:rPr>
          <w:rFonts w:hint="eastAsia" w:ascii="宋体" w:hAnsi="宋体" w:eastAsia="宋体" w:cs="宋体"/>
          <w:highlight w:val="none"/>
          <w:u w:val="none"/>
          <w:lang w:eastAsia="zh-CN"/>
        </w:rPr>
        <w:t>年</w:t>
      </w:r>
      <w:r>
        <w:rPr>
          <w:rFonts w:hint="eastAsia" w:cs="宋体"/>
          <w:highlight w:val="none"/>
          <w:u w:val="none"/>
          <w:lang w:val="en-US" w:eastAsia="zh-CN"/>
        </w:rPr>
        <w:t>8</w:t>
      </w:r>
      <w:r>
        <w:rPr>
          <w:rFonts w:hint="eastAsia" w:ascii="宋体" w:hAnsi="宋体" w:eastAsia="宋体" w:cs="宋体"/>
          <w:highlight w:val="none"/>
          <w:u w:val="none"/>
          <w:lang w:eastAsia="zh-CN"/>
        </w:rPr>
        <w:t>月</w:t>
      </w:r>
      <w:r>
        <w:rPr>
          <w:rFonts w:hint="eastAsia" w:cs="宋体"/>
          <w:highlight w:val="none"/>
          <w:u w:val="none"/>
          <w:lang w:val="en-US" w:eastAsia="zh-CN"/>
        </w:rPr>
        <w:t>30</w:t>
      </w:r>
      <w:r>
        <w:rPr>
          <w:rFonts w:hint="eastAsia" w:ascii="宋体" w:hAnsi="宋体" w:eastAsia="宋体" w:cs="宋体"/>
          <w:highlight w:val="none"/>
          <w:u w:val="none"/>
          <w:lang w:eastAsia="zh-CN"/>
        </w:rPr>
        <w:t>日(北京时间，法定节假日除外)</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b/>
          <w:bCs/>
          <w:highlight w:val="none"/>
          <w:lang w:val="zh-CN" w:eastAsia="zh-CN"/>
        </w:rPr>
      </w:pPr>
      <w:r>
        <w:rPr>
          <w:rFonts w:hint="eastAsia" w:ascii="宋体" w:hAnsi="宋体" w:eastAsia="宋体" w:cs="宋体"/>
          <w:b w:val="0"/>
          <w:bCs w:val="0"/>
          <w:highlight w:val="none"/>
          <w:lang w:val="en-US" w:eastAsia="zh-CN"/>
        </w:rPr>
        <w:t>(二)</w:t>
      </w:r>
      <w:r>
        <w:rPr>
          <w:rFonts w:hint="eastAsia" w:ascii="宋体" w:hAnsi="宋体" w:eastAsia="宋体" w:cs="宋体"/>
          <w:b/>
          <w:bCs/>
          <w:highlight w:val="none"/>
          <w:lang w:val="zh-CN" w:eastAsia="zh-CN"/>
        </w:rPr>
        <w:t>招标文件获取方式：投标人从“政府采购云平台”获取采购文件</w:t>
      </w:r>
      <w:r>
        <w:rPr>
          <w:rFonts w:hint="eastAsia" w:cs="宋体"/>
          <w:b/>
          <w:bCs/>
          <w:highlight w:val="none"/>
          <w:lang w:val="zh-CN" w:eastAsia="zh-CN"/>
        </w:rPr>
        <w:t>(</w:t>
      </w:r>
      <w:r>
        <w:rPr>
          <w:rFonts w:hint="eastAsia" w:ascii="宋体" w:hAnsi="宋体" w:eastAsia="宋体" w:cs="宋体"/>
          <w:b/>
          <w:bCs/>
          <w:highlight w:val="none"/>
          <w:lang w:val="zh-CN" w:eastAsia="zh-CN"/>
        </w:rPr>
        <w:t>网址：</w:t>
      </w:r>
      <w:r>
        <w:rPr>
          <w:rFonts w:hint="eastAsia" w:ascii="宋体" w:hAnsi="宋体" w:eastAsia="宋体" w:cs="宋体"/>
          <w:b/>
          <w:bCs/>
          <w:highlight w:val="none"/>
          <w:lang w:val="zh-CN" w:eastAsia="zh-CN"/>
        </w:rPr>
        <w:fldChar w:fldCharType="begin"/>
      </w:r>
      <w:r>
        <w:rPr>
          <w:rFonts w:hint="eastAsia" w:ascii="宋体" w:hAnsi="宋体" w:eastAsia="宋体" w:cs="宋体"/>
          <w:b/>
          <w:bCs/>
          <w:highlight w:val="none"/>
          <w:lang w:val="zh-CN" w:eastAsia="zh-CN"/>
        </w:rPr>
        <w:instrText xml:space="preserve"> HYPERLINK "https://www.zcygov.cn）项目采购—获取采购文件—申请获取采购文件。_x0005_" </w:instrText>
      </w:r>
      <w:r>
        <w:rPr>
          <w:rFonts w:hint="eastAsia" w:ascii="宋体" w:hAnsi="宋体" w:eastAsia="宋体" w:cs="宋体"/>
          <w:b/>
          <w:bCs/>
          <w:highlight w:val="none"/>
          <w:lang w:val="zh-CN" w:eastAsia="zh-CN"/>
        </w:rPr>
        <w:fldChar w:fldCharType="separate"/>
      </w:r>
      <w:r>
        <w:rPr>
          <w:rFonts w:hint="eastAsia" w:ascii="宋体" w:hAnsi="宋体" w:eastAsia="宋体" w:cs="宋体"/>
          <w:b/>
          <w:bCs/>
          <w:highlight w:val="none"/>
          <w:lang w:val="zh-CN" w:eastAsia="zh-CN"/>
        </w:rPr>
        <w:t>https://www.zcygov.cn</w:t>
      </w:r>
      <w:r>
        <w:rPr>
          <w:rFonts w:hint="eastAsia" w:cs="宋体"/>
          <w:b/>
          <w:bCs/>
          <w:highlight w:val="none"/>
          <w:lang w:val="zh-CN" w:eastAsia="zh-CN"/>
        </w:rPr>
        <w:t>)</w:t>
      </w:r>
      <w:r>
        <w:rPr>
          <w:rFonts w:hint="eastAsia" w:ascii="宋体" w:hAnsi="宋体" w:eastAsia="宋体" w:cs="宋体"/>
          <w:b/>
          <w:bCs/>
          <w:highlight w:val="none"/>
          <w:lang w:val="zh-CN" w:eastAsia="zh-CN"/>
        </w:rPr>
        <w:t>。登录</w:t>
      </w:r>
      <w:r>
        <w:rPr>
          <w:rFonts w:hint="eastAsia" w:cs="宋体"/>
          <w:b/>
          <w:bCs/>
          <w:highlight w:val="none"/>
          <w:lang w:val="zh-CN" w:eastAsia="zh-CN"/>
        </w:rPr>
        <w:t>“</w:t>
      </w:r>
      <w:r>
        <w:rPr>
          <w:rFonts w:hint="eastAsia" w:ascii="宋体" w:hAnsi="宋体" w:eastAsia="宋体" w:cs="宋体"/>
          <w:b/>
          <w:bCs/>
          <w:highlight w:val="none"/>
          <w:lang w:val="zh-CN" w:eastAsia="zh-CN"/>
        </w:rPr>
        <w:t>政府采购云平台</w:t>
      </w:r>
      <w:r>
        <w:rPr>
          <w:rFonts w:hint="eastAsia" w:cs="宋体"/>
          <w:b/>
          <w:bCs/>
          <w:highlight w:val="none"/>
          <w:lang w:val="zh-CN" w:eastAsia="zh-CN"/>
        </w:rPr>
        <w:t>”</w:t>
      </w:r>
      <w:r>
        <w:rPr>
          <w:rFonts w:hint="eastAsia" w:ascii="宋体" w:hAnsi="宋体" w:eastAsia="宋体" w:cs="宋体"/>
          <w:b/>
          <w:bCs/>
          <w:highlight w:val="none"/>
          <w:lang w:val="zh-CN" w:eastAsia="zh-CN"/>
        </w:rPr>
        <w:t>—项目采购—获取采购文件—申请获取采购文件</w:t>
      </w:r>
      <w:r>
        <w:rPr>
          <w:rFonts w:hint="eastAsia" w:ascii="宋体" w:hAnsi="宋体" w:eastAsia="宋体" w:cs="宋体"/>
          <w:b/>
          <w:bCs/>
          <w:highlight w:val="none"/>
          <w:lang w:val="zh-CN" w:eastAsia="zh-CN"/>
        </w:rPr>
        <w:fldChar w:fldCharType="end"/>
      </w:r>
      <w:r>
        <w:rPr>
          <w:rFonts w:hint="eastAsia" w:ascii="宋体" w:hAnsi="宋体" w:eastAsia="宋体" w:cs="宋体"/>
          <w:b/>
          <w:bCs/>
          <w:highlight w:val="none"/>
          <w:lang w:val="zh-CN" w:eastAsia="zh-CN"/>
        </w:rPr>
        <w:t>。</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2" w:firstLineChars="200"/>
        <w:textAlignment w:val="auto"/>
        <w:rPr>
          <w:rFonts w:hint="eastAsia" w:ascii="宋体" w:hAnsi="宋体" w:eastAsia="宋体" w:cs="宋体"/>
          <w:b/>
          <w:bCs/>
          <w:highlight w:val="none"/>
          <w:lang w:val="zh-CN" w:eastAsia="zh-CN"/>
        </w:rPr>
      </w:pPr>
      <w:r>
        <w:rPr>
          <w:rFonts w:hint="eastAsia" w:ascii="宋体" w:hAnsi="宋体" w:eastAsia="宋体" w:cs="宋体"/>
          <w:b/>
          <w:bCs/>
          <w:highlight w:val="none"/>
          <w:lang w:val="zh-CN" w:eastAsia="zh-CN"/>
        </w:rPr>
        <w:t>提示：</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2" w:firstLineChars="200"/>
        <w:textAlignment w:val="auto"/>
        <w:rPr>
          <w:rFonts w:hint="eastAsia" w:ascii="宋体" w:hAnsi="宋体" w:eastAsia="宋体" w:cs="宋体"/>
          <w:b/>
          <w:bCs/>
          <w:highlight w:val="none"/>
          <w:lang w:val="zh-CN" w:eastAsia="zh-CN"/>
        </w:rPr>
      </w:pPr>
      <w:r>
        <w:rPr>
          <w:rFonts w:hint="eastAsia" w:cs="宋体"/>
          <w:b/>
          <w:bCs/>
          <w:highlight w:val="none"/>
          <w:lang w:val="zh-CN" w:eastAsia="zh-CN"/>
        </w:rPr>
        <w:t>(</w:t>
      </w:r>
      <w:r>
        <w:rPr>
          <w:rFonts w:hint="eastAsia" w:ascii="宋体" w:hAnsi="宋体" w:eastAsia="宋体" w:cs="宋体"/>
          <w:b/>
          <w:bCs/>
          <w:highlight w:val="none"/>
          <w:lang w:val="zh-CN" w:eastAsia="zh-CN"/>
        </w:rPr>
        <w:t>1</w:t>
      </w:r>
      <w:r>
        <w:rPr>
          <w:rFonts w:hint="eastAsia" w:cs="宋体"/>
          <w:b/>
          <w:bCs/>
          <w:highlight w:val="none"/>
          <w:lang w:val="zh-CN" w:eastAsia="zh-CN"/>
        </w:rPr>
        <w:t>)</w:t>
      </w:r>
      <w:r>
        <w:rPr>
          <w:rFonts w:hint="eastAsia" w:ascii="宋体" w:hAnsi="宋体" w:eastAsia="宋体" w:cs="宋体"/>
          <w:b/>
          <w:bCs/>
          <w:highlight w:val="none"/>
          <w:lang w:val="zh-CN" w:eastAsia="zh-CN"/>
        </w:rPr>
        <w:t>本项目招标文件免费获取</w:t>
      </w:r>
      <w:r>
        <w:rPr>
          <w:rFonts w:hint="eastAsia" w:cs="宋体"/>
          <w:b/>
          <w:bCs/>
          <w:highlight w:val="none"/>
          <w:lang w:val="zh-CN" w:eastAsia="zh-CN"/>
        </w:rPr>
        <w:t>，</w:t>
      </w:r>
      <w:r>
        <w:rPr>
          <w:rFonts w:hint="eastAsia" w:ascii="宋体" w:hAnsi="宋体" w:eastAsia="宋体" w:cs="宋体"/>
          <w:b/>
          <w:bCs/>
          <w:highlight w:val="none"/>
        </w:rPr>
        <w:t>投标资格</w:t>
      </w:r>
      <w:r>
        <w:rPr>
          <w:rFonts w:hint="eastAsia" w:ascii="宋体" w:hAnsi="宋体" w:eastAsia="宋体" w:cs="宋体"/>
          <w:b/>
          <w:bCs/>
          <w:highlight w:val="none"/>
          <w:lang w:eastAsia="zh-CN"/>
        </w:rPr>
        <w:t>不得</w:t>
      </w:r>
      <w:r>
        <w:rPr>
          <w:rFonts w:hint="eastAsia" w:ascii="宋体" w:hAnsi="宋体" w:eastAsia="宋体" w:cs="宋体"/>
          <w:b/>
          <w:bCs/>
          <w:highlight w:val="none"/>
        </w:rPr>
        <w:t>转让</w:t>
      </w:r>
      <w:r>
        <w:rPr>
          <w:rFonts w:hint="eastAsia" w:ascii="宋体" w:hAnsi="宋体" w:eastAsia="宋体" w:cs="宋体"/>
          <w:b/>
          <w:bCs/>
          <w:highlight w:val="none"/>
          <w:lang w:val="zh-CN" w:eastAsia="zh-CN"/>
        </w:rPr>
        <w:t>。</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2" w:firstLineChars="200"/>
        <w:textAlignment w:val="auto"/>
        <w:rPr>
          <w:rFonts w:hint="eastAsia" w:ascii="宋体" w:hAnsi="宋体" w:eastAsia="宋体" w:cs="宋体"/>
          <w:b/>
          <w:bCs/>
          <w:highlight w:val="none"/>
          <w:lang w:val="zh-CN" w:eastAsia="zh-CN"/>
        </w:rPr>
      </w:pPr>
      <w:r>
        <w:rPr>
          <w:rFonts w:hint="eastAsia" w:cs="宋体"/>
          <w:b/>
          <w:bCs/>
          <w:highlight w:val="none"/>
          <w:lang w:val="zh-CN" w:eastAsia="zh-CN"/>
        </w:rPr>
        <w:t>(</w:t>
      </w:r>
      <w:r>
        <w:rPr>
          <w:rFonts w:hint="eastAsia" w:ascii="宋体" w:hAnsi="宋体" w:eastAsia="宋体" w:cs="宋体"/>
          <w:b/>
          <w:bCs/>
          <w:highlight w:val="none"/>
          <w:lang w:val="zh-CN" w:eastAsia="zh-CN"/>
        </w:rPr>
        <w:t>2</w:t>
      </w:r>
      <w:r>
        <w:rPr>
          <w:rFonts w:hint="eastAsia" w:cs="宋体"/>
          <w:b/>
          <w:bCs/>
          <w:highlight w:val="none"/>
          <w:lang w:val="zh-CN" w:eastAsia="zh-CN"/>
        </w:rPr>
        <w:t>)</w:t>
      </w:r>
      <w:r>
        <w:rPr>
          <w:rFonts w:hint="eastAsia" w:ascii="宋体" w:hAnsi="宋体" w:eastAsia="宋体" w:cs="宋体"/>
          <w:b/>
          <w:bCs/>
          <w:highlight w:val="none"/>
          <w:lang w:val="zh-CN" w:eastAsia="zh-CN"/>
        </w:rPr>
        <w:t>投标人只有在“政府采购云平台”完成获取招标文件申请并下载招标文件后才视作依法参与本项目。如未在“政府采购云平台”内完成相关流程，引起的投标无效责任自负。</w:t>
      </w:r>
    </w:p>
    <w:p>
      <w:pPr>
        <w:pStyle w:val="42"/>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rPr>
      </w:pPr>
      <w:r>
        <w:rPr>
          <w:rFonts w:hint="eastAsia" w:cs="宋体"/>
          <w:b/>
          <w:bCs/>
          <w:highlight w:val="none"/>
          <w:lang w:val="zh-CN" w:eastAsia="zh-CN"/>
        </w:rPr>
        <w:t>(</w:t>
      </w:r>
      <w:r>
        <w:rPr>
          <w:rFonts w:hint="eastAsia" w:ascii="宋体" w:hAnsi="宋体" w:eastAsia="宋体" w:cs="宋体"/>
          <w:b/>
          <w:bCs/>
          <w:highlight w:val="none"/>
          <w:lang w:val="zh-CN" w:eastAsia="zh-CN"/>
        </w:rPr>
        <w:t>3</w:t>
      </w:r>
      <w:r>
        <w:rPr>
          <w:rFonts w:hint="eastAsia" w:cs="宋体"/>
          <w:b/>
          <w:bCs/>
          <w:highlight w:val="none"/>
          <w:lang w:val="zh-CN" w:eastAsia="zh-CN"/>
        </w:rPr>
        <w:t>)</w:t>
      </w:r>
      <w:r>
        <w:rPr>
          <w:rFonts w:hint="eastAsia" w:ascii="宋体" w:hAnsi="宋体" w:eastAsia="宋体" w:cs="宋体"/>
          <w:b/>
          <w:bCs/>
          <w:highlight w:val="none"/>
          <w:lang w:val="zh-CN" w:eastAsia="zh-CN"/>
        </w:rPr>
        <w:t>本项目为电子招标投标项目，投标人参与本项目全过程中凡涉及系统操作请详见《供应商政府采购项目电子交易操作指南》</w:t>
      </w:r>
      <w:r>
        <w:rPr>
          <w:rFonts w:hint="eastAsia" w:cs="宋体"/>
          <w:b/>
          <w:bCs/>
          <w:highlight w:val="none"/>
          <w:lang w:val="zh-CN" w:eastAsia="zh-CN"/>
        </w:rPr>
        <w:t>(</w:t>
      </w:r>
      <w:r>
        <w:rPr>
          <w:rFonts w:hint="eastAsia" w:ascii="宋体" w:hAnsi="宋体" w:eastAsia="宋体" w:cs="宋体"/>
          <w:b/>
          <w:bCs/>
          <w:highlight w:val="none"/>
          <w:lang w:val="zh-CN" w:eastAsia="zh-CN"/>
        </w:rPr>
        <w:t>操作指南以</w:t>
      </w:r>
      <w:r>
        <w:rPr>
          <w:rFonts w:hint="eastAsia" w:cs="宋体"/>
          <w:b/>
          <w:bCs/>
          <w:highlight w:val="none"/>
          <w:lang w:val="zh-CN" w:eastAsia="zh-CN"/>
        </w:rPr>
        <w:t>“</w:t>
      </w:r>
      <w:r>
        <w:rPr>
          <w:rFonts w:hint="eastAsia" w:ascii="宋体" w:hAnsi="宋体" w:eastAsia="宋体" w:cs="宋体"/>
          <w:b/>
          <w:bCs/>
          <w:highlight w:val="none"/>
          <w:lang w:val="zh-CN" w:eastAsia="zh-CN"/>
        </w:rPr>
        <w:t>政府采购云平台</w:t>
      </w:r>
      <w:r>
        <w:rPr>
          <w:rFonts w:hint="eastAsia" w:cs="宋体"/>
          <w:b/>
          <w:bCs/>
          <w:highlight w:val="none"/>
          <w:lang w:val="zh-CN" w:eastAsia="zh-CN"/>
        </w:rPr>
        <w:t>”</w:t>
      </w:r>
      <w:r>
        <w:rPr>
          <w:rFonts w:hint="eastAsia" w:ascii="宋体" w:hAnsi="宋体" w:eastAsia="宋体" w:cs="宋体"/>
          <w:b/>
          <w:bCs/>
          <w:highlight w:val="none"/>
          <w:lang w:val="zh-CN" w:eastAsia="zh-CN"/>
        </w:rPr>
        <w:t>网站发布为准，获取方式详见附件</w:t>
      </w:r>
      <w:r>
        <w:rPr>
          <w:rFonts w:hint="eastAsia" w:ascii="宋体" w:hAnsi="宋体" w:eastAsia="宋体" w:cs="宋体"/>
          <w:b/>
          <w:bCs/>
          <w:highlight w:val="none"/>
          <w:lang w:val="en-US" w:eastAsia="zh-CN"/>
        </w:rPr>
        <w:t>一：</w:t>
      </w:r>
      <w:r>
        <w:rPr>
          <w:rFonts w:hint="eastAsia" w:ascii="宋体" w:hAnsi="宋体" w:eastAsia="宋体" w:cs="宋体"/>
          <w:b/>
          <w:bCs/>
          <w:highlight w:val="none"/>
          <w:lang w:val="zh-CN" w:eastAsia="zh-CN"/>
        </w:rPr>
        <w:t>政府采购云平台使用介绍</w:t>
      </w:r>
      <w:r>
        <w:rPr>
          <w:rFonts w:hint="eastAsia" w:cs="宋体"/>
          <w:b/>
          <w:bCs/>
          <w:highlight w:val="none"/>
          <w:lang w:val="zh-CN" w:eastAsia="zh-CN"/>
        </w:rPr>
        <w:t>)</w:t>
      </w:r>
      <w:r>
        <w:rPr>
          <w:rFonts w:hint="eastAsia"/>
          <w:b/>
          <w:bCs/>
        </w:rPr>
        <w:t>。</w:t>
      </w:r>
    </w:p>
    <w:p>
      <w:pPr>
        <w:pStyle w:val="42"/>
        <w:keepNext w:val="0"/>
        <w:keepLines w:val="0"/>
        <w:pageBreakBefore w:val="0"/>
        <w:widowControl w:val="0"/>
        <w:numPr>
          <w:ilvl w:val="0"/>
          <w:numId w:val="8"/>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cs="宋体"/>
          <w:b/>
          <w:bCs/>
          <w:highlight w:val="none"/>
        </w:rPr>
      </w:pPr>
      <w:r>
        <w:rPr>
          <w:rFonts w:hint="eastAsia" w:cs="宋体"/>
          <w:b/>
          <w:bCs/>
          <w:highlight w:val="none"/>
          <w:lang w:val="en-US" w:eastAsia="zh-CN"/>
        </w:rPr>
        <w:t>提交</w:t>
      </w:r>
      <w:r>
        <w:rPr>
          <w:rFonts w:hint="eastAsia" w:ascii="宋体" w:hAnsi="宋体" w:eastAsia="宋体" w:cs="宋体"/>
          <w:b/>
          <w:bCs/>
          <w:highlight w:val="none"/>
        </w:rPr>
        <w:t>投标</w:t>
      </w:r>
      <w:r>
        <w:rPr>
          <w:rFonts w:hint="eastAsia" w:cs="宋体"/>
          <w:b/>
          <w:bCs/>
          <w:highlight w:val="none"/>
          <w:lang w:val="en-US" w:eastAsia="zh-CN"/>
        </w:rPr>
        <w:t>文件</w:t>
      </w:r>
      <w:r>
        <w:rPr>
          <w:rFonts w:hint="eastAsia" w:ascii="宋体" w:hAnsi="宋体" w:eastAsia="宋体" w:cs="宋体"/>
          <w:b/>
          <w:bCs/>
          <w:highlight w:val="none"/>
        </w:rPr>
        <w:t>截止时间及开标时间：</w:t>
      </w:r>
      <w:r>
        <w:rPr>
          <w:rFonts w:hint="eastAsia" w:ascii="宋体" w:hAnsi="宋体" w:eastAsia="宋体" w:cs="宋体"/>
          <w:b w:val="0"/>
          <w:bCs w:val="0"/>
          <w:highlight w:val="none"/>
        </w:rPr>
        <w:t>20</w:t>
      </w:r>
      <w:r>
        <w:rPr>
          <w:rFonts w:hint="eastAsia" w:ascii="宋体" w:hAnsi="宋体" w:eastAsia="宋体" w:cs="宋体"/>
          <w:b w:val="0"/>
          <w:bCs w:val="0"/>
          <w:highlight w:val="none"/>
          <w:lang w:val="en-US" w:eastAsia="zh-CN"/>
        </w:rPr>
        <w:t>21</w:t>
      </w:r>
      <w:r>
        <w:rPr>
          <w:rFonts w:hint="eastAsia" w:ascii="宋体" w:hAnsi="宋体" w:eastAsia="宋体" w:cs="宋体"/>
          <w:b w:val="0"/>
          <w:bCs w:val="0"/>
          <w:highlight w:val="none"/>
        </w:rPr>
        <w:t>年</w:t>
      </w:r>
      <w:r>
        <w:rPr>
          <w:rFonts w:hint="eastAsia" w:cs="宋体"/>
          <w:b w:val="0"/>
          <w:bCs w:val="0"/>
          <w:highlight w:val="none"/>
          <w:lang w:val="en-US" w:eastAsia="zh-CN"/>
        </w:rPr>
        <w:t>9</w:t>
      </w:r>
      <w:r>
        <w:rPr>
          <w:rFonts w:hint="eastAsia" w:ascii="宋体" w:hAnsi="宋体" w:eastAsia="宋体" w:cs="宋体"/>
          <w:b w:val="0"/>
          <w:bCs w:val="0"/>
          <w:highlight w:val="none"/>
        </w:rPr>
        <w:t>月</w:t>
      </w:r>
      <w:r>
        <w:rPr>
          <w:rFonts w:hint="eastAsia" w:cs="宋体"/>
          <w:b w:val="0"/>
          <w:bCs w:val="0"/>
          <w:highlight w:val="none"/>
          <w:lang w:val="en-US" w:eastAsia="zh-CN"/>
        </w:rPr>
        <w:t>13</w:t>
      </w:r>
      <w:r>
        <w:rPr>
          <w:rFonts w:hint="eastAsia" w:ascii="宋体" w:hAnsi="宋体" w:eastAsia="宋体" w:cs="宋体"/>
          <w:b w:val="0"/>
          <w:bCs w:val="0"/>
          <w:highlight w:val="none"/>
        </w:rPr>
        <w:t>日10时</w:t>
      </w:r>
      <w:r>
        <w:rPr>
          <w:rFonts w:hint="eastAsia" w:cs="宋体"/>
          <w:b w:val="0"/>
          <w:bCs w:val="0"/>
          <w:highlight w:val="none"/>
          <w:lang w:val="en-US" w:eastAsia="zh-CN"/>
        </w:rPr>
        <w:t>3</w:t>
      </w:r>
      <w:r>
        <w:rPr>
          <w:rFonts w:hint="eastAsia" w:ascii="宋体" w:hAnsi="宋体" w:eastAsia="宋体" w:cs="宋体"/>
          <w:b w:val="0"/>
          <w:bCs w:val="0"/>
          <w:highlight w:val="none"/>
        </w:rPr>
        <w:t>0分。</w:t>
      </w:r>
    </w:p>
    <w:p>
      <w:pPr>
        <w:pStyle w:val="42"/>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highlight w:val="none"/>
        </w:rPr>
      </w:pPr>
      <w:r>
        <w:rPr>
          <w:rFonts w:hint="eastAsia" w:ascii="宋体" w:hAnsi="宋体" w:eastAsia="宋体" w:cs="宋体"/>
          <w:b/>
          <w:bCs/>
          <w:highlight w:val="none"/>
        </w:rPr>
        <w:t>投标截止时间前，投标人应将加密的电子投标文件递交至“政府采购云平台”对应项目</w:t>
      </w:r>
      <w:r>
        <w:rPr>
          <w:rFonts w:hint="eastAsia" w:cs="宋体"/>
          <w:b/>
          <w:bCs/>
          <w:highlight w:val="none"/>
          <w:lang w:eastAsia="zh-CN"/>
        </w:rPr>
        <w:t>(</w:t>
      </w:r>
      <w:r>
        <w:rPr>
          <w:rFonts w:hint="eastAsia" w:ascii="宋体" w:hAnsi="宋体" w:eastAsia="宋体" w:cs="宋体"/>
          <w:b/>
          <w:bCs/>
          <w:highlight w:val="none"/>
        </w:rPr>
        <w:t>包件</w:t>
      </w:r>
      <w:r>
        <w:rPr>
          <w:rFonts w:hint="eastAsia" w:cs="宋体"/>
          <w:b/>
          <w:bCs/>
          <w:highlight w:val="none"/>
          <w:lang w:eastAsia="zh-CN"/>
        </w:rPr>
        <w:t>)</w:t>
      </w:r>
      <w:r>
        <w:rPr>
          <w:rFonts w:hint="eastAsia"/>
          <w:b/>
          <w:bCs/>
          <w:highlight w:val="none"/>
        </w:rPr>
        <w:t>。</w:t>
      </w:r>
    </w:p>
    <w:p>
      <w:pPr>
        <w:pStyle w:val="42"/>
        <w:keepNext w:val="0"/>
        <w:keepLines w:val="0"/>
        <w:pageBreakBefore w:val="0"/>
        <w:widowControl w:val="0"/>
        <w:numPr>
          <w:ilvl w:val="0"/>
          <w:numId w:val="8"/>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开标地点</w:t>
      </w:r>
    </w:p>
    <w:p>
      <w:pPr>
        <w:keepNext w:val="0"/>
        <w:keepLines w:val="0"/>
        <w:pageBreakBefore w:val="0"/>
        <w:widowControl w:val="0"/>
        <w:kinsoku/>
        <w:overflowPunct/>
        <w:autoSpaceDE/>
        <w:autoSpaceDN/>
        <w:bidi w:val="0"/>
        <w:adjustRightInd w:val="0"/>
        <w:snapToGrid w:val="0"/>
        <w:spacing w:after="50" w:line="420" w:lineRule="exact"/>
        <w:ind w:leftChars="0" w:firstLine="480" w:firstLineChars="200"/>
        <w:textAlignment w:val="auto"/>
        <w:rPr>
          <w:rFonts w:hint="eastAsia" w:ascii="宋体" w:hAnsi="宋体" w:eastAsia="宋体" w:cs="宋体"/>
          <w:snapToGrid w:val="0"/>
          <w:kern w:val="2"/>
          <w:sz w:val="24"/>
          <w:szCs w:val="24"/>
          <w:highlight w:val="none"/>
          <w:lang w:val="en-US" w:eastAsia="zh-CN" w:bidi="ar-SA"/>
        </w:rPr>
      </w:pPr>
      <w:r>
        <w:rPr>
          <w:rFonts w:hint="eastAsia" w:ascii="宋体" w:hAnsi="宋体" w:eastAsia="宋体" w:cs="宋体"/>
          <w:snapToGrid w:val="0"/>
          <w:kern w:val="2"/>
          <w:sz w:val="24"/>
          <w:szCs w:val="24"/>
          <w:highlight w:val="none"/>
          <w:lang w:val="en-US" w:eastAsia="zh-CN" w:bidi="ar-SA"/>
        </w:rPr>
        <w:t>(一)本项目为不见面开标项目。</w:t>
      </w:r>
    </w:p>
    <w:p>
      <w:pPr>
        <w:keepNext w:val="0"/>
        <w:keepLines w:val="0"/>
        <w:pageBreakBefore w:val="0"/>
        <w:widowControl w:val="0"/>
        <w:kinsoku/>
        <w:overflowPunct/>
        <w:autoSpaceDE/>
        <w:autoSpaceDN/>
        <w:bidi w:val="0"/>
        <w:adjustRightInd w:val="0"/>
        <w:snapToGrid w:val="0"/>
        <w:spacing w:after="50" w:line="420" w:lineRule="exact"/>
        <w:ind w:leftChars="0" w:firstLine="480" w:firstLineChars="200"/>
        <w:textAlignment w:val="auto"/>
        <w:rPr>
          <w:rFonts w:hint="eastAsia" w:ascii="宋体" w:hAnsi="宋体" w:eastAsia="宋体" w:cs="宋体"/>
          <w:snapToGrid w:val="0"/>
          <w:kern w:val="2"/>
          <w:sz w:val="24"/>
          <w:szCs w:val="24"/>
          <w:highlight w:val="none"/>
          <w:lang w:val="en-US" w:eastAsia="zh-CN" w:bidi="ar-SA"/>
        </w:rPr>
      </w:pPr>
      <w:r>
        <w:rPr>
          <w:rFonts w:hint="eastAsia" w:ascii="宋体" w:hAnsi="宋体" w:eastAsia="宋体" w:cs="宋体"/>
          <w:snapToGrid w:val="0"/>
          <w:kern w:val="2"/>
          <w:sz w:val="24"/>
          <w:szCs w:val="24"/>
          <w:highlight w:val="none"/>
          <w:lang w:val="en-US" w:eastAsia="zh-CN" w:bidi="ar-SA"/>
        </w:rPr>
        <w:t>(二)开标地点：政府采购云平台(https://www.zcygov.cn)</w:t>
      </w:r>
    </w:p>
    <w:p>
      <w:pPr>
        <w:pStyle w:val="42"/>
        <w:keepNext w:val="0"/>
        <w:keepLines w:val="0"/>
        <w:pageBreakBefore w:val="0"/>
        <w:widowControl w:val="0"/>
        <w:numPr>
          <w:ilvl w:val="0"/>
          <w:numId w:val="0"/>
        </w:numPr>
        <w:kinsoku/>
        <w:wordWrap w:val="0"/>
        <w:overflowPunct/>
        <w:topLinePunct/>
        <w:autoSpaceDE/>
        <w:autoSpaceDN/>
        <w:bidi w:val="0"/>
        <w:adjustRightInd w:val="0"/>
        <w:snapToGrid w:val="0"/>
        <w:spacing w:line="420" w:lineRule="exact"/>
        <w:ind w:leftChars="0" w:firstLine="480" w:firstLineChars="200"/>
        <w:textAlignment w:val="auto"/>
        <w:rPr>
          <w:rFonts w:hint="eastAsia"/>
          <w:b/>
          <w:bCs/>
        </w:rPr>
      </w:pPr>
      <w:r>
        <w:rPr>
          <w:rFonts w:hint="eastAsia" w:ascii="宋体" w:hAnsi="宋体" w:eastAsia="宋体" w:cs="宋体"/>
          <w:snapToGrid w:val="0"/>
          <w:kern w:val="2"/>
          <w:sz w:val="24"/>
          <w:szCs w:val="24"/>
          <w:highlight w:val="none"/>
          <w:lang w:val="en-US" w:eastAsia="zh-CN" w:bidi="ar-SA"/>
        </w:rPr>
        <w:t>(三)本项目只接受投标人加密并递交至“政府采购云平台”的投标文件</w:t>
      </w:r>
      <w:r>
        <w:rPr>
          <w:rFonts w:hint="eastAsia"/>
          <w:b w:val="0"/>
          <w:bCs w:val="0"/>
        </w:rPr>
        <w:t>。</w:t>
      </w:r>
    </w:p>
    <w:p>
      <w:pPr>
        <w:pStyle w:val="42"/>
        <w:keepNext w:val="0"/>
        <w:keepLines w:val="0"/>
        <w:pageBreakBefore w:val="0"/>
        <w:widowControl w:val="0"/>
        <w:numPr>
          <w:ilvl w:val="0"/>
          <w:numId w:val="8"/>
        </w:numPr>
        <w:kinsoku/>
        <w:wordWrap w:val="0"/>
        <w:overflowPunct/>
        <w:topLinePunct/>
        <w:autoSpaceDE/>
        <w:autoSpaceDN/>
        <w:bidi w:val="0"/>
        <w:adjustRightInd w:val="0"/>
        <w:snapToGrid w:val="0"/>
        <w:spacing w:line="420" w:lineRule="exact"/>
        <w:ind w:left="0" w:leftChars="0" w:firstLine="480" w:firstLineChars="200"/>
        <w:textAlignment w:val="auto"/>
        <w:rPr>
          <w:rFonts w:hint="eastAsia"/>
          <w:b/>
          <w:bCs/>
          <w:lang w:eastAsia="zh-CN"/>
        </w:rPr>
      </w:pPr>
      <w:r>
        <w:rPr>
          <w:rFonts w:hint="eastAsia" w:ascii="宋体" w:hAnsi="宋体" w:eastAsia="宋体" w:cs="宋体"/>
          <w:b w:val="0"/>
          <w:bCs w:val="0"/>
          <w:lang w:eastAsia="zh-CN"/>
        </w:rPr>
        <w:t>本投标邀请在</w:t>
      </w:r>
      <w:r>
        <w:rPr>
          <w:rFonts w:hint="eastAsia" w:cs="宋体"/>
          <w:b w:val="0"/>
          <w:bCs w:val="0"/>
          <w:lang w:eastAsia="zh-CN"/>
        </w:rPr>
        <w:t>“</w:t>
      </w:r>
      <w:r>
        <w:rPr>
          <w:rFonts w:hint="eastAsia" w:ascii="宋体" w:hAnsi="宋体" w:eastAsia="宋体" w:cs="宋体"/>
          <w:b w:val="0"/>
          <w:bCs w:val="0"/>
          <w:lang w:eastAsia="zh-CN"/>
        </w:rPr>
        <w:t>四川政府采购网</w:t>
      </w:r>
      <w:r>
        <w:rPr>
          <w:rFonts w:hint="eastAsia" w:cs="宋体"/>
          <w:b w:val="0"/>
          <w:bCs w:val="0"/>
          <w:lang w:eastAsia="zh-CN"/>
        </w:rPr>
        <w:t>”</w:t>
      </w:r>
      <w:r>
        <w:rPr>
          <w:rFonts w:hint="eastAsia" w:ascii="宋体" w:hAnsi="宋体" w:eastAsia="宋体" w:cs="宋体"/>
          <w:b w:val="0"/>
          <w:bCs w:val="0"/>
          <w:lang w:eastAsia="zh-CN"/>
        </w:rPr>
        <w:t>上以公告形式发布</w:t>
      </w:r>
      <w:r>
        <w:rPr>
          <w:rFonts w:hint="eastAsia"/>
          <w:b w:val="0"/>
          <w:bCs w:val="0"/>
          <w:lang w:eastAsia="zh-CN"/>
        </w:rPr>
        <w:t>。</w:t>
      </w:r>
    </w:p>
    <w:p>
      <w:pPr>
        <w:pStyle w:val="42"/>
        <w:keepNext w:val="0"/>
        <w:keepLines w:val="0"/>
        <w:pageBreakBefore w:val="0"/>
        <w:widowControl w:val="0"/>
        <w:numPr>
          <w:ilvl w:val="0"/>
          <w:numId w:val="8"/>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highlight w:val="none"/>
          <w:lang w:val="en-US" w:eastAsia="zh-CN"/>
        </w:rPr>
      </w:pPr>
      <w:r>
        <w:rPr>
          <w:rFonts w:hint="eastAsia"/>
          <w:b/>
          <w:bCs/>
          <w:highlight w:val="none"/>
          <w:lang w:val="en-US" w:eastAsia="zh-CN"/>
        </w:rPr>
        <w:t>供应商信用融资：</w:t>
      </w:r>
    </w:p>
    <w:p>
      <w:pPr>
        <w:pStyle w:val="46"/>
        <w:keepNext w:val="0"/>
        <w:keepLines w:val="0"/>
        <w:pageBreakBefore w:val="0"/>
        <w:widowControl w:val="0"/>
        <w:kinsoku/>
        <w:overflowPunct/>
        <w:autoSpaceDE/>
        <w:autoSpaceDN/>
        <w:bidi w:val="0"/>
        <w:adjustRightInd w:val="0"/>
        <w:snapToGrid w:val="0"/>
        <w:spacing w:line="420" w:lineRule="exact"/>
        <w:jc w:val="both"/>
        <w:textAlignment w:val="auto"/>
        <w:rPr>
          <w:rFonts w:hint="eastAsia"/>
          <w:highlight w:val="none"/>
        </w:rPr>
      </w:pPr>
      <w:r>
        <w:rPr>
          <w:rFonts w:hint="eastAsia"/>
          <w:highlight w:val="none"/>
        </w:rPr>
        <w:t>根据《四川省财政厅关于推进四川省政府采购供应商信用融资工作的通知》</w:t>
      </w:r>
      <w:r>
        <w:rPr>
          <w:rFonts w:hint="eastAsia"/>
          <w:highlight w:val="none"/>
          <w:lang w:eastAsia="zh-CN"/>
        </w:rPr>
        <w:t>(</w:t>
      </w:r>
      <w:r>
        <w:rPr>
          <w:rFonts w:hint="eastAsia"/>
          <w:highlight w:val="none"/>
        </w:rPr>
        <w:t>川财采</w:t>
      </w:r>
      <w:r>
        <w:rPr>
          <w:rFonts w:hint="eastAsia"/>
          <w:highlight w:val="none"/>
          <w:lang w:val="en-US" w:eastAsia="zh-CN"/>
        </w:rPr>
        <w:t>〔</w:t>
      </w:r>
      <w:r>
        <w:rPr>
          <w:rFonts w:hint="eastAsia"/>
          <w:highlight w:val="none"/>
        </w:rPr>
        <w:t>2018</w:t>
      </w:r>
      <w:r>
        <w:rPr>
          <w:rFonts w:hint="eastAsia"/>
          <w:highlight w:val="none"/>
          <w:lang w:val="en-US" w:eastAsia="zh-CN"/>
        </w:rPr>
        <w:t>〕</w:t>
      </w:r>
      <w:r>
        <w:rPr>
          <w:rFonts w:hint="eastAsia"/>
          <w:highlight w:val="none"/>
        </w:rPr>
        <w:t>123号</w:t>
      </w:r>
      <w:r>
        <w:rPr>
          <w:rFonts w:hint="eastAsia"/>
          <w:highlight w:val="none"/>
          <w:lang w:eastAsia="zh-CN"/>
        </w:rPr>
        <w:t>)</w:t>
      </w:r>
      <w:r>
        <w:rPr>
          <w:rFonts w:hint="eastAsia"/>
          <w:highlight w:val="none"/>
        </w:rPr>
        <w:t>文件要求，为助力解决政府采购中标、</w:t>
      </w:r>
      <w:r>
        <w:rPr>
          <w:rFonts w:hint="eastAsia"/>
          <w:highlight w:val="none"/>
          <w:lang w:eastAsia="zh-CN"/>
        </w:rPr>
        <w:t>中标人</w:t>
      </w:r>
      <w:r>
        <w:rPr>
          <w:rFonts w:hint="eastAsia"/>
          <w:highlight w:val="none"/>
        </w:rPr>
        <w:t>资金不足、融资难、融资贵的困难，促进供应商依法诚信参加政府采购活动，有融资需求的供应商可根据</w:t>
      </w:r>
      <w:r>
        <w:rPr>
          <w:rFonts w:hint="eastAsia"/>
          <w:highlight w:val="none"/>
          <w:lang w:eastAsia="zh-CN"/>
        </w:rPr>
        <w:t>“四川政府采购网”</w:t>
      </w:r>
      <w:r>
        <w:rPr>
          <w:rFonts w:hint="eastAsia"/>
          <w:highlight w:val="none"/>
        </w:rPr>
        <w:t>公示的银行及其“政采贷”产品，自行选择符合自身情况的“政采贷”银行及其产品，凭</w:t>
      </w:r>
      <w:r>
        <w:rPr>
          <w:rFonts w:hint="eastAsia"/>
          <w:highlight w:val="none"/>
          <w:lang w:eastAsia="zh-CN"/>
        </w:rPr>
        <w:t>中标通知书</w:t>
      </w:r>
      <w:r>
        <w:rPr>
          <w:rFonts w:hint="eastAsia"/>
          <w:highlight w:val="none"/>
        </w:rPr>
        <w:t>向银行提出贷款意向申请，并按照相关规定要求和贷款流程申请信用融资贷款。</w:t>
      </w:r>
    </w:p>
    <w:p>
      <w:pPr>
        <w:pStyle w:val="42"/>
        <w:keepNext w:val="0"/>
        <w:keepLines w:val="0"/>
        <w:pageBreakBefore w:val="0"/>
        <w:widowControl w:val="0"/>
        <w:numPr>
          <w:ilvl w:val="0"/>
          <w:numId w:val="8"/>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rPr>
      </w:pPr>
      <w:r>
        <w:rPr>
          <w:rFonts w:hint="eastAsia"/>
          <w:b/>
          <w:bCs/>
        </w:rPr>
        <w:t>对本次招标提出询问，请按以下方式联系。</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eastAsia="zh-CN"/>
        </w:rPr>
      </w:pPr>
      <w:r>
        <w:rPr>
          <w:rFonts w:hint="eastAsia"/>
          <w:highlight w:val="none"/>
          <w:lang w:eastAsia="zh-CN"/>
        </w:rPr>
        <w:t>(</w:t>
      </w:r>
      <w:r>
        <w:rPr>
          <w:rFonts w:hint="eastAsia"/>
          <w:highlight w:val="none"/>
          <w:lang w:val="en-US" w:eastAsia="zh-CN"/>
        </w:rPr>
        <w:t>一</w:t>
      </w:r>
      <w:r>
        <w:rPr>
          <w:rFonts w:hint="eastAsia"/>
          <w:highlight w:val="none"/>
          <w:lang w:eastAsia="zh-CN"/>
        </w:rPr>
        <w:t>)</w:t>
      </w:r>
      <w:r>
        <w:rPr>
          <w:rFonts w:hint="eastAsia"/>
          <w:highlight w:val="none"/>
          <w:lang w:val="en-US" w:eastAsia="zh-CN"/>
        </w:rPr>
        <w:t>采购人信息</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val="en-US" w:eastAsia="zh-CN"/>
        </w:rPr>
        <w:t>名    称</w:t>
      </w:r>
      <w:r>
        <w:rPr>
          <w:rFonts w:hint="eastAsia" w:ascii="宋体" w:hAnsi="宋体" w:eastAsia="宋体"/>
          <w:highlight w:val="none"/>
        </w:rPr>
        <w:t>：</w:t>
      </w:r>
      <w:r>
        <w:rPr>
          <w:rFonts w:hint="eastAsia"/>
          <w:highlight w:val="none"/>
          <w:lang w:eastAsia="zh-CN"/>
        </w:rPr>
        <w:t>成都市武侯区市场监督管理局</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highlight w:val="none"/>
        </w:rPr>
      </w:pPr>
      <w:r>
        <w:rPr>
          <w:rFonts w:hint="eastAsia" w:ascii="宋体" w:hAnsi="宋体" w:eastAsia="宋体"/>
          <w:highlight w:val="none"/>
        </w:rPr>
        <w:t>地</w:t>
      </w:r>
      <w:r>
        <w:rPr>
          <w:rFonts w:hint="eastAsia" w:ascii="宋体" w:hAnsi="宋体" w:eastAsia="宋体"/>
          <w:highlight w:val="none"/>
          <w:lang w:val="en-US" w:eastAsia="zh-CN"/>
        </w:rPr>
        <w:t xml:space="preserve">    </w:t>
      </w:r>
      <w:r>
        <w:rPr>
          <w:rFonts w:hint="eastAsia" w:ascii="宋体" w:hAnsi="宋体" w:eastAsia="宋体"/>
          <w:highlight w:val="none"/>
        </w:rPr>
        <w:t>址：成都市武侯区武科西五路360号2栋2单元</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highlight w:val="none"/>
          <w:lang w:val="en-US" w:eastAsia="zh-CN"/>
        </w:rPr>
      </w:pPr>
      <w:r>
        <w:rPr>
          <w:rFonts w:hint="eastAsia" w:ascii="宋体" w:hAnsi="宋体" w:eastAsia="宋体"/>
          <w:highlight w:val="none"/>
        </w:rPr>
        <w:t>联 系 人：</w:t>
      </w:r>
      <w:r>
        <w:rPr>
          <w:rFonts w:hint="eastAsia"/>
          <w:highlight w:val="none"/>
          <w:lang w:val="en-US" w:eastAsia="zh-CN"/>
        </w:rPr>
        <w:t>王老师</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default" w:ascii="宋体" w:hAnsi="宋体" w:eastAsia="宋体"/>
          <w:highlight w:val="none"/>
          <w:lang w:val="en-US" w:eastAsia="zh-CN"/>
        </w:rPr>
      </w:pPr>
      <w:r>
        <w:rPr>
          <w:rFonts w:hint="eastAsia" w:ascii="宋体" w:hAnsi="宋体" w:eastAsia="宋体"/>
          <w:highlight w:val="none"/>
        </w:rPr>
        <w:t>联系</w:t>
      </w:r>
      <w:r>
        <w:rPr>
          <w:rFonts w:hint="eastAsia" w:ascii="宋体" w:hAnsi="宋体" w:eastAsia="宋体"/>
          <w:highlight w:val="none"/>
          <w:lang w:val="en-US" w:eastAsia="zh-CN"/>
        </w:rPr>
        <w:t>方式</w:t>
      </w:r>
      <w:r>
        <w:rPr>
          <w:rFonts w:hint="eastAsia" w:ascii="宋体" w:hAnsi="宋体" w:eastAsia="宋体"/>
          <w:highlight w:val="none"/>
        </w:rPr>
        <w:t>：028-85089327</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default" w:eastAsia="宋体"/>
          <w:highlight w:val="none"/>
          <w:lang w:val="en-US" w:eastAsia="zh-CN"/>
        </w:rPr>
      </w:pPr>
      <w:r>
        <w:rPr>
          <w:rFonts w:hint="eastAsia"/>
          <w:highlight w:val="none"/>
          <w:lang w:eastAsia="zh-CN"/>
        </w:rPr>
        <w:t>(</w:t>
      </w:r>
      <w:r>
        <w:rPr>
          <w:rFonts w:hint="eastAsia"/>
          <w:highlight w:val="none"/>
          <w:lang w:val="en-US" w:eastAsia="zh-CN"/>
        </w:rPr>
        <w:t>二</w:t>
      </w:r>
      <w:r>
        <w:rPr>
          <w:rFonts w:hint="eastAsia"/>
          <w:highlight w:val="none"/>
          <w:lang w:eastAsia="zh-CN"/>
        </w:rPr>
        <w:t>)</w:t>
      </w:r>
      <w:r>
        <w:rPr>
          <w:rFonts w:hint="eastAsia"/>
          <w:highlight w:val="none"/>
          <w:lang w:val="en-US" w:eastAsia="zh-CN"/>
        </w:rPr>
        <w:t>采购代理机构信息</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eastAsia="宋体"/>
          <w:highlight w:val="none"/>
          <w:lang w:eastAsia="zh-CN"/>
        </w:rPr>
      </w:pPr>
      <w:r>
        <w:rPr>
          <w:rFonts w:hint="eastAsia"/>
          <w:highlight w:val="none"/>
          <w:lang w:val="en-US" w:eastAsia="zh-CN"/>
        </w:rPr>
        <w:t>名    称</w:t>
      </w:r>
      <w:r>
        <w:rPr>
          <w:rFonts w:hint="eastAsia"/>
          <w:highlight w:val="none"/>
        </w:rPr>
        <w:t>：</w:t>
      </w:r>
      <w:r>
        <w:rPr>
          <w:rFonts w:hint="eastAsia"/>
          <w:highlight w:val="none"/>
          <w:lang w:eastAsia="zh-CN"/>
        </w:rPr>
        <w:t>成都公恒信工程项目管理有限公司</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rPr>
        <w:t>地    址：</w:t>
      </w:r>
      <w:r>
        <w:rPr>
          <w:rFonts w:hint="eastAsia"/>
          <w:highlight w:val="none"/>
          <w:lang w:val="zh-CN"/>
        </w:rPr>
        <w:t>成都市武侯区金履一路218号优博广场1栋405室</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rPr>
        <w:t>联</w:t>
      </w:r>
      <w:r>
        <w:rPr>
          <w:rFonts w:hint="eastAsia"/>
          <w:highlight w:val="none"/>
          <w:lang w:val="en-US" w:eastAsia="zh-CN"/>
        </w:rPr>
        <w:t xml:space="preserve"> </w:t>
      </w:r>
      <w:r>
        <w:rPr>
          <w:rFonts w:hint="eastAsia"/>
          <w:highlight w:val="none"/>
        </w:rPr>
        <w:t>系</w:t>
      </w:r>
      <w:r>
        <w:rPr>
          <w:rFonts w:hint="eastAsia"/>
          <w:highlight w:val="none"/>
          <w:lang w:val="en-US" w:eastAsia="zh-CN"/>
        </w:rPr>
        <w:t xml:space="preserve"> </w:t>
      </w:r>
      <w:r>
        <w:rPr>
          <w:rFonts w:hint="eastAsia"/>
          <w:highlight w:val="none"/>
        </w:rPr>
        <w:t>人：</w:t>
      </w:r>
      <w:r>
        <w:rPr>
          <w:rFonts w:hint="eastAsia"/>
          <w:highlight w:val="none"/>
          <w:lang w:val="en-US" w:eastAsia="zh-CN"/>
        </w:rPr>
        <w:t>欧女士</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en-US" w:eastAsia="zh-CN"/>
        </w:rPr>
      </w:pPr>
      <w:r>
        <w:rPr>
          <w:rFonts w:hint="eastAsia"/>
          <w:highlight w:val="none"/>
          <w:lang w:val="zh-CN"/>
        </w:rPr>
        <w:t>联系电话：</w:t>
      </w:r>
      <w:r>
        <w:rPr>
          <w:rFonts w:hint="eastAsia" w:ascii="宋体" w:hAnsi="宋体" w:cs="宋体"/>
          <w:bCs/>
          <w:kern w:val="0"/>
          <w:sz w:val="24"/>
          <w:lang w:val="zh-CN"/>
        </w:rPr>
        <w:t>028-85032683、1380817189</w:t>
      </w:r>
      <w:r>
        <w:rPr>
          <w:rFonts w:hint="eastAsia" w:ascii="宋体" w:hAnsi="宋体" w:cs="宋体"/>
          <w:bCs/>
          <w:kern w:val="0"/>
          <w:sz w:val="24"/>
          <w:lang w:val="en-US" w:eastAsia="zh-CN"/>
        </w:rPr>
        <w:t>4</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zh-CN"/>
        </w:rPr>
      </w:pPr>
      <w:r>
        <w:rPr>
          <w:rFonts w:hint="eastAsia"/>
          <w:highlight w:val="none"/>
          <w:lang w:val="zh-CN"/>
        </w:rPr>
        <w:t>电子邮件：</w:t>
      </w:r>
      <w:r>
        <w:rPr>
          <w:rFonts w:hint="eastAsia"/>
          <w:highlight w:val="none"/>
          <w:lang w:val="zh-CN"/>
        </w:rPr>
        <w:fldChar w:fldCharType="begin"/>
      </w:r>
      <w:r>
        <w:rPr>
          <w:rFonts w:hint="eastAsia"/>
          <w:highlight w:val="none"/>
          <w:lang w:val="zh-CN"/>
        </w:rPr>
        <w:instrText xml:space="preserve"> HYPERLINK "mailto:scqxzb@163.com" </w:instrText>
      </w:r>
      <w:r>
        <w:rPr>
          <w:rFonts w:hint="eastAsia"/>
          <w:highlight w:val="none"/>
          <w:lang w:val="zh-CN"/>
        </w:rPr>
        <w:fldChar w:fldCharType="separate"/>
      </w:r>
      <w:r>
        <w:rPr>
          <w:rFonts w:hint="eastAsia"/>
          <w:highlight w:val="none"/>
          <w:lang w:val="zh-CN"/>
        </w:rPr>
        <w:t>scghxzb@163.com</w:t>
      </w:r>
      <w:r>
        <w:rPr>
          <w:rFonts w:hint="eastAsia"/>
          <w:highlight w:val="none"/>
          <w:lang w:val="zh-CN"/>
        </w:rPr>
        <w:fldChar w:fldCharType="end"/>
      </w:r>
    </w:p>
    <w:p>
      <w:pPr>
        <w:pStyle w:val="48"/>
        <w:bidi w:val="0"/>
        <w:rPr>
          <w:rFonts w:hint="eastAsia"/>
          <w:lang w:val="en-US" w:eastAsia="zh-CN"/>
        </w:rPr>
      </w:pPr>
      <w:r>
        <w:rPr>
          <w:rFonts w:hint="eastAsia"/>
        </w:rPr>
        <w:br w:type="page"/>
      </w:r>
      <w:bookmarkEnd w:id="8"/>
      <w:bookmarkEnd w:id="9"/>
      <w:bookmarkEnd w:id="10"/>
      <w:bookmarkEnd w:id="11"/>
      <w:bookmarkEnd w:id="12"/>
      <w:bookmarkStart w:id="14" w:name="_Toc25668"/>
      <w:bookmarkStart w:id="15" w:name="_Toc5120"/>
      <w:bookmarkStart w:id="16" w:name="_Toc30888"/>
      <w:bookmarkStart w:id="17" w:name="_Toc7416"/>
      <w:bookmarkStart w:id="18" w:name="_Toc2482"/>
      <w:r>
        <w:rPr>
          <w:rFonts w:hint="eastAsia"/>
          <w:lang w:val="en-US" w:eastAsia="zh-CN"/>
        </w:rPr>
        <w:t>投标人须知</w:t>
      </w:r>
      <w:bookmarkEnd w:id="14"/>
      <w:bookmarkEnd w:id="15"/>
      <w:bookmarkEnd w:id="16"/>
      <w:bookmarkEnd w:id="17"/>
      <w:bookmarkEnd w:id="18"/>
    </w:p>
    <w:p>
      <w:pPr>
        <w:pStyle w:val="43"/>
        <w:bidi w:val="0"/>
        <w:rPr>
          <w:rFonts w:hint="eastAsia"/>
        </w:rPr>
      </w:pPr>
      <w:bookmarkStart w:id="19" w:name="_Toc6734"/>
      <w:bookmarkStart w:id="20" w:name="_Toc9876"/>
      <w:bookmarkStart w:id="21" w:name="_Toc189727030"/>
      <w:bookmarkStart w:id="22" w:name="_Toc213396760"/>
      <w:bookmarkStart w:id="23" w:name="_Toc327196261"/>
      <w:bookmarkStart w:id="24" w:name="_Toc28824"/>
      <w:bookmarkStart w:id="25" w:name="_Toc31215"/>
      <w:bookmarkStart w:id="26" w:name="_Toc217446032"/>
      <w:bookmarkStart w:id="27" w:name="_Toc213396946"/>
      <w:bookmarkStart w:id="28" w:name="_Toc213496268"/>
      <w:bookmarkStart w:id="29" w:name="_Toc213397010"/>
      <w:bookmarkStart w:id="30" w:name="_Toc14035"/>
      <w:r>
        <w:rPr>
          <w:rFonts w:hint="eastAsia"/>
        </w:rPr>
        <w:t>投标人须知</w:t>
      </w:r>
      <w:r>
        <w:rPr>
          <w:rFonts w:hint="eastAsia"/>
          <w:lang w:val="en-US" w:eastAsia="zh-CN"/>
        </w:rPr>
        <w:t>前</w:t>
      </w:r>
      <w:r>
        <w:rPr>
          <w:rFonts w:hint="eastAsia"/>
        </w:rPr>
        <w:t>附表</w:t>
      </w:r>
      <w:bookmarkEnd w:id="19"/>
      <w:bookmarkEnd w:id="20"/>
      <w:bookmarkEnd w:id="21"/>
      <w:bookmarkEnd w:id="22"/>
      <w:bookmarkEnd w:id="23"/>
      <w:bookmarkEnd w:id="24"/>
      <w:bookmarkEnd w:id="25"/>
      <w:bookmarkEnd w:id="26"/>
      <w:bookmarkEnd w:id="27"/>
      <w:bookmarkEnd w:id="28"/>
      <w:bookmarkEnd w:id="29"/>
      <w:bookmarkEnd w:id="30"/>
    </w:p>
    <w:tbl>
      <w:tblPr>
        <w:tblStyle w:val="21"/>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1936"/>
        <w:gridCol w:w="3561"/>
        <w:gridCol w:w="3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blHeader/>
          <w:jc w:val="center"/>
        </w:trPr>
        <w:tc>
          <w:tcPr>
            <w:tcW w:w="570" w:type="dxa"/>
            <w:vAlign w:val="center"/>
          </w:tcPr>
          <w:p>
            <w:pPr>
              <w:pStyle w:val="45"/>
              <w:numPr>
                <w:ilvl w:val="0"/>
                <w:numId w:val="0"/>
              </w:numPr>
              <w:bidi w:val="0"/>
              <w:ind w:leftChars="0"/>
              <w:jc w:val="center"/>
              <w:rPr>
                <w:rFonts w:hint="eastAsia"/>
                <w:b/>
                <w:bCs/>
                <w:lang w:val="zh-CN"/>
              </w:rPr>
            </w:pPr>
            <w:bookmarkStart w:id="31" w:name="_Toc327196262"/>
            <w:r>
              <w:rPr>
                <w:rFonts w:hint="eastAsia"/>
                <w:b/>
                <w:bCs/>
                <w:lang w:val="zh-CN"/>
              </w:rPr>
              <w:t>序号</w:t>
            </w:r>
          </w:p>
        </w:tc>
        <w:tc>
          <w:tcPr>
            <w:tcW w:w="1936" w:type="dxa"/>
            <w:vAlign w:val="center"/>
          </w:tcPr>
          <w:p>
            <w:pPr>
              <w:pStyle w:val="45"/>
              <w:bidi w:val="0"/>
              <w:rPr>
                <w:rFonts w:hint="eastAsia"/>
                <w:b/>
                <w:bCs/>
                <w:lang w:val="zh-CN"/>
              </w:rPr>
            </w:pPr>
            <w:r>
              <w:rPr>
                <w:rFonts w:hint="eastAsia"/>
                <w:b/>
                <w:bCs/>
                <w:lang w:val="en-US" w:eastAsia="zh-CN"/>
              </w:rPr>
              <w:t>条款名称</w:t>
            </w:r>
            <w:r>
              <w:rPr>
                <w:rFonts w:hint="eastAsia"/>
                <w:b/>
                <w:bCs/>
                <w:lang w:val="zh-CN"/>
              </w:rPr>
              <w:t xml:space="preserve"> </w:t>
            </w:r>
          </w:p>
        </w:tc>
        <w:tc>
          <w:tcPr>
            <w:tcW w:w="7244"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b/>
                <w:bCs/>
                <w:lang w:val="zh-CN"/>
              </w:rPr>
            </w:pPr>
            <w:r>
              <w:rPr>
                <w:rFonts w:hint="eastAsia"/>
                <w:b/>
                <w:bCs/>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5"/>
              <w:numPr>
                <w:ilvl w:val="0"/>
                <w:numId w:val="9"/>
              </w:numPr>
              <w:bidi w:val="0"/>
              <w:ind w:left="0" w:leftChars="0" w:firstLine="0" w:firstLineChars="0"/>
              <w:rPr>
                <w:rFonts w:hint="eastAsia"/>
                <w:lang w:val="zh-CN"/>
              </w:rPr>
            </w:pPr>
          </w:p>
        </w:tc>
        <w:tc>
          <w:tcPr>
            <w:tcW w:w="1936" w:type="dxa"/>
            <w:vAlign w:val="center"/>
          </w:tcPr>
          <w:p>
            <w:pPr>
              <w:pStyle w:val="45"/>
              <w:bidi w:val="0"/>
              <w:rPr>
                <w:rFonts w:hint="eastAsia"/>
                <w:lang w:val="en-US" w:eastAsia="zh-CN"/>
              </w:rPr>
            </w:pPr>
            <w:r>
              <w:rPr>
                <w:rFonts w:hint="eastAsia"/>
                <w:lang w:val="en-US" w:eastAsia="zh-CN"/>
              </w:rPr>
              <w:t>采购预算</w:t>
            </w:r>
          </w:p>
          <w:p>
            <w:pPr>
              <w:pStyle w:val="45"/>
              <w:bidi w:val="0"/>
              <w:rPr>
                <w:rFonts w:hint="eastAsia"/>
                <w:lang w:val="zh-CN"/>
              </w:rPr>
            </w:pPr>
            <w:r>
              <w:rPr>
                <w:rFonts w:hint="eastAsia"/>
                <w:b/>
                <w:bCs/>
                <w:lang w:val="en-US" w:eastAsia="zh-CN"/>
              </w:rPr>
              <w:t>(实质性要求)</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zh-CN"/>
              </w:rPr>
              <w:t>本项目</w:t>
            </w:r>
            <w:r>
              <w:rPr>
                <w:rFonts w:hint="eastAsia"/>
              </w:rPr>
              <w:t>采购</w:t>
            </w:r>
            <w:r>
              <w:rPr>
                <w:rFonts w:hint="eastAsia"/>
                <w:highlight w:val="none"/>
                <w:lang w:val="zh-CN"/>
              </w:rPr>
              <w:t>预算为人民币</w:t>
            </w:r>
            <w:r>
              <w:rPr>
                <w:rFonts w:hint="eastAsia"/>
                <w:highlight w:val="none"/>
                <w:lang w:val="en-US" w:eastAsia="zh-CN"/>
              </w:rPr>
              <w:t>400</w:t>
            </w:r>
            <w:r>
              <w:rPr>
                <w:rFonts w:hint="eastAsia"/>
                <w:highlight w:val="none"/>
                <w:lang w:val="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70" w:type="dxa"/>
            <w:vAlign w:val="center"/>
          </w:tcPr>
          <w:p>
            <w:pPr>
              <w:pStyle w:val="45"/>
              <w:numPr>
                <w:ilvl w:val="0"/>
                <w:numId w:val="9"/>
              </w:numPr>
              <w:bidi w:val="0"/>
              <w:ind w:left="0" w:leftChars="0" w:firstLine="0" w:firstLineChars="0"/>
              <w:rPr>
                <w:rFonts w:hint="eastAsia"/>
                <w:lang w:val="zh-CN"/>
              </w:rPr>
            </w:pPr>
          </w:p>
        </w:tc>
        <w:tc>
          <w:tcPr>
            <w:tcW w:w="1936" w:type="dxa"/>
            <w:vAlign w:val="center"/>
          </w:tcPr>
          <w:p>
            <w:pPr>
              <w:pStyle w:val="45"/>
              <w:bidi w:val="0"/>
              <w:rPr>
                <w:rFonts w:hint="default"/>
                <w:highlight w:val="none"/>
                <w:lang w:val="en-US" w:eastAsia="zh-CN"/>
              </w:rPr>
            </w:pPr>
            <w:r>
              <w:rPr>
                <w:rFonts w:hint="eastAsia"/>
                <w:highlight w:val="none"/>
                <w:lang w:val="en-US" w:eastAsia="zh-CN"/>
              </w:rPr>
              <w:t>最高限价及报价要求</w:t>
            </w:r>
          </w:p>
          <w:p>
            <w:pPr>
              <w:pStyle w:val="45"/>
              <w:bidi w:val="0"/>
              <w:ind w:firstLine="0" w:firstLineChars="0"/>
              <w:rPr>
                <w:rFonts w:hint="eastAsia"/>
                <w:lang w:val="en-US" w:eastAsia="zh-CN"/>
              </w:rPr>
            </w:pPr>
            <w:r>
              <w:rPr>
                <w:rFonts w:hint="eastAsia"/>
                <w:b/>
                <w:bCs/>
                <w:highlight w:val="none"/>
                <w:lang w:val="zh-CN" w:eastAsia="zh-CN"/>
              </w:rPr>
              <w:t>(实质性要求)</w:t>
            </w:r>
          </w:p>
        </w:tc>
        <w:tc>
          <w:tcPr>
            <w:tcW w:w="7244" w:type="dxa"/>
            <w:gridSpan w:val="2"/>
            <w:vAlign w:val="center"/>
          </w:tcPr>
          <w:p>
            <w:pPr>
              <w:pStyle w:val="41"/>
              <w:keepNext w:val="0"/>
              <w:keepLines w:val="0"/>
              <w:pageBreakBefore w:val="0"/>
              <w:widowControl w:val="0"/>
              <w:numPr>
                <w:ilvl w:val="0"/>
                <w:numId w:val="10"/>
              </w:numPr>
              <w:tabs>
                <w:tab w:val="clear" w:pos="312"/>
              </w:tabs>
              <w:kinsoku/>
              <w:wordWrap w:val="0"/>
              <w:overflowPunct/>
              <w:topLinePunct/>
              <w:autoSpaceDE/>
              <w:autoSpaceDN/>
              <w:bidi w:val="0"/>
              <w:adjustRightInd w:val="0"/>
              <w:snapToGrid w:val="0"/>
              <w:ind w:left="60" w:leftChars="25" w:right="60" w:rightChars="25" w:firstLine="0" w:firstLineChars="0"/>
              <w:textAlignment w:val="auto"/>
              <w:rPr>
                <w:rFonts w:hint="eastAsia"/>
                <w:highlight w:val="none"/>
                <w:lang w:val="en-US" w:eastAsia="zh-CN"/>
              </w:rPr>
            </w:pPr>
            <w:r>
              <w:rPr>
                <w:rFonts w:hint="eastAsia"/>
                <w:highlight w:val="none"/>
                <w:lang w:val="en-US" w:eastAsia="zh-CN"/>
              </w:rPr>
              <w:t>本项目单价最高限价为400</w:t>
            </w:r>
            <w:r>
              <w:rPr>
                <w:rFonts w:hint="eastAsia"/>
                <w:highlight w:val="none"/>
                <w:lang w:val="zh-CN"/>
              </w:rPr>
              <w:t>万元</w:t>
            </w:r>
            <w:r>
              <w:rPr>
                <w:rFonts w:hint="eastAsia"/>
                <w:highlight w:val="none"/>
                <w:lang w:val="en-US" w:eastAsia="zh-CN"/>
              </w:rPr>
              <w:t>。</w:t>
            </w:r>
          </w:p>
          <w:p>
            <w:pPr>
              <w:pStyle w:val="41"/>
              <w:keepNext w:val="0"/>
              <w:keepLines w:val="0"/>
              <w:pageBreakBefore w:val="0"/>
              <w:widowControl w:val="0"/>
              <w:numPr>
                <w:ilvl w:val="0"/>
                <w:numId w:val="0"/>
              </w:numPr>
              <w:kinsoku/>
              <w:wordWrap w:val="0"/>
              <w:overflowPunct/>
              <w:topLinePunct/>
              <w:autoSpaceDE/>
              <w:autoSpaceDN/>
              <w:bidi w:val="0"/>
              <w:adjustRightInd w:val="0"/>
              <w:snapToGrid w:val="0"/>
              <w:ind w:leftChars="25" w:right="60" w:rightChars="25"/>
              <w:textAlignment w:val="auto"/>
              <w:rPr>
                <w:rFonts w:hint="default"/>
                <w:highlight w:val="none"/>
                <w:lang w:val="en-US" w:eastAsia="zh-CN"/>
              </w:rPr>
            </w:pPr>
            <w:r>
              <w:rPr>
                <w:rFonts w:hint="eastAsia"/>
                <w:highlight w:val="none"/>
                <w:lang w:val="en-US" w:eastAsia="zh-CN"/>
              </w:rPr>
              <w:t>2.投标人的报价不得超过最高限价，否则将被视为无效。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5"/>
              <w:numPr>
                <w:ilvl w:val="0"/>
                <w:numId w:val="9"/>
              </w:numPr>
              <w:bidi w:val="0"/>
              <w:ind w:left="0" w:leftChars="0" w:firstLine="0" w:firstLineChars="0"/>
              <w:rPr>
                <w:rFonts w:hint="eastAsia"/>
                <w:lang w:val="zh-CN"/>
              </w:rPr>
            </w:pPr>
          </w:p>
        </w:tc>
        <w:tc>
          <w:tcPr>
            <w:tcW w:w="1936" w:type="dxa"/>
            <w:vAlign w:val="center"/>
          </w:tcPr>
          <w:p>
            <w:pPr>
              <w:pStyle w:val="45"/>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highlight w:val="none"/>
                <w:lang w:val="zh-CN" w:eastAsia="zh-CN"/>
              </w:rPr>
            </w:pPr>
            <w:r>
              <w:rPr>
                <w:rFonts w:hint="eastAsia"/>
                <w:highlight w:val="none"/>
                <w:lang w:val="en-US" w:eastAsia="zh-CN"/>
              </w:rPr>
              <w:t>本项目所属行业</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highlight w:val="none"/>
                <w:lang w:val="en-US" w:eastAsia="zh-CN"/>
              </w:rPr>
            </w:pPr>
            <w:r>
              <w:rPr>
                <w:rFonts w:hint="eastAsia"/>
                <w:highlight w:val="none"/>
                <w:lang w:val="en-US" w:eastAsia="zh-CN"/>
              </w:rPr>
              <w:t>本项目所属行业为其他未列明行</w:t>
            </w:r>
            <w:r>
              <w:rPr>
                <w:rFonts w:hint="eastAsia"/>
                <w:highlight w:val="none"/>
                <w:u w:val="none"/>
                <w:lang w:val="en-US" w:eastAsia="zh-CN"/>
              </w:rPr>
              <w:t>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45"/>
              <w:numPr>
                <w:ilvl w:val="0"/>
                <w:numId w:val="9"/>
              </w:numPr>
              <w:bidi w:val="0"/>
              <w:ind w:left="0" w:leftChars="0" w:firstLine="0" w:firstLineChars="0"/>
              <w:rPr>
                <w:rFonts w:hint="eastAsia"/>
                <w:lang w:val="zh-CN"/>
              </w:rPr>
            </w:pPr>
          </w:p>
        </w:tc>
        <w:tc>
          <w:tcPr>
            <w:tcW w:w="1936" w:type="dxa"/>
            <w:vAlign w:val="center"/>
          </w:tcPr>
          <w:p>
            <w:pPr>
              <w:pStyle w:val="45"/>
              <w:bidi w:val="0"/>
              <w:ind w:firstLine="0" w:firstLineChars="0"/>
              <w:rPr>
                <w:rFonts w:hint="eastAsia"/>
                <w:highlight w:val="none"/>
                <w:lang w:val="zh-CN" w:eastAsia="zh-CN"/>
              </w:rPr>
            </w:pPr>
            <w:r>
              <w:rPr>
                <w:rFonts w:hint="eastAsia"/>
                <w:highlight w:val="none"/>
                <w:lang w:val="zh-CN"/>
              </w:rPr>
              <w:t>定向采购</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highlight w:val="none"/>
                <w:lang w:val="en-US" w:eastAsia="zh-CN"/>
              </w:rPr>
            </w:pPr>
            <w:r>
              <w:rPr>
                <w:rFonts w:hint="eastAsia"/>
                <w:highlight w:val="none"/>
              </w:rPr>
              <w:t>本项目</w:t>
            </w:r>
            <w:r>
              <w:rPr>
                <w:rFonts w:hint="eastAsia"/>
                <w:highlight w:val="none"/>
                <w:lang w:val="en-US" w:eastAsia="zh-CN"/>
              </w:rPr>
              <w:t>不</w:t>
            </w:r>
            <w:r>
              <w:rPr>
                <w:rFonts w:hint="eastAsia"/>
                <w:highlight w:val="none"/>
              </w:rPr>
              <w:t>为</w:t>
            </w:r>
            <w:r>
              <w:rPr>
                <w:rFonts w:hint="eastAsia"/>
                <w:highlight w:val="none"/>
                <w:lang w:val="zh-CN"/>
              </w:rPr>
              <w:t>专门面向中小企业</w:t>
            </w:r>
            <w:r>
              <w:rPr>
                <w:rFonts w:hint="eastAsia"/>
                <w:highlight w:val="none"/>
              </w:rPr>
              <w:t>采购</w:t>
            </w:r>
            <w:r>
              <w:rPr>
                <w:rFonts w:hint="eastAsia"/>
                <w:highlight w:val="none"/>
                <w:lang w:val="zh-CN"/>
              </w:rPr>
              <w:t>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lang w:val="zh-CN"/>
              </w:rPr>
            </w:pPr>
          </w:p>
        </w:tc>
        <w:tc>
          <w:tcPr>
            <w:tcW w:w="1936" w:type="dxa"/>
            <w:vAlign w:val="center"/>
          </w:tcPr>
          <w:p>
            <w:pPr>
              <w:pStyle w:val="45"/>
              <w:bidi w:val="0"/>
              <w:rPr>
                <w:rFonts w:hint="eastAsia"/>
                <w:lang w:val="zh-CN"/>
              </w:rPr>
            </w:pPr>
            <w:r>
              <w:rPr>
                <w:rFonts w:hint="eastAsia"/>
                <w:lang w:val="zh-CN"/>
              </w:rPr>
              <w:t>采购方式</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zh-CN"/>
              </w:rPr>
            </w:pPr>
            <w:r>
              <w:rPr>
                <w:rFonts w:hint="eastAsia"/>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lang w:val="zh-CN"/>
              </w:rPr>
            </w:pPr>
          </w:p>
        </w:tc>
        <w:tc>
          <w:tcPr>
            <w:tcW w:w="1936" w:type="dxa"/>
            <w:vAlign w:val="center"/>
          </w:tcPr>
          <w:p>
            <w:pPr>
              <w:pStyle w:val="45"/>
              <w:bidi w:val="0"/>
              <w:rPr>
                <w:rFonts w:hint="eastAsia"/>
                <w:lang w:val="zh-CN"/>
              </w:rPr>
            </w:pPr>
            <w:r>
              <w:rPr>
                <w:rFonts w:hint="eastAsia"/>
                <w:lang w:val="zh-CN"/>
              </w:rPr>
              <w:t>评标方法</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zh-CN"/>
              </w:rPr>
            </w:pPr>
            <w:r>
              <w:rPr>
                <w:rFonts w:hint="eastAsia"/>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5" w:hRule="atLeast"/>
          <w:jc w:val="center"/>
        </w:trPr>
        <w:tc>
          <w:tcPr>
            <w:tcW w:w="570" w:type="dxa"/>
            <w:vAlign w:val="center"/>
          </w:tcPr>
          <w:p>
            <w:pPr>
              <w:pStyle w:val="45"/>
              <w:numPr>
                <w:ilvl w:val="0"/>
                <w:numId w:val="9"/>
              </w:numPr>
              <w:bidi w:val="0"/>
              <w:ind w:left="0" w:leftChars="0" w:firstLine="0" w:firstLineChars="0"/>
              <w:rPr>
                <w:rFonts w:hint="eastAsia"/>
                <w:lang w:val="zh-CN"/>
              </w:rPr>
            </w:pPr>
          </w:p>
        </w:tc>
        <w:tc>
          <w:tcPr>
            <w:tcW w:w="1936" w:type="dxa"/>
            <w:vAlign w:val="center"/>
          </w:tcPr>
          <w:p>
            <w:pPr>
              <w:pStyle w:val="45"/>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lang w:val="en-US" w:eastAsia="zh-CN"/>
              </w:rPr>
            </w:pPr>
            <w:r>
              <w:rPr>
                <w:rFonts w:hint="eastAsia"/>
                <w:lang w:val="en-US" w:eastAsia="zh-CN"/>
              </w:rPr>
              <w:t>合同分包</w:t>
            </w:r>
          </w:p>
          <w:p>
            <w:pPr>
              <w:pStyle w:val="45"/>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lang w:val="zh-CN"/>
              </w:rPr>
            </w:pPr>
            <w:r>
              <w:rPr>
                <w:rFonts w:hint="eastAsia"/>
                <w:b/>
                <w:bCs/>
                <w:lang w:val="en-US" w:eastAsia="zh-CN"/>
              </w:rPr>
              <w:t>(实质性要求)</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本项目不允许投标人以合同分包形式进行投标。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lang w:val="zh-CN"/>
              </w:rPr>
            </w:pPr>
          </w:p>
        </w:tc>
        <w:tc>
          <w:tcPr>
            <w:tcW w:w="1936" w:type="dxa"/>
            <w:vAlign w:val="center"/>
          </w:tcPr>
          <w:p>
            <w:pPr>
              <w:pStyle w:val="45"/>
              <w:bidi w:val="0"/>
              <w:rPr>
                <w:rFonts w:hint="eastAsia"/>
                <w:lang w:val="en-US" w:eastAsia="zh-CN"/>
              </w:rPr>
            </w:pPr>
            <w:r>
              <w:rPr>
                <w:rFonts w:hint="eastAsia"/>
                <w:lang w:val="en-US" w:eastAsia="zh-CN"/>
              </w:rPr>
              <w:t>联合体投标</w:t>
            </w:r>
          </w:p>
          <w:p>
            <w:pPr>
              <w:pStyle w:val="45"/>
              <w:bidi w:val="0"/>
              <w:ind w:firstLine="0" w:firstLineChars="0"/>
              <w:rPr>
                <w:rFonts w:hint="eastAsia"/>
                <w:lang w:val="zh-CN"/>
              </w:rPr>
            </w:pPr>
            <w:r>
              <w:rPr>
                <w:rFonts w:hint="eastAsia"/>
                <w:b/>
                <w:bCs/>
                <w:lang w:val="en-US" w:eastAsia="zh-CN"/>
              </w:rPr>
              <w:t>(实质性要求)</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000000" w:themeColor="text1"/>
                <w:highlight w:val="none"/>
                <w:lang w:val="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lang w:val="zh-CN"/>
              </w:rPr>
            </w:pPr>
          </w:p>
        </w:tc>
        <w:tc>
          <w:tcPr>
            <w:tcW w:w="1936" w:type="dxa"/>
            <w:vAlign w:val="center"/>
          </w:tcPr>
          <w:p>
            <w:pPr>
              <w:pStyle w:val="45"/>
              <w:bidi w:val="0"/>
              <w:rPr>
                <w:rFonts w:hint="eastAsia"/>
                <w:lang w:val="en-US" w:eastAsia="zh-CN"/>
              </w:rPr>
            </w:pPr>
            <w:r>
              <w:rPr>
                <w:rFonts w:hint="eastAsia"/>
                <w:lang w:val="en-US" w:eastAsia="zh-CN"/>
              </w:rPr>
              <w:t>投标有效期</w:t>
            </w:r>
          </w:p>
          <w:p>
            <w:pPr>
              <w:pStyle w:val="45"/>
              <w:bidi w:val="0"/>
              <w:ind w:firstLine="0" w:firstLineChars="0"/>
              <w:rPr>
                <w:rFonts w:hint="eastAsia"/>
                <w:lang w:val="zh-CN"/>
              </w:rPr>
            </w:pPr>
            <w:r>
              <w:rPr>
                <w:rFonts w:hint="eastAsia"/>
                <w:b/>
                <w:bCs/>
                <w:lang w:val="en-US" w:eastAsia="zh-CN"/>
              </w:rPr>
              <w:t>(实质性要求)</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lang w:val="zh-CN"/>
              </w:rPr>
            </w:pPr>
            <w:r>
              <w:rPr>
                <w:rFonts w:hint="eastAsia"/>
                <w:lang w:val="en-US" w:eastAsia="zh-CN"/>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lang w:val="zh-CN"/>
              </w:rPr>
            </w:pPr>
          </w:p>
        </w:tc>
        <w:tc>
          <w:tcPr>
            <w:tcW w:w="1936" w:type="dxa"/>
            <w:vAlign w:val="center"/>
          </w:tcPr>
          <w:p>
            <w:pPr>
              <w:pStyle w:val="45"/>
              <w:bidi w:val="0"/>
              <w:ind w:firstLine="0" w:firstLineChars="0"/>
              <w:rPr>
                <w:rFonts w:hint="eastAsia"/>
                <w:lang w:val="en-US" w:eastAsia="zh-CN"/>
              </w:rPr>
            </w:pPr>
            <w:r>
              <w:rPr>
                <w:rFonts w:hint="eastAsia"/>
                <w:lang w:val="en-US" w:eastAsia="zh-CN"/>
              </w:rPr>
              <w:t>备选投标方案和报价</w:t>
            </w:r>
          </w:p>
          <w:p>
            <w:pPr>
              <w:pStyle w:val="45"/>
              <w:bidi w:val="0"/>
              <w:ind w:firstLine="0" w:firstLineChars="0"/>
              <w:rPr>
                <w:rFonts w:hint="eastAsia"/>
                <w:lang w:val="zh-CN" w:eastAsia="zh-CN"/>
              </w:rPr>
            </w:pPr>
            <w:r>
              <w:rPr>
                <w:rFonts w:hint="eastAsia"/>
                <w:b/>
                <w:bCs/>
                <w:lang w:val="en-US" w:eastAsia="zh-CN"/>
              </w:rPr>
              <w:t>(实质性要求)</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lang w:val="zh-CN"/>
              </w:rPr>
            </w:pPr>
            <w:r>
              <w:rPr>
                <w:rFonts w:hint="eastAsia"/>
                <w:lang w:val="en-US" w:eastAsia="zh-CN"/>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lang w:val="en-US" w:eastAsia="zh-CN"/>
              </w:rPr>
            </w:pPr>
          </w:p>
        </w:tc>
        <w:tc>
          <w:tcPr>
            <w:tcW w:w="1936" w:type="dxa"/>
            <w:vAlign w:val="center"/>
          </w:tcPr>
          <w:p>
            <w:pPr>
              <w:pStyle w:val="45"/>
              <w:bidi w:val="0"/>
              <w:rPr>
                <w:rFonts w:hint="default"/>
                <w:lang w:val="en-US" w:eastAsia="zh-CN"/>
              </w:rPr>
            </w:pPr>
            <w:r>
              <w:rPr>
                <w:rFonts w:hint="eastAsia"/>
                <w:lang w:val="en-US" w:eastAsia="zh-CN"/>
              </w:rPr>
              <w:t>质量要求、履约验收</w:t>
            </w:r>
          </w:p>
          <w:p>
            <w:pPr>
              <w:pStyle w:val="45"/>
              <w:bidi w:val="0"/>
              <w:rPr>
                <w:rFonts w:hint="eastAsia"/>
                <w:lang w:val="en-US" w:eastAsia="zh-CN"/>
              </w:rPr>
            </w:pPr>
            <w:r>
              <w:rPr>
                <w:rFonts w:hint="eastAsia"/>
                <w:b/>
                <w:bCs/>
                <w:lang w:val="en-US" w:eastAsia="zh-CN"/>
              </w:rPr>
              <w:t>(实质性要求)</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1.质量要求：符合国家相关标准、行业标准、地方标准或者其他标准、规范要求；</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2.履约验收：中标人与采购人应严格按照《财政部关于进一步加强政府采购需求和履约验收管理的指导意见》(财库〔2016〕205号)的要求进行验收。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lang w:eastAsia="zh-CN"/>
              </w:rPr>
            </w:pPr>
          </w:p>
        </w:tc>
        <w:tc>
          <w:tcPr>
            <w:tcW w:w="1936" w:type="dxa"/>
            <w:vAlign w:val="center"/>
          </w:tcPr>
          <w:p>
            <w:pPr>
              <w:pStyle w:val="45"/>
              <w:bidi w:val="0"/>
              <w:rPr>
                <w:rFonts w:hint="eastAsia"/>
                <w:lang w:val="en-US" w:eastAsia="zh-CN"/>
              </w:rPr>
            </w:pPr>
            <w:r>
              <w:rPr>
                <w:rFonts w:hint="eastAsia"/>
              </w:rPr>
              <w:t>现场</w:t>
            </w:r>
            <w:r>
              <w:rPr>
                <w:rFonts w:hint="eastAsia"/>
                <w:lang w:val="en-US" w:eastAsia="zh-CN"/>
              </w:rPr>
              <w:t>考察、标前</w:t>
            </w:r>
          </w:p>
          <w:p>
            <w:pPr>
              <w:pStyle w:val="45"/>
              <w:bidi w:val="0"/>
              <w:rPr>
                <w:rFonts w:hint="eastAsia"/>
              </w:rPr>
            </w:pPr>
            <w:r>
              <w:rPr>
                <w:rFonts w:hint="eastAsia"/>
              </w:rPr>
              <w:t>答疑</w:t>
            </w:r>
            <w:r>
              <w:rPr>
                <w:rFonts w:hint="eastAsia"/>
                <w:lang w:val="en-US" w:eastAsia="zh-CN"/>
              </w:rPr>
              <w:t>会</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lang w:val="en-US" w:eastAsia="zh-CN"/>
              </w:rPr>
              <w:t>1.</w:t>
            </w:r>
            <w:r>
              <w:rPr>
                <w:rFonts w:hint="eastAsia"/>
              </w:rPr>
              <w:t>采购人、采购代理机构可以视采购项目的具体情况，组织</w:t>
            </w:r>
            <w:r>
              <w:rPr>
                <w:rFonts w:hint="eastAsia"/>
                <w:lang w:eastAsia="zh-CN"/>
              </w:rPr>
              <w:t>投标人</w:t>
            </w:r>
            <w:r>
              <w:rPr>
                <w:rFonts w:hint="eastAsia"/>
              </w:rPr>
              <w:t>进行现场考察或</w:t>
            </w:r>
            <w:r>
              <w:rPr>
                <w:rFonts w:hint="eastAsia"/>
                <w:lang w:eastAsia="zh-CN"/>
              </w:rPr>
              <w:t>开标</w:t>
            </w:r>
            <w:r>
              <w:rPr>
                <w:rFonts w:hint="eastAsia"/>
              </w:rPr>
              <w:t>前答疑会，但不得单独或分别组织只有一个</w:t>
            </w:r>
            <w:r>
              <w:rPr>
                <w:rFonts w:hint="eastAsia"/>
                <w:lang w:eastAsia="zh-CN"/>
              </w:rPr>
              <w:t>投标人</w:t>
            </w:r>
            <w:r>
              <w:rPr>
                <w:rFonts w:hint="eastAsia"/>
              </w:rPr>
              <w:t>参加的现场考察和答疑会。若组织答疑会和现场考察以采购代理机构通知为准。</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2.</w:t>
            </w:r>
            <w:r>
              <w:rPr>
                <w:rFonts w:hint="eastAsia"/>
                <w:lang w:eastAsia="zh-CN"/>
              </w:rPr>
              <w:t>投标人</w:t>
            </w:r>
            <w:r>
              <w:rPr>
                <w:rFonts w:hint="eastAsia"/>
              </w:rPr>
              <w:t>考察现场所发生的一切费用由</w:t>
            </w:r>
            <w:r>
              <w:rPr>
                <w:rFonts w:hint="eastAsia"/>
                <w:lang w:eastAsia="zh-CN"/>
              </w:rPr>
              <w:t>投标人</w:t>
            </w:r>
            <w:r>
              <w:rPr>
                <w:rFonts w:hint="eastAsia"/>
                <w:lang w:val="en-US" w:eastAsia="zh-CN"/>
              </w:rPr>
              <w:t>自行</w:t>
            </w:r>
            <w:r>
              <w:rPr>
                <w:rFonts w:hint="eastAsia"/>
              </w:rPr>
              <w:t>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lang w:val="zh-CN" w:eastAsia="zh-CN"/>
              </w:rPr>
            </w:pPr>
          </w:p>
        </w:tc>
        <w:tc>
          <w:tcPr>
            <w:tcW w:w="1936" w:type="dxa"/>
            <w:vAlign w:val="center"/>
          </w:tcPr>
          <w:p>
            <w:pPr>
              <w:pStyle w:val="45"/>
              <w:bidi w:val="0"/>
              <w:rPr>
                <w:rFonts w:hint="eastAsia"/>
                <w:highlight w:val="none"/>
                <w:lang w:val="zh-CN"/>
              </w:rPr>
            </w:pPr>
            <w:r>
              <w:rPr>
                <w:rFonts w:hint="eastAsia"/>
                <w:highlight w:val="none"/>
                <w:lang w:val="zh-CN"/>
              </w:rPr>
              <w:t>投标保证金</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highlight w:val="none"/>
                <w:lang w:val="zh-CN"/>
              </w:rPr>
            </w:pPr>
            <w:r>
              <w:rPr>
                <w:rFonts w:hint="eastAsia"/>
                <w:highlight w:val="none"/>
                <w:lang w:val="en-US" w:eastAsia="zh-CN"/>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lang w:val="zh-CN" w:eastAsia="zh-CN"/>
              </w:rPr>
            </w:pPr>
          </w:p>
        </w:tc>
        <w:tc>
          <w:tcPr>
            <w:tcW w:w="1936" w:type="dxa"/>
            <w:vAlign w:val="center"/>
          </w:tcPr>
          <w:p>
            <w:pPr>
              <w:pStyle w:val="45"/>
              <w:bidi w:val="0"/>
              <w:rPr>
                <w:rFonts w:hint="eastAsia"/>
              </w:rPr>
            </w:pPr>
            <w:r>
              <w:rPr>
                <w:rFonts w:hint="eastAsia"/>
              </w:rPr>
              <w:t>低于成本价不正当竞争预防措施</w:t>
            </w:r>
          </w:p>
          <w:p>
            <w:pPr>
              <w:pStyle w:val="45"/>
              <w:bidi w:val="0"/>
              <w:ind w:firstLine="0" w:firstLineChars="0"/>
              <w:rPr>
                <w:rFonts w:hint="eastAsia"/>
                <w:lang w:val="zh-CN"/>
              </w:rPr>
            </w:pPr>
            <w:r>
              <w:rPr>
                <w:rFonts w:hint="eastAsia"/>
                <w:b/>
                <w:bCs/>
                <w:lang w:eastAsia="zh-CN"/>
              </w:rPr>
              <w:t>(</w:t>
            </w:r>
            <w:r>
              <w:rPr>
                <w:rFonts w:hint="eastAsia"/>
                <w:b/>
                <w:bCs/>
              </w:rPr>
              <w:t>实质性要求</w:t>
            </w:r>
            <w:r>
              <w:rPr>
                <w:rFonts w:hint="eastAsia"/>
                <w:b/>
                <w:bCs/>
                <w:lang w:eastAsia="zh-CN"/>
              </w:rPr>
              <w:t>)</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highlight w:val="magenta"/>
                <w:lang w:val="en-US" w:eastAsia="zh-CN"/>
              </w:rPr>
            </w:pPr>
            <w:r>
              <w:rPr>
                <w:rFonts w:hint="eastAsia" w:ascii="宋体" w:hAnsi="宋体" w:eastAsia="宋体" w:cs="宋体"/>
                <w:b/>
                <w:bCs/>
                <w:lang w:val="en-US" w:eastAsia="zh-CN"/>
              </w:rPr>
              <w:t>注：投标人提交的书面说明、相关证明材料</w:t>
            </w:r>
            <w:r>
              <w:rPr>
                <w:rFonts w:hint="eastAsia" w:cs="宋体"/>
                <w:b/>
                <w:bCs/>
                <w:lang w:val="en-US" w:eastAsia="zh-CN"/>
              </w:rPr>
              <w:t>(</w:t>
            </w:r>
            <w:r>
              <w:rPr>
                <w:rFonts w:hint="eastAsia" w:ascii="宋体" w:hAnsi="宋体" w:eastAsia="宋体" w:cs="宋体"/>
                <w:b/>
                <w:bCs/>
                <w:lang w:val="en-US" w:eastAsia="zh-CN"/>
              </w:rPr>
              <w:t>如涉及</w:t>
            </w:r>
            <w:r>
              <w:rPr>
                <w:rFonts w:hint="eastAsia" w:cs="宋体"/>
                <w:b/>
                <w:bCs/>
                <w:lang w:val="en-US" w:eastAsia="zh-CN"/>
              </w:rPr>
              <w:t>)</w:t>
            </w:r>
            <w:r>
              <w:rPr>
                <w:rFonts w:hint="eastAsia" w:ascii="宋体" w:hAnsi="宋体" w:eastAsia="宋体" w:cs="宋体"/>
                <w:b/>
                <w:bCs/>
                <w:lang w:val="en-US" w:eastAsia="zh-CN"/>
              </w:rPr>
              <w:t>，应当加盖投标人</w:t>
            </w:r>
            <w:r>
              <w:rPr>
                <w:rFonts w:hint="eastAsia" w:cs="宋体"/>
                <w:b/>
                <w:bCs/>
                <w:lang w:val="en-US" w:eastAsia="zh-CN"/>
              </w:rPr>
              <w:t>(</w:t>
            </w:r>
            <w:r>
              <w:rPr>
                <w:rFonts w:hint="eastAsia" w:ascii="宋体" w:hAnsi="宋体" w:eastAsia="宋体" w:cs="宋体"/>
                <w:b/>
                <w:bCs/>
                <w:lang w:val="en-US" w:eastAsia="zh-CN"/>
              </w:rPr>
              <w:t>法定名称</w:t>
            </w:r>
            <w:r>
              <w:rPr>
                <w:rFonts w:hint="eastAsia" w:cs="宋体"/>
                <w:b/>
                <w:bCs/>
                <w:lang w:val="en-US" w:eastAsia="zh-CN"/>
              </w:rPr>
              <w:t>)</w:t>
            </w:r>
            <w:r>
              <w:rPr>
                <w:rFonts w:hint="eastAsia" w:ascii="宋体" w:hAnsi="宋体" w:eastAsia="宋体" w:cs="宋体"/>
                <w:b/>
                <w:bCs/>
                <w:lang w:val="en-US" w:eastAsia="zh-CN"/>
              </w:rPr>
              <w:t>电子签章，在评标委员会要求的时间内通过</w:t>
            </w:r>
            <w:r>
              <w:rPr>
                <w:rFonts w:hint="eastAsia" w:cs="宋体"/>
                <w:b/>
                <w:bCs/>
                <w:lang w:val="en-US" w:eastAsia="zh-CN"/>
              </w:rPr>
              <w:t>“</w:t>
            </w:r>
            <w:r>
              <w:rPr>
                <w:rFonts w:hint="eastAsia" w:ascii="宋体" w:hAnsi="宋体" w:eastAsia="宋体" w:cs="宋体"/>
                <w:b/>
                <w:bCs/>
                <w:lang w:val="en-US" w:eastAsia="zh-CN"/>
              </w:rPr>
              <w:t>政府采购云平台</w:t>
            </w:r>
            <w:r>
              <w:rPr>
                <w:rFonts w:hint="eastAsia" w:cs="宋体"/>
                <w:b/>
                <w:bCs/>
                <w:lang w:val="en-US" w:eastAsia="zh-CN"/>
              </w:rPr>
              <w:t>”</w:t>
            </w:r>
            <w:r>
              <w:rPr>
                <w:rFonts w:hint="eastAsia" w:ascii="宋体" w:hAnsi="宋体" w:eastAsia="宋体" w:cs="宋体"/>
                <w:b/>
                <w:bCs/>
                <w:lang w:val="en-US" w:eastAsia="zh-CN"/>
              </w:rPr>
              <w:t>进行递交，否则无效</w:t>
            </w:r>
            <w:r>
              <w:rPr>
                <w:rFonts w:hint="eastAsia" w:cs="宋体"/>
                <w:b/>
                <w:bCs/>
                <w:lang w:val="en-US" w:eastAsia="zh-CN"/>
              </w:rPr>
              <w:t>(</w:t>
            </w:r>
            <w:r>
              <w:rPr>
                <w:rFonts w:hint="eastAsia" w:ascii="宋体" w:hAnsi="宋体" w:eastAsia="宋体" w:cs="宋体"/>
                <w:b/>
                <w:bCs/>
                <w:lang w:val="en-US" w:eastAsia="zh-CN"/>
              </w:rPr>
              <w:t>给予供应商澄清、说明的时间不得少于30分钟，供应商已明确表示澄清、说明完毕的除外</w:t>
            </w:r>
            <w:r>
              <w:rPr>
                <w:rFonts w:hint="eastAsia" w:cs="宋体"/>
                <w:b/>
                <w:bCs/>
                <w:lang w:val="en-US" w:eastAsia="zh-CN"/>
              </w:rPr>
              <w:t>)</w:t>
            </w:r>
            <w:r>
              <w:rPr>
                <w:rFonts w:hint="eastAsia" w:ascii="宋体" w:hAnsi="宋体" w:eastAsia="宋体" w:cs="宋体"/>
                <w:b/>
                <w:bCs/>
                <w:lang w:val="en-US" w:eastAsia="zh-CN"/>
              </w:rPr>
              <w:t>。如因</w:t>
            </w:r>
            <w:r>
              <w:rPr>
                <w:rFonts w:hint="eastAsia" w:cs="宋体"/>
                <w:b/>
                <w:bCs/>
                <w:lang w:val="en-US" w:eastAsia="zh-CN"/>
              </w:rPr>
              <w:t>采购代理机构</w:t>
            </w:r>
            <w:r>
              <w:rPr>
                <w:rFonts w:hint="eastAsia" w:ascii="宋体" w:hAnsi="宋体" w:eastAsia="宋体" w:cs="宋体"/>
                <w:b/>
                <w:bCs/>
                <w:lang w:val="en-US" w:eastAsia="zh-CN"/>
              </w:rPr>
              <w:t>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lang w:val="en-US" w:eastAsia="zh-CN"/>
              </w:rPr>
            </w:pPr>
          </w:p>
        </w:tc>
        <w:tc>
          <w:tcPr>
            <w:tcW w:w="1936" w:type="dxa"/>
            <w:vAlign w:val="center"/>
          </w:tcPr>
          <w:p>
            <w:pPr>
              <w:pStyle w:val="45"/>
              <w:keepNext w:val="0"/>
              <w:keepLines w:val="0"/>
              <w:pageBreakBefore w:val="0"/>
              <w:widowControl w:val="0"/>
              <w:kinsoku/>
              <w:wordWrap w:val="0"/>
              <w:overflowPunct/>
              <w:topLinePunct/>
              <w:autoSpaceDE/>
              <w:autoSpaceDN/>
              <w:bidi w:val="0"/>
              <w:adjustRightInd w:val="0"/>
              <w:snapToGrid w:val="0"/>
              <w:ind w:left="24" w:leftChars="10" w:right="24" w:rightChars="10"/>
              <w:textAlignment w:val="auto"/>
              <w:rPr>
                <w:rFonts w:hint="eastAsia"/>
              </w:rPr>
            </w:pPr>
            <w:r>
              <w:rPr>
                <w:rFonts w:hint="eastAsia"/>
              </w:rPr>
              <w:t>小微企业、监狱企业</w:t>
            </w:r>
            <w:r>
              <w:rPr>
                <w:rFonts w:hint="eastAsia"/>
                <w:lang w:eastAsia="zh-CN"/>
              </w:rPr>
              <w:t>、</w:t>
            </w:r>
            <w:r>
              <w:rPr>
                <w:rFonts w:hint="eastAsia"/>
                <w:lang w:val="en-US" w:eastAsia="zh-CN"/>
              </w:rPr>
              <w:t>残疾人福利性单位</w:t>
            </w:r>
            <w:r>
              <w:rPr>
                <w:rFonts w:hint="eastAsia"/>
              </w:rPr>
              <w:t>价格扣除</w:t>
            </w:r>
          </w:p>
          <w:p>
            <w:pPr>
              <w:pStyle w:val="45"/>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rPr>
            </w:pPr>
            <w:r>
              <w:rPr>
                <w:rFonts w:hint="eastAsia"/>
                <w:b/>
                <w:bCs/>
                <w:lang w:eastAsia="zh-CN"/>
              </w:rPr>
              <w:t>(</w:t>
            </w:r>
            <w:r>
              <w:rPr>
                <w:rFonts w:hint="eastAsia"/>
                <w:b/>
                <w:bCs/>
                <w:lang w:val="en-US" w:eastAsia="zh-CN"/>
              </w:rPr>
              <w:t>实质性要求</w:t>
            </w:r>
            <w:r>
              <w:rPr>
                <w:rFonts w:hint="eastAsia"/>
                <w:b/>
                <w:bCs/>
                <w:lang w:eastAsia="zh-CN"/>
              </w:rPr>
              <w:t>)</w:t>
            </w:r>
          </w:p>
        </w:tc>
        <w:tc>
          <w:tcPr>
            <w:tcW w:w="7244" w:type="dxa"/>
            <w:gridSpan w:val="2"/>
            <w:vAlign w:val="center"/>
          </w:tcPr>
          <w:p>
            <w:pPr>
              <w:pStyle w:val="41"/>
              <w:keepNext w:val="0"/>
              <w:keepLines w:val="0"/>
              <w:pageBreakBefore w:val="0"/>
              <w:widowControl w:val="0"/>
              <w:numPr>
                <w:ilvl w:val="0"/>
                <w:numId w:val="11"/>
              </w:numPr>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rPr>
              <w:t>政府采购促进中小企业发展</w:t>
            </w:r>
            <w:r>
              <w:rPr>
                <w:rFonts w:hint="eastAsia"/>
                <w:lang w:val="en-US" w:eastAsia="zh-CN"/>
              </w:rPr>
              <w:t>政策</w:t>
            </w:r>
          </w:p>
          <w:p>
            <w:pPr>
              <w:pStyle w:val="41"/>
              <w:keepNext w:val="0"/>
              <w:keepLines w:val="0"/>
              <w:pageBreakBefore w:val="0"/>
              <w:widowControl w:val="0"/>
              <w:numPr>
                <w:ilvl w:val="0"/>
                <w:numId w:val="12"/>
              </w:numPr>
              <w:tabs>
                <w:tab w:val="clear" w:pos="312"/>
              </w:tabs>
              <w:kinsoku/>
              <w:wordWrap w:val="0"/>
              <w:overflowPunct/>
              <w:topLinePunct/>
              <w:autoSpaceDE/>
              <w:autoSpaceDN/>
              <w:bidi w:val="0"/>
              <w:adjustRightInd w:val="0"/>
              <w:snapToGrid w:val="0"/>
              <w:ind w:leftChars="25" w:right="60" w:rightChars="25"/>
              <w:textAlignment w:val="auto"/>
              <w:rPr>
                <w:rFonts w:hint="eastAsia"/>
                <w:lang w:val="en-US" w:eastAsia="zh-CN"/>
              </w:rPr>
            </w:pPr>
            <w:r>
              <w:rPr>
                <w:rFonts w:hint="eastAsia"/>
                <w:b/>
                <w:bCs/>
                <w:lang w:val="en-US" w:eastAsia="zh-CN"/>
              </w:rPr>
              <w:t>定义：</w:t>
            </w:r>
            <w:r>
              <w:rPr>
                <w:rFonts w:hint="eastAsia"/>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pStyle w:val="41"/>
              <w:keepNext w:val="0"/>
              <w:keepLines w:val="0"/>
              <w:pageBreakBefore w:val="0"/>
              <w:widowControl w:val="0"/>
              <w:numPr>
                <w:ilvl w:val="0"/>
                <w:numId w:val="0"/>
              </w:numPr>
              <w:kinsoku/>
              <w:wordWrap w:val="0"/>
              <w:overflowPunct/>
              <w:topLinePunct/>
              <w:autoSpaceDE/>
              <w:autoSpaceDN/>
              <w:bidi w:val="0"/>
              <w:adjustRightInd w:val="0"/>
              <w:snapToGrid w:val="0"/>
              <w:ind w:leftChars="25" w:right="60" w:rightChars="25"/>
              <w:textAlignment w:val="auto"/>
              <w:rPr>
                <w:rFonts w:hint="eastAsia"/>
                <w:lang w:val="en-US" w:eastAsia="zh-CN"/>
              </w:rPr>
            </w:pPr>
            <w:r>
              <w:rPr>
                <w:rFonts w:hint="eastAsia"/>
                <w:b/>
                <w:bCs/>
                <w:lang w:val="en-US" w:eastAsia="zh-CN"/>
              </w:rPr>
              <w:t>适用情形：</w:t>
            </w:r>
            <w:r>
              <w:rPr>
                <w:rFonts w:hint="eastAsia"/>
                <w:lang w:val="en-US" w:eastAsia="zh-CN"/>
              </w:rPr>
              <w:t>在服务采购项目中，服务由中小企业承接，即提供服务的人员为中小企业依照《中华人民共和国劳动合同法》 订立劳动合同的从业人员。</w:t>
            </w:r>
          </w:p>
          <w:p>
            <w:pPr>
              <w:pStyle w:val="41"/>
              <w:keepNext w:val="0"/>
              <w:keepLines w:val="0"/>
              <w:pageBreakBefore w:val="0"/>
              <w:widowControl w:val="0"/>
              <w:numPr>
                <w:ilvl w:val="0"/>
                <w:numId w:val="0"/>
              </w:numPr>
              <w:kinsoku/>
              <w:wordWrap w:val="0"/>
              <w:overflowPunct/>
              <w:topLinePunct/>
              <w:autoSpaceDE/>
              <w:autoSpaceDN/>
              <w:bidi w:val="0"/>
              <w:adjustRightInd w:val="0"/>
              <w:snapToGrid w:val="0"/>
              <w:ind w:leftChars="25" w:right="60" w:rightChars="25"/>
              <w:textAlignment w:val="auto"/>
              <w:rPr>
                <w:rFonts w:hint="eastAsia"/>
                <w:lang w:val="en-US" w:eastAsia="zh-CN"/>
              </w:rPr>
            </w:pPr>
            <w:r>
              <w:rPr>
                <w:rFonts w:hint="eastAsia"/>
                <w:lang w:val="en-US" w:eastAsia="zh-CN"/>
              </w:rPr>
              <w:t>注：关于中小微型企业划分标准详见附件三。</w:t>
            </w:r>
          </w:p>
          <w:p>
            <w:pPr>
              <w:pStyle w:val="41"/>
              <w:keepNext w:val="0"/>
              <w:keepLines w:val="0"/>
              <w:pageBreakBefore w:val="0"/>
              <w:widowControl w:val="0"/>
              <w:numPr>
                <w:ilvl w:val="0"/>
                <w:numId w:val="12"/>
              </w:numPr>
              <w:tabs>
                <w:tab w:val="clear" w:pos="312"/>
              </w:tabs>
              <w:kinsoku/>
              <w:wordWrap w:val="0"/>
              <w:overflowPunct/>
              <w:topLinePunct/>
              <w:autoSpaceDE/>
              <w:autoSpaceDN/>
              <w:bidi w:val="0"/>
              <w:adjustRightInd w:val="0"/>
              <w:snapToGrid w:val="0"/>
              <w:ind w:leftChars="25" w:right="60" w:rightChars="25"/>
              <w:textAlignment w:val="auto"/>
              <w:rPr>
                <w:rFonts w:hint="default"/>
                <w:color w:val="000000" w:themeColor="text1"/>
                <w:lang w:val="en-US" w:eastAsia="zh-CN"/>
                <w14:textFill>
                  <w14:solidFill>
                    <w14:schemeClr w14:val="tx1"/>
                  </w14:solidFill>
                </w14:textFill>
              </w:rPr>
            </w:pPr>
            <w:r>
              <w:rPr>
                <w:rFonts w:hint="eastAsia"/>
                <w:lang w:val="en-US" w:eastAsia="zh-CN"/>
              </w:rPr>
              <w:t>执</w:t>
            </w:r>
            <w:r>
              <w:rPr>
                <w:rFonts w:hint="eastAsia"/>
                <w:color w:val="000000" w:themeColor="text1"/>
                <w:lang w:val="en-US" w:eastAsia="zh-CN"/>
                <w14:textFill>
                  <w14:solidFill>
                    <w14:schemeClr w14:val="tx1"/>
                  </w14:solidFill>
                </w14:textFill>
              </w:rPr>
              <w:t>行方式：</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spacing w:val="-8"/>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根据关于印发《政府采购促进中小企业发展管理办法》的通知</w:t>
            </w:r>
            <w:r>
              <w:rPr>
                <w:rFonts w:hint="eastAsia"/>
                <w:color w:val="000000" w:themeColor="text1"/>
                <w:lang w:eastAsia="zh-CN"/>
                <w14:textFill>
                  <w14:solidFill>
                    <w14:schemeClr w14:val="tx1"/>
                  </w14:solidFill>
                </w14:textFill>
              </w:rPr>
              <w:t>(财库〔2020〕46号)、四川省人民政府关于印发进一步规范政府采购监管和执行若干规定的通知川府发〔</w:t>
            </w:r>
            <w:r>
              <w:rPr>
                <w:rFonts w:hint="eastAsia"/>
                <w:lang w:eastAsia="zh-CN"/>
              </w:rPr>
              <w:t>2018〕14号</w:t>
            </w:r>
            <w:r>
              <w:rPr>
                <w:rFonts w:hint="eastAsia"/>
              </w:rPr>
              <w:t>的规定，对小型和微型企业的价格给予</w:t>
            </w:r>
            <w:r>
              <w:rPr>
                <w:rFonts w:hint="eastAsia"/>
                <w:lang w:val="en-US" w:eastAsia="zh-CN"/>
              </w:rPr>
              <w:t>10</w:t>
            </w:r>
            <w:r>
              <w:rPr>
                <w:rFonts w:hint="eastAsia"/>
              </w:rPr>
              <w:t>%的价格扣除，用扣除后的价格参与评审</w:t>
            </w:r>
            <w:r>
              <w:rPr>
                <w:rFonts w:hint="eastAsia"/>
                <w:lang w:eastAsia="zh-CN"/>
              </w:rPr>
              <w:t>(</w:t>
            </w:r>
            <w:r>
              <w:rPr>
                <w:rFonts w:hint="eastAsia"/>
                <w:lang w:val="en-US" w:eastAsia="zh-CN"/>
              </w:rPr>
              <w:t>适用于</w:t>
            </w:r>
            <w:r>
              <w:rPr>
                <w:spacing w:val="8"/>
              </w:rPr>
              <w:t>经主管预算单位统筹后未预留份额专门</w:t>
            </w:r>
            <w:r>
              <w:t>面向中小企业采购的采购项目，以及</w:t>
            </w:r>
            <w:r>
              <w:rPr>
                <w:spacing w:val="-8"/>
              </w:rPr>
              <w:t>预留份额项目中的非预留部分采购包</w:t>
            </w:r>
            <w:r>
              <w:rPr>
                <w:rFonts w:hint="eastAsia"/>
                <w:spacing w:val="-8"/>
                <w:lang w:eastAsia="zh-CN"/>
              </w:rPr>
              <w:t>)</w:t>
            </w:r>
            <w:r>
              <w:rPr>
                <w:rFonts w:hint="eastAsia"/>
                <w:spacing w:val="-8"/>
              </w:rPr>
              <w:t>。</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spacing w:val="-8"/>
              </w:rPr>
            </w:pPr>
            <w:r>
              <w:rPr>
                <w:rFonts w:hint="eastAsia"/>
                <w:spacing w:val="-8"/>
                <w:lang w:eastAsia="zh-CN"/>
              </w:rPr>
              <w:t>(</w:t>
            </w:r>
            <w:r>
              <w:rPr>
                <w:rFonts w:hint="eastAsia"/>
                <w:spacing w:val="-8"/>
                <w:lang w:val="en-US" w:eastAsia="zh-CN"/>
              </w:rPr>
              <w:t>2</w:t>
            </w:r>
            <w:r>
              <w:rPr>
                <w:rFonts w:hint="eastAsia"/>
                <w:spacing w:val="-8"/>
                <w:lang w:eastAsia="zh-CN"/>
              </w:rPr>
              <w:t>)中小企业参加政府采购活动，应当出具《中小企业声明函》(</w:t>
            </w:r>
            <w:r>
              <w:rPr>
                <w:rFonts w:hint="eastAsia"/>
                <w:spacing w:val="-8"/>
                <w:lang w:val="en-US" w:eastAsia="zh-CN"/>
              </w:rPr>
              <w:t>格式详见招标文件</w:t>
            </w:r>
            <w:r>
              <w:rPr>
                <w:rFonts w:hint="eastAsia"/>
                <w:spacing w:val="-8"/>
                <w:lang w:eastAsia="zh-CN"/>
              </w:rPr>
              <w:t>)，否则不得享受相关中小企业扶持政策</w:t>
            </w:r>
            <w:r>
              <w:rPr>
                <w:rFonts w:hint="eastAsia"/>
                <w:spacing w:val="-8"/>
              </w:rPr>
              <w:t>。</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default"/>
                <w:b/>
                <w:bCs/>
                <w:highlight w:val="yellow"/>
                <w:lang w:val="en-US" w:eastAsia="zh-CN"/>
              </w:rPr>
            </w:pPr>
            <w:r>
              <w:rPr>
                <w:rFonts w:hint="eastAsia"/>
                <w:spacing w:val="-8"/>
                <w:lang w:val="en-US" w:eastAsia="zh-CN"/>
              </w:rPr>
              <w:t>(3)投标人应当对其出具的《中小企业声明函》真实性负责，投标人出具的《中小企业声明函》内容不实的，属于提供虚假材料谋取中标。在实际操作中，投标人希望获得《办法》规定政策支持的，应从制造商处获得充分、准确的信息。对相关制造商信息了解不充分，或者不能确定相关信息真实、准确的，不建议出具《中小企业声明函》。</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rPr>
              <w:t>二、监狱企业价格扣除</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rPr>
              <w:t>1.根据财政部司法部关于政府采购支持监狱企业发展有关问题的通知财库〔2014〕68号的规定，在政府采购活动中，监狱企业视同小型、微型企业，享受预留份额、评审中价格扣除等政府采购促进中小企业发展的政府采购政策。</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rPr>
              <w:t>2.本项目对监狱企业</w:t>
            </w:r>
            <w:r>
              <w:rPr>
                <w:rFonts w:hint="eastAsia"/>
                <w:lang w:eastAsia="zh-CN"/>
              </w:rPr>
              <w:t>参与投标</w:t>
            </w:r>
            <w:r>
              <w:rPr>
                <w:rFonts w:hint="eastAsia"/>
              </w:rPr>
              <w:t>的价格给予</w:t>
            </w:r>
            <w:r>
              <w:rPr>
                <w:rFonts w:hint="eastAsia"/>
                <w:lang w:val="en-US" w:eastAsia="zh-CN"/>
              </w:rPr>
              <w:t>10</w:t>
            </w:r>
            <w:r>
              <w:rPr>
                <w:rFonts w:hint="eastAsia"/>
              </w:rPr>
              <w:t>%的扣除，用扣除后的价格参与评审。</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rPr>
              <w:t>3.监狱企业参加政府采购活动时，应当提供由省级以上监狱管理局、戒毒管理局</w:t>
            </w:r>
            <w:r>
              <w:rPr>
                <w:rFonts w:hint="eastAsia"/>
                <w:lang w:eastAsia="zh-CN"/>
              </w:rPr>
              <w:t>(</w:t>
            </w:r>
            <w:r>
              <w:rPr>
                <w:rFonts w:hint="eastAsia"/>
              </w:rPr>
              <w:t>含新疆生产建设兵团</w:t>
            </w:r>
            <w:r>
              <w:rPr>
                <w:rFonts w:hint="eastAsia"/>
                <w:lang w:eastAsia="zh-CN"/>
              </w:rPr>
              <w:t>)</w:t>
            </w:r>
            <w:r>
              <w:rPr>
                <w:rFonts w:hint="eastAsia"/>
              </w:rPr>
              <w:t>出具的属于监狱企业的证明文件。</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lang w:val="en-US" w:eastAsia="zh-CN"/>
              </w:rPr>
              <w:t>4.</w:t>
            </w:r>
            <w:r>
              <w:rPr>
                <w:rFonts w:hint="eastAsia"/>
              </w:rPr>
              <w:t>监狱企业</w:t>
            </w:r>
            <w:r>
              <w:rPr>
                <w:rFonts w:hint="eastAsia"/>
                <w:lang w:val="en-US" w:eastAsia="zh-CN"/>
              </w:rPr>
              <w:t>属于小型、微型企业的，不重复享受政策。</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三、残疾人福利性单位</w:t>
            </w:r>
            <w:r>
              <w:rPr>
                <w:rFonts w:hint="eastAsia"/>
              </w:rPr>
              <w:t>价格扣除</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1.根据《三部门联合发布关于促进残疾人就业政府采购政策的通知》(财库〔2017〕141号)的要求，在政府采购活动中，残疾人福利性单位视同小型、微型企业，享受预留份额、评审中价格扣除等促进中小企业发展的政府采购政策。</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2.本项目对残疾人福利性单位参与投标的价格给予10</w:t>
            </w:r>
            <w:r>
              <w:rPr>
                <w:rFonts w:hint="eastAsia"/>
              </w:rPr>
              <w:t>%</w:t>
            </w:r>
            <w:r>
              <w:rPr>
                <w:rFonts w:hint="eastAsia"/>
                <w:lang w:val="en-US" w:eastAsia="zh-CN"/>
              </w:rPr>
              <w:t>的扣除，用扣除后的价格参与评审。</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3.残疾人福利性单位参加政府采购活动时，应当提供本通知规定的《残疾人福利性单位声明函》。</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4.供应商提供的《残疾人福利性单位声明函》与事实不符的，依照《政府采购法》第七十七条第一款的规定追究法律责任。</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lang w:val="en-US" w:eastAsia="zh-CN"/>
              </w:rPr>
            </w:pPr>
            <w:r>
              <w:rPr>
                <w:rFonts w:hint="eastAsia"/>
                <w:lang w:val="en-US" w:eastAsia="zh-CN"/>
              </w:rPr>
              <w:t>5.残疾人福利性单位属于小型、微型企业的，不重复享受政策。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570" w:type="dxa"/>
            <w:vAlign w:val="center"/>
          </w:tcPr>
          <w:p>
            <w:pPr>
              <w:pStyle w:val="45"/>
              <w:numPr>
                <w:ilvl w:val="0"/>
                <w:numId w:val="9"/>
              </w:numPr>
              <w:bidi w:val="0"/>
              <w:ind w:left="0" w:leftChars="0" w:firstLine="0" w:firstLineChars="0"/>
              <w:rPr>
                <w:rFonts w:hint="eastAsia"/>
                <w:lang w:val="en-US" w:eastAsia="zh-CN"/>
              </w:rPr>
            </w:pPr>
          </w:p>
        </w:tc>
        <w:tc>
          <w:tcPr>
            <w:tcW w:w="1936" w:type="dxa"/>
            <w:vAlign w:val="center"/>
          </w:tcPr>
          <w:p>
            <w:pPr>
              <w:pStyle w:val="45"/>
              <w:bidi w:val="0"/>
              <w:rPr>
                <w:rFonts w:hint="eastAsia"/>
                <w:lang w:val="en-US" w:eastAsia="zh-CN"/>
              </w:rPr>
            </w:pPr>
            <w:r>
              <w:rPr>
                <w:rFonts w:hint="eastAsia"/>
                <w:lang w:val="en-US" w:eastAsia="zh-CN"/>
              </w:rPr>
              <w:t>建议品牌或者供应商</w:t>
            </w:r>
          </w:p>
          <w:p>
            <w:pPr>
              <w:pStyle w:val="45"/>
              <w:bidi w:val="0"/>
              <w:ind w:firstLine="0" w:firstLineChars="0"/>
              <w:rPr>
                <w:rFonts w:hint="eastAsia"/>
                <w:lang w:eastAsia="zh-CN"/>
              </w:rPr>
            </w:pPr>
            <w:r>
              <w:rPr>
                <w:rFonts w:hint="eastAsia"/>
                <w:lang w:val="en-US" w:eastAsia="zh-CN"/>
              </w:rPr>
              <w:t>(如涉及)</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rPr>
            </w:pPr>
            <w:r>
              <w:rPr>
                <w:rFonts w:hint="eastAsia"/>
                <w:lang w:val="en-US" w:eastAsia="zh-CN"/>
              </w:rPr>
              <w:t>若采购文件涉及品牌或者供应商，其目的是为了准确清楚说明采购项目的技术标准和要求，其意思表示为“参照或相当于”品牌或者供应商，其品牌或供应商具有可替代性。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lang w:val="en-US" w:eastAsia="zh-CN"/>
              </w:rPr>
            </w:pPr>
          </w:p>
        </w:tc>
        <w:tc>
          <w:tcPr>
            <w:tcW w:w="1936" w:type="dxa"/>
            <w:vAlign w:val="center"/>
          </w:tcPr>
          <w:p>
            <w:pPr>
              <w:pStyle w:val="45"/>
              <w:bidi w:val="0"/>
              <w:rPr>
                <w:rFonts w:hint="eastAsia"/>
                <w:highlight w:val="none"/>
                <w:lang w:val="en-US" w:eastAsia="zh-CN"/>
              </w:rPr>
            </w:pPr>
            <w:r>
              <w:rPr>
                <w:rFonts w:hint="eastAsia"/>
                <w:highlight w:val="none"/>
                <w:lang w:val="en-US" w:eastAsia="zh-CN"/>
              </w:rPr>
              <w:t>节能产品、环境标志产品、无线局域网产品、商品包装、快递包装采购政策</w:t>
            </w:r>
          </w:p>
          <w:p>
            <w:pPr>
              <w:pStyle w:val="45"/>
              <w:bidi w:val="0"/>
              <w:rPr>
                <w:rFonts w:hint="default"/>
                <w:lang w:val="en-US" w:eastAsia="zh-CN"/>
              </w:rPr>
            </w:pPr>
            <w:r>
              <w:rPr>
                <w:rFonts w:hint="eastAsia"/>
                <w:highlight w:val="none"/>
                <w:lang w:val="en-US" w:eastAsia="zh-CN"/>
              </w:rPr>
              <w:t>(如涉及)</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default" w:eastAsia="宋体"/>
                <w:lang w:val="en-US" w:eastAsia="zh-CN"/>
              </w:rPr>
            </w:pPr>
            <w:r>
              <w:rPr>
                <w:rFonts w:hint="eastAsia"/>
                <w:lang w:val="en-US" w:eastAsia="zh-CN"/>
              </w:rPr>
              <w:t>本项目不涉及</w:t>
            </w:r>
            <w:r>
              <w:rPr>
                <w:rFonts w:hint="eastAsia"/>
                <w:highlight w:val="none"/>
                <w:lang w:val="en-US" w:eastAsia="zh-CN"/>
              </w:rPr>
              <w:t>节能产品、环境标志产品、无线局域网产品，商品包装、快递包装等采购政策，故不在招标文件中体现。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lang w:val="en-US" w:eastAsia="zh-CN"/>
              </w:rPr>
            </w:pPr>
          </w:p>
        </w:tc>
        <w:tc>
          <w:tcPr>
            <w:tcW w:w="1936" w:type="dxa"/>
            <w:vAlign w:val="center"/>
          </w:tcPr>
          <w:p>
            <w:pPr>
              <w:pStyle w:val="45"/>
              <w:bidi w:val="0"/>
              <w:rPr>
                <w:rFonts w:hint="eastAsia"/>
                <w:lang w:val="en-US" w:eastAsia="zh-CN"/>
              </w:rPr>
            </w:pPr>
            <w:r>
              <w:rPr>
                <w:rFonts w:hint="eastAsia"/>
                <w:lang w:val="en-US" w:eastAsia="zh-CN"/>
              </w:rPr>
              <w:t>其他强制性规定</w:t>
            </w:r>
          </w:p>
          <w:p>
            <w:pPr>
              <w:pStyle w:val="45"/>
              <w:bidi w:val="0"/>
              <w:ind w:firstLine="0" w:firstLineChars="0"/>
              <w:rPr>
                <w:rFonts w:hint="eastAsia"/>
                <w:lang w:eastAsia="zh-CN"/>
              </w:rPr>
            </w:pPr>
            <w:r>
              <w:rPr>
                <w:rFonts w:hint="eastAsia"/>
                <w:lang w:val="en-US" w:eastAsia="zh-CN"/>
              </w:rPr>
              <w:t>(</w:t>
            </w:r>
            <w:r>
              <w:rPr>
                <w:rFonts w:hint="eastAsia"/>
                <w:highlight w:val="none"/>
                <w:lang w:val="en-US" w:eastAsia="zh-CN"/>
              </w:rPr>
              <w:t>如涉及时作为</w:t>
            </w:r>
            <w:r>
              <w:rPr>
                <w:rFonts w:hint="eastAsia"/>
                <w:lang w:val="en-US" w:eastAsia="zh-CN"/>
              </w:rPr>
              <w:t>实质性要求)</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rPr>
            </w:pPr>
            <w:r>
              <w:rPr>
                <w:rFonts w:hint="eastAsia"/>
                <w:lang w:val="en-US" w:eastAsia="zh-CN"/>
              </w:rPr>
              <w:t>国家或行业主管部门对采购产品的技术标准、质量标准和资格资质条件等有强制性规定的，必须符合其要求。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rPr>
            </w:pPr>
          </w:p>
        </w:tc>
        <w:tc>
          <w:tcPr>
            <w:tcW w:w="1936" w:type="dxa"/>
            <w:vAlign w:val="center"/>
          </w:tcPr>
          <w:p>
            <w:pPr>
              <w:pStyle w:val="45"/>
              <w:bidi w:val="0"/>
              <w:rPr>
                <w:rFonts w:hint="eastAsia"/>
                <w:lang w:val="zh-CN"/>
              </w:rPr>
            </w:pPr>
            <w:r>
              <w:rPr>
                <w:rFonts w:hint="eastAsia"/>
                <w:lang w:val="zh-CN"/>
              </w:rPr>
              <w:t>评</w:t>
            </w:r>
            <w:r>
              <w:rPr>
                <w:rFonts w:hint="eastAsia"/>
              </w:rPr>
              <w:t>审</w:t>
            </w:r>
            <w:r>
              <w:rPr>
                <w:rFonts w:hint="eastAsia"/>
                <w:lang w:val="zh-CN"/>
              </w:rPr>
              <w:t>情况的公告</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lang w:val="en-US" w:eastAsia="zh-CN"/>
              </w:rPr>
              <w:t>1.</w:t>
            </w:r>
            <w:r>
              <w:rPr>
                <w:rFonts w:hint="eastAsia"/>
              </w:rPr>
              <w:t>所有供应商投标文件资格性、符合性审查情况、采用综合评分法时的总得分和分项汇总得分情况、</w:t>
            </w:r>
            <w:r>
              <w:rPr>
                <w:rFonts w:hint="eastAsia"/>
                <w:lang w:val="en-US" w:eastAsia="zh-CN"/>
              </w:rPr>
              <w:t>《中小企业声明函》(如涉及)、</w:t>
            </w:r>
            <w:r>
              <w:rPr>
                <w:rFonts w:hint="eastAsia"/>
              </w:rPr>
              <w:t>评审结果等将在</w:t>
            </w:r>
            <w:r>
              <w:rPr>
                <w:rFonts w:hint="eastAsia"/>
                <w:lang w:eastAsia="zh-CN"/>
              </w:rPr>
              <w:t>“四川政府采购网”</w:t>
            </w:r>
            <w:r>
              <w:rPr>
                <w:rFonts w:hint="eastAsia"/>
              </w:rPr>
              <w:t>采购结果公告附件中予以公告。</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zh-CN"/>
              </w:rPr>
            </w:pPr>
            <w:r>
              <w:rPr>
                <w:rFonts w:hint="eastAsia"/>
                <w:lang w:val="en-US" w:eastAsia="zh-CN"/>
              </w:rPr>
              <w:t>2.</w:t>
            </w:r>
            <w:r>
              <w:rPr>
                <w:rFonts w:hint="eastAsia"/>
                <w:lang w:val="zh-CN"/>
              </w:rPr>
              <w:t>根据《中华人民共和国政府采购法实施条例》第四十三条的规定，公告内容应当包括主要中标标的的名称、规格型号、数量、单价、服务要求以及评审专家名单。投标人须将投标文件中涉及商业秘密和知识产权的内容进行标注和说明，若未进行标注和说明的，视为全部内容均可公布，采购人或者采购代理机构对此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570" w:type="dxa"/>
            <w:vAlign w:val="center"/>
          </w:tcPr>
          <w:p>
            <w:pPr>
              <w:pStyle w:val="45"/>
              <w:keepNext w:val="0"/>
              <w:keepLines w:val="0"/>
              <w:pageBreakBefore w:val="0"/>
              <w:widowControl w:val="0"/>
              <w:numPr>
                <w:ilvl w:val="0"/>
                <w:numId w:val="9"/>
              </w:numPr>
              <w:kinsoku/>
              <w:wordWrap w:val="0"/>
              <w:overflowPunct/>
              <w:topLinePunct/>
              <w:autoSpaceDE/>
              <w:autoSpaceDN/>
              <w:bidi w:val="0"/>
              <w:adjustRightInd w:val="0"/>
              <w:snapToGrid w:val="0"/>
              <w:ind w:left="24" w:leftChars="10" w:right="24" w:rightChars="10" w:firstLine="0" w:firstLineChars="0"/>
              <w:textAlignment w:val="auto"/>
              <w:rPr>
                <w:rFonts w:hint="eastAsia"/>
                <w:lang w:val="en-US" w:eastAsia="zh-CN"/>
              </w:rPr>
            </w:pPr>
          </w:p>
        </w:tc>
        <w:tc>
          <w:tcPr>
            <w:tcW w:w="1936" w:type="dxa"/>
            <w:vAlign w:val="center"/>
          </w:tcPr>
          <w:p>
            <w:pPr>
              <w:pStyle w:val="45"/>
              <w:bidi w:val="0"/>
              <w:rPr>
                <w:rFonts w:hint="eastAsia"/>
                <w:lang w:val="zh-CN" w:eastAsia="zh-CN"/>
              </w:rPr>
            </w:pPr>
            <w:r>
              <w:rPr>
                <w:rFonts w:hint="eastAsia"/>
                <w:lang w:val="zh-CN" w:eastAsia="zh-CN"/>
              </w:rPr>
              <w:t>中标通知书领取</w:t>
            </w:r>
          </w:p>
        </w:tc>
        <w:tc>
          <w:tcPr>
            <w:tcW w:w="7244" w:type="dxa"/>
            <w:gridSpan w:val="2"/>
            <w:vAlign w:val="center"/>
          </w:tcPr>
          <w:p>
            <w:pPr>
              <w:pStyle w:val="45"/>
              <w:bidi w:val="0"/>
              <w:jc w:val="left"/>
              <w:rPr>
                <w:rFonts w:hint="eastAsia"/>
                <w:lang w:val="en-US" w:eastAsia="zh-CN"/>
              </w:rPr>
            </w:pPr>
            <w:r>
              <w:rPr>
                <w:rFonts w:hint="eastAsia"/>
                <w:lang w:val="zh-CN" w:eastAsia="zh-CN"/>
              </w:rPr>
              <w:t>在四川政府采购网公告中标结果同时发出中标通知书，中标供应商自行登录“政府采购云平台”下载中标通知书。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0" w:hRule="atLeast"/>
          <w:jc w:val="center"/>
        </w:trPr>
        <w:tc>
          <w:tcPr>
            <w:tcW w:w="570" w:type="dxa"/>
            <w:vMerge w:val="restart"/>
            <w:vAlign w:val="center"/>
          </w:tcPr>
          <w:p>
            <w:pPr>
              <w:pStyle w:val="45"/>
              <w:numPr>
                <w:ilvl w:val="0"/>
                <w:numId w:val="9"/>
              </w:numPr>
              <w:bidi w:val="0"/>
              <w:ind w:left="0" w:leftChars="0" w:firstLine="0" w:firstLineChars="0"/>
              <w:rPr>
                <w:rFonts w:hint="eastAsia"/>
                <w:lang w:val="en-US" w:eastAsia="zh-CN"/>
              </w:rPr>
            </w:pPr>
          </w:p>
        </w:tc>
        <w:tc>
          <w:tcPr>
            <w:tcW w:w="1936" w:type="dxa"/>
            <w:vMerge w:val="restart"/>
            <w:vAlign w:val="center"/>
          </w:tcPr>
          <w:p>
            <w:pPr>
              <w:pStyle w:val="45"/>
              <w:bidi w:val="0"/>
              <w:rPr>
                <w:rFonts w:hint="eastAsia"/>
                <w:lang w:val="zh-CN"/>
              </w:rPr>
            </w:pPr>
            <w:r>
              <w:rPr>
                <w:rFonts w:hint="eastAsia"/>
                <w:lang w:val="en-US" w:eastAsia="zh-CN"/>
              </w:rPr>
              <w:t>招标</w:t>
            </w:r>
            <w:r>
              <w:rPr>
                <w:rFonts w:hint="eastAsia"/>
                <w:lang w:val="zh-CN"/>
              </w:rPr>
              <w:t>代理</w:t>
            </w:r>
          </w:p>
          <w:p>
            <w:pPr>
              <w:pStyle w:val="45"/>
              <w:bidi w:val="0"/>
              <w:ind w:firstLine="0" w:firstLineChars="0"/>
              <w:rPr>
                <w:rFonts w:hint="eastAsia"/>
              </w:rPr>
            </w:pPr>
            <w:r>
              <w:rPr>
                <w:rFonts w:hint="eastAsia"/>
                <w:lang w:val="zh-CN"/>
              </w:rPr>
              <w:t>服务费</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1.收取标准：招标</w:t>
            </w:r>
            <w:r>
              <w:rPr>
                <w:rFonts w:hint="eastAsia" w:ascii="宋体" w:hAnsi="宋体" w:eastAsia="宋体" w:cs="宋体"/>
                <w:color w:val="000000" w:themeColor="text1"/>
                <w:sz w:val="21"/>
                <w:szCs w:val="21"/>
                <w:highlight w:val="none"/>
                <w14:textFill>
                  <w14:solidFill>
                    <w14:schemeClr w14:val="tx1"/>
                  </w14:solidFill>
                </w14:textFill>
              </w:rPr>
              <w:t>代理服务费</w:t>
            </w:r>
            <w:r>
              <w:rPr>
                <w:rFonts w:hint="eastAsia" w:ascii="宋体" w:hAnsi="宋体" w:eastAsia="宋体" w:cs="宋体"/>
                <w:color w:val="000000" w:themeColor="text1"/>
                <w:sz w:val="21"/>
                <w:szCs w:val="21"/>
                <w:highlight w:val="none"/>
                <w:lang w:val="en-US" w:eastAsia="zh-CN"/>
                <w14:textFill>
                  <w14:solidFill>
                    <w14:schemeClr w14:val="tx1"/>
                  </w14:solidFill>
                </w14:textFill>
              </w:rPr>
              <w:t>以成本加合理利润为原则，以实际中标金额为计费基数(采用</w:t>
            </w:r>
            <w:r>
              <w:rPr>
                <w:rFonts w:hint="eastAsia" w:cs="宋体"/>
                <w:color w:val="000000" w:themeColor="text1"/>
                <w:sz w:val="21"/>
                <w:szCs w:val="21"/>
                <w:highlight w:val="none"/>
                <w:lang w:val="en-US" w:eastAsia="zh-CN"/>
                <w14:textFill>
                  <w14:solidFill>
                    <w14:schemeClr w14:val="tx1"/>
                  </w14:solidFill>
                </w14:textFill>
              </w:rPr>
              <w:t>折扣率报价</w:t>
            </w:r>
            <w:r>
              <w:rPr>
                <w:rFonts w:hint="eastAsia" w:ascii="宋体" w:hAnsi="宋体" w:eastAsia="宋体" w:cs="宋体"/>
                <w:color w:val="000000" w:themeColor="text1"/>
                <w:sz w:val="21"/>
                <w:szCs w:val="21"/>
                <w:highlight w:val="none"/>
                <w:lang w:val="en-US" w:eastAsia="zh-CN"/>
                <w14:textFill>
                  <w14:solidFill>
                    <w14:schemeClr w14:val="tx1"/>
                  </w14:solidFill>
                </w14:textFill>
              </w:rPr>
              <w:t>的以采购预算为计费基数)，按照下列收费标准计算出</w:t>
            </w:r>
            <w:r>
              <w:rPr>
                <w:rFonts w:hint="eastAsia" w:cs="宋体"/>
                <w:color w:val="000000" w:themeColor="text1"/>
                <w:sz w:val="21"/>
                <w:szCs w:val="21"/>
                <w:highlight w:val="none"/>
                <w:lang w:val="en-US" w:eastAsia="zh-CN"/>
                <w14:textFill>
                  <w14:solidFill>
                    <w14:schemeClr w14:val="tx1"/>
                  </w14:solidFill>
                </w14:textFill>
              </w:rPr>
              <w:t>具体金额</w:t>
            </w:r>
            <w:r>
              <w:rPr>
                <w:rFonts w:hint="eastAsia" w:ascii="宋体" w:hAnsi="宋体" w:eastAsia="宋体" w:cs="宋体"/>
                <w:color w:val="000000" w:themeColor="text1"/>
                <w:sz w:val="21"/>
                <w:szCs w:val="21"/>
                <w:highlight w:val="none"/>
                <w:lang w:val="en-US" w:eastAsia="zh-CN"/>
                <w14:textFill>
                  <w14:solidFill>
                    <w14:schemeClr w14:val="tx1"/>
                  </w14:solidFill>
                </w14:textFill>
              </w:rPr>
              <w:t>收取</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2.收取方式：</w:t>
            </w:r>
            <w:r>
              <w:rPr>
                <w:rFonts w:hint="eastAsia" w:ascii="宋体" w:hAnsi="宋体" w:eastAsia="宋体" w:cs="宋体"/>
                <w:color w:val="000000" w:themeColor="text1"/>
                <w:sz w:val="21"/>
                <w:szCs w:val="21"/>
                <w:highlight w:val="none"/>
                <w:lang w:val="zh-CN"/>
                <w14:textFill>
                  <w14:solidFill>
                    <w14:schemeClr w14:val="tx1"/>
                  </w14:solidFill>
                </w14:textFill>
              </w:rPr>
              <w:t>中标通知发出后二个工作日内由中标人一次性支付</w:t>
            </w:r>
            <w:r>
              <w:rPr>
                <w:rFonts w:hint="eastAsia" w:ascii="宋体" w:hAnsi="宋体" w:eastAsia="宋体" w:cs="宋体"/>
                <w:color w:val="000000" w:themeColor="text1"/>
                <w:sz w:val="21"/>
                <w:szCs w:val="21"/>
                <w:highlight w:val="none"/>
                <w:lang w:val="en-US" w:eastAsia="zh-CN"/>
                <w14:textFill>
                  <w14:solidFill>
                    <w14:schemeClr w14:val="tx1"/>
                  </w14:solidFill>
                </w14:textFill>
              </w:rPr>
              <w:t>至采购代理机构</w:t>
            </w:r>
            <w:r>
              <w:rPr>
                <w:rFonts w:hint="eastAsia" w:ascii="宋体" w:hAnsi="宋体" w:eastAsia="宋体" w:cs="宋体"/>
                <w:color w:val="000000" w:themeColor="text1"/>
                <w:sz w:val="21"/>
                <w:szCs w:val="21"/>
                <w:highlight w:val="none"/>
                <w14:textFill>
                  <w14:solidFill>
                    <w14:schemeClr w14:val="tx1"/>
                  </w14:solidFill>
                </w14:textFill>
              </w:rPr>
              <w:t>。</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i w:val="0"/>
                <w:caps w:val="0"/>
                <w:color w:val="000000" w:themeColor="text1"/>
                <w:spacing w:val="0"/>
                <w:sz w:val="21"/>
                <w:szCs w:val="21"/>
                <w:highlight w:val="none"/>
                <w14:textFill>
                  <w14:solidFill>
                    <w14:schemeClr w14:val="tx1"/>
                  </w14:solidFill>
                </w14:textFill>
              </w:rPr>
              <w:t>招标代理服务收费标准</w:t>
            </w:r>
            <w:r>
              <w:rPr>
                <w:rFonts w:hint="eastAsia" w:ascii="宋体" w:hAnsi="宋体" w:eastAsia="宋体" w:cs="宋体"/>
                <w:b/>
                <w:i w:val="0"/>
                <w:caps w:val="0"/>
                <w:color w:val="000000" w:themeColor="text1"/>
                <w:spacing w:val="0"/>
                <w:sz w:val="21"/>
                <w:szCs w:val="21"/>
                <w:highlight w:val="none"/>
                <w:lang w:val="en-US" w:eastAsia="zh-CN"/>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570" w:type="dxa"/>
            <w:vMerge w:val="continue"/>
            <w:vAlign w:val="center"/>
          </w:tcPr>
          <w:p>
            <w:pPr>
              <w:pStyle w:val="45"/>
              <w:numPr>
                <w:ilvl w:val="0"/>
                <w:numId w:val="9"/>
              </w:numPr>
              <w:bidi w:val="0"/>
              <w:ind w:left="0" w:leftChars="0" w:firstLine="0" w:firstLineChars="0"/>
              <w:rPr>
                <w:rFonts w:hint="eastAsia"/>
                <w:lang w:val="en-US" w:eastAsia="zh-CN"/>
              </w:rPr>
            </w:pPr>
          </w:p>
        </w:tc>
        <w:tc>
          <w:tcPr>
            <w:tcW w:w="1936" w:type="dxa"/>
            <w:vMerge w:val="continue"/>
            <w:vAlign w:val="center"/>
          </w:tcPr>
          <w:p>
            <w:pPr>
              <w:pStyle w:val="45"/>
              <w:bidi w:val="0"/>
              <w:ind w:firstLine="0" w:firstLineChars="0"/>
              <w:rPr>
                <w:rFonts w:hint="eastAsia"/>
                <w:lang w:val="zh-CN"/>
              </w:rPr>
            </w:pPr>
          </w:p>
        </w:tc>
        <w:tc>
          <w:tcPr>
            <w:tcW w:w="3561" w:type="dxa"/>
            <w:vAlign w:val="center"/>
          </w:tcPr>
          <w:p>
            <w:pPr>
              <w:pStyle w:val="19"/>
              <w:keepNext w:val="0"/>
              <w:keepLines w:val="0"/>
              <w:widowControl/>
              <w:suppressLineNumbers w:val="0"/>
              <w:spacing w:before="50" w:beforeAutospacing="0" w:after="50" w:afterAutospacing="0"/>
              <w:ind w:left="0" w:right="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i w:val="0"/>
                <w:caps w:val="0"/>
                <w:color w:val="000000" w:themeColor="text1"/>
                <w:spacing w:val="0"/>
                <w:sz w:val="21"/>
                <w:szCs w:val="21"/>
                <w:highlight w:val="none"/>
                <w14:textFill>
                  <w14:solidFill>
                    <w14:schemeClr w14:val="tx1"/>
                  </w14:solidFill>
                </w14:textFill>
              </w:rPr>
              <w:t>中标</w:t>
            </w:r>
            <w:r>
              <w:rPr>
                <w:rFonts w:hint="eastAsia" w:ascii="宋体" w:hAnsi="宋体" w:eastAsia="宋体" w:cs="宋体"/>
                <w:b/>
                <w:i w:val="0"/>
                <w:caps w:val="0"/>
                <w:color w:val="000000" w:themeColor="text1"/>
                <w:spacing w:val="0"/>
                <w:sz w:val="21"/>
                <w:szCs w:val="21"/>
                <w:highlight w:val="none"/>
                <w:lang w:val="en-US" w:eastAsia="zh-CN"/>
                <w14:textFill>
                  <w14:solidFill>
                    <w14:schemeClr w14:val="tx1"/>
                  </w14:solidFill>
                </w14:textFill>
              </w:rPr>
              <w:t>/成交</w:t>
            </w:r>
            <w:r>
              <w:rPr>
                <w:rFonts w:hint="eastAsia" w:ascii="宋体" w:hAnsi="宋体" w:eastAsia="宋体" w:cs="宋体"/>
                <w:b/>
                <w:i w:val="0"/>
                <w:caps w:val="0"/>
                <w:color w:val="000000" w:themeColor="text1"/>
                <w:spacing w:val="0"/>
                <w:sz w:val="21"/>
                <w:szCs w:val="21"/>
                <w:highlight w:val="none"/>
                <w14:textFill>
                  <w14:solidFill>
                    <w14:schemeClr w14:val="tx1"/>
                  </w14:solidFill>
                </w14:textFill>
              </w:rPr>
              <w:t>金额</w:t>
            </w:r>
            <w:r>
              <w:rPr>
                <w:rFonts w:hint="eastAsia" w:cs="宋体"/>
                <w:b/>
                <w:i w:val="0"/>
                <w:caps w:val="0"/>
                <w:color w:val="000000" w:themeColor="text1"/>
                <w:spacing w:val="0"/>
                <w:sz w:val="21"/>
                <w:szCs w:val="21"/>
                <w:highlight w:val="none"/>
                <w:lang w:eastAsia="zh-CN"/>
                <w14:textFill>
                  <w14:solidFill>
                    <w14:schemeClr w14:val="tx1"/>
                  </w14:solidFill>
                </w14:textFill>
              </w:rPr>
              <w:t>(</w:t>
            </w:r>
            <w:r>
              <w:rPr>
                <w:rFonts w:hint="eastAsia" w:ascii="宋体" w:hAnsi="宋体" w:eastAsia="宋体" w:cs="宋体"/>
                <w:b/>
                <w:i w:val="0"/>
                <w:caps w:val="0"/>
                <w:color w:val="000000" w:themeColor="text1"/>
                <w:spacing w:val="0"/>
                <w:sz w:val="21"/>
                <w:szCs w:val="21"/>
                <w:highlight w:val="none"/>
                <w14:textFill>
                  <w14:solidFill>
                    <w14:schemeClr w14:val="tx1"/>
                  </w14:solidFill>
                </w14:textFill>
              </w:rPr>
              <w:t>万元</w:t>
            </w:r>
            <w:r>
              <w:rPr>
                <w:rFonts w:hint="eastAsia" w:cs="宋体"/>
                <w:b/>
                <w:i w:val="0"/>
                <w:caps w:val="0"/>
                <w:color w:val="000000" w:themeColor="text1"/>
                <w:spacing w:val="0"/>
                <w:sz w:val="21"/>
                <w:szCs w:val="21"/>
                <w:highlight w:val="none"/>
                <w:lang w:eastAsia="zh-CN"/>
                <w14:textFill>
                  <w14:solidFill>
                    <w14:schemeClr w14:val="tx1"/>
                  </w14:solidFill>
                </w14:textFill>
              </w:rPr>
              <w:t>)</w:t>
            </w:r>
          </w:p>
        </w:tc>
        <w:tc>
          <w:tcPr>
            <w:tcW w:w="3683" w:type="dxa"/>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i w:val="0"/>
                <w:caps w:val="0"/>
                <w:color w:val="000000" w:themeColor="text1"/>
                <w:spacing w:val="0"/>
                <w:sz w:val="21"/>
                <w:szCs w:val="21"/>
                <w:highlight w:val="none"/>
                <w14:textFill>
                  <w14:solidFill>
                    <w14:schemeClr w14:val="tx1"/>
                  </w14:solidFill>
                </w14:textFill>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2" w:hRule="atLeast"/>
          <w:jc w:val="center"/>
        </w:trPr>
        <w:tc>
          <w:tcPr>
            <w:tcW w:w="570" w:type="dxa"/>
            <w:vMerge w:val="continue"/>
            <w:vAlign w:val="center"/>
          </w:tcPr>
          <w:p>
            <w:pPr>
              <w:pStyle w:val="45"/>
              <w:numPr>
                <w:ilvl w:val="0"/>
                <w:numId w:val="9"/>
              </w:numPr>
              <w:bidi w:val="0"/>
              <w:ind w:left="0" w:leftChars="0" w:firstLine="0" w:firstLineChars="0"/>
              <w:rPr>
                <w:rFonts w:hint="eastAsia"/>
                <w:lang w:val="en-US" w:eastAsia="zh-CN"/>
              </w:rPr>
            </w:pPr>
          </w:p>
        </w:tc>
        <w:tc>
          <w:tcPr>
            <w:tcW w:w="1936" w:type="dxa"/>
            <w:vMerge w:val="continue"/>
            <w:vAlign w:val="center"/>
          </w:tcPr>
          <w:p>
            <w:pPr>
              <w:pStyle w:val="45"/>
              <w:bidi w:val="0"/>
              <w:ind w:firstLine="0" w:firstLineChars="0"/>
              <w:rPr>
                <w:rFonts w:hint="eastAsia"/>
                <w:lang w:val="zh-CN"/>
              </w:rPr>
            </w:pPr>
          </w:p>
        </w:tc>
        <w:tc>
          <w:tcPr>
            <w:tcW w:w="3561" w:type="dxa"/>
            <w:vAlign w:val="center"/>
          </w:tcPr>
          <w:p>
            <w:pPr>
              <w:pStyle w:val="19"/>
              <w:keepNext w:val="0"/>
              <w:keepLines w:val="0"/>
              <w:widowControl/>
              <w:suppressLineNumbers w:val="0"/>
              <w:spacing w:before="50" w:beforeAutospacing="0" w:after="50" w:afterAutospacing="0"/>
              <w:ind w:left="0" w:leftChars="0" w:right="0" w:rightChars="0" w:firstLine="0" w:firstLine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100以下</w:t>
            </w:r>
          </w:p>
        </w:tc>
        <w:tc>
          <w:tcPr>
            <w:tcW w:w="3683" w:type="dxa"/>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570" w:type="dxa"/>
            <w:vMerge w:val="continue"/>
            <w:vAlign w:val="center"/>
          </w:tcPr>
          <w:p>
            <w:pPr>
              <w:pStyle w:val="45"/>
              <w:numPr>
                <w:ilvl w:val="0"/>
                <w:numId w:val="9"/>
              </w:numPr>
              <w:bidi w:val="0"/>
              <w:ind w:left="0" w:leftChars="0" w:firstLine="0" w:firstLineChars="0"/>
              <w:rPr>
                <w:rFonts w:hint="eastAsia"/>
                <w:lang w:val="en-US" w:eastAsia="zh-CN"/>
              </w:rPr>
            </w:pPr>
          </w:p>
        </w:tc>
        <w:tc>
          <w:tcPr>
            <w:tcW w:w="1936" w:type="dxa"/>
            <w:vMerge w:val="continue"/>
            <w:vAlign w:val="center"/>
          </w:tcPr>
          <w:p>
            <w:pPr>
              <w:pStyle w:val="45"/>
              <w:bidi w:val="0"/>
              <w:ind w:firstLine="0" w:firstLineChars="0"/>
              <w:rPr>
                <w:rFonts w:hint="eastAsia"/>
                <w:lang w:val="zh-CN"/>
              </w:rPr>
            </w:pPr>
          </w:p>
        </w:tc>
        <w:tc>
          <w:tcPr>
            <w:tcW w:w="3561" w:type="dxa"/>
            <w:vAlign w:val="center"/>
          </w:tcPr>
          <w:p>
            <w:pPr>
              <w:pStyle w:val="19"/>
              <w:keepNext w:val="0"/>
              <w:keepLines w:val="0"/>
              <w:widowControl/>
              <w:suppressLineNumbers w:val="0"/>
              <w:spacing w:before="50" w:beforeAutospacing="0" w:after="50" w:afterAutospacing="0"/>
              <w:ind w:left="0" w:leftChars="0" w:right="0" w:rightChars="0" w:firstLine="0" w:firstLine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100-500</w:t>
            </w:r>
          </w:p>
        </w:tc>
        <w:tc>
          <w:tcPr>
            <w:tcW w:w="3683" w:type="dxa"/>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 w:hRule="atLeast"/>
          <w:jc w:val="center"/>
        </w:trPr>
        <w:tc>
          <w:tcPr>
            <w:tcW w:w="570" w:type="dxa"/>
            <w:vMerge w:val="continue"/>
            <w:vAlign w:val="center"/>
          </w:tcPr>
          <w:p>
            <w:pPr>
              <w:pStyle w:val="45"/>
              <w:numPr>
                <w:ilvl w:val="0"/>
                <w:numId w:val="9"/>
              </w:numPr>
              <w:bidi w:val="0"/>
              <w:ind w:left="0" w:leftChars="0" w:firstLine="0" w:firstLineChars="0"/>
              <w:rPr>
                <w:rFonts w:hint="eastAsia"/>
                <w:lang w:val="en-US" w:eastAsia="zh-CN"/>
              </w:rPr>
            </w:pPr>
          </w:p>
        </w:tc>
        <w:tc>
          <w:tcPr>
            <w:tcW w:w="1936" w:type="dxa"/>
            <w:vMerge w:val="continue"/>
            <w:vAlign w:val="center"/>
          </w:tcPr>
          <w:p>
            <w:pPr>
              <w:pStyle w:val="45"/>
              <w:bidi w:val="0"/>
              <w:ind w:firstLine="0" w:firstLineChars="0"/>
              <w:rPr>
                <w:rFonts w:hint="eastAsia"/>
                <w:lang w:val="zh-CN"/>
              </w:rPr>
            </w:pPr>
          </w:p>
        </w:tc>
        <w:tc>
          <w:tcPr>
            <w:tcW w:w="3561" w:type="dxa"/>
            <w:vAlign w:val="center"/>
          </w:tcPr>
          <w:p>
            <w:pPr>
              <w:pStyle w:val="19"/>
              <w:keepNext w:val="0"/>
              <w:keepLines w:val="0"/>
              <w:widowControl/>
              <w:suppressLineNumbers w:val="0"/>
              <w:spacing w:before="50" w:beforeAutospacing="0" w:after="50" w:afterAutospacing="0"/>
              <w:ind w:left="0" w:leftChars="0" w:right="0" w:rightChars="0" w:firstLine="0" w:firstLine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500-1000</w:t>
            </w:r>
          </w:p>
        </w:tc>
        <w:tc>
          <w:tcPr>
            <w:tcW w:w="3683" w:type="dxa"/>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 w:hRule="atLeast"/>
          <w:jc w:val="center"/>
        </w:trPr>
        <w:tc>
          <w:tcPr>
            <w:tcW w:w="570" w:type="dxa"/>
            <w:vMerge w:val="continue"/>
            <w:vAlign w:val="center"/>
          </w:tcPr>
          <w:p>
            <w:pPr>
              <w:pStyle w:val="45"/>
              <w:numPr>
                <w:ilvl w:val="0"/>
                <w:numId w:val="9"/>
              </w:numPr>
              <w:bidi w:val="0"/>
              <w:ind w:left="0" w:leftChars="0" w:firstLine="0" w:firstLineChars="0"/>
              <w:rPr>
                <w:rFonts w:hint="eastAsia"/>
                <w:lang w:val="en-US" w:eastAsia="zh-CN"/>
              </w:rPr>
            </w:pPr>
          </w:p>
        </w:tc>
        <w:tc>
          <w:tcPr>
            <w:tcW w:w="1936" w:type="dxa"/>
            <w:vMerge w:val="continue"/>
            <w:vAlign w:val="center"/>
          </w:tcPr>
          <w:p>
            <w:pPr>
              <w:pStyle w:val="45"/>
              <w:bidi w:val="0"/>
              <w:ind w:firstLine="0" w:firstLineChars="0"/>
              <w:rPr>
                <w:rFonts w:hint="eastAsia"/>
                <w:lang w:val="zh-CN"/>
              </w:rPr>
            </w:pPr>
          </w:p>
        </w:tc>
        <w:tc>
          <w:tcPr>
            <w:tcW w:w="3561" w:type="dxa"/>
            <w:vAlign w:val="center"/>
          </w:tcPr>
          <w:p>
            <w:pPr>
              <w:pStyle w:val="19"/>
              <w:keepNext w:val="0"/>
              <w:keepLines w:val="0"/>
              <w:widowControl/>
              <w:suppressLineNumbers w:val="0"/>
              <w:spacing w:before="50" w:beforeAutospacing="0" w:after="50" w:afterAutospacing="0"/>
              <w:ind w:left="0" w:leftChars="0" w:right="0" w:rightChars="0" w:firstLine="0" w:firstLine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1000-5000</w:t>
            </w:r>
          </w:p>
        </w:tc>
        <w:tc>
          <w:tcPr>
            <w:tcW w:w="3683" w:type="dxa"/>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jc w:val="center"/>
        </w:trPr>
        <w:tc>
          <w:tcPr>
            <w:tcW w:w="570" w:type="dxa"/>
            <w:vMerge w:val="continue"/>
            <w:vAlign w:val="center"/>
          </w:tcPr>
          <w:p>
            <w:pPr>
              <w:pStyle w:val="45"/>
              <w:numPr>
                <w:ilvl w:val="0"/>
                <w:numId w:val="9"/>
              </w:numPr>
              <w:bidi w:val="0"/>
              <w:ind w:left="0" w:leftChars="0" w:firstLine="0" w:firstLineChars="0"/>
              <w:rPr>
                <w:rFonts w:hint="eastAsia"/>
                <w:lang w:val="en-US" w:eastAsia="zh-CN"/>
              </w:rPr>
            </w:pPr>
          </w:p>
        </w:tc>
        <w:tc>
          <w:tcPr>
            <w:tcW w:w="1936" w:type="dxa"/>
            <w:vMerge w:val="continue"/>
            <w:vAlign w:val="center"/>
          </w:tcPr>
          <w:p>
            <w:pPr>
              <w:pStyle w:val="45"/>
              <w:bidi w:val="0"/>
              <w:ind w:firstLine="0" w:firstLineChars="0"/>
              <w:rPr>
                <w:rFonts w:hint="eastAsia"/>
                <w:lang w:val="zh-CN"/>
              </w:rPr>
            </w:pPr>
          </w:p>
        </w:tc>
        <w:tc>
          <w:tcPr>
            <w:tcW w:w="3561" w:type="dxa"/>
            <w:vAlign w:val="center"/>
          </w:tcPr>
          <w:p>
            <w:pPr>
              <w:pStyle w:val="19"/>
              <w:keepNext w:val="0"/>
              <w:keepLines w:val="0"/>
              <w:widowControl/>
              <w:suppressLineNumbers w:val="0"/>
              <w:spacing w:before="50" w:beforeAutospacing="0" w:after="50" w:afterAutospacing="0"/>
              <w:ind w:left="0" w:leftChars="0" w:right="0" w:rightChars="0" w:firstLine="0" w:firstLine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5000-10000</w:t>
            </w:r>
          </w:p>
        </w:tc>
        <w:tc>
          <w:tcPr>
            <w:tcW w:w="3683" w:type="dxa"/>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jc w:val="center"/>
        </w:trPr>
        <w:tc>
          <w:tcPr>
            <w:tcW w:w="570" w:type="dxa"/>
            <w:vMerge w:val="continue"/>
            <w:vAlign w:val="center"/>
          </w:tcPr>
          <w:p>
            <w:pPr>
              <w:pStyle w:val="45"/>
              <w:numPr>
                <w:ilvl w:val="0"/>
                <w:numId w:val="9"/>
              </w:numPr>
              <w:bidi w:val="0"/>
              <w:ind w:left="0" w:leftChars="0" w:firstLine="0" w:firstLineChars="0"/>
              <w:rPr>
                <w:rFonts w:hint="eastAsia"/>
                <w:lang w:val="en-US" w:eastAsia="zh-CN"/>
              </w:rPr>
            </w:pPr>
          </w:p>
        </w:tc>
        <w:tc>
          <w:tcPr>
            <w:tcW w:w="1936" w:type="dxa"/>
            <w:vMerge w:val="continue"/>
            <w:vAlign w:val="center"/>
          </w:tcPr>
          <w:p>
            <w:pPr>
              <w:pStyle w:val="45"/>
              <w:bidi w:val="0"/>
              <w:ind w:firstLine="0" w:firstLineChars="0"/>
              <w:rPr>
                <w:rFonts w:hint="eastAsia"/>
                <w:lang w:val="zh-CN"/>
              </w:rPr>
            </w:pPr>
          </w:p>
        </w:tc>
        <w:tc>
          <w:tcPr>
            <w:tcW w:w="3561" w:type="dxa"/>
            <w:vAlign w:val="center"/>
          </w:tcPr>
          <w:p>
            <w:pPr>
              <w:pStyle w:val="19"/>
              <w:keepNext w:val="0"/>
              <w:keepLines w:val="0"/>
              <w:widowControl/>
              <w:suppressLineNumbers w:val="0"/>
              <w:spacing w:before="50" w:beforeAutospacing="0" w:after="50" w:afterAutospacing="0"/>
              <w:ind w:left="0" w:leftChars="0" w:right="0" w:rightChars="0" w:firstLine="0" w:firstLine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10000-100000</w:t>
            </w:r>
          </w:p>
        </w:tc>
        <w:tc>
          <w:tcPr>
            <w:tcW w:w="3683" w:type="dxa"/>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570" w:type="dxa"/>
            <w:vMerge w:val="continue"/>
            <w:vAlign w:val="center"/>
          </w:tcPr>
          <w:p>
            <w:pPr>
              <w:pStyle w:val="45"/>
              <w:numPr>
                <w:ilvl w:val="0"/>
                <w:numId w:val="9"/>
              </w:numPr>
              <w:bidi w:val="0"/>
              <w:ind w:left="0" w:leftChars="0" w:firstLine="0" w:firstLineChars="0"/>
              <w:rPr>
                <w:rFonts w:hint="eastAsia"/>
                <w:lang w:val="en-US" w:eastAsia="zh-CN"/>
              </w:rPr>
            </w:pPr>
          </w:p>
        </w:tc>
        <w:tc>
          <w:tcPr>
            <w:tcW w:w="1936" w:type="dxa"/>
            <w:vMerge w:val="continue"/>
            <w:vAlign w:val="center"/>
          </w:tcPr>
          <w:p>
            <w:pPr>
              <w:pStyle w:val="45"/>
              <w:bidi w:val="0"/>
              <w:ind w:firstLine="0" w:firstLineChars="0"/>
              <w:rPr>
                <w:rFonts w:hint="eastAsia"/>
                <w:lang w:val="zh-CN"/>
              </w:rPr>
            </w:pPr>
          </w:p>
        </w:tc>
        <w:tc>
          <w:tcPr>
            <w:tcW w:w="3561" w:type="dxa"/>
            <w:vAlign w:val="center"/>
          </w:tcPr>
          <w:p>
            <w:pPr>
              <w:pStyle w:val="19"/>
              <w:keepNext w:val="0"/>
              <w:keepLines w:val="0"/>
              <w:widowControl/>
              <w:suppressLineNumbers w:val="0"/>
              <w:spacing w:before="50" w:beforeAutospacing="0" w:after="50" w:afterAutospacing="0"/>
              <w:ind w:left="0" w:leftChars="0" w:right="0" w:rightChars="0" w:firstLine="0" w:firstLine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1000000以上</w:t>
            </w:r>
          </w:p>
        </w:tc>
        <w:tc>
          <w:tcPr>
            <w:tcW w:w="3683" w:type="dxa"/>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570" w:type="dxa"/>
            <w:vMerge w:val="continue"/>
            <w:vAlign w:val="center"/>
          </w:tcPr>
          <w:p>
            <w:pPr>
              <w:pStyle w:val="45"/>
              <w:numPr>
                <w:ilvl w:val="0"/>
                <w:numId w:val="9"/>
              </w:numPr>
              <w:bidi w:val="0"/>
              <w:ind w:left="0" w:leftChars="0" w:firstLine="0" w:firstLineChars="0"/>
              <w:rPr>
                <w:rFonts w:hint="eastAsia"/>
                <w:lang w:val="en-US" w:eastAsia="zh-CN"/>
              </w:rPr>
            </w:pPr>
          </w:p>
        </w:tc>
        <w:tc>
          <w:tcPr>
            <w:tcW w:w="1936" w:type="dxa"/>
            <w:vMerge w:val="continue"/>
            <w:vAlign w:val="center"/>
          </w:tcPr>
          <w:p>
            <w:pPr>
              <w:pStyle w:val="45"/>
              <w:bidi w:val="0"/>
              <w:ind w:firstLine="0" w:firstLineChars="0"/>
              <w:rPr>
                <w:rFonts w:hint="eastAsia"/>
                <w:lang w:val="zh-CN"/>
              </w:rPr>
            </w:pPr>
          </w:p>
        </w:tc>
        <w:tc>
          <w:tcPr>
            <w:tcW w:w="7244" w:type="dxa"/>
            <w:gridSpan w:val="2"/>
            <w:vAlign w:val="top"/>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注：①按照上述收费标准计算的招标代理服务费为采购全过程包干价。②</w:t>
            </w: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招标代理服务收费按差额定率累进法计算</w:t>
            </w:r>
            <w:r>
              <w:rPr>
                <w:rFonts w:hint="eastAsia" w:ascii="宋体" w:hAnsi="宋体" w:eastAsia="宋体" w:cs="宋体"/>
                <w:b w:val="0"/>
                <w:i w:val="0"/>
                <w:caps w:val="0"/>
                <w:color w:val="000000" w:themeColor="text1"/>
                <w:spacing w:val="0"/>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color w:val="000000" w:themeColor="text1"/>
                <w:lang w:val="en-US" w:eastAsia="zh-CN"/>
                <w14:textFill>
                  <w14:solidFill>
                    <w14:schemeClr w14:val="tx1"/>
                  </w14:solidFill>
                </w14:textFill>
              </w:rPr>
            </w:pPr>
          </w:p>
        </w:tc>
        <w:tc>
          <w:tcPr>
            <w:tcW w:w="1936" w:type="dxa"/>
            <w:vAlign w:val="center"/>
          </w:tcPr>
          <w:p>
            <w:pPr>
              <w:pStyle w:val="45"/>
              <w:bidi w:val="0"/>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履约保证金</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本项目不收取履约保证金</w:t>
            </w:r>
            <w:r>
              <w:rPr>
                <w:rFonts w:hint="eastAsia"/>
                <w:color w:val="000000" w:themeColor="text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6" w:hRule="atLeast"/>
          <w:jc w:val="center"/>
        </w:trPr>
        <w:tc>
          <w:tcPr>
            <w:tcW w:w="570" w:type="dxa"/>
            <w:vAlign w:val="center"/>
          </w:tcPr>
          <w:p>
            <w:pPr>
              <w:pStyle w:val="45"/>
              <w:numPr>
                <w:ilvl w:val="0"/>
                <w:numId w:val="9"/>
              </w:numPr>
              <w:bidi w:val="0"/>
              <w:ind w:left="0" w:leftChars="0" w:firstLine="0" w:firstLineChars="0"/>
              <w:rPr>
                <w:rFonts w:hint="eastAsia"/>
                <w:lang w:val="en-US" w:eastAsia="zh-CN"/>
              </w:rPr>
            </w:pPr>
          </w:p>
        </w:tc>
        <w:tc>
          <w:tcPr>
            <w:tcW w:w="1936" w:type="dxa"/>
            <w:vAlign w:val="center"/>
          </w:tcPr>
          <w:p>
            <w:pPr>
              <w:pStyle w:val="45"/>
              <w:bidi w:val="0"/>
              <w:ind w:firstLine="0" w:firstLineChars="0"/>
              <w:rPr>
                <w:rFonts w:hint="eastAsia"/>
                <w:lang w:val="en-US" w:eastAsia="zh-CN"/>
              </w:rPr>
            </w:pPr>
            <w:r>
              <w:rPr>
                <w:rFonts w:hint="eastAsia"/>
                <w:lang w:val="en-US" w:eastAsia="zh-CN"/>
              </w:rPr>
              <w:t>政府采购供应商信用融资</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highlight w:val="none"/>
                <w:lang w:val="en-US" w:eastAsia="zh-CN"/>
              </w:rPr>
            </w:pPr>
            <w:r>
              <w:rPr>
                <w:rFonts w:hint="eastAsia"/>
                <w:highlight w:val="none"/>
                <w:lang w:val="en-US" w:eastAsia="zh-CN"/>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highlight w:val="none"/>
                <w:lang w:val="en-US" w:eastAsia="zh-CN"/>
              </w:rPr>
            </w:pPr>
            <w:r>
              <w:rPr>
                <w:rFonts w:hint="eastAsia"/>
                <w:highlight w:val="none"/>
                <w:lang w:val="en-US" w:eastAsia="zh-CN"/>
              </w:rPr>
              <w:t>2.根据《四川省财政厅关于推进四川省政府采购供应商信用融资工作的通知》(川财采〔2018〕123号)文件要求，有融资需求的供应商可根据四川政府采购网公示的银行及其“政采贷”产品，自行选择符合自身情况的“政采贷”银行及其产品，凭中标通知书向银行提出贷款意向申请。</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highlight w:val="none"/>
                <w:lang w:val="en-US" w:eastAsia="zh-CN"/>
              </w:rPr>
            </w:pPr>
            <w:r>
              <w:rPr>
                <w:rFonts w:hint="eastAsia"/>
                <w:highlight w:val="none"/>
                <w:lang w:val="en-US" w:eastAsia="zh-CN"/>
              </w:rPr>
              <w:t>注：相关政策文件详见本招标文件附件内容。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lang w:val="en-US" w:eastAsia="zh-CN"/>
              </w:rPr>
            </w:pPr>
          </w:p>
        </w:tc>
        <w:tc>
          <w:tcPr>
            <w:tcW w:w="1936" w:type="dxa"/>
            <w:vAlign w:val="top"/>
          </w:tcPr>
          <w:p>
            <w:pPr>
              <w:pStyle w:val="45"/>
              <w:keepNext w:val="0"/>
              <w:keepLines w:val="0"/>
              <w:pageBreakBefore w:val="0"/>
              <w:widowControl w:val="0"/>
              <w:kinsoku/>
              <w:wordWrap w:val="0"/>
              <w:overflowPunct/>
              <w:topLinePunct/>
              <w:autoSpaceDE/>
              <w:autoSpaceDN/>
              <w:bidi w:val="0"/>
              <w:adjustRightInd w:val="0"/>
              <w:snapToGrid w:val="0"/>
              <w:ind w:left="24" w:leftChars="10" w:right="24" w:rightChars="10"/>
              <w:textAlignment w:val="auto"/>
              <w:rPr>
                <w:rFonts w:hint="eastAsia"/>
              </w:rPr>
            </w:pPr>
          </w:p>
          <w:p>
            <w:pPr>
              <w:pStyle w:val="45"/>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rPr>
            </w:pPr>
            <w:r>
              <w:rPr>
                <w:rFonts w:hint="eastAsia"/>
              </w:rPr>
              <w:t>政府采购合同公告</w:t>
            </w:r>
          </w:p>
          <w:p>
            <w:pPr>
              <w:pStyle w:val="45"/>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lang w:val="en-US" w:eastAsia="zh-CN"/>
              </w:rPr>
            </w:pPr>
            <w:r>
              <w:rPr>
                <w:rFonts w:hint="eastAsia"/>
              </w:rPr>
              <w:t>备案</w:t>
            </w:r>
          </w:p>
        </w:tc>
        <w:tc>
          <w:tcPr>
            <w:tcW w:w="7244" w:type="dxa"/>
            <w:gridSpan w:val="2"/>
            <w:vAlign w:val="top"/>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lang w:val="en-US" w:eastAsia="zh-CN"/>
              </w:rPr>
            </w:pPr>
            <w:r>
              <w:rPr>
                <w:rFonts w:hint="eastAsia"/>
              </w:rPr>
              <w:t>政府采购合同签订之日起2个工作日内，政府采购合同将在</w:t>
            </w:r>
            <w:r>
              <w:rPr>
                <w:rFonts w:hint="eastAsia"/>
                <w:lang w:eastAsia="zh-CN"/>
              </w:rPr>
              <w:t>“四川政府采购网”</w:t>
            </w:r>
            <w:r>
              <w:rPr>
                <w:rFonts w:hint="eastAsia"/>
              </w:rPr>
              <w:t>公告</w:t>
            </w:r>
            <w:r>
              <w:rPr>
                <w:rFonts w:hint="eastAsia"/>
                <w:lang w:val="en-US" w:eastAsia="zh-CN"/>
              </w:rPr>
              <w:t>(包含联合体协议和分包意向协议，分包意向协议公开仅限于享受了政府采购相关扶持政策的情形)</w:t>
            </w:r>
            <w:r>
              <w:rPr>
                <w:rFonts w:hint="eastAsia"/>
              </w:rPr>
              <w:t>；政府采购合同签订之日起七个工作日内，政府采购合同将向本采购项目同级财政部门</w:t>
            </w:r>
            <w:r>
              <w:rPr>
                <w:rFonts w:hint="eastAsia"/>
                <w:lang w:val="zh-CN" w:eastAsia="zh-CN"/>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lang w:val="en-US" w:eastAsia="zh-CN"/>
              </w:rPr>
            </w:pPr>
          </w:p>
        </w:tc>
        <w:tc>
          <w:tcPr>
            <w:tcW w:w="1936" w:type="dxa"/>
            <w:vAlign w:val="center"/>
          </w:tcPr>
          <w:p>
            <w:pPr>
              <w:pStyle w:val="45"/>
              <w:bidi w:val="0"/>
              <w:rPr>
                <w:rFonts w:hint="eastAsia"/>
                <w:lang w:val="zh-CN"/>
              </w:rPr>
            </w:pPr>
            <w:r>
              <w:rPr>
                <w:rFonts w:hint="eastAsia"/>
              </w:rPr>
              <w:t>供应商询问</w:t>
            </w:r>
          </w:p>
        </w:tc>
        <w:tc>
          <w:tcPr>
            <w:tcW w:w="7244" w:type="dxa"/>
            <w:gridSpan w:val="2"/>
            <w:vAlign w:val="top"/>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eastAsia="宋体"/>
                <w:lang w:val="zh-CN" w:eastAsia="zh-CN"/>
              </w:rPr>
            </w:pPr>
            <w:r>
              <w:rPr>
                <w:rFonts w:hint="eastAsia"/>
                <w:lang w:val="en-US" w:eastAsia="zh-CN"/>
              </w:rPr>
              <w:t>1.</w:t>
            </w:r>
            <w:r>
              <w:rPr>
                <w:rFonts w:hint="eastAsia"/>
              </w:rPr>
              <w:t>根据委托代理协议约定，</w:t>
            </w:r>
            <w:r>
              <w:rPr>
                <w:rFonts w:hint="eastAsia"/>
                <w:lang w:val="en-US" w:eastAsia="zh-CN"/>
              </w:rPr>
              <w:t>采购人</w:t>
            </w:r>
            <w:r>
              <w:rPr>
                <w:rFonts w:hint="eastAsia"/>
              </w:rPr>
              <w:t>负责对采购文件技术参数部分的询问答复，</w:t>
            </w:r>
            <w:r>
              <w:rPr>
                <w:rFonts w:hint="eastAsia"/>
                <w:lang w:val="en-US" w:eastAsia="zh-CN"/>
              </w:rPr>
              <w:t>成都公恒信工程项目管理有限公司</w:t>
            </w:r>
            <w:r>
              <w:rPr>
                <w:rFonts w:hint="eastAsia"/>
              </w:rPr>
              <w:t>负责采购文件技术参数部分以外的询问答复</w:t>
            </w:r>
            <w:r>
              <w:rPr>
                <w:rFonts w:hint="eastAsia"/>
                <w:lang w:eastAsia="zh-CN"/>
              </w:rPr>
              <w:t>。</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2.询问内容不得涉及评审秘密、国家机密和商业秘密等保密内容。</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3.询问方式：询问人可以采用书面或口头或电子邮件等方式向成都公恒信工程项目管理有限公司提出；询问必须提供询问人基本信息(包含具体询问内容、询问人名称或姓名、联系人及联系电话、电子邮件)。</w:t>
            </w:r>
          </w:p>
          <w:p>
            <w:pPr>
              <w:pStyle w:val="41"/>
              <w:ind w:left="60" w:leftChars="25" w:right="60" w:rightChars="25"/>
            </w:pPr>
            <w:r>
              <w:rPr>
                <w:rFonts w:hint="eastAsia"/>
                <w:lang w:val="zh-CN"/>
              </w:rPr>
              <w:t>联系人：</w:t>
            </w:r>
            <w:r>
              <w:rPr>
                <w:rFonts w:hint="eastAsia"/>
              </w:rPr>
              <w:t>欧女士</w:t>
            </w:r>
          </w:p>
          <w:p>
            <w:pPr>
              <w:pStyle w:val="41"/>
              <w:ind w:left="60" w:leftChars="25" w:right="60" w:rightChars="25"/>
              <w:rPr>
                <w:lang w:val="zh-CN"/>
              </w:rPr>
            </w:pPr>
            <w:r>
              <w:rPr>
                <w:rFonts w:hint="eastAsia"/>
                <w:lang w:val="zh-CN"/>
              </w:rPr>
              <w:t>联系电话：</w:t>
            </w:r>
            <w:r>
              <w:rPr>
                <w:rFonts w:hint="eastAsia"/>
              </w:rPr>
              <w:t>028-85032683/13808171894</w:t>
            </w:r>
          </w:p>
          <w:p>
            <w:pPr>
              <w:pStyle w:val="41"/>
              <w:ind w:left="60" w:leftChars="25" w:right="60" w:rightChars="25"/>
              <w:rPr>
                <w:lang w:val="zh-CN"/>
              </w:rPr>
            </w:pPr>
            <w:r>
              <w:rPr>
                <w:rFonts w:hint="eastAsia"/>
                <w:lang w:val="zh-CN"/>
              </w:rPr>
              <w:t>地址：成都市武侯区金履一路218号优博广场1栋405室</w:t>
            </w:r>
          </w:p>
          <w:p>
            <w:pPr>
              <w:pStyle w:val="41"/>
              <w:ind w:left="60" w:leftChars="25" w:right="60" w:rightChars="25"/>
            </w:pPr>
            <w:r>
              <w:rPr>
                <w:rFonts w:hint="eastAsia"/>
                <w:lang w:val="zh-CN"/>
              </w:rPr>
              <w:t>邮编</w:t>
            </w:r>
            <w:r>
              <w:rPr>
                <w:rFonts w:hint="eastAsia"/>
              </w:rPr>
              <w:t>：610041</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4.询问提出的范围及主体：</w:t>
            </w:r>
            <w:r>
              <w:rPr>
                <w:rFonts w:hint="eastAsia"/>
              </w:rPr>
              <w:t>①</w:t>
            </w:r>
            <w:r>
              <w:rPr>
                <w:rFonts w:hint="eastAsia"/>
                <w:lang w:val="en-US" w:eastAsia="zh-CN"/>
              </w:rPr>
              <w:t>采购文件及采购信息公告环节：依法获取采购文件的潜在供应商可以对采购文件及采购信息公告的内容向成都公恒信工程项目管理有限公司或采购人提出询问，仅对采购信息公告内容提出询问的，不限制询问主体。</w:t>
            </w:r>
            <w:r>
              <w:rPr>
                <w:rFonts w:hint="default"/>
                <w:lang w:val="en-US" w:eastAsia="zh-CN"/>
              </w:rPr>
              <w:t>②</w:t>
            </w:r>
            <w:r>
              <w:rPr>
                <w:rFonts w:hint="eastAsia"/>
                <w:lang w:val="en-US" w:eastAsia="zh-CN"/>
              </w:rPr>
              <w:t>采购过程、采购结果环节：参与采购活动的供应商可以对采购过程、采购结果相关问题向成都公恒信工程项目管理有限公司提出询问，未参与采购活动的供应商不得对此环节提出询问。</w:t>
            </w:r>
            <w:r>
              <w:rPr>
                <w:rFonts w:hint="default"/>
                <w:lang w:val="en-US" w:eastAsia="zh-CN"/>
              </w:rPr>
              <w:t>③</w:t>
            </w:r>
            <w:r>
              <w:rPr>
                <w:rFonts w:hint="eastAsia"/>
                <w:lang w:val="en-US" w:eastAsia="zh-CN"/>
              </w:rPr>
              <w:t>询问提出的时间原则上以政府采购活动中有效质疑的时间计算为准。</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lang w:val="en-US" w:eastAsia="zh-CN"/>
              </w:rPr>
              <w:t>6.为降低时间成本，减少不必要的干扰，成都公恒信工程项目管理有限公司或采购人可以不接受未按照约定时间提出的询问。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lang w:val="en-US" w:eastAsia="zh-CN"/>
              </w:rPr>
            </w:pPr>
          </w:p>
        </w:tc>
        <w:tc>
          <w:tcPr>
            <w:tcW w:w="1936" w:type="dxa"/>
            <w:vAlign w:val="center"/>
          </w:tcPr>
          <w:p>
            <w:pPr>
              <w:pStyle w:val="45"/>
              <w:bidi w:val="0"/>
              <w:rPr>
                <w:rFonts w:hint="eastAsia"/>
                <w:lang w:val="zh-CN"/>
              </w:rPr>
            </w:pPr>
            <w:r>
              <w:rPr>
                <w:rFonts w:hint="eastAsia"/>
              </w:rPr>
              <w:t>供应商质疑</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lang w:val="en-US" w:eastAsia="zh-CN"/>
              </w:rPr>
              <w:t>1.根据委托代理协议约定，对于采购文件(招标文件技术条款和除政府采购法第二十二条之外的其他资格条件、专业商务要求)的质疑由采购人负责答复；对于采购过程或采购结果由成都公恒信工程项目管理有限公司负责答复。</w:t>
            </w:r>
            <w:r>
              <w:rPr>
                <w:rFonts w:hint="eastAsia"/>
                <w:lang w:val="en-US" w:eastAsia="zh-CN"/>
              </w:rPr>
              <w:br w:type="textWrapping"/>
            </w:r>
            <w:r>
              <w:rPr>
                <w:rFonts w:hint="eastAsia"/>
                <w:lang w:val="en-US" w:eastAsia="zh-CN"/>
              </w:rPr>
              <w:t>2.供应商提出质疑应当坚持依法依规、诚实信用原则；不得超出采购文件、采购过程、采购结果的范围，不得进行虚假、恶意质疑，不得以质疑为手段获取不当得利、实现非法目的。</w:t>
            </w:r>
            <w:r>
              <w:rPr>
                <w:rFonts w:hint="eastAsia"/>
                <w:lang w:val="en-US" w:eastAsia="zh-CN"/>
              </w:rPr>
              <w:br w:type="textWrapping"/>
            </w:r>
            <w:r>
              <w:rPr>
                <w:rFonts w:hint="eastAsia"/>
                <w:lang w:val="en-US" w:eastAsia="zh-CN"/>
              </w:rPr>
              <w:t>3.提出质疑函的时限要求：供应商认为采购文件、采购过程、中标使其权益受到损害的，可以在知道或者应知其权益受到损害之日起7个工作日内，应通过“政府采购云平台”或以书面形式向采购人、采购代理机构提出质疑。</w:t>
            </w:r>
            <w:r>
              <w:rPr>
                <w:rFonts w:hint="eastAsia"/>
                <w:lang w:val="en-US" w:eastAsia="zh-CN"/>
              </w:rPr>
              <w:br w:type="textWrapping"/>
            </w:r>
            <w:r>
              <w:rPr>
                <w:rFonts w:hint="eastAsia"/>
                <w:lang w:val="en-US" w:eastAsia="zh-CN"/>
              </w:rPr>
              <w:t xml:space="preserve">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 </w:t>
            </w:r>
          </w:p>
          <w:p>
            <w:pPr>
              <w:pStyle w:val="41"/>
              <w:ind w:left="60" w:leftChars="25" w:right="60" w:rightChars="25"/>
            </w:pPr>
            <w:r>
              <w:rPr>
                <w:rFonts w:hint="eastAsia"/>
              </w:rPr>
              <w:t>联系人：欧女士</w:t>
            </w:r>
          </w:p>
          <w:p>
            <w:pPr>
              <w:pStyle w:val="41"/>
              <w:ind w:left="60" w:leftChars="25" w:right="60" w:rightChars="25"/>
            </w:pPr>
            <w:r>
              <w:rPr>
                <w:rFonts w:hint="eastAsia"/>
              </w:rPr>
              <w:t>联系电话：028-85032683/13808171894</w:t>
            </w:r>
          </w:p>
          <w:p>
            <w:pPr>
              <w:pStyle w:val="41"/>
              <w:ind w:left="60" w:leftChars="25" w:right="60" w:rightChars="25"/>
            </w:pPr>
            <w:r>
              <w:rPr>
                <w:rFonts w:hint="eastAsia"/>
              </w:rPr>
              <w:t>通讯地址：</w:t>
            </w:r>
            <w:r>
              <w:rPr>
                <w:rFonts w:hint="eastAsia"/>
                <w:lang w:val="zh-CN"/>
              </w:rPr>
              <w:t>成都市武侯区金履一路218号优博广场1栋405室</w:t>
            </w:r>
          </w:p>
          <w:p>
            <w:pPr>
              <w:pStyle w:val="41"/>
              <w:ind w:left="60" w:leftChars="25" w:right="60" w:rightChars="25"/>
            </w:pPr>
            <w:r>
              <w:rPr>
                <w:rFonts w:hint="eastAsia"/>
              </w:rPr>
              <w:t>邮编：610041</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rPr>
              <w:t>注：①根据《中华人民共和国政府采购法》等法律法规规定，供应商质疑应当有明确的请求和必要的证明材料，须符合《政府采购质疑和投诉办法》(财政部第94号令)规定，并使用财政部下发</w:t>
            </w:r>
            <w:r>
              <w:rPr>
                <w:rFonts w:hint="eastAsia"/>
                <w:lang w:eastAsia="zh-CN"/>
              </w:rPr>
              <w:t>《</w:t>
            </w:r>
            <w:r>
              <w:rPr>
                <w:rFonts w:hint="eastAsia"/>
              </w:rPr>
              <w:t>质疑函</w:t>
            </w:r>
            <w:r>
              <w:rPr>
                <w:rFonts w:hint="eastAsia"/>
                <w:lang w:eastAsia="zh-CN"/>
              </w:rPr>
              <w:t>》</w:t>
            </w:r>
            <w:r>
              <w:rPr>
                <w:rFonts w:hint="eastAsia"/>
              </w:rPr>
              <w:t>范本。</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明确的请求是指：供应商对采购文件还是对采购过程还是对中标结果提出质疑；想要达到的结果，如中标无效、废标、重新组织采购、赔偿、追究法律责任等；</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必要的证明材料是指：包含供应商的营业执照、授权委托书(法定代表人办理质疑事宜时无需提供)、委托代理人身份证明、参加采购项目的证明、权益受到损害的证明材料、证明提出质疑的事实存在的材料等。</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如因供应商提出的质疑函不符合《政府采购质疑和投诉办法》(财政部令第94号)第十二条的要求，成都公恒信工程项目管理有限公司或采购人将要求供应商在法定质疑期内进行质疑函补正，未进行补正或在法定质疑期内未进行补正的，其所有不利后果由供应商自行承担。</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default" w:eastAsia="宋体"/>
                <w:lang w:val="en-US" w:eastAsia="zh-CN"/>
              </w:rPr>
            </w:pPr>
            <w:r>
              <w:rPr>
                <w:rFonts w:hint="eastAsia"/>
              </w:rPr>
              <w:t>②供应商应当在法定质疑期内一次性提出针对同一采购程序环节的质疑。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lang w:val="en-US" w:eastAsia="zh-CN"/>
              </w:rPr>
            </w:pPr>
          </w:p>
        </w:tc>
        <w:tc>
          <w:tcPr>
            <w:tcW w:w="1936" w:type="dxa"/>
            <w:vAlign w:val="center"/>
          </w:tcPr>
          <w:p>
            <w:pPr>
              <w:pStyle w:val="45"/>
              <w:ind w:left="48" w:leftChars="20" w:firstLine="0" w:firstLineChars="0"/>
              <w:rPr>
                <w:rFonts w:hint="eastAsia"/>
                <w:lang w:val="zh-CN"/>
              </w:rPr>
            </w:pPr>
            <w:r>
              <w:rPr>
                <w:rFonts w:hint="eastAsia" w:cs="宋体" w:asciiTheme="minorEastAsia" w:hAnsiTheme="minorEastAsia" w:eastAsiaTheme="minorEastAsia"/>
                <w:color w:val="000000" w:themeColor="text1"/>
                <w:szCs w:val="21"/>
                <w14:textFill>
                  <w14:solidFill>
                    <w14:schemeClr w14:val="tx1"/>
                  </w14:solidFill>
                </w14:textFill>
              </w:rPr>
              <w:t>供应商投诉</w:t>
            </w:r>
          </w:p>
        </w:tc>
        <w:tc>
          <w:tcPr>
            <w:tcW w:w="7244" w:type="dxa"/>
            <w:gridSpan w:val="2"/>
            <w:vAlign w:val="top"/>
          </w:tcPr>
          <w:p>
            <w:pPr>
              <w:pStyle w:val="41"/>
              <w:ind w:left="60" w:leftChars="25" w:right="60" w:rightChars="25"/>
              <w:rPr>
                <w:lang w:val="zh-CN"/>
              </w:rPr>
            </w:pPr>
            <w:r>
              <w:rPr>
                <w:rFonts w:hint="eastAsia"/>
              </w:rPr>
              <w:t xml:space="preserve">投诉受理单位：成都市武侯区财政局 </w:t>
            </w:r>
          </w:p>
          <w:p>
            <w:pPr>
              <w:pStyle w:val="41"/>
              <w:ind w:left="60" w:leftChars="25" w:right="60" w:rightChars="25"/>
              <w:rPr>
                <w:lang w:val="zh-CN"/>
              </w:rPr>
            </w:pPr>
            <w:r>
              <w:rPr>
                <w:rFonts w:hint="eastAsia"/>
                <w:lang w:val="zh-CN"/>
              </w:rPr>
              <w:t>联系电话：</w:t>
            </w:r>
            <w:bookmarkStart w:id="32" w:name="PO_监督管理联系电话_1"/>
            <w:r>
              <w:rPr>
                <w:rFonts w:hint="eastAsia"/>
                <w:lang w:val="zh-CN"/>
              </w:rPr>
              <w:t>028-85558345</w:t>
            </w:r>
            <w:bookmarkEnd w:id="32"/>
          </w:p>
          <w:p>
            <w:pPr>
              <w:pStyle w:val="41"/>
              <w:ind w:left="60" w:leftChars="25" w:right="60" w:rightChars="25"/>
            </w:pPr>
            <w:r>
              <w:rPr>
                <w:rFonts w:hint="eastAsia"/>
                <w:lang w:val="zh-CN"/>
              </w:rPr>
              <w:t>地址：</w:t>
            </w:r>
            <w:bookmarkStart w:id="33" w:name="PO_监督管理办公室地址_1"/>
            <w:r>
              <w:rPr>
                <w:rFonts w:hint="eastAsia"/>
                <w:lang w:val="zh-CN"/>
              </w:rPr>
              <w:t>成都市武侯区武科西五路360号二栋五单元8、9楼</w:t>
            </w:r>
            <w:bookmarkEnd w:id="33"/>
          </w:p>
          <w:p>
            <w:pPr>
              <w:pStyle w:val="41"/>
              <w:ind w:left="60" w:leftChars="25" w:right="60" w:rightChars="25"/>
            </w:pPr>
            <w:r>
              <w:rPr>
                <w:rFonts w:hint="eastAsia"/>
              </w:rPr>
              <w:t>邮编：610046</w:t>
            </w:r>
          </w:p>
          <w:p>
            <w:pPr>
              <w:pStyle w:val="41"/>
              <w:ind w:left="48" w:leftChars="20" w:firstLine="0" w:firstLineChars="0"/>
              <w:rPr>
                <w:rFonts w:hint="eastAsia"/>
              </w:rPr>
            </w:pPr>
            <w:r>
              <w:rPr>
                <w:rFonts w:hint="eastAsia" w:cs="宋体" w:asciiTheme="minorEastAsia" w:hAnsiTheme="minorEastAsia" w:eastAsiaTheme="minorEastAsia"/>
                <w:color w:val="000000" w:themeColor="text1"/>
                <w:szCs w:val="21"/>
                <w14:textFill>
                  <w14:solidFill>
                    <w14:schemeClr w14:val="tx1"/>
                  </w14:solidFill>
                </w14:textFill>
              </w:rPr>
              <w:t>注：供应商投诉应当有明确的请求和必要的证明材料。供应商投诉的事项不得超出已质疑事项的范围，须符合《政府采购质疑和投诉办法》(财政部第94号令)规定，并使用财政部下发《投诉书》范本。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jc w:val="center"/>
        </w:trPr>
        <w:tc>
          <w:tcPr>
            <w:tcW w:w="570" w:type="dxa"/>
            <w:vAlign w:val="center"/>
          </w:tcPr>
          <w:p>
            <w:pPr>
              <w:pStyle w:val="45"/>
              <w:numPr>
                <w:ilvl w:val="0"/>
                <w:numId w:val="9"/>
              </w:numPr>
              <w:bidi w:val="0"/>
              <w:ind w:left="0" w:leftChars="0" w:firstLine="0" w:firstLineChars="0"/>
              <w:rPr>
                <w:rFonts w:hint="eastAsia"/>
                <w:lang w:eastAsia="zh-CN"/>
              </w:rPr>
            </w:pPr>
          </w:p>
        </w:tc>
        <w:tc>
          <w:tcPr>
            <w:tcW w:w="1936" w:type="dxa"/>
            <w:vAlign w:val="center"/>
          </w:tcPr>
          <w:p>
            <w:pPr>
              <w:pStyle w:val="45"/>
              <w:bidi w:val="0"/>
              <w:ind w:firstLine="0" w:firstLineChars="0"/>
              <w:rPr>
                <w:rFonts w:hint="eastAsia"/>
                <w:lang w:val="en-US" w:eastAsia="zh-CN"/>
              </w:rPr>
            </w:pPr>
            <w:r>
              <w:rPr>
                <w:rFonts w:hint="eastAsia"/>
                <w:lang w:val="en-US" w:eastAsia="zh-CN"/>
              </w:rPr>
              <w:t>招标</w:t>
            </w:r>
            <w:r>
              <w:rPr>
                <w:rFonts w:hint="eastAsia"/>
              </w:rPr>
              <w:t>文件咨询</w:t>
            </w:r>
          </w:p>
        </w:tc>
        <w:tc>
          <w:tcPr>
            <w:tcW w:w="7244" w:type="dxa"/>
            <w:gridSpan w:val="2"/>
            <w:vAlign w:val="center"/>
          </w:tcPr>
          <w:p>
            <w:pPr>
              <w:pStyle w:val="41"/>
              <w:ind w:left="60" w:leftChars="25" w:right="60" w:rightChars="25"/>
              <w:rPr>
                <w:lang w:val="zh-CN"/>
              </w:rPr>
            </w:pPr>
            <w:r>
              <w:rPr>
                <w:rFonts w:hint="eastAsia"/>
                <w:lang w:val="zh-CN"/>
              </w:rPr>
              <w:t>联系人：</w:t>
            </w:r>
            <w:r>
              <w:rPr>
                <w:rFonts w:hint="eastAsia"/>
              </w:rPr>
              <w:t>欧女士</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default"/>
                <w:lang w:val="en-US" w:eastAsia="zh-CN"/>
              </w:rPr>
            </w:pPr>
            <w:r>
              <w:rPr>
                <w:rFonts w:hint="eastAsia"/>
                <w:lang w:val="zh-CN"/>
              </w:rPr>
              <w:t>联系电话：028-85032683/13808171894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lang w:eastAsia="zh-CN"/>
              </w:rPr>
            </w:pPr>
          </w:p>
        </w:tc>
        <w:tc>
          <w:tcPr>
            <w:tcW w:w="1936" w:type="dxa"/>
            <w:vAlign w:val="center"/>
          </w:tcPr>
          <w:p>
            <w:pPr>
              <w:pStyle w:val="45"/>
              <w:bidi w:val="0"/>
              <w:ind w:firstLine="0" w:firstLineChars="0"/>
              <w:rPr>
                <w:rFonts w:hint="eastAsia"/>
                <w:lang w:val="en-US" w:eastAsia="zh-CN"/>
              </w:rPr>
            </w:pPr>
            <w:r>
              <w:rPr>
                <w:rFonts w:hint="eastAsia"/>
              </w:rPr>
              <w:t>开评标工作咨询</w:t>
            </w:r>
          </w:p>
        </w:tc>
        <w:tc>
          <w:tcPr>
            <w:tcW w:w="7244" w:type="dxa"/>
            <w:gridSpan w:val="2"/>
            <w:vAlign w:val="center"/>
          </w:tcPr>
          <w:p>
            <w:pPr>
              <w:pStyle w:val="41"/>
              <w:ind w:left="60" w:leftChars="25" w:right="60" w:rightChars="25"/>
              <w:rPr>
                <w:lang w:val="zh-CN"/>
              </w:rPr>
            </w:pPr>
            <w:r>
              <w:rPr>
                <w:rFonts w:hint="eastAsia"/>
                <w:lang w:val="zh-CN"/>
              </w:rPr>
              <w:t>联系人：</w:t>
            </w:r>
            <w:r>
              <w:rPr>
                <w:rFonts w:hint="eastAsia"/>
              </w:rPr>
              <w:t>欧女士</w:t>
            </w:r>
          </w:p>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default"/>
                <w:lang w:val="en-US" w:eastAsia="zh-CN"/>
              </w:rPr>
            </w:pPr>
            <w:r>
              <w:rPr>
                <w:rFonts w:hint="eastAsia"/>
                <w:lang w:val="zh-CN"/>
              </w:rPr>
              <w:t>联系电话：028-85032683/13808171894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lang w:eastAsia="zh-CN"/>
              </w:rPr>
            </w:pPr>
          </w:p>
        </w:tc>
        <w:tc>
          <w:tcPr>
            <w:tcW w:w="1936" w:type="dxa"/>
            <w:vAlign w:val="center"/>
          </w:tcPr>
          <w:p>
            <w:pPr>
              <w:pStyle w:val="45"/>
              <w:bidi w:val="0"/>
              <w:rPr>
                <w:rFonts w:hint="eastAsia"/>
                <w:lang w:val="en-US" w:eastAsia="zh-CN"/>
              </w:rPr>
            </w:pPr>
            <w:r>
              <w:rPr>
                <w:rFonts w:hint="eastAsia"/>
                <w:lang w:val="en-US" w:eastAsia="zh-CN"/>
              </w:rPr>
              <w:t>服务质量投诉电话</w:t>
            </w:r>
          </w:p>
        </w:tc>
        <w:tc>
          <w:tcPr>
            <w:tcW w:w="7244" w:type="dxa"/>
            <w:gridSpan w:val="2"/>
            <w:vAlign w:val="center"/>
          </w:tcPr>
          <w:p>
            <w:pPr>
              <w:pStyle w:val="41"/>
              <w:ind w:left="60" w:leftChars="25" w:right="60" w:rightChars="25"/>
              <w:rPr>
                <w:lang w:val="zh-CN"/>
              </w:rPr>
            </w:pPr>
            <w:r>
              <w:rPr>
                <w:rFonts w:hint="eastAsia"/>
                <w:lang w:val="zh-CN"/>
              </w:rPr>
              <w:t>联系人：</w:t>
            </w:r>
            <w:r>
              <w:rPr>
                <w:rFonts w:hint="eastAsia"/>
              </w:rPr>
              <w:t>欧女士</w:t>
            </w:r>
          </w:p>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zh-CN"/>
              </w:rPr>
              <w:t>联系电话：028-85032683/13808171894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lang w:eastAsia="zh-CN"/>
              </w:rPr>
            </w:pPr>
          </w:p>
        </w:tc>
        <w:tc>
          <w:tcPr>
            <w:tcW w:w="1936" w:type="dxa"/>
            <w:vAlign w:val="center"/>
          </w:tcPr>
          <w:p>
            <w:pPr>
              <w:pStyle w:val="45"/>
              <w:bidi w:val="0"/>
              <w:ind w:firstLine="0" w:firstLineChars="0"/>
              <w:rPr>
                <w:rFonts w:hint="eastAsia"/>
                <w:lang w:val="en-US" w:eastAsia="zh-CN"/>
              </w:rPr>
            </w:pPr>
            <w:r>
              <w:rPr>
                <w:rFonts w:hint="eastAsia" w:ascii="宋体" w:hAnsi="宋体" w:eastAsia="宋体"/>
                <w:lang w:val="zh-CN"/>
              </w:rPr>
              <w:t>声明承诺提醒</w:t>
            </w:r>
          </w:p>
        </w:tc>
        <w:tc>
          <w:tcPr>
            <w:tcW w:w="7244"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eastAsia"/>
                <w:lang w:val="en-US" w:eastAsia="zh-CN"/>
              </w:rPr>
            </w:pPr>
            <w:r>
              <w:rPr>
                <w:rFonts w:hint="eastAsia"/>
                <w:lang w:val="en-US" w:eastAsia="zh-CN"/>
              </w:rPr>
              <w:t>投标人的投标</w:t>
            </w:r>
            <w:r>
              <w:rPr>
                <w:rFonts w:hint="eastAsia" w:ascii="宋体" w:hAnsi="宋体" w:eastAsia="宋体"/>
                <w:lang w:val="zh-CN"/>
              </w:rPr>
              <w:t>文件中提供的各种声明和承诺应当真实有效，无效声明和承诺、虚假声明和承诺将由</w:t>
            </w:r>
            <w:r>
              <w:rPr>
                <w:rFonts w:hint="eastAsia"/>
                <w:lang w:val="en-US" w:eastAsia="zh-CN"/>
              </w:rPr>
              <w:t>投标人自行</w:t>
            </w:r>
            <w:r>
              <w:rPr>
                <w:rFonts w:hint="eastAsia" w:ascii="宋体" w:hAnsi="宋体" w:eastAsia="宋体"/>
                <w:lang w:val="zh-CN"/>
              </w:rPr>
              <w:t>承担由此带来的</w:t>
            </w:r>
            <w:r>
              <w:rPr>
                <w:rFonts w:hint="eastAsia"/>
                <w:lang w:val="en-US" w:eastAsia="zh-CN"/>
              </w:rPr>
              <w:t>一切</w:t>
            </w:r>
            <w:r>
              <w:rPr>
                <w:rFonts w:hint="eastAsia" w:ascii="宋体" w:hAnsi="宋体" w:eastAsia="宋体"/>
                <w:lang w:val="zh-CN"/>
              </w:rPr>
              <w:t>不利后果，</w:t>
            </w:r>
            <w:r>
              <w:rPr>
                <w:rFonts w:hint="eastAsia"/>
                <w:lang w:val="en-US" w:eastAsia="zh-CN"/>
              </w:rPr>
              <w:t>采购代理机构</w:t>
            </w:r>
            <w:r>
              <w:rPr>
                <w:rFonts w:hint="eastAsia" w:ascii="宋体" w:hAnsi="宋体" w:eastAsia="宋体"/>
                <w:lang w:val="zh-CN"/>
              </w:rPr>
              <w:t>还将报告监管部门追究</w:t>
            </w:r>
            <w:r>
              <w:rPr>
                <w:rFonts w:hint="eastAsia"/>
                <w:lang w:val="en-US" w:eastAsia="zh-CN"/>
              </w:rPr>
              <w:t>其</w:t>
            </w:r>
            <w:r>
              <w:rPr>
                <w:rFonts w:hint="eastAsia" w:ascii="宋体" w:hAnsi="宋体" w:eastAsia="宋体"/>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7" w:hRule="atLeast"/>
          <w:jc w:val="center"/>
        </w:trPr>
        <w:tc>
          <w:tcPr>
            <w:tcW w:w="570" w:type="dxa"/>
            <w:vAlign w:val="center"/>
          </w:tcPr>
          <w:p>
            <w:pPr>
              <w:pStyle w:val="45"/>
              <w:numPr>
                <w:ilvl w:val="0"/>
                <w:numId w:val="9"/>
              </w:numPr>
              <w:bidi w:val="0"/>
              <w:ind w:left="0" w:leftChars="0" w:firstLine="0" w:firstLineChars="0"/>
              <w:rPr>
                <w:rFonts w:hint="eastAsia"/>
                <w:lang w:eastAsia="zh-CN"/>
              </w:rPr>
            </w:pPr>
          </w:p>
        </w:tc>
        <w:tc>
          <w:tcPr>
            <w:tcW w:w="1936" w:type="dxa"/>
            <w:vAlign w:val="center"/>
          </w:tcPr>
          <w:p>
            <w:pPr>
              <w:pStyle w:val="45"/>
              <w:bidi w:val="0"/>
              <w:ind w:firstLine="0" w:firstLineChars="0"/>
              <w:rPr>
                <w:rFonts w:hint="eastAsia" w:ascii="宋体" w:hAnsi="宋体" w:eastAsia="宋体"/>
                <w:lang w:val="zh-CN"/>
              </w:rPr>
            </w:pPr>
            <w:r>
              <w:rPr>
                <w:rFonts w:hint="eastAsia" w:ascii="宋体" w:hAnsi="宋体" w:eastAsia="宋体"/>
                <w:lang w:val="zh-CN"/>
              </w:rPr>
              <w:t>温馨提示</w:t>
            </w:r>
          </w:p>
        </w:tc>
        <w:tc>
          <w:tcPr>
            <w:tcW w:w="7244" w:type="dxa"/>
            <w:gridSpan w:val="2"/>
            <w:vAlign w:val="center"/>
          </w:tcPr>
          <w:p>
            <w:pPr>
              <w:pStyle w:val="45"/>
              <w:bidi w:val="0"/>
              <w:ind w:firstLine="0" w:firstLineChars="0"/>
              <w:jc w:val="left"/>
              <w:rPr>
                <w:rFonts w:hint="eastAsia" w:ascii="宋体" w:hAnsi="宋体" w:eastAsia="宋体"/>
                <w:lang w:val="zh-CN"/>
              </w:rPr>
            </w:pPr>
            <w:r>
              <w:rPr>
                <w:rFonts w:hint="eastAsia"/>
                <w:lang w:val="en-US" w:eastAsia="zh-CN"/>
              </w:rPr>
              <w:t>1.</w:t>
            </w:r>
            <w:r>
              <w:rPr>
                <w:rFonts w:hint="eastAsia" w:ascii="宋体" w:hAnsi="宋体" w:eastAsia="宋体"/>
                <w:lang w:val="zh-CN"/>
              </w:rPr>
              <w:t>供应商需准备全流程所必需的硬件设备包括电脑</w:t>
            </w:r>
            <w:r>
              <w:rPr>
                <w:rFonts w:hint="eastAsia"/>
                <w:lang w:val="zh-CN"/>
              </w:rPr>
              <w:t>(</w:t>
            </w:r>
            <w:r>
              <w:rPr>
                <w:rFonts w:hint="eastAsia" w:ascii="宋体" w:hAnsi="宋体" w:eastAsia="宋体"/>
                <w:lang w:val="zh-CN"/>
              </w:rPr>
              <w:t>版本 win7 64位及以上</w:t>
            </w:r>
            <w:r>
              <w:rPr>
                <w:rFonts w:hint="eastAsia"/>
                <w:lang w:val="zh-CN"/>
              </w:rPr>
              <w:t>)</w:t>
            </w:r>
            <w:r>
              <w:rPr>
                <w:rFonts w:hint="eastAsia" w:ascii="宋体" w:hAnsi="宋体" w:eastAsia="宋体"/>
                <w:lang w:val="zh-CN"/>
              </w:rPr>
              <w:t>、麦克风、摄像头、CA证书等。建议使用同一台电脑完成投标、评标相关事宜，推荐安装 chrome 浏览器，且解密CA必须和加密CA为同一把。</w:t>
            </w:r>
          </w:p>
          <w:p>
            <w:pPr>
              <w:pStyle w:val="45"/>
              <w:bidi w:val="0"/>
              <w:ind w:firstLine="0" w:firstLineChars="0"/>
              <w:jc w:val="left"/>
              <w:rPr>
                <w:rFonts w:hint="eastAsia" w:ascii="宋体" w:hAnsi="宋体" w:eastAsia="宋体"/>
                <w:lang w:val="zh-CN"/>
              </w:rPr>
            </w:pPr>
            <w:r>
              <w:rPr>
                <w:rFonts w:hint="eastAsia"/>
                <w:lang w:val="en-US" w:eastAsia="zh-CN"/>
              </w:rPr>
              <w:t>2.“</w:t>
            </w:r>
            <w:r>
              <w:rPr>
                <w:rFonts w:hint="eastAsia" w:ascii="宋体" w:hAnsi="宋体" w:eastAsia="宋体"/>
                <w:lang w:val="zh-CN"/>
              </w:rPr>
              <w:t>政府采购云平台</w:t>
            </w:r>
            <w:r>
              <w:rPr>
                <w:rFonts w:hint="eastAsia"/>
                <w:lang w:val="en-US" w:eastAsia="zh-CN"/>
              </w:rPr>
              <w:t>”</w:t>
            </w:r>
            <w:r>
              <w:rPr>
                <w:rFonts w:hint="eastAsia" w:ascii="宋体" w:hAnsi="宋体" w:eastAsia="宋体"/>
                <w:lang w:val="zh-CN"/>
              </w:rPr>
              <w:t>供应商注册地址：</w:t>
            </w:r>
          </w:p>
          <w:p>
            <w:pPr>
              <w:pStyle w:val="45"/>
              <w:bidi w:val="0"/>
              <w:ind w:firstLine="0" w:firstLineChars="0"/>
              <w:jc w:val="left"/>
              <w:rPr>
                <w:rFonts w:hint="eastAsia" w:ascii="宋体" w:hAnsi="宋体" w:eastAsia="宋体"/>
                <w:lang w:val="en-US" w:eastAsia="zh-CN"/>
              </w:rPr>
            </w:pPr>
            <w:r>
              <w:rPr>
                <w:rFonts w:hint="eastAsia" w:ascii="宋体" w:hAnsi="宋体" w:eastAsia="宋体"/>
                <w:lang w:val="zh-CN"/>
              </w:rPr>
              <w:t>https://middle.zcygov.cn/v-settle-front/registry?settleCategory=1&amp;entranceType=119&amp;utm=a0017.b1347.cl50.3.c0de9400b91b11eb870ad7da87d69c97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5"/>
              <w:numPr>
                <w:ilvl w:val="0"/>
                <w:numId w:val="9"/>
              </w:numPr>
              <w:bidi w:val="0"/>
              <w:ind w:left="0" w:leftChars="0" w:firstLine="0" w:firstLineChars="0"/>
              <w:rPr>
                <w:rFonts w:hint="eastAsia"/>
                <w:lang w:eastAsia="zh-CN"/>
              </w:rPr>
            </w:pPr>
          </w:p>
        </w:tc>
        <w:tc>
          <w:tcPr>
            <w:tcW w:w="1936" w:type="dxa"/>
            <w:vAlign w:val="center"/>
          </w:tcPr>
          <w:p>
            <w:pPr>
              <w:pStyle w:val="45"/>
              <w:bidi w:val="0"/>
              <w:rPr>
                <w:rFonts w:hint="eastAsia"/>
              </w:rPr>
            </w:pPr>
            <w:r>
              <w:rPr>
                <w:rFonts w:hint="eastAsia"/>
              </w:rPr>
              <w:t>备注</w:t>
            </w:r>
          </w:p>
        </w:tc>
        <w:tc>
          <w:tcPr>
            <w:tcW w:w="7244" w:type="dxa"/>
            <w:gridSpan w:val="2"/>
            <w:vAlign w:val="center"/>
          </w:tcPr>
          <w:p>
            <w:pPr>
              <w:pStyle w:val="41"/>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rPr>
              <w:t>若招标文件中其他内容与投标人须知</w:t>
            </w:r>
            <w:r>
              <w:rPr>
                <w:rFonts w:hint="eastAsia"/>
                <w:lang w:val="en-US" w:eastAsia="zh-CN"/>
              </w:rPr>
              <w:t>前</w:t>
            </w:r>
            <w:r>
              <w:rPr>
                <w:rFonts w:hint="eastAsia"/>
              </w:rPr>
              <w:t>附表内容不一致的，以投标人须知</w:t>
            </w:r>
            <w:r>
              <w:rPr>
                <w:rFonts w:hint="eastAsia"/>
                <w:lang w:val="en-US" w:eastAsia="zh-CN"/>
              </w:rPr>
              <w:t>前</w:t>
            </w:r>
            <w:r>
              <w:rPr>
                <w:rFonts w:hint="eastAsia"/>
              </w:rPr>
              <w:t>附表为准。</w:t>
            </w:r>
          </w:p>
        </w:tc>
      </w:tr>
    </w:tbl>
    <w:p>
      <w:pPr>
        <w:pStyle w:val="43"/>
        <w:bidi w:val="0"/>
        <w:rPr>
          <w:rFonts w:hint="eastAsia"/>
        </w:rPr>
      </w:pPr>
      <w:r>
        <w:rPr>
          <w:rFonts w:hint="eastAsia"/>
        </w:rPr>
        <w:br w:type="page"/>
      </w:r>
      <w:bookmarkStart w:id="34" w:name="_Toc2042"/>
      <w:bookmarkStart w:id="35" w:name="_Toc26593"/>
      <w:bookmarkStart w:id="36" w:name="_Toc17951"/>
      <w:bookmarkStart w:id="37" w:name="_Toc4011"/>
      <w:bookmarkStart w:id="38" w:name="_Toc23295"/>
      <w:r>
        <w:rPr>
          <w:rFonts w:hint="eastAsia"/>
        </w:rPr>
        <w:t>总 则</w:t>
      </w:r>
      <w:bookmarkEnd w:id="31"/>
      <w:bookmarkEnd w:id="34"/>
      <w:bookmarkEnd w:id="35"/>
      <w:bookmarkEnd w:id="36"/>
      <w:bookmarkEnd w:id="37"/>
      <w:bookmarkEnd w:id="38"/>
    </w:p>
    <w:p>
      <w:pPr>
        <w:pStyle w:val="49"/>
        <w:bidi w:val="0"/>
        <w:rPr>
          <w:rFonts w:hint="eastAsia"/>
        </w:rPr>
      </w:pPr>
      <w:bookmarkStart w:id="39" w:name="_Toc31870"/>
      <w:bookmarkStart w:id="40" w:name="_Toc20769"/>
      <w:bookmarkStart w:id="41" w:name="_Toc12046"/>
      <w:bookmarkStart w:id="42" w:name="_Toc23796"/>
      <w:bookmarkStart w:id="43" w:name="_Toc307501086"/>
      <w:bookmarkStart w:id="44" w:name="_Toc309897492"/>
      <w:bookmarkStart w:id="45" w:name="_Toc3601"/>
      <w:bookmarkStart w:id="46" w:name="_Toc319439877"/>
      <w:bookmarkStart w:id="47" w:name="_Toc308188129"/>
      <w:bookmarkStart w:id="48" w:name="_Toc327196263"/>
      <w:bookmarkStart w:id="49" w:name="_Toc29532"/>
      <w:bookmarkStart w:id="50" w:name="_Toc410"/>
      <w:bookmarkStart w:id="51" w:name="_Toc217446034"/>
      <w:bookmarkStart w:id="52" w:name="_Toc32483"/>
      <w:bookmarkStart w:id="53" w:name="_Toc307564829"/>
      <w:bookmarkStart w:id="54" w:name="_Toc10311"/>
      <w:bookmarkStart w:id="55" w:name="_Toc28450"/>
      <w:bookmarkStart w:id="56" w:name="_Toc5790"/>
      <w:bookmarkStart w:id="57" w:name="_Toc319440119"/>
      <w:bookmarkStart w:id="58" w:name="_Toc32648"/>
      <w:bookmarkStart w:id="59" w:name="_Toc308084574"/>
      <w:r>
        <w:rPr>
          <w:rFonts w:hint="eastAsia"/>
        </w:rPr>
        <w:t>适用范围</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pPr>
        <w:pStyle w:val="35"/>
        <w:numPr>
          <w:ilvl w:val="2"/>
          <w:numId w:val="0"/>
        </w:numPr>
        <w:bidi w:val="0"/>
        <w:ind w:leftChars="200"/>
        <w:rPr>
          <w:rFonts w:hint="eastAsia"/>
        </w:rPr>
      </w:pPr>
      <w:r>
        <w:rPr>
          <w:rFonts w:hint="eastAsia"/>
        </w:rPr>
        <w:t>本招标文件仅适用于本次公开招标采购项目。</w:t>
      </w:r>
    </w:p>
    <w:p>
      <w:pPr>
        <w:pStyle w:val="49"/>
        <w:bidi w:val="0"/>
        <w:rPr>
          <w:rFonts w:hint="eastAsia"/>
        </w:rPr>
      </w:pPr>
      <w:bookmarkStart w:id="60" w:name="_Toc19670"/>
      <w:bookmarkStart w:id="61" w:name="_Toc524"/>
      <w:bookmarkStart w:id="62" w:name="_Toc16858"/>
      <w:bookmarkStart w:id="63" w:name="_Toc12194"/>
      <w:bookmarkStart w:id="64" w:name="_Toc217446035"/>
      <w:bookmarkStart w:id="65" w:name="_Toc13022"/>
      <w:bookmarkStart w:id="66" w:name="_Toc24841"/>
      <w:bookmarkStart w:id="67" w:name="_Toc319439878"/>
      <w:bookmarkStart w:id="68" w:name="_Toc308188130"/>
      <w:bookmarkStart w:id="69" w:name="_Toc307501087"/>
      <w:bookmarkStart w:id="70" w:name="_Toc24751"/>
      <w:bookmarkStart w:id="71" w:name="_Toc19069"/>
      <w:bookmarkStart w:id="72" w:name="_Toc319440120"/>
      <w:bookmarkStart w:id="73" w:name="_Toc309897493"/>
      <w:bookmarkStart w:id="74" w:name="_Toc7942"/>
      <w:bookmarkStart w:id="75" w:name="_Toc156"/>
      <w:bookmarkStart w:id="76" w:name="_Toc24985"/>
      <w:bookmarkStart w:id="77" w:name="_Toc2775"/>
      <w:bookmarkStart w:id="78" w:name="_Toc327196264"/>
      <w:bookmarkStart w:id="79" w:name="_Toc308084575"/>
      <w:bookmarkStart w:id="80" w:name="_Toc307564830"/>
      <w:r>
        <w:rPr>
          <w:rFonts w:hint="eastAsia"/>
        </w:rPr>
        <w:t>有关定义</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pPr>
        <w:pStyle w:val="63"/>
        <w:bidi w:val="0"/>
        <w:rPr>
          <w:rFonts w:hint="eastAsia"/>
        </w:rPr>
      </w:pPr>
      <w:r>
        <w:rPr>
          <w:rFonts w:hint="eastAsia"/>
        </w:rPr>
        <w:t>“采购人”系指依法进行政府采购的国家机关、事业单位、团体组织。本次招标的采购人是</w:t>
      </w:r>
      <w:r>
        <w:rPr>
          <w:rFonts w:hint="eastAsia"/>
          <w:lang w:eastAsia="zh-CN"/>
        </w:rPr>
        <w:t>成都市武侯区市场监督管理局</w:t>
      </w:r>
      <w:r>
        <w:rPr>
          <w:rFonts w:hint="eastAsia"/>
        </w:rPr>
        <w:t>。</w:t>
      </w:r>
    </w:p>
    <w:p>
      <w:pPr>
        <w:pStyle w:val="63"/>
        <w:bidi w:val="0"/>
        <w:rPr>
          <w:rFonts w:hint="eastAsia"/>
        </w:rPr>
      </w:pPr>
      <w:r>
        <w:rPr>
          <w:rFonts w:hint="eastAsia"/>
        </w:rPr>
        <w:t>“采购代理机构”系指根据采购人的委托依法办理招标事宜的采购机构。本次招标的采购代理机构是</w:t>
      </w:r>
      <w:r>
        <w:rPr>
          <w:rFonts w:hint="eastAsia"/>
          <w:lang w:eastAsia="zh-CN"/>
        </w:rPr>
        <w:t>成都公恒信工程项目管理有限公司</w:t>
      </w:r>
      <w:r>
        <w:rPr>
          <w:rFonts w:hint="eastAsia"/>
        </w:rPr>
        <w:t>。</w:t>
      </w:r>
    </w:p>
    <w:p>
      <w:pPr>
        <w:pStyle w:val="63"/>
        <w:bidi w:val="0"/>
        <w:rPr>
          <w:rFonts w:hint="eastAsia"/>
        </w:rPr>
      </w:pPr>
      <w:r>
        <w:rPr>
          <w:rFonts w:hint="eastAsia"/>
        </w:rPr>
        <w:t>“招标采购单位”系指“采购人”和“采购代理机构”的统称。</w:t>
      </w:r>
    </w:p>
    <w:p>
      <w:pPr>
        <w:pStyle w:val="63"/>
        <w:bidi w:val="0"/>
        <w:rPr>
          <w:rFonts w:hint="eastAsia"/>
        </w:rPr>
      </w:pPr>
      <w:r>
        <w:rPr>
          <w:rFonts w:hint="eastAsia"/>
        </w:rPr>
        <w:t>“投标人”系指购买了招标文件拟参加投标和向采购人提供服务的供应商。</w:t>
      </w:r>
    </w:p>
    <w:p>
      <w:pPr>
        <w:pStyle w:val="63"/>
        <w:bidi w:val="0"/>
        <w:rPr>
          <w:rFonts w:hint="eastAsia"/>
        </w:rPr>
      </w:pPr>
      <w:r>
        <w:rPr>
          <w:rFonts w:hint="eastAsia"/>
        </w:rPr>
        <w:t>本招标文件各部分规定的期间以时、日、月、年计算。期间开始的时和日，不计算在期间内，而从次日开始计算。期间届满的最后一天是节假日的，以节假日后的第一日为期间届满的日期。</w:t>
      </w:r>
    </w:p>
    <w:p>
      <w:pPr>
        <w:pStyle w:val="63"/>
        <w:bidi w:val="0"/>
        <w:rPr>
          <w:rFonts w:hint="eastAsia"/>
          <w:lang w:val="en-US" w:eastAsia="zh-CN"/>
        </w:rPr>
      </w:pPr>
      <w:r>
        <w:rPr>
          <w:rFonts w:hint="eastAsia"/>
          <w:lang w:val="en-US" w:eastAsia="zh-CN"/>
        </w:rPr>
        <w:t>本招标文件各部分规定的时间均以北京时间为准。</w:t>
      </w:r>
    </w:p>
    <w:p>
      <w:pPr>
        <w:pStyle w:val="49"/>
        <w:bidi w:val="0"/>
        <w:rPr>
          <w:rFonts w:hint="eastAsia"/>
        </w:rPr>
      </w:pPr>
      <w:bookmarkStart w:id="81" w:name="_Toc217390843"/>
      <w:bookmarkStart w:id="82" w:name="_Toc183682344"/>
      <w:bookmarkStart w:id="83" w:name="_Toc29784"/>
      <w:bookmarkStart w:id="84" w:name="_Toc308084576"/>
      <w:bookmarkStart w:id="85" w:name="_Toc319440121"/>
      <w:bookmarkStart w:id="86" w:name="_Toc24547"/>
      <w:bookmarkStart w:id="87" w:name="_Toc307564831"/>
      <w:bookmarkStart w:id="88" w:name="_Toc23383"/>
      <w:bookmarkStart w:id="89" w:name="_Toc30244"/>
      <w:bookmarkStart w:id="90" w:name="_Toc319439879"/>
      <w:bookmarkStart w:id="91" w:name="_Toc26508"/>
      <w:bookmarkStart w:id="92" w:name="_Toc307501088"/>
      <w:bookmarkStart w:id="93" w:name="_Toc309897494"/>
      <w:bookmarkStart w:id="94" w:name="_Toc327196265"/>
      <w:bookmarkStart w:id="95" w:name="_Toc22174"/>
      <w:bookmarkStart w:id="96" w:name="_Toc7511"/>
      <w:bookmarkStart w:id="97" w:name="_Toc217446036"/>
      <w:bookmarkStart w:id="98" w:name="_Toc183582207"/>
      <w:bookmarkStart w:id="99" w:name="_Toc3060"/>
      <w:bookmarkStart w:id="100" w:name="_Toc308188131"/>
      <w:bookmarkStart w:id="101" w:name="_Toc30689"/>
      <w:bookmarkStart w:id="102" w:name="_Toc4501"/>
      <w:bookmarkStart w:id="103" w:name="_Toc31295"/>
      <w:bookmarkStart w:id="104" w:name="_Toc11401"/>
      <w:r>
        <w:rPr>
          <w:rFonts w:hint="eastAsia"/>
        </w:rPr>
        <w:t>合格的投标人</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Pr>
          <w:rFonts w:hint="eastAsia"/>
          <w:lang w:val="en-US" w:eastAsia="zh-CN"/>
        </w:rPr>
        <w:t>(实质性要求)</w:t>
      </w:r>
      <w:bookmarkEnd w:id="101"/>
      <w:bookmarkEnd w:id="102"/>
      <w:bookmarkEnd w:id="103"/>
      <w:bookmarkEnd w:id="104"/>
    </w:p>
    <w:p>
      <w:pPr>
        <w:pStyle w:val="46"/>
        <w:bidi w:val="0"/>
        <w:rPr>
          <w:rFonts w:hint="eastAsia"/>
        </w:rPr>
      </w:pPr>
      <w:r>
        <w:rPr>
          <w:rFonts w:hint="eastAsia"/>
        </w:rPr>
        <w:t>合格的投标人应具备以下条件：</w:t>
      </w:r>
    </w:p>
    <w:p>
      <w:pPr>
        <w:pStyle w:val="63"/>
        <w:bidi w:val="0"/>
        <w:rPr>
          <w:rFonts w:hint="eastAsia"/>
        </w:rPr>
      </w:pPr>
      <w:r>
        <w:rPr>
          <w:rFonts w:hint="eastAsia"/>
        </w:rPr>
        <w:t>本招标文件“投标邀请”第五条规定的条件；</w:t>
      </w:r>
    </w:p>
    <w:p>
      <w:pPr>
        <w:pStyle w:val="63"/>
        <w:bidi w:val="0"/>
        <w:rPr>
          <w:rFonts w:hint="eastAsia"/>
        </w:rPr>
      </w:pPr>
      <w:r>
        <w:rPr>
          <w:rFonts w:hint="eastAsia"/>
        </w:rPr>
        <w:t>遵守国家有关的法律、法规、规章和其他政策制度；</w:t>
      </w:r>
    </w:p>
    <w:p>
      <w:pPr>
        <w:pStyle w:val="63"/>
        <w:bidi w:val="0"/>
        <w:rPr>
          <w:rFonts w:hint="eastAsia"/>
        </w:rPr>
      </w:pPr>
      <w:r>
        <w:rPr>
          <w:rFonts w:hint="eastAsia"/>
        </w:rPr>
        <w:t>向采购代理机构</w:t>
      </w:r>
      <w:r>
        <w:rPr>
          <w:rFonts w:hint="eastAsia"/>
          <w:lang w:val="en-US" w:eastAsia="zh-CN"/>
        </w:rPr>
        <w:t>依法获取</w:t>
      </w:r>
      <w:r>
        <w:rPr>
          <w:rFonts w:hint="eastAsia"/>
        </w:rPr>
        <w:t>了招标文件并</w:t>
      </w:r>
      <w:r>
        <w:rPr>
          <w:rFonts w:hint="eastAsia"/>
          <w:lang w:val="en-US" w:eastAsia="zh-CN"/>
        </w:rPr>
        <w:t>完成</w:t>
      </w:r>
      <w:r>
        <w:rPr>
          <w:rFonts w:hint="eastAsia"/>
        </w:rPr>
        <w:t>登记。</w:t>
      </w:r>
    </w:p>
    <w:p>
      <w:pPr>
        <w:pStyle w:val="49"/>
        <w:bidi w:val="0"/>
        <w:rPr>
          <w:rFonts w:hint="eastAsia"/>
        </w:rPr>
      </w:pPr>
      <w:bookmarkStart w:id="105" w:name="_Toc308188132"/>
      <w:bookmarkStart w:id="106" w:name="_Toc21649"/>
      <w:bookmarkStart w:id="107" w:name="_Toc217446037"/>
      <w:bookmarkStart w:id="108" w:name="_Toc319440122"/>
      <w:bookmarkStart w:id="109" w:name="_Toc307564832"/>
      <w:bookmarkStart w:id="110" w:name="_Toc4414"/>
      <w:bookmarkStart w:id="111" w:name="_Toc14323"/>
      <w:bookmarkStart w:id="112" w:name="_Toc12293"/>
      <w:bookmarkStart w:id="113" w:name="_Toc5067"/>
      <w:bookmarkStart w:id="114" w:name="_Toc183582208"/>
      <w:bookmarkStart w:id="115" w:name="_Toc319439880"/>
      <w:bookmarkStart w:id="116" w:name="_Toc9761"/>
      <w:bookmarkStart w:id="117" w:name="_Toc308084577"/>
      <w:bookmarkStart w:id="118" w:name="_Toc183682345"/>
      <w:bookmarkStart w:id="119" w:name="_Toc28895"/>
      <w:bookmarkStart w:id="120" w:name="_Toc327196266"/>
      <w:bookmarkStart w:id="121" w:name="_Toc307501089"/>
      <w:bookmarkStart w:id="122" w:name="_Toc309897495"/>
      <w:bookmarkStart w:id="123" w:name="_Toc26952"/>
      <w:bookmarkStart w:id="124" w:name="_Toc28242"/>
      <w:bookmarkStart w:id="125" w:name="_Toc20132"/>
      <w:bookmarkStart w:id="126" w:name="_Toc31729"/>
      <w:bookmarkStart w:id="127" w:name="_Toc7047"/>
      <w:r>
        <w:rPr>
          <w:rFonts w:hint="eastAsia"/>
        </w:rPr>
        <w:t>投标费用</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Pr>
          <w:rFonts w:hint="eastAsia"/>
          <w:lang w:val="en-US" w:eastAsia="zh-CN"/>
        </w:rPr>
        <w:t>(实质性要求)</w:t>
      </w:r>
      <w:bookmarkEnd w:id="124"/>
      <w:bookmarkEnd w:id="125"/>
      <w:bookmarkEnd w:id="126"/>
      <w:bookmarkEnd w:id="127"/>
    </w:p>
    <w:p>
      <w:pPr>
        <w:pStyle w:val="46"/>
        <w:bidi w:val="0"/>
        <w:rPr>
          <w:rFonts w:hint="eastAsia"/>
        </w:rPr>
      </w:pPr>
      <w:r>
        <w:rPr>
          <w:rFonts w:hint="eastAsia"/>
        </w:rPr>
        <w:t>无论</w:t>
      </w:r>
      <w:r>
        <w:rPr>
          <w:rFonts w:hint="eastAsia"/>
          <w:lang w:val="en-US" w:eastAsia="zh-CN"/>
        </w:rPr>
        <w:t>投标的</w:t>
      </w:r>
      <w:r>
        <w:rPr>
          <w:rFonts w:hint="eastAsia"/>
        </w:rPr>
        <w:t>结果如何，投标人参加投标的有关费用由投标人自行承担。</w:t>
      </w:r>
    </w:p>
    <w:p>
      <w:pPr>
        <w:pStyle w:val="49"/>
        <w:bidi w:val="0"/>
        <w:rPr>
          <w:rFonts w:hint="eastAsia"/>
        </w:rPr>
      </w:pPr>
      <w:bookmarkStart w:id="128" w:name="_Toc308084578"/>
      <w:bookmarkStart w:id="129" w:name="_Toc309897496"/>
      <w:bookmarkStart w:id="130" w:name="_Toc319439881"/>
      <w:bookmarkStart w:id="131" w:name="_Toc18993"/>
      <w:bookmarkStart w:id="132" w:name="_Toc308188133"/>
      <w:bookmarkStart w:id="133" w:name="_Toc27604"/>
      <w:bookmarkStart w:id="134" w:name="_Toc28490"/>
      <w:bookmarkStart w:id="135" w:name="_Toc27927"/>
      <w:bookmarkStart w:id="136" w:name="_Toc319440123"/>
      <w:bookmarkStart w:id="137" w:name="_Toc7710"/>
      <w:bookmarkStart w:id="138" w:name="_Toc11131"/>
      <w:bookmarkStart w:id="139" w:name="_Toc307564833"/>
      <w:bookmarkStart w:id="140" w:name="_Toc18984"/>
      <w:bookmarkStart w:id="141" w:name="_Toc307501090"/>
      <w:bookmarkStart w:id="142" w:name="_Toc327196267"/>
      <w:bookmarkStart w:id="143" w:name="_Toc11996"/>
      <w:bookmarkStart w:id="144" w:name="_Toc5564"/>
      <w:bookmarkStart w:id="145" w:name="_Toc22280"/>
      <w:bookmarkStart w:id="146" w:name="_Toc433"/>
      <w:bookmarkStart w:id="147" w:name="_Toc11923"/>
      <w:r>
        <w:rPr>
          <w:rFonts w:hint="eastAsia"/>
        </w:rPr>
        <w:t>充分、公平竞争保障措施</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Pr>
          <w:rFonts w:hint="eastAsia"/>
          <w:lang w:val="en-US" w:eastAsia="zh-CN"/>
        </w:rPr>
        <w:t>(实质性要求)</w:t>
      </w:r>
      <w:bookmarkEnd w:id="144"/>
      <w:bookmarkEnd w:id="145"/>
      <w:bookmarkEnd w:id="146"/>
      <w:bookmarkEnd w:id="147"/>
    </w:p>
    <w:p>
      <w:pPr>
        <w:pStyle w:val="63"/>
        <w:bidi w:val="0"/>
        <w:rPr>
          <w:rFonts w:hint="eastAsia"/>
        </w:rPr>
      </w:pPr>
      <w:bookmarkStart w:id="148" w:name="_Toc183682346"/>
      <w:bookmarkStart w:id="149" w:name="_Toc183582209"/>
      <w:bookmarkStart w:id="150" w:name="_Toc327196268"/>
      <w:bookmarkStart w:id="151" w:name="_Toc13891"/>
      <w:bookmarkStart w:id="152" w:name="_Toc89075875"/>
      <w:bookmarkStart w:id="153" w:name="_Toc217446038"/>
      <w:bookmarkStart w:id="154" w:name="_Toc77400779"/>
      <w:r>
        <w:rPr>
          <w:rFonts w:hint="eastAsia"/>
        </w:rPr>
        <w:t>利害关系供应商处理。</w:t>
      </w:r>
    </w:p>
    <w:p>
      <w:pPr>
        <w:pStyle w:val="46"/>
        <w:bidi w:val="0"/>
        <w:rPr>
          <w:rFonts w:hint="eastAsia"/>
        </w:rPr>
      </w:pPr>
      <w:r>
        <w:rPr>
          <w:rFonts w:hint="eastAsia"/>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选择其中一家符合条件的供应商参加后续的政府采购活动。</w:t>
      </w:r>
    </w:p>
    <w:p>
      <w:pPr>
        <w:pStyle w:val="46"/>
        <w:bidi w:val="0"/>
        <w:rPr>
          <w:rFonts w:hint="eastAsia"/>
          <w:highlight w:val="none"/>
        </w:rPr>
      </w:pPr>
      <w:r>
        <w:rPr>
          <w:rFonts w:hint="eastAsia"/>
          <w:highlight w:val="none"/>
          <w:lang w:val="en-US" w:eastAsia="zh-CN"/>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63"/>
        <w:bidi w:val="0"/>
        <w:rPr>
          <w:rFonts w:hint="eastAsia"/>
        </w:rPr>
      </w:pPr>
      <w:r>
        <w:rPr>
          <w:rFonts w:hint="eastAsia"/>
        </w:rPr>
        <w:t>前期参与供应商处理。</w:t>
      </w:r>
    </w:p>
    <w:p>
      <w:pPr>
        <w:pStyle w:val="46"/>
        <w:bidi w:val="0"/>
        <w:rPr>
          <w:rFonts w:hint="eastAsia"/>
        </w:rPr>
      </w:pPr>
      <w:r>
        <w:rPr>
          <w:rFonts w:hint="eastAsia"/>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6"/>
        <w:bidi w:val="0"/>
        <w:rPr>
          <w:rFonts w:hint="eastAsia"/>
          <w:b/>
          <w:bCs/>
          <w:highlight w:val="none"/>
        </w:rPr>
      </w:pPr>
      <w:r>
        <w:rPr>
          <w:rFonts w:hint="eastAsia"/>
          <w:b/>
          <w:bCs/>
          <w:highlight w:val="none"/>
          <w:lang w:val="en-US" w:eastAsia="zh-CN"/>
        </w:rPr>
        <w:t>注：</w:t>
      </w:r>
      <w:r>
        <w:rPr>
          <w:rFonts w:hint="eastAsia"/>
          <w:b/>
          <w:bCs/>
          <w:highlight w:val="none"/>
        </w:rPr>
        <w:t>本项目无符合本条规定的供应商。</w:t>
      </w:r>
    </w:p>
    <w:p>
      <w:pPr>
        <w:pStyle w:val="63"/>
        <w:bidi w:val="0"/>
        <w:rPr>
          <w:rFonts w:hint="eastAsia"/>
        </w:rPr>
      </w:pPr>
      <w:r>
        <w:rPr>
          <w:rFonts w:hint="eastAsia"/>
        </w:rPr>
        <w:t>利害关系代理人处理。</w:t>
      </w:r>
    </w:p>
    <w:p>
      <w:pPr>
        <w:pStyle w:val="64"/>
        <w:bidi w:val="0"/>
        <w:rPr>
          <w:rFonts w:hint="eastAsia"/>
        </w:rPr>
      </w:pPr>
      <w:r>
        <w:rPr>
          <w:rFonts w:hint="eastAsia"/>
        </w:rPr>
        <w:t>在同一合同项下的采购项目中，</w:t>
      </w:r>
      <w:r>
        <w:rPr>
          <w:rFonts w:hint="eastAsia"/>
          <w:lang w:val="en-US" w:eastAsia="zh-CN"/>
        </w:rPr>
        <w:t>若有</w:t>
      </w:r>
      <w:r>
        <w:rPr>
          <w:rFonts w:hint="eastAsia"/>
        </w:rPr>
        <w:t>2家</w:t>
      </w:r>
      <w:r>
        <w:rPr>
          <w:rFonts w:hint="eastAsia"/>
          <w:lang w:val="en-US" w:eastAsia="zh-CN"/>
        </w:rPr>
        <w:t>及</w:t>
      </w:r>
      <w:r>
        <w:rPr>
          <w:rFonts w:hint="eastAsia"/>
        </w:rPr>
        <w:t>以上的供应商同时委托同一个自然人、同一家庭的人员、同一单位的人员作为其代理人，其投标文件作为无效处理。</w:t>
      </w:r>
    </w:p>
    <w:p>
      <w:pPr>
        <w:pStyle w:val="64"/>
        <w:bidi w:val="0"/>
        <w:rPr>
          <w:rFonts w:hint="eastAsia"/>
          <w:lang w:val="en-US" w:eastAsia="zh-CN"/>
        </w:rPr>
      </w:pPr>
      <w:r>
        <w:rPr>
          <w:rFonts w:hint="eastAsia"/>
          <w:lang w:val="en-US" w:eastAsia="zh-CN"/>
        </w:rPr>
        <w:t>供应商实际控制人或者中高级管理人员，同时是采购代理机构工作人员，不得参与本项目政府采购活动。</w:t>
      </w:r>
    </w:p>
    <w:p>
      <w:pPr>
        <w:pStyle w:val="64"/>
        <w:bidi w:val="0"/>
        <w:rPr>
          <w:rFonts w:hint="eastAsia"/>
          <w:lang w:val="en-US" w:eastAsia="zh-CN"/>
        </w:rPr>
      </w:pPr>
      <w:r>
        <w:rPr>
          <w:rFonts w:hint="eastAsia"/>
          <w:lang w:val="en-US" w:eastAsia="zh-CN"/>
        </w:rPr>
        <w:t>同一母公司的两家以上的子公司只能组成联合体参加本项目同一合同项下的采购活动，不得以不同供应商身份同时参加本项目同一合同项下的采购活动。</w:t>
      </w:r>
    </w:p>
    <w:p>
      <w:pPr>
        <w:pStyle w:val="64"/>
        <w:bidi w:val="0"/>
        <w:rPr>
          <w:rFonts w:hint="eastAsia"/>
        </w:rPr>
      </w:pPr>
      <w:r>
        <w:rPr>
          <w:rFonts w:hint="eastAsia"/>
          <w:lang w:val="en-US" w:eastAsia="zh-CN"/>
        </w:rPr>
        <w:t>供应商与采购代理机构存在关联关系，或者是采购代理机构的母公司或子公司，不得参加本项目政府采购活动。</w:t>
      </w:r>
    </w:p>
    <w:p>
      <w:pPr>
        <w:pStyle w:val="43"/>
        <w:bidi w:val="0"/>
        <w:rPr>
          <w:rFonts w:hint="eastAsia"/>
        </w:rPr>
      </w:pPr>
      <w:bookmarkStart w:id="155" w:name="_Toc481"/>
      <w:bookmarkStart w:id="156" w:name="_Toc12561"/>
      <w:bookmarkStart w:id="157" w:name="_Toc14125"/>
      <w:bookmarkStart w:id="158" w:name="_Toc27564"/>
      <w:r>
        <w:rPr>
          <w:rFonts w:hint="eastAsia"/>
        </w:rPr>
        <w:t>招标文件</w:t>
      </w:r>
      <w:bookmarkEnd w:id="148"/>
      <w:bookmarkEnd w:id="149"/>
      <w:bookmarkEnd w:id="150"/>
      <w:bookmarkEnd w:id="151"/>
      <w:bookmarkEnd w:id="152"/>
      <w:bookmarkEnd w:id="153"/>
      <w:bookmarkEnd w:id="154"/>
      <w:bookmarkEnd w:id="155"/>
      <w:bookmarkEnd w:id="156"/>
      <w:bookmarkEnd w:id="157"/>
      <w:bookmarkEnd w:id="158"/>
    </w:p>
    <w:p>
      <w:pPr>
        <w:pStyle w:val="49"/>
        <w:numPr>
          <w:ilvl w:val="2"/>
          <w:numId w:val="13"/>
        </w:numPr>
        <w:bidi w:val="0"/>
        <w:rPr>
          <w:rFonts w:hint="eastAsia"/>
        </w:rPr>
      </w:pPr>
      <w:bookmarkStart w:id="159" w:name="_Toc327196269"/>
      <w:bookmarkStart w:id="160" w:name="_Toc25874"/>
      <w:bookmarkStart w:id="161" w:name="_Toc29642"/>
      <w:bookmarkStart w:id="162" w:name="_Toc308084580"/>
      <w:bookmarkStart w:id="163" w:name="_Toc319439883"/>
      <w:bookmarkStart w:id="164" w:name="_Toc307564835"/>
      <w:bookmarkStart w:id="165" w:name="_Toc19030"/>
      <w:bookmarkStart w:id="166" w:name="_Toc17626"/>
      <w:bookmarkStart w:id="167" w:name="_Toc22520"/>
      <w:bookmarkStart w:id="168" w:name="_Toc5983"/>
      <w:bookmarkStart w:id="169" w:name="_Toc309897498"/>
      <w:bookmarkStart w:id="170" w:name="_Toc308188135"/>
      <w:bookmarkStart w:id="171" w:name="_Toc183682347"/>
      <w:bookmarkStart w:id="172" w:name="_Toc319440125"/>
      <w:bookmarkStart w:id="173" w:name="_Toc24565"/>
      <w:bookmarkStart w:id="174" w:name="_Toc8808"/>
      <w:bookmarkStart w:id="175" w:name="_Toc217446039"/>
      <w:bookmarkStart w:id="176" w:name="_Toc183582210"/>
      <w:bookmarkStart w:id="177" w:name="_Toc16404"/>
      <w:bookmarkStart w:id="178" w:name="_Toc307501092"/>
      <w:bookmarkStart w:id="179" w:name="_Toc25650"/>
      <w:bookmarkStart w:id="180" w:name="_Toc29703"/>
      <w:bookmarkStart w:id="181" w:name="_Toc21985"/>
      <w:r>
        <w:rPr>
          <w:rFonts w:hint="eastAsia"/>
        </w:rPr>
        <w:t>招标文件的构成</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pPr>
        <w:pStyle w:val="63"/>
        <w:bidi w:val="0"/>
        <w:rPr>
          <w:rFonts w:hint="eastAsia"/>
        </w:rPr>
      </w:pPr>
      <w:r>
        <w:rPr>
          <w:rFonts w:hint="eastAsia"/>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64"/>
        <w:bidi w:val="0"/>
        <w:rPr>
          <w:rFonts w:hint="eastAsia"/>
        </w:rPr>
      </w:pPr>
      <w:r>
        <w:rPr>
          <w:rFonts w:hint="eastAsia"/>
        </w:rPr>
        <w:t>投标邀请；</w:t>
      </w:r>
    </w:p>
    <w:p>
      <w:pPr>
        <w:pStyle w:val="64"/>
        <w:bidi w:val="0"/>
        <w:rPr>
          <w:rFonts w:hint="eastAsia"/>
        </w:rPr>
      </w:pPr>
      <w:r>
        <w:rPr>
          <w:rFonts w:hint="eastAsia"/>
        </w:rPr>
        <w:t>投标人须知</w:t>
      </w:r>
      <w:r>
        <w:rPr>
          <w:rFonts w:hint="eastAsia"/>
          <w:lang w:eastAsia="zh-CN"/>
        </w:rPr>
        <w:t>(</w:t>
      </w:r>
      <w:r>
        <w:rPr>
          <w:rFonts w:hint="eastAsia"/>
        </w:rPr>
        <w:t>包括投标文件的</w:t>
      </w:r>
      <w:r>
        <w:rPr>
          <w:rFonts w:hint="eastAsia"/>
          <w:lang w:val="en-US" w:eastAsia="zh-CN"/>
        </w:rPr>
        <w:t>制作</w:t>
      </w:r>
      <w:r>
        <w:rPr>
          <w:rFonts w:hint="eastAsia"/>
        </w:rPr>
        <w:t>、签</w:t>
      </w:r>
      <w:r>
        <w:rPr>
          <w:rFonts w:hint="eastAsia"/>
          <w:lang w:val="en-US" w:eastAsia="zh-CN"/>
        </w:rPr>
        <w:t>章</w:t>
      </w:r>
      <w:r>
        <w:rPr>
          <w:rFonts w:hint="eastAsia"/>
        </w:rPr>
        <w:t>、</w:t>
      </w:r>
      <w:r>
        <w:rPr>
          <w:rFonts w:hint="eastAsia"/>
          <w:lang w:val="en-US" w:eastAsia="zh-CN"/>
        </w:rPr>
        <w:t>加密</w:t>
      </w:r>
      <w:r>
        <w:rPr>
          <w:rFonts w:hint="eastAsia"/>
        </w:rPr>
        <w:t>要求等</w:t>
      </w:r>
      <w:r>
        <w:rPr>
          <w:rFonts w:hint="eastAsia"/>
          <w:lang w:eastAsia="zh-CN"/>
        </w:rPr>
        <w:t>)</w:t>
      </w:r>
      <w:r>
        <w:rPr>
          <w:rFonts w:hint="eastAsia"/>
        </w:rPr>
        <w:t>；</w:t>
      </w:r>
    </w:p>
    <w:p>
      <w:pPr>
        <w:pStyle w:val="64"/>
        <w:bidi w:val="0"/>
        <w:rPr>
          <w:rFonts w:hint="eastAsia"/>
        </w:rPr>
      </w:pPr>
      <w:r>
        <w:rPr>
          <w:rFonts w:hint="eastAsia"/>
        </w:rPr>
        <w:t>投标人应当提交的资格、资信证明文件；</w:t>
      </w:r>
    </w:p>
    <w:p>
      <w:pPr>
        <w:pStyle w:val="64"/>
        <w:bidi w:val="0"/>
        <w:rPr>
          <w:rFonts w:hint="eastAsia"/>
        </w:rPr>
      </w:pPr>
      <w:r>
        <w:rPr>
          <w:rFonts w:hint="eastAsia"/>
        </w:rPr>
        <w:t>为落实政府采购政策，采购标的需满足的要求，以及投标人须提供的证明材料；</w:t>
      </w:r>
    </w:p>
    <w:p>
      <w:pPr>
        <w:pStyle w:val="64"/>
        <w:bidi w:val="0"/>
        <w:rPr>
          <w:rFonts w:hint="eastAsia"/>
        </w:rPr>
      </w:pPr>
      <w:r>
        <w:rPr>
          <w:rFonts w:hint="eastAsia"/>
        </w:rPr>
        <w:t>投标文件编制要求、投标报价要求；</w:t>
      </w:r>
    </w:p>
    <w:p>
      <w:pPr>
        <w:pStyle w:val="64"/>
        <w:bidi w:val="0"/>
        <w:rPr>
          <w:rFonts w:hint="eastAsia"/>
        </w:rPr>
      </w:pPr>
      <w:r>
        <w:rPr>
          <w:rFonts w:hint="eastAsia"/>
        </w:rPr>
        <w:t>采购项目预算金额，设定最高限价的，还应当公开最高限价；</w:t>
      </w:r>
    </w:p>
    <w:p>
      <w:pPr>
        <w:pStyle w:val="64"/>
        <w:bidi w:val="0"/>
        <w:rPr>
          <w:rFonts w:hint="eastAsia"/>
        </w:rPr>
      </w:pPr>
      <w:r>
        <w:rPr>
          <w:rFonts w:hint="eastAsia"/>
        </w:rPr>
        <w:t>采购项目的技术规格、数量、服务标准、验收等要求，包括附件、图纸</w:t>
      </w:r>
      <w:r>
        <w:rPr>
          <w:rFonts w:hint="eastAsia"/>
          <w:lang w:eastAsia="zh-CN"/>
        </w:rPr>
        <w:t>(</w:t>
      </w:r>
      <w:r>
        <w:rPr>
          <w:rFonts w:hint="eastAsia"/>
          <w:lang w:val="en-US" w:eastAsia="zh-CN"/>
        </w:rPr>
        <w:t>如涉及</w:t>
      </w:r>
      <w:r>
        <w:rPr>
          <w:rFonts w:hint="eastAsia"/>
          <w:lang w:eastAsia="zh-CN"/>
        </w:rPr>
        <w:t>)</w:t>
      </w:r>
      <w:r>
        <w:rPr>
          <w:rFonts w:hint="eastAsia"/>
        </w:rPr>
        <w:t>等；</w:t>
      </w:r>
    </w:p>
    <w:p>
      <w:pPr>
        <w:pStyle w:val="64"/>
        <w:bidi w:val="0"/>
        <w:rPr>
          <w:rFonts w:hint="eastAsia"/>
        </w:rPr>
      </w:pPr>
      <w:r>
        <w:rPr>
          <w:rFonts w:hint="eastAsia"/>
        </w:rPr>
        <w:t>拟签订的合同文本；</w:t>
      </w:r>
    </w:p>
    <w:p>
      <w:pPr>
        <w:pStyle w:val="64"/>
        <w:bidi w:val="0"/>
        <w:rPr>
          <w:rFonts w:hint="eastAsia"/>
        </w:rPr>
      </w:pPr>
      <w:r>
        <w:rPr>
          <w:rFonts w:hint="eastAsia"/>
        </w:rPr>
        <w:t>货物、服务提供的时间、地点、方式；</w:t>
      </w:r>
    </w:p>
    <w:p>
      <w:pPr>
        <w:pStyle w:val="64"/>
        <w:bidi w:val="0"/>
        <w:rPr>
          <w:rFonts w:hint="eastAsia"/>
        </w:rPr>
      </w:pPr>
      <w:r>
        <w:rPr>
          <w:rFonts w:hint="eastAsia"/>
        </w:rPr>
        <w:t>采购资金的支付方式、时间、条件；</w:t>
      </w:r>
    </w:p>
    <w:p>
      <w:pPr>
        <w:pStyle w:val="64"/>
        <w:bidi w:val="0"/>
        <w:rPr>
          <w:rFonts w:hint="eastAsia"/>
        </w:rPr>
      </w:pPr>
      <w:r>
        <w:rPr>
          <w:rFonts w:hint="eastAsia"/>
        </w:rPr>
        <w:t>评标方法、评标标准和投标无效情形；</w:t>
      </w:r>
    </w:p>
    <w:p>
      <w:pPr>
        <w:pStyle w:val="64"/>
        <w:bidi w:val="0"/>
        <w:rPr>
          <w:rFonts w:hint="eastAsia"/>
        </w:rPr>
      </w:pPr>
      <w:r>
        <w:rPr>
          <w:rFonts w:hint="eastAsia"/>
        </w:rPr>
        <w:t>投标有效期；</w:t>
      </w:r>
    </w:p>
    <w:p>
      <w:pPr>
        <w:pStyle w:val="64"/>
        <w:bidi w:val="0"/>
        <w:rPr>
          <w:rFonts w:hint="eastAsia"/>
        </w:rPr>
      </w:pPr>
      <w:r>
        <w:rPr>
          <w:rFonts w:hint="eastAsia"/>
        </w:rPr>
        <w:t>投标截止时间、开标时间及地点；</w:t>
      </w:r>
    </w:p>
    <w:p>
      <w:pPr>
        <w:pStyle w:val="64"/>
        <w:bidi w:val="0"/>
        <w:rPr>
          <w:rFonts w:hint="eastAsia"/>
        </w:rPr>
      </w:pPr>
      <w:r>
        <w:rPr>
          <w:rFonts w:hint="eastAsia"/>
        </w:rPr>
        <w:t>采购代理机构代理费用的收取标准和方式；</w:t>
      </w:r>
    </w:p>
    <w:p>
      <w:pPr>
        <w:pStyle w:val="64"/>
        <w:bidi w:val="0"/>
        <w:rPr>
          <w:rFonts w:hint="eastAsia"/>
        </w:rPr>
      </w:pPr>
      <w:r>
        <w:rPr>
          <w:rFonts w:hint="eastAsia"/>
        </w:rPr>
        <w:t>投标人信用信息查询渠道及截止时点、信用信息查询记录和证据留存的具体方式、信用信息的使用规则等；</w:t>
      </w:r>
    </w:p>
    <w:p>
      <w:pPr>
        <w:pStyle w:val="64"/>
        <w:bidi w:val="0"/>
        <w:rPr>
          <w:rFonts w:hint="eastAsia"/>
        </w:rPr>
      </w:pPr>
      <w:r>
        <w:rPr>
          <w:rFonts w:hint="eastAsia"/>
        </w:rPr>
        <w:t>省级以上财政部门规定的其他事项。</w:t>
      </w:r>
    </w:p>
    <w:p>
      <w:pPr>
        <w:pStyle w:val="63"/>
        <w:numPr>
          <w:ilvl w:val="3"/>
          <w:numId w:val="13"/>
        </w:numPr>
        <w:bidi w:val="0"/>
        <w:rPr>
          <w:rFonts w:hint="eastAsia"/>
        </w:rPr>
      </w:pPr>
      <w:r>
        <w:rPr>
          <w:rFonts w:hint="eastAsia"/>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49"/>
        <w:bidi w:val="0"/>
        <w:rPr>
          <w:rFonts w:hint="eastAsia"/>
        </w:rPr>
      </w:pPr>
      <w:bookmarkStart w:id="182" w:name="_Toc183582211"/>
      <w:bookmarkStart w:id="183" w:name="_Toc183682348"/>
      <w:bookmarkStart w:id="184" w:name="_Toc13600"/>
      <w:bookmarkStart w:id="185" w:name="_Toc11995"/>
      <w:bookmarkStart w:id="186" w:name="_Toc26020"/>
      <w:bookmarkStart w:id="187" w:name="_Toc7541"/>
      <w:bookmarkStart w:id="188" w:name="_Toc309897499"/>
      <w:bookmarkStart w:id="189" w:name="_Toc25894"/>
      <w:bookmarkStart w:id="190" w:name="_Toc6678"/>
      <w:bookmarkStart w:id="191" w:name="_Toc308188136"/>
      <w:bookmarkStart w:id="192" w:name="_Toc307564836"/>
      <w:bookmarkStart w:id="193" w:name="_Toc319439884"/>
      <w:bookmarkStart w:id="194" w:name="_Toc327196270"/>
      <w:bookmarkStart w:id="195" w:name="_Toc319440126"/>
      <w:bookmarkStart w:id="196" w:name="_Toc17632"/>
      <w:bookmarkStart w:id="197" w:name="_Toc22085"/>
      <w:bookmarkStart w:id="198" w:name="_Toc27690"/>
      <w:bookmarkStart w:id="199" w:name="_Toc16291"/>
      <w:bookmarkStart w:id="200" w:name="_Toc19612"/>
      <w:bookmarkStart w:id="201" w:name="_Toc31172"/>
      <w:bookmarkStart w:id="202" w:name="_Toc308084581"/>
      <w:bookmarkStart w:id="203" w:name="_Toc217446040"/>
      <w:bookmarkStart w:id="204" w:name="_Toc307501093"/>
      <w:r>
        <w:rPr>
          <w:rFonts w:hint="eastAsia"/>
        </w:rPr>
        <w:t>招标文件的澄清</w:t>
      </w:r>
      <w:bookmarkEnd w:id="182"/>
      <w:bookmarkEnd w:id="183"/>
      <w:r>
        <w:rPr>
          <w:rFonts w:hint="eastAsia"/>
        </w:rPr>
        <w:t>和修改</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pPr>
        <w:pStyle w:val="63"/>
        <w:bidi w:val="0"/>
        <w:rPr>
          <w:rFonts w:hint="eastAsia"/>
        </w:rPr>
      </w:pPr>
      <w:bookmarkStart w:id="205" w:name="_Toc3361"/>
      <w:bookmarkStart w:id="206" w:name="_Toc319439885"/>
      <w:bookmarkStart w:id="207" w:name="_Toc307501094"/>
      <w:bookmarkStart w:id="208" w:name="_Toc309897500"/>
      <w:bookmarkStart w:id="209" w:name="_Toc24226"/>
      <w:bookmarkStart w:id="210" w:name="_Toc307564837"/>
      <w:bookmarkStart w:id="211" w:name="_Toc319440127"/>
      <w:bookmarkStart w:id="212" w:name="_Toc2637"/>
      <w:bookmarkStart w:id="213" w:name="_Toc8838"/>
      <w:bookmarkStart w:id="214" w:name="_Toc22061"/>
      <w:bookmarkStart w:id="215" w:name="_Toc327196271"/>
      <w:bookmarkStart w:id="216" w:name="_Toc308188137"/>
      <w:bookmarkStart w:id="217" w:name="_Toc3159"/>
      <w:bookmarkStart w:id="218" w:name="_Toc6811"/>
      <w:bookmarkStart w:id="219" w:name="_Toc7026"/>
      <w:bookmarkStart w:id="220" w:name="_Toc9735"/>
      <w:bookmarkStart w:id="221" w:name="_Toc308084582"/>
      <w:bookmarkStart w:id="222" w:name="_Toc217446041"/>
      <w:bookmarkStart w:id="223" w:name="_Toc208848971"/>
      <w:bookmarkStart w:id="224" w:name="_Toc17111"/>
      <w:r>
        <w:rPr>
          <w:rFonts w:hint="eastAsia"/>
        </w:rPr>
        <w:t>在投标截止时间前，招标采购单位无论出于何种原因，可以对招标文件进行澄清或者修改</w:t>
      </w:r>
      <w:r>
        <w:rPr>
          <w:rFonts w:hint="eastAsia"/>
          <w:lang w:eastAsia="zh-CN"/>
        </w:rPr>
        <w:t>；</w:t>
      </w:r>
      <w:r>
        <w:rPr>
          <w:rFonts w:hint="eastAsia"/>
        </w:rPr>
        <w:t>投标人认为需要对招标文件进行澄清或者修改的，可以以书面形式向招标采购单位提出申请，但招标采购单位可以决定是否采纳投标人的申请事项。</w:t>
      </w:r>
    </w:p>
    <w:p>
      <w:pPr>
        <w:pStyle w:val="63"/>
        <w:bidi w:val="0"/>
        <w:rPr>
          <w:rFonts w:hint="eastAsia"/>
          <w:lang w:eastAsia="zh-CN"/>
        </w:rPr>
      </w:pPr>
      <w:r>
        <w:rPr>
          <w:rFonts w:hint="eastAsia"/>
        </w:rPr>
        <w:t>招标采购单位对已发出的招标文件进行澄清或者修改，澄清或者修改的内容可能影响投标文件编制的，采购人或者采购代理机构应当在投标截止时间至少15日前，以书面形式通知所有获取招标文件的潜在投标人；不足</w:t>
      </w:r>
      <w:r>
        <w:rPr>
          <w:rFonts w:hint="eastAsia"/>
          <w:lang w:val="en-US" w:eastAsia="zh-CN"/>
        </w:rPr>
        <w:t>15</w:t>
      </w:r>
      <w:r>
        <w:rPr>
          <w:rFonts w:hint="eastAsia"/>
        </w:rPr>
        <w:t>日的，采购人或者采购代理机构应当顺延提交投标文件的截止时间</w:t>
      </w:r>
      <w:r>
        <w:rPr>
          <w:rFonts w:hint="eastAsia"/>
          <w:lang w:eastAsia="zh-CN"/>
        </w:rPr>
        <w:t>。</w:t>
      </w:r>
    </w:p>
    <w:p>
      <w:pPr>
        <w:pStyle w:val="63"/>
        <w:bidi w:val="0"/>
        <w:rPr>
          <w:b/>
          <w:bCs/>
        </w:rPr>
      </w:pPr>
      <w:r>
        <w:rPr>
          <w:rFonts w:hint="eastAsia"/>
          <w:b/>
          <w:bCs/>
        </w:rPr>
        <w:t>供应商应于投标文件递交截止时间之前在</w:t>
      </w:r>
      <w:r>
        <w:rPr>
          <w:rFonts w:hint="eastAsia"/>
          <w:b/>
          <w:bCs/>
          <w:lang w:eastAsia="zh-CN"/>
        </w:rPr>
        <w:t>“</w:t>
      </w:r>
      <w:r>
        <w:rPr>
          <w:rFonts w:hint="eastAsia"/>
          <w:b/>
          <w:bCs/>
        </w:rPr>
        <w:t>四川政府采购网</w:t>
      </w:r>
      <w:r>
        <w:rPr>
          <w:rFonts w:hint="eastAsia"/>
          <w:b/>
          <w:bCs/>
          <w:lang w:eastAsia="zh-CN"/>
        </w:rPr>
        <w:t>”</w:t>
      </w:r>
      <w:r>
        <w:rPr>
          <w:rFonts w:hint="eastAsia"/>
          <w:b/>
          <w:bCs/>
        </w:rPr>
        <w:t>查询本项目的更正公告，以保证其对招标文件做出正确的响应。供应商未按要求下载相关文件，或由于未及时关注更正公告的信息造成的后果，其责任由供应商自行负责。</w:t>
      </w:r>
    </w:p>
    <w:p>
      <w:pPr>
        <w:pStyle w:val="49"/>
        <w:bidi w:val="0"/>
        <w:rPr>
          <w:rFonts w:hint="eastAsia"/>
        </w:rPr>
      </w:pPr>
      <w:bookmarkStart w:id="225" w:name="_Toc31570"/>
      <w:bookmarkStart w:id="226" w:name="_Toc17880"/>
      <w:r>
        <w:rPr>
          <w:rFonts w:hint="eastAsia"/>
        </w:rPr>
        <w:t>答疑会和现场考察</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pPr>
        <w:pStyle w:val="63"/>
        <w:bidi w:val="0"/>
        <w:rPr>
          <w:rFonts w:hint="eastAsia"/>
        </w:rPr>
      </w:pPr>
      <w:bookmarkStart w:id="227" w:name="_Toc327196272"/>
      <w:bookmarkStart w:id="228" w:name="_Toc20199"/>
      <w:bookmarkStart w:id="229" w:name="_Toc183582214"/>
      <w:bookmarkStart w:id="230" w:name="_Toc89075876"/>
      <w:bookmarkStart w:id="231" w:name="_Toc183682351"/>
      <w:bookmarkStart w:id="232" w:name="_Toc217446042"/>
      <w:bookmarkStart w:id="233" w:name="_Toc77400780"/>
      <w:r>
        <w:rPr>
          <w:rFonts w:hint="eastAsia"/>
        </w:rPr>
        <w:t>采购人、采购代理机构可以视采购项目的具体情况，组织</w:t>
      </w:r>
      <w:r>
        <w:rPr>
          <w:rFonts w:hint="eastAsia"/>
          <w:lang w:eastAsia="zh-CN"/>
        </w:rPr>
        <w:t>投标人</w:t>
      </w:r>
      <w:r>
        <w:rPr>
          <w:rFonts w:hint="eastAsia"/>
        </w:rPr>
        <w:t>进行现场考察或</w:t>
      </w:r>
      <w:r>
        <w:rPr>
          <w:rFonts w:hint="eastAsia"/>
          <w:lang w:eastAsia="zh-CN"/>
        </w:rPr>
        <w:t>开标</w:t>
      </w:r>
      <w:r>
        <w:rPr>
          <w:rFonts w:hint="eastAsia"/>
        </w:rPr>
        <w:t>前答疑会，但不得单独或分别组织只有一个</w:t>
      </w:r>
      <w:r>
        <w:rPr>
          <w:rFonts w:hint="eastAsia"/>
          <w:lang w:eastAsia="zh-CN"/>
        </w:rPr>
        <w:t>投标人</w:t>
      </w:r>
      <w:r>
        <w:rPr>
          <w:rFonts w:hint="eastAsia"/>
        </w:rPr>
        <w:t>参加的现场考察和答疑会。若组织答疑会和现场考察以采购代理机构通知为准。</w:t>
      </w:r>
    </w:p>
    <w:p>
      <w:pPr>
        <w:pStyle w:val="63"/>
        <w:bidi w:val="0"/>
        <w:rPr>
          <w:rFonts w:hint="eastAsia"/>
        </w:rPr>
      </w:pPr>
      <w:r>
        <w:rPr>
          <w:rFonts w:hint="eastAsia"/>
          <w:lang w:eastAsia="zh-CN"/>
        </w:rPr>
        <w:t>投标人</w:t>
      </w:r>
      <w:r>
        <w:rPr>
          <w:rFonts w:hint="eastAsia"/>
        </w:rPr>
        <w:t>考察现场所发生的一切费用由</w:t>
      </w:r>
      <w:r>
        <w:rPr>
          <w:rFonts w:hint="eastAsia"/>
          <w:lang w:eastAsia="zh-CN"/>
        </w:rPr>
        <w:t>投标人</w:t>
      </w:r>
      <w:r>
        <w:rPr>
          <w:rFonts w:hint="eastAsia"/>
          <w:lang w:val="en-US" w:eastAsia="zh-CN"/>
        </w:rPr>
        <w:t>自行</w:t>
      </w:r>
      <w:r>
        <w:rPr>
          <w:rFonts w:hint="eastAsia"/>
        </w:rPr>
        <w:t>承担。</w:t>
      </w:r>
    </w:p>
    <w:p>
      <w:pPr>
        <w:pStyle w:val="43"/>
        <w:bidi w:val="0"/>
        <w:rPr>
          <w:rFonts w:hint="eastAsia"/>
        </w:rPr>
      </w:pPr>
      <w:bookmarkStart w:id="234" w:name="_Toc16131"/>
      <w:bookmarkStart w:id="235" w:name="_Toc615"/>
      <w:bookmarkStart w:id="236" w:name="_Toc27479"/>
      <w:bookmarkStart w:id="237" w:name="_Toc28257"/>
      <w:r>
        <w:rPr>
          <w:rFonts w:hint="eastAsia"/>
        </w:rPr>
        <w:t>投标文件</w:t>
      </w:r>
      <w:bookmarkEnd w:id="227"/>
      <w:bookmarkEnd w:id="228"/>
      <w:bookmarkEnd w:id="229"/>
      <w:bookmarkEnd w:id="230"/>
      <w:bookmarkEnd w:id="231"/>
      <w:bookmarkEnd w:id="232"/>
      <w:bookmarkEnd w:id="233"/>
      <w:bookmarkEnd w:id="234"/>
      <w:bookmarkEnd w:id="235"/>
      <w:bookmarkEnd w:id="236"/>
      <w:bookmarkEnd w:id="237"/>
    </w:p>
    <w:p>
      <w:pPr>
        <w:pStyle w:val="49"/>
        <w:numPr>
          <w:ilvl w:val="2"/>
          <w:numId w:val="14"/>
        </w:numPr>
        <w:bidi w:val="0"/>
        <w:rPr>
          <w:rFonts w:hint="eastAsia"/>
        </w:rPr>
      </w:pPr>
      <w:bookmarkStart w:id="238" w:name="_Toc217446043"/>
      <w:bookmarkStart w:id="239" w:name="_Toc309897502"/>
      <w:bookmarkStart w:id="240" w:name="_Toc21169"/>
      <w:bookmarkStart w:id="241" w:name="_Toc29330"/>
      <w:bookmarkStart w:id="242" w:name="_Toc23564"/>
      <w:bookmarkStart w:id="243" w:name="_Toc183682352"/>
      <w:bookmarkStart w:id="244" w:name="_Toc307564839"/>
      <w:bookmarkStart w:id="245" w:name="_Toc308188139"/>
      <w:bookmarkStart w:id="246" w:name="_Toc26076"/>
      <w:bookmarkStart w:id="247" w:name="_Toc327196273"/>
      <w:bookmarkStart w:id="248" w:name="_Toc319439887"/>
      <w:bookmarkStart w:id="249" w:name="_Toc2601"/>
      <w:bookmarkStart w:id="250" w:name="_Toc308084584"/>
      <w:bookmarkStart w:id="251" w:name="_Toc319440129"/>
      <w:bookmarkStart w:id="252" w:name="_Toc3041"/>
      <w:bookmarkStart w:id="253" w:name="_Toc307501096"/>
      <w:bookmarkStart w:id="254" w:name="_Toc1641"/>
      <w:bookmarkStart w:id="255" w:name="_Toc27053"/>
      <w:bookmarkStart w:id="256" w:name="_Toc183582215"/>
      <w:bookmarkStart w:id="257" w:name="_Toc14178"/>
      <w:bookmarkStart w:id="258" w:name="_Toc11217"/>
      <w:bookmarkStart w:id="259" w:name="_Toc8388"/>
      <w:bookmarkStart w:id="260" w:name="_Toc9931"/>
      <w:r>
        <w:rPr>
          <w:rFonts w:hint="eastAsia"/>
        </w:rPr>
        <w:t>投标文件的语言</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Pr>
          <w:rFonts w:hint="eastAsia"/>
          <w:lang w:val="en-US" w:eastAsia="zh-CN"/>
        </w:rPr>
        <w:t>(实质性要求)</w:t>
      </w:r>
      <w:bookmarkEnd w:id="257"/>
      <w:bookmarkEnd w:id="258"/>
      <w:bookmarkEnd w:id="259"/>
      <w:bookmarkEnd w:id="260"/>
    </w:p>
    <w:p>
      <w:pPr>
        <w:pStyle w:val="63"/>
        <w:bidi w:val="0"/>
        <w:rPr>
          <w:rFonts w:hint="eastAsia"/>
        </w:rPr>
      </w:pPr>
      <w:r>
        <w:rPr>
          <w:rFonts w:hint="eastAsia"/>
        </w:rPr>
        <w:t>投标人提交的投标文件以及投标人与招标采购单位就有关投标的所有来往书面文件均须使用中文。投标文件中如附有外文资料，必须逐一对应翻译成中文并加盖投标人</w:t>
      </w:r>
      <w:r>
        <w:rPr>
          <w:rFonts w:hint="eastAsia"/>
          <w:lang w:val="en-US" w:eastAsia="zh-CN"/>
        </w:rPr>
        <w:t>电子签章</w:t>
      </w:r>
      <w:r>
        <w:rPr>
          <w:rFonts w:hint="eastAsia"/>
        </w:rPr>
        <w:t>后附在相关外文资料后面，否则，视为未提供该资料。对于</w:t>
      </w:r>
      <w:r>
        <w:rPr>
          <w:rFonts w:hint="eastAsia"/>
          <w:lang w:val="en-US" w:eastAsia="zh-CN"/>
        </w:rPr>
        <w:t>供应商的法定代表人为外籍人士的，法定代表人的签字和护照、</w:t>
      </w:r>
      <w:r>
        <w:rPr>
          <w:rFonts w:hint="eastAsia"/>
        </w:rPr>
        <w:t>行业标准、国家标准、国际标准或行业认证等需要以非中文表述且不宜翻译为中文的除外。</w:t>
      </w:r>
    </w:p>
    <w:p>
      <w:pPr>
        <w:pStyle w:val="63"/>
        <w:bidi w:val="0"/>
        <w:rPr>
          <w:rFonts w:hint="eastAsia"/>
        </w:rPr>
      </w:pPr>
      <w:r>
        <w:rPr>
          <w:rFonts w:hint="eastAsia"/>
        </w:rPr>
        <w:t>翻译的中文资料与外文资料如果出现差异和矛盾时，以中文为准。但不能故意错误翻译，否则，投标人的投标文件将作为无效投标处理。</w:t>
      </w:r>
    </w:p>
    <w:p>
      <w:pPr>
        <w:pStyle w:val="49"/>
        <w:bidi w:val="0"/>
        <w:rPr>
          <w:rFonts w:hint="eastAsia"/>
        </w:rPr>
      </w:pPr>
      <w:bookmarkStart w:id="261" w:name="_Toc307564840"/>
      <w:bookmarkStart w:id="262" w:name="_Toc11901"/>
      <w:bookmarkStart w:id="263" w:name="_Toc319440130"/>
      <w:bookmarkStart w:id="264" w:name="_Toc308084585"/>
      <w:bookmarkStart w:id="265" w:name="_Toc319439888"/>
      <w:bookmarkStart w:id="266" w:name="_Toc327196274"/>
      <w:bookmarkStart w:id="267" w:name="_Toc20188"/>
      <w:bookmarkStart w:id="268" w:name="_Toc2379"/>
      <w:bookmarkStart w:id="269" w:name="_Toc217446044"/>
      <w:bookmarkStart w:id="270" w:name="_Toc183682353"/>
      <w:bookmarkStart w:id="271" w:name="_Toc308188140"/>
      <w:bookmarkStart w:id="272" w:name="_Toc17444"/>
      <w:bookmarkStart w:id="273" w:name="_Toc20091"/>
      <w:bookmarkStart w:id="274" w:name="_Toc307501097"/>
      <w:bookmarkStart w:id="275" w:name="_Toc15226"/>
      <w:bookmarkStart w:id="276" w:name="_Toc15145"/>
      <w:bookmarkStart w:id="277" w:name="_Toc309897503"/>
      <w:bookmarkStart w:id="278" w:name="_Toc12195"/>
      <w:bookmarkStart w:id="279" w:name="_Toc183582216"/>
      <w:bookmarkStart w:id="280" w:name="_Toc18700"/>
      <w:bookmarkStart w:id="281" w:name="_Toc10594"/>
      <w:bookmarkStart w:id="282" w:name="_Toc10762"/>
      <w:bookmarkStart w:id="283" w:name="_Toc12658"/>
      <w:r>
        <w:rPr>
          <w:rFonts w:hint="eastAsia"/>
        </w:rPr>
        <w:t>计量单位</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Pr>
          <w:rFonts w:hint="eastAsia"/>
          <w:lang w:val="en-US" w:eastAsia="zh-CN"/>
        </w:rPr>
        <w:t>(实质性要求)</w:t>
      </w:r>
      <w:bookmarkEnd w:id="280"/>
      <w:bookmarkEnd w:id="281"/>
      <w:bookmarkEnd w:id="282"/>
      <w:bookmarkEnd w:id="283"/>
    </w:p>
    <w:p>
      <w:pPr>
        <w:pStyle w:val="46"/>
        <w:bidi w:val="0"/>
        <w:rPr>
          <w:rFonts w:hint="eastAsia"/>
        </w:rPr>
      </w:pPr>
      <w:r>
        <w:rPr>
          <w:rFonts w:hint="eastAsia"/>
        </w:rPr>
        <w:t>除技术规格及要求中另有规定外，本采购项下的投标均采用国家法定的计量单位。</w:t>
      </w:r>
    </w:p>
    <w:p>
      <w:pPr>
        <w:pStyle w:val="49"/>
        <w:bidi w:val="0"/>
        <w:rPr>
          <w:rFonts w:hint="eastAsia"/>
        </w:rPr>
      </w:pPr>
      <w:bookmarkStart w:id="284" w:name="_Toc8881"/>
      <w:bookmarkStart w:id="285" w:name="_Toc22739"/>
      <w:bookmarkStart w:id="286" w:name="_Toc307501098"/>
      <w:bookmarkStart w:id="287" w:name="_Toc319440131"/>
      <w:bookmarkStart w:id="288" w:name="_Toc308188141"/>
      <w:bookmarkStart w:id="289" w:name="_Toc24761"/>
      <w:bookmarkStart w:id="290" w:name="_Toc8803"/>
      <w:bookmarkStart w:id="291" w:name="_Toc307564841"/>
      <w:bookmarkStart w:id="292" w:name="_Toc309897504"/>
      <w:bookmarkStart w:id="293" w:name="_Toc327196275"/>
      <w:bookmarkStart w:id="294" w:name="_Toc308084586"/>
      <w:bookmarkStart w:id="295" w:name="_Toc217446045"/>
      <w:bookmarkStart w:id="296" w:name="_Toc16798"/>
      <w:bookmarkStart w:id="297" w:name="_Toc15435"/>
      <w:bookmarkStart w:id="298" w:name="_Toc319439889"/>
      <w:bookmarkStart w:id="299" w:name="_Toc698"/>
      <w:bookmarkStart w:id="300" w:name="_Toc25216"/>
      <w:bookmarkStart w:id="301" w:name="_Toc20780"/>
      <w:bookmarkStart w:id="302" w:name="_Toc4759"/>
      <w:bookmarkStart w:id="303" w:name="_Toc19960"/>
      <w:bookmarkStart w:id="304" w:name="_Toc11633"/>
      <w:r>
        <w:rPr>
          <w:rFonts w:hint="eastAsia"/>
        </w:rPr>
        <w:t>投标货币</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Pr>
          <w:rFonts w:hint="eastAsia"/>
          <w:lang w:val="en-US" w:eastAsia="zh-CN"/>
        </w:rPr>
        <w:t>(实质性要求)</w:t>
      </w:r>
      <w:bookmarkEnd w:id="301"/>
      <w:bookmarkEnd w:id="302"/>
      <w:bookmarkEnd w:id="303"/>
      <w:bookmarkEnd w:id="304"/>
    </w:p>
    <w:p>
      <w:pPr>
        <w:pStyle w:val="46"/>
        <w:bidi w:val="0"/>
        <w:rPr>
          <w:rFonts w:hint="eastAsia"/>
        </w:rPr>
      </w:pPr>
      <w:r>
        <w:rPr>
          <w:rFonts w:hint="eastAsia"/>
        </w:rPr>
        <w:t>本次招标项目的投标均以人民币报价。</w:t>
      </w:r>
    </w:p>
    <w:p>
      <w:pPr>
        <w:pStyle w:val="49"/>
        <w:bidi w:val="0"/>
        <w:rPr>
          <w:rFonts w:hint="eastAsia"/>
          <w:lang w:eastAsia="zh-CN"/>
        </w:rPr>
      </w:pPr>
      <w:bookmarkStart w:id="305" w:name="_Toc25923"/>
      <w:bookmarkStart w:id="306" w:name="_Toc319440132"/>
      <w:bookmarkStart w:id="307" w:name="_Toc307564842"/>
      <w:bookmarkStart w:id="308" w:name="_Toc308188142"/>
      <w:bookmarkStart w:id="309" w:name="_Toc21894"/>
      <w:bookmarkStart w:id="310" w:name="_Toc15074"/>
      <w:bookmarkStart w:id="311" w:name="_Toc8550"/>
      <w:bookmarkStart w:id="312" w:name="_Toc309897505"/>
      <w:bookmarkStart w:id="313" w:name="_Toc25266"/>
      <w:bookmarkStart w:id="314" w:name="_Toc24432"/>
      <w:bookmarkStart w:id="315" w:name="_Toc319439890"/>
      <w:bookmarkStart w:id="316" w:name="_Toc327196276"/>
      <w:bookmarkStart w:id="317" w:name="_Toc4336"/>
      <w:bookmarkStart w:id="318" w:name="_Toc217446046"/>
      <w:bookmarkStart w:id="319" w:name="_Toc32108"/>
      <w:bookmarkStart w:id="320" w:name="_Toc308084587"/>
      <w:bookmarkStart w:id="321" w:name="_Toc32667"/>
      <w:bookmarkStart w:id="322" w:name="_Toc7935"/>
      <w:bookmarkStart w:id="323" w:name="_Toc307501099"/>
      <w:bookmarkStart w:id="324" w:name="_Toc21797"/>
      <w:bookmarkStart w:id="325" w:name="_Toc16409"/>
      <w:bookmarkStart w:id="326" w:name="_Toc19971"/>
      <w:bookmarkStart w:id="327" w:name="_Toc13754"/>
      <w:bookmarkStart w:id="328" w:name="_Toc307564843"/>
      <w:bookmarkStart w:id="329" w:name="_Toc308188143"/>
      <w:bookmarkStart w:id="330" w:name="_Toc307501100"/>
      <w:bookmarkStart w:id="331" w:name="_Toc319439891"/>
      <w:bookmarkStart w:id="332" w:name="_Toc18912"/>
      <w:bookmarkStart w:id="333" w:name="_Toc2050"/>
      <w:bookmarkStart w:id="334" w:name="_Toc10974"/>
      <w:bookmarkStart w:id="335" w:name="_Toc7819"/>
      <w:bookmarkStart w:id="336" w:name="_Toc217446047"/>
      <w:bookmarkStart w:id="337" w:name="_Toc319440133"/>
      <w:bookmarkStart w:id="338" w:name="_Toc308084588"/>
      <w:bookmarkStart w:id="339" w:name="_Toc30958"/>
      <w:bookmarkStart w:id="340" w:name="_Toc3781"/>
      <w:bookmarkStart w:id="341" w:name="_Toc327196277"/>
      <w:bookmarkStart w:id="342" w:name="_Toc309897506"/>
      <w:bookmarkStart w:id="343" w:name="_Toc27877"/>
      <w:bookmarkStart w:id="344" w:name="_Toc9626"/>
      <w:bookmarkStart w:id="345" w:name="_Toc15468"/>
      <w:r>
        <w:rPr>
          <w:rFonts w:hint="eastAsia"/>
        </w:rPr>
        <w:t>联合体投标</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Pr>
          <w:rFonts w:hint="eastAsia"/>
          <w:lang w:val="en-US" w:eastAsia="zh-CN"/>
        </w:rPr>
        <w:t>(实质性要求)</w:t>
      </w:r>
      <w:bookmarkEnd w:id="326"/>
    </w:p>
    <w:p>
      <w:pPr>
        <w:pStyle w:val="42"/>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default" w:eastAsia="宋体"/>
          <w:highlight w:val="none"/>
          <w:lang w:val="en-US" w:eastAsia="zh-CN"/>
        </w:rPr>
      </w:pPr>
      <w:r>
        <w:rPr>
          <w:rFonts w:hint="eastAsia"/>
          <w:highlight w:val="none"/>
          <w:lang w:val="en-US" w:eastAsia="zh-CN"/>
        </w:rPr>
        <w:t>本项目不接受联合体投标。</w:t>
      </w:r>
    </w:p>
    <w:p>
      <w:pPr>
        <w:pStyle w:val="49"/>
        <w:bidi w:val="0"/>
        <w:rPr>
          <w:rFonts w:hint="eastAsia"/>
        </w:rPr>
      </w:pPr>
      <w:bookmarkStart w:id="346" w:name="_Toc17207"/>
      <w:bookmarkStart w:id="347" w:name="_Toc30421"/>
      <w:r>
        <w:rPr>
          <w:rFonts w:hint="eastAsia"/>
        </w:rPr>
        <w:t>知识产权</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Pr>
          <w:rFonts w:hint="eastAsia"/>
          <w:lang w:val="en-US" w:eastAsia="zh-CN"/>
        </w:rPr>
        <w:t>(实质性要求)</w:t>
      </w:r>
      <w:bookmarkEnd w:id="344"/>
      <w:bookmarkEnd w:id="345"/>
      <w:bookmarkEnd w:id="346"/>
      <w:bookmarkEnd w:id="347"/>
    </w:p>
    <w:p>
      <w:pPr>
        <w:pStyle w:val="63"/>
        <w:bidi w:val="0"/>
      </w:pPr>
      <w:bookmarkStart w:id="348" w:name="_Toc309897507"/>
      <w:bookmarkStart w:id="349" w:name="_Toc183682354"/>
      <w:bookmarkStart w:id="350" w:name="_Toc30708"/>
      <w:bookmarkStart w:id="351" w:name="_Toc217446048"/>
      <w:bookmarkStart w:id="352" w:name="_Toc7660"/>
      <w:bookmarkStart w:id="353" w:name="_Toc2706"/>
      <w:bookmarkStart w:id="354" w:name="_Toc307501101"/>
      <w:bookmarkStart w:id="355" w:name="_Toc11856"/>
      <w:bookmarkStart w:id="356" w:name="_Toc1140"/>
      <w:bookmarkStart w:id="357" w:name="_Toc307564844"/>
      <w:bookmarkStart w:id="358" w:name="_Toc319439892"/>
      <w:bookmarkStart w:id="359" w:name="_Toc183582217"/>
      <w:bookmarkStart w:id="360" w:name="_Toc5369"/>
      <w:bookmarkStart w:id="361" w:name="_Toc6143"/>
      <w:bookmarkStart w:id="362" w:name="_Toc308188144"/>
      <w:bookmarkStart w:id="363" w:name="_Toc10817"/>
      <w:bookmarkStart w:id="364" w:name="_Toc8432"/>
      <w:bookmarkStart w:id="365" w:name="_Toc319440134"/>
      <w:bookmarkStart w:id="366" w:name="_Toc327196278"/>
      <w:bookmarkStart w:id="367" w:name="_Toc16281"/>
      <w:bookmarkStart w:id="368" w:name="_Toc308084589"/>
      <w:r>
        <w:rPr>
          <w:rFonts w:hint="eastAsia"/>
        </w:rPr>
        <w:t>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63"/>
        <w:bidi w:val="0"/>
      </w:pPr>
      <w:r>
        <w:rPr>
          <w:rFonts w:hint="eastAsia"/>
        </w:rPr>
        <w:t>采购人享有本项目实施过程中产生的知识成果及知识产权。</w:t>
      </w:r>
    </w:p>
    <w:p>
      <w:pPr>
        <w:pStyle w:val="63"/>
        <w:bidi w:val="0"/>
      </w:pPr>
      <w:r>
        <w:rPr>
          <w:rFonts w:hint="eastAsia"/>
        </w:rPr>
        <w:t>投标人如欲在项目实施过程中采用自有知识成果，需在投标文件中声明，并提供相关知识产权证明文件。使用该知识成果后，投标人需提供</w:t>
      </w:r>
      <w:r>
        <w:rPr>
          <w:rFonts w:hint="eastAsia"/>
          <w:lang w:val="en-US" w:eastAsia="zh-CN"/>
        </w:rPr>
        <w:t>相关</w:t>
      </w:r>
      <w:r>
        <w:rPr>
          <w:rFonts w:hint="eastAsia"/>
        </w:rPr>
        <w:t>技术文档，并承诺提供无限期技术支持，采购人享有永久使用权</w:t>
      </w:r>
      <w:r>
        <w:rPr>
          <w:rFonts w:hint="eastAsia"/>
          <w:lang w:eastAsia="zh-CN"/>
        </w:rPr>
        <w:t>，</w:t>
      </w:r>
      <w:r>
        <w:t>同时需在投标文件中提供声明，并提供相关知识产权证明文件，否则视为投标人未在本项目实施过程中采用自有知识成果，不影响有效性</w:t>
      </w:r>
      <w:r>
        <w:rPr>
          <w:rFonts w:hint="eastAsia"/>
        </w:rPr>
        <w:t>。</w:t>
      </w:r>
    </w:p>
    <w:p>
      <w:pPr>
        <w:pStyle w:val="63"/>
        <w:bidi w:val="0"/>
      </w:pPr>
      <w:r>
        <w:rPr>
          <w:rFonts w:hint="eastAsia"/>
        </w:rPr>
        <w:t xml:space="preserve">如采用投标人所不拥有的知识产权，则在投标报价中必须包括合法获取该知识产权的相关费用。 </w:t>
      </w:r>
    </w:p>
    <w:p>
      <w:pPr>
        <w:pStyle w:val="63"/>
        <w:bidi w:val="0"/>
      </w:pPr>
      <w:r>
        <w:rPr>
          <w:rFonts w:hint="eastAsia"/>
        </w:rPr>
        <w:t>如采购项目涉及知识产权时按照此条要求执行</w:t>
      </w:r>
      <w:r>
        <w:rPr>
          <w:rFonts w:hint="eastAsia"/>
          <w:lang w:eastAsia="zh-CN"/>
        </w:rPr>
        <w:t>，</w:t>
      </w:r>
      <w:r>
        <w:rPr>
          <w:rFonts w:hint="eastAsia"/>
          <w:lang w:val="en-US" w:eastAsia="zh-CN"/>
        </w:rPr>
        <w:t>并在评审时作实质性审查。</w:t>
      </w:r>
    </w:p>
    <w:p>
      <w:pPr>
        <w:pStyle w:val="49"/>
        <w:bidi w:val="0"/>
        <w:rPr>
          <w:rFonts w:hint="eastAsia"/>
        </w:rPr>
      </w:pPr>
      <w:bookmarkStart w:id="369" w:name="_Toc6429"/>
      <w:bookmarkStart w:id="370" w:name="_Toc28370"/>
      <w:r>
        <w:rPr>
          <w:rFonts w:hint="eastAsia"/>
        </w:rPr>
        <w:t>投标文件的组成</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pPr>
        <w:pStyle w:val="46"/>
        <w:bidi w:val="0"/>
        <w:rPr>
          <w:rFonts w:hint="eastAsia"/>
        </w:rPr>
      </w:pPr>
      <w:bookmarkStart w:id="371" w:name="_Toc183582218"/>
      <w:bookmarkStart w:id="372" w:name="_Toc217446049"/>
      <w:bookmarkStart w:id="373" w:name="_Toc183682355"/>
      <w:bookmarkStart w:id="374" w:name="_Toc307501102"/>
      <w:r>
        <w:rPr>
          <w:rFonts w:hint="eastAsia"/>
        </w:rPr>
        <w:t>投标人应按照招标文件的规定和要求编制投标文件，否则视为无效投标。投标人编写的投标文件应包括</w:t>
      </w:r>
      <w:r>
        <w:rPr>
          <w:rFonts w:hint="eastAsia"/>
          <w:lang w:val="en-US" w:eastAsia="zh-CN"/>
        </w:rPr>
        <w:t>以下两</w:t>
      </w:r>
      <w:r>
        <w:rPr>
          <w:rFonts w:hint="eastAsia"/>
        </w:rPr>
        <w:t>部分：</w:t>
      </w:r>
    </w:p>
    <w:p>
      <w:pPr>
        <w:pStyle w:val="63"/>
        <w:bidi w:val="0"/>
        <w:rPr>
          <w:rFonts w:hint="eastAsia"/>
          <w:lang w:val="en-US" w:eastAsia="zh-CN"/>
        </w:rPr>
      </w:pPr>
      <w:r>
        <w:rPr>
          <w:rFonts w:hint="eastAsia"/>
          <w:lang w:val="en-US" w:eastAsia="zh-CN"/>
        </w:rPr>
        <w:t>第一部分：资格、资质性及其他类似效力投标文件(用于资格审查)</w:t>
      </w:r>
    </w:p>
    <w:p>
      <w:pPr>
        <w:pStyle w:val="46"/>
        <w:bidi w:val="0"/>
        <w:rPr>
          <w:rFonts w:hint="eastAsia"/>
          <w:lang w:val="en-US" w:eastAsia="zh-CN"/>
        </w:rPr>
      </w:pPr>
      <w:r>
        <w:rPr>
          <w:rFonts w:hint="eastAsia"/>
          <w:lang w:val="en-US" w:eastAsia="zh-CN"/>
        </w:rPr>
        <w:t>按照招标文件第四、五章要求提供相关资格、资质性及其他类似效力要求的相关证明材料。</w:t>
      </w:r>
    </w:p>
    <w:p>
      <w:pPr>
        <w:pStyle w:val="63"/>
        <w:bidi w:val="0"/>
        <w:rPr>
          <w:rFonts w:hint="eastAsia"/>
          <w:lang w:eastAsia="zh-CN"/>
        </w:rPr>
      </w:pPr>
      <w:r>
        <w:rPr>
          <w:rFonts w:hint="eastAsia"/>
          <w:lang w:val="en-US" w:eastAsia="zh-CN"/>
        </w:rPr>
        <w:t>第二部分</w:t>
      </w:r>
      <w:r>
        <w:rPr>
          <w:rFonts w:hint="eastAsia"/>
        </w:rPr>
        <w:t>：其它投标文件</w:t>
      </w:r>
      <w:r>
        <w:rPr>
          <w:rFonts w:hint="eastAsia"/>
          <w:lang w:eastAsia="zh-CN"/>
        </w:rPr>
        <w:t>(</w:t>
      </w:r>
      <w:r>
        <w:rPr>
          <w:rFonts w:hint="eastAsia"/>
        </w:rPr>
        <w:t>用于资格审查以外的评标</w:t>
      </w:r>
      <w:r>
        <w:rPr>
          <w:rFonts w:hint="eastAsia"/>
          <w:lang w:eastAsia="zh-CN"/>
        </w:rPr>
        <w:t>)</w:t>
      </w:r>
    </w:p>
    <w:p>
      <w:pPr>
        <w:pStyle w:val="46"/>
        <w:bidi w:val="0"/>
        <w:rPr>
          <w:rFonts w:hint="eastAsia"/>
          <w:lang w:val="en-US" w:eastAsia="zh-CN"/>
        </w:rPr>
      </w:pPr>
      <w:r>
        <w:rPr>
          <w:rFonts w:hint="eastAsia"/>
          <w:lang w:val="en-US" w:eastAsia="zh-CN"/>
        </w:rPr>
        <w:t>按照招标文件要求提供以下相关材料：</w:t>
      </w:r>
    </w:p>
    <w:p>
      <w:pPr>
        <w:pStyle w:val="64"/>
        <w:bidi w:val="0"/>
        <w:rPr>
          <w:rFonts w:hint="eastAsia"/>
          <w:b/>
          <w:bCs/>
        </w:rPr>
      </w:pPr>
      <w:r>
        <w:rPr>
          <w:rFonts w:hint="eastAsia"/>
          <w:b/>
          <w:bCs/>
        </w:rPr>
        <w:t>报价部分。</w:t>
      </w:r>
    </w:p>
    <w:p>
      <w:pPr>
        <w:pStyle w:val="36"/>
        <w:numPr>
          <w:ilvl w:val="3"/>
          <w:numId w:val="0"/>
        </w:numPr>
        <w:bidi w:val="0"/>
        <w:ind w:leftChars="200"/>
        <w:rPr>
          <w:rFonts w:hint="eastAsia"/>
        </w:rPr>
      </w:pPr>
      <w:r>
        <w:rPr>
          <w:rFonts w:hint="eastAsia"/>
        </w:rPr>
        <w:t>投标人按照以下要求填写的“开标一览表”。本次招标报价要求：</w:t>
      </w:r>
    </w:p>
    <w:p>
      <w:pPr>
        <w:pStyle w:val="65"/>
        <w:bidi w:val="0"/>
      </w:pPr>
      <w:r>
        <w:rPr>
          <w:rFonts w:hint="eastAsia"/>
        </w:rPr>
        <w:t>投标人的报价是投标人响应招标项目要求的全部工作内容的价格体现，包括完成本项目所涉及的一切费用</w:t>
      </w:r>
      <w:r>
        <w:rPr>
          <w:rFonts w:hint="eastAsia"/>
          <w:b/>
          <w:bCs/>
          <w:lang w:val="zh-CN"/>
        </w:rPr>
        <w:t>(实质性要求)</w:t>
      </w:r>
      <w:r>
        <w:rPr>
          <w:rFonts w:hint="eastAsia"/>
        </w:rPr>
        <w:t>。</w:t>
      </w:r>
    </w:p>
    <w:p>
      <w:pPr>
        <w:pStyle w:val="65"/>
        <w:bidi w:val="0"/>
      </w:pPr>
      <w:r>
        <w:rPr>
          <w:rFonts w:hint="eastAsia"/>
        </w:rPr>
        <w:t>投标人只允许有一个报价，并且在合同履行过程中是固定不变的，任何有选择或可调整的报价将不予接受，并按无效投标处理</w:t>
      </w:r>
      <w:r>
        <w:rPr>
          <w:rFonts w:hint="eastAsia"/>
          <w:b/>
          <w:bCs/>
          <w:lang w:val="zh-CN"/>
        </w:rPr>
        <w:t>(实质性要求)</w:t>
      </w:r>
      <w:r>
        <w:rPr>
          <w:rFonts w:hint="eastAsia"/>
        </w:rPr>
        <w:t>。</w:t>
      </w:r>
    </w:p>
    <w:p>
      <w:pPr>
        <w:pStyle w:val="64"/>
        <w:bidi w:val="0"/>
        <w:rPr>
          <w:rFonts w:hint="eastAsia"/>
          <w:b/>
          <w:bCs/>
          <w:lang w:val="zh-CN"/>
        </w:rPr>
      </w:pPr>
      <w:r>
        <w:rPr>
          <w:rFonts w:hint="eastAsia"/>
          <w:b/>
          <w:bCs/>
          <w:lang w:val="en-US" w:eastAsia="zh-CN"/>
        </w:rPr>
        <w:t>服务</w:t>
      </w:r>
      <w:r>
        <w:rPr>
          <w:rFonts w:hint="eastAsia"/>
          <w:b/>
          <w:bCs/>
          <w:lang w:val="zh-CN"/>
        </w:rPr>
        <w:t>部分</w:t>
      </w:r>
    </w:p>
    <w:p>
      <w:pPr>
        <w:pStyle w:val="46"/>
        <w:bidi w:val="0"/>
        <w:rPr>
          <w:rFonts w:hint="eastAsia"/>
          <w:lang w:val="zh-CN"/>
        </w:rPr>
      </w:pPr>
      <w:r>
        <w:rPr>
          <w:rFonts w:hint="eastAsia"/>
          <w:lang w:val="zh-CN"/>
        </w:rPr>
        <w:t>投标人按照招标文件要求做出的</w:t>
      </w:r>
      <w:r>
        <w:rPr>
          <w:rFonts w:hint="eastAsia"/>
          <w:lang w:val="zh-CN" w:eastAsia="zh-CN"/>
        </w:rPr>
        <w:t>服务</w:t>
      </w:r>
      <w:r>
        <w:rPr>
          <w:rFonts w:hint="eastAsia"/>
          <w:lang w:val="zh-CN"/>
        </w:rPr>
        <w:t>应答，主要是针对招标项目的</w:t>
      </w:r>
      <w:r>
        <w:rPr>
          <w:rFonts w:hint="eastAsia"/>
          <w:lang w:val="zh-CN" w:eastAsia="zh-CN"/>
        </w:rPr>
        <w:t>服务</w:t>
      </w:r>
      <w:r>
        <w:rPr>
          <w:rFonts w:hint="eastAsia"/>
          <w:lang w:val="zh-CN"/>
        </w:rPr>
        <w:t>要求做出的实质性响应和满足。投标人的</w:t>
      </w:r>
      <w:r>
        <w:rPr>
          <w:rFonts w:hint="eastAsia"/>
          <w:lang w:val="zh-CN" w:eastAsia="zh-CN"/>
        </w:rPr>
        <w:t>服务</w:t>
      </w:r>
      <w:r>
        <w:rPr>
          <w:rFonts w:hint="eastAsia"/>
          <w:lang w:val="zh-CN"/>
        </w:rPr>
        <w:t>应答</w:t>
      </w:r>
      <w:r>
        <w:rPr>
          <w:rFonts w:hint="eastAsia"/>
          <w:lang w:val="zh-CN" w:eastAsia="zh-CN"/>
        </w:rPr>
        <w:t>应尽可能</w:t>
      </w:r>
      <w:r>
        <w:rPr>
          <w:rFonts w:hint="eastAsia"/>
          <w:lang w:val="zh-CN"/>
        </w:rPr>
        <w:t>包括下列内容：</w:t>
      </w:r>
    </w:p>
    <w:p>
      <w:pPr>
        <w:pStyle w:val="65"/>
        <w:bidi w:val="0"/>
        <w:rPr>
          <w:rFonts w:hint="eastAsia" w:ascii="宋体" w:hAnsi="宋体" w:eastAsia="宋体"/>
          <w:lang w:val="zh-CN"/>
        </w:rPr>
      </w:pPr>
      <w:r>
        <w:rPr>
          <w:rFonts w:hint="eastAsia" w:ascii="宋体" w:hAnsi="宋体" w:eastAsia="宋体"/>
          <w:lang w:val="zh-CN" w:eastAsia="zh-CN"/>
        </w:rPr>
        <w:t>服务</w:t>
      </w:r>
      <w:r>
        <w:rPr>
          <w:rFonts w:hint="eastAsia" w:ascii="宋体" w:hAnsi="宋体" w:eastAsia="宋体"/>
          <w:lang w:val="zh-CN"/>
        </w:rPr>
        <w:t>方案；</w:t>
      </w:r>
    </w:p>
    <w:p>
      <w:pPr>
        <w:pStyle w:val="65"/>
        <w:bidi w:val="0"/>
        <w:rPr>
          <w:rFonts w:hint="eastAsia" w:ascii="宋体" w:hAnsi="宋体" w:eastAsia="宋体"/>
          <w:lang w:val="zh-CN" w:eastAsia="zh-CN"/>
        </w:rPr>
      </w:pPr>
      <w:r>
        <w:rPr>
          <w:rFonts w:hint="eastAsia" w:ascii="宋体" w:hAnsi="宋体" w:eastAsia="宋体"/>
          <w:lang w:val="en-US" w:eastAsia="zh-CN"/>
        </w:rPr>
        <w:t>配置的设备</w:t>
      </w:r>
      <w:r>
        <w:rPr>
          <w:rFonts w:hint="eastAsia" w:ascii="宋体" w:hAnsi="宋体" w:eastAsia="宋体"/>
          <w:lang w:val="zh-CN"/>
        </w:rPr>
        <w:t>的品牌、型号、本身的详细的技术指标</w:t>
      </w:r>
      <w:r>
        <w:rPr>
          <w:rFonts w:hint="eastAsia" w:ascii="宋体" w:hAnsi="宋体" w:eastAsia="宋体"/>
          <w:lang w:val="en-US" w:eastAsia="zh-CN"/>
        </w:rPr>
        <w:t>以及适用范围</w:t>
      </w:r>
      <w:r>
        <w:rPr>
          <w:rFonts w:hint="eastAsia" w:ascii="宋体" w:hAnsi="宋体" w:eastAsia="宋体"/>
          <w:lang w:val="zh-CN" w:eastAsia="zh-CN"/>
        </w:rPr>
        <w:t>；</w:t>
      </w:r>
    </w:p>
    <w:p>
      <w:pPr>
        <w:pStyle w:val="65"/>
        <w:bidi w:val="0"/>
        <w:rPr>
          <w:rFonts w:hint="eastAsia" w:ascii="宋体" w:hAnsi="宋体" w:eastAsia="宋体"/>
          <w:lang w:val="zh-CN"/>
        </w:rPr>
      </w:pPr>
      <w:r>
        <w:rPr>
          <w:rFonts w:hint="eastAsia" w:ascii="宋体" w:hAnsi="宋体" w:eastAsia="宋体"/>
          <w:lang w:val="zh-CN"/>
        </w:rPr>
        <w:t>拟投本项目的管理、技术及服务人员</w:t>
      </w:r>
      <w:r>
        <w:rPr>
          <w:rFonts w:hint="eastAsia" w:ascii="宋体" w:hAnsi="宋体" w:eastAsia="宋体"/>
          <w:lang w:val="zh-CN" w:eastAsia="zh-CN"/>
        </w:rPr>
        <w:t>(如涉及需投入设备的项目可列明设备清单)</w:t>
      </w:r>
      <w:r>
        <w:rPr>
          <w:rFonts w:hint="eastAsia" w:ascii="宋体" w:hAnsi="宋体" w:eastAsia="宋体"/>
          <w:lang w:val="zh-CN"/>
        </w:rPr>
        <w:t>；</w:t>
      </w:r>
    </w:p>
    <w:p>
      <w:pPr>
        <w:pStyle w:val="65"/>
        <w:bidi w:val="0"/>
        <w:rPr>
          <w:rFonts w:hint="eastAsia" w:ascii="宋体" w:hAnsi="宋体" w:eastAsia="宋体"/>
          <w:lang w:val="zh-CN"/>
        </w:rPr>
      </w:pPr>
      <w:r>
        <w:rPr>
          <w:rFonts w:hint="eastAsia" w:ascii="宋体" w:hAnsi="宋体" w:eastAsia="宋体"/>
          <w:lang w:val="zh-CN"/>
        </w:rPr>
        <w:t>服务应答表；</w:t>
      </w:r>
    </w:p>
    <w:p>
      <w:pPr>
        <w:pStyle w:val="65"/>
        <w:bidi w:val="0"/>
        <w:rPr>
          <w:rFonts w:hint="eastAsia" w:ascii="宋体" w:hAnsi="宋体" w:eastAsia="宋体"/>
          <w:lang w:val="zh-CN"/>
        </w:rPr>
      </w:pPr>
      <w:r>
        <w:rPr>
          <w:rFonts w:hint="eastAsia" w:ascii="宋体" w:hAnsi="宋体" w:eastAsia="宋体"/>
          <w:lang w:val="zh-CN"/>
        </w:rPr>
        <w:t>项目验收标准和验收方法；</w:t>
      </w:r>
    </w:p>
    <w:p>
      <w:pPr>
        <w:pStyle w:val="65"/>
        <w:bidi w:val="0"/>
        <w:rPr>
          <w:rFonts w:hint="eastAsia" w:ascii="宋体" w:hAnsi="宋体" w:eastAsia="宋体"/>
          <w:lang w:val="zh-CN"/>
        </w:rPr>
      </w:pPr>
      <w:r>
        <w:rPr>
          <w:rFonts w:hint="eastAsia" w:ascii="宋体" w:hAnsi="宋体" w:eastAsia="宋体"/>
          <w:lang w:val="zh-CN"/>
        </w:rPr>
        <w:t>投标人认为需要提供的文件和资料。</w:t>
      </w:r>
    </w:p>
    <w:p>
      <w:pPr>
        <w:pStyle w:val="64"/>
        <w:bidi w:val="0"/>
        <w:rPr>
          <w:rFonts w:hint="eastAsia"/>
          <w:b/>
          <w:bCs/>
        </w:rPr>
      </w:pPr>
      <w:r>
        <w:rPr>
          <w:rFonts w:hint="eastAsia"/>
          <w:b/>
          <w:bCs/>
        </w:rPr>
        <w:t>商务部分</w:t>
      </w:r>
    </w:p>
    <w:p>
      <w:pPr>
        <w:pStyle w:val="46"/>
        <w:bidi w:val="0"/>
        <w:rPr>
          <w:rFonts w:hint="eastAsia"/>
        </w:rPr>
      </w:pPr>
      <w:r>
        <w:rPr>
          <w:rFonts w:hint="eastAsia"/>
        </w:rPr>
        <w:t>投标人按照招标文件要求提供的有关证明材料；至少应包括但不限于以下内容：</w:t>
      </w:r>
    </w:p>
    <w:p>
      <w:pPr>
        <w:pStyle w:val="65"/>
        <w:bidi w:val="0"/>
        <w:rPr>
          <w:rFonts w:hint="eastAsia"/>
        </w:rPr>
      </w:pPr>
      <w:bookmarkStart w:id="375" w:name="_Toc338418069"/>
      <w:bookmarkStart w:id="376" w:name="_Toc310412059"/>
      <w:bookmarkStart w:id="377" w:name="_Toc310411990"/>
      <w:bookmarkStart w:id="378" w:name="_Toc177972975"/>
      <w:bookmarkStart w:id="379" w:name="_Toc148505258"/>
      <w:bookmarkStart w:id="380" w:name="_Toc177972289"/>
      <w:bookmarkStart w:id="381" w:name="_Toc310410799"/>
      <w:r>
        <w:rPr>
          <w:rFonts w:hint="eastAsia"/>
        </w:rPr>
        <w:t>投标函；</w:t>
      </w:r>
    </w:p>
    <w:p>
      <w:pPr>
        <w:pStyle w:val="65"/>
        <w:bidi w:val="0"/>
        <w:rPr>
          <w:rFonts w:hint="eastAsia"/>
          <w:lang w:val="en-US" w:eastAsia="zh-CN"/>
        </w:rPr>
      </w:pPr>
      <w:r>
        <w:rPr>
          <w:rFonts w:hint="eastAsia"/>
          <w:lang w:val="en-US" w:eastAsia="zh-CN"/>
        </w:rPr>
        <w:t>投标人基本情况表；</w:t>
      </w:r>
    </w:p>
    <w:p>
      <w:pPr>
        <w:pStyle w:val="65"/>
        <w:bidi w:val="0"/>
        <w:rPr>
          <w:rFonts w:hint="eastAsia"/>
          <w:lang w:val="en-US" w:eastAsia="zh-CN"/>
        </w:rPr>
      </w:pPr>
      <w:r>
        <w:rPr>
          <w:rFonts w:hint="eastAsia"/>
          <w:lang w:val="en-US" w:eastAsia="zh-CN"/>
        </w:rPr>
        <w:t>商务应答表；</w:t>
      </w:r>
    </w:p>
    <w:p>
      <w:pPr>
        <w:pStyle w:val="65"/>
        <w:bidi w:val="0"/>
        <w:rPr>
          <w:rFonts w:hint="eastAsia"/>
          <w:lang w:val="en-US" w:eastAsia="zh-CN"/>
        </w:rPr>
      </w:pPr>
      <w:r>
        <w:rPr>
          <w:rFonts w:hint="eastAsia"/>
          <w:lang w:val="en-US" w:eastAsia="zh-CN"/>
        </w:rPr>
        <w:t>招标代理服务费承诺函；</w:t>
      </w:r>
    </w:p>
    <w:p>
      <w:pPr>
        <w:pStyle w:val="65"/>
        <w:bidi w:val="0"/>
        <w:rPr>
          <w:rFonts w:hint="eastAsia"/>
          <w:lang w:val="en-US" w:eastAsia="zh-CN"/>
        </w:rPr>
      </w:pPr>
      <w:r>
        <w:rPr>
          <w:rFonts w:hint="eastAsia"/>
          <w:lang w:val="en-US" w:eastAsia="zh-CN"/>
        </w:rPr>
        <w:t>履约经验；</w:t>
      </w:r>
    </w:p>
    <w:p>
      <w:pPr>
        <w:pStyle w:val="65"/>
        <w:bidi w:val="0"/>
        <w:rPr>
          <w:rFonts w:hint="eastAsia"/>
          <w:lang w:val="en-US" w:eastAsia="zh-CN"/>
        </w:rPr>
      </w:pPr>
      <w:r>
        <w:rPr>
          <w:rFonts w:hint="eastAsia"/>
          <w:lang w:val="en-US" w:eastAsia="zh-CN"/>
        </w:rPr>
        <w:t>投标人认为应当提供的其他证明材料；</w:t>
      </w:r>
    </w:p>
    <w:p>
      <w:pPr>
        <w:pStyle w:val="65"/>
        <w:bidi w:val="0"/>
        <w:rPr>
          <w:rFonts w:hint="eastAsia"/>
        </w:rPr>
      </w:pPr>
      <w:r>
        <w:rPr>
          <w:rFonts w:hint="eastAsia"/>
          <w:lang w:val="en-US" w:eastAsia="zh-CN"/>
        </w:rPr>
        <w:t>招标文件规定的其他商务要求</w:t>
      </w:r>
      <w:r>
        <w:rPr>
          <w:rFonts w:hint="eastAsia"/>
        </w:rPr>
        <w:t>。</w:t>
      </w:r>
    </w:p>
    <w:bookmarkEnd w:id="375"/>
    <w:bookmarkEnd w:id="376"/>
    <w:bookmarkEnd w:id="377"/>
    <w:bookmarkEnd w:id="378"/>
    <w:bookmarkEnd w:id="379"/>
    <w:bookmarkEnd w:id="380"/>
    <w:bookmarkEnd w:id="381"/>
    <w:p>
      <w:pPr>
        <w:pStyle w:val="64"/>
        <w:bidi w:val="0"/>
        <w:rPr>
          <w:rFonts w:hint="eastAsia"/>
        </w:rPr>
      </w:pPr>
      <w:r>
        <w:rPr>
          <w:rFonts w:hint="eastAsia"/>
        </w:rPr>
        <w:t>其他部分。</w:t>
      </w:r>
    </w:p>
    <w:p>
      <w:pPr>
        <w:pStyle w:val="46"/>
        <w:bidi w:val="0"/>
        <w:rPr>
          <w:rFonts w:hint="eastAsia"/>
        </w:rPr>
      </w:pPr>
      <w:r>
        <w:rPr>
          <w:rFonts w:hint="eastAsia"/>
        </w:rPr>
        <w:t>投标人按照招标文件要求作出的其他应答和承诺。</w:t>
      </w:r>
    </w:p>
    <w:p>
      <w:pPr>
        <w:pStyle w:val="47"/>
        <w:bidi w:val="0"/>
        <w:rPr>
          <w:rFonts w:hint="eastAsia"/>
        </w:rPr>
      </w:pPr>
      <w:r>
        <w:rPr>
          <w:rFonts w:hint="eastAsia"/>
        </w:rPr>
        <w:t>注：以</w:t>
      </w:r>
      <w:r>
        <w:rPr>
          <w:rFonts w:hint="eastAsia"/>
          <w:highlight w:val="none"/>
        </w:rPr>
        <w:t>上</w:t>
      </w:r>
      <w:r>
        <w:rPr>
          <w:rFonts w:hint="eastAsia"/>
          <w:color w:val="auto"/>
          <w:highlight w:val="none"/>
          <w:lang w:eastAsia="zh-CN"/>
        </w:rPr>
        <w:t>1、</w:t>
      </w:r>
      <w:r>
        <w:rPr>
          <w:rFonts w:hint="eastAsia"/>
          <w:color w:val="auto"/>
          <w:highlight w:val="none"/>
        </w:rPr>
        <w:t>2</w:t>
      </w:r>
      <w:r>
        <w:rPr>
          <w:rFonts w:hint="eastAsia"/>
          <w:highlight w:val="none"/>
        </w:rPr>
        <w:t>要求提供的证明材料均需加盖投标人</w:t>
      </w:r>
      <w:r>
        <w:rPr>
          <w:rFonts w:hint="eastAsia"/>
          <w:highlight w:val="none"/>
          <w:lang w:val="en-US" w:eastAsia="zh-CN"/>
        </w:rPr>
        <w:t>电子签章</w:t>
      </w:r>
      <w:r>
        <w:rPr>
          <w:rFonts w:hint="eastAsia"/>
          <w:highlight w:val="none"/>
        </w:rPr>
        <w:t>，若未加盖投标人</w:t>
      </w:r>
      <w:r>
        <w:rPr>
          <w:rFonts w:hint="eastAsia"/>
          <w:highlight w:val="none"/>
          <w:lang w:val="en-US" w:eastAsia="zh-CN"/>
        </w:rPr>
        <w:t>电子签章</w:t>
      </w:r>
      <w:r>
        <w:rPr>
          <w:rFonts w:hint="eastAsia"/>
          <w:highlight w:val="none"/>
        </w:rPr>
        <w:t>的，则该证明材料涉及的评分项不予评分</w:t>
      </w:r>
      <w:r>
        <w:rPr>
          <w:rFonts w:hint="eastAsia"/>
        </w:rPr>
        <w:t>，涉及资格条件</w:t>
      </w:r>
      <w:r>
        <w:rPr>
          <w:rFonts w:hint="eastAsia"/>
          <w:lang w:val="en-US" w:eastAsia="zh-CN"/>
        </w:rPr>
        <w:t>或实质性要求</w:t>
      </w:r>
      <w:r>
        <w:rPr>
          <w:rFonts w:hint="eastAsia"/>
        </w:rPr>
        <w:t>的评审项按未通过处理。</w:t>
      </w:r>
    </w:p>
    <w:p>
      <w:pPr>
        <w:pStyle w:val="46"/>
        <w:bidi w:val="0"/>
        <w:rPr>
          <w:rFonts w:hint="eastAsia"/>
          <w:b/>
          <w:bCs/>
        </w:rPr>
      </w:pPr>
      <w:r>
        <w:rPr>
          <w:rFonts w:hint="eastAsia"/>
          <w:b/>
          <w:bCs/>
        </w:rPr>
        <w:t>若综合评分明细表和技术参数中需要提供的证明材料上述未提及，投标人根据综合评分明细表和技术参数提供相关的证明材料。</w:t>
      </w:r>
    </w:p>
    <w:p>
      <w:pPr>
        <w:pStyle w:val="49"/>
        <w:bidi w:val="0"/>
        <w:rPr>
          <w:rFonts w:hint="eastAsia"/>
        </w:rPr>
      </w:pPr>
      <w:bookmarkStart w:id="382" w:name="_Toc319439893"/>
      <w:bookmarkStart w:id="383" w:name="_Toc308188145"/>
      <w:bookmarkStart w:id="384" w:name="_Toc4288"/>
      <w:bookmarkStart w:id="385" w:name="_Toc23655"/>
      <w:bookmarkStart w:id="386" w:name="_Toc6789"/>
      <w:bookmarkStart w:id="387" w:name="_Toc31136"/>
      <w:bookmarkStart w:id="388" w:name="_Toc319440135"/>
      <w:bookmarkStart w:id="389" w:name="_Toc13081"/>
      <w:bookmarkStart w:id="390" w:name="_Toc15763"/>
      <w:bookmarkStart w:id="391" w:name="_Toc309897508"/>
      <w:bookmarkStart w:id="392" w:name="_Toc327196279"/>
      <w:bookmarkStart w:id="393" w:name="_Toc308084590"/>
      <w:bookmarkStart w:id="394" w:name="_Toc3096"/>
      <w:bookmarkStart w:id="395" w:name="_Toc32103"/>
      <w:bookmarkStart w:id="396" w:name="_Toc1874"/>
      <w:bookmarkStart w:id="397" w:name="_Toc31194"/>
      <w:bookmarkStart w:id="398" w:name="_Toc32288"/>
      <w:bookmarkStart w:id="399" w:name="_Toc26967"/>
      <w:bookmarkStart w:id="400" w:name="_Toc307564845"/>
      <w:r>
        <w:rPr>
          <w:rFonts w:hint="eastAsia"/>
        </w:rPr>
        <w:t>投标文件格式</w:t>
      </w:r>
      <w:bookmarkEnd w:id="371"/>
      <w:bookmarkEnd w:id="372"/>
      <w:bookmarkEnd w:id="373"/>
      <w:bookmarkEnd w:id="374"/>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Pr>
          <w:rFonts w:hint="eastAsia"/>
        </w:rPr>
        <w:tab/>
      </w:r>
    </w:p>
    <w:p>
      <w:pPr>
        <w:pStyle w:val="63"/>
        <w:bidi w:val="0"/>
        <w:rPr>
          <w:rFonts w:hint="eastAsia"/>
        </w:rPr>
      </w:pPr>
      <w:r>
        <w:rPr>
          <w:rFonts w:hint="eastAsia"/>
        </w:rPr>
        <w:t>投标人应按照招标文件第三章中提供的“投标文件格式”填写相关内容。</w:t>
      </w:r>
    </w:p>
    <w:p>
      <w:pPr>
        <w:pStyle w:val="63"/>
        <w:bidi w:val="0"/>
        <w:rPr>
          <w:rFonts w:hint="eastAsia"/>
        </w:rPr>
      </w:pPr>
      <w:r>
        <w:rPr>
          <w:rFonts w:hint="eastAsia"/>
        </w:rPr>
        <w:t>对于没有格式要求的由投标人自行编写。</w:t>
      </w:r>
    </w:p>
    <w:p>
      <w:pPr>
        <w:pStyle w:val="49"/>
        <w:bidi w:val="0"/>
        <w:rPr>
          <w:rFonts w:hint="eastAsia"/>
        </w:rPr>
      </w:pPr>
      <w:bookmarkStart w:id="401" w:name="_Toc21967"/>
      <w:bookmarkStart w:id="402" w:name="_Toc308188146"/>
      <w:bookmarkStart w:id="403" w:name="_Toc31944"/>
      <w:bookmarkStart w:id="404" w:name="_Toc319439894"/>
      <w:bookmarkStart w:id="405" w:name="_Toc307501103"/>
      <w:bookmarkStart w:id="406" w:name="_Toc183582223"/>
      <w:bookmarkStart w:id="407" w:name="_Toc21142"/>
      <w:bookmarkStart w:id="408" w:name="_Toc307564846"/>
      <w:bookmarkStart w:id="409" w:name="_Toc217446050"/>
      <w:bookmarkStart w:id="410" w:name="_Toc183682360"/>
      <w:bookmarkStart w:id="411" w:name="_Toc308084591"/>
      <w:bookmarkStart w:id="412" w:name="_Toc14382"/>
      <w:bookmarkStart w:id="413" w:name="_Toc21884"/>
      <w:bookmarkStart w:id="414" w:name="_Toc16016"/>
      <w:bookmarkStart w:id="415" w:name="_Toc319440136"/>
      <w:bookmarkStart w:id="416" w:name="_Toc14436"/>
      <w:bookmarkStart w:id="417" w:name="_Toc327196280"/>
      <w:bookmarkStart w:id="418" w:name="_Toc29891"/>
      <w:bookmarkStart w:id="419" w:name="_Toc20642"/>
      <w:bookmarkStart w:id="420" w:name="_Toc2456"/>
      <w:bookmarkStart w:id="421" w:name="_Toc4102"/>
      <w:bookmarkStart w:id="422" w:name="_Toc27418"/>
      <w:bookmarkStart w:id="423" w:name="_Toc309897509"/>
      <w:r>
        <w:rPr>
          <w:rFonts w:hint="eastAsia"/>
        </w:rPr>
        <w:t>投标保证金</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pPr>
        <w:pStyle w:val="63"/>
        <w:numPr>
          <w:ilvl w:val="3"/>
          <w:numId w:val="0"/>
        </w:numPr>
        <w:bidi w:val="0"/>
        <w:ind w:leftChars="200"/>
        <w:rPr>
          <w:rFonts w:hint="eastAsia"/>
        </w:rPr>
      </w:pPr>
      <w:bookmarkStart w:id="424" w:name="_Toc21338"/>
      <w:bookmarkStart w:id="425" w:name="_Toc309897510"/>
      <w:bookmarkStart w:id="426" w:name="_Toc9356"/>
      <w:bookmarkStart w:id="427" w:name="_Toc183682361"/>
      <w:bookmarkStart w:id="428" w:name="_Toc308084592"/>
      <w:bookmarkStart w:id="429" w:name="_Toc183582224"/>
      <w:bookmarkStart w:id="430" w:name="_Toc27589"/>
      <w:bookmarkStart w:id="431" w:name="_Toc26011"/>
      <w:bookmarkStart w:id="432" w:name="_Toc217446051"/>
      <w:bookmarkStart w:id="433" w:name="_Toc307564847"/>
      <w:bookmarkStart w:id="434" w:name="_Toc308188147"/>
      <w:bookmarkStart w:id="435" w:name="_Toc17857"/>
      <w:bookmarkStart w:id="436" w:name="_Toc319440137"/>
      <w:bookmarkStart w:id="437" w:name="_Toc327196281"/>
      <w:bookmarkStart w:id="438" w:name="_Toc307501104"/>
      <w:bookmarkStart w:id="439" w:name="_Toc31284"/>
      <w:bookmarkStart w:id="440" w:name="_Toc13956"/>
      <w:bookmarkStart w:id="441" w:name="_Toc29434"/>
      <w:bookmarkStart w:id="442" w:name="_Toc319439895"/>
      <w:r>
        <w:rPr>
          <w:rFonts w:hint="eastAsia"/>
          <w:lang w:val="en-US" w:eastAsia="zh-CN"/>
        </w:rPr>
        <w:t>本项目不收取投标保证金</w:t>
      </w:r>
      <w:r>
        <w:rPr>
          <w:rFonts w:hint="eastAsia"/>
        </w:rPr>
        <w:t>。</w:t>
      </w:r>
    </w:p>
    <w:p>
      <w:pPr>
        <w:pStyle w:val="49"/>
        <w:bidi w:val="0"/>
        <w:rPr>
          <w:rFonts w:hint="eastAsia"/>
        </w:rPr>
      </w:pPr>
      <w:bookmarkStart w:id="443" w:name="_Toc20243"/>
      <w:bookmarkStart w:id="444" w:name="_Toc19115"/>
      <w:bookmarkStart w:id="445" w:name="_Toc30115"/>
      <w:bookmarkStart w:id="446" w:name="_Toc15663"/>
      <w:r>
        <w:rPr>
          <w:rFonts w:hint="eastAsia"/>
        </w:rPr>
        <w:t>投标有效期</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Pr>
          <w:rFonts w:hint="eastAsia"/>
          <w:lang w:eastAsia="zh-CN"/>
        </w:rPr>
        <w:t>(</w:t>
      </w:r>
      <w:r>
        <w:rPr>
          <w:rFonts w:hint="eastAsia"/>
        </w:rPr>
        <w:t>实质性要求</w:t>
      </w:r>
      <w:bookmarkEnd w:id="443"/>
      <w:r>
        <w:rPr>
          <w:rFonts w:hint="eastAsia"/>
          <w:lang w:eastAsia="zh-CN"/>
        </w:rPr>
        <w:t>)</w:t>
      </w:r>
      <w:bookmarkEnd w:id="444"/>
      <w:bookmarkEnd w:id="445"/>
      <w:bookmarkEnd w:id="446"/>
    </w:p>
    <w:p>
      <w:pPr>
        <w:pStyle w:val="63"/>
        <w:bidi w:val="0"/>
        <w:rPr>
          <w:rFonts w:hint="eastAsia"/>
        </w:rPr>
      </w:pPr>
      <w:r>
        <w:rPr>
          <w:rFonts w:hint="eastAsia"/>
        </w:rPr>
        <w:t>投标有效期为提交投标文件的截止之日起</w:t>
      </w:r>
      <w:r>
        <w:rPr>
          <w:rFonts w:hint="eastAsia"/>
          <w:lang w:eastAsia="zh-CN"/>
        </w:rPr>
        <w:t>90日</w:t>
      </w:r>
      <w:r>
        <w:rPr>
          <w:rFonts w:hint="eastAsia"/>
        </w:rPr>
        <w:t>。投标人投标文件中必须载明投标有效期，投标文件中载明的投标有效期可以长于招标文件规定的期限，但不得短于招标文件规定的期限。否则，其投标文件将作为无效投标处理。</w:t>
      </w:r>
    </w:p>
    <w:p>
      <w:pPr>
        <w:pStyle w:val="63"/>
        <w:bidi w:val="0"/>
        <w:rPr>
          <w:rFonts w:hint="eastAsia"/>
        </w:rPr>
      </w:pPr>
      <w:r>
        <w:rPr>
          <w:rFonts w:hint="eastAsia"/>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63"/>
        <w:bidi w:val="0"/>
        <w:rPr>
          <w:rFonts w:hint="eastAsia"/>
        </w:rPr>
      </w:pPr>
      <w:r>
        <w:rPr>
          <w:rFonts w:hint="eastAsia"/>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9"/>
        <w:bidi w:val="0"/>
        <w:rPr>
          <w:rFonts w:hint="eastAsia" w:ascii="宋体" w:hAnsi="宋体" w:eastAsia="宋体" w:cs="宋体"/>
        </w:rPr>
      </w:pPr>
      <w:bookmarkStart w:id="447" w:name="_Toc20288"/>
      <w:bookmarkStart w:id="448" w:name="_Toc27545"/>
      <w:bookmarkStart w:id="449" w:name="_Toc28724"/>
      <w:bookmarkStart w:id="450" w:name="_Toc309897512"/>
      <w:bookmarkStart w:id="451" w:name="_Toc27443"/>
      <w:bookmarkStart w:id="452" w:name="_Toc327196283"/>
      <w:bookmarkStart w:id="453" w:name="_Toc16752"/>
      <w:bookmarkStart w:id="454" w:name="_Toc17010"/>
      <w:bookmarkStart w:id="455" w:name="_Toc77400781"/>
      <w:bookmarkStart w:id="456" w:name="_Toc307564849"/>
      <w:bookmarkStart w:id="457" w:name="_Toc10555"/>
      <w:bookmarkStart w:id="458" w:name="_Toc6805"/>
      <w:bookmarkStart w:id="459" w:name="_Toc19635"/>
      <w:bookmarkStart w:id="460" w:name="_Toc5019"/>
      <w:bookmarkStart w:id="461" w:name="_Toc319440139"/>
      <w:bookmarkStart w:id="462" w:name="_Toc183582226"/>
      <w:bookmarkStart w:id="463" w:name="_Toc308188149"/>
      <w:bookmarkStart w:id="464" w:name="_Toc217446053"/>
      <w:bookmarkStart w:id="465" w:name="_Toc183682363"/>
      <w:bookmarkStart w:id="466" w:name="_Toc13153"/>
      <w:bookmarkStart w:id="467" w:name="_Toc319439897"/>
      <w:bookmarkStart w:id="468" w:name="_Toc23675"/>
      <w:bookmarkStart w:id="469" w:name="_Toc23619"/>
      <w:bookmarkStart w:id="470" w:name="_Toc89075877"/>
      <w:bookmarkStart w:id="471" w:name="_Toc308084594"/>
      <w:bookmarkStart w:id="472" w:name="_Toc307501106"/>
      <w:r>
        <w:rPr>
          <w:rFonts w:hint="eastAsia" w:ascii="宋体" w:hAnsi="宋体" w:eastAsia="宋体" w:cs="宋体"/>
        </w:rPr>
        <w:t>投标文件的制作和签章、加密</w:t>
      </w:r>
      <w:bookmarkEnd w:id="447"/>
      <w:bookmarkEnd w:id="448"/>
      <w:bookmarkEnd w:id="449"/>
    </w:p>
    <w:p>
      <w:pPr>
        <w:pStyle w:val="63"/>
        <w:bidi w:val="0"/>
        <w:rPr>
          <w:rFonts w:hint="eastAsia" w:ascii="宋体" w:hAnsi="宋体" w:eastAsia="宋体" w:cs="宋体"/>
        </w:rPr>
      </w:pPr>
      <w:r>
        <w:rPr>
          <w:rFonts w:hint="eastAsia" w:ascii="宋体" w:hAnsi="宋体" w:eastAsia="宋体" w:cs="宋体"/>
        </w:rPr>
        <w:t>投标文件应根据招标文件的要求进行制作</w:t>
      </w:r>
      <w:r>
        <w:rPr>
          <w:rFonts w:hint="eastAsia" w:cs="宋体"/>
          <w:lang w:eastAsia="zh-CN"/>
        </w:rPr>
        <w:t>，</w:t>
      </w:r>
      <w:r>
        <w:rPr>
          <w:rFonts w:hint="eastAsia" w:ascii="宋体" w:hAnsi="宋体" w:eastAsia="宋体" w:cs="宋体"/>
        </w:rPr>
        <w:t>投标文件分</w:t>
      </w:r>
      <w:r>
        <w:rPr>
          <w:rFonts w:hint="eastAsia" w:ascii="宋体" w:hAnsi="宋体" w:eastAsia="宋体" w:cs="宋体"/>
          <w:lang w:eastAsia="zh-CN"/>
        </w:rPr>
        <w:t>《</w:t>
      </w:r>
      <w:r>
        <w:rPr>
          <w:rFonts w:hint="eastAsia" w:ascii="宋体" w:hAnsi="宋体" w:eastAsia="宋体" w:cs="宋体"/>
        </w:rPr>
        <w:t>资格、资质性及其他类似效力投标文件</w:t>
      </w:r>
      <w:r>
        <w:rPr>
          <w:rFonts w:hint="eastAsia" w:ascii="宋体" w:hAnsi="宋体" w:eastAsia="宋体" w:cs="宋体"/>
          <w:lang w:eastAsia="zh-CN"/>
        </w:rPr>
        <w:t>》</w:t>
      </w:r>
      <w:r>
        <w:rPr>
          <w:rFonts w:hint="eastAsia" w:ascii="宋体" w:hAnsi="宋体" w:eastAsia="宋体" w:cs="宋体"/>
        </w:rPr>
        <w:t>、</w:t>
      </w:r>
      <w:r>
        <w:rPr>
          <w:rFonts w:hint="eastAsia" w:ascii="宋体" w:hAnsi="宋体" w:eastAsia="宋体" w:cs="宋体"/>
          <w:lang w:eastAsia="zh-CN"/>
        </w:rPr>
        <w:t>《</w:t>
      </w:r>
      <w:r>
        <w:rPr>
          <w:rFonts w:hint="eastAsia" w:ascii="宋体" w:hAnsi="宋体" w:eastAsia="宋体" w:cs="宋体"/>
        </w:rPr>
        <w:t>其他投标文件</w:t>
      </w:r>
      <w:r>
        <w:rPr>
          <w:rFonts w:hint="eastAsia" w:ascii="宋体" w:hAnsi="宋体" w:eastAsia="宋体" w:cs="宋体"/>
          <w:lang w:eastAsia="zh-CN"/>
        </w:rPr>
        <w:t>》</w:t>
      </w:r>
      <w:r>
        <w:rPr>
          <w:rFonts w:hint="eastAsia" w:ascii="宋体" w:hAnsi="宋体" w:eastAsia="宋体" w:cs="宋体"/>
        </w:rPr>
        <w:t>两部分。</w:t>
      </w:r>
    </w:p>
    <w:p>
      <w:pPr>
        <w:pStyle w:val="63"/>
        <w:bidi w:val="0"/>
        <w:rPr>
          <w:rFonts w:hint="eastAsia" w:ascii="宋体" w:hAnsi="宋体" w:eastAsia="宋体" w:cs="宋体"/>
        </w:rPr>
      </w:pPr>
      <w:r>
        <w:rPr>
          <w:rFonts w:hint="eastAsia" w:ascii="宋体" w:hAnsi="宋体" w:eastAsia="宋体" w:cs="宋体"/>
        </w:rPr>
        <w:t>资格、资质性及其他类似效力投标文件用于采购人或采购代理机构对投标人进行资格审查，其他投标文件用于评标委员会评审。</w:t>
      </w:r>
    </w:p>
    <w:p>
      <w:pPr>
        <w:pStyle w:val="63"/>
        <w:bidi w:val="0"/>
        <w:rPr>
          <w:rFonts w:hint="eastAsia" w:ascii="宋体" w:hAnsi="宋体" w:eastAsia="宋体" w:cs="宋体"/>
        </w:rPr>
      </w:pPr>
      <w:r>
        <w:rPr>
          <w:rFonts w:hint="eastAsia" w:ascii="宋体" w:hAnsi="宋体" w:eastAsia="宋体" w:cs="宋体"/>
        </w:rPr>
        <w:t>本项目实行电子投标。投标人应先安装“政采云投标客户端”。</w:t>
      </w:r>
      <w:r>
        <w:rPr>
          <w:rFonts w:hint="eastAsia" w:cs="宋体"/>
          <w:lang w:eastAsia="zh-CN"/>
        </w:rPr>
        <w:t>(</w:t>
      </w:r>
      <w:r>
        <w:rPr>
          <w:rFonts w:hint="eastAsia" w:ascii="宋体" w:hAnsi="宋体" w:eastAsia="宋体" w:cs="宋体"/>
        </w:rPr>
        <w:t>政府采购云平台—CA管理—绑定CA—下载驱动—“政采云投标客户端”立即下载</w:t>
      </w:r>
      <w:r>
        <w:rPr>
          <w:rFonts w:hint="eastAsia" w:cs="宋体"/>
          <w:lang w:eastAsia="zh-CN"/>
        </w:rPr>
        <w:t>)</w:t>
      </w:r>
      <w:r>
        <w:rPr>
          <w:rFonts w:hint="eastAsia" w:ascii="宋体" w:hAnsi="宋体" w:eastAsia="宋体" w:cs="宋体"/>
        </w:rPr>
        <w:t>。投标人应按招标文件要求，通过“政采云投标客户端”制作、加密并提交投标文件。</w:t>
      </w:r>
      <w:r>
        <w:rPr>
          <w:rFonts w:hint="eastAsia" w:cs="宋体"/>
          <w:b/>
          <w:bCs/>
          <w:lang w:eastAsia="zh-CN"/>
        </w:rPr>
        <w:t>(</w:t>
      </w:r>
      <w:r>
        <w:rPr>
          <w:rFonts w:hint="eastAsia" w:ascii="宋体" w:hAnsi="宋体" w:eastAsia="宋体" w:cs="宋体"/>
          <w:b/>
          <w:bCs/>
        </w:rPr>
        <w:t>实质性要求</w:t>
      </w:r>
      <w:r>
        <w:rPr>
          <w:rFonts w:hint="eastAsia" w:cs="宋体"/>
          <w:b/>
          <w:bCs/>
          <w:lang w:eastAsia="zh-CN"/>
        </w:rPr>
        <w:t>)</w:t>
      </w:r>
    </w:p>
    <w:p>
      <w:pPr>
        <w:pStyle w:val="63"/>
        <w:bidi w:val="0"/>
        <w:rPr>
          <w:rFonts w:hint="eastAsia" w:ascii="宋体" w:hAnsi="宋体" w:eastAsia="宋体" w:cs="宋体"/>
        </w:rPr>
      </w:pPr>
      <w:r>
        <w:rPr>
          <w:rFonts w:hint="eastAsia" w:ascii="宋体" w:hAnsi="宋体" w:eastAsia="宋体" w:cs="宋体"/>
        </w:rPr>
        <w:t>投标文件每页均应加盖投标人</w:t>
      </w:r>
      <w:r>
        <w:rPr>
          <w:rFonts w:hint="eastAsia" w:cs="宋体"/>
          <w:lang w:eastAsia="zh-CN"/>
        </w:rPr>
        <w:t>(</w:t>
      </w:r>
      <w:r>
        <w:rPr>
          <w:rFonts w:hint="eastAsia" w:ascii="宋体" w:hAnsi="宋体" w:eastAsia="宋体" w:cs="宋体"/>
        </w:rPr>
        <w:t>法定名称</w:t>
      </w:r>
      <w:r>
        <w:rPr>
          <w:rFonts w:hint="eastAsia" w:cs="宋体"/>
          <w:lang w:eastAsia="zh-CN"/>
        </w:rPr>
        <w:t>)</w:t>
      </w:r>
      <w:r>
        <w:rPr>
          <w:rFonts w:hint="eastAsia" w:ascii="宋体" w:hAnsi="宋体" w:eastAsia="宋体" w:cs="宋体"/>
        </w:rPr>
        <w:t>电子签章，不得使用投标人专用章</w:t>
      </w:r>
      <w:r>
        <w:rPr>
          <w:rFonts w:hint="eastAsia" w:cs="宋体"/>
          <w:lang w:eastAsia="zh-CN"/>
        </w:rPr>
        <w:t>(</w:t>
      </w:r>
      <w:r>
        <w:rPr>
          <w:rFonts w:hint="eastAsia" w:ascii="宋体" w:hAnsi="宋体" w:eastAsia="宋体" w:cs="宋体"/>
        </w:rPr>
        <w:t>如经济合同章、投标专用章等</w:t>
      </w:r>
      <w:r>
        <w:rPr>
          <w:rFonts w:hint="eastAsia" w:cs="宋体"/>
          <w:lang w:eastAsia="zh-CN"/>
        </w:rPr>
        <w:t>)</w:t>
      </w:r>
      <w:r>
        <w:rPr>
          <w:rFonts w:hint="eastAsia" w:ascii="宋体" w:hAnsi="宋体" w:eastAsia="宋体" w:cs="宋体"/>
        </w:rPr>
        <w:t>或下属单位印章代替。</w:t>
      </w:r>
      <w:r>
        <w:rPr>
          <w:rFonts w:hint="eastAsia" w:cs="宋体"/>
          <w:b/>
          <w:bCs/>
          <w:lang w:eastAsia="zh-CN"/>
        </w:rPr>
        <w:t>(</w:t>
      </w:r>
      <w:r>
        <w:rPr>
          <w:rFonts w:hint="eastAsia" w:ascii="宋体" w:hAnsi="宋体" w:eastAsia="宋体" w:cs="宋体"/>
          <w:b/>
          <w:bCs/>
        </w:rPr>
        <w:t>实质性要求</w:t>
      </w:r>
      <w:r>
        <w:rPr>
          <w:rFonts w:hint="eastAsia" w:cs="宋体"/>
          <w:b/>
          <w:bCs/>
          <w:lang w:eastAsia="zh-CN"/>
        </w:rPr>
        <w:t>)</w:t>
      </w:r>
    </w:p>
    <w:p>
      <w:pPr>
        <w:pStyle w:val="63"/>
        <w:bidi w:val="0"/>
        <w:rPr>
          <w:rFonts w:hint="eastAsia" w:ascii="宋体" w:hAnsi="宋体" w:eastAsia="宋体" w:cs="宋体"/>
        </w:rPr>
      </w:pPr>
      <w:r>
        <w:rPr>
          <w:rFonts w:hint="eastAsia" w:ascii="宋体" w:hAnsi="宋体" w:eastAsia="宋体" w:cs="宋体"/>
        </w:rPr>
        <w:t>投标人应使用本企业CA数字证书对投标文件进行加密。</w:t>
      </w:r>
      <w:r>
        <w:rPr>
          <w:rFonts w:hint="eastAsia" w:cs="宋体"/>
          <w:b/>
          <w:bCs/>
          <w:lang w:eastAsia="zh-CN"/>
        </w:rPr>
        <w:t>(</w:t>
      </w:r>
      <w:r>
        <w:rPr>
          <w:rFonts w:hint="eastAsia" w:ascii="宋体" w:hAnsi="宋体" w:eastAsia="宋体" w:cs="宋体"/>
          <w:b/>
          <w:bCs/>
        </w:rPr>
        <w:t>实质性要求</w:t>
      </w:r>
      <w:r>
        <w:rPr>
          <w:rFonts w:hint="eastAsia" w:cs="宋体"/>
          <w:b/>
          <w:bCs/>
          <w:lang w:eastAsia="zh-CN"/>
        </w:rPr>
        <w:t>)</w:t>
      </w:r>
    </w:p>
    <w:p>
      <w:pPr>
        <w:pStyle w:val="63"/>
        <w:bidi w:val="0"/>
        <w:rPr>
          <w:rFonts w:hint="eastAsia" w:ascii="宋体" w:hAnsi="宋体" w:eastAsia="宋体" w:cs="宋体"/>
        </w:rPr>
      </w:pPr>
      <w:r>
        <w:rPr>
          <w:rFonts w:hint="eastAsia" w:ascii="宋体" w:hAnsi="宋体" w:eastAsia="宋体" w:cs="宋体"/>
        </w:rPr>
        <w:t>招标文件若有修改，投标人根据修改后的招标文件制作或修改并递交投标文件。</w:t>
      </w:r>
    </w:p>
    <w:p>
      <w:pPr>
        <w:pStyle w:val="63"/>
        <w:bidi w:val="0"/>
      </w:pPr>
      <w:r>
        <w:rPr>
          <w:rFonts w:hint="eastAsia" w:ascii="宋体" w:hAnsi="宋体" w:eastAsia="宋体" w:cs="宋体"/>
          <w:lang w:eastAsia="zh-CN"/>
        </w:rPr>
        <w:t>使用“政府采购云平台”需要提前申领CA数字证书及电子签章，请自行前往四川CA、CFCA、天威CA、北京CA、重庆CA、山西CA、浙江汇信CA、天谷CA、国信CA、山东CA、新疆CA、乌海CA等统一认证服务点办理，只需办理其中一家CA数字证书及签章</w:t>
      </w:r>
      <w:r>
        <w:rPr>
          <w:rFonts w:hint="eastAsia" w:cs="宋体"/>
          <w:lang w:eastAsia="zh-CN"/>
        </w:rPr>
        <w:t>(</w:t>
      </w:r>
      <w:r>
        <w:rPr>
          <w:rFonts w:hint="eastAsia" w:ascii="宋体" w:hAnsi="宋体" w:eastAsia="宋体" w:cs="宋体"/>
          <w:lang w:eastAsia="zh-CN"/>
        </w:rPr>
        <w:t>提示：办理时请说明参与成都市政府采购项目</w:t>
      </w:r>
      <w:r>
        <w:rPr>
          <w:rFonts w:hint="eastAsia" w:cs="宋体"/>
          <w:lang w:eastAsia="zh-CN"/>
        </w:rPr>
        <w:t>)</w:t>
      </w:r>
      <w:r>
        <w:rPr>
          <w:rFonts w:hint="eastAsia" w:ascii="宋体" w:hAnsi="宋体" w:eastAsia="宋体" w:cs="宋体"/>
          <w:lang w:eastAsia="zh-CN"/>
        </w:rPr>
        <w:t>。投标人应及时完成在“政府采购云平台”的注册及CA账号绑定，确保顺利参与电子投标。</w:t>
      </w:r>
      <w:r>
        <w:rPr>
          <w:rFonts w:hint="eastAsia" w:cs="宋体"/>
          <w:b/>
          <w:bCs/>
          <w:lang w:eastAsia="zh-CN"/>
        </w:rPr>
        <w:t>(</w:t>
      </w:r>
      <w:r>
        <w:rPr>
          <w:rFonts w:hint="eastAsia" w:ascii="宋体" w:hAnsi="宋体" w:eastAsia="宋体" w:cs="宋体"/>
          <w:b/>
          <w:bCs/>
          <w:lang w:eastAsia="zh-CN"/>
        </w:rPr>
        <w:t>实质性要求</w:t>
      </w:r>
      <w:r>
        <w:rPr>
          <w:rFonts w:hint="eastAsia" w:cs="宋体"/>
          <w:b/>
          <w:bCs/>
          <w:lang w:eastAsia="zh-CN"/>
        </w:rPr>
        <w:t>)</w:t>
      </w:r>
    </w:p>
    <w:p>
      <w:pPr>
        <w:pStyle w:val="63"/>
        <w:bidi w:val="0"/>
        <w:rPr>
          <w:rFonts w:hint="eastAsia" w:ascii="宋体" w:hAnsi="宋体" w:eastAsia="宋体" w:cs="宋体"/>
          <w:lang w:eastAsia="zh-CN"/>
        </w:rPr>
      </w:pPr>
      <w:r>
        <w:rPr>
          <w:rFonts w:hint="eastAsia" w:ascii="宋体" w:hAnsi="宋体" w:eastAsia="宋体" w:cs="宋体"/>
          <w:lang w:eastAsia="zh-CN"/>
        </w:rPr>
        <w:t>招标文件中要求</w:t>
      </w:r>
      <w:r>
        <w:rPr>
          <w:rFonts w:hint="eastAsia" w:cs="宋体"/>
          <w:lang w:val="en-US" w:eastAsia="zh-CN"/>
        </w:rPr>
        <w:t>投标人投标时</w:t>
      </w:r>
      <w:r>
        <w:rPr>
          <w:rFonts w:hint="eastAsia" w:ascii="宋体" w:hAnsi="宋体" w:eastAsia="宋体" w:cs="宋体"/>
          <w:lang w:eastAsia="zh-CN"/>
        </w:rPr>
        <w:t>提供</w:t>
      </w:r>
      <w:r>
        <w:rPr>
          <w:rFonts w:hint="eastAsia" w:cs="宋体"/>
          <w:lang w:val="en-US" w:eastAsia="zh-CN"/>
        </w:rPr>
        <w:t>的</w:t>
      </w:r>
      <w:r>
        <w:rPr>
          <w:rFonts w:hint="eastAsia" w:ascii="宋体" w:hAnsi="宋体" w:eastAsia="宋体" w:cs="宋体"/>
          <w:lang w:eastAsia="zh-CN"/>
        </w:rPr>
        <w:t>复印件</w:t>
      </w:r>
      <w:r>
        <w:rPr>
          <w:rFonts w:hint="eastAsia" w:cs="宋体"/>
          <w:lang w:val="en-US" w:eastAsia="zh-CN"/>
        </w:rPr>
        <w:t>等</w:t>
      </w:r>
      <w:r>
        <w:rPr>
          <w:rFonts w:hint="eastAsia" w:ascii="宋体" w:hAnsi="宋体" w:eastAsia="宋体" w:cs="宋体"/>
          <w:lang w:eastAsia="zh-CN"/>
        </w:rPr>
        <w:t>证明材料</w:t>
      </w:r>
      <w:r>
        <w:rPr>
          <w:rFonts w:hint="eastAsia" w:cs="宋体"/>
          <w:lang w:val="en-US" w:eastAsia="zh-CN"/>
        </w:rPr>
        <w:t>须</w:t>
      </w:r>
      <w:r>
        <w:rPr>
          <w:rFonts w:hint="eastAsia" w:ascii="宋体" w:hAnsi="宋体" w:eastAsia="宋体" w:cs="宋体"/>
          <w:lang w:eastAsia="zh-CN"/>
        </w:rPr>
        <w:t>清晰可辨，包含提供原件的影印件或复印件</w:t>
      </w:r>
      <w:r>
        <w:rPr>
          <w:rFonts w:hint="eastAsia" w:cs="宋体"/>
          <w:lang w:eastAsia="zh-CN"/>
        </w:rPr>
        <w:t>。</w:t>
      </w:r>
    </w:p>
    <w:p>
      <w:pPr>
        <w:pStyle w:val="63"/>
        <w:bidi w:val="0"/>
        <w:rPr>
          <w:rFonts w:hint="eastAsia" w:ascii="宋体" w:hAnsi="宋体" w:eastAsia="宋体" w:cs="宋体"/>
          <w:lang w:eastAsia="zh-CN"/>
        </w:rPr>
      </w:pPr>
      <w:r>
        <w:rPr>
          <w:rFonts w:hint="eastAsia" w:ascii="宋体" w:hAnsi="宋体" w:eastAsia="宋体" w:cs="宋体"/>
          <w:lang w:val="en-US" w:eastAsia="zh-CN"/>
        </w:rPr>
        <w:t>投标文件编制过程中</w:t>
      </w:r>
      <w:r>
        <w:rPr>
          <w:rFonts w:hint="eastAsia" w:ascii="宋体" w:hAnsi="宋体" w:eastAsia="宋体" w:cs="宋体"/>
          <w:lang w:eastAsia="zh-CN"/>
        </w:rPr>
        <w:t>无须提供证明材料</w:t>
      </w:r>
      <w:r>
        <w:rPr>
          <w:rFonts w:hint="eastAsia" w:ascii="宋体" w:hAnsi="宋体" w:eastAsia="宋体" w:cs="宋体"/>
          <w:lang w:val="en-US" w:eastAsia="zh-CN"/>
        </w:rPr>
        <w:t>的项</w:t>
      </w:r>
      <w:r>
        <w:rPr>
          <w:rFonts w:hint="eastAsia" w:ascii="宋体" w:hAnsi="宋体" w:eastAsia="宋体" w:cs="宋体"/>
          <w:lang w:eastAsia="zh-CN"/>
        </w:rPr>
        <w:t>，上传空白页即可，不对本项上传的材料作</w:t>
      </w:r>
      <w:r>
        <w:rPr>
          <w:rFonts w:hint="eastAsia" w:ascii="宋体" w:hAnsi="宋体" w:eastAsia="宋体" w:cs="宋体"/>
          <w:lang w:val="en-US" w:eastAsia="zh-CN"/>
        </w:rPr>
        <w:t>相关</w:t>
      </w:r>
      <w:r>
        <w:rPr>
          <w:rFonts w:hint="eastAsia" w:ascii="宋体" w:hAnsi="宋体" w:eastAsia="宋体" w:cs="宋体"/>
          <w:lang w:eastAsia="zh-CN"/>
        </w:rPr>
        <w:t>审查。</w:t>
      </w:r>
    </w:p>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Pr>
        <w:pStyle w:val="49"/>
        <w:bidi w:val="0"/>
        <w:rPr>
          <w:rFonts w:hint="eastAsia"/>
        </w:rPr>
      </w:pPr>
      <w:bookmarkStart w:id="473" w:name="_Toc183582227"/>
      <w:bookmarkStart w:id="474" w:name="_Toc183682364"/>
      <w:bookmarkStart w:id="475" w:name="_Toc30361"/>
      <w:bookmarkStart w:id="476" w:name="_Toc25113"/>
      <w:bookmarkStart w:id="477" w:name="_Toc20273"/>
      <w:bookmarkStart w:id="478" w:name="_Toc7231"/>
      <w:bookmarkStart w:id="479" w:name="_Toc308188150"/>
      <w:bookmarkStart w:id="480" w:name="_Toc307564850"/>
      <w:bookmarkStart w:id="481" w:name="_Toc327196284"/>
      <w:bookmarkStart w:id="482" w:name="_Toc309897513"/>
      <w:bookmarkStart w:id="483" w:name="_Toc13356"/>
      <w:bookmarkStart w:id="484" w:name="_Toc2092"/>
      <w:bookmarkStart w:id="485" w:name="_Toc54"/>
      <w:bookmarkStart w:id="486" w:name="_Toc25947"/>
      <w:bookmarkStart w:id="487" w:name="_Toc308084595"/>
      <w:bookmarkStart w:id="488" w:name="_Toc307501107"/>
      <w:bookmarkStart w:id="489" w:name="_Toc217446054"/>
      <w:bookmarkStart w:id="490" w:name="_Toc9965"/>
      <w:bookmarkStart w:id="491" w:name="_Toc27234"/>
      <w:bookmarkStart w:id="492" w:name="_Toc319440140"/>
      <w:bookmarkStart w:id="493" w:name="_Toc5768"/>
      <w:bookmarkStart w:id="494" w:name="_Toc19406"/>
      <w:bookmarkStart w:id="495" w:name="_Toc319439898"/>
      <w:r>
        <w:rPr>
          <w:rFonts w:hint="eastAsia"/>
        </w:rPr>
        <w:t>投标文件的</w:t>
      </w:r>
      <w:bookmarkEnd w:id="473"/>
      <w:bookmarkEnd w:id="474"/>
      <w:r>
        <w:rPr>
          <w:rFonts w:hint="eastAsia"/>
        </w:rPr>
        <w:t>递交</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pPr>
        <w:pStyle w:val="63"/>
        <w:bidi w:val="0"/>
        <w:rPr>
          <w:rFonts w:hint="eastAsia" w:ascii="宋体" w:hAnsi="宋体" w:eastAsia="宋体" w:cs="宋体"/>
        </w:rPr>
      </w:pPr>
      <w:bookmarkStart w:id="496" w:name="_Toc183682365"/>
      <w:bookmarkStart w:id="497" w:name="_Toc183582228"/>
      <w:bookmarkStart w:id="498" w:name="_Toc3865"/>
      <w:bookmarkStart w:id="499" w:name="_Toc1451"/>
      <w:bookmarkStart w:id="500" w:name="_Toc319440141"/>
      <w:bookmarkStart w:id="501" w:name="_Toc308188151"/>
      <w:bookmarkStart w:id="502" w:name="_Toc17045"/>
      <w:bookmarkStart w:id="503" w:name="_Toc15674"/>
      <w:bookmarkStart w:id="504" w:name="_Toc307564851"/>
      <w:bookmarkStart w:id="505" w:name="_Toc26118"/>
      <w:bookmarkStart w:id="506" w:name="_Toc319439899"/>
      <w:bookmarkStart w:id="507" w:name="_Toc309897514"/>
      <w:bookmarkStart w:id="508" w:name="_Toc12138"/>
      <w:bookmarkStart w:id="509" w:name="_Toc22634"/>
      <w:bookmarkStart w:id="510" w:name="_Toc327196285"/>
      <w:bookmarkStart w:id="511" w:name="_Toc23816"/>
      <w:bookmarkStart w:id="512" w:name="_Toc308084596"/>
      <w:bookmarkStart w:id="513" w:name="_Toc307501108"/>
      <w:bookmarkStart w:id="514" w:name="_Toc217446055"/>
      <w:bookmarkStart w:id="515" w:name="_Toc4178"/>
      <w:bookmarkStart w:id="516" w:name="_Toc7313"/>
      <w:bookmarkStart w:id="517" w:name="_Toc6140"/>
      <w:r>
        <w:rPr>
          <w:rFonts w:hint="eastAsia" w:ascii="宋体" w:hAnsi="宋体" w:eastAsia="宋体" w:cs="宋体"/>
        </w:rPr>
        <w:t>投标人应当在投标文件递交截止时间前，将生成的已加密的电子投标文件成功递交至“政府采购云平台”</w:t>
      </w:r>
      <w:r>
        <w:rPr>
          <w:rFonts w:hint="eastAsia" w:cs="宋体"/>
          <w:lang w:eastAsia="zh-CN"/>
        </w:rPr>
        <w:t>，</w:t>
      </w:r>
      <w:r>
        <w:rPr>
          <w:rFonts w:hint="eastAsia" w:cs="宋体"/>
          <w:lang w:val="en-US" w:eastAsia="zh-CN"/>
        </w:rPr>
        <w:t>上传前须对电子投标文件每页是否都有电子签章等进行核对。</w:t>
      </w:r>
    </w:p>
    <w:p>
      <w:pPr>
        <w:pStyle w:val="63"/>
        <w:bidi w:val="0"/>
        <w:rPr>
          <w:rFonts w:hint="eastAsia"/>
        </w:rPr>
      </w:pPr>
      <w:r>
        <w:rPr>
          <w:rFonts w:hint="eastAsia" w:ascii="宋体" w:hAnsi="宋体" w:eastAsia="宋体" w:cs="宋体"/>
        </w:rPr>
        <w:t>投标人应充分考虑递交文件的不可预见因素，在投标截止时间后将无法递交</w:t>
      </w:r>
      <w:r>
        <w:rPr>
          <w:rFonts w:hint="eastAsia"/>
        </w:rPr>
        <w:t>。</w:t>
      </w:r>
    </w:p>
    <w:p>
      <w:pPr>
        <w:pStyle w:val="49"/>
        <w:bidi w:val="0"/>
        <w:rPr>
          <w:rFonts w:hint="eastAsia"/>
        </w:rPr>
      </w:pPr>
      <w:bookmarkStart w:id="518" w:name="_Toc17326"/>
      <w:r>
        <w:rPr>
          <w:rFonts w:hint="eastAsia"/>
        </w:rPr>
        <w:t>投标文件的修改和撤</w:t>
      </w:r>
      <w:bookmarkEnd w:id="496"/>
      <w:bookmarkEnd w:id="497"/>
      <w:r>
        <w:rPr>
          <w:rFonts w:hint="eastAsia"/>
        </w:rPr>
        <w:t>回</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pPr>
        <w:pStyle w:val="63"/>
        <w:bidi w:val="0"/>
        <w:rPr>
          <w:rFonts w:hint="eastAsia" w:ascii="宋体" w:hAnsi="宋体" w:eastAsia="宋体" w:cs="宋体"/>
        </w:rPr>
      </w:pPr>
      <w:r>
        <w:rPr>
          <w:rFonts w:hint="eastAsia" w:ascii="宋体" w:hAnsi="宋体" w:eastAsia="宋体" w:cs="宋体"/>
        </w:rPr>
        <w:t>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pStyle w:val="63"/>
        <w:bidi w:val="0"/>
        <w:rPr>
          <w:rFonts w:hint="eastAsia"/>
        </w:rPr>
      </w:pPr>
      <w:r>
        <w:rPr>
          <w:rFonts w:hint="eastAsia" w:ascii="宋体" w:hAnsi="宋体" w:eastAsia="宋体" w:cs="宋体"/>
        </w:rPr>
        <w:t>投标截止时间后，投标人不得对其递交的投标文件做任何补充、修改</w:t>
      </w:r>
      <w:r>
        <w:rPr>
          <w:rFonts w:hint="eastAsia"/>
        </w:rPr>
        <w:t>。</w:t>
      </w:r>
    </w:p>
    <w:p>
      <w:pPr>
        <w:pStyle w:val="49"/>
        <w:bidi w:val="0"/>
        <w:rPr>
          <w:rFonts w:hint="eastAsia" w:ascii="宋体" w:hAnsi="宋体" w:eastAsia="宋体" w:cs="宋体"/>
        </w:rPr>
      </w:pPr>
      <w:bookmarkStart w:id="519" w:name="_Toc1032"/>
      <w:bookmarkStart w:id="520" w:name="_Toc27493"/>
      <w:bookmarkStart w:id="521" w:name="_Toc5718"/>
      <w:r>
        <w:rPr>
          <w:rFonts w:hint="eastAsia" w:ascii="宋体" w:hAnsi="宋体" w:eastAsia="宋体" w:cs="宋体"/>
        </w:rPr>
        <w:t>投标文件的解密</w:t>
      </w:r>
      <w:bookmarkEnd w:id="519"/>
      <w:bookmarkEnd w:id="520"/>
      <w:bookmarkEnd w:id="521"/>
    </w:p>
    <w:p>
      <w:pPr>
        <w:pStyle w:val="63"/>
        <w:numPr>
          <w:ilvl w:val="3"/>
          <w:numId w:val="0"/>
        </w:numPr>
        <w:bidi w:val="0"/>
        <w:ind w:firstLine="480" w:firstLineChars="200"/>
        <w:rPr>
          <w:rFonts w:hint="eastAsia"/>
        </w:rPr>
      </w:pPr>
      <w:r>
        <w:rPr>
          <w:rFonts w:hint="eastAsia" w:ascii="宋体" w:hAnsi="宋体" w:eastAsia="宋体" w:cs="宋体"/>
          <w:lang w:val="en-US" w:eastAsia="zh-CN"/>
        </w:rPr>
        <w:t>投标人登录</w:t>
      </w:r>
      <w:r>
        <w:rPr>
          <w:rFonts w:hint="eastAsia" w:cs="宋体"/>
          <w:lang w:val="en-US" w:eastAsia="zh-CN"/>
        </w:rPr>
        <w:t>“</w:t>
      </w:r>
      <w:r>
        <w:rPr>
          <w:rFonts w:hint="eastAsia" w:ascii="宋体" w:hAnsi="宋体" w:eastAsia="宋体" w:cs="宋体"/>
          <w:lang w:val="en-US" w:eastAsia="zh-CN"/>
        </w:rPr>
        <w:t>政府采购云平台</w:t>
      </w:r>
      <w:r>
        <w:rPr>
          <w:rFonts w:hint="eastAsia" w:cs="宋体"/>
          <w:lang w:val="en-US" w:eastAsia="zh-CN"/>
        </w:rPr>
        <w:t>”</w:t>
      </w:r>
      <w:r>
        <w:rPr>
          <w:rFonts w:hint="eastAsia" w:ascii="宋体" w:hAnsi="宋体" w:eastAsia="宋体" w:cs="宋体"/>
          <w:lang w:val="en-US" w:eastAsia="zh-CN"/>
        </w:rPr>
        <w:t>，点击“项目采购—开标评标”模块，进入本项目“开标大厅”，等待代理机构开启解密后，进行线上解密。除因</w:t>
      </w:r>
      <w:r>
        <w:rPr>
          <w:rFonts w:hint="eastAsia" w:cs="宋体"/>
          <w:lang w:val="en-US" w:eastAsia="zh-CN"/>
        </w:rPr>
        <w:t>采购代理机构</w:t>
      </w:r>
      <w:r>
        <w:rPr>
          <w:rFonts w:hint="eastAsia" w:ascii="宋体" w:hAnsi="宋体" w:eastAsia="宋体" w:cs="宋体"/>
          <w:lang w:val="en-US" w:eastAsia="zh-CN"/>
        </w:rPr>
        <w:t>断电、断网、系统故障或其他不可抗力等因素，导致系统无法使用外，投标人在规定的解密时间内，未成功解密的投标文件将视为无效投标文件。</w:t>
      </w:r>
    </w:p>
    <w:p>
      <w:pPr>
        <w:pStyle w:val="43"/>
        <w:bidi w:val="0"/>
        <w:rPr>
          <w:rFonts w:hint="eastAsia"/>
        </w:rPr>
      </w:pPr>
      <w:bookmarkStart w:id="522" w:name="_Toc77400782"/>
      <w:bookmarkStart w:id="523" w:name="_Toc24962"/>
      <w:bookmarkStart w:id="524" w:name="_Toc217446056"/>
      <w:bookmarkStart w:id="525" w:name="_Toc31674"/>
      <w:bookmarkStart w:id="526" w:name="_Toc16817"/>
      <w:bookmarkStart w:id="527" w:name="_Toc15691"/>
      <w:bookmarkStart w:id="528" w:name="_Toc21531"/>
      <w:bookmarkStart w:id="529" w:name="_Toc327196286"/>
      <w:bookmarkStart w:id="530" w:name="_Toc183682368"/>
      <w:bookmarkStart w:id="531" w:name="_Toc89075878"/>
      <w:bookmarkStart w:id="532" w:name="_Toc183582231"/>
      <w:r>
        <w:rPr>
          <w:rFonts w:hint="eastAsia"/>
        </w:rPr>
        <w:t>开标和中标</w:t>
      </w:r>
      <w:bookmarkEnd w:id="522"/>
      <w:bookmarkEnd w:id="523"/>
      <w:bookmarkEnd w:id="524"/>
      <w:bookmarkEnd w:id="525"/>
      <w:bookmarkEnd w:id="526"/>
      <w:bookmarkEnd w:id="527"/>
      <w:bookmarkEnd w:id="528"/>
      <w:bookmarkEnd w:id="529"/>
      <w:bookmarkEnd w:id="530"/>
      <w:bookmarkEnd w:id="531"/>
      <w:bookmarkEnd w:id="532"/>
    </w:p>
    <w:p>
      <w:pPr>
        <w:pStyle w:val="49"/>
        <w:numPr>
          <w:ilvl w:val="2"/>
          <w:numId w:val="15"/>
        </w:numPr>
        <w:bidi w:val="0"/>
        <w:rPr>
          <w:rFonts w:hint="eastAsia"/>
          <w:b/>
          <w:bCs w:val="0"/>
        </w:rPr>
      </w:pPr>
      <w:bookmarkStart w:id="533" w:name="_Toc8915"/>
      <w:bookmarkStart w:id="534" w:name="_Toc13303"/>
      <w:bookmarkStart w:id="535" w:name="_Toc309897516"/>
      <w:bookmarkStart w:id="536" w:name="_Toc308084598"/>
      <w:bookmarkStart w:id="537" w:name="_Toc11957"/>
      <w:bookmarkStart w:id="538" w:name="_Toc15426"/>
      <w:bookmarkStart w:id="539" w:name="_Toc18049"/>
      <w:bookmarkStart w:id="540" w:name="_Toc13237"/>
      <w:bookmarkStart w:id="541" w:name="_Toc23336"/>
      <w:bookmarkStart w:id="542" w:name="_Toc29031"/>
      <w:bookmarkStart w:id="543" w:name="_Toc217446057"/>
      <w:bookmarkStart w:id="544" w:name="_Toc29493"/>
      <w:bookmarkStart w:id="545" w:name="_Toc319440143"/>
      <w:bookmarkStart w:id="546" w:name="_Toc183682369"/>
      <w:bookmarkStart w:id="547" w:name="_Toc307564853"/>
      <w:bookmarkStart w:id="548" w:name="_Toc6289"/>
      <w:bookmarkStart w:id="549" w:name="_Toc319439901"/>
      <w:bookmarkStart w:id="550" w:name="_Toc308188153"/>
      <w:bookmarkStart w:id="551" w:name="_Toc23998"/>
      <w:bookmarkStart w:id="552" w:name="_Toc183582232"/>
      <w:bookmarkStart w:id="553" w:name="_Toc327196287"/>
      <w:bookmarkStart w:id="554" w:name="_Toc19952"/>
      <w:bookmarkStart w:id="555" w:name="_Toc307501110"/>
      <w:bookmarkStart w:id="556" w:name="_Toc21951"/>
      <w:r>
        <w:rPr>
          <w:rFonts w:hint="eastAsia"/>
          <w:b/>
          <w:bCs w:val="0"/>
        </w:rPr>
        <w:t>开标</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Pr>
          <w:rFonts w:hint="eastAsia"/>
          <w:b/>
          <w:bCs w:val="0"/>
          <w:lang w:val="en-US" w:eastAsia="zh-CN"/>
        </w:rPr>
        <w:t>及开标程序</w:t>
      </w:r>
      <w:bookmarkEnd w:id="556"/>
    </w:p>
    <w:p>
      <w:pPr>
        <w:pStyle w:val="63"/>
        <w:numPr>
          <w:ilvl w:val="3"/>
          <w:numId w:val="16"/>
        </w:numPr>
        <w:bidi w:val="0"/>
        <w:rPr>
          <w:rFonts w:hint="eastAsia" w:ascii="宋体" w:hAnsi="宋体" w:eastAsia="宋体" w:cs="宋体"/>
          <w:b/>
          <w:bCs w:val="0"/>
          <w:lang w:eastAsia="zh-CN"/>
        </w:rPr>
      </w:pPr>
      <w:bookmarkStart w:id="557" w:name="_Toc307501111"/>
      <w:bookmarkStart w:id="558" w:name="_Toc327196288"/>
      <w:bookmarkStart w:id="559" w:name="_Toc319439902"/>
      <w:bookmarkStart w:id="560" w:name="_Toc319440144"/>
      <w:bookmarkStart w:id="561" w:name="_Toc308188154"/>
      <w:bookmarkStart w:id="562" w:name="_Toc307564854"/>
      <w:bookmarkStart w:id="563" w:name="_Toc308084599"/>
      <w:bookmarkStart w:id="564" w:name="_Toc309897517"/>
      <w:bookmarkStart w:id="565" w:name="_Toc217446058"/>
      <w:r>
        <w:rPr>
          <w:rFonts w:hint="eastAsia" w:ascii="宋体" w:hAnsi="宋体" w:eastAsia="宋体" w:cs="宋体"/>
          <w:b/>
          <w:bCs w:val="0"/>
          <w:lang w:eastAsia="zh-CN"/>
        </w:rPr>
        <w:t>本项目为不见面开标项目</w:t>
      </w:r>
      <w:r>
        <w:rPr>
          <w:rFonts w:hint="eastAsia" w:cs="宋体"/>
          <w:b/>
          <w:bCs w:val="0"/>
          <w:lang w:eastAsia="zh-CN"/>
        </w:rPr>
        <w:t>(</w:t>
      </w:r>
      <w:r>
        <w:rPr>
          <w:rFonts w:hint="eastAsia" w:ascii="宋体" w:hAnsi="宋体" w:eastAsia="宋体" w:cs="宋体"/>
          <w:b/>
          <w:bCs w:val="0"/>
          <w:lang w:eastAsia="zh-CN"/>
        </w:rPr>
        <w:t>递交电子投标文件的投标人不足3家的，不予开标</w:t>
      </w:r>
      <w:r>
        <w:rPr>
          <w:rFonts w:hint="eastAsia" w:cs="宋体"/>
          <w:b/>
          <w:bCs w:val="0"/>
          <w:lang w:eastAsia="zh-CN"/>
        </w:rPr>
        <w:t>)</w:t>
      </w:r>
      <w:r>
        <w:rPr>
          <w:rFonts w:hint="eastAsia" w:ascii="宋体" w:hAnsi="宋体" w:eastAsia="宋体" w:cs="宋体"/>
          <w:b/>
          <w:bCs w:val="0"/>
          <w:lang w:eastAsia="zh-CN"/>
        </w:rPr>
        <w:t>。</w:t>
      </w:r>
    </w:p>
    <w:p>
      <w:pPr>
        <w:pStyle w:val="63"/>
        <w:numPr>
          <w:ilvl w:val="3"/>
          <w:numId w:val="16"/>
        </w:numPr>
        <w:bidi w:val="0"/>
        <w:rPr>
          <w:rFonts w:hint="eastAsia" w:ascii="宋体" w:hAnsi="宋体" w:eastAsia="宋体" w:cs="宋体"/>
          <w:b/>
          <w:bCs w:val="0"/>
        </w:rPr>
      </w:pPr>
      <w:r>
        <w:rPr>
          <w:rFonts w:hint="eastAsia" w:ascii="宋体" w:hAnsi="宋体" w:eastAsia="宋体" w:cs="宋体"/>
          <w:b/>
          <w:bCs w:val="0"/>
          <w:lang w:eastAsia="zh-CN"/>
        </w:rPr>
        <w:t>开标准备工作。投标人需在开标当日、投标截止时间前登录“政府采购云平台”，通过本项目“开标大厅”参与不见面开标。登录</w:t>
      </w:r>
      <w:r>
        <w:rPr>
          <w:rFonts w:hint="eastAsia" w:cs="宋体"/>
          <w:b/>
          <w:bCs w:val="0"/>
          <w:lang w:eastAsia="zh-CN"/>
        </w:rPr>
        <w:t>“</w:t>
      </w:r>
      <w:r>
        <w:rPr>
          <w:rFonts w:hint="eastAsia" w:ascii="宋体" w:hAnsi="宋体" w:eastAsia="宋体" w:cs="宋体"/>
          <w:b/>
          <w:bCs w:val="0"/>
          <w:lang w:eastAsia="zh-CN"/>
        </w:rPr>
        <w:t>政府采购云平台</w:t>
      </w:r>
      <w:r>
        <w:rPr>
          <w:rFonts w:hint="eastAsia" w:cs="宋体"/>
          <w:b/>
          <w:bCs w:val="0"/>
          <w:lang w:eastAsia="zh-CN"/>
        </w:rPr>
        <w:t>”</w:t>
      </w:r>
      <w:r>
        <w:rPr>
          <w:rFonts w:hint="eastAsia" w:ascii="宋体" w:hAnsi="宋体" w:eastAsia="宋体" w:cs="宋体"/>
          <w:b/>
          <w:bCs w:val="0"/>
          <w:lang w:eastAsia="zh-CN"/>
        </w:rPr>
        <w:t>—项目采购—开标评标—开标大厅</w:t>
      </w:r>
      <w:r>
        <w:rPr>
          <w:rFonts w:hint="eastAsia" w:cs="宋体"/>
          <w:b/>
          <w:bCs w:val="0"/>
          <w:lang w:eastAsia="zh-CN"/>
        </w:rPr>
        <w:t>(</w:t>
      </w:r>
      <w:r>
        <w:rPr>
          <w:rFonts w:hint="eastAsia" w:ascii="宋体" w:hAnsi="宋体" w:eastAsia="宋体" w:cs="宋体"/>
          <w:b/>
          <w:bCs w:val="0"/>
          <w:lang w:eastAsia="zh-CN"/>
        </w:rPr>
        <w:t>确保进入本项目开标大厅</w:t>
      </w:r>
      <w:r>
        <w:rPr>
          <w:rFonts w:hint="eastAsia" w:cs="宋体"/>
          <w:b/>
          <w:bCs w:val="0"/>
          <w:lang w:eastAsia="zh-CN"/>
        </w:rPr>
        <w:t>)</w:t>
      </w:r>
      <w:r>
        <w:rPr>
          <w:rFonts w:hint="eastAsia" w:ascii="宋体" w:hAnsi="宋体" w:eastAsia="宋体" w:cs="宋体"/>
          <w:b/>
          <w:bCs w:val="0"/>
          <w:lang w:eastAsia="zh-CN"/>
        </w:rPr>
        <w:t>。</w:t>
      </w:r>
    </w:p>
    <w:p>
      <w:pPr>
        <w:pStyle w:val="63"/>
        <w:numPr>
          <w:ilvl w:val="0"/>
          <w:numId w:val="0"/>
        </w:numPr>
        <w:bidi w:val="0"/>
        <w:ind w:firstLine="482" w:firstLineChars="200"/>
        <w:rPr>
          <w:rFonts w:hint="eastAsia" w:ascii="宋体" w:hAnsi="宋体" w:eastAsia="宋体" w:cs="宋体"/>
          <w:b/>
          <w:bCs w:val="0"/>
        </w:rPr>
      </w:pPr>
      <w:r>
        <w:rPr>
          <w:rFonts w:hint="eastAsia" w:ascii="宋体" w:hAnsi="宋体" w:eastAsia="宋体" w:cs="宋体"/>
          <w:b/>
          <w:bCs w:val="0"/>
          <w:lang w:eastAsia="zh-CN"/>
        </w:rPr>
        <w:t>提示：投标人未按时登录不见面开标系统，错过开标解密时间的，由投标人自行承担不利后果。</w:t>
      </w:r>
    </w:p>
    <w:p>
      <w:pPr>
        <w:pStyle w:val="63"/>
        <w:numPr>
          <w:ilvl w:val="3"/>
          <w:numId w:val="16"/>
        </w:numPr>
        <w:bidi w:val="0"/>
        <w:rPr>
          <w:rFonts w:hint="eastAsia" w:ascii="宋体" w:hAnsi="宋体" w:eastAsia="宋体" w:cs="宋体"/>
          <w:b/>
          <w:bCs w:val="0"/>
        </w:rPr>
      </w:pPr>
      <w:r>
        <w:rPr>
          <w:rFonts w:hint="eastAsia" w:ascii="宋体" w:hAnsi="宋体" w:eastAsia="宋体" w:cs="宋体"/>
          <w:b/>
          <w:bCs w:val="0"/>
        </w:rPr>
        <w:t>解密投标文件。等待代理机构开启解密后，投标人进行线上解密。开启解密后，投标人应在60分钟内，使用加密该投标文件的CA数字证书在线完成</w:t>
      </w:r>
      <w:r>
        <w:rPr>
          <w:rFonts w:hint="eastAsia" w:cs="宋体"/>
          <w:b/>
          <w:bCs w:val="0"/>
          <w:lang w:val="en-US" w:eastAsia="zh-CN"/>
        </w:rPr>
        <w:t>对投标人递交至“政府采购云平台”的</w:t>
      </w:r>
      <w:r>
        <w:rPr>
          <w:rFonts w:hint="eastAsia" w:ascii="宋体" w:hAnsi="宋体" w:eastAsia="宋体" w:cs="宋体"/>
          <w:b/>
          <w:bCs w:val="0"/>
        </w:rPr>
        <w:t>投标文件的解密。除因</w:t>
      </w:r>
      <w:r>
        <w:rPr>
          <w:rFonts w:hint="eastAsia" w:cs="宋体"/>
          <w:b/>
          <w:bCs w:val="0"/>
          <w:lang w:val="en-US" w:eastAsia="zh-CN"/>
        </w:rPr>
        <w:t>采购代理机构</w:t>
      </w:r>
      <w:r>
        <w:rPr>
          <w:rFonts w:hint="eastAsia" w:ascii="宋体" w:hAnsi="宋体" w:eastAsia="宋体" w:cs="宋体"/>
          <w:b/>
          <w:bCs w:val="0"/>
        </w:rPr>
        <w:t>断电、断网、系统故障或其他不可抗力等因素，导致系统无法使用外，投标人在规定的解密时间内，未成功解密的投标文件将视为无效投标文件。</w:t>
      </w:r>
    </w:p>
    <w:p>
      <w:pPr>
        <w:pStyle w:val="63"/>
        <w:numPr>
          <w:ilvl w:val="3"/>
          <w:numId w:val="16"/>
        </w:numPr>
        <w:bidi w:val="0"/>
        <w:rPr>
          <w:rFonts w:hint="eastAsia" w:ascii="宋体" w:hAnsi="宋体" w:eastAsia="宋体" w:cs="宋体"/>
          <w:b/>
          <w:bCs w:val="0"/>
        </w:rPr>
      </w:pPr>
      <w:r>
        <w:rPr>
          <w:rFonts w:hint="eastAsia" w:ascii="宋体" w:hAnsi="宋体" w:eastAsia="宋体" w:cs="宋体"/>
          <w:b/>
          <w:bCs w:val="0"/>
        </w:rPr>
        <w:t>确认开标记录。解密时间截止或者所有投标人投标文件均完成解密后</w:t>
      </w:r>
      <w:r>
        <w:rPr>
          <w:rFonts w:hint="eastAsia" w:cs="宋体"/>
          <w:b/>
          <w:bCs w:val="0"/>
          <w:lang w:eastAsia="zh-CN"/>
        </w:rPr>
        <w:t>(</w:t>
      </w:r>
      <w:r>
        <w:rPr>
          <w:rFonts w:hint="eastAsia" w:ascii="宋体" w:hAnsi="宋体" w:eastAsia="宋体" w:cs="宋体"/>
          <w:b/>
          <w:bCs w:val="0"/>
        </w:rPr>
        <w:t>以发生在先的时间为准</w:t>
      </w:r>
      <w:r>
        <w:rPr>
          <w:rFonts w:hint="eastAsia" w:cs="宋体"/>
          <w:b/>
          <w:bCs w:val="0"/>
          <w:lang w:eastAsia="zh-CN"/>
        </w:rPr>
        <w:t>)</w:t>
      </w:r>
      <w:r>
        <w:rPr>
          <w:rFonts w:hint="eastAsia" w:ascii="宋体" w:hAnsi="宋体" w:eastAsia="宋体" w:cs="宋体"/>
          <w:b/>
          <w:bCs w:val="0"/>
        </w:rPr>
        <w:t>，由“政府采购云平台”系统展示投标人名称、投标文件解密情况、投标报价等唱标内容。如成功解密投标文件的投标人不足三家的，则只展示投标人名称、投标文件解密情况。投标人对开标记录</w:t>
      </w:r>
      <w:r>
        <w:rPr>
          <w:rFonts w:hint="eastAsia" w:cs="宋体"/>
          <w:b/>
          <w:bCs w:val="0"/>
          <w:lang w:eastAsia="zh-CN"/>
        </w:rPr>
        <w:t>(</w:t>
      </w:r>
      <w:r>
        <w:rPr>
          <w:rFonts w:hint="eastAsia" w:ascii="宋体" w:hAnsi="宋体" w:eastAsia="宋体" w:cs="宋体"/>
          <w:b/>
          <w:bCs w:val="0"/>
        </w:rPr>
        <w:t>包含解密情况、投标报价、其他情况等</w:t>
      </w:r>
      <w:r>
        <w:rPr>
          <w:rFonts w:hint="eastAsia" w:cs="宋体"/>
          <w:b/>
          <w:bCs w:val="0"/>
          <w:lang w:eastAsia="zh-CN"/>
        </w:rPr>
        <w:t>)</w:t>
      </w:r>
      <w:r>
        <w:rPr>
          <w:rFonts w:hint="eastAsia" w:ascii="宋体" w:hAnsi="宋体" w:eastAsia="宋体" w:cs="宋体"/>
          <w:b/>
          <w:bCs w:val="0"/>
        </w:rPr>
        <w:t>在规定时间内确认，如未确认，视为认同开标记录。</w:t>
      </w:r>
    </w:p>
    <w:p>
      <w:pPr>
        <w:pStyle w:val="63"/>
        <w:numPr>
          <w:ilvl w:val="3"/>
          <w:numId w:val="16"/>
        </w:numPr>
        <w:bidi w:val="0"/>
        <w:rPr>
          <w:rFonts w:hint="eastAsia" w:ascii="宋体" w:hAnsi="宋体" w:eastAsia="宋体" w:cs="宋体"/>
          <w:b/>
          <w:bCs w:val="0"/>
        </w:rPr>
      </w:pPr>
      <w:r>
        <w:rPr>
          <w:rFonts w:hint="eastAsia" w:ascii="宋体" w:hAnsi="宋体" w:eastAsia="宋体" w:cs="宋体"/>
          <w:b/>
          <w:bCs w:val="0"/>
        </w:rPr>
        <w:t>投标人电脑终端等硬件设备和软件系统配置：投标人电脑终端等硬件设备和软件系统配置应符合电子投标</w:t>
      </w:r>
      <w:r>
        <w:rPr>
          <w:rFonts w:hint="eastAsia" w:cs="宋体"/>
          <w:b/>
          <w:bCs w:val="0"/>
          <w:lang w:eastAsia="zh-CN"/>
        </w:rPr>
        <w:t>(</w:t>
      </w:r>
      <w:r>
        <w:rPr>
          <w:rFonts w:hint="eastAsia" w:ascii="宋体" w:hAnsi="宋体" w:eastAsia="宋体" w:cs="宋体"/>
          <w:b/>
          <w:bCs w:val="0"/>
        </w:rPr>
        <w:t>含不见面开标大厅</w:t>
      </w:r>
      <w:r>
        <w:rPr>
          <w:rFonts w:hint="eastAsia" w:cs="宋体"/>
          <w:b/>
          <w:bCs w:val="0"/>
          <w:lang w:eastAsia="zh-CN"/>
        </w:rPr>
        <w:t>)</w:t>
      </w:r>
      <w:r>
        <w:rPr>
          <w:rFonts w:hint="eastAsia" w:ascii="宋体" w:hAnsi="宋体" w:eastAsia="宋体" w:cs="宋体"/>
          <w:b/>
          <w:bCs w:val="0"/>
        </w:rPr>
        <w:t>投标人电脑终端配置要求并运行正常，投标人承担因未尽职责产生的不利后果。</w:t>
      </w:r>
    </w:p>
    <w:p>
      <w:pPr>
        <w:pStyle w:val="63"/>
        <w:numPr>
          <w:ilvl w:val="3"/>
          <w:numId w:val="16"/>
        </w:numPr>
        <w:bidi w:val="0"/>
        <w:rPr>
          <w:rFonts w:hint="eastAsia" w:ascii="宋体" w:hAnsi="宋体" w:eastAsia="宋体" w:cs="宋体"/>
          <w:b/>
          <w:bCs w:val="0"/>
        </w:rPr>
      </w:pPr>
      <w:r>
        <w:rPr>
          <w:rFonts w:hint="eastAsia" w:ascii="宋体" w:hAnsi="宋体" w:eastAsia="宋体" w:cs="宋体"/>
          <w:b/>
          <w:bCs w:val="0"/>
        </w:rPr>
        <w:t>因</w:t>
      </w:r>
      <w:r>
        <w:rPr>
          <w:rFonts w:hint="eastAsia" w:cs="宋体"/>
          <w:b/>
          <w:bCs w:val="0"/>
          <w:lang w:val="en-US" w:eastAsia="zh-CN"/>
        </w:rPr>
        <w:t>采购代理机构</w:t>
      </w:r>
      <w:r>
        <w:rPr>
          <w:rFonts w:hint="eastAsia" w:ascii="宋体" w:hAnsi="宋体" w:eastAsia="宋体" w:cs="宋体"/>
          <w:b/>
          <w:bCs w:val="0"/>
        </w:rPr>
        <w:t>断电、断网、系统故障或其他不可抗力等因素导致不见面开标系统无法正常运行的，开标活动中止或延迟，待系统恢复正常后继续进行开标活动。</w:t>
      </w:r>
    </w:p>
    <w:p>
      <w:pPr>
        <w:pStyle w:val="63"/>
        <w:numPr>
          <w:ilvl w:val="3"/>
          <w:numId w:val="16"/>
        </w:numPr>
        <w:bidi w:val="0"/>
        <w:rPr>
          <w:rFonts w:hint="eastAsia" w:ascii="宋体" w:hAnsi="宋体" w:eastAsia="宋体" w:cs="宋体"/>
          <w:b/>
          <w:bCs w:val="0"/>
        </w:rPr>
      </w:pPr>
      <w:r>
        <w:rPr>
          <w:rFonts w:hint="eastAsia" w:ascii="宋体" w:hAnsi="宋体"/>
          <w:b/>
          <w:color w:val="000000" w:themeColor="text1"/>
          <w14:textFill>
            <w14:solidFill>
              <w14:schemeClr w14:val="tx1"/>
            </w14:solidFill>
          </w14:textFill>
        </w:rPr>
        <w:t>开标、投标文件的解密详见《成都市全流程电子化采购系统操作指南——供应商版》</w:t>
      </w:r>
      <w:r>
        <w:rPr>
          <w:rFonts w:hint="eastAsia" w:ascii="宋体" w:hAnsi="宋体"/>
          <w:b/>
          <w:color w:val="000000" w:themeColor="text1"/>
          <w:lang w:eastAsia="zh-CN"/>
          <w14:textFill>
            <w14:solidFill>
              <w14:schemeClr w14:val="tx1"/>
            </w14:solidFill>
          </w14:textFill>
        </w:rPr>
        <w:t>，</w:t>
      </w:r>
      <w:r>
        <w:rPr>
          <w:rFonts w:hint="eastAsia" w:ascii="宋体" w:hAnsi="宋体"/>
          <w:b/>
          <w:color w:val="000000" w:themeColor="text1"/>
          <w:lang w:val="en-US" w:eastAsia="zh-CN"/>
          <w14:textFill>
            <w14:solidFill>
              <w14:schemeClr w14:val="tx1"/>
            </w14:solidFill>
          </w14:textFill>
        </w:rPr>
        <w:t>具体</w:t>
      </w:r>
      <w:r>
        <w:rPr>
          <w:rFonts w:hint="eastAsia" w:ascii="宋体" w:hAnsi="宋体" w:eastAsia="宋体" w:cs="宋体"/>
          <w:b/>
          <w:bCs/>
          <w:highlight w:val="none"/>
          <w:lang w:val="zh-CN" w:eastAsia="zh-CN"/>
        </w:rPr>
        <w:t>以</w:t>
      </w:r>
      <w:r>
        <w:rPr>
          <w:rFonts w:hint="eastAsia" w:cs="宋体"/>
          <w:b/>
          <w:bCs/>
          <w:highlight w:val="none"/>
          <w:lang w:val="zh-CN" w:eastAsia="zh-CN"/>
        </w:rPr>
        <w:t>“</w:t>
      </w:r>
      <w:r>
        <w:rPr>
          <w:rFonts w:hint="eastAsia" w:ascii="宋体" w:hAnsi="宋体" w:eastAsia="宋体" w:cs="宋体"/>
          <w:b/>
          <w:bCs/>
          <w:highlight w:val="none"/>
          <w:lang w:val="zh-CN" w:eastAsia="zh-CN"/>
        </w:rPr>
        <w:t>政府采购云平台</w:t>
      </w:r>
      <w:r>
        <w:rPr>
          <w:rFonts w:hint="eastAsia" w:cs="宋体"/>
          <w:b/>
          <w:bCs/>
          <w:highlight w:val="none"/>
          <w:lang w:val="zh-CN" w:eastAsia="zh-CN"/>
        </w:rPr>
        <w:t>”</w:t>
      </w:r>
      <w:r>
        <w:rPr>
          <w:rFonts w:hint="eastAsia" w:ascii="宋体" w:hAnsi="宋体" w:eastAsia="宋体" w:cs="宋体"/>
          <w:b/>
          <w:bCs/>
          <w:highlight w:val="none"/>
          <w:lang w:val="zh-CN" w:eastAsia="zh-CN"/>
        </w:rPr>
        <w:t>网站发布为准</w:t>
      </w:r>
      <w:r>
        <w:rPr>
          <w:rFonts w:hint="eastAsia" w:cs="宋体"/>
          <w:b/>
          <w:bCs/>
          <w:highlight w:val="none"/>
          <w:lang w:val="zh-CN" w:eastAsia="zh-CN"/>
        </w:rPr>
        <w:t>。</w:t>
      </w:r>
    </w:p>
    <w:p>
      <w:pPr>
        <w:pStyle w:val="63"/>
        <w:numPr>
          <w:ilvl w:val="3"/>
          <w:numId w:val="16"/>
        </w:numPr>
        <w:bidi w:val="0"/>
        <w:rPr>
          <w:rFonts w:hint="eastAsia"/>
          <w:b/>
          <w:bCs w:val="0"/>
        </w:rPr>
      </w:pPr>
      <w:r>
        <w:rPr>
          <w:rFonts w:hint="eastAsia" w:ascii="宋体" w:hAnsi="宋体" w:eastAsia="宋体" w:cs="宋体"/>
          <w:b/>
          <w:bCs w:val="0"/>
        </w:rPr>
        <w:t>不见面开标过程中，各方主体均应遵守</w:t>
      </w:r>
      <w:r>
        <w:rPr>
          <w:rFonts w:hint="eastAsia" w:cs="宋体"/>
          <w:b/>
          <w:bCs w:val="0"/>
          <w:lang w:val="en-US" w:eastAsia="zh-CN"/>
        </w:rPr>
        <w:t>国家</w:t>
      </w:r>
      <w:r>
        <w:rPr>
          <w:rFonts w:hint="eastAsia" w:ascii="宋体" w:hAnsi="宋体" w:eastAsia="宋体" w:cs="宋体"/>
          <w:b/>
          <w:bCs w:val="0"/>
        </w:rPr>
        <w:t>互联网有关规定，不得发表与交易活动无关的言论</w:t>
      </w:r>
      <w:r>
        <w:rPr>
          <w:rFonts w:hint="eastAsia"/>
          <w:b/>
          <w:bCs w:val="0"/>
        </w:rPr>
        <w:t>。</w:t>
      </w:r>
    </w:p>
    <w:bookmarkEnd w:id="557"/>
    <w:bookmarkEnd w:id="558"/>
    <w:bookmarkEnd w:id="559"/>
    <w:bookmarkEnd w:id="560"/>
    <w:bookmarkEnd w:id="561"/>
    <w:bookmarkEnd w:id="562"/>
    <w:bookmarkEnd w:id="563"/>
    <w:bookmarkEnd w:id="564"/>
    <w:bookmarkEnd w:id="565"/>
    <w:p>
      <w:pPr>
        <w:pStyle w:val="49"/>
        <w:bidi w:val="0"/>
        <w:rPr>
          <w:rFonts w:hint="eastAsia"/>
          <w:lang w:val="en-US" w:eastAsia="zh-CN"/>
        </w:rPr>
      </w:pPr>
      <w:bookmarkStart w:id="566" w:name="_Toc21578"/>
      <w:bookmarkStart w:id="567" w:name="_Toc598"/>
      <w:bookmarkStart w:id="568" w:name="_Toc183682375"/>
      <w:bookmarkStart w:id="569" w:name="_Toc183582238"/>
      <w:bookmarkStart w:id="570" w:name="_Toc28123"/>
      <w:bookmarkStart w:id="571" w:name="_Toc489"/>
      <w:bookmarkStart w:id="572" w:name="_Toc308084600"/>
      <w:bookmarkStart w:id="573" w:name="_Toc307564855"/>
      <w:bookmarkStart w:id="574" w:name="_Toc128"/>
      <w:bookmarkStart w:id="575" w:name="_Toc319439903"/>
      <w:bookmarkStart w:id="576" w:name="_Toc8800"/>
      <w:bookmarkStart w:id="577" w:name="_Toc307501112"/>
      <w:bookmarkStart w:id="578" w:name="_Toc319440145"/>
      <w:bookmarkStart w:id="579" w:name="_Toc15967"/>
      <w:bookmarkStart w:id="580" w:name="_Toc308188155"/>
      <w:bookmarkStart w:id="581" w:name="_Toc9806"/>
      <w:bookmarkStart w:id="582" w:name="_Toc309897518"/>
      <w:bookmarkStart w:id="583" w:name="_Toc28481"/>
      <w:bookmarkStart w:id="584" w:name="_Toc217446063"/>
      <w:bookmarkStart w:id="585" w:name="_Toc6332"/>
      <w:bookmarkStart w:id="586" w:name="_Toc327196289"/>
      <w:bookmarkStart w:id="587" w:name="_Toc16512"/>
      <w:bookmarkStart w:id="588" w:name="_Toc13751"/>
      <w:r>
        <w:rPr>
          <w:rFonts w:hint="eastAsia"/>
          <w:lang w:val="en-US" w:eastAsia="zh-CN"/>
        </w:rPr>
        <w:t>开评标过程存档</w:t>
      </w:r>
      <w:bookmarkEnd w:id="566"/>
      <w:bookmarkEnd w:id="567"/>
    </w:p>
    <w:p>
      <w:pPr>
        <w:pStyle w:val="42"/>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rPr>
      </w:pPr>
      <w:r>
        <w:rPr>
          <w:rFonts w:hint="eastAsia"/>
        </w:rPr>
        <w:t>开标和评标过程进行全过程电子监控，并将电子监控资料存储介质留存归档。</w:t>
      </w:r>
    </w:p>
    <w:p>
      <w:pPr>
        <w:pStyle w:val="49"/>
        <w:bidi w:val="0"/>
        <w:rPr>
          <w:rFonts w:hint="eastAsia"/>
        </w:rPr>
      </w:pPr>
      <w:bookmarkStart w:id="589" w:name="_Toc31117"/>
      <w:bookmarkStart w:id="590" w:name="_Toc4085"/>
      <w:bookmarkStart w:id="591" w:name="_Toc32453"/>
      <w:r>
        <w:rPr>
          <w:rFonts w:hint="eastAsia"/>
        </w:rPr>
        <w:t>中标通知</w:t>
      </w:r>
      <w:bookmarkEnd w:id="568"/>
      <w:bookmarkEnd w:id="569"/>
      <w:r>
        <w:rPr>
          <w:rFonts w:hint="eastAsia"/>
        </w:rPr>
        <w:t>书</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pPr>
        <w:pStyle w:val="63"/>
        <w:bidi w:val="0"/>
        <w:rPr>
          <w:rFonts w:hint="eastAsia"/>
        </w:rPr>
      </w:pPr>
      <w:r>
        <w:rPr>
          <w:rFonts w:hint="eastAsia"/>
        </w:rPr>
        <w:t>中标通知书为签订政府采购合同的依据，是合同的有效组成部分。</w:t>
      </w:r>
    </w:p>
    <w:p>
      <w:pPr>
        <w:pStyle w:val="63"/>
        <w:bidi w:val="0"/>
        <w:rPr>
          <w:rFonts w:hint="eastAsia"/>
        </w:rPr>
      </w:pPr>
      <w:r>
        <w:rPr>
          <w:rFonts w:hint="eastAsia"/>
        </w:rPr>
        <w:t>中标通知书对采购人和中标人均具有法律效力。中标通知书发出后，采购人改变中标结果，或者中标人无正当理由放弃中标的，应当承担相应的法律责任。</w:t>
      </w:r>
    </w:p>
    <w:p>
      <w:pPr>
        <w:pStyle w:val="63"/>
        <w:bidi w:val="0"/>
        <w:rPr>
          <w:rFonts w:hint="eastAsia"/>
        </w:rPr>
      </w:pPr>
      <w:r>
        <w:rPr>
          <w:rFonts w:hint="eastAsia"/>
        </w:rPr>
        <w:t>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pPr>
        <w:pStyle w:val="63"/>
        <w:bidi w:val="0"/>
        <w:rPr>
          <w:rFonts w:hint="eastAsia"/>
        </w:rPr>
      </w:pPr>
      <w:r>
        <w:rPr>
          <w:rFonts w:hint="eastAsia" w:ascii="宋体" w:hAnsi="宋体" w:eastAsia="宋体" w:cs="宋体"/>
          <w:lang w:val="zh-CN" w:eastAsia="zh-CN"/>
        </w:rPr>
        <w:t>在四川政府采购网公告中标结果同时发出中标通知书，中标供应商自行登录</w:t>
      </w:r>
      <w:r>
        <w:rPr>
          <w:rFonts w:hint="eastAsia" w:cs="宋体"/>
          <w:lang w:val="zh-CN" w:eastAsia="zh-CN"/>
        </w:rPr>
        <w:t>“</w:t>
      </w:r>
      <w:r>
        <w:rPr>
          <w:rFonts w:hint="eastAsia" w:ascii="宋体" w:hAnsi="宋体" w:eastAsia="宋体" w:cs="宋体"/>
          <w:lang w:val="zh-CN" w:eastAsia="zh-CN"/>
        </w:rPr>
        <w:t>政府采购云平台</w:t>
      </w:r>
      <w:r>
        <w:rPr>
          <w:rFonts w:hint="eastAsia" w:cs="宋体"/>
          <w:lang w:val="zh-CN" w:eastAsia="zh-CN"/>
        </w:rPr>
        <w:t>”</w:t>
      </w:r>
      <w:r>
        <w:rPr>
          <w:rFonts w:hint="eastAsia" w:ascii="宋体" w:hAnsi="宋体" w:eastAsia="宋体" w:cs="宋体"/>
          <w:lang w:val="zh-CN" w:eastAsia="zh-CN"/>
        </w:rPr>
        <w:t>下载中标通知书</w:t>
      </w:r>
      <w:r>
        <w:rPr>
          <w:rFonts w:hint="eastAsia"/>
        </w:rPr>
        <w:t>。</w:t>
      </w:r>
    </w:p>
    <w:p>
      <w:pPr>
        <w:pStyle w:val="43"/>
        <w:bidi w:val="0"/>
        <w:rPr>
          <w:rFonts w:hint="eastAsia"/>
        </w:rPr>
      </w:pPr>
      <w:bookmarkStart w:id="592" w:name="_Toc2685"/>
      <w:bookmarkStart w:id="593" w:name="_Toc10354"/>
      <w:bookmarkStart w:id="594" w:name="_Toc13383"/>
      <w:bookmarkStart w:id="595" w:name="_Toc22050"/>
      <w:bookmarkStart w:id="596" w:name="_Toc217446064"/>
      <w:bookmarkStart w:id="597" w:name="_Toc30422"/>
      <w:bookmarkStart w:id="598" w:name="_Toc327196290"/>
      <w:bookmarkStart w:id="599" w:name="_Toc183682377"/>
      <w:bookmarkStart w:id="600" w:name="_Toc183582240"/>
      <w:r>
        <w:rPr>
          <w:rFonts w:hint="eastAsia"/>
        </w:rPr>
        <w:t>签订及履行合同和验收</w:t>
      </w:r>
      <w:bookmarkEnd w:id="592"/>
      <w:bookmarkEnd w:id="593"/>
      <w:bookmarkEnd w:id="594"/>
      <w:bookmarkEnd w:id="595"/>
      <w:bookmarkEnd w:id="596"/>
      <w:bookmarkEnd w:id="597"/>
      <w:bookmarkEnd w:id="598"/>
    </w:p>
    <w:p>
      <w:pPr>
        <w:pStyle w:val="49"/>
        <w:numPr>
          <w:ilvl w:val="2"/>
          <w:numId w:val="17"/>
        </w:numPr>
        <w:bidi w:val="0"/>
        <w:rPr>
          <w:rFonts w:hint="eastAsia"/>
        </w:rPr>
      </w:pPr>
      <w:bookmarkStart w:id="601" w:name="_Toc307501114"/>
      <w:bookmarkStart w:id="602" w:name="_Toc217446065"/>
      <w:bookmarkStart w:id="603" w:name="_Toc515"/>
      <w:bookmarkStart w:id="604" w:name="_Toc25992"/>
      <w:bookmarkStart w:id="605" w:name="_Toc319440147"/>
      <w:bookmarkStart w:id="606" w:name="_Toc307564857"/>
      <w:bookmarkStart w:id="607" w:name="_Toc4460"/>
      <w:bookmarkStart w:id="608" w:name="_Toc27214"/>
      <w:bookmarkStart w:id="609" w:name="_Toc27989"/>
      <w:bookmarkStart w:id="610" w:name="_Toc327196291"/>
      <w:bookmarkStart w:id="611" w:name="_Toc9464"/>
      <w:bookmarkStart w:id="612" w:name="_Toc3130"/>
      <w:bookmarkStart w:id="613" w:name="_Toc319439905"/>
      <w:bookmarkStart w:id="614" w:name="_Toc308084602"/>
      <w:bookmarkStart w:id="615" w:name="_Toc309897520"/>
      <w:bookmarkStart w:id="616" w:name="_Toc3621"/>
      <w:bookmarkStart w:id="617" w:name="_Toc24949"/>
      <w:bookmarkStart w:id="618" w:name="_Toc5659"/>
      <w:bookmarkStart w:id="619" w:name="_Toc16835"/>
      <w:bookmarkStart w:id="620" w:name="_Toc308188157"/>
      <w:bookmarkStart w:id="621" w:name="_Toc20427"/>
      <w:r>
        <w:rPr>
          <w:rFonts w:hint="eastAsia"/>
        </w:rPr>
        <w:t>签订合同</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pPr>
        <w:pStyle w:val="63"/>
        <w:bidi w:val="0"/>
      </w:pPr>
      <w:bookmarkStart w:id="622" w:name="_Toc309897521"/>
      <w:bookmarkStart w:id="623" w:name="_Toc327196292"/>
      <w:bookmarkStart w:id="624" w:name="_Toc217446066"/>
      <w:bookmarkStart w:id="625" w:name="_Toc319440148"/>
      <w:bookmarkStart w:id="626" w:name="_Toc20139"/>
      <w:bookmarkStart w:id="627" w:name="_Toc12489"/>
      <w:bookmarkStart w:id="628" w:name="_Toc31670"/>
      <w:bookmarkStart w:id="629" w:name="_Toc307564858"/>
      <w:bookmarkStart w:id="630" w:name="_Toc307501115"/>
      <w:bookmarkStart w:id="631" w:name="_Toc319439906"/>
      <w:bookmarkStart w:id="632" w:name="_Toc12852"/>
      <w:bookmarkStart w:id="633" w:name="_Toc308188158"/>
      <w:bookmarkStart w:id="634" w:name="_Toc308084603"/>
      <w:bookmarkStart w:id="635" w:name="_Toc3758"/>
      <w:bookmarkStart w:id="636" w:name="_Toc31397"/>
      <w:bookmarkStart w:id="637" w:name="_Toc24196"/>
      <w:bookmarkStart w:id="638" w:name="_Toc25756"/>
      <w:bookmarkStart w:id="639" w:name="_Toc26000"/>
      <w:bookmarkStart w:id="640" w:name="_Toc29795"/>
      <w:r>
        <w:rPr>
          <w:rFonts w:hint="eastAsia"/>
        </w:rPr>
        <w:t>中标人应在中标通知书发出之日起三十日内与采购人签订采购合同。由于中标人的原因逾期未与采购人签订采购合同的，将视为放弃中标，取消其中标资格并将按相关规定进行处理。</w:t>
      </w:r>
    </w:p>
    <w:p>
      <w:pPr>
        <w:pStyle w:val="63"/>
        <w:bidi w:val="0"/>
        <w:rPr>
          <w:rFonts w:hint="eastAsia"/>
        </w:rPr>
      </w:pPr>
      <w:r>
        <w:rPr>
          <w:rFonts w:hint="eastAsia"/>
        </w:rPr>
        <w:t>政府采购合同应当包括采购人与中标人的名称和住所、标的、数量、质量、价款或者报酬、履行期限及地点和方式、验收要求、违约责任、解决争议的方法等内容。</w:t>
      </w:r>
    </w:p>
    <w:p>
      <w:pPr>
        <w:pStyle w:val="63"/>
        <w:bidi w:val="0"/>
      </w:pPr>
      <w:r>
        <w:rPr>
          <w:rFonts w:hint="eastAsia"/>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63"/>
        <w:bidi w:val="0"/>
      </w:pPr>
      <w:r>
        <w:rPr>
          <w:rFonts w:hint="eastAsia"/>
          <w:lang w:val="en-US" w:eastAsia="zh-CN"/>
        </w:rPr>
        <w:t>本项目的招标</w:t>
      </w:r>
      <w:r>
        <w:rPr>
          <w:rFonts w:hint="eastAsia"/>
        </w:rPr>
        <w:t>文件、</w:t>
      </w:r>
      <w:r>
        <w:rPr>
          <w:rFonts w:hint="eastAsia"/>
          <w:lang w:val="en-US" w:eastAsia="zh-CN"/>
        </w:rPr>
        <w:t>中标</w:t>
      </w:r>
      <w:r>
        <w:rPr>
          <w:rFonts w:hint="eastAsia"/>
        </w:rPr>
        <w:t>供应商提交的</w:t>
      </w:r>
      <w:r>
        <w:rPr>
          <w:rFonts w:hint="eastAsia"/>
          <w:lang w:val="en-US" w:eastAsia="zh-CN"/>
        </w:rPr>
        <w:t>投标</w:t>
      </w:r>
      <w:r>
        <w:rPr>
          <w:rFonts w:hint="eastAsia"/>
        </w:rPr>
        <w:t>文件、</w:t>
      </w:r>
      <w:r>
        <w:rPr>
          <w:rFonts w:hint="eastAsia"/>
          <w:lang w:val="en-US" w:eastAsia="zh-CN"/>
        </w:rPr>
        <w:t>评审</w:t>
      </w:r>
      <w:r>
        <w:rPr>
          <w:rFonts w:hint="eastAsia"/>
        </w:rPr>
        <w:t>中的</w:t>
      </w:r>
      <w:r>
        <w:rPr>
          <w:rFonts w:hint="eastAsia"/>
          <w:lang w:val="en-US" w:eastAsia="zh-CN"/>
        </w:rPr>
        <w:t>澄清</w:t>
      </w:r>
      <w:r>
        <w:rPr>
          <w:rFonts w:hint="eastAsia"/>
        </w:rPr>
        <w:t>、</w:t>
      </w:r>
      <w:r>
        <w:rPr>
          <w:rFonts w:hint="eastAsia"/>
          <w:lang w:val="en-US" w:eastAsia="zh-CN"/>
        </w:rPr>
        <w:t>中标</w:t>
      </w:r>
      <w:r>
        <w:rPr>
          <w:rFonts w:hint="eastAsia"/>
        </w:rPr>
        <w:t>通知书等</w:t>
      </w:r>
      <w:r>
        <w:rPr>
          <w:rFonts w:hint="eastAsia"/>
          <w:lang w:val="en-US" w:eastAsia="zh-CN"/>
        </w:rPr>
        <w:t>文件均具</w:t>
      </w:r>
      <w:r>
        <w:rPr>
          <w:rFonts w:hint="eastAsia"/>
        </w:rPr>
        <w:t>有法律约束力</w:t>
      </w:r>
      <w:r>
        <w:rPr>
          <w:rFonts w:hint="eastAsia"/>
          <w:lang w:eastAsia="zh-CN"/>
        </w:rPr>
        <w:t>，</w:t>
      </w:r>
      <w:r>
        <w:rPr>
          <w:rFonts w:hint="eastAsia"/>
          <w:lang w:val="en-US" w:eastAsia="zh-CN"/>
        </w:rPr>
        <w:t>属于</w:t>
      </w:r>
      <w:r>
        <w:rPr>
          <w:rFonts w:hint="eastAsia"/>
        </w:rPr>
        <w:t>合同组成</w:t>
      </w:r>
      <w:r>
        <w:rPr>
          <w:rFonts w:hint="eastAsia"/>
          <w:lang w:val="en-US" w:eastAsia="zh-CN"/>
        </w:rPr>
        <w:t>部分。</w:t>
      </w:r>
    </w:p>
    <w:p>
      <w:pPr>
        <w:pStyle w:val="63"/>
        <w:bidi w:val="0"/>
        <w:rPr>
          <w:b/>
          <w:bCs/>
        </w:rPr>
      </w:pPr>
      <w:r>
        <w:rPr>
          <w:rFonts w:hint="eastAsia"/>
        </w:rPr>
        <w:t>中标人因不可抗力原因不能履行采购合同或放弃中标的，采购人可以与排在中标人之后第一位的中标候选人签订采购合同，以此类推。</w:t>
      </w:r>
    </w:p>
    <w:p>
      <w:pPr>
        <w:pStyle w:val="49"/>
        <w:numPr>
          <w:ilvl w:val="2"/>
          <w:numId w:val="17"/>
        </w:numPr>
        <w:bidi w:val="0"/>
        <w:rPr>
          <w:rFonts w:hint="eastAsia"/>
          <w:lang w:val="en-US"/>
        </w:rPr>
      </w:pPr>
      <w:bookmarkStart w:id="641" w:name="_Toc12864"/>
      <w:bookmarkStart w:id="642" w:name="_Toc32650"/>
      <w:r>
        <w:rPr>
          <w:rFonts w:hint="eastAsia"/>
        </w:rPr>
        <w:t>合同</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r>
        <w:rPr>
          <w:rFonts w:hint="eastAsia"/>
        </w:rPr>
        <w:t>分包</w:t>
      </w:r>
      <w:bookmarkEnd w:id="637"/>
      <w:bookmarkEnd w:id="638"/>
      <w:r>
        <w:rPr>
          <w:rFonts w:hint="eastAsia"/>
          <w:lang w:val="en-US" w:eastAsia="zh-CN"/>
        </w:rPr>
        <w:t>(实质性要求)</w:t>
      </w:r>
      <w:bookmarkEnd w:id="639"/>
      <w:bookmarkEnd w:id="640"/>
      <w:bookmarkEnd w:id="641"/>
      <w:bookmarkEnd w:id="642"/>
    </w:p>
    <w:p>
      <w:pPr>
        <w:pStyle w:val="46"/>
        <w:bidi w:val="0"/>
        <w:rPr>
          <w:rFonts w:hint="eastAsia" w:ascii="宋体" w:hAnsi="宋体" w:eastAsia="宋体" w:cstheme="minorBidi"/>
          <w:kern w:val="2"/>
          <w:sz w:val="24"/>
          <w:szCs w:val="24"/>
          <w:lang w:val="en-US" w:eastAsia="zh-CN" w:bidi="ar-SA"/>
        </w:rPr>
      </w:pPr>
      <w:bookmarkStart w:id="643" w:name="_Toc19999"/>
      <w:bookmarkStart w:id="644" w:name="_Toc308188159"/>
      <w:bookmarkStart w:id="645" w:name="_Toc327196293"/>
      <w:bookmarkStart w:id="646" w:name="_Toc29552"/>
      <w:bookmarkStart w:id="647" w:name="_Toc319440149"/>
      <w:bookmarkStart w:id="648" w:name="_Toc307501116"/>
      <w:bookmarkStart w:id="649" w:name="_Toc217446067"/>
      <w:bookmarkStart w:id="650" w:name="_Toc30954"/>
      <w:bookmarkStart w:id="651" w:name="_Toc30827"/>
      <w:bookmarkStart w:id="652" w:name="_Toc15644"/>
      <w:bookmarkStart w:id="653" w:name="_Toc29332"/>
      <w:bookmarkStart w:id="654" w:name="_Toc308084604"/>
      <w:bookmarkStart w:id="655" w:name="_Toc319439907"/>
      <w:bookmarkStart w:id="656" w:name="_Toc16143"/>
      <w:bookmarkStart w:id="657" w:name="_Toc29842"/>
      <w:bookmarkStart w:id="658" w:name="_Toc307564859"/>
      <w:bookmarkStart w:id="659" w:name="_Toc309897522"/>
      <w:r>
        <w:rPr>
          <w:rFonts w:hint="eastAsia"/>
          <w:color w:val="000000" w:themeColor="text1"/>
          <w:lang w:val="en-US" w:eastAsia="zh-CN"/>
          <w14:textFill>
            <w14:solidFill>
              <w14:schemeClr w14:val="tx1"/>
            </w14:solidFill>
          </w14:textFill>
        </w:rPr>
        <w:t>本项目不允许投标人以合同分包形式进行投标</w:t>
      </w:r>
      <w:r>
        <w:rPr>
          <w:rFonts w:hint="eastAsia" w:ascii="宋体" w:hAnsi="宋体" w:eastAsia="宋体" w:cstheme="minorBidi"/>
          <w:kern w:val="2"/>
          <w:sz w:val="24"/>
          <w:szCs w:val="24"/>
          <w:lang w:val="en-US" w:eastAsia="zh-CN" w:bidi="ar-SA"/>
        </w:rPr>
        <w:t>。</w:t>
      </w:r>
    </w:p>
    <w:p>
      <w:pPr>
        <w:pStyle w:val="49"/>
        <w:numPr>
          <w:ilvl w:val="2"/>
          <w:numId w:val="17"/>
        </w:numPr>
        <w:bidi w:val="0"/>
        <w:rPr>
          <w:rFonts w:hint="eastAsia"/>
        </w:rPr>
      </w:pPr>
      <w:bookmarkStart w:id="660" w:name="_Toc28937"/>
      <w:bookmarkStart w:id="661" w:name="_Toc29526"/>
      <w:bookmarkStart w:id="662" w:name="_Toc5242"/>
      <w:bookmarkStart w:id="663" w:name="_Toc5890"/>
      <w:r>
        <w:rPr>
          <w:rFonts w:hint="eastAsia"/>
        </w:rPr>
        <w:t>合同转包</w:t>
      </w:r>
      <w:r>
        <w:rPr>
          <w:rFonts w:hint="eastAsia"/>
          <w:lang w:val="en-US" w:eastAsia="zh-CN"/>
        </w:rPr>
        <w:t>(实质性要求)</w:t>
      </w:r>
      <w:bookmarkEnd w:id="660"/>
      <w:bookmarkEnd w:id="661"/>
      <w:bookmarkEnd w:id="662"/>
      <w:bookmarkEnd w:id="663"/>
    </w:p>
    <w:p>
      <w:pPr>
        <w:pStyle w:val="46"/>
        <w:bidi w:val="0"/>
        <w:rPr>
          <w:rFonts w:hint="eastAsia"/>
        </w:rPr>
      </w:pPr>
      <w:r>
        <w:rPr>
          <w:rFonts w:hint="eastAsia"/>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46"/>
        <w:bidi w:val="0"/>
        <w:rPr>
          <w:rFonts w:hint="eastAsia"/>
        </w:rPr>
      </w:pPr>
      <w:r>
        <w:rPr>
          <w:rFonts w:hint="eastAsia"/>
        </w:rPr>
        <w:t>中标人转包的，视同拒绝履行政府采购合同义务，将依法追究法律责任。</w:t>
      </w:r>
    </w:p>
    <w:p>
      <w:pPr>
        <w:pStyle w:val="49"/>
        <w:numPr>
          <w:ilvl w:val="2"/>
          <w:numId w:val="17"/>
        </w:numPr>
        <w:bidi w:val="0"/>
        <w:rPr>
          <w:rFonts w:hint="eastAsia"/>
        </w:rPr>
      </w:pPr>
      <w:bookmarkStart w:id="664" w:name="_Toc11992"/>
      <w:bookmarkStart w:id="665" w:name="_Toc12603"/>
      <w:bookmarkStart w:id="666" w:name="_Toc9592"/>
      <w:bookmarkStart w:id="667" w:name="_Toc9680"/>
      <w:r>
        <w:rPr>
          <w:rFonts w:hint="eastAsia"/>
        </w:rPr>
        <w:t>补充合同</w:t>
      </w:r>
      <w:bookmarkEnd w:id="664"/>
      <w:bookmarkEnd w:id="665"/>
      <w:bookmarkEnd w:id="666"/>
      <w:bookmarkEnd w:id="667"/>
    </w:p>
    <w:p>
      <w:pPr>
        <w:pStyle w:val="46"/>
        <w:bidi w:val="0"/>
        <w:rPr>
          <w:rFonts w:hint="eastAsia"/>
        </w:rPr>
      </w:pPr>
      <w:r>
        <w:rPr>
          <w:rFonts w:hint="eastAsia"/>
        </w:rPr>
        <w:t>采购合同履行过程中，采购人需要追加与合同标的相同的货物或者服务的，在不改变合同其他条款的前提下，可以与</w:t>
      </w:r>
      <w:r>
        <w:rPr>
          <w:rFonts w:hint="eastAsia"/>
          <w:lang w:eastAsia="zh-CN"/>
        </w:rPr>
        <w:t>中标人</w:t>
      </w:r>
      <w:r>
        <w:rPr>
          <w:rFonts w:hint="eastAsia"/>
        </w:rPr>
        <w:t>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Pr>
        <w:pStyle w:val="49"/>
        <w:numPr>
          <w:ilvl w:val="2"/>
          <w:numId w:val="17"/>
        </w:numPr>
        <w:bidi w:val="0"/>
        <w:rPr>
          <w:rFonts w:hint="eastAsia"/>
        </w:rPr>
      </w:pPr>
      <w:bookmarkStart w:id="668" w:name="_Toc30638"/>
      <w:bookmarkStart w:id="669" w:name="_Toc28976"/>
      <w:bookmarkStart w:id="670" w:name="_Toc31562"/>
      <w:bookmarkStart w:id="671" w:name="_Toc12689"/>
      <w:bookmarkStart w:id="672" w:name="_Toc13715"/>
      <w:bookmarkStart w:id="673" w:name="_Toc308164812"/>
      <w:bookmarkStart w:id="674" w:name="_Toc24147"/>
      <w:bookmarkStart w:id="675" w:name="_Toc24237"/>
      <w:bookmarkStart w:id="676" w:name="_Toc31704"/>
      <w:bookmarkStart w:id="677" w:name="_Toc27686"/>
      <w:bookmarkStart w:id="678" w:name="_Toc28404"/>
      <w:bookmarkStart w:id="679" w:name="_Toc11533"/>
      <w:bookmarkStart w:id="680" w:name="_Toc309897523"/>
      <w:bookmarkStart w:id="681" w:name="_Toc27331"/>
      <w:bookmarkStart w:id="682" w:name="_Toc308084605"/>
      <w:bookmarkStart w:id="683" w:name="_Toc327196294"/>
      <w:bookmarkStart w:id="684" w:name="_Toc217446068"/>
      <w:bookmarkStart w:id="685" w:name="_Toc319439908"/>
      <w:bookmarkStart w:id="686" w:name="_Toc307564860"/>
      <w:bookmarkStart w:id="687" w:name="_Toc19537"/>
      <w:bookmarkStart w:id="688" w:name="_Toc16034"/>
      <w:bookmarkStart w:id="689" w:name="_Toc308188160"/>
      <w:bookmarkStart w:id="690" w:name="_Toc307501117"/>
      <w:bookmarkStart w:id="691" w:name="_Toc319440150"/>
      <w:bookmarkStart w:id="692" w:name="_Toc22746"/>
      <w:bookmarkStart w:id="693" w:name="_Toc30856"/>
      <w:r>
        <w:rPr>
          <w:rFonts w:hint="eastAsia"/>
        </w:rPr>
        <w:t>合同公告</w:t>
      </w:r>
      <w:bookmarkEnd w:id="668"/>
      <w:bookmarkEnd w:id="669"/>
      <w:bookmarkEnd w:id="670"/>
      <w:bookmarkEnd w:id="671"/>
      <w:bookmarkEnd w:id="672"/>
    </w:p>
    <w:p>
      <w:pPr>
        <w:pStyle w:val="46"/>
        <w:bidi w:val="0"/>
        <w:rPr>
          <w:rFonts w:hint="eastAsia"/>
        </w:rPr>
      </w:pPr>
      <w:r>
        <w:rPr>
          <w:rFonts w:hint="eastAsia"/>
        </w:rPr>
        <w:t>采购人应当自政府采购合同签订之日起2个工作日内，将政府采购合同在省级以上人民政府财政部门指定的媒体上公告</w:t>
      </w:r>
      <w:r>
        <w:rPr>
          <w:rFonts w:hint="eastAsia"/>
          <w:lang w:eastAsia="zh-CN"/>
        </w:rPr>
        <w:t>(</w:t>
      </w:r>
      <w:r>
        <w:rPr>
          <w:rFonts w:hint="eastAsia"/>
        </w:rPr>
        <w:t>四川政府采购网</w:t>
      </w:r>
      <w:r>
        <w:rPr>
          <w:rFonts w:hint="eastAsia"/>
          <w:lang w:eastAsia="zh-CN"/>
        </w:rPr>
        <w:t>)</w:t>
      </w:r>
      <w:r>
        <w:rPr>
          <w:rFonts w:hint="eastAsia"/>
        </w:rPr>
        <w:t>，但政府采购合同中涉及国家秘密、商业秘密的内容除外。</w:t>
      </w:r>
    </w:p>
    <w:p>
      <w:pPr>
        <w:pStyle w:val="49"/>
        <w:numPr>
          <w:ilvl w:val="2"/>
          <w:numId w:val="17"/>
        </w:numPr>
        <w:bidi w:val="0"/>
        <w:rPr>
          <w:rFonts w:hint="default"/>
          <w:lang w:val="en-US" w:eastAsia="zh-CN"/>
        </w:rPr>
      </w:pPr>
      <w:bookmarkStart w:id="694" w:name="_Toc29726"/>
      <w:bookmarkStart w:id="695" w:name="_Toc19464"/>
      <w:bookmarkStart w:id="696" w:name="_Toc352"/>
      <w:r>
        <w:rPr>
          <w:rFonts w:hint="eastAsia"/>
          <w:lang w:val="en-US" w:eastAsia="zh-CN"/>
        </w:rPr>
        <w:t>合同备案</w:t>
      </w:r>
      <w:bookmarkEnd w:id="694"/>
      <w:bookmarkEnd w:id="695"/>
      <w:bookmarkEnd w:id="696"/>
    </w:p>
    <w:p>
      <w:pPr>
        <w:pStyle w:val="46"/>
        <w:bidi w:val="0"/>
        <w:rPr>
          <w:rFonts w:hint="eastAsia" w:eastAsia="宋体"/>
          <w:highlight w:val="none"/>
          <w:lang w:eastAsia="zh-CN"/>
        </w:rPr>
      </w:pPr>
      <w:r>
        <w:rPr>
          <w:rFonts w:hint="eastAsia" w:ascii="宋体" w:hAnsi="宋体" w:eastAsia="宋体" w:cs="宋体"/>
          <w:highlight w:val="none"/>
          <w:lang w:val="en-US" w:eastAsia="zh-CN"/>
        </w:rPr>
        <w:t>采购人应当将政府采购合同副本自签订之日起七个工作日内通过</w:t>
      </w:r>
      <w:r>
        <w:rPr>
          <w:rFonts w:hint="eastAsia" w:cs="宋体"/>
          <w:highlight w:val="none"/>
          <w:lang w:val="en-US" w:eastAsia="zh-CN"/>
        </w:rPr>
        <w:t>“</w:t>
      </w:r>
      <w:r>
        <w:rPr>
          <w:rFonts w:hint="eastAsia" w:ascii="宋体" w:hAnsi="宋体" w:eastAsia="宋体" w:cs="宋体"/>
          <w:highlight w:val="none"/>
          <w:lang w:val="en-US" w:eastAsia="zh-CN"/>
        </w:rPr>
        <w:t>政采云平台</w:t>
      </w:r>
      <w:r>
        <w:rPr>
          <w:rFonts w:hint="eastAsia" w:cs="宋体"/>
          <w:highlight w:val="none"/>
          <w:lang w:val="en-US" w:eastAsia="zh-CN"/>
        </w:rPr>
        <w:t>”</w:t>
      </w:r>
      <w:r>
        <w:rPr>
          <w:rFonts w:hint="eastAsia" w:ascii="宋体" w:hAnsi="宋体" w:eastAsia="宋体" w:cs="宋体"/>
          <w:highlight w:val="none"/>
          <w:lang w:val="en-US" w:eastAsia="zh-CN"/>
        </w:rPr>
        <w:t>报同级财政部门备案</w:t>
      </w:r>
      <w:r>
        <w:rPr>
          <w:rFonts w:hint="eastAsia"/>
          <w:highlight w:val="none"/>
          <w:lang w:eastAsia="zh-CN"/>
        </w:rPr>
        <w:t>。</w:t>
      </w:r>
    </w:p>
    <w:p>
      <w:pPr>
        <w:pStyle w:val="49"/>
        <w:numPr>
          <w:ilvl w:val="2"/>
          <w:numId w:val="17"/>
        </w:numPr>
        <w:bidi w:val="0"/>
        <w:rPr>
          <w:rFonts w:hint="eastAsia"/>
          <w:highlight w:val="none"/>
        </w:rPr>
      </w:pPr>
      <w:bookmarkStart w:id="697" w:name="_Toc11472"/>
      <w:r>
        <w:rPr>
          <w:rFonts w:hint="eastAsia"/>
          <w:highlight w:val="none"/>
        </w:rPr>
        <w:t>履约保证金</w:t>
      </w:r>
      <w:bookmarkEnd w:id="673"/>
      <w:bookmarkEnd w:id="674"/>
      <w:bookmarkEnd w:id="675"/>
      <w:bookmarkEnd w:id="676"/>
      <w:bookmarkEnd w:id="697"/>
    </w:p>
    <w:p>
      <w:pPr>
        <w:pStyle w:val="46"/>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本项目不收取履约保证金。</w:t>
      </w:r>
    </w:p>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Pr>
        <w:pStyle w:val="49"/>
        <w:numPr>
          <w:ilvl w:val="2"/>
          <w:numId w:val="17"/>
        </w:numPr>
        <w:bidi w:val="0"/>
        <w:rPr>
          <w:rFonts w:hint="eastAsia"/>
        </w:rPr>
      </w:pPr>
      <w:bookmarkStart w:id="698" w:name="_Toc13194"/>
      <w:bookmarkStart w:id="699" w:name="_Toc15310"/>
      <w:bookmarkStart w:id="700" w:name="_Toc29503"/>
      <w:bookmarkStart w:id="701" w:name="_Toc15792"/>
      <w:bookmarkStart w:id="702" w:name="_Toc15219"/>
      <w:bookmarkStart w:id="703" w:name="_Toc307501119"/>
      <w:bookmarkStart w:id="704" w:name="_Toc27114"/>
      <w:bookmarkStart w:id="705" w:name="_Toc5754"/>
      <w:bookmarkStart w:id="706" w:name="_Toc307564862"/>
      <w:bookmarkStart w:id="707" w:name="_Toc308084607"/>
      <w:bookmarkStart w:id="708" w:name="_Toc319439910"/>
      <w:bookmarkStart w:id="709" w:name="_Toc9815"/>
      <w:bookmarkStart w:id="710" w:name="_Toc9916"/>
      <w:bookmarkStart w:id="711" w:name="_Toc27872"/>
      <w:bookmarkStart w:id="712" w:name="_Toc217446070"/>
      <w:bookmarkStart w:id="713" w:name="_Toc309897525"/>
      <w:bookmarkStart w:id="714" w:name="_Toc18547"/>
      <w:bookmarkStart w:id="715" w:name="_Toc17018"/>
      <w:bookmarkStart w:id="716" w:name="_Toc308188162"/>
      <w:bookmarkStart w:id="717" w:name="_Toc319440152"/>
      <w:bookmarkStart w:id="718" w:name="_Toc327196296"/>
      <w:r>
        <w:rPr>
          <w:rFonts w:hint="eastAsia"/>
        </w:rPr>
        <w:t>履行合同</w:t>
      </w:r>
      <w:bookmarkEnd w:id="698"/>
      <w:bookmarkEnd w:id="699"/>
      <w:bookmarkEnd w:id="700"/>
      <w:bookmarkEnd w:id="701"/>
    </w:p>
    <w:p>
      <w:pPr>
        <w:pStyle w:val="63"/>
        <w:bidi w:val="0"/>
      </w:pPr>
      <w:bookmarkStart w:id="719" w:name="_Toc12435"/>
      <w:bookmarkStart w:id="720" w:name="_Toc31"/>
      <w:r>
        <w:rPr>
          <w:rFonts w:hint="eastAsia"/>
        </w:rPr>
        <w:t>采购人与中标人应当根据合同的约定依法履行合同义务。</w:t>
      </w:r>
    </w:p>
    <w:p>
      <w:pPr>
        <w:pStyle w:val="63"/>
        <w:bidi w:val="0"/>
        <w:rPr>
          <w:rFonts w:hint="eastAsia"/>
          <w:lang w:eastAsia="zh-CN"/>
        </w:rPr>
      </w:pPr>
      <w:r>
        <w:rPr>
          <w:rFonts w:hint="eastAsia"/>
        </w:rPr>
        <w:t>政府采购合同的履行、违约责任和解决争议的方法等适用</w:t>
      </w:r>
      <w:r>
        <w:rPr>
          <w:rFonts w:hint="eastAsia"/>
          <w:lang w:eastAsia="zh-CN"/>
        </w:rPr>
        <w:t>《中华人民共和国民法典》。</w:t>
      </w:r>
    </w:p>
    <w:p>
      <w:pPr>
        <w:pStyle w:val="49"/>
        <w:numPr>
          <w:ilvl w:val="2"/>
          <w:numId w:val="17"/>
        </w:numPr>
        <w:bidi w:val="0"/>
        <w:rPr>
          <w:rFonts w:hint="eastAsia"/>
        </w:rPr>
      </w:pPr>
      <w:bookmarkStart w:id="721" w:name="_Toc7153"/>
      <w:bookmarkStart w:id="722" w:name="_Toc22276"/>
      <w:r>
        <w:rPr>
          <w:rFonts w:hint="eastAsia"/>
        </w:rPr>
        <w:t>验收</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pPr>
        <w:pStyle w:val="63"/>
        <w:bidi w:val="0"/>
        <w:rPr>
          <w:rFonts w:hint="eastAsia"/>
        </w:rPr>
      </w:pPr>
      <w:bookmarkStart w:id="723" w:name="_Toc217446071"/>
      <w:r>
        <w:rPr>
          <w:rFonts w:hint="eastAsia"/>
        </w:rPr>
        <w:t>本项目采购人及其委托的采购代理机构将严格按照</w:t>
      </w:r>
      <w:r>
        <w:rPr>
          <w:rFonts w:hint="eastAsia"/>
          <w:lang w:val="en-US" w:eastAsia="zh-CN"/>
        </w:rPr>
        <w:t>《财政部关于进一步加强政府采购需求和履约验收管理的指导意见》(财库〔2016〕205号</w:t>
      </w:r>
      <w:r>
        <w:rPr>
          <w:rFonts w:hint="eastAsia"/>
        </w:rPr>
        <w:t>要求进行验收。</w:t>
      </w:r>
    </w:p>
    <w:p>
      <w:pPr>
        <w:pStyle w:val="63"/>
        <w:bidi w:val="0"/>
        <w:rPr>
          <w:rFonts w:hint="eastAsia"/>
        </w:rPr>
      </w:pPr>
      <w:r>
        <w:rPr>
          <w:rFonts w:hint="eastAsia"/>
        </w:rPr>
        <w:t>验收结果合格的，中标人凭</w:t>
      </w:r>
      <w:r>
        <w:rPr>
          <w:rFonts w:hint="eastAsia"/>
          <w:lang w:eastAsia="zh-CN"/>
        </w:rPr>
        <w:t>《</w:t>
      </w:r>
      <w:r>
        <w:rPr>
          <w:rFonts w:hint="eastAsia"/>
        </w:rPr>
        <w:t>验收</w:t>
      </w:r>
      <w:r>
        <w:rPr>
          <w:rFonts w:hint="eastAsia"/>
          <w:lang w:val="en-US" w:eastAsia="zh-CN"/>
        </w:rPr>
        <w:t>报告</w:t>
      </w:r>
      <w:r>
        <w:rPr>
          <w:rFonts w:hint="eastAsia"/>
          <w:lang w:eastAsia="zh-CN"/>
        </w:rPr>
        <w:t>》</w:t>
      </w:r>
      <w:r>
        <w:rPr>
          <w:rFonts w:hint="eastAsia"/>
        </w:rPr>
        <w:t>办理</w:t>
      </w:r>
      <w:r>
        <w:rPr>
          <w:rFonts w:hint="eastAsia"/>
          <w:lang w:val="en-US" w:eastAsia="zh-CN"/>
        </w:rPr>
        <w:t>结算相关</w:t>
      </w:r>
      <w:r>
        <w:rPr>
          <w:rFonts w:hint="eastAsia"/>
        </w:rPr>
        <w:t>手续；验收结果不合格的，将不予支付采购资金，还可能会报本项目同级财政部门按照政府采购法律法规等有关规定给予行政处罚。</w:t>
      </w:r>
    </w:p>
    <w:bookmarkEnd w:id="599"/>
    <w:bookmarkEnd w:id="600"/>
    <w:bookmarkEnd w:id="723"/>
    <w:p>
      <w:pPr>
        <w:pStyle w:val="49"/>
        <w:numPr>
          <w:ilvl w:val="2"/>
          <w:numId w:val="17"/>
        </w:numPr>
        <w:bidi w:val="0"/>
        <w:rPr>
          <w:rFonts w:hint="eastAsia"/>
        </w:rPr>
      </w:pPr>
      <w:bookmarkStart w:id="724" w:name="_Toc308164818"/>
      <w:bookmarkStart w:id="725" w:name="_Toc3266"/>
      <w:bookmarkStart w:id="726" w:name="_Toc17896"/>
      <w:bookmarkStart w:id="727" w:name="_Toc12094"/>
      <w:bookmarkStart w:id="728" w:name="_Toc16716"/>
      <w:bookmarkStart w:id="729" w:name="_Toc16219"/>
      <w:bookmarkStart w:id="730" w:name="_Toc217446074"/>
      <w:bookmarkStart w:id="731" w:name="_Toc327196297"/>
      <w:bookmarkStart w:id="732" w:name="_Toc183582243"/>
      <w:bookmarkStart w:id="733" w:name="_Toc183682380"/>
      <w:r>
        <w:rPr>
          <w:rFonts w:hint="eastAsia"/>
        </w:rPr>
        <w:t>资金支付</w:t>
      </w:r>
      <w:bookmarkEnd w:id="724"/>
      <w:r>
        <w:rPr>
          <w:rFonts w:hint="eastAsia"/>
          <w:lang w:val="en-US" w:eastAsia="zh-CN"/>
        </w:rPr>
        <w:t>方式、时间、条件</w:t>
      </w:r>
      <w:bookmarkEnd w:id="725"/>
      <w:bookmarkEnd w:id="726"/>
      <w:bookmarkEnd w:id="727"/>
      <w:bookmarkEnd w:id="728"/>
    </w:p>
    <w:p>
      <w:pPr>
        <w:pStyle w:val="63"/>
        <w:bidi w:val="0"/>
        <w:rPr>
          <w:rFonts w:hint="eastAsia"/>
        </w:rPr>
      </w:pPr>
      <w:r>
        <w:rPr>
          <w:rFonts w:hint="eastAsia"/>
        </w:rPr>
        <w:t>采购资金的支付方式：采购人将按照政府采购合同规定，及时向</w:t>
      </w:r>
      <w:r>
        <w:rPr>
          <w:rFonts w:hint="eastAsia"/>
          <w:lang w:eastAsia="zh-CN"/>
        </w:rPr>
        <w:t>中标人</w:t>
      </w:r>
      <w:r>
        <w:rPr>
          <w:rFonts w:hint="eastAsia"/>
        </w:rPr>
        <w:t>以银行转账方式支付采购资金。对于满足合同约定支付条件的，采购人应当自收到发票后</w:t>
      </w:r>
      <w:r>
        <w:rPr>
          <w:rFonts w:hint="eastAsia"/>
          <w:lang w:val="en-US" w:eastAsia="zh-CN"/>
        </w:rPr>
        <w:t>按照合同约定</w:t>
      </w:r>
      <w:r>
        <w:rPr>
          <w:rFonts w:hint="eastAsia"/>
        </w:rPr>
        <w:t>将资金支付到合同约定的供应商账户，不得以机构变动、人员更替、政策调整等为由延迟付款，不得将</w:t>
      </w:r>
      <w:r>
        <w:rPr>
          <w:rFonts w:hint="eastAsia"/>
          <w:lang w:val="en-US" w:eastAsia="zh-CN"/>
        </w:rPr>
        <w:t>采购</w:t>
      </w:r>
      <w:r>
        <w:rPr>
          <w:rFonts w:hint="eastAsia"/>
        </w:rPr>
        <w:t>文件和合同中未规定的义务作为向供应商付款的条件</w:t>
      </w:r>
      <w:r>
        <w:rPr>
          <w:rFonts w:hint="eastAsia"/>
          <w:lang w:eastAsia="zh-CN"/>
        </w:rPr>
        <w:t>。</w:t>
      </w:r>
    </w:p>
    <w:p>
      <w:pPr>
        <w:pStyle w:val="63"/>
        <w:bidi w:val="0"/>
        <w:rPr>
          <w:rFonts w:hint="eastAsia"/>
        </w:rPr>
      </w:pPr>
      <w:r>
        <w:rPr>
          <w:rFonts w:hint="eastAsia"/>
        </w:rPr>
        <w:t>采购资金的支付时间：</w:t>
      </w:r>
      <w:r>
        <w:rPr>
          <w:rFonts w:hint="eastAsia"/>
          <w:lang w:val="en-US" w:eastAsia="zh-CN"/>
        </w:rPr>
        <w:t>详见招标文件第六章</w:t>
      </w:r>
      <w:r>
        <w:rPr>
          <w:rFonts w:hint="eastAsia"/>
          <w:lang w:eastAsia="zh-CN"/>
        </w:rPr>
        <w:t>。</w:t>
      </w:r>
    </w:p>
    <w:p>
      <w:pPr>
        <w:pStyle w:val="63"/>
        <w:bidi w:val="0"/>
        <w:rPr>
          <w:rFonts w:hint="eastAsia"/>
        </w:rPr>
      </w:pPr>
      <w:r>
        <w:rPr>
          <w:rFonts w:hint="eastAsia"/>
        </w:rPr>
        <w:t>采购资金的支付条件：</w:t>
      </w:r>
      <w:r>
        <w:rPr>
          <w:rFonts w:hint="eastAsia"/>
          <w:lang w:val="en-US" w:eastAsia="zh-CN"/>
        </w:rPr>
        <w:t>详见招标文件第六章</w:t>
      </w:r>
      <w:r>
        <w:rPr>
          <w:rFonts w:hint="eastAsia"/>
          <w:lang w:eastAsia="zh-CN"/>
        </w:rPr>
        <w:t>。</w:t>
      </w:r>
    </w:p>
    <w:p>
      <w:pPr>
        <w:pStyle w:val="43"/>
        <w:bidi w:val="0"/>
        <w:rPr>
          <w:rFonts w:hint="eastAsia"/>
        </w:rPr>
      </w:pPr>
      <w:bookmarkStart w:id="734" w:name="_Toc27770"/>
      <w:bookmarkStart w:id="735" w:name="_Toc15972"/>
      <w:bookmarkStart w:id="736" w:name="_Toc2329"/>
      <w:bookmarkStart w:id="737" w:name="_Toc3955"/>
      <w:r>
        <w:rPr>
          <w:rFonts w:hint="eastAsia"/>
        </w:rPr>
        <w:t>投标纪律要求</w:t>
      </w:r>
      <w:bookmarkEnd w:id="729"/>
      <w:bookmarkEnd w:id="730"/>
      <w:bookmarkEnd w:id="731"/>
      <w:bookmarkEnd w:id="734"/>
      <w:bookmarkEnd w:id="735"/>
      <w:bookmarkEnd w:id="736"/>
      <w:bookmarkEnd w:id="737"/>
    </w:p>
    <w:p>
      <w:pPr>
        <w:pStyle w:val="46"/>
        <w:bidi w:val="0"/>
        <w:rPr>
          <w:rFonts w:hint="eastAsia" w:eastAsia="宋体"/>
          <w:lang w:eastAsia="zh-CN"/>
        </w:rPr>
      </w:pPr>
      <w:bookmarkStart w:id="738" w:name="_Toc11074"/>
      <w:bookmarkStart w:id="739" w:name="_Toc10754"/>
      <w:bookmarkStart w:id="740" w:name="_Toc21018"/>
      <w:bookmarkStart w:id="741" w:name="_Toc17887"/>
      <w:bookmarkStart w:id="742" w:name="_Toc319440154"/>
      <w:bookmarkStart w:id="743" w:name="_Toc319439912"/>
      <w:bookmarkStart w:id="744" w:name="_Toc20490"/>
      <w:bookmarkStart w:id="745" w:name="_Toc307501121"/>
      <w:bookmarkStart w:id="746" w:name="_Toc327196298"/>
      <w:bookmarkStart w:id="747" w:name="_Toc307564864"/>
      <w:bookmarkStart w:id="748" w:name="_Toc308084609"/>
      <w:bookmarkStart w:id="749" w:name="_Toc1828"/>
      <w:bookmarkStart w:id="750" w:name="_Toc308188164"/>
      <w:bookmarkStart w:id="751" w:name="_Toc217446075"/>
      <w:bookmarkStart w:id="752" w:name="_Toc5014"/>
      <w:bookmarkStart w:id="753" w:name="_Toc30964"/>
      <w:bookmarkStart w:id="754" w:name="_Toc309897527"/>
      <w:bookmarkStart w:id="755" w:name="_Toc6284"/>
      <w:bookmarkStart w:id="756" w:name="_Toc27399"/>
      <w:bookmarkStart w:id="757" w:name="_Toc31498"/>
      <w:r>
        <w:rPr>
          <w:rFonts w:hint="eastAsia"/>
        </w:rPr>
        <w:t>投标人不得具有的情形</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r>
        <w:rPr>
          <w:rFonts w:hint="eastAsia"/>
          <w:lang w:eastAsia="zh-CN"/>
        </w:rPr>
        <w:t>：</w:t>
      </w:r>
    </w:p>
    <w:p>
      <w:pPr>
        <w:pStyle w:val="32"/>
        <w:numPr>
          <w:ilvl w:val="1"/>
          <w:numId w:val="18"/>
        </w:numPr>
        <w:bidi w:val="0"/>
        <w:rPr>
          <w:rFonts w:hint="eastAsia"/>
        </w:rPr>
      </w:pPr>
      <w:r>
        <w:rPr>
          <w:rFonts w:hint="eastAsia"/>
        </w:rPr>
        <w:t>提供虚假材料谋取中标；</w:t>
      </w:r>
    </w:p>
    <w:p>
      <w:pPr>
        <w:pStyle w:val="32"/>
        <w:numPr>
          <w:ilvl w:val="1"/>
          <w:numId w:val="18"/>
        </w:numPr>
        <w:bidi w:val="0"/>
        <w:rPr>
          <w:rFonts w:hint="eastAsia"/>
        </w:rPr>
      </w:pPr>
      <w:r>
        <w:rPr>
          <w:rFonts w:hint="eastAsia"/>
        </w:rPr>
        <w:t>采取不正当手段诋毁、排挤其他投标人；</w:t>
      </w:r>
    </w:p>
    <w:p>
      <w:pPr>
        <w:pStyle w:val="32"/>
        <w:numPr>
          <w:ilvl w:val="1"/>
          <w:numId w:val="18"/>
        </w:numPr>
        <w:bidi w:val="0"/>
        <w:rPr>
          <w:rFonts w:hint="eastAsia"/>
        </w:rPr>
      </w:pPr>
      <w:r>
        <w:rPr>
          <w:rFonts w:hint="eastAsia"/>
        </w:rPr>
        <w:t>与招标采购单位、其他投标人恶意串通；</w:t>
      </w:r>
    </w:p>
    <w:p>
      <w:pPr>
        <w:pStyle w:val="32"/>
        <w:numPr>
          <w:ilvl w:val="1"/>
          <w:numId w:val="18"/>
        </w:numPr>
        <w:bidi w:val="0"/>
        <w:rPr>
          <w:rFonts w:hint="eastAsia"/>
        </w:rPr>
      </w:pPr>
      <w:r>
        <w:rPr>
          <w:rFonts w:hint="eastAsia"/>
        </w:rPr>
        <w:t>向招标采购单位、评标委员会成员行贿或者提供其他不正当利益；</w:t>
      </w:r>
    </w:p>
    <w:p>
      <w:pPr>
        <w:pStyle w:val="32"/>
        <w:numPr>
          <w:ilvl w:val="1"/>
          <w:numId w:val="18"/>
        </w:numPr>
        <w:bidi w:val="0"/>
        <w:rPr>
          <w:rFonts w:hint="eastAsia"/>
        </w:rPr>
      </w:pPr>
      <w:r>
        <w:rPr>
          <w:rFonts w:hint="eastAsia"/>
        </w:rPr>
        <w:t>在招标过程中与招标采购单位进行协商谈判；</w:t>
      </w:r>
    </w:p>
    <w:p>
      <w:pPr>
        <w:pStyle w:val="32"/>
        <w:numPr>
          <w:ilvl w:val="1"/>
          <w:numId w:val="18"/>
        </w:numPr>
        <w:bidi w:val="0"/>
        <w:rPr>
          <w:rFonts w:hint="eastAsia"/>
        </w:rPr>
      </w:pPr>
      <w:r>
        <w:rPr>
          <w:rFonts w:hint="eastAsia"/>
        </w:rPr>
        <w:t>中标或者成交后无正当理由拒不与采购人签订政府采购合同；</w:t>
      </w:r>
    </w:p>
    <w:p>
      <w:pPr>
        <w:pStyle w:val="32"/>
        <w:numPr>
          <w:ilvl w:val="1"/>
          <w:numId w:val="18"/>
        </w:numPr>
        <w:bidi w:val="0"/>
        <w:rPr>
          <w:rFonts w:hint="eastAsia"/>
        </w:rPr>
      </w:pPr>
      <w:r>
        <w:rPr>
          <w:rFonts w:hint="eastAsia"/>
        </w:rPr>
        <w:t>未按照采购文件确定的事项签订政府采购合同；</w:t>
      </w:r>
    </w:p>
    <w:p>
      <w:pPr>
        <w:pStyle w:val="32"/>
        <w:numPr>
          <w:ilvl w:val="1"/>
          <w:numId w:val="18"/>
        </w:numPr>
        <w:bidi w:val="0"/>
        <w:rPr>
          <w:rFonts w:hint="eastAsia"/>
        </w:rPr>
      </w:pPr>
      <w:r>
        <w:rPr>
          <w:rFonts w:hint="eastAsia"/>
        </w:rPr>
        <w:t>将政府采购合同转包或者违规分包；</w:t>
      </w:r>
    </w:p>
    <w:p>
      <w:pPr>
        <w:pStyle w:val="32"/>
        <w:numPr>
          <w:ilvl w:val="1"/>
          <w:numId w:val="18"/>
        </w:numPr>
        <w:bidi w:val="0"/>
        <w:rPr>
          <w:rFonts w:hint="eastAsia"/>
        </w:rPr>
      </w:pPr>
      <w:r>
        <w:rPr>
          <w:rFonts w:hint="eastAsia"/>
        </w:rPr>
        <w:t>提供假冒伪劣产品；</w:t>
      </w:r>
    </w:p>
    <w:p>
      <w:pPr>
        <w:pStyle w:val="32"/>
        <w:numPr>
          <w:ilvl w:val="1"/>
          <w:numId w:val="18"/>
        </w:numPr>
        <w:bidi w:val="0"/>
        <w:rPr>
          <w:rFonts w:hint="eastAsia"/>
        </w:rPr>
      </w:pPr>
      <w:r>
        <w:rPr>
          <w:rFonts w:hint="eastAsia"/>
        </w:rPr>
        <w:t>擅自变更、中止或者终止政府采购合同；</w:t>
      </w:r>
    </w:p>
    <w:p>
      <w:pPr>
        <w:pStyle w:val="32"/>
        <w:numPr>
          <w:ilvl w:val="1"/>
          <w:numId w:val="18"/>
        </w:numPr>
        <w:bidi w:val="0"/>
        <w:rPr>
          <w:rFonts w:hint="eastAsia"/>
        </w:rPr>
      </w:pPr>
      <w:r>
        <w:rPr>
          <w:rFonts w:hint="eastAsia"/>
        </w:rPr>
        <w:t>拒绝有关部门的监督检查或者向监督检查部门提供虚假情况；</w:t>
      </w:r>
    </w:p>
    <w:p>
      <w:pPr>
        <w:pStyle w:val="32"/>
        <w:numPr>
          <w:ilvl w:val="1"/>
          <w:numId w:val="18"/>
        </w:numPr>
        <w:bidi w:val="0"/>
        <w:rPr>
          <w:rFonts w:hint="eastAsia"/>
        </w:rPr>
      </w:pPr>
      <w:r>
        <w:rPr>
          <w:rFonts w:hint="eastAsia"/>
        </w:rPr>
        <w:t>法律法规规定的其他情形。</w:t>
      </w:r>
    </w:p>
    <w:p>
      <w:pPr>
        <w:pStyle w:val="42"/>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rPr>
      </w:pPr>
      <w:bookmarkStart w:id="758" w:name="_Toc525"/>
      <w:bookmarkStart w:id="759" w:name="_Toc20327"/>
      <w:bookmarkStart w:id="760" w:name="_Toc8765"/>
      <w:bookmarkStart w:id="761" w:name="_Toc217446078"/>
      <w:r>
        <w:rPr>
          <w:rFonts w:hint="eastAsia"/>
        </w:rPr>
        <w:t>投标人有上述情形的，按照规定追究法律责任，具备</w:t>
      </w:r>
      <w:r>
        <w:rPr>
          <w:rFonts w:hint="eastAsia"/>
          <w:lang w:val="en-US" w:eastAsia="zh-CN"/>
        </w:rPr>
        <w:t>(一)～(十)</w:t>
      </w:r>
      <w:r>
        <w:rPr>
          <w:rFonts w:hint="eastAsia"/>
        </w:rPr>
        <w:t>条情形之一的，同时将取消中标资格或者认定中标无效。</w:t>
      </w:r>
    </w:p>
    <w:bookmarkEnd w:id="758"/>
    <w:bookmarkEnd w:id="759"/>
    <w:bookmarkEnd w:id="760"/>
    <w:p>
      <w:pPr>
        <w:pStyle w:val="43"/>
        <w:bidi w:val="0"/>
        <w:rPr>
          <w:rFonts w:hint="eastAsia"/>
        </w:rPr>
      </w:pPr>
      <w:bookmarkStart w:id="762" w:name="_Toc9837"/>
      <w:r>
        <w:rPr>
          <w:rFonts w:hint="eastAsia"/>
          <w:lang w:val="en-US" w:eastAsia="zh-CN"/>
        </w:rPr>
        <w:t>其他</w:t>
      </w:r>
      <w:bookmarkEnd w:id="762"/>
    </w:p>
    <w:p>
      <w:pPr>
        <w:pStyle w:val="49"/>
        <w:numPr>
          <w:ilvl w:val="2"/>
          <w:numId w:val="19"/>
        </w:numPr>
        <w:bidi w:val="0"/>
        <w:rPr>
          <w:rFonts w:hint="eastAsia"/>
        </w:rPr>
      </w:pPr>
      <w:bookmarkStart w:id="763" w:name="_Toc24434"/>
      <w:bookmarkStart w:id="764" w:name="_Toc414"/>
      <w:bookmarkStart w:id="765" w:name="_Toc12421"/>
      <w:bookmarkStart w:id="766" w:name="_Toc24165"/>
      <w:bookmarkStart w:id="767" w:name="_Toc1652"/>
      <w:bookmarkStart w:id="768" w:name="_Toc23347"/>
      <w:bookmarkStart w:id="769" w:name="_Toc327196301"/>
      <w:bookmarkStart w:id="770" w:name="_Toc21424"/>
      <w:r>
        <w:rPr>
          <w:rFonts w:hint="eastAsia"/>
        </w:rPr>
        <w:t>询问</w:t>
      </w:r>
      <w:bookmarkEnd w:id="763"/>
      <w:bookmarkEnd w:id="764"/>
      <w:bookmarkEnd w:id="765"/>
      <w:bookmarkEnd w:id="766"/>
      <w:bookmarkEnd w:id="767"/>
      <w:r>
        <w:rPr>
          <w:rFonts w:hint="eastAsia"/>
          <w:lang w:eastAsia="zh-CN"/>
        </w:rPr>
        <w:t>、</w:t>
      </w:r>
      <w:r>
        <w:rPr>
          <w:rFonts w:hint="eastAsia"/>
          <w:lang w:val="en-US" w:eastAsia="zh-CN"/>
        </w:rPr>
        <w:t>质疑和投诉</w:t>
      </w:r>
      <w:bookmarkEnd w:id="768"/>
    </w:p>
    <w:bookmarkEnd w:id="732"/>
    <w:bookmarkEnd w:id="733"/>
    <w:bookmarkEnd w:id="761"/>
    <w:bookmarkEnd w:id="769"/>
    <w:bookmarkEnd w:id="770"/>
    <w:p>
      <w:pPr>
        <w:pStyle w:val="46"/>
        <w:keepNext w:val="0"/>
        <w:keepLines w:val="0"/>
        <w:pageBreakBefore w:val="0"/>
        <w:widowControl w:val="0"/>
        <w:kinsoku/>
        <w:wordWrap w:val="0"/>
        <w:overflowPunct/>
        <w:topLinePunct/>
        <w:autoSpaceDE/>
        <w:autoSpaceDN/>
        <w:bidi w:val="0"/>
        <w:adjustRightInd w:val="0"/>
        <w:snapToGrid w:val="0"/>
        <w:ind w:left="0" w:leftChars="0" w:firstLine="480" w:firstLineChars="200"/>
        <w:jc w:val="left"/>
        <w:textAlignment w:val="auto"/>
        <w:rPr>
          <w:rFonts w:hint="eastAsia"/>
        </w:rPr>
      </w:pPr>
      <w:r>
        <w:rPr>
          <w:rFonts w:hint="eastAsia"/>
          <w:lang w:val="en-US" w:eastAsia="zh-CN"/>
        </w:rPr>
        <w:t>具体详见投标人须知前附表</w:t>
      </w:r>
      <w:r>
        <w:rPr>
          <w:rFonts w:hint="eastAsia"/>
        </w:rPr>
        <w:t>。</w:t>
      </w:r>
    </w:p>
    <w:p>
      <w:pPr>
        <w:pStyle w:val="49"/>
        <w:numPr>
          <w:ilvl w:val="2"/>
          <w:numId w:val="19"/>
        </w:numPr>
        <w:bidi w:val="0"/>
        <w:rPr>
          <w:rFonts w:hint="eastAsia"/>
        </w:rPr>
      </w:pPr>
      <w:bookmarkStart w:id="771" w:name="_Toc22454"/>
      <w:bookmarkStart w:id="772" w:name="_Toc27417"/>
      <w:bookmarkStart w:id="773" w:name="_Toc11851"/>
      <w:bookmarkStart w:id="774" w:name="_Toc8852"/>
      <w:r>
        <w:rPr>
          <w:rFonts w:hint="eastAsia"/>
        </w:rPr>
        <w:t>关于行贿犯罪档案查询工作的规定</w:t>
      </w:r>
      <w:bookmarkEnd w:id="771"/>
      <w:bookmarkEnd w:id="772"/>
      <w:bookmarkEnd w:id="773"/>
      <w:bookmarkEnd w:id="774"/>
    </w:p>
    <w:p>
      <w:pPr>
        <w:pStyle w:val="46"/>
        <w:bidi w:val="0"/>
        <w:rPr>
          <w:rFonts w:hint="eastAsia"/>
          <w:lang w:val="en-US"/>
        </w:rPr>
      </w:pPr>
      <w:bookmarkStart w:id="775" w:name="_Toc25217"/>
      <w:bookmarkStart w:id="776" w:name="_Toc24870"/>
      <w:bookmarkStart w:id="777" w:name="_Toc5589"/>
      <w:r>
        <w:rPr>
          <w:rFonts w:hint="eastAsia"/>
          <w:lang w:val="en-US" w:eastAsia="zh-CN"/>
        </w:rPr>
        <w:t>因国家检察机关职务犯罪侦查部门转隶工作已经完成，供应商参与采购活动时须按照采购文件要求提供承诺函或由</w:t>
      </w:r>
      <w:r>
        <w:rPr>
          <w:rFonts w:hint="eastAsia"/>
        </w:rPr>
        <w:t>采购代理机构通过</w:t>
      </w:r>
      <w:r>
        <w:rPr>
          <w:rFonts w:hint="eastAsia"/>
          <w:lang w:val="en-US" w:eastAsia="zh-CN"/>
        </w:rPr>
        <w:t>“中国裁判文书网”查询</w:t>
      </w:r>
      <w:r>
        <w:rPr>
          <w:rFonts w:hint="eastAsia"/>
        </w:rPr>
        <w:t>，并将查询记录存档</w:t>
      </w:r>
      <w:r>
        <w:rPr>
          <w:rFonts w:hint="eastAsia"/>
          <w:lang w:val="en-US" w:eastAsia="zh-CN"/>
        </w:rPr>
        <w:t>。</w:t>
      </w:r>
    </w:p>
    <w:p>
      <w:pPr>
        <w:pStyle w:val="49"/>
        <w:numPr>
          <w:ilvl w:val="2"/>
          <w:numId w:val="19"/>
        </w:numPr>
        <w:bidi w:val="0"/>
        <w:rPr>
          <w:rFonts w:hint="eastAsia"/>
          <w:lang w:val="en-US" w:eastAsia="zh-CN"/>
        </w:rPr>
      </w:pPr>
      <w:bookmarkStart w:id="778" w:name="_Toc22968"/>
      <w:r>
        <w:rPr>
          <w:rFonts w:hint="eastAsia"/>
          <w:lang w:val="en-US" w:eastAsia="zh-CN"/>
        </w:rPr>
        <w:t>串通投标的情形</w:t>
      </w:r>
      <w:bookmarkEnd w:id="775"/>
      <w:bookmarkEnd w:id="776"/>
      <w:bookmarkEnd w:id="778"/>
    </w:p>
    <w:p>
      <w:pPr>
        <w:pStyle w:val="46"/>
        <w:bidi w:val="0"/>
        <w:rPr>
          <w:rFonts w:hint="eastAsia"/>
        </w:rPr>
      </w:pPr>
      <w:r>
        <w:rPr>
          <w:rFonts w:hint="eastAsia"/>
        </w:rPr>
        <w:t>有下列情形之一的，视为投标人串通投标，其投标无效</w:t>
      </w:r>
      <w:r>
        <w:rPr>
          <w:rFonts w:hint="eastAsia"/>
          <w:lang w:eastAsia="zh-CN"/>
        </w:rPr>
        <w:t>。</w:t>
      </w:r>
    </w:p>
    <w:p>
      <w:pPr>
        <w:pStyle w:val="46"/>
        <w:bidi w:val="0"/>
        <w:rPr>
          <w:rFonts w:hint="eastAsia"/>
        </w:rPr>
      </w:pPr>
      <w:r>
        <w:rPr>
          <w:rFonts w:hint="eastAsia"/>
          <w:lang w:val="en-US" w:eastAsia="zh-CN"/>
        </w:rPr>
        <w:t>1.</w:t>
      </w:r>
      <w:r>
        <w:rPr>
          <w:rFonts w:hint="eastAsia"/>
        </w:rPr>
        <w:t>不同投标人的投标文件由同一单位或者个人编制；</w:t>
      </w:r>
    </w:p>
    <w:p>
      <w:pPr>
        <w:pStyle w:val="46"/>
        <w:bidi w:val="0"/>
        <w:rPr>
          <w:rFonts w:hint="eastAsia"/>
        </w:rPr>
      </w:pPr>
      <w:r>
        <w:rPr>
          <w:rFonts w:hint="eastAsia"/>
          <w:lang w:val="en-US" w:eastAsia="zh-CN"/>
        </w:rPr>
        <w:t>2.</w:t>
      </w:r>
      <w:r>
        <w:rPr>
          <w:rFonts w:hint="eastAsia"/>
        </w:rPr>
        <w:t>不同投标人委托同一单位或者个人办理投标事宜；</w:t>
      </w:r>
    </w:p>
    <w:p>
      <w:pPr>
        <w:pStyle w:val="46"/>
        <w:bidi w:val="0"/>
        <w:rPr>
          <w:rFonts w:hint="eastAsia"/>
        </w:rPr>
      </w:pPr>
      <w:r>
        <w:rPr>
          <w:rFonts w:hint="eastAsia"/>
          <w:lang w:val="en-US" w:eastAsia="zh-CN"/>
        </w:rPr>
        <w:t>3.</w:t>
      </w:r>
      <w:r>
        <w:rPr>
          <w:rFonts w:hint="eastAsia"/>
        </w:rPr>
        <w:t>不同投标人的投标文件载明的项目管理成员或者联系人员为同一人；</w:t>
      </w:r>
    </w:p>
    <w:p>
      <w:pPr>
        <w:pStyle w:val="46"/>
        <w:bidi w:val="0"/>
        <w:rPr>
          <w:rFonts w:hint="eastAsia"/>
        </w:rPr>
      </w:pPr>
      <w:r>
        <w:rPr>
          <w:rFonts w:hint="eastAsia"/>
          <w:lang w:val="en-US" w:eastAsia="zh-CN"/>
        </w:rPr>
        <w:t>4.</w:t>
      </w:r>
      <w:r>
        <w:rPr>
          <w:rFonts w:hint="eastAsia"/>
        </w:rPr>
        <w:t>不同投标人的投标文件异常一致或者投标报价呈规律性差异；</w:t>
      </w:r>
    </w:p>
    <w:p>
      <w:pPr>
        <w:pStyle w:val="46"/>
        <w:bidi w:val="0"/>
        <w:rPr>
          <w:rFonts w:hint="eastAsia"/>
        </w:rPr>
      </w:pPr>
      <w:r>
        <w:rPr>
          <w:rFonts w:hint="eastAsia"/>
          <w:lang w:val="en-US" w:eastAsia="zh-CN"/>
        </w:rPr>
        <w:t>5.</w:t>
      </w:r>
      <w:r>
        <w:rPr>
          <w:rFonts w:hint="eastAsia"/>
        </w:rPr>
        <w:t>不同投标人的投标文件相互混装；</w:t>
      </w:r>
    </w:p>
    <w:p>
      <w:pPr>
        <w:pStyle w:val="46"/>
        <w:bidi w:val="0"/>
        <w:rPr>
          <w:rFonts w:hint="eastAsia"/>
        </w:rPr>
      </w:pPr>
      <w:r>
        <w:rPr>
          <w:rFonts w:hint="eastAsia"/>
          <w:lang w:val="en-US" w:eastAsia="zh-CN"/>
        </w:rPr>
        <w:t>6.</w:t>
      </w:r>
      <w:r>
        <w:rPr>
          <w:rFonts w:hint="eastAsia"/>
        </w:rPr>
        <w:t>不同投标人的投标保证金从同一单位或者个人的账户转出。</w:t>
      </w:r>
    </w:p>
    <w:p>
      <w:pPr>
        <w:pStyle w:val="49"/>
        <w:numPr>
          <w:ilvl w:val="2"/>
          <w:numId w:val="19"/>
        </w:numPr>
        <w:bidi w:val="0"/>
        <w:rPr>
          <w:rFonts w:hint="eastAsia"/>
          <w:lang w:val="en-US" w:eastAsia="zh-CN"/>
        </w:rPr>
      </w:pPr>
      <w:bookmarkStart w:id="779" w:name="_Toc16007"/>
      <w:bookmarkStart w:id="780" w:name="_Toc10983"/>
      <w:bookmarkStart w:id="781" w:name="_Toc22192"/>
      <w:bookmarkStart w:id="782" w:name="_Toc17038"/>
      <w:bookmarkStart w:id="783" w:name="_Toc32334"/>
      <w:r>
        <w:rPr>
          <w:rFonts w:hint="eastAsia"/>
          <w:lang w:val="en-US" w:eastAsia="zh-CN"/>
        </w:rPr>
        <w:t>投标人信用信息查询</w:t>
      </w:r>
      <w:bookmarkEnd w:id="779"/>
      <w:bookmarkEnd w:id="780"/>
      <w:bookmarkEnd w:id="781"/>
      <w:bookmarkEnd w:id="782"/>
      <w:bookmarkEnd w:id="783"/>
    </w:p>
    <w:p>
      <w:pPr>
        <w:pStyle w:val="32"/>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lang w:val="en-US" w:eastAsia="zh-CN"/>
        </w:rPr>
      </w:pPr>
      <w:r>
        <w:rPr>
          <w:rFonts w:hint="eastAsia"/>
          <w:lang w:val="en-US" w:eastAsia="zh-CN"/>
        </w:rPr>
        <w:t>1.投标人信用信息查询渠道</w:t>
      </w:r>
    </w:p>
    <w:p>
      <w:pPr>
        <w:pStyle w:val="46"/>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rPr>
      </w:pPr>
      <w:r>
        <w:rPr>
          <w:rFonts w:hint="eastAsia"/>
        </w:rPr>
        <w:t>“信用中国”网站(www.creditchina.gov.cn)、</w:t>
      </w:r>
      <w:r>
        <w:rPr>
          <w:rFonts w:hint="eastAsia"/>
          <w:lang w:eastAsia="zh-CN"/>
        </w:rPr>
        <w:t>“</w:t>
      </w:r>
      <w:r>
        <w:rPr>
          <w:rFonts w:hint="eastAsia"/>
        </w:rPr>
        <w:t>中国政府采购网</w:t>
      </w:r>
      <w:r>
        <w:rPr>
          <w:rFonts w:hint="eastAsia"/>
          <w:lang w:eastAsia="zh-CN"/>
        </w:rPr>
        <w:t>”</w:t>
      </w:r>
      <w:r>
        <w:rPr>
          <w:rFonts w:hint="eastAsia"/>
        </w:rPr>
        <w:t>(www.ccgp.gov.cn)等。</w:t>
      </w:r>
    </w:p>
    <w:p>
      <w:pPr>
        <w:pStyle w:val="32"/>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lang w:val="en-US" w:eastAsia="zh-CN"/>
        </w:rPr>
      </w:pPr>
      <w:r>
        <w:rPr>
          <w:rFonts w:hint="eastAsia"/>
          <w:lang w:val="en-US" w:eastAsia="zh-CN"/>
        </w:rPr>
        <w:t>2.投标人信用信息查询截止时点</w:t>
      </w:r>
    </w:p>
    <w:p>
      <w:pPr>
        <w:pStyle w:val="46"/>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lang w:val="en-US" w:eastAsia="zh-CN"/>
        </w:rPr>
      </w:pPr>
      <w:r>
        <w:rPr>
          <w:rFonts w:hint="eastAsia"/>
          <w:lang w:val="en-US" w:eastAsia="zh-CN"/>
        </w:rPr>
        <w:t>信用信息查询在资格审查阶段完成。</w:t>
      </w:r>
    </w:p>
    <w:p>
      <w:pPr>
        <w:pStyle w:val="32"/>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lang w:val="en-US" w:eastAsia="zh-CN"/>
        </w:rPr>
      </w:pPr>
      <w:r>
        <w:rPr>
          <w:rFonts w:hint="eastAsia"/>
          <w:lang w:val="en-US" w:eastAsia="zh-CN"/>
        </w:rPr>
        <w:t>3.投标人信用信息查询记录和证据留存的具体方式</w:t>
      </w:r>
    </w:p>
    <w:p>
      <w:pPr>
        <w:pStyle w:val="46"/>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lang w:val="en-US" w:eastAsia="zh-CN"/>
        </w:rPr>
      </w:pPr>
      <w:r>
        <w:rPr>
          <w:rFonts w:hint="eastAsia"/>
        </w:rPr>
        <w:t>采购代理机构通过</w:t>
      </w:r>
      <w:r>
        <w:rPr>
          <w:rFonts w:hint="eastAsia"/>
          <w:lang w:eastAsia="zh-CN"/>
        </w:rPr>
        <w:t>“</w:t>
      </w:r>
      <w:r>
        <w:rPr>
          <w:rFonts w:hint="eastAsia"/>
        </w:rPr>
        <w:t>信用中国</w:t>
      </w:r>
      <w:r>
        <w:rPr>
          <w:rFonts w:hint="eastAsia"/>
          <w:lang w:eastAsia="zh-CN"/>
        </w:rPr>
        <w:t>”</w:t>
      </w:r>
      <w:r>
        <w:rPr>
          <w:rFonts w:hint="eastAsia"/>
        </w:rPr>
        <w:t>网站、</w:t>
      </w:r>
      <w:r>
        <w:rPr>
          <w:rFonts w:hint="eastAsia"/>
          <w:lang w:eastAsia="zh-CN"/>
        </w:rPr>
        <w:t>“</w:t>
      </w:r>
      <w:r>
        <w:rPr>
          <w:rFonts w:hint="eastAsia"/>
        </w:rPr>
        <w:t>中国政府采购网</w:t>
      </w:r>
      <w:r>
        <w:rPr>
          <w:rFonts w:hint="eastAsia"/>
          <w:lang w:eastAsia="zh-CN"/>
        </w:rPr>
        <w:t>”</w:t>
      </w:r>
      <w:r>
        <w:rPr>
          <w:rFonts w:hint="eastAsia"/>
        </w:rPr>
        <w:t>等渠道对供应商进行信用记录查询，并将查询记录存档。</w:t>
      </w:r>
    </w:p>
    <w:p>
      <w:pPr>
        <w:pStyle w:val="32"/>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lang w:val="en-US" w:eastAsia="zh-CN"/>
        </w:rPr>
      </w:pPr>
      <w:r>
        <w:rPr>
          <w:rFonts w:hint="eastAsia"/>
          <w:lang w:val="en-US" w:eastAsia="zh-CN"/>
        </w:rPr>
        <w:t>4.投标人信用信息的使用：</w:t>
      </w:r>
      <w:r>
        <w:rPr>
          <w:rFonts w:hint="eastAsia"/>
        </w:rPr>
        <w:t>凡被列入失信被执行人、重大税收违法案件当事人名单、政府采购严重违法失信行为记录名单的，视为存在不良信用记录，参与本项目的将被拒绝</w:t>
      </w:r>
      <w:r>
        <w:rPr>
          <w:rFonts w:hint="eastAsia"/>
          <w:lang w:val="en-US" w:eastAsia="zh-CN"/>
        </w:rPr>
        <w:t>。</w:t>
      </w:r>
    </w:p>
    <w:p>
      <w:pPr>
        <w:pStyle w:val="49"/>
        <w:numPr>
          <w:ilvl w:val="2"/>
          <w:numId w:val="19"/>
        </w:numPr>
        <w:bidi w:val="0"/>
        <w:rPr>
          <w:rFonts w:hint="eastAsia"/>
          <w:lang w:val="en-US" w:eastAsia="zh-CN"/>
        </w:rPr>
      </w:pPr>
      <w:bookmarkStart w:id="784" w:name="_Toc6985"/>
      <w:r>
        <w:rPr>
          <w:rFonts w:hint="eastAsia"/>
          <w:lang w:val="en-US" w:eastAsia="zh-CN"/>
        </w:rPr>
        <w:t>保密</w:t>
      </w:r>
      <w:bookmarkEnd w:id="784"/>
    </w:p>
    <w:p>
      <w:pPr>
        <w:pStyle w:val="10"/>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1.</w:t>
      </w:r>
      <w:r>
        <w:rPr>
          <w:rFonts w:hint="eastAsia" w:cstheme="minorBidi"/>
          <w:kern w:val="2"/>
          <w:sz w:val="24"/>
          <w:szCs w:val="24"/>
          <w:lang w:val="en-US" w:eastAsia="zh-CN" w:bidi="ar-SA"/>
        </w:rPr>
        <w:t>投标人</w:t>
      </w:r>
      <w:r>
        <w:rPr>
          <w:rFonts w:hint="eastAsia" w:ascii="宋体" w:hAnsi="宋体" w:eastAsia="宋体" w:cstheme="minorBidi"/>
          <w:kern w:val="2"/>
          <w:sz w:val="24"/>
          <w:szCs w:val="24"/>
          <w:lang w:val="en-US" w:eastAsia="zh-CN" w:bidi="ar-SA"/>
        </w:rPr>
        <w:t>不得透露有关成功</w:t>
      </w:r>
      <w:r>
        <w:rPr>
          <w:rFonts w:hint="eastAsia" w:cstheme="minorBidi"/>
          <w:kern w:val="2"/>
          <w:sz w:val="24"/>
          <w:szCs w:val="24"/>
          <w:lang w:val="en-US" w:eastAsia="zh-CN" w:bidi="ar-SA"/>
        </w:rPr>
        <w:t>获取采购文件</w:t>
      </w:r>
      <w:r>
        <w:rPr>
          <w:rFonts w:hint="eastAsia" w:ascii="宋体" w:hAnsi="宋体" w:eastAsia="宋体" w:cstheme="minorBidi"/>
          <w:kern w:val="2"/>
          <w:sz w:val="24"/>
          <w:szCs w:val="24"/>
          <w:lang w:val="en-US" w:eastAsia="zh-CN" w:bidi="ar-SA"/>
        </w:rPr>
        <w:t>的潜在投标人的任何情况。</w:t>
      </w:r>
    </w:p>
    <w:p>
      <w:pPr>
        <w:pStyle w:val="10"/>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2.</w:t>
      </w:r>
      <w:r>
        <w:rPr>
          <w:rFonts w:hint="eastAsia" w:cstheme="minorBidi"/>
          <w:kern w:val="2"/>
          <w:sz w:val="24"/>
          <w:szCs w:val="24"/>
          <w:lang w:val="en-US" w:eastAsia="zh-CN" w:bidi="ar-SA"/>
        </w:rPr>
        <w:t>投标人</w:t>
      </w:r>
      <w:r>
        <w:rPr>
          <w:rFonts w:hint="eastAsia" w:ascii="宋体" w:hAnsi="宋体" w:eastAsia="宋体" w:cstheme="minorBidi"/>
          <w:kern w:val="2"/>
          <w:sz w:val="24"/>
          <w:szCs w:val="24"/>
          <w:lang w:val="en-US" w:eastAsia="zh-CN" w:bidi="ar-SA"/>
        </w:rPr>
        <w:t>有关投标文件的审查、澄清、评估和比较以及合同授予意向等情况</w:t>
      </w:r>
      <w:r>
        <w:rPr>
          <w:rFonts w:hint="eastAsia" w:cstheme="minorBidi"/>
          <w:kern w:val="2"/>
          <w:sz w:val="24"/>
          <w:szCs w:val="24"/>
          <w:lang w:val="en-US" w:eastAsia="zh-CN" w:bidi="ar-SA"/>
        </w:rPr>
        <w:t>均</w:t>
      </w:r>
      <w:r>
        <w:rPr>
          <w:rFonts w:hint="eastAsia" w:ascii="宋体" w:hAnsi="宋体" w:eastAsia="宋体" w:cstheme="minorBidi"/>
          <w:kern w:val="2"/>
          <w:sz w:val="24"/>
          <w:szCs w:val="24"/>
          <w:lang w:val="en-US" w:eastAsia="zh-CN" w:bidi="ar-SA"/>
        </w:rPr>
        <w:t>不得对外透露。</w:t>
      </w:r>
    </w:p>
    <w:p>
      <w:pPr>
        <w:pStyle w:val="49"/>
        <w:numPr>
          <w:ilvl w:val="2"/>
          <w:numId w:val="19"/>
        </w:numPr>
        <w:bidi w:val="0"/>
        <w:rPr>
          <w:rFonts w:hint="eastAsia"/>
          <w:lang w:val="en-US" w:eastAsia="zh-CN"/>
        </w:rPr>
      </w:pPr>
      <w:bookmarkStart w:id="785" w:name="_Toc25123"/>
      <w:r>
        <w:rPr>
          <w:rFonts w:hint="eastAsia"/>
          <w:lang w:val="en-US" w:eastAsia="zh-CN"/>
        </w:rPr>
        <w:t>回避</w:t>
      </w:r>
      <w:bookmarkEnd w:id="785"/>
    </w:p>
    <w:p>
      <w:pPr>
        <w:pStyle w:val="19"/>
        <w:keepNext w:val="0"/>
        <w:keepLines w:val="0"/>
        <w:pageBreakBefore w:val="0"/>
        <w:widowControl w:val="0"/>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center"/>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在政府采购活动中，采购人员及相关人员与供应商有下列利害关系之一的，应当回避：</w:t>
      </w:r>
    </w:p>
    <w:p>
      <w:pPr>
        <w:pStyle w:val="19"/>
        <w:keepNext w:val="0"/>
        <w:keepLines w:val="0"/>
        <w:pageBreakBefore w:val="0"/>
        <w:widowControl w:val="0"/>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center"/>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1.参加采购活动前3年内与供应商存在劳动关系；</w:t>
      </w:r>
    </w:p>
    <w:p>
      <w:pPr>
        <w:pStyle w:val="19"/>
        <w:keepNext w:val="0"/>
        <w:keepLines w:val="0"/>
        <w:pageBreakBefore w:val="0"/>
        <w:widowControl w:val="0"/>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center"/>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2.参加采购活动前3年内担任供应商的董事、监事；</w:t>
      </w:r>
    </w:p>
    <w:p>
      <w:pPr>
        <w:pStyle w:val="19"/>
        <w:keepNext w:val="0"/>
        <w:keepLines w:val="0"/>
        <w:pageBreakBefore w:val="0"/>
        <w:widowControl w:val="0"/>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center"/>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3.参加采购活动前3年内是供应商的控股股东或者实际控制人；</w:t>
      </w:r>
    </w:p>
    <w:p>
      <w:pPr>
        <w:pStyle w:val="19"/>
        <w:keepNext w:val="0"/>
        <w:keepLines w:val="0"/>
        <w:pageBreakBefore w:val="0"/>
        <w:widowControl w:val="0"/>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center"/>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4.与供应商的法定代表人或者负责人有夫妻、直系血亲、三代以内旁系血亲或者近姻亲关系；</w:t>
      </w:r>
    </w:p>
    <w:p>
      <w:pPr>
        <w:pStyle w:val="19"/>
        <w:keepNext w:val="0"/>
        <w:keepLines w:val="0"/>
        <w:pageBreakBefore w:val="0"/>
        <w:widowControl w:val="0"/>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jc w:val="both"/>
        <w:textAlignment w:val="center"/>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5.与供应商有其他可能影响政府采购活动公平、公正进行的关系。</w:t>
      </w:r>
    </w:p>
    <w:p>
      <w:pPr>
        <w:pStyle w:val="10"/>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default"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9"/>
        <w:numPr>
          <w:ilvl w:val="2"/>
          <w:numId w:val="19"/>
        </w:numPr>
        <w:bidi w:val="0"/>
        <w:rPr>
          <w:rFonts w:hint="eastAsia"/>
          <w:lang w:val="en-US" w:eastAsia="zh-CN"/>
        </w:rPr>
      </w:pPr>
      <w:bookmarkStart w:id="786" w:name="_Toc14883"/>
      <w:r>
        <w:rPr>
          <w:rFonts w:hint="eastAsia"/>
          <w:lang w:val="en-US" w:eastAsia="zh-CN"/>
        </w:rPr>
        <w:t>解释说明</w:t>
      </w:r>
      <w:bookmarkEnd w:id="786"/>
    </w:p>
    <w:p>
      <w:pPr>
        <w:pStyle w:val="32"/>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rPr>
      </w:pPr>
      <w:r>
        <w:rPr>
          <w:rFonts w:hint="eastAsia"/>
          <w:lang w:val="en-US" w:eastAsia="zh-CN"/>
        </w:rPr>
        <w:t>1.</w:t>
      </w:r>
      <w:r>
        <w:rPr>
          <w:rFonts w:hint="eastAsia"/>
        </w:rPr>
        <w:t>本</w:t>
      </w:r>
      <w:r>
        <w:rPr>
          <w:rFonts w:hint="eastAsia"/>
          <w:lang w:val="en-US" w:eastAsia="zh-CN"/>
        </w:rPr>
        <w:t>招标文件</w:t>
      </w:r>
      <w:r>
        <w:rPr>
          <w:rFonts w:hint="eastAsia"/>
        </w:rPr>
        <w:t>中作为实质性要求的内容，除明确要求</w:t>
      </w:r>
      <w:r>
        <w:rPr>
          <w:rFonts w:hint="eastAsia"/>
          <w:lang w:val="en-US" w:eastAsia="zh-CN"/>
        </w:rPr>
        <w:t>需在投标时</w:t>
      </w:r>
      <w:r>
        <w:rPr>
          <w:rFonts w:hint="eastAsia"/>
        </w:rPr>
        <w:t>提供承诺函等证明材料的外，采购人或采购代理机构或评标委员会在评审时，仅对投标文件是否违背实质性要求进行审查</w:t>
      </w:r>
      <w:r>
        <w:rPr>
          <w:rFonts w:hint="eastAsia"/>
          <w:lang w:eastAsia="zh-CN"/>
        </w:rPr>
        <w:t>，</w:t>
      </w:r>
      <w:r>
        <w:rPr>
          <w:rFonts w:hint="eastAsia"/>
          <w:lang w:val="en-US" w:eastAsia="zh-CN"/>
        </w:rPr>
        <w:t>如该项未</w:t>
      </w:r>
      <w:r>
        <w:rPr>
          <w:rFonts w:hint="eastAsia"/>
        </w:rPr>
        <w:t>违背实质性</w:t>
      </w:r>
      <w:r>
        <w:rPr>
          <w:rFonts w:hint="eastAsia"/>
          <w:lang w:val="en-US" w:eastAsia="zh-CN"/>
        </w:rPr>
        <w:t>要求，视为满足实质性要求</w:t>
      </w:r>
      <w:r>
        <w:rPr>
          <w:rFonts w:hint="eastAsia"/>
        </w:rPr>
        <w:t>。</w:t>
      </w:r>
    </w:p>
    <w:p>
      <w:pPr>
        <w:pStyle w:val="32"/>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rPr>
      </w:pPr>
      <w:r>
        <w:rPr>
          <w:rFonts w:hint="eastAsia"/>
          <w:lang w:val="en-US" w:eastAsia="zh-CN"/>
        </w:rPr>
        <w:t>2.</w:t>
      </w:r>
      <w:r>
        <w:rPr>
          <w:rFonts w:hint="eastAsia"/>
        </w:rPr>
        <w:t>本招标文件中所引</w:t>
      </w:r>
      <w:r>
        <w:rPr>
          <w:rFonts w:hint="eastAsia"/>
          <w:lang w:val="en-US" w:eastAsia="zh-CN"/>
        </w:rPr>
        <w:t>用的</w:t>
      </w:r>
      <w:r>
        <w:rPr>
          <w:rFonts w:hint="eastAsia"/>
        </w:rPr>
        <w:t>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按照变化后的相关法律制度规定执行，本招标文件不再做调整。</w:t>
      </w:r>
    </w:p>
    <w:p>
      <w:pPr>
        <w:pStyle w:val="32"/>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rPr>
      </w:pPr>
      <w:r>
        <w:rPr>
          <w:rFonts w:hint="eastAsia"/>
          <w:lang w:val="en-US" w:eastAsia="zh-CN"/>
        </w:rPr>
        <w:t>3.</w:t>
      </w:r>
      <w:r>
        <w:rPr>
          <w:rFonts w:hint="eastAsia"/>
        </w:rPr>
        <w:t>国家或行业主管部门对供应商和采购产品的技术标准、质量标准和资格资质条件等有强制性规定的，必须符合其要求</w:t>
      </w:r>
      <w:r>
        <w:rPr>
          <w:rFonts w:hint="eastAsia"/>
          <w:b/>
          <w:bCs/>
          <w:lang w:eastAsia="zh-CN"/>
        </w:rPr>
        <w:t>(</w:t>
      </w:r>
      <w:r>
        <w:rPr>
          <w:rFonts w:hint="eastAsia"/>
          <w:b/>
          <w:bCs/>
        </w:rPr>
        <w:t>实质性要求</w:t>
      </w:r>
      <w:r>
        <w:rPr>
          <w:rFonts w:hint="eastAsia"/>
          <w:b/>
          <w:bCs/>
          <w:lang w:eastAsia="zh-CN"/>
        </w:rPr>
        <w:t>)</w:t>
      </w:r>
      <w:r>
        <w:rPr>
          <w:rFonts w:hint="eastAsia"/>
        </w:rPr>
        <w:t>。</w:t>
      </w:r>
    </w:p>
    <w:p>
      <w:pPr>
        <w:pStyle w:val="32"/>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pPr>
      <w:r>
        <w:rPr>
          <w:rFonts w:hint="eastAsia" w:eastAsia="宋体"/>
          <w:lang w:val="en-US" w:eastAsia="zh-CN"/>
        </w:rPr>
        <w:t>4.</w:t>
      </w:r>
      <w:r>
        <w:rPr>
          <w:rFonts w:hint="eastAsia" w:ascii="宋体" w:hAnsi="宋体" w:eastAsia="宋体" w:cs="宋体"/>
          <w:sz w:val="24"/>
          <w:szCs w:val="24"/>
          <w:lang w:val="en-US" w:eastAsia="zh-CN"/>
        </w:rPr>
        <w:t>本项目涉及企业资质、产品认证、人员执业资格等描述与国家最新要求不一致时以最新要求为准。</w:t>
      </w:r>
    </w:p>
    <w:p>
      <w:pPr>
        <w:pStyle w:val="48"/>
        <w:numPr>
          <w:ilvl w:val="0"/>
          <w:numId w:val="13"/>
        </w:numPr>
        <w:bidi w:val="0"/>
        <w:rPr>
          <w:rFonts w:hint="eastAsia"/>
        </w:rPr>
      </w:pPr>
      <w:r>
        <w:rPr>
          <w:rFonts w:hint="eastAsia"/>
        </w:rPr>
        <w:br w:type="page"/>
      </w:r>
      <w:bookmarkEnd w:id="777"/>
      <w:bookmarkStart w:id="787" w:name="_Toc31402"/>
      <w:bookmarkStart w:id="788" w:name="_Toc8357"/>
      <w:bookmarkStart w:id="789" w:name="_Toc4206"/>
      <w:bookmarkStart w:id="790" w:name="_Toc29575"/>
      <w:bookmarkStart w:id="791" w:name="_Toc25961"/>
      <w:r>
        <w:rPr>
          <w:rFonts w:hint="eastAsia"/>
        </w:rPr>
        <w:t>投标文件格式</w:t>
      </w:r>
      <w:bookmarkEnd w:id="787"/>
      <w:bookmarkEnd w:id="788"/>
      <w:bookmarkEnd w:id="789"/>
      <w:bookmarkEnd w:id="790"/>
      <w:bookmarkEnd w:id="791"/>
    </w:p>
    <w:p>
      <w:pPr>
        <w:pStyle w:val="50"/>
        <w:bidi w:val="0"/>
        <w:rPr>
          <w:rFonts w:hint="eastAsia"/>
        </w:rPr>
      </w:pPr>
      <w:bookmarkStart w:id="792" w:name="_Toc287367101"/>
      <w:bookmarkStart w:id="793" w:name="_Toc182629023"/>
      <w:bookmarkStart w:id="794" w:name="_Toc211218954"/>
      <w:bookmarkStart w:id="795" w:name="_Toc294688711"/>
      <w:bookmarkStart w:id="796" w:name="_Toc16460"/>
      <w:bookmarkStart w:id="797" w:name="_Toc294701519"/>
      <w:bookmarkStart w:id="798" w:name="_Toc439161746"/>
      <w:bookmarkStart w:id="799" w:name="_Toc295978802"/>
      <w:bookmarkStart w:id="800" w:name="_Toc182759327"/>
      <w:bookmarkStart w:id="801" w:name="_Toc316462354"/>
      <w:r>
        <w:rPr>
          <w:rFonts w:hint="eastAsia"/>
        </w:rPr>
        <w:t>一、本章所制</w:t>
      </w:r>
      <w:r>
        <w:rPr>
          <w:rFonts w:hint="eastAsia"/>
          <w:lang w:val="en-US" w:eastAsia="zh-CN"/>
        </w:rPr>
        <w:t>投标</w:t>
      </w:r>
      <w:r>
        <w:rPr>
          <w:rFonts w:hint="eastAsia"/>
        </w:rPr>
        <w:t>文件格式，除格式中明确将该格式作为实质性要求的，一律不具有强制性。</w:t>
      </w:r>
    </w:p>
    <w:p>
      <w:pPr>
        <w:pStyle w:val="50"/>
        <w:bidi w:val="0"/>
        <w:rPr>
          <w:rFonts w:hint="eastAsia"/>
        </w:rPr>
      </w:pPr>
      <w:r>
        <w:rPr>
          <w:rFonts w:hint="eastAsia"/>
        </w:rPr>
        <w:t>二、本章所制</w:t>
      </w:r>
      <w:r>
        <w:rPr>
          <w:rFonts w:hint="eastAsia"/>
          <w:lang w:val="en-US" w:eastAsia="zh-CN"/>
        </w:rPr>
        <w:t>投标</w:t>
      </w:r>
      <w:r>
        <w:rPr>
          <w:rFonts w:hint="eastAsia"/>
        </w:rPr>
        <w:t>文件格式有关表格中的备注栏，由</w:t>
      </w:r>
      <w:r>
        <w:rPr>
          <w:rFonts w:hint="eastAsia"/>
          <w:lang w:val="en-US" w:eastAsia="zh-CN"/>
        </w:rPr>
        <w:t>投标人</w:t>
      </w:r>
      <w:r>
        <w:rPr>
          <w:rFonts w:hint="eastAsia"/>
        </w:rPr>
        <w:t>根据自身</w:t>
      </w:r>
      <w:r>
        <w:rPr>
          <w:rFonts w:hint="eastAsia"/>
          <w:lang w:val="en-US" w:eastAsia="zh-CN"/>
        </w:rPr>
        <w:t>投标</w:t>
      </w:r>
      <w:r>
        <w:rPr>
          <w:rFonts w:hint="eastAsia"/>
        </w:rPr>
        <w:t>情况作解释性说明，不作为必填项。</w:t>
      </w:r>
    </w:p>
    <w:p>
      <w:pPr>
        <w:pStyle w:val="50"/>
        <w:bidi w:val="0"/>
        <w:rPr>
          <w:rFonts w:hint="eastAsia"/>
        </w:rPr>
      </w:pPr>
      <w:r>
        <w:rPr>
          <w:rFonts w:hint="eastAsia"/>
          <w:lang w:val="en-US" w:eastAsia="zh-CN"/>
        </w:rPr>
        <w:t>三、本章</w:t>
      </w:r>
      <w:r>
        <w:rPr>
          <w:rFonts w:hint="eastAsia"/>
        </w:rPr>
        <w:t>格式中“注”的内容，</w:t>
      </w:r>
      <w:r>
        <w:rPr>
          <w:rFonts w:hint="eastAsia"/>
          <w:lang w:val="en-US" w:eastAsia="zh-CN"/>
        </w:rPr>
        <w:t>供应商</w:t>
      </w:r>
      <w:r>
        <w:rPr>
          <w:rFonts w:hint="eastAsia"/>
        </w:rPr>
        <w:t>可自行决定是否保留在</w:t>
      </w:r>
      <w:r>
        <w:rPr>
          <w:rFonts w:hint="eastAsia"/>
          <w:lang w:val="en-US" w:eastAsia="zh-CN"/>
        </w:rPr>
        <w:t>投标</w:t>
      </w:r>
      <w:r>
        <w:rPr>
          <w:rFonts w:hint="eastAsia"/>
        </w:rPr>
        <w:t>文件中，未保留的视为</w:t>
      </w:r>
      <w:r>
        <w:rPr>
          <w:rFonts w:hint="eastAsia"/>
          <w:lang w:val="en-US" w:eastAsia="zh-CN"/>
        </w:rPr>
        <w:t>供应商</w:t>
      </w:r>
      <w:r>
        <w:rPr>
          <w:rFonts w:hint="eastAsia"/>
        </w:rPr>
        <w:t>默认接受“注”的内容</w:t>
      </w:r>
      <w:r>
        <w:rPr>
          <w:rFonts w:hint="eastAsia"/>
          <w:lang w:eastAsia="zh-CN"/>
        </w:rPr>
        <w:t>。</w:t>
      </w:r>
    </w:p>
    <w:p>
      <w:pPr>
        <w:pStyle w:val="50"/>
        <w:bidi w:val="0"/>
        <w:rPr>
          <w:rFonts w:hint="eastAsia"/>
        </w:rPr>
      </w:pPr>
      <w:r>
        <w:rPr>
          <w:rFonts w:hint="eastAsia"/>
          <w:lang w:val="en-US" w:eastAsia="zh-CN"/>
        </w:rPr>
        <w:t>四</w:t>
      </w:r>
      <w:r>
        <w:rPr>
          <w:rFonts w:hint="eastAsia"/>
        </w:rPr>
        <w:t>、本章所制</w:t>
      </w:r>
      <w:r>
        <w:rPr>
          <w:rFonts w:hint="eastAsia"/>
          <w:lang w:val="en-US" w:eastAsia="zh-CN"/>
        </w:rPr>
        <w:t>投标</w:t>
      </w:r>
      <w:r>
        <w:rPr>
          <w:rFonts w:hint="eastAsia"/>
        </w:rPr>
        <w:t>文件格式中需要填写的相关内容事项，可能会与本采购项目无关，在不改变</w:t>
      </w:r>
      <w:r>
        <w:rPr>
          <w:rFonts w:hint="eastAsia"/>
          <w:lang w:val="en-US" w:eastAsia="zh-CN"/>
        </w:rPr>
        <w:t>投标文件</w:t>
      </w:r>
      <w:r>
        <w:rPr>
          <w:rFonts w:hint="eastAsia"/>
        </w:rPr>
        <w:t>原义、不影响本项目采购需求的情况下，</w:t>
      </w:r>
      <w:r>
        <w:rPr>
          <w:rFonts w:hint="eastAsia"/>
          <w:lang w:val="en-US" w:eastAsia="zh-CN"/>
        </w:rPr>
        <w:t>投标人</w:t>
      </w:r>
      <w:r>
        <w:rPr>
          <w:rFonts w:hint="eastAsia"/>
        </w:rPr>
        <w:t>可以不予填写，但应当注明。</w:t>
      </w:r>
    </w:p>
    <w:p>
      <w:pPr>
        <w:pStyle w:val="42"/>
        <w:bidi w:val="0"/>
        <w:rPr>
          <w:rFonts w:hint="eastAsia"/>
        </w:rPr>
      </w:pPr>
      <w:r>
        <w:rPr>
          <w:rFonts w:hint="eastAsia"/>
        </w:rPr>
        <w:br w:type="page"/>
      </w:r>
    </w:p>
    <w:p>
      <w:pPr>
        <w:pStyle w:val="33"/>
        <w:bidi w:val="0"/>
        <w:rPr>
          <w:rFonts w:hint="eastAsia"/>
        </w:rPr>
      </w:pPr>
      <w:r>
        <w:rPr>
          <w:rFonts w:hint="eastAsia"/>
        </w:rPr>
        <w:t>附件：密封袋的格式</w:t>
      </w:r>
    </w:p>
    <w:p>
      <w:pPr>
        <w:pStyle w:val="33"/>
        <w:bidi w:val="0"/>
        <w:rPr>
          <w:rFonts w:hint="eastAsia"/>
        </w:rPr>
      </w:pPr>
    </w:p>
    <w:p>
      <w:pPr>
        <w:pStyle w:val="33"/>
        <w:bidi w:val="0"/>
        <w:rPr>
          <w:rFonts w:hint="eastAsia"/>
        </w:rPr>
      </w:pPr>
    </w:p>
    <w:p>
      <w:pPr>
        <w:pStyle w:val="33"/>
        <w:bidi w:val="0"/>
        <w:rPr>
          <w:rFonts w:hint="eastAsia"/>
        </w:rPr>
      </w:pPr>
    </w:p>
    <w:tbl>
      <w:tblPr>
        <w:tblStyle w:val="21"/>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vAlign w:val="top"/>
          </w:tcPr>
          <w:p>
            <w:pPr>
              <w:pStyle w:val="33"/>
              <w:bidi w:val="0"/>
              <w:rPr>
                <w:rFonts w:hint="eastAsia"/>
              </w:rPr>
            </w:pPr>
          </w:p>
          <w:p>
            <w:pPr>
              <w:pStyle w:val="33"/>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rPr>
            </w:pPr>
            <w:r>
              <w:rPr>
                <w:rFonts w:hint="eastAsia"/>
              </w:rPr>
              <w:t>项目编号：</w:t>
            </w:r>
            <w:r>
              <w:rPr>
                <w:rFonts w:hint="eastAsia" w:asciiTheme="minorEastAsia" w:hAnsiTheme="minorEastAsia" w:eastAsiaTheme="minorEastAsia" w:cstheme="minorEastAsia"/>
                <w:color w:val="auto"/>
                <w:sz w:val="24"/>
                <w:highlight w:val="none"/>
                <w:u w:val="single"/>
              </w:rPr>
              <w:t xml:space="preserve">                   </w:t>
            </w:r>
            <w:r>
              <w:rPr>
                <w:rFonts w:hint="eastAsia"/>
              </w:rPr>
              <w:t xml:space="preserve">                   </w:t>
            </w:r>
          </w:p>
          <w:p>
            <w:pPr>
              <w:pStyle w:val="33"/>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rPr>
            </w:pPr>
            <w:r>
              <w:rPr>
                <w:rFonts w:hint="eastAsia"/>
              </w:rPr>
              <w:t>项目名称</w:t>
            </w:r>
            <w:r>
              <w:rPr>
                <w:rFonts w:hint="eastAsia"/>
                <w:lang w:eastAsia="zh-CN"/>
              </w:rPr>
              <w:t>：</w:t>
            </w:r>
            <w:r>
              <w:rPr>
                <w:rFonts w:hint="eastAsia" w:asciiTheme="minorEastAsia" w:hAnsiTheme="minorEastAsia" w:eastAsiaTheme="minorEastAsia" w:cstheme="minorEastAsia"/>
                <w:color w:val="auto"/>
                <w:sz w:val="24"/>
                <w:highlight w:val="none"/>
                <w:u w:val="single"/>
              </w:rPr>
              <w:t xml:space="preserve">                   </w:t>
            </w:r>
            <w:r>
              <w:rPr>
                <w:rFonts w:hint="eastAsia"/>
              </w:rPr>
              <w:t xml:space="preserve">                   </w:t>
            </w:r>
          </w:p>
          <w:p>
            <w:pPr>
              <w:pStyle w:val="33"/>
              <w:bidi w:val="0"/>
              <w:rPr>
                <w:rFonts w:hint="eastAsia"/>
              </w:rPr>
            </w:pPr>
          </w:p>
          <w:p>
            <w:pPr>
              <w:pStyle w:val="33"/>
              <w:bidi w:val="0"/>
              <w:jc w:val="center"/>
              <w:rPr>
                <w:rFonts w:hint="eastAsia"/>
                <w:b/>
                <w:bCs/>
                <w:sz w:val="32"/>
                <w:szCs w:val="32"/>
              </w:rPr>
            </w:pPr>
            <w:r>
              <w:rPr>
                <w:rFonts w:hint="eastAsia"/>
                <w:b/>
                <w:bCs/>
                <w:sz w:val="32"/>
                <w:szCs w:val="32"/>
                <w:lang w:eastAsia="zh-CN"/>
              </w:rPr>
              <w:t>资格、资质性及其他类似效力投标文件</w:t>
            </w:r>
            <w:r>
              <w:rPr>
                <w:rFonts w:hint="eastAsia"/>
                <w:b/>
                <w:bCs/>
                <w:sz w:val="32"/>
                <w:szCs w:val="32"/>
                <w:lang w:val="en-US" w:eastAsia="zh-CN"/>
              </w:rPr>
              <w:t>/</w:t>
            </w:r>
            <w:r>
              <w:rPr>
                <w:rFonts w:hint="eastAsia"/>
                <w:b/>
                <w:bCs/>
                <w:sz w:val="32"/>
                <w:szCs w:val="32"/>
              </w:rPr>
              <w:t>其他</w:t>
            </w:r>
            <w:r>
              <w:rPr>
                <w:rFonts w:hint="eastAsia"/>
                <w:b/>
                <w:bCs/>
                <w:sz w:val="32"/>
                <w:szCs w:val="32"/>
                <w:lang w:val="en-US" w:eastAsia="zh-CN"/>
              </w:rPr>
              <w:t>投标</w:t>
            </w:r>
            <w:r>
              <w:rPr>
                <w:rFonts w:hint="eastAsia"/>
                <w:b/>
                <w:bCs/>
                <w:sz w:val="32"/>
                <w:szCs w:val="32"/>
              </w:rPr>
              <w:t>文件</w:t>
            </w:r>
          </w:p>
          <w:p>
            <w:pPr>
              <w:pStyle w:val="33"/>
              <w:bidi w:val="0"/>
              <w:jc w:val="center"/>
              <w:rPr>
                <w:rFonts w:hint="eastAsia"/>
                <w:b/>
                <w:bCs/>
                <w:sz w:val="32"/>
                <w:szCs w:val="32"/>
              </w:rPr>
            </w:pPr>
            <w:r>
              <w:rPr>
                <w:rFonts w:hint="eastAsia"/>
                <w:b/>
                <w:bCs/>
                <w:sz w:val="32"/>
                <w:szCs w:val="32"/>
                <w:lang w:val="en-US" w:eastAsia="zh-CN"/>
              </w:rPr>
              <w:t>/开标一览表</w:t>
            </w:r>
          </w:p>
          <w:p>
            <w:pPr>
              <w:pStyle w:val="33"/>
              <w:bidi w:val="0"/>
              <w:rPr>
                <w:rFonts w:hint="eastAsia"/>
              </w:rPr>
            </w:pPr>
          </w:p>
          <w:p>
            <w:pPr>
              <w:pStyle w:val="33"/>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rPr>
            </w:pPr>
            <w:r>
              <w:rPr>
                <w:rFonts w:hint="eastAsia"/>
                <w:lang w:val="en-US" w:eastAsia="zh-CN"/>
              </w:rPr>
              <w:t>投标人</w:t>
            </w:r>
            <w:r>
              <w:rPr>
                <w:rFonts w:hint="eastAsia"/>
              </w:rPr>
              <w:t>名称</w:t>
            </w:r>
            <w:r>
              <w:rPr>
                <w:rFonts w:hint="eastAsia"/>
                <w:lang w:eastAsia="zh-CN"/>
              </w:rPr>
              <w:t>：</w:t>
            </w:r>
            <w:r>
              <w:rPr>
                <w:rFonts w:hint="eastAsia" w:asciiTheme="minorEastAsia" w:hAnsiTheme="minorEastAsia" w:eastAsiaTheme="minorEastAsia" w:cstheme="minorEastAsia"/>
                <w:color w:val="auto"/>
                <w:sz w:val="24"/>
                <w:highlight w:val="none"/>
                <w:u w:val="single"/>
              </w:rPr>
              <w:t xml:space="preserve">                 </w:t>
            </w:r>
            <w:r>
              <w:rPr>
                <w:rFonts w:hint="eastAsia"/>
              </w:rPr>
              <w:t xml:space="preserve">                 </w:t>
            </w:r>
          </w:p>
          <w:p>
            <w:pPr>
              <w:pStyle w:val="33"/>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rPr>
            </w:pPr>
            <w:r>
              <w:rPr>
                <w:rFonts w:hint="eastAsia"/>
                <w:lang w:val="en-US" w:eastAsia="zh-CN"/>
              </w:rPr>
              <w:t>投标日期</w:t>
            </w:r>
            <w:r>
              <w:rPr>
                <w:rFonts w:hint="eastAsia"/>
              </w:rPr>
              <w:t>：</w:t>
            </w:r>
            <w:r>
              <w:rPr>
                <w:rFonts w:hint="eastAsia" w:asciiTheme="minorEastAsia" w:hAnsiTheme="minorEastAsia" w:eastAsiaTheme="minorEastAsia" w:cstheme="minorEastAsia"/>
                <w:color w:val="auto"/>
                <w:sz w:val="24"/>
                <w:highlight w:val="none"/>
                <w:u w:val="single"/>
              </w:rPr>
              <w:t xml:space="preserve">                   </w:t>
            </w:r>
            <w:r>
              <w:rPr>
                <w:rFonts w:hint="eastAsia"/>
              </w:rPr>
              <w:t xml:space="preserve">                   </w:t>
            </w:r>
          </w:p>
          <w:p>
            <w:pPr>
              <w:pStyle w:val="33"/>
              <w:bidi w:val="0"/>
              <w:rPr>
                <w:rFonts w:hint="eastAsia"/>
              </w:rPr>
            </w:pPr>
          </w:p>
        </w:tc>
      </w:tr>
    </w:tbl>
    <w:p>
      <w:pPr>
        <w:pStyle w:val="33"/>
        <w:bidi w:val="0"/>
        <w:rPr>
          <w:rFonts w:hint="eastAsia"/>
          <w:lang w:val="en-US" w:eastAsia="zh-CN"/>
        </w:rPr>
      </w:pPr>
      <w:bookmarkStart w:id="802" w:name="_Toc11581"/>
      <w:bookmarkStart w:id="803" w:name="_Toc6994"/>
      <w:r>
        <w:rPr>
          <w:rFonts w:hint="eastAsia"/>
          <w:lang w:val="en-US" w:eastAsia="zh-CN"/>
        </w:rPr>
        <w:br w:type="page"/>
      </w:r>
    </w:p>
    <w:p>
      <w:pPr>
        <w:pStyle w:val="33"/>
        <w:bidi w:val="0"/>
        <w:rPr>
          <w:rFonts w:hint="eastAsia"/>
          <w:lang w:val="en-US" w:eastAsia="zh-CN"/>
        </w:rPr>
      </w:pPr>
      <w:r>
        <w:rPr>
          <w:rFonts w:hint="eastAsia"/>
          <w:lang w:val="en-US" w:eastAsia="zh-CN"/>
        </w:rPr>
        <w:t>投标文件封面格式</w:t>
      </w:r>
      <w:bookmarkEnd w:id="792"/>
      <w:bookmarkEnd w:id="793"/>
      <w:bookmarkEnd w:id="794"/>
      <w:bookmarkEnd w:id="795"/>
      <w:bookmarkEnd w:id="796"/>
      <w:bookmarkEnd w:id="797"/>
      <w:bookmarkEnd w:id="798"/>
      <w:bookmarkEnd w:id="799"/>
      <w:bookmarkEnd w:id="800"/>
      <w:bookmarkEnd w:id="801"/>
      <w:bookmarkEnd w:id="802"/>
      <w:bookmarkEnd w:id="803"/>
    </w:p>
    <w:p>
      <w:pPr>
        <w:pStyle w:val="33"/>
        <w:bidi w:val="0"/>
        <w:rPr>
          <w:rFonts w:hint="eastAsia"/>
        </w:rPr>
      </w:pPr>
      <w:r>
        <w:rPr>
          <w:rFonts w:hint="eastAsia"/>
          <w:lang w:val="zh-CN" w:eastAsia="zh-CN"/>
        </w:rPr>
        <mc:AlternateContent>
          <mc:Choice Requires="wps">
            <w:drawing>
              <wp:anchor distT="0" distB="0" distL="114300" distR="114300" simplePos="0" relativeHeight="251660288" behindDoc="0" locked="0" layoutInCell="1" allowOverlap="1">
                <wp:simplePos x="0" y="0"/>
                <wp:positionH relativeFrom="column">
                  <wp:posOffset>4055745</wp:posOffset>
                </wp:positionH>
                <wp:positionV relativeFrom="paragraph">
                  <wp:posOffset>169545</wp:posOffset>
                </wp:positionV>
                <wp:extent cx="1137285" cy="331470"/>
                <wp:effectExtent l="4445" t="4445" r="16510" b="14605"/>
                <wp:wrapNone/>
                <wp:docPr id="5" name="矩形 5"/>
                <wp:cNvGraphicFramePr/>
                <a:graphic xmlns:a="http://schemas.openxmlformats.org/drawingml/2006/main">
                  <a:graphicData uri="http://schemas.microsoft.com/office/word/2010/wordprocessingShape">
                    <wps:wsp>
                      <wps:cNvSpPr/>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b/>
                                <w:sz w:val="28"/>
                                <w:szCs w:val="28"/>
                              </w:rPr>
                            </w:pPr>
                            <w:r>
                              <w:rPr>
                                <w:rFonts w:hint="eastAsia" w:ascii="宋体" w:hAnsi="宋体" w:eastAsia="宋体" w:cs="宋体"/>
                                <w:b/>
                                <w:sz w:val="28"/>
                                <w:szCs w:val="28"/>
                              </w:rPr>
                              <w:t>正本或副本</w:t>
                            </w:r>
                          </w:p>
                        </w:txbxContent>
                      </wps:txbx>
                      <wps:bodyPr upright="1">
                        <a:spAutoFit/>
                      </wps:bodyPr>
                    </wps:wsp>
                  </a:graphicData>
                </a:graphic>
              </wp:anchor>
            </w:drawing>
          </mc:Choice>
          <mc:Fallback>
            <w:pict>
              <v:rect id="_x0000_s1026" o:spid="_x0000_s1026" o:spt="1" style="position:absolute;left:0pt;margin-left:319.35pt;margin-top:13.35pt;height:26.1pt;width:89.55pt;z-index:251660288;mso-width-relative:page;mso-height-relative:page;" fillcolor="#FFFFFF" filled="t" stroked="t" coordsize="21600,21600" o:gfxdata="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aPlZ1wAAAAkBAAAPAAAAAAAAAAEAIAAA&#10;ACIAAABkcnMvZG93bnJldi54bWxQSwECFAAUAAAACACHTuJAYguHLg0CAABDBAAADgAAAAAAAAAB&#10;ACAAAAAmAQAAZHJzL2Uyb0RvYy54bWxQSwUGAAAAAAYABgBZAQAApQUAAAAA&#10;">
                <v:fill on="t" focussize="0,0"/>
                <v:stroke color="#000000" joinstyle="miter"/>
                <v:imagedata o:title=""/>
                <o:lock v:ext="edit" aspectratio="f"/>
                <v:textbox style="mso-fit-shape-to-text:t;">
                  <w:txbxContent>
                    <w:p>
                      <w:pPr>
                        <w:rPr>
                          <w:rFonts w:hint="eastAsia" w:ascii="宋体" w:hAnsi="宋体" w:eastAsia="宋体" w:cs="宋体"/>
                          <w:b/>
                          <w:sz w:val="28"/>
                          <w:szCs w:val="28"/>
                        </w:rPr>
                      </w:pPr>
                      <w:r>
                        <w:rPr>
                          <w:rFonts w:hint="eastAsia" w:ascii="宋体" w:hAnsi="宋体" w:eastAsia="宋体" w:cs="宋体"/>
                          <w:b/>
                          <w:sz w:val="28"/>
                          <w:szCs w:val="28"/>
                        </w:rPr>
                        <w:t>正本或副本</w:t>
                      </w:r>
                    </w:p>
                  </w:txbxContent>
                </v:textbox>
              </v:rect>
            </w:pict>
          </mc:Fallback>
        </mc:AlternateContent>
      </w:r>
    </w:p>
    <w:p>
      <w:pPr>
        <w:pStyle w:val="33"/>
        <w:bidi w:val="0"/>
        <w:rPr>
          <w:rFonts w:hint="eastAsia"/>
        </w:rPr>
      </w:pPr>
    </w:p>
    <w:p>
      <w:pPr>
        <w:pStyle w:val="33"/>
        <w:bidi w:val="0"/>
        <w:rPr>
          <w:rFonts w:hint="eastAsia"/>
        </w:rPr>
      </w:pPr>
    </w:p>
    <w:p>
      <w:pPr>
        <w:pStyle w:val="33"/>
        <w:bidi w:val="0"/>
        <w:rPr>
          <w:rFonts w:hint="eastAsia"/>
        </w:rPr>
      </w:pPr>
    </w:p>
    <w:p>
      <w:pPr>
        <w:pStyle w:val="33"/>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sz w:val="48"/>
          <w:szCs w:val="48"/>
          <w:lang w:eastAsia="zh-CN"/>
        </w:rPr>
      </w:pPr>
    </w:p>
    <w:p>
      <w:pPr>
        <w:pStyle w:val="33"/>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sz w:val="48"/>
          <w:szCs w:val="48"/>
          <w:lang w:eastAsia="zh-CN"/>
        </w:rPr>
      </w:pPr>
      <w:r>
        <w:rPr>
          <w:rFonts w:hint="eastAsia"/>
          <w:b/>
          <w:bCs/>
          <w:sz w:val="48"/>
          <w:szCs w:val="48"/>
          <w:lang w:eastAsia="zh-CN"/>
        </w:rPr>
        <w:t>资格、资质性及其他类似效力投标文件</w:t>
      </w:r>
    </w:p>
    <w:p>
      <w:pPr>
        <w:pStyle w:val="33"/>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sz w:val="48"/>
          <w:szCs w:val="48"/>
        </w:rPr>
      </w:pPr>
      <w:r>
        <w:rPr>
          <w:rFonts w:hint="eastAsia"/>
          <w:b/>
          <w:bCs/>
          <w:sz w:val="48"/>
          <w:szCs w:val="48"/>
          <w:lang w:val="en-US" w:eastAsia="zh-CN"/>
        </w:rPr>
        <w:t>/</w:t>
      </w:r>
      <w:r>
        <w:rPr>
          <w:rFonts w:hint="eastAsia"/>
          <w:b/>
          <w:bCs/>
          <w:sz w:val="48"/>
          <w:szCs w:val="48"/>
        </w:rPr>
        <w:t>其他</w:t>
      </w:r>
      <w:r>
        <w:rPr>
          <w:rFonts w:hint="eastAsia"/>
          <w:b/>
          <w:bCs/>
          <w:sz w:val="48"/>
          <w:szCs w:val="48"/>
          <w:lang w:val="en-US" w:eastAsia="zh-CN"/>
        </w:rPr>
        <w:t>投标</w:t>
      </w:r>
      <w:r>
        <w:rPr>
          <w:rFonts w:hint="eastAsia"/>
          <w:b/>
          <w:bCs/>
          <w:sz w:val="48"/>
          <w:szCs w:val="48"/>
        </w:rPr>
        <w:t>文件</w:t>
      </w:r>
    </w:p>
    <w:p>
      <w:pPr>
        <w:pStyle w:val="33"/>
        <w:bidi w:val="0"/>
        <w:rPr>
          <w:rFonts w:hint="eastAsia"/>
        </w:rPr>
      </w:pPr>
    </w:p>
    <w:p>
      <w:pPr>
        <w:pStyle w:val="33"/>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p>
    <w:p>
      <w:pPr>
        <w:pStyle w:val="33"/>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p>
    <w:p>
      <w:pPr>
        <w:pStyle w:val="33"/>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p>
    <w:p>
      <w:pPr>
        <w:pStyle w:val="33"/>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p>
    <w:p>
      <w:pPr>
        <w:pStyle w:val="33"/>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r>
        <w:rPr>
          <w:rFonts w:hint="eastAsia"/>
          <w:b/>
          <w:bCs/>
          <w:sz w:val="32"/>
          <w:szCs w:val="32"/>
        </w:rPr>
        <w:t>项目名称：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sz w:val="32"/>
          <w:szCs w:val="32"/>
        </w:rPr>
        <w:t xml:space="preserve">                      </w:t>
      </w:r>
    </w:p>
    <w:p>
      <w:pPr>
        <w:pStyle w:val="33"/>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r>
        <w:rPr>
          <w:rFonts w:hint="eastAsia"/>
          <w:b/>
          <w:bCs/>
          <w:sz w:val="32"/>
          <w:szCs w:val="32"/>
        </w:rPr>
        <w:t>项目编号：</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sz w:val="32"/>
          <w:szCs w:val="32"/>
        </w:rPr>
        <w:t xml:space="preserve">                      </w:t>
      </w:r>
    </w:p>
    <w:p>
      <w:pPr>
        <w:pStyle w:val="33"/>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r>
        <w:rPr>
          <w:rFonts w:hint="eastAsia"/>
          <w:b/>
          <w:bCs/>
          <w:sz w:val="32"/>
          <w:szCs w:val="32"/>
        </w:rPr>
        <w:t>投标人名称：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sz w:val="32"/>
          <w:szCs w:val="32"/>
        </w:rPr>
        <w:t xml:space="preserve">          </w:t>
      </w:r>
      <w:r>
        <w:rPr>
          <w:rFonts w:hint="eastAsia"/>
          <w:b/>
          <w:bCs/>
          <w:sz w:val="32"/>
          <w:szCs w:val="32"/>
          <w:lang w:val="en-US" w:eastAsia="zh-CN"/>
        </w:rPr>
        <w:t xml:space="preserve"> </w:t>
      </w:r>
      <w:r>
        <w:rPr>
          <w:rFonts w:hint="eastAsia"/>
          <w:b/>
          <w:bCs/>
          <w:sz w:val="32"/>
          <w:szCs w:val="32"/>
        </w:rPr>
        <w:t xml:space="preserve">     </w:t>
      </w:r>
    </w:p>
    <w:p>
      <w:pPr>
        <w:pStyle w:val="33"/>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r>
        <w:rPr>
          <w:rFonts w:hint="eastAsia"/>
          <w:b/>
          <w:bCs/>
          <w:sz w:val="32"/>
          <w:szCs w:val="32"/>
        </w:rPr>
        <w:t>投标日期：</w:t>
      </w:r>
      <w:r>
        <w:rPr>
          <w:rFonts w:hint="eastAsia"/>
          <w:b/>
          <w:bCs/>
          <w:sz w:val="32"/>
          <w:szCs w:val="32"/>
          <w:u w:val="single"/>
        </w:rPr>
        <w:t xml:space="preserve">   </w:t>
      </w:r>
      <w:r>
        <w:rPr>
          <w:rFonts w:hint="eastAsia"/>
          <w:b/>
          <w:bCs/>
          <w:sz w:val="32"/>
          <w:szCs w:val="32"/>
          <w:u w:val="single"/>
          <w:lang w:val="en-US" w:eastAsia="zh-CN"/>
        </w:rPr>
        <w:t xml:space="preserve">  </w:t>
      </w:r>
      <w:r>
        <w:rPr>
          <w:rFonts w:hint="eastAsia"/>
          <w:b/>
          <w:bCs/>
          <w:sz w:val="32"/>
          <w:szCs w:val="32"/>
          <w:u w:val="single"/>
        </w:rPr>
        <w:t xml:space="preserve"> </w:t>
      </w:r>
      <w:r>
        <w:rPr>
          <w:rFonts w:hint="eastAsia"/>
          <w:b/>
          <w:bCs/>
          <w:sz w:val="32"/>
          <w:szCs w:val="32"/>
        </w:rPr>
        <w:t>年</w:t>
      </w:r>
      <w:r>
        <w:rPr>
          <w:rFonts w:hint="eastAsia"/>
          <w:b/>
          <w:bCs/>
          <w:sz w:val="32"/>
          <w:szCs w:val="32"/>
          <w:u w:val="single"/>
        </w:rPr>
        <w:t xml:space="preserve">    </w:t>
      </w:r>
      <w:r>
        <w:rPr>
          <w:rFonts w:hint="eastAsia"/>
          <w:b/>
          <w:bCs/>
          <w:sz w:val="32"/>
          <w:szCs w:val="32"/>
        </w:rPr>
        <w:t>月</w:t>
      </w:r>
      <w:r>
        <w:rPr>
          <w:rFonts w:hint="eastAsia"/>
          <w:b/>
          <w:bCs/>
          <w:sz w:val="32"/>
          <w:szCs w:val="32"/>
          <w:u w:val="single"/>
        </w:rPr>
        <w:t xml:space="preserve">    </w:t>
      </w:r>
      <w:r>
        <w:rPr>
          <w:rFonts w:hint="eastAsia"/>
          <w:b/>
          <w:bCs/>
          <w:sz w:val="32"/>
          <w:szCs w:val="32"/>
        </w:rPr>
        <w:t>日</w:t>
      </w:r>
    </w:p>
    <w:p>
      <w:pPr>
        <w:pStyle w:val="42"/>
        <w:bidi w:val="0"/>
        <w:rPr>
          <w:rFonts w:hint="eastAsia"/>
        </w:rPr>
      </w:pPr>
      <w:bookmarkStart w:id="804" w:name="_Toc31011"/>
      <w:bookmarkStart w:id="805" w:name="_Toc11556"/>
      <w:bookmarkStart w:id="806" w:name="_Toc5306"/>
      <w:bookmarkStart w:id="807" w:name="_Toc5565"/>
      <w:r>
        <w:rPr>
          <w:rFonts w:hint="eastAsia"/>
        </w:rPr>
        <w:br w:type="page"/>
      </w:r>
    </w:p>
    <w:bookmarkEnd w:id="804"/>
    <w:bookmarkEnd w:id="805"/>
    <w:bookmarkEnd w:id="806"/>
    <w:bookmarkEnd w:id="807"/>
    <w:p>
      <w:pPr>
        <w:pStyle w:val="42"/>
        <w:bidi w:val="0"/>
        <w:rPr>
          <w:rFonts w:hint="eastAsia"/>
        </w:rPr>
      </w:pPr>
      <w:bookmarkStart w:id="808" w:name="_Toc15611"/>
    </w:p>
    <w:p>
      <w:pPr>
        <w:pStyle w:val="42"/>
        <w:bidi w:val="0"/>
        <w:rPr>
          <w:rFonts w:hint="eastAsia"/>
        </w:rPr>
      </w:pPr>
    </w:p>
    <w:p>
      <w:pPr>
        <w:pStyle w:val="42"/>
        <w:bidi w:val="0"/>
        <w:rPr>
          <w:rFonts w:hint="eastAsia"/>
        </w:rPr>
      </w:pPr>
    </w:p>
    <w:p>
      <w:pPr>
        <w:pStyle w:val="42"/>
        <w:bidi w:val="0"/>
        <w:rPr>
          <w:rFonts w:hint="eastAsia"/>
        </w:rPr>
      </w:pPr>
    </w:p>
    <w:p>
      <w:pPr>
        <w:pStyle w:val="42"/>
        <w:bidi w:val="0"/>
        <w:rPr>
          <w:rFonts w:hint="eastAsia"/>
        </w:rPr>
      </w:pPr>
    </w:p>
    <w:p>
      <w:pPr>
        <w:pStyle w:val="42"/>
        <w:bidi w:val="0"/>
        <w:rPr>
          <w:rFonts w:hint="eastAsia"/>
        </w:rPr>
      </w:pPr>
    </w:p>
    <w:p>
      <w:pPr>
        <w:pStyle w:val="42"/>
        <w:bidi w:val="0"/>
        <w:rPr>
          <w:rFonts w:hint="eastAsia"/>
        </w:rPr>
      </w:pPr>
    </w:p>
    <w:p>
      <w:pPr>
        <w:pStyle w:val="42"/>
        <w:bidi w:val="0"/>
        <w:rPr>
          <w:rFonts w:hint="eastAsia"/>
          <w:lang w:val="en-US" w:eastAsia="zh-CN"/>
        </w:rPr>
      </w:pPr>
      <w:bookmarkStart w:id="809" w:name="_Toc24630"/>
    </w:p>
    <w:p>
      <w:pPr>
        <w:pStyle w:val="42"/>
        <w:bidi w:val="0"/>
        <w:rPr>
          <w:rFonts w:hint="eastAsia"/>
          <w:lang w:val="en-US" w:eastAsia="zh-CN"/>
        </w:rPr>
      </w:pPr>
    </w:p>
    <w:p>
      <w:pPr>
        <w:pStyle w:val="42"/>
        <w:bidi w:val="0"/>
        <w:rPr>
          <w:rFonts w:hint="eastAsia"/>
          <w:lang w:val="en-US" w:eastAsia="zh-CN"/>
        </w:rPr>
      </w:pPr>
    </w:p>
    <w:p>
      <w:pPr>
        <w:pStyle w:val="42"/>
        <w:bidi w:val="0"/>
        <w:rPr>
          <w:rFonts w:hint="eastAsia"/>
          <w:lang w:val="en-US" w:eastAsia="zh-CN"/>
        </w:rPr>
      </w:pPr>
    </w:p>
    <w:p>
      <w:pPr>
        <w:pStyle w:val="42"/>
        <w:bidi w:val="0"/>
        <w:rPr>
          <w:rFonts w:hint="eastAsia"/>
          <w:lang w:val="en-US" w:eastAsia="zh-CN"/>
        </w:rPr>
      </w:pPr>
    </w:p>
    <w:p>
      <w:pPr>
        <w:pStyle w:val="34"/>
        <w:keepNext w:val="0"/>
        <w:keepLines w:val="0"/>
        <w:pageBreakBefore w:val="0"/>
        <w:widowControl w:val="0"/>
        <w:numPr>
          <w:ilvl w:val="1"/>
          <w:numId w:val="0"/>
        </w:numPr>
        <w:kinsoku/>
        <w:wordWrap w:val="0"/>
        <w:overflowPunct/>
        <w:topLinePunct/>
        <w:autoSpaceDE/>
        <w:autoSpaceDN/>
        <w:bidi w:val="0"/>
        <w:adjustRightInd w:val="0"/>
        <w:snapToGrid w:val="0"/>
        <w:spacing w:before="625" w:beforeLines="200"/>
        <w:jc w:val="center"/>
        <w:textAlignment w:val="auto"/>
        <w:rPr>
          <w:rFonts w:hint="eastAsia"/>
          <w:sz w:val="32"/>
          <w:szCs w:val="32"/>
        </w:rPr>
      </w:pPr>
      <w:bookmarkStart w:id="810" w:name="_Toc1290"/>
      <w:r>
        <w:rPr>
          <w:rFonts w:hint="eastAsia"/>
          <w:sz w:val="32"/>
          <w:szCs w:val="32"/>
          <w:lang w:val="en-US" w:eastAsia="zh-CN"/>
        </w:rPr>
        <w:t>第一部</w:t>
      </w:r>
      <w:r>
        <w:rPr>
          <w:rFonts w:hint="eastAsia"/>
          <w:sz w:val="32"/>
          <w:szCs w:val="32"/>
        </w:rPr>
        <w:t>分 资格、资质性及其他类似效力</w:t>
      </w:r>
      <w:r>
        <w:rPr>
          <w:rFonts w:hint="eastAsia"/>
          <w:sz w:val="32"/>
          <w:szCs w:val="32"/>
          <w:lang w:val="en-US" w:eastAsia="zh-CN"/>
        </w:rPr>
        <w:t>投标</w:t>
      </w:r>
      <w:r>
        <w:rPr>
          <w:rFonts w:hint="eastAsia"/>
          <w:sz w:val="32"/>
          <w:szCs w:val="32"/>
        </w:rPr>
        <w:t>文件(格式)</w:t>
      </w:r>
      <w:bookmarkEnd w:id="808"/>
      <w:bookmarkEnd w:id="809"/>
      <w:bookmarkEnd w:id="810"/>
      <w:bookmarkStart w:id="811" w:name="_Toc16168"/>
      <w:bookmarkStart w:id="812" w:name="_Toc23537"/>
    </w:p>
    <w:bookmarkEnd w:id="811"/>
    <w:bookmarkEnd w:id="812"/>
    <w:p>
      <w:pPr>
        <w:pStyle w:val="42"/>
        <w:bidi w:val="0"/>
        <w:rPr>
          <w:rFonts w:hint="eastAsia"/>
        </w:rPr>
      </w:pPr>
      <w:bookmarkStart w:id="813" w:name="_Toc4865"/>
      <w:bookmarkStart w:id="814" w:name="_Toc19166"/>
      <w:bookmarkStart w:id="815" w:name="_Toc15054"/>
      <w:r>
        <w:rPr>
          <w:rFonts w:hint="eastAsia"/>
        </w:rPr>
        <w:br w:type="page"/>
      </w:r>
    </w:p>
    <w:p>
      <w:pPr>
        <w:pStyle w:val="44"/>
        <w:numPr>
          <w:ilvl w:val="0"/>
          <w:numId w:val="20"/>
        </w:numPr>
        <w:bidi w:val="0"/>
        <w:ind w:left="0" w:leftChars="0" w:firstLine="0" w:firstLineChars="0"/>
        <w:rPr>
          <w:rFonts w:hint="eastAsia"/>
          <w:lang w:val="en-US" w:eastAsia="zh-CN"/>
        </w:rPr>
      </w:pPr>
      <w:bookmarkStart w:id="816" w:name="_Toc9243"/>
      <w:bookmarkStart w:id="817" w:name="_Toc21430"/>
      <w:bookmarkStart w:id="818" w:name="_Toc9679"/>
      <w:bookmarkStart w:id="819" w:name="_Toc22140"/>
      <w:bookmarkStart w:id="820" w:name="_Toc5501"/>
      <w:bookmarkStart w:id="821" w:name="_Toc9688"/>
      <w:r>
        <w:rPr>
          <w:rFonts w:hint="eastAsia"/>
          <w:lang w:val="en-US" w:eastAsia="zh-CN"/>
        </w:rPr>
        <w:t>法定代表人/单位负责人身份证明书</w:t>
      </w:r>
      <w:bookmarkEnd w:id="816"/>
      <w:bookmarkEnd w:id="817"/>
      <w:bookmarkEnd w:id="818"/>
      <w:bookmarkEnd w:id="819"/>
      <w:bookmarkEnd w:id="820"/>
      <w:bookmarkEnd w:id="821"/>
    </w:p>
    <w:p>
      <w:pPr>
        <w:pStyle w:val="46"/>
        <w:bidi w:val="0"/>
        <w:rPr>
          <w:rFonts w:hint="eastAsia"/>
        </w:rPr>
      </w:pPr>
      <w:r>
        <w:rPr>
          <w:rFonts w:hint="eastAsia"/>
        </w:rPr>
        <w:t>单位名称：</w:t>
      </w:r>
      <w:r>
        <w:rPr>
          <w:rFonts w:hint="eastAsia" w:asciiTheme="minorEastAsia" w:hAnsiTheme="minorEastAsia" w:eastAsiaTheme="minorEastAsia" w:cstheme="minorEastAsia"/>
          <w:color w:val="auto"/>
          <w:sz w:val="24"/>
          <w:szCs w:val="24"/>
          <w:highlight w:val="none"/>
          <w:u w:val="single"/>
        </w:rPr>
        <w:t xml:space="preserve">                            </w:t>
      </w:r>
      <w:r>
        <w:rPr>
          <w:rFonts w:hint="eastAsia"/>
        </w:rPr>
        <w:t xml:space="preserve">                            </w:t>
      </w:r>
    </w:p>
    <w:p>
      <w:pPr>
        <w:pStyle w:val="46"/>
        <w:bidi w:val="0"/>
        <w:rPr>
          <w:rFonts w:hint="eastAsia"/>
        </w:rPr>
      </w:pPr>
      <w:r>
        <w:rPr>
          <w:rFonts w:hint="eastAsia"/>
        </w:rPr>
        <w:t>地    址：</w:t>
      </w:r>
      <w:r>
        <w:rPr>
          <w:rFonts w:hint="eastAsia" w:asciiTheme="minorEastAsia" w:hAnsiTheme="minorEastAsia" w:eastAsiaTheme="minorEastAsia" w:cstheme="minorEastAsia"/>
          <w:color w:val="auto"/>
          <w:sz w:val="24"/>
          <w:szCs w:val="24"/>
          <w:highlight w:val="none"/>
          <w:u w:val="single"/>
        </w:rPr>
        <w:t xml:space="preserve">                            </w:t>
      </w:r>
      <w:r>
        <w:rPr>
          <w:rFonts w:hint="eastAsia"/>
        </w:rPr>
        <w:t xml:space="preserve">                            </w:t>
      </w:r>
    </w:p>
    <w:p>
      <w:pPr>
        <w:pStyle w:val="46"/>
        <w:bidi w:val="0"/>
        <w:rPr>
          <w:rFonts w:hint="eastAsia"/>
        </w:rPr>
      </w:pPr>
      <w:r>
        <w:rPr>
          <w:rFonts w:hint="eastAsia"/>
        </w:rPr>
        <w:t>姓    名：</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性别：</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职务：</w:t>
      </w:r>
      <w:r>
        <w:rPr>
          <w:rFonts w:hint="eastAsia" w:asciiTheme="minorEastAsia" w:hAnsiTheme="minorEastAsia" w:eastAsiaTheme="minorEastAsia" w:cstheme="minorEastAsia"/>
          <w:color w:val="auto"/>
          <w:sz w:val="24"/>
          <w:szCs w:val="24"/>
          <w:highlight w:val="none"/>
          <w:u w:val="single"/>
        </w:rPr>
        <w:t xml:space="preserve">            </w:t>
      </w:r>
      <w:r>
        <w:rPr>
          <w:rFonts w:hint="eastAsia"/>
        </w:rPr>
        <w:t xml:space="preserve">            </w:t>
      </w:r>
    </w:p>
    <w:p>
      <w:pPr>
        <w:pStyle w:val="46"/>
        <w:bidi w:val="0"/>
        <w:rPr>
          <w:rFonts w:hint="eastAsia"/>
        </w:rPr>
      </w:pPr>
      <w:r>
        <w:rPr>
          <w:rFonts w:hint="eastAsia"/>
        </w:rPr>
        <w:t>本人系</w:t>
      </w:r>
      <w:r>
        <w:rPr>
          <w:rFonts w:hint="eastAsia"/>
          <w:u w:val="single"/>
        </w:rPr>
        <w:t xml:space="preserve">                           </w:t>
      </w:r>
      <w:r>
        <w:rPr>
          <w:rFonts w:hint="eastAsia"/>
        </w:rPr>
        <w:t>(</w:t>
      </w:r>
      <w:r>
        <w:rPr>
          <w:rFonts w:hint="eastAsia"/>
          <w:lang w:val="en-US" w:eastAsia="zh-CN"/>
        </w:rPr>
        <w:t>投标人</w:t>
      </w:r>
      <w:r>
        <w:rPr>
          <w:rFonts w:hint="eastAsia"/>
        </w:rPr>
        <w:t>名称)的法定代表人</w:t>
      </w:r>
      <w:r>
        <w:rPr>
          <w:rFonts w:hint="eastAsia"/>
          <w:lang w:val="en-US" w:eastAsia="zh-CN"/>
        </w:rPr>
        <w:t>/单位负责人</w:t>
      </w:r>
      <w:r>
        <w:rPr>
          <w:rFonts w:hint="eastAsia"/>
        </w:rPr>
        <w:t>。就参加你单位组织的“</w:t>
      </w:r>
      <w:r>
        <w:rPr>
          <w:rFonts w:hint="eastAsia"/>
          <w:u w:val="single"/>
        </w:rPr>
        <w:t xml:space="preserve">             </w:t>
      </w:r>
      <w:r>
        <w:rPr>
          <w:rFonts w:hint="eastAsia"/>
          <w:lang w:eastAsia="zh-CN"/>
        </w:rPr>
        <w:t>(</w:t>
      </w:r>
      <w:r>
        <w:rPr>
          <w:rFonts w:hint="eastAsia"/>
          <w:lang w:val="en-US" w:eastAsia="zh-CN"/>
        </w:rPr>
        <w:t>项目名称</w:t>
      </w:r>
      <w:r>
        <w:rPr>
          <w:rFonts w:hint="eastAsia"/>
          <w:lang w:eastAsia="zh-CN"/>
        </w:rPr>
        <w:t>)</w:t>
      </w:r>
      <w:r>
        <w:rPr>
          <w:rFonts w:hint="eastAsia"/>
        </w:rPr>
        <w:t>(项目编号</w:t>
      </w:r>
      <w:r>
        <w:rPr>
          <w:rFonts w:hint="eastAsia"/>
          <w:lang w:eastAsia="zh-CN"/>
        </w:rPr>
        <w:t>：</w:t>
      </w:r>
      <w:r>
        <w:rPr>
          <w:rFonts w:hint="eastAsia"/>
          <w:u w:val="single"/>
        </w:rPr>
        <w:t xml:space="preserve">         </w:t>
      </w:r>
      <w:r>
        <w:rPr>
          <w:rFonts w:hint="eastAsia"/>
        </w:rPr>
        <w:t>)”</w:t>
      </w:r>
      <w:r>
        <w:rPr>
          <w:rFonts w:hint="eastAsia"/>
          <w:highlight w:val="none"/>
        </w:rPr>
        <w:t>的</w:t>
      </w:r>
      <w:r>
        <w:rPr>
          <w:rFonts w:hint="eastAsia"/>
          <w:highlight w:val="none"/>
          <w:lang w:val="en-US" w:eastAsia="zh-CN"/>
        </w:rPr>
        <w:t>投</w:t>
      </w:r>
      <w:r>
        <w:rPr>
          <w:rFonts w:hint="eastAsia"/>
          <w:lang w:val="en-US" w:eastAsia="zh-CN"/>
        </w:rPr>
        <w:t>标</w:t>
      </w:r>
      <w:r>
        <w:rPr>
          <w:rFonts w:hint="eastAsia"/>
        </w:rPr>
        <w:t>活动、并参与项目的</w:t>
      </w:r>
      <w:r>
        <w:rPr>
          <w:rFonts w:hint="eastAsia"/>
          <w:lang w:val="en-US" w:eastAsia="zh-CN"/>
        </w:rPr>
        <w:t>投标</w:t>
      </w:r>
      <w:r>
        <w:rPr>
          <w:rFonts w:hint="eastAsia"/>
        </w:rPr>
        <w:t>、签订合同以及执行合同等一切事宜，我</w:t>
      </w:r>
      <w:r>
        <w:rPr>
          <w:rFonts w:hint="eastAsia"/>
          <w:lang w:val="en-US" w:eastAsia="zh-CN"/>
        </w:rPr>
        <w:t>单位</w:t>
      </w:r>
      <w:r>
        <w:rPr>
          <w:rFonts w:hint="eastAsia"/>
        </w:rPr>
        <w:t>均予承认，所产生的法律后果均由我单位承担。</w:t>
      </w:r>
    </w:p>
    <w:p>
      <w:pPr>
        <w:pStyle w:val="46"/>
        <w:bidi w:val="0"/>
        <w:rPr>
          <w:rFonts w:hint="eastAsia"/>
        </w:rPr>
      </w:pPr>
      <w:r>
        <w:rPr>
          <w:rFonts w:hint="eastAsia"/>
        </w:rPr>
        <w:t>特此证明。</w:t>
      </w:r>
    </w:p>
    <w:p>
      <w:pPr>
        <w:pStyle w:val="42"/>
        <w:bidi w:val="0"/>
        <w:rPr>
          <w:rFonts w:hint="eastAsia"/>
        </w:rPr>
      </w:pPr>
    </w:p>
    <w:p>
      <w:pPr>
        <w:pStyle w:val="42"/>
        <w:bidi w:val="0"/>
        <w:rPr>
          <w:rFonts w:hint="eastAsia"/>
        </w:rPr>
      </w:pPr>
    </w:p>
    <w:p>
      <w:pPr>
        <w:pStyle w:val="42"/>
        <w:bidi w:val="0"/>
        <w:rPr>
          <w:rFonts w:hint="eastAsia"/>
        </w:rPr>
      </w:pPr>
    </w:p>
    <w:p>
      <w:pPr>
        <w:pStyle w:val="42"/>
        <w:bidi w:val="0"/>
        <w:rPr>
          <w:rFonts w:hint="eastAsia"/>
        </w:rPr>
      </w:pPr>
    </w:p>
    <w:p>
      <w:pPr>
        <w:pStyle w:val="42"/>
        <w:bidi w:val="0"/>
        <w:rPr>
          <w:rFonts w:hint="eastAsia"/>
        </w:rPr>
      </w:pPr>
    </w:p>
    <w:p>
      <w:pPr>
        <w:pStyle w:val="46"/>
        <w:bidi w:val="0"/>
        <w:rPr>
          <w:rFonts w:hint="eastAsia"/>
        </w:rPr>
      </w:pPr>
      <w:r>
        <w:rPr>
          <w:rFonts w:hint="eastAsia"/>
          <w:lang w:val="en-US" w:eastAsia="zh-CN"/>
        </w:rPr>
        <w:t>投标人</w:t>
      </w:r>
      <w:r>
        <w:rPr>
          <w:rFonts w:hint="eastAsia"/>
        </w:rPr>
        <w:t>名称：</w:t>
      </w:r>
      <w:r>
        <w:rPr>
          <w:rFonts w:hint="eastAsia"/>
          <w:u w:val="single"/>
          <w:lang w:val="en-US" w:eastAsia="zh-CN"/>
        </w:rPr>
        <w:t xml:space="preserve">            </w:t>
      </w:r>
      <w:r>
        <w:rPr>
          <w:rFonts w:hint="eastAsia"/>
          <w:u w:val="single"/>
        </w:rPr>
        <w:t xml:space="preserve"> </w:t>
      </w:r>
    </w:p>
    <w:p>
      <w:pPr>
        <w:pStyle w:val="46"/>
        <w:bidi w:val="0"/>
        <w:rPr>
          <w:rFonts w:hint="eastAsia"/>
          <w:u w:val="single"/>
        </w:rPr>
      </w:pPr>
      <w:r>
        <w:rPr>
          <w:rFonts w:hint="eastAsia"/>
          <w:lang w:val="en-US" w:eastAsia="zh-CN"/>
        </w:rPr>
        <w:t>投标</w:t>
      </w:r>
      <w:r>
        <w:rPr>
          <w:rFonts w:hint="eastAsia"/>
        </w:rPr>
        <w:t>日期：</w:t>
      </w:r>
      <w:r>
        <w:rPr>
          <w:rFonts w:hint="eastAsia"/>
          <w:u w:val="single"/>
          <w:lang w:val="en-US" w:eastAsia="zh-CN"/>
        </w:rPr>
        <w:t xml:space="preserve">            </w:t>
      </w:r>
      <w:r>
        <w:rPr>
          <w:rFonts w:hint="eastAsia"/>
          <w:u w:val="single"/>
        </w:rPr>
        <w:t xml:space="preserve"> </w:t>
      </w:r>
    </w:p>
    <w:p>
      <w:pPr>
        <w:pStyle w:val="46"/>
        <w:bidi w:val="0"/>
        <w:rPr>
          <w:rFonts w:hint="eastAsia"/>
        </w:rPr>
      </w:pPr>
    </w:p>
    <w:p>
      <w:pPr>
        <w:pStyle w:val="47"/>
        <w:bidi w:val="0"/>
      </w:pPr>
      <w:r>
        <w:rPr>
          <w:rFonts w:hint="eastAsia"/>
        </w:rPr>
        <w:t>注：</w:t>
      </w:r>
      <w:r>
        <w:rPr>
          <w:rFonts w:hint="eastAsia"/>
          <w:lang w:val="en-US" w:eastAsia="zh-CN"/>
        </w:rPr>
        <w:t>1.</w:t>
      </w:r>
      <w:r>
        <w:t>应附法定代表人/单位负责人身份证明材料复印件。</w:t>
      </w:r>
    </w:p>
    <w:p>
      <w:pPr>
        <w:pStyle w:val="47"/>
        <w:bidi w:val="0"/>
      </w:pPr>
      <w:r>
        <w:rPr>
          <w:rFonts w:hint="eastAsia"/>
          <w:lang w:val="en-US" w:eastAsia="zh-CN"/>
        </w:rPr>
        <w:t>2.</w:t>
      </w:r>
      <w:r>
        <w:t>身份证明材料包括居民身份证或户口本或军官证或护照等。</w:t>
      </w:r>
    </w:p>
    <w:p>
      <w:pPr>
        <w:pStyle w:val="47"/>
        <w:bidi w:val="0"/>
        <w:rPr>
          <w:rFonts w:hint="eastAsia"/>
          <w:lang w:eastAsia="zh-CN"/>
        </w:rPr>
      </w:pPr>
      <w:r>
        <w:rPr>
          <w:rFonts w:hint="eastAsia"/>
          <w:lang w:val="en-US" w:eastAsia="zh-CN"/>
        </w:rPr>
        <w:t>3.</w:t>
      </w:r>
      <w:r>
        <w:t>身份证明材料应同时提供其在有效期的材料，如居民身份证正、反面复印件</w:t>
      </w:r>
      <w:r>
        <w:rPr>
          <w:rFonts w:hint="eastAsia"/>
          <w:lang w:eastAsia="zh-CN"/>
        </w:rPr>
        <w:t>。</w:t>
      </w:r>
    </w:p>
    <w:p>
      <w:pPr>
        <w:pStyle w:val="44"/>
        <w:numPr>
          <w:ilvl w:val="0"/>
          <w:numId w:val="20"/>
        </w:numPr>
        <w:bidi w:val="0"/>
        <w:ind w:left="0" w:leftChars="0" w:firstLine="0" w:firstLineChars="0"/>
        <w:rPr>
          <w:rFonts w:hint="eastAsia"/>
          <w:lang w:val="en-US" w:eastAsia="zh-CN"/>
        </w:rPr>
      </w:pPr>
      <w:bookmarkStart w:id="822" w:name="_Toc10998"/>
      <w:bookmarkStart w:id="823" w:name="_Toc22678"/>
      <w:bookmarkStart w:id="824" w:name="_Toc22152"/>
      <w:bookmarkStart w:id="825" w:name="_Toc28837"/>
      <w:bookmarkStart w:id="826" w:name="_Toc28397"/>
      <w:bookmarkStart w:id="827" w:name="_Toc3822"/>
      <w:r>
        <w:rPr>
          <w:rFonts w:hint="eastAsia"/>
          <w:lang w:val="en-US" w:eastAsia="zh-CN"/>
        </w:rPr>
        <w:t>具有独立承担民事责任的能力的证明材料</w:t>
      </w:r>
      <w:bookmarkEnd w:id="822"/>
      <w:bookmarkEnd w:id="823"/>
      <w:bookmarkEnd w:id="824"/>
      <w:bookmarkEnd w:id="825"/>
    </w:p>
    <w:p>
      <w:pPr>
        <w:pStyle w:val="46"/>
        <w:bidi w:val="0"/>
        <w:rPr>
          <w:rFonts w:hint="eastAsia"/>
          <w:lang w:eastAsia="zh-CN"/>
        </w:rPr>
      </w:pPr>
      <w:r>
        <w:rPr>
          <w:rFonts w:hint="eastAsia"/>
        </w:rPr>
        <w:t>①</w:t>
      </w:r>
      <w:r>
        <w:rPr>
          <w:rFonts w:hint="eastAsia"/>
          <w:lang w:val="en-US" w:eastAsia="zh-CN"/>
        </w:rPr>
        <w:t>投标人</w:t>
      </w:r>
      <w:r>
        <w:rPr>
          <w:rFonts w:hint="eastAsia"/>
        </w:rPr>
        <w:t>若为企业法人：提供“营业执照”</w:t>
      </w:r>
      <w:r>
        <w:rPr>
          <w:rFonts w:hint="eastAsia"/>
          <w:lang w:val="en-US" w:eastAsia="zh-CN"/>
        </w:rPr>
        <w:t>副本复印件</w:t>
      </w:r>
      <w:r>
        <w:rPr>
          <w:rFonts w:hint="eastAsia"/>
        </w:rPr>
        <w:t>；未换证的提供“营业执照</w:t>
      </w:r>
      <w:r>
        <w:rPr>
          <w:rFonts w:hint="eastAsia"/>
          <w:lang w:val="en-US" w:eastAsia="zh-CN"/>
        </w:rPr>
        <w:t>副本</w:t>
      </w:r>
      <w:r>
        <w:rPr>
          <w:rFonts w:hint="eastAsia"/>
        </w:rPr>
        <w:t>、税务登记证</w:t>
      </w:r>
      <w:r>
        <w:rPr>
          <w:rFonts w:hint="eastAsia"/>
          <w:lang w:val="en-US" w:eastAsia="zh-CN"/>
        </w:rPr>
        <w:t>副本</w:t>
      </w:r>
      <w:r>
        <w:rPr>
          <w:rFonts w:hint="eastAsia"/>
        </w:rPr>
        <w:t>、组织机构代码证</w:t>
      </w:r>
      <w:r>
        <w:rPr>
          <w:rFonts w:hint="eastAsia"/>
          <w:lang w:val="en-US" w:eastAsia="zh-CN"/>
        </w:rPr>
        <w:t>副本</w:t>
      </w:r>
      <w:r>
        <w:rPr>
          <w:rFonts w:hint="eastAsia"/>
        </w:rPr>
        <w:t>”</w:t>
      </w:r>
      <w:r>
        <w:rPr>
          <w:rFonts w:hint="eastAsia"/>
          <w:lang w:val="en-US" w:eastAsia="zh-CN"/>
        </w:rPr>
        <w:t>复印件</w:t>
      </w:r>
      <w:r>
        <w:rPr>
          <w:rFonts w:hint="eastAsia"/>
        </w:rPr>
        <w:t>；②若为事业法人：提供“统一社会信用代码法人登记证书”</w:t>
      </w:r>
      <w:r>
        <w:rPr>
          <w:rFonts w:hint="eastAsia"/>
          <w:lang w:val="en-US" w:eastAsia="zh-CN"/>
        </w:rPr>
        <w:t>复印件</w:t>
      </w:r>
      <w:r>
        <w:rPr>
          <w:rFonts w:hint="eastAsia"/>
        </w:rPr>
        <w:t>；未换证的提交“事业法人登记证书、组织机构代码证”</w:t>
      </w:r>
      <w:r>
        <w:rPr>
          <w:rFonts w:hint="eastAsia"/>
          <w:lang w:val="en-US" w:eastAsia="zh-CN"/>
        </w:rPr>
        <w:t>复印件</w:t>
      </w:r>
      <w:r>
        <w:rPr>
          <w:rFonts w:hint="eastAsia"/>
        </w:rPr>
        <w:t>；③若为其他组织：提供“对应主管部门颁发的准许执业证明文件或营业执照</w:t>
      </w:r>
      <w:r>
        <w:rPr>
          <w:rFonts w:hint="eastAsia"/>
          <w:lang w:val="en-US" w:eastAsia="zh-CN"/>
        </w:rPr>
        <w:t>副本</w:t>
      </w:r>
      <w:r>
        <w:rPr>
          <w:rFonts w:hint="eastAsia"/>
        </w:rPr>
        <w:t>”</w:t>
      </w:r>
      <w:r>
        <w:rPr>
          <w:rFonts w:hint="eastAsia"/>
          <w:lang w:val="en-US" w:eastAsia="zh-CN"/>
        </w:rPr>
        <w:t>复印件</w:t>
      </w:r>
      <w:r>
        <w:rPr>
          <w:rFonts w:hint="eastAsia"/>
        </w:rPr>
        <w:t>；④若为自然人：提供“身份证明材料”</w:t>
      </w:r>
      <w:r>
        <w:rPr>
          <w:rFonts w:hint="eastAsia"/>
          <w:lang w:eastAsia="zh-CN"/>
        </w:rPr>
        <w:t>。</w:t>
      </w:r>
    </w:p>
    <w:bookmarkEnd w:id="826"/>
    <w:p>
      <w:pPr>
        <w:pStyle w:val="47"/>
        <w:bidi w:val="0"/>
        <w:rPr>
          <w:rFonts w:hint="eastAsia"/>
          <w:lang w:val="en-US" w:eastAsia="zh-CN"/>
        </w:rPr>
      </w:pPr>
      <w:r>
        <w:rPr>
          <w:rFonts w:hint="eastAsia"/>
          <w:lang w:val="en-US" w:eastAsia="zh-CN"/>
        </w:rPr>
        <w:t>注：1.以上证明材料应满足此条要求①发证机关有年检要求的，应按规定通过年检；②在有效期内；③复印件加盖投标人电子签章；</w:t>
      </w:r>
    </w:p>
    <w:p>
      <w:pPr>
        <w:pStyle w:val="47"/>
        <w:bidi w:val="0"/>
        <w:rPr>
          <w:rFonts w:hint="eastAsia"/>
          <w:lang w:val="en-US" w:eastAsia="zh-CN"/>
        </w:rPr>
      </w:pPr>
      <w:r>
        <w:rPr>
          <w:rFonts w:hint="eastAsia"/>
          <w:lang w:val="en-US" w:eastAsia="zh-CN"/>
        </w:rPr>
        <w:t>2.</w:t>
      </w:r>
      <w:bookmarkEnd w:id="827"/>
      <w:r>
        <w:rPr>
          <w:rFonts w:hint="eastAsia"/>
          <w:lang w:val="en-US" w:eastAsia="zh-CN"/>
        </w:rPr>
        <w:t>企业若已更换为三证合一的则提供营业执照副本复印件，事业单位提供事业单位法人证书复印件，其他组织提供执业许可证或营业执照等证明文件复印件，自然人提供身份证明均具备此条同等效力；</w:t>
      </w:r>
    </w:p>
    <w:p>
      <w:pPr>
        <w:pStyle w:val="47"/>
        <w:bidi w:val="0"/>
      </w:pPr>
      <w:r>
        <w:rPr>
          <w:rFonts w:hint="eastAsia"/>
          <w:lang w:val="en-US" w:eastAsia="zh-CN"/>
        </w:rPr>
        <w:t>3.</w:t>
      </w:r>
      <w:r>
        <w:t>根据国务院办公厅关于加快推进“多证合一”改革的指导意见</w:t>
      </w:r>
      <w:r>
        <w:rPr>
          <w:rFonts w:hint="eastAsia"/>
          <w:lang w:eastAsia="zh-CN"/>
        </w:rPr>
        <w:t>(</w:t>
      </w:r>
      <w:r>
        <w:t>国办发</w:t>
      </w:r>
      <w:r>
        <w:rPr>
          <w:rFonts w:hint="eastAsia"/>
          <w:lang w:val="en-US" w:eastAsia="zh-CN"/>
        </w:rPr>
        <w:t>〔</w:t>
      </w:r>
      <w:r>
        <w:t>2017</w:t>
      </w:r>
      <w:r>
        <w:rPr>
          <w:rFonts w:hint="eastAsia"/>
          <w:lang w:val="en-US" w:eastAsia="zh-CN"/>
        </w:rPr>
        <w:t>〕</w:t>
      </w:r>
      <w:r>
        <w:t>41号</w:t>
      </w:r>
      <w:r>
        <w:rPr>
          <w:rFonts w:hint="eastAsia"/>
          <w:lang w:eastAsia="zh-CN"/>
        </w:rPr>
        <w:t>)</w:t>
      </w:r>
      <w:r>
        <w:t>等政策要求，若资格要求涉及的登记、备案等有关事项和各类证照已实行多证合一</w:t>
      </w:r>
      <w:r>
        <w:rPr>
          <w:rFonts w:hint="eastAsia"/>
          <w:lang w:val="en-US" w:eastAsia="zh-CN"/>
        </w:rPr>
        <w:t>的，</w:t>
      </w:r>
      <w:r>
        <w:rPr>
          <w:rFonts w:hint="eastAsia"/>
          <w:lang w:eastAsia="zh-CN"/>
        </w:rPr>
        <w:t>提供多证合一证照</w:t>
      </w:r>
      <w:r>
        <w:rPr>
          <w:rFonts w:hint="eastAsia"/>
          <w:lang w:val="en-US" w:eastAsia="zh-CN"/>
        </w:rPr>
        <w:t>副本</w:t>
      </w:r>
      <w:r>
        <w:rPr>
          <w:rFonts w:hint="eastAsia"/>
          <w:lang w:eastAsia="zh-CN"/>
        </w:rPr>
        <w:t>复印件</w:t>
      </w:r>
      <w:r>
        <w:t>。</w:t>
      </w:r>
    </w:p>
    <w:p>
      <w:pPr>
        <w:pStyle w:val="42"/>
        <w:bidi w:val="0"/>
        <w:rPr>
          <w:rFonts w:hint="eastAsia"/>
          <w:lang w:val="en-US" w:eastAsia="zh-CN"/>
        </w:rPr>
      </w:pPr>
    </w:p>
    <w:p>
      <w:pPr>
        <w:pStyle w:val="44"/>
        <w:numPr>
          <w:ilvl w:val="0"/>
          <w:numId w:val="20"/>
        </w:numPr>
        <w:bidi w:val="0"/>
        <w:ind w:left="0" w:leftChars="0" w:firstLine="0" w:firstLineChars="0"/>
        <w:rPr>
          <w:rFonts w:hint="eastAsia"/>
          <w:lang w:val="en-US" w:eastAsia="zh-CN"/>
        </w:rPr>
      </w:pPr>
      <w:bookmarkStart w:id="828" w:name="_Toc17452"/>
      <w:bookmarkStart w:id="829" w:name="_Toc28024"/>
      <w:bookmarkStart w:id="830" w:name="_Toc3600"/>
      <w:bookmarkStart w:id="831" w:name="_Toc29937"/>
      <w:bookmarkStart w:id="832" w:name="_Toc14566"/>
      <w:r>
        <w:rPr>
          <w:rFonts w:hint="eastAsia"/>
          <w:lang w:val="en-US" w:eastAsia="zh-CN"/>
        </w:rPr>
        <w:t>投标人具有良好的商业信誉和健全的财务会计制度的证明材料</w:t>
      </w:r>
      <w:bookmarkEnd w:id="828"/>
      <w:bookmarkEnd w:id="829"/>
      <w:bookmarkEnd w:id="830"/>
      <w:bookmarkEnd w:id="831"/>
    </w:p>
    <w:bookmarkEnd w:id="832"/>
    <w:p>
      <w:pPr>
        <w:pStyle w:val="46"/>
        <w:bidi w:val="0"/>
        <w:rPr>
          <w:rFonts w:hint="eastAsia"/>
          <w:lang w:val="en-US" w:eastAsia="zh-CN"/>
        </w:rPr>
      </w:pPr>
      <w:bookmarkStart w:id="833" w:name="_Toc17744"/>
      <w:bookmarkStart w:id="834" w:name="_Toc19866"/>
      <w:bookmarkStart w:id="835" w:name="_Toc5443"/>
      <w:r>
        <w:rPr>
          <w:rFonts w:hint="eastAsia"/>
          <w:lang w:val="en-US" w:eastAsia="zh-CN"/>
        </w:rPr>
        <w:t>1.投标人具有</w:t>
      </w:r>
      <w:r>
        <w:rPr>
          <w:rFonts w:hint="eastAsia"/>
        </w:rPr>
        <w:t>良好商业信誉的证明材料</w:t>
      </w:r>
      <w:r>
        <w:rPr>
          <w:rFonts w:hint="eastAsia"/>
          <w:lang w:eastAsia="zh-CN"/>
        </w:rPr>
        <w:t>；</w:t>
      </w:r>
    </w:p>
    <w:p>
      <w:pPr>
        <w:pStyle w:val="46"/>
        <w:bidi w:val="0"/>
        <w:rPr>
          <w:rFonts w:hint="eastAsia"/>
          <w:lang w:eastAsia="zh-CN"/>
        </w:rPr>
      </w:pPr>
      <w:r>
        <w:rPr>
          <w:rFonts w:hint="eastAsia"/>
          <w:lang w:val="en-US" w:eastAsia="zh-CN"/>
        </w:rPr>
        <w:t>提供</w:t>
      </w:r>
      <w:r>
        <w:rPr>
          <w:rFonts w:hint="eastAsia"/>
        </w:rPr>
        <w:t>具</w:t>
      </w:r>
      <w:r>
        <w:rPr>
          <w:rFonts w:hint="eastAsia"/>
          <w:lang w:val="en-US" w:eastAsia="zh-CN"/>
        </w:rPr>
        <w:t>有</w:t>
      </w:r>
      <w:r>
        <w:rPr>
          <w:rFonts w:hint="eastAsia"/>
        </w:rPr>
        <w:t>良好</w:t>
      </w:r>
      <w:r>
        <w:rPr>
          <w:rFonts w:hint="eastAsia"/>
          <w:lang w:val="en-US" w:eastAsia="zh-CN"/>
        </w:rPr>
        <w:t>的</w:t>
      </w:r>
      <w:r>
        <w:rPr>
          <w:rFonts w:hint="eastAsia"/>
        </w:rPr>
        <w:t>商业信誉</w:t>
      </w:r>
      <w:r>
        <w:rPr>
          <w:rFonts w:hint="eastAsia"/>
          <w:lang w:val="en-US" w:eastAsia="zh-CN"/>
        </w:rPr>
        <w:t>的</w:t>
      </w:r>
      <w:r>
        <w:rPr>
          <w:rFonts w:hint="eastAsia"/>
        </w:rPr>
        <w:t>承诺函</w:t>
      </w:r>
      <w:r>
        <w:rPr>
          <w:rFonts w:hint="eastAsia"/>
          <w:lang w:eastAsia="zh-CN"/>
        </w:rPr>
        <w:t>。</w:t>
      </w:r>
    </w:p>
    <w:p>
      <w:pPr>
        <w:pStyle w:val="46"/>
        <w:bidi w:val="0"/>
        <w:rPr>
          <w:rFonts w:hint="eastAsia"/>
          <w:b/>
          <w:bCs/>
          <w:lang w:val="en-US" w:eastAsia="zh-CN"/>
        </w:rPr>
      </w:pPr>
      <w:r>
        <w:rPr>
          <w:rFonts w:hint="eastAsia"/>
          <w:b/>
          <w:bCs/>
          <w:lang w:val="en-US" w:eastAsia="zh-CN"/>
        </w:rPr>
        <w:t>注：投标人在参加政府采购活动前，被纳入法院、工商(市场监管)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46"/>
        <w:bidi w:val="0"/>
        <w:rPr>
          <w:rFonts w:hint="eastAsia"/>
          <w:lang w:val="en-US" w:eastAsia="zh-CN"/>
        </w:rPr>
      </w:pPr>
      <w:r>
        <w:rPr>
          <w:rFonts w:hint="eastAsia"/>
          <w:lang w:val="en-US" w:eastAsia="zh-CN"/>
        </w:rPr>
        <w:t>2.投标人具有健全的财务会计制度的证明材料；</w:t>
      </w:r>
    </w:p>
    <w:p>
      <w:pPr>
        <w:pStyle w:val="46"/>
        <w:bidi w:val="0"/>
        <w:rPr>
          <w:rFonts w:hint="default"/>
          <w:lang w:val="en-US" w:eastAsia="zh-CN"/>
        </w:rPr>
      </w:pPr>
      <w:r>
        <w:rPr>
          <w:rFonts w:hint="eastAsia"/>
          <w:lang w:val="en-US" w:eastAsia="zh-CN"/>
        </w:rPr>
        <w:t>(1)投标人提供2020年度经过会计师事务所审计的财务报告复印件(经审计的有效财务报告应包括报告及报告中所附的完整内容，并由注册会计师签名、盖章以及会计师事务所盖章)；</w:t>
      </w:r>
    </w:p>
    <w:p>
      <w:pPr>
        <w:pStyle w:val="46"/>
        <w:bidi w:val="0"/>
        <w:rPr>
          <w:rFonts w:hint="eastAsia"/>
          <w:lang w:val="en-US" w:eastAsia="zh-CN"/>
        </w:rPr>
      </w:pPr>
      <w:r>
        <w:rPr>
          <w:rFonts w:hint="eastAsia"/>
          <w:lang w:val="en-US" w:eastAsia="zh-CN"/>
        </w:rPr>
        <w:t>(2)投标人提供2020年度投标人内部的财务报表复印件(至少包含资产负债表)；</w:t>
      </w:r>
    </w:p>
    <w:p>
      <w:pPr>
        <w:pStyle w:val="46"/>
        <w:bidi w:val="0"/>
        <w:rPr>
          <w:rFonts w:hint="eastAsia"/>
          <w:lang w:val="en-US" w:eastAsia="zh-CN"/>
        </w:rPr>
      </w:pPr>
      <w:r>
        <w:rPr>
          <w:rFonts w:hint="eastAsia"/>
          <w:lang w:val="en-US" w:eastAsia="zh-CN"/>
        </w:rPr>
        <w:t>(3)投标人提供投标文件递交截止日前一年内银行为其出具的资信证明复印件；</w:t>
      </w:r>
    </w:p>
    <w:p>
      <w:pPr>
        <w:pStyle w:val="46"/>
        <w:bidi w:val="0"/>
        <w:rPr>
          <w:rFonts w:hint="eastAsia"/>
          <w:lang w:val="en-US" w:eastAsia="zh-CN"/>
        </w:rPr>
      </w:pPr>
      <w:r>
        <w:rPr>
          <w:rFonts w:hint="eastAsia"/>
          <w:lang w:val="en-US" w:eastAsia="zh-CN"/>
        </w:rPr>
        <w:t>(4)投标人注册时间截至投标文件递交截止日不足一年的，可提供公司章程复印件；</w:t>
      </w:r>
    </w:p>
    <w:p>
      <w:pPr>
        <w:pStyle w:val="46"/>
        <w:bidi w:val="0"/>
        <w:rPr>
          <w:rFonts w:hint="default"/>
          <w:lang w:val="en-US" w:eastAsia="zh-CN"/>
        </w:rPr>
      </w:pPr>
      <w:r>
        <w:rPr>
          <w:rFonts w:hint="eastAsia"/>
          <w:lang w:val="en-US" w:eastAsia="zh-CN"/>
        </w:rPr>
        <w:t>(5)投标人为事业单位或其他组织(不具备法人条件的组织，如</w:t>
      </w:r>
      <w:r>
        <w:rPr>
          <w:rFonts w:hint="eastAsia"/>
          <w:color w:val="auto"/>
        </w:rPr>
        <w:t>合伙组织、个体工商户、农村承包经营户</w:t>
      </w:r>
      <w:r>
        <w:rPr>
          <w:rFonts w:hint="eastAsia"/>
          <w:color w:val="auto"/>
          <w:lang w:val="en-US" w:eastAsia="zh-CN"/>
        </w:rPr>
        <w:t>等)</w:t>
      </w:r>
      <w:r>
        <w:rPr>
          <w:rFonts w:hint="eastAsia"/>
          <w:lang w:val="en-US" w:eastAsia="zh-CN"/>
        </w:rPr>
        <w:t>或自然人时，可提供承诺函。</w:t>
      </w:r>
    </w:p>
    <w:p>
      <w:pPr>
        <w:pStyle w:val="47"/>
        <w:bidi w:val="0"/>
        <w:rPr>
          <w:rFonts w:hint="eastAsia"/>
          <w:lang w:val="en-US" w:eastAsia="zh-CN"/>
        </w:rPr>
      </w:pPr>
      <w:r>
        <w:rPr>
          <w:rFonts w:hint="eastAsia"/>
          <w:b/>
          <w:bCs/>
          <w:lang w:val="en-US" w:eastAsia="zh-CN"/>
        </w:rPr>
        <w:t>注：具有健全的财务会计制度的证明材料中第(1)-(5)项具有同等的投标效力，投标人可根据自身实际情况选择提供其中任意一项。</w:t>
      </w:r>
    </w:p>
    <w:p>
      <w:pPr>
        <w:pStyle w:val="44"/>
        <w:numPr>
          <w:ilvl w:val="0"/>
          <w:numId w:val="20"/>
        </w:numPr>
        <w:bidi w:val="0"/>
        <w:ind w:left="0" w:leftChars="0" w:firstLine="0" w:firstLineChars="0"/>
        <w:rPr>
          <w:rFonts w:hint="eastAsia"/>
          <w:lang w:val="en-US" w:eastAsia="zh-CN"/>
        </w:rPr>
      </w:pPr>
      <w:bookmarkStart w:id="836" w:name="_Toc27673"/>
      <w:bookmarkStart w:id="837" w:name="_Toc19365"/>
      <w:r>
        <w:rPr>
          <w:rFonts w:hint="eastAsia"/>
          <w:lang w:val="en-US" w:eastAsia="zh-CN"/>
        </w:rPr>
        <w:t>投标人具有依法缴纳税收和社会保障资金的良好记录的证明材料</w:t>
      </w:r>
      <w:bookmarkEnd w:id="833"/>
      <w:bookmarkEnd w:id="834"/>
      <w:bookmarkEnd w:id="836"/>
      <w:bookmarkEnd w:id="837"/>
    </w:p>
    <w:bookmarkEnd w:id="835"/>
    <w:p>
      <w:pPr>
        <w:pStyle w:val="46"/>
        <w:bidi w:val="0"/>
        <w:rPr>
          <w:rFonts w:hint="eastAsia"/>
        </w:rPr>
      </w:pPr>
      <w:r>
        <w:rPr>
          <w:rFonts w:hint="eastAsia"/>
        </w:rPr>
        <w:t>提供</w:t>
      </w:r>
      <w:r>
        <w:rPr>
          <w:rFonts w:hint="eastAsia"/>
          <w:lang w:val="zh-CN"/>
        </w:rPr>
        <w:t>依法缴纳税收和社会保障资金的良好记录</w:t>
      </w:r>
      <w:r>
        <w:rPr>
          <w:rFonts w:hint="eastAsia"/>
        </w:rPr>
        <w:t>的承诺函</w:t>
      </w:r>
      <w:r>
        <w:rPr>
          <w:rFonts w:hint="eastAsia"/>
          <w:lang w:eastAsia="zh-CN"/>
        </w:rPr>
        <w:t>。</w:t>
      </w:r>
    </w:p>
    <w:p>
      <w:pPr>
        <w:pStyle w:val="47"/>
        <w:bidi w:val="0"/>
        <w:rPr>
          <w:rFonts w:hint="default"/>
          <w:lang w:val="en-US" w:eastAsia="zh-CN"/>
        </w:rPr>
      </w:pPr>
      <w:r>
        <w:rPr>
          <w:rFonts w:hint="eastAsia"/>
          <w:lang w:val="en-US" w:eastAsia="zh-CN"/>
        </w:rPr>
        <w:t>注：格式自拟，或参照《符合&lt;中华人民共和国政府采购法&gt;第二十二条规定的条件的承诺及声明函》的格式提供承诺函。</w:t>
      </w:r>
    </w:p>
    <w:p>
      <w:pPr>
        <w:pStyle w:val="42"/>
        <w:bidi w:val="0"/>
        <w:rPr>
          <w:rFonts w:hint="eastAsia"/>
          <w:lang w:val="en-US" w:eastAsia="zh-CN"/>
        </w:rPr>
      </w:pPr>
      <w:r>
        <w:rPr>
          <w:rFonts w:hint="eastAsia"/>
          <w:lang w:val="en-US" w:eastAsia="zh-CN"/>
        </w:rPr>
        <w:br w:type="page"/>
      </w:r>
    </w:p>
    <w:p>
      <w:pPr>
        <w:pStyle w:val="44"/>
        <w:numPr>
          <w:ilvl w:val="0"/>
          <w:numId w:val="20"/>
        </w:numPr>
        <w:bidi w:val="0"/>
        <w:ind w:left="0" w:leftChars="0" w:firstLine="0" w:firstLineChars="0"/>
        <w:rPr>
          <w:rFonts w:hint="eastAsia"/>
          <w:lang w:val="en-US" w:eastAsia="zh-CN"/>
        </w:rPr>
      </w:pPr>
      <w:bookmarkStart w:id="838" w:name="_Toc16336"/>
      <w:bookmarkStart w:id="839" w:name="_Toc15870"/>
      <w:bookmarkStart w:id="840" w:name="_Toc4340"/>
      <w:bookmarkStart w:id="841" w:name="_Toc14829"/>
      <w:r>
        <w:rPr>
          <w:rFonts w:hint="eastAsia"/>
          <w:lang w:val="en-US" w:eastAsia="zh-CN"/>
        </w:rPr>
        <w:t>投标人具有履行合同所必需的设备和专业技术能力证明材料</w:t>
      </w:r>
      <w:bookmarkEnd w:id="838"/>
      <w:bookmarkEnd w:id="839"/>
      <w:bookmarkEnd w:id="840"/>
      <w:bookmarkEnd w:id="841"/>
    </w:p>
    <w:p>
      <w:pPr>
        <w:pStyle w:val="46"/>
        <w:bidi w:val="0"/>
        <w:rPr>
          <w:rFonts w:hint="eastAsia"/>
          <w:lang w:val="en-US" w:eastAsia="zh-CN"/>
        </w:rPr>
      </w:pPr>
      <w:r>
        <w:rPr>
          <w:rFonts w:hint="eastAsia"/>
          <w:lang w:val="en-US" w:eastAsia="zh-CN"/>
        </w:rPr>
        <w:t>提供具有履行合同所必需的设备和专业技术能力的承诺函。</w:t>
      </w:r>
    </w:p>
    <w:p>
      <w:pPr>
        <w:pStyle w:val="47"/>
        <w:bidi w:val="0"/>
        <w:rPr>
          <w:rFonts w:hint="eastAsia"/>
          <w:lang w:val="en-US" w:eastAsia="zh-CN"/>
        </w:rPr>
      </w:pPr>
      <w:r>
        <w:rPr>
          <w:rFonts w:hint="eastAsia"/>
          <w:lang w:val="en-US" w:eastAsia="zh-CN"/>
        </w:rPr>
        <w:t>注：格式自拟，或参照《符合&lt;中华人民共和国政府采购法&gt;第二十二条规定的条件的承诺及声明函》的格式提供承诺函。</w:t>
      </w:r>
    </w:p>
    <w:p>
      <w:pPr>
        <w:pStyle w:val="42"/>
        <w:bidi w:val="0"/>
        <w:rPr>
          <w:rFonts w:hint="eastAsia"/>
          <w:lang w:val="en-US" w:eastAsia="zh-CN"/>
        </w:rPr>
      </w:pPr>
      <w:r>
        <w:rPr>
          <w:rFonts w:hint="eastAsia"/>
          <w:lang w:val="en-US" w:eastAsia="zh-CN"/>
        </w:rPr>
        <w:br w:type="page"/>
      </w:r>
    </w:p>
    <w:p>
      <w:pPr>
        <w:pStyle w:val="44"/>
        <w:numPr>
          <w:ilvl w:val="0"/>
          <w:numId w:val="20"/>
        </w:numPr>
        <w:bidi w:val="0"/>
        <w:ind w:left="0" w:leftChars="0" w:firstLine="0" w:firstLineChars="0"/>
        <w:rPr>
          <w:rFonts w:hint="eastAsia"/>
          <w:lang w:val="en-US" w:eastAsia="zh-CN"/>
        </w:rPr>
      </w:pPr>
      <w:bookmarkStart w:id="842" w:name="_Toc9968"/>
      <w:bookmarkStart w:id="843" w:name="_Toc21379"/>
      <w:bookmarkStart w:id="844" w:name="_Toc30318"/>
      <w:r>
        <w:rPr>
          <w:rFonts w:hint="eastAsia"/>
          <w:lang w:val="en-US" w:eastAsia="zh-CN"/>
        </w:rPr>
        <w:t>投标人参加政府采购活动前三年内，在经营活动中没有重大违法记录的证明材料</w:t>
      </w:r>
      <w:bookmarkEnd w:id="842"/>
      <w:bookmarkEnd w:id="843"/>
      <w:bookmarkEnd w:id="844"/>
    </w:p>
    <w:p>
      <w:pPr>
        <w:pStyle w:val="46"/>
        <w:bidi w:val="0"/>
        <w:rPr>
          <w:rFonts w:hint="eastAsia"/>
          <w:lang w:val="en-US" w:eastAsia="zh-CN"/>
        </w:rPr>
      </w:pPr>
      <w:bookmarkStart w:id="845" w:name="_Toc14299"/>
      <w:bookmarkStart w:id="846" w:name="_Toc9591"/>
      <w:r>
        <w:rPr>
          <w:rFonts w:hint="eastAsia"/>
          <w:lang w:val="en-US" w:eastAsia="zh-CN"/>
        </w:rPr>
        <w:t>投标人提供参加本次政府采购活动前三年内，在经营活动中没有重大违法记录的书面声明(成立不足三年的，从成立之日起计算)。</w:t>
      </w:r>
    </w:p>
    <w:p>
      <w:pPr>
        <w:pStyle w:val="47"/>
        <w:bidi w:val="0"/>
        <w:rPr>
          <w:rFonts w:hint="default"/>
          <w:lang w:val="en-US" w:eastAsia="zh-CN"/>
        </w:rPr>
      </w:pPr>
      <w:bookmarkStart w:id="847" w:name="_Toc7540"/>
      <w:bookmarkStart w:id="848" w:name="_Toc26284"/>
      <w:r>
        <w:rPr>
          <w:rFonts w:hint="eastAsia"/>
          <w:lang w:val="en-US" w:eastAsia="zh-CN"/>
        </w:rPr>
        <w:t>注：格式自拟，或参照《符合&lt;中华人民共和国政府采购法&gt;第二十二条规定的条件的承诺及声明函》的格式提供声明函。如有重大违法记录的，投标人将被认定投标无效或被取消中标资格。</w:t>
      </w:r>
    </w:p>
    <w:bookmarkEnd w:id="845"/>
    <w:bookmarkEnd w:id="846"/>
    <w:bookmarkEnd w:id="847"/>
    <w:bookmarkEnd w:id="848"/>
    <w:p>
      <w:pPr>
        <w:pStyle w:val="44"/>
        <w:numPr>
          <w:ilvl w:val="0"/>
          <w:numId w:val="20"/>
        </w:numPr>
        <w:bidi w:val="0"/>
        <w:ind w:left="0" w:leftChars="0" w:firstLine="0" w:firstLineChars="0"/>
        <w:rPr>
          <w:rFonts w:hint="eastAsia"/>
          <w:lang w:val="zh-CN" w:eastAsia="zh-CN"/>
        </w:rPr>
      </w:pPr>
      <w:bookmarkStart w:id="849" w:name="_Toc27034"/>
      <w:bookmarkStart w:id="850" w:name="_Toc17558"/>
      <w:bookmarkStart w:id="851" w:name="_Toc3840"/>
      <w:bookmarkStart w:id="852" w:name="_Toc3088"/>
      <w:bookmarkStart w:id="853" w:name="_Toc29042"/>
      <w:r>
        <w:rPr>
          <w:rFonts w:hint="eastAsia"/>
          <w:lang w:val="en-US" w:eastAsia="zh-CN"/>
        </w:rPr>
        <w:t>投标人</w:t>
      </w:r>
      <w:r>
        <w:rPr>
          <w:rFonts w:hint="eastAsia"/>
          <w:lang w:val="zh-CN" w:eastAsia="zh-CN"/>
        </w:rPr>
        <w:t>及其现任法定代表人、主要负责人不得具有行贿犯罪记录</w:t>
      </w:r>
      <w:r>
        <w:rPr>
          <w:rFonts w:hint="eastAsia"/>
          <w:lang w:val="en-US" w:eastAsia="zh-CN"/>
        </w:rPr>
        <w:t>的</w:t>
      </w:r>
      <w:bookmarkEnd w:id="849"/>
      <w:bookmarkEnd w:id="850"/>
      <w:bookmarkEnd w:id="851"/>
      <w:r>
        <w:rPr>
          <w:rFonts w:hint="eastAsia"/>
          <w:lang w:val="en-US" w:eastAsia="zh-CN"/>
        </w:rPr>
        <w:t>承诺函</w:t>
      </w:r>
      <w:bookmarkEnd w:id="852"/>
      <w:bookmarkEnd w:id="853"/>
    </w:p>
    <w:p>
      <w:pPr>
        <w:pStyle w:val="42"/>
        <w:keepNext w:val="0"/>
        <w:keepLines w:val="0"/>
        <w:pageBreakBefore w:val="0"/>
        <w:widowControl w:val="0"/>
        <w:kinsoku/>
        <w:wordWrap w:val="0"/>
        <w:overflowPunct/>
        <w:topLinePunct/>
        <w:autoSpaceDE/>
        <w:autoSpaceDN/>
        <w:bidi w:val="0"/>
        <w:adjustRightInd/>
        <w:snapToGrid/>
        <w:ind w:left="0" w:lef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采购代理机构名称</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p>
      <w:pPr>
        <w:pStyle w:val="42"/>
        <w:keepNext w:val="0"/>
        <w:keepLines w:val="0"/>
        <w:pageBreakBefore w:val="0"/>
        <w:widowControl w:val="0"/>
        <w:kinsoku/>
        <w:wordWrap w:val="0"/>
        <w:overflowPunct/>
        <w:topLinePunct/>
        <w:autoSpaceDE/>
        <w:autoSpaceDN/>
        <w:bidi w:val="0"/>
        <w:adjustRightInd/>
        <w:snapToGrid/>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cs="宋体"/>
          <w:color w:val="auto"/>
          <w:highlight w:val="none"/>
          <w:lang w:val="en-US" w:eastAsia="zh-CN"/>
        </w:rPr>
        <w:t>单位</w:t>
      </w:r>
      <w:r>
        <w:rPr>
          <w:rFonts w:hint="eastAsia" w:ascii="宋体" w:hAnsi="宋体" w:eastAsia="宋体" w:cs="宋体"/>
          <w:color w:val="auto"/>
          <w:highlight w:val="none"/>
        </w:rPr>
        <w:t>作为本次采购项目的</w:t>
      </w:r>
      <w:r>
        <w:rPr>
          <w:rFonts w:hint="eastAsia" w:cs="宋体"/>
          <w:color w:val="auto"/>
          <w:highlight w:val="none"/>
          <w:lang w:eastAsia="zh-CN"/>
        </w:rPr>
        <w:t>投标人</w:t>
      </w:r>
      <w:r>
        <w:rPr>
          <w:rFonts w:hint="eastAsia" w:ascii="宋体" w:hAnsi="宋体" w:eastAsia="宋体" w:cs="宋体"/>
          <w:color w:val="auto"/>
          <w:highlight w:val="none"/>
        </w:rPr>
        <w:t>，根据</w:t>
      </w:r>
      <w:r>
        <w:rPr>
          <w:rFonts w:hint="eastAsia" w:cs="宋体"/>
          <w:color w:val="auto"/>
          <w:highlight w:val="none"/>
          <w:lang w:val="en-US" w:eastAsia="zh-CN"/>
        </w:rPr>
        <w:t>招标</w:t>
      </w:r>
      <w:r>
        <w:rPr>
          <w:rFonts w:hint="eastAsia" w:ascii="宋体" w:hAnsi="宋体" w:eastAsia="宋体" w:cs="宋体"/>
          <w:color w:val="auto"/>
          <w:highlight w:val="none"/>
          <w:lang w:eastAsia="zh-CN"/>
        </w:rPr>
        <w:t>文件</w:t>
      </w:r>
      <w:r>
        <w:rPr>
          <w:rFonts w:hint="eastAsia" w:ascii="宋体" w:hAnsi="宋体" w:eastAsia="宋体" w:cs="宋体"/>
          <w:color w:val="auto"/>
          <w:highlight w:val="none"/>
        </w:rPr>
        <w:t>要求，现郑重承诺如下：</w:t>
      </w:r>
    </w:p>
    <w:p>
      <w:pPr>
        <w:pStyle w:val="46"/>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u w:val="single"/>
          <w:lang w:val="en-US" w:eastAsia="zh-CN"/>
        </w:rPr>
      </w:pPr>
      <w:r>
        <w:rPr>
          <w:rFonts w:hint="eastAsia" w:cs="宋体"/>
          <w:color w:val="auto"/>
          <w:highlight w:val="none"/>
          <w:u w:val="single"/>
          <w:lang w:val="en-US" w:eastAsia="zh-CN"/>
        </w:rPr>
        <w:t xml:space="preserve">           </w:t>
      </w:r>
      <w:r>
        <w:rPr>
          <w:rFonts w:hint="eastAsia" w:cs="宋体"/>
          <w:b w:val="0"/>
          <w:bCs w:val="0"/>
          <w:color w:val="auto"/>
          <w:highlight w:val="none"/>
          <w:lang w:val="en-US" w:eastAsia="zh-CN"/>
        </w:rPr>
        <w:t>(投标人名称)及其现任法定代表人</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(姓名)、</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(身份证号码)，主要负责人</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(姓名)、</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(身份证号码)，</w:t>
      </w:r>
      <w:r>
        <w:rPr>
          <w:rFonts w:hint="eastAsia" w:cs="宋体"/>
          <w:b w:val="0"/>
          <w:bCs w:val="0"/>
          <w:color w:val="auto"/>
          <w:highlight w:val="none"/>
          <w:u w:val="single"/>
          <w:lang w:val="en-US" w:eastAsia="zh-CN"/>
        </w:rPr>
        <w:t xml:space="preserve">        </w:t>
      </w:r>
      <w:r>
        <w:rPr>
          <w:rFonts w:hint="eastAsia" w:cs="宋体"/>
          <w:color w:val="auto"/>
          <w:highlight w:val="none"/>
          <w:u w:val="none"/>
          <w:lang w:val="en-US" w:eastAsia="zh-CN"/>
        </w:rPr>
        <w:t xml:space="preserve">(无行贿犯罪记录的期限)均无行贿犯罪记录。     </w:t>
      </w:r>
    </w:p>
    <w:p>
      <w:pPr>
        <w:pStyle w:val="46"/>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cs="宋体"/>
          <w:color w:val="auto"/>
          <w:highlight w:val="none"/>
          <w:lang w:val="en-US" w:eastAsia="zh-CN"/>
        </w:rPr>
        <w:t>单位</w:t>
      </w:r>
      <w:r>
        <w:rPr>
          <w:rFonts w:hint="eastAsia" w:ascii="宋体" w:hAnsi="宋体" w:eastAsia="宋体" w:cs="宋体"/>
          <w:color w:val="auto"/>
          <w:highlight w:val="none"/>
        </w:rPr>
        <w:t>对上述承诺的内容事项真实性</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合法</w:t>
      </w:r>
      <w:r>
        <w:rPr>
          <w:rFonts w:hint="eastAsia" w:ascii="宋体" w:hAnsi="宋体" w:eastAsia="宋体" w:cs="宋体"/>
          <w:color w:val="auto"/>
          <w:highlight w:val="none"/>
          <w:lang w:val="en-US" w:eastAsia="zh-CN"/>
        </w:rPr>
        <w:t>性</w:t>
      </w:r>
      <w:r>
        <w:rPr>
          <w:rFonts w:hint="eastAsia" w:ascii="宋体" w:hAnsi="宋体" w:eastAsia="宋体" w:cs="宋体"/>
          <w:color w:val="auto"/>
          <w:highlight w:val="none"/>
        </w:rPr>
        <w:t>负责。如经查实上述承诺的内容事项存在虚假，我</w:t>
      </w:r>
      <w:r>
        <w:rPr>
          <w:rFonts w:hint="eastAsia" w:cs="宋体"/>
          <w:color w:val="auto"/>
          <w:highlight w:val="none"/>
          <w:lang w:val="en-US" w:eastAsia="zh-CN"/>
        </w:rPr>
        <w:t>单位</w:t>
      </w:r>
      <w:r>
        <w:rPr>
          <w:rFonts w:hint="eastAsia" w:ascii="宋体" w:hAnsi="宋体" w:eastAsia="宋体" w:cs="宋体"/>
          <w:color w:val="auto"/>
          <w:highlight w:val="none"/>
          <w:lang w:val="en-US" w:eastAsia="zh-CN"/>
        </w:rPr>
        <w:t>自愿</w:t>
      </w:r>
      <w:r>
        <w:rPr>
          <w:rFonts w:hint="eastAsia" w:ascii="宋体" w:hAnsi="宋体" w:eastAsia="宋体" w:cs="宋体"/>
          <w:color w:val="auto"/>
          <w:highlight w:val="none"/>
        </w:rPr>
        <w:t>接受以提供虚假材料谋取</w:t>
      </w:r>
      <w:r>
        <w:rPr>
          <w:rFonts w:hint="eastAsia" w:cs="宋体"/>
          <w:color w:val="auto"/>
          <w:highlight w:val="none"/>
          <w:lang w:val="en-US" w:eastAsia="zh-CN"/>
        </w:rPr>
        <w:t>中标</w:t>
      </w:r>
      <w:r>
        <w:rPr>
          <w:rFonts w:hint="eastAsia" w:ascii="宋体" w:hAnsi="宋体" w:eastAsia="宋体" w:cs="宋体"/>
          <w:color w:val="auto"/>
          <w:highlight w:val="none"/>
          <w:lang w:val="en-US" w:eastAsia="zh-CN"/>
        </w:rPr>
        <w:t>所带来的所有</w:t>
      </w:r>
      <w:r>
        <w:rPr>
          <w:rFonts w:hint="eastAsia" w:ascii="宋体" w:hAnsi="宋体" w:eastAsia="宋体" w:cs="宋体"/>
          <w:color w:val="auto"/>
          <w:highlight w:val="none"/>
        </w:rPr>
        <w:t>法律责任。</w:t>
      </w:r>
    </w:p>
    <w:p>
      <w:pPr>
        <w:pStyle w:val="42"/>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42"/>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46"/>
        <w:bidi w:val="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pStyle w:val="63"/>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rPr>
        <w:t>日期：</w:t>
      </w:r>
      <w:r>
        <w:rPr>
          <w:rFonts w:hint="eastAsia" w:ascii="宋体" w:hAnsi="宋体" w:eastAsia="宋体" w:cs="宋体"/>
          <w:color w:val="auto"/>
          <w:highlight w:val="none"/>
          <w:u w:val="single"/>
          <w:lang w:val="en-US" w:eastAsia="zh-CN"/>
        </w:rPr>
        <w:t xml:space="preserve">                  </w:t>
      </w:r>
    </w:p>
    <w:p>
      <w:pPr>
        <w:pStyle w:val="63"/>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宋体" w:hAnsi="宋体" w:eastAsia="宋体" w:cs="宋体"/>
          <w:color w:val="auto"/>
          <w:highlight w:val="none"/>
          <w:u w:val="single"/>
          <w:lang w:val="en-US" w:eastAsia="zh-CN"/>
        </w:rPr>
      </w:pPr>
    </w:p>
    <w:p>
      <w:pPr>
        <w:pStyle w:val="63"/>
        <w:keepNext w:val="0"/>
        <w:keepLines w:val="0"/>
        <w:pageBreakBefore w:val="0"/>
        <w:widowControl w:val="0"/>
        <w:numPr>
          <w:ilvl w:val="3"/>
          <w:numId w:val="0"/>
        </w:numPr>
        <w:kinsoku/>
        <w:wordWrap w:val="0"/>
        <w:overflowPunct/>
        <w:topLinePunct/>
        <w:autoSpaceDE/>
        <w:autoSpaceDN/>
        <w:bidi w:val="0"/>
        <w:adjustRightInd w:val="0"/>
        <w:snapToGrid w:val="0"/>
        <w:ind w:leftChars="0" w:firstLine="482" w:firstLineChars="200"/>
        <w:textAlignment w:val="auto"/>
        <w:rPr>
          <w:rFonts w:hint="default" w:cs="宋体"/>
          <w:b/>
          <w:bCs/>
          <w:color w:val="auto"/>
          <w:highlight w:val="none"/>
          <w:u w:val="none"/>
          <w:lang w:val="en-US" w:eastAsia="zh-CN"/>
        </w:rPr>
      </w:pPr>
      <w:r>
        <w:rPr>
          <w:rFonts w:hint="eastAsia"/>
          <w:b/>
          <w:bCs/>
          <w:color w:val="auto"/>
          <w:highlight w:val="none"/>
          <w:lang w:val="en-US" w:eastAsia="zh-CN"/>
        </w:rPr>
        <w:t>注：①投标人成立时间超过十年的，在“</w:t>
      </w:r>
      <w:r>
        <w:rPr>
          <w:rFonts w:hint="eastAsia" w:cs="宋体"/>
          <w:b/>
          <w:bCs/>
          <w:color w:val="auto"/>
          <w:highlight w:val="none"/>
          <w:u w:val="none"/>
          <w:lang w:val="en-US" w:eastAsia="zh-CN"/>
        </w:rPr>
        <w:t>无行贿犯罪记录的期限</w:t>
      </w:r>
      <w:r>
        <w:rPr>
          <w:rFonts w:hint="eastAsia"/>
          <w:b/>
          <w:bCs/>
          <w:color w:val="auto"/>
          <w:highlight w:val="none"/>
          <w:lang w:val="en-US" w:eastAsia="zh-CN"/>
        </w:rPr>
        <w:t>”</w:t>
      </w:r>
      <w:r>
        <w:rPr>
          <w:rFonts w:hint="eastAsia" w:cs="宋体"/>
          <w:b/>
          <w:bCs/>
          <w:color w:val="auto"/>
          <w:highlight w:val="none"/>
          <w:u w:val="none"/>
          <w:lang w:val="en-US" w:eastAsia="zh-CN"/>
        </w:rPr>
        <w:t>处填写“十年内”；投标人成立时间不足十年的，在“无行贿犯罪记录的期限”处填写“自我单位成立之日起至今”。②如有行贿犯罪记录的，投标人将被认定投标无效或被取消中标资格。</w:t>
      </w:r>
    </w:p>
    <w:bookmarkEnd w:id="813"/>
    <w:bookmarkEnd w:id="814"/>
    <w:bookmarkEnd w:id="815"/>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highlight w:val="none"/>
          <w:lang w:val="zh-CN" w:eastAsia="zh-CN"/>
        </w:rPr>
      </w:pPr>
    </w:p>
    <w:p>
      <w:pPr>
        <w:pStyle w:val="46"/>
        <w:bidi w:val="0"/>
        <w:rPr>
          <w:rFonts w:hint="eastAsia"/>
          <w:highlight w:val="yellow"/>
          <w:lang w:val="en-US" w:eastAsia="zh-CN"/>
        </w:rPr>
      </w:pPr>
    </w:p>
    <w:p>
      <w:pPr>
        <w:pStyle w:val="44"/>
        <w:numPr>
          <w:ilvl w:val="0"/>
          <w:numId w:val="20"/>
        </w:numPr>
        <w:bidi w:val="0"/>
        <w:ind w:left="0" w:leftChars="0" w:firstLine="0" w:firstLineChars="0"/>
        <w:rPr>
          <w:rFonts w:hint="eastAsia"/>
          <w:lang w:val="en-US" w:eastAsia="zh-CN"/>
        </w:rPr>
      </w:pPr>
      <w:bookmarkStart w:id="854" w:name="_Toc29290"/>
      <w:bookmarkStart w:id="855" w:name="_Toc15708"/>
      <w:bookmarkStart w:id="856" w:name="_Toc21855"/>
      <w:r>
        <w:rPr>
          <w:rFonts w:hint="eastAsia"/>
          <w:lang w:val="en-US" w:eastAsia="zh-CN"/>
        </w:rPr>
        <w:t>符合《中华人民共和国政府采购法》第二十二条规定的条件的承诺及声明函</w:t>
      </w:r>
      <w:bookmarkEnd w:id="854"/>
      <w:bookmarkEnd w:id="855"/>
      <w:bookmarkEnd w:id="856"/>
    </w:p>
    <w:p>
      <w:pPr>
        <w:pStyle w:val="42"/>
        <w:bidi w:val="0"/>
        <w:rPr>
          <w:rFonts w:hint="eastAsia"/>
        </w:rPr>
      </w:pPr>
      <w:r>
        <w:rPr>
          <w:rFonts w:hint="eastAsia"/>
          <w:u w:val="single"/>
        </w:rPr>
        <w:t xml:space="preserve">                   </w:t>
      </w:r>
      <w:r>
        <w:rPr>
          <w:rFonts w:hint="eastAsia"/>
          <w:lang w:eastAsia="zh-CN"/>
        </w:rPr>
        <w:t>(</w:t>
      </w:r>
      <w:r>
        <w:rPr>
          <w:rFonts w:hint="eastAsia"/>
        </w:rPr>
        <w:t>采购代理机构名称</w:t>
      </w:r>
      <w:r>
        <w:rPr>
          <w:rFonts w:hint="eastAsia"/>
          <w:lang w:eastAsia="zh-CN"/>
        </w:rPr>
        <w:t>)</w:t>
      </w:r>
      <w:r>
        <w:rPr>
          <w:rFonts w:hint="eastAsia"/>
        </w:rPr>
        <w:t>：</w:t>
      </w:r>
    </w:p>
    <w:p>
      <w:pPr>
        <w:pStyle w:val="42"/>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rPr>
      </w:pPr>
      <w:r>
        <w:rPr>
          <w:rFonts w:hint="eastAsia"/>
        </w:rPr>
        <w:t>我公司作为本次采购项目的</w:t>
      </w:r>
      <w:r>
        <w:rPr>
          <w:rFonts w:hint="eastAsia"/>
          <w:lang w:val="en-US" w:eastAsia="zh-CN"/>
        </w:rPr>
        <w:t>投标</w:t>
      </w:r>
      <w:r>
        <w:rPr>
          <w:rFonts w:hint="eastAsia"/>
        </w:rPr>
        <w:t>供应商，根据</w:t>
      </w:r>
      <w:r>
        <w:rPr>
          <w:rFonts w:hint="eastAsia"/>
          <w:lang w:val="en-US" w:eastAsia="zh-CN"/>
        </w:rPr>
        <w:t>招标</w:t>
      </w:r>
      <w:r>
        <w:rPr>
          <w:rFonts w:hint="eastAsia"/>
          <w:lang w:eastAsia="zh-CN"/>
        </w:rPr>
        <w:t>文件</w:t>
      </w:r>
      <w:r>
        <w:rPr>
          <w:rFonts w:hint="eastAsia"/>
        </w:rPr>
        <w:t>要求，现郑重承诺如下：</w:t>
      </w:r>
    </w:p>
    <w:p>
      <w:pPr>
        <w:pStyle w:val="35"/>
        <w:numPr>
          <w:ilvl w:val="2"/>
          <w:numId w:val="21"/>
        </w:numPr>
        <w:bidi w:val="0"/>
        <w:rPr>
          <w:rFonts w:hint="eastAsia"/>
        </w:rPr>
      </w:pPr>
      <w:r>
        <w:rPr>
          <w:rFonts w:hint="eastAsia"/>
        </w:rPr>
        <w:t xml:space="preserve">具有良好的商业信誉和健全的财务会计制度； </w:t>
      </w:r>
    </w:p>
    <w:p>
      <w:pPr>
        <w:pStyle w:val="35"/>
        <w:numPr>
          <w:ilvl w:val="2"/>
          <w:numId w:val="21"/>
        </w:numPr>
        <w:bidi w:val="0"/>
        <w:rPr>
          <w:rFonts w:hint="eastAsia"/>
        </w:rPr>
      </w:pPr>
      <w:r>
        <w:rPr>
          <w:rFonts w:hint="eastAsia"/>
        </w:rPr>
        <w:t xml:space="preserve">具有履行合同所必需的设备和专业技术能力； </w:t>
      </w:r>
    </w:p>
    <w:p>
      <w:pPr>
        <w:pStyle w:val="35"/>
        <w:numPr>
          <w:ilvl w:val="2"/>
          <w:numId w:val="21"/>
        </w:numPr>
        <w:bidi w:val="0"/>
        <w:rPr>
          <w:rFonts w:hint="eastAsia"/>
        </w:rPr>
      </w:pPr>
      <w:r>
        <w:rPr>
          <w:rFonts w:hint="eastAsia"/>
          <w:lang w:val="en-US" w:eastAsia="zh-CN"/>
        </w:rPr>
        <w:t>具</w:t>
      </w:r>
      <w:r>
        <w:rPr>
          <w:rFonts w:hint="eastAsia"/>
        </w:rPr>
        <w:t xml:space="preserve">有依法缴纳税收和社会保障资金的良好记录； </w:t>
      </w:r>
    </w:p>
    <w:p>
      <w:pPr>
        <w:pStyle w:val="35"/>
        <w:numPr>
          <w:ilvl w:val="2"/>
          <w:numId w:val="21"/>
        </w:numPr>
        <w:bidi w:val="0"/>
        <w:rPr>
          <w:rFonts w:hint="eastAsia"/>
        </w:rPr>
      </w:pPr>
      <w:r>
        <w:rPr>
          <w:rFonts w:hint="eastAsia"/>
        </w:rPr>
        <w:t>参加本次政府采购活动前三年内，在经营活动中</w:t>
      </w:r>
      <w:r>
        <w:rPr>
          <w:rFonts w:hint="eastAsia"/>
          <w:u w:val="single"/>
          <w:lang w:val="en-US" w:eastAsia="zh-CN"/>
        </w:rPr>
        <w:t xml:space="preserve">      </w:t>
      </w:r>
      <w:r>
        <w:rPr>
          <w:rFonts w:hint="eastAsia"/>
          <w:u w:val="none"/>
          <w:lang w:val="en-US" w:eastAsia="zh-CN"/>
        </w:rPr>
        <w:t>(</w:t>
      </w:r>
      <w:r>
        <w:rPr>
          <w:rFonts w:hint="eastAsia"/>
          <w:b/>
          <w:bCs/>
          <w:u w:val="none"/>
          <w:lang w:val="en-US" w:eastAsia="zh-CN"/>
        </w:rPr>
        <w:t>说明：填写“没有”或“有”</w:t>
      </w:r>
      <w:r>
        <w:rPr>
          <w:rFonts w:hint="eastAsia"/>
          <w:u w:val="none"/>
          <w:lang w:val="en-US" w:eastAsia="zh-CN"/>
        </w:rPr>
        <w:t>)</w:t>
      </w:r>
      <w:r>
        <w:rPr>
          <w:rFonts w:hint="eastAsia"/>
        </w:rPr>
        <w:t>重大违法记录(供应商成立不足三年的，从成立之日起计算)；</w:t>
      </w:r>
    </w:p>
    <w:p>
      <w:pPr>
        <w:pStyle w:val="35"/>
        <w:numPr>
          <w:ilvl w:val="2"/>
          <w:numId w:val="21"/>
        </w:numPr>
        <w:bidi w:val="0"/>
        <w:rPr>
          <w:rFonts w:hint="eastAsia"/>
          <w:highlight w:val="none"/>
        </w:rPr>
      </w:pPr>
      <w:r>
        <w:rPr>
          <w:rFonts w:hint="eastAsia"/>
          <w:highlight w:val="none"/>
          <w:lang w:val="en-US" w:eastAsia="zh-CN"/>
        </w:rPr>
        <w:t>符合</w:t>
      </w:r>
      <w:r>
        <w:rPr>
          <w:rFonts w:hint="eastAsia"/>
          <w:highlight w:val="none"/>
        </w:rPr>
        <w:t>法律、行政法规规定的其他条件</w:t>
      </w:r>
      <w:r>
        <w:rPr>
          <w:rFonts w:hint="eastAsia"/>
          <w:highlight w:val="none"/>
          <w:lang w:eastAsia="zh-CN"/>
        </w:rPr>
        <w:t>；</w:t>
      </w:r>
    </w:p>
    <w:p>
      <w:pPr>
        <w:pStyle w:val="35"/>
        <w:numPr>
          <w:ilvl w:val="2"/>
          <w:numId w:val="21"/>
        </w:numPr>
        <w:bidi w:val="0"/>
        <w:rPr>
          <w:rFonts w:hint="eastAsia"/>
          <w:highlight w:val="none"/>
        </w:rPr>
      </w:pPr>
      <w:r>
        <w:rPr>
          <w:rFonts w:hint="eastAsia"/>
          <w:b w:val="0"/>
          <w:bCs/>
          <w:highlight w:val="none"/>
          <w:lang w:val="en-US" w:eastAsia="zh-CN"/>
        </w:rPr>
        <w:t>未与其他投标供应商组成联合体参与本项目投标</w:t>
      </w:r>
      <w:r>
        <w:rPr>
          <w:rFonts w:hint="eastAsia"/>
          <w:highlight w:val="none"/>
          <w:lang w:val="en-US" w:eastAsia="zh-CN"/>
        </w:rPr>
        <w:t>。</w:t>
      </w:r>
    </w:p>
    <w:p>
      <w:pPr>
        <w:pStyle w:val="46"/>
        <w:bidi w:val="0"/>
        <w:rPr>
          <w:rFonts w:hint="eastAsia"/>
        </w:rPr>
      </w:pPr>
      <w:r>
        <w:rPr>
          <w:rFonts w:hint="eastAsia"/>
        </w:rPr>
        <w:t>本公司对上述承诺的内容事项真实性</w:t>
      </w:r>
      <w:r>
        <w:rPr>
          <w:rFonts w:hint="eastAsia"/>
          <w:lang w:eastAsia="zh-CN"/>
        </w:rPr>
        <w:t>、</w:t>
      </w:r>
      <w:r>
        <w:rPr>
          <w:rFonts w:hint="eastAsia"/>
        </w:rPr>
        <w:t>合法</w:t>
      </w:r>
      <w:r>
        <w:rPr>
          <w:rFonts w:hint="eastAsia"/>
          <w:lang w:val="en-US" w:eastAsia="zh-CN"/>
        </w:rPr>
        <w:t>性</w:t>
      </w:r>
      <w:r>
        <w:rPr>
          <w:rFonts w:hint="eastAsia"/>
        </w:rPr>
        <w:t>负责。如经查实上述承诺的内容事项存在虚假，我公司</w:t>
      </w:r>
      <w:r>
        <w:rPr>
          <w:rFonts w:hint="eastAsia"/>
          <w:lang w:val="en-US" w:eastAsia="zh-CN"/>
        </w:rPr>
        <w:t>自愿</w:t>
      </w:r>
      <w:r>
        <w:rPr>
          <w:rFonts w:hint="eastAsia"/>
        </w:rPr>
        <w:t>接受以提供虚假材料谋取</w:t>
      </w:r>
      <w:r>
        <w:rPr>
          <w:rFonts w:hint="eastAsia"/>
          <w:lang w:val="en-US" w:eastAsia="zh-CN"/>
        </w:rPr>
        <w:t>中标所带来的所有</w:t>
      </w:r>
      <w:r>
        <w:rPr>
          <w:rFonts w:hint="eastAsia"/>
        </w:rPr>
        <w:t>法律责任。</w:t>
      </w:r>
    </w:p>
    <w:p>
      <w:pPr>
        <w:pStyle w:val="42"/>
        <w:bidi w:val="0"/>
        <w:rPr>
          <w:rFonts w:hint="eastAsia"/>
          <w:lang w:val="en-US" w:eastAsia="zh-CN"/>
        </w:rPr>
      </w:pPr>
    </w:p>
    <w:p>
      <w:pPr>
        <w:pStyle w:val="42"/>
        <w:bidi w:val="0"/>
        <w:rPr>
          <w:rFonts w:hint="eastAsia"/>
          <w:lang w:val="en-US" w:eastAsia="zh-CN"/>
        </w:rPr>
      </w:pPr>
    </w:p>
    <w:p>
      <w:pPr>
        <w:pStyle w:val="46"/>
        <w:bidi w:val="0"/>
        <w:rPr>
          <w:rFonts w:hint="eastAsia"/>
        </w:rPr>
      </w:pPr>
      <w:r>
        <w:rPr>
          <w:rFonts w:hint="eastAsia"/>
          <w:lang w:val="en-US" w:eastAsia="zh-CN"/>
        </w:rPr>
        <w:t>投标人</w:t>
      </w:r>
      <w:r>
        <w:rPr>
          <w:rFonts w:hint="eastAsia"/>
        </w:rPr>
        <w:t>名称：</w:t>
      </w:r>
      <w:r>
        <w:rPr>
          <w:rFonts w:hint="eastAsia"/>
          <w:u w:val="single"/>
        </w:rPr>
        <w:t xml:space="preserve"> </w:t>
      </w:r>
      <w:r>
        <w:rPr>
          <w:rFonts w:hint="eastAsia"/>
          <w:u w:val="single"/>
          <w:lang w:val="en-US" w:eastAsia="zh-CN"/>
        </w:rPr>
        <w:t xml:space="preserve">     </w:t>
      </w:r>
      <w:r>
        <w:rPr>
          <w:rFonts w:hint="eastAsia"/>
          <w:u w:val="single"/>
        </w:rPr>
        <w:t xml:space="preserve">       </w:t>
      </w:r>
    </w:p>
    <w:p>
      <w:pPr>
        <w:pStyle w:val="46"/>
        <w:bidi w:val="0"/>
        <w:rPr>
          <w:rFonts w:hint="eastAsia"/>
        </w:rPr>
      </w:pPr>
      <w:r>
        <w:rPr>
          <w:rFonts w:hint="eastAsia"/>
          <w:lang w:val="en-US" w:eastAsia="zh-CN"/>
        </w:rPr>
        <w:t>投标</w:t>
      </w:r>
      <w:r>
        <w:rPr>
          <w:rFonts w:hint="eastAsia"/>
        </w:rPr>
        <w:t>日期</w:t>
      </w:r>
      <w:r>
        <w:rPr>
          <w:rFonts w:hint="eastAsia"/>
          <w:lang w:eastAsia="zh-CN"/>
        </w:rPr>
        <w:t>：</w:t>
      </w:r>
      <w:r>
        <w:rPr>
          <w:rFonts w:hint="eastAsia"/>
          <w:u w:val="single"/>
          <w:lang w:val="en-US" w:eastAsia="zh-CN"/>
        </w:rPr>
        <w:t xml:space="preserve">                </w:t>
      </w:r>
      <w:r>
        <w:rPr>
          <w:rFonts w:hint="eastAsia"/>
          <w:lang w:val="en-US" w:eastAsia="zh-CN"/>
        </w:rPr>
        <w:t xml:space="preserve">  </w:t>
      </w:r>
    </w:p>
    <w:p>
      <w:pPr>
        <w:pStyle w:val="47"/>
        <w:bidi w:val="0"/>
        <w:rPr>
          <w:rFonts w:hint="eastAsia"/>
          <w:lang w:val="en-US" w:eastAsia="zh-CN"/>
        </w:rPr>
      </w:pPr>
      <w:r>
        <w:rPr>
          <w:rFonts w:hint="eastAsia"/>
          <w:lang w:val="en-US" w:eastAsia="zh-CN"/>
        </w:rPr>
        <w:t>注：本部分所要求的承诺函可参照本格式或自拟格式填写均有效。</w:t>
      </w:r>
    </w:p>
    <w:p>
      <w:pPr>
        <w:pStyle w:val="47"/>
        <w:ind w:firstLine="482"/>
        <w:rPr>
          <w:rFonts w:hint="eastAsia"/>
          <w:lang w:val="en-US" w:eastAsia="zh-CN"/>
        </w:rPr>
      </w:pPr>
      <w:r>
        <w:rPr>
          <w:rFonts w:hint="eastAsia"/>
          <w:lang w:val="en-US" w:eastAsia="zh-CN"/>
        </w:rPr>
        <w:br w:type="page"/>
      </w:r>
    </w:p>
    <w:p>
      <w:pPr>
        <w:pStyle w:val="42"/>
        <w:bidi w:val="0"/>
        <w:rPr>
          <w:rFonts w:hint="eastAsia"/>
          <w:lang w:val="en-US" w:eastAsia="zh-CN"/>
        </w:rPr>
      </w:pPr>
    </w:p>
    <w:p>
      <w:pPr>
        <w:pStyle w:val="42"/>
        <w:bidi w:val="0"/>
        <w:rPr>
          <w:rFonts w:hint="eastAsia"/>
        </w:rPr>
      </w:pPr>
      <w:bookmarkStart w:id="857" w:name="_Toc18702"/>
    </w:p>
    <w:p>
      <w:pPr>
        <w:pStyle w:val="42"/>
        <w:bidi w:val="0"/>
        <w:rPr>
          <w:rFonts w:hint="eastAsia"/>
        </w:rPr>
      </w:pPr>
    </w:p>
    <w:p>
      <w:pPr>
        <w:pStyle w:val="42"/>
        <w:bidi w:val="0"/>
        <w:rPr>
          <w:rFonts w:hint="eastAsia"/>
        </w:rPr>
      </w:pPr>
    </w:p>
    <w:p>
      <w:pPr>
        <w:pStyle w:val="42"/>
        <w:bidi w:val="0"/>
        <w:rPr>
          <w:rFonts w:hint="eastAsia"/>
        </w:rPr>
      </w:pPr>
    </w:p>
    <w:p>
      <w:pPr>
        <w:pStyle w:val="42"/>
        <w:bidi w:val="0"/>
        <w:rPr>
          <w:rFonts w:hint="eastAsia"/>
        </w:rPr>
      </w:pPr>
    </w:p>
    <w:p>
      <w:pPr>
        <w:pStyle w:val="42"/>
        <w:bidi w:val="0"/>
        <w:rPr>
          <w:rFonts w:hint="eastAsia"/>
        </w:rPr>
      </w:pPr>
    </w:p>
    <w:p>
      <w:pPr>
        <w:pStyle w:val="42"/>
        <w:bidi w:val="0"/>
        <w:rPr>
          <w:rFonts w:hint="eastAsia"/>
        </w:rPr>
      </w:pPr>
    </w:p>
    <w:p>
      <w:pPr>
        <w:pStyle w:val="42"/>
        <w:bidi w:val="0"/>
        <w:rPr>
          <w:rFonts w:hint="eastAsia"/>
        </w:rPr>
      </w:pPr>
    </w:p>
    <w:p>
      <w:pPr>
        <w:pStyle w:val="42"/>
        <w:bidi w:val="0"/>
        <w:rPr>
          <w:rFonts w:hint="eastAsia"/>
        </w:rPr>
      </w:pPr>
    </w:p>
    <w:p>
      <w:pPr>
        <w:pStyle w:val="42"/>
        <w:bidi w:val="0"/>
        <w:rPr>
          <w:rFonts w:hint="eastAsia"/>
        </w:rPr>
      </w:pPr>
      <w:bookmarkStart w:id="858" w:name="_Toc14607"/>
    </w:p>
    <w:p>
      <w:pPr>
        <w:pStyle w:val="42"/>
        <w:bidi w:val="0"/>
        <w:rPr>
          <w:rFonts w:hint="eastAsia"/>
        </w:rPr>
      </w:pPr>
    </w:p>
    <w:p>
      <w:pPr>
        <w:pStyle w:val="42"/>
        <w:bidi w:val="0"/>
        <w:rPr>
          <w:rFonts w:hint="eastAsia"/>
        </w:rPr>
      </w:pPr>
    </w:p>
    <w:p>
      <w:pPr>
        <w:pStyle w:val="42"/>
        <w:bidi w:val="0"/>
        <w:rPr>
          <w:rFonts w:hint="eastAsia"/>
        </w:rPr>
      </w:pPr>
    </w:p>
    <w:p>
      <w:pPr>
        <w:pStyle w:val="34"/>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rPr>
          <w:rFonts w:hint="eastAsia"/>
          <w:sz w:val="32"/>
          <w:szCs w:val="32"/>
        </w:rPr>
      </w:pPr>
      <w:bookmarkStart w:id="859" w:name="_Toc7498"/>
      <w:r>
        <w:rPr>
          <w:rFonts w:hint="eastAsia"/>
          <w:sz w:val="32"/>
          <w:szCs w:val="32"/>
        </w:rPr>
        <w:t>第</w:t>
      </w:r>
      <w:r>
        <w:rPr>
          <w:rFonts w:hint="eastAsia"/>
          <w:sz w:val="32"/>
          <w:szCs w:val="32"/>
          <w:lang w:val="en-US" w:eastAsia="zh-CN"/>
        </w:rPr>
        <w:t>二</w:t>
      </w:r>
      <w:r>
        <w:rPr>
          <w:rFonts w:hint="eastAsia"/>
          <w:sz w:val="32"/>
          <w:szCs w:val="32"/>
        </w:rPr>
        <w:t>部分 其他</w:t>
      </w:r>
      <w:r>
        <w:rPr>
          <w:rFonts w:hint="eastAsia"/>
          <w:sz w:val="32"/>
          <w:szCs w:val="32"/>
          <w:lang w:val="en-US" w:eastAsia="zh-CN"/>
        </w:rPr>
        <w:t>投标</w:t>
      </w:r>
      <w:r>
        <w:rPr>
          <w:rFonts w:hint="eastAsia"/>
          <w:sz w:val="32"/>
          <w:szCs w:val="32"/>
        </w:rPr>
        <w:t>文件(格式)</w:t>
      </w:r>
      <w:bookmarkEnd w:id="858"/>
      <w:bookmarkEnd w:id="859"/>
    </w:p>
    <w:p>
      <w:pPr>
        <w:pStyle w:val="42"/>
        <w:bidi w:val="0"/>
        <w:rPr>
          <w:rFonts w:hint="eastAsia"/>
          <w:lang w:val="en-US" w:eastAsia="zh-CN"/>
        </w:rPr>
      </w:pPr>
      <w:bookmarkStart w:id="860" w:name="_Toc26038"/>
      <w:r>
        <w:rPr>
          <w:rFonts w:hint="eastAsia"/>
          <w:lang w:val="en-US" w:eastAsia="zh-CN"/>
        </w:rPr>
        <w:br w:type="page"/>
      </w:r>
    </w:p>
    <w:bookmarkEnd w:id="857"/>
    <w:bookmarkEnd w:id="860"/>
    <w:p>
      <w:pPr>
        <w:pStyle w:val="44"/>
        <w:numPr>
          <w:ilvl w:val="0"/>
          <w:numId w:val="22"/>
        </w:numPr>
        <w:bidi w:val="0"/>
        <w:ind w:left="0" w:leftChars="0" w:firstLine="0" w:firstLineChars="0"/>
        <w:rPr>
          <w:rFonts w:hint="eastAsia"/>
          <w:lang w:val="en-US" w:eastAsia="zh-CN"/>
        </w:rPr>
      </w:pPr>
      <w:bookmarkStart w:id="861" w:name="_Toc18387"/>
      <w:bookmarkStart w:id="862" w:name="_Toc11229"/>
      <w:bookmarkStart w:id="863" w:name="_Toc2311"/>
      <w:bookmarkStart w:id="864" w:name="_Toc1650"/>
      <w:bookmarkStart w:id="865" w:name="_Toc30133"/>
      <w:bookmarkStart w:id="866" w:name="_Toc5308"/>
      <w:bookmarkStart w:id="867" w:name="_Toc19766"/>
      <w:r>
        <w:rPr>
          <w:rFonts w:hint="eastAsia"/>
          <w:lang w:val="en-US" w:eastAsia="zh-CN"/>
        </w:rPr>
        <w:t>投标函</w:t>
      </w:r>
      <w:bookmarkEnd w:id="861"/>
      <w:bookmarkEnd w:id="862"/>
      <w:bookmarkEnd w:id="863"/>
    </w:p>
    <w:p>
      <w:pPr>
        <w:pStyle w:val="42"/>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lang w:val="zh-CN"/>
        </w:rPr>
      </w:pPr>
      <w:r>
        <w:rPr>
          <w:rFonts w:hint="eastAsia"/>
          <w:lang w:val="zh-CN"/>
        </w:rPr>
        <w:t>致：成都公恒信工程项目管理有限公司　</w:t>
      </w:r>
    </w:p>
    <w:p>
      <w:pPr>
        <w:pStyle w:val="46"/>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highlight w:val="none"/>
        </w:rPr>
      </w:pPr>
      <w:r>
        <w:rPr>
          <w:rFonts w:hint="eastAsia"/>
        </w:rPr>
        <w:t>我方全面研究了“</w:t>
      </w:r>
      <w:r>
        <w:rPr>
          <w:rFonts w:hint="eastAsia"/>
          <w:u w:val="single"/>
        </w:rPr>
        <w:t xml:space="preserve">               </w:t>
      </w:r>
      <w:r>
        <w:rPr>
          <w:rFonts w:hint="eastAsia"/>
          <w:lang w:val="en-US" w:eastAsia="zh-CN"/>
        </w:rPr>
        <w:t>(项目名称)</w:t>
      </w:r>
      <w:r>
        <w:rPr>
          <w:rFonts w:hint="eastAsia"/>
        </w:rPr>
        <w:t>(项目编号：</w:t>
      </w:r>
      <w:r>
        <w:rPr>
          <w:rFonts w:hint="eastAsia"/>
          <w:u w:val="single"/>
        </w:rPr>
        <w:t xml:space="preserve">               </w:t>
      </w:r>
      <w:r>
        <w:rPr>
          <w:rFonts w:hint="eastAsia"/>
        </w:rPr>
        <w:t>)”</w:t>
      </w:r>
      <w:r>
        <w:rPr>
          <w:rFonts w:hint="eastAsia"/>
          <w:lang w:eastAsia="zh-CN"/>
        </w:rPr>
        <w:t>的</w:t>
      </w:r>
      <w:r>
        <w:rPr>
          <w:rFonts w:hint="eastAsia"/>
        </w:rPr>
        <w:t>招标文件，决定参加贵单位组织的本</w:t>
      </w:r>
      <w:r>
        <w:rPr>
          <w:rFonts w:hint="eastAsia"/>
          <w:highlight w:val="none"/>
        </w:rPr>
        <w:t>项目投标。我方授权</w:t>
      </w:r>
      <w:r>
        <w:rPr>
          <w:rFonts w:hint="eastAsia"/>
          <w:highlight w:val="none"/>
          <w:u w:val="single"/>
        </w:rPr>
        <w:t xml:space="preserve">               </w:t>
      </w:r>
      <w:r>
        <w:rPr>
          <w:rFonts w:hint="eastAsia"/>
          <w:highlight w:val="none"/>
        </w:rPr>
        <w:t>(姓名、职务)代表我</w:t>
      </w:r>
      <w:r>
        <w:rPr>
          <w:rFonts w:hint="eastAsia"/>
          <w:highlight w:val="none"/>
          <w:lang w:val="en-US" w:eastAsia="zh-CN"/>
        </w:rPr>
        <w:t>方</w:t>
      </w:r>
      <w:r>
        <w:rPr>
          <w:rFonts w:hint="eastAsia"/>
          <w:highlight w:val="none"/>
          <w:u w:val="single"/>
        </w:rPr>
        <w:t xml:space="preserve">               </w:t>
      </w:r>
      <w:r>
        <w:rPr>
          <w:rFonts w:hint="eastAsia"/>
          <w:highlight w:val="none"/>
        </w:rPr>
        <w:t>(</w:t>
      </w:r>
      <w:r>
        <w:rPr>
          <w:rFonts w:hint="eastAsia"/>
          <w:highlight w:val="none"/>
          <w:lang w:val="en-US" w:eastAsia="zh-CN"/>
        </w:rPr>
        <w:t>投标人名称</w:t>
      </w:r>
      <w:r>
        <w:rPr>
          <w:rFonts w:hint="eastAsia"/>
          <w:highlight w:val="none"/>
        </w:rPr>
        <w:t>)全权处理本项目投标的有关事宜。</w:t>
      </w:r>
    </w:p>
    <w:p>
      <w:pPr>
        <w:pStyle w:val="35"/>
        <w:keepNext w:val="0"/>
        <w:keepLines w:val="0"/>
        <w:pageBreakBefore w:val="0"/>
        <w:widowControl w:val="0"/>
        <w:numPr>
          <w:ilvl w:val="2"/>
          <w:numId w:val="23"/>
        </w:numPr>
        <w:kinsoku/>
        <w:wordWrap w:val="0"/>
        <w:overflowPunct/>
        <w:topLinePunct/>
        <w:autoSpaceDE/>
        <w:autoSpaceDN/>
        <w:bidi w:val="0"/>
        <w:adjustRightInd w:val="0"/>
        <w:snapToGrid w:val="0"/>
        <w:spacing w:line="440" w:lineRule="exact"/>
        <w:textAlignment w:val="auto"/>
        <w:rPr>
          <w:rFonts w:hint="eastAsia"/>
          <w:highlight w:val="none"/>
        </w:rPr>
      </w:pPr>
      <w:r>
        <w:rPr>
          <w:rFonts w:hint="eastAsia"/>
          <w:highlight w:val="none"/>
        </w:rPr>
        <w:t>我方自愿按照招标文件规定的各项要求向采购人提供所需</w:t>
      </w:r>
      <w:r>
        <w:rPr>
          <w:rFonts w:hint="eastAsia"/>
          <w:highlight w:val="none"/>
          <w:lang w:val="en-US" w:eastAsia="zh-CN"/>
        </w:rPr>
        <w:t>服务</w:t>
      </w:r>
      <w:r>
        <w:rPr>
          <w:rFonts w:hint="eastAsia"/>
          <w:highlight w:val="none"/>
        </w:rPr>
        <w:t>，投标</w:t>
      </w:r>
      <w:r>
        <w:rPr>
          <w:rFonts w:hint="eastAsia"/>
          <w:highlight w:val="none"/>
          <w:lang w:val="en-US" w:eastAsia="zh-CN"/>
        </w:rPr>
        <w:t>报价</w:t>
      </w:r>
      <w:r>
        <w:rPr>
          <w:rFonts w:hint="eastAsia"/>
          <w:highlight w:val="none"/>
        </w:rPr>
        <w:t>(大写：</w:t>
      </w:r>
      <w:r>
        <w:rPr>
          <w:rFonts w:hint="eastAsia"/>
          <w:highlight w:val="none"/>
          <w:u w:val="single"/>
        </w:rPr>
        <w:t xml:space="preserve">             </w:t>
      </w:r>
      <w:r>
        <w:rPr>
          <w:rFonts w:hint="eastAsia"/>
          <w:highlight w:val="none"/>
          <w:u w:val="none"/>
          <w:lang w:val="en-US" w:eastAsia="zh-CN"/>
        </w:rPr>
        <w:t>元</w:t>
      </w:r>
      <w:r>
        <w:rPr>
          <w:rFonts w:hint="eastAsia"/>
          <w:highlight w:val="none"/>
        </w:rPr>
        <w:t>)</w:t>
      </w:r>
      <w:r>
        <w:rPr>
          <w:rFonts w:hint="eastAsia"/>
          <w:highlight w:val="none"/>
          <w:lang w:eastAsia="zh-CN"/>
        </w:rPr>
        <w:t>，</w:t>
      </w:r>
      <w:r>
        <w:rPr>
          <w:rFonts w:hint="eastAsia"/>
          <w:highlight w:val="none"/>
        </w:rPr>
        <w:t>我方将严格履行合同规定的责任和义务，</w:t>
      </w:r>
      <w:r>
        <w:rPr>
          <w:rFonts w:hint="eastAsia"/>
          <w:highlight w:val="none"/>
          <w:lang w:val="en-US" w:eastAsia="zh-CN"/>
        </w:rPr>
        <w:t>服务期限为</w:t>
      </w:r>
      <w:r>
        <w:rPr>
          <w:rFonts w:hint="eastAsia"/>
          <w:highlight w:val="none"/>
          <w:u w:val="single"/>
        </w:rPr>
        <w:t xml:space="preserve">             </w:t>
      </w:r>
      <w:r>
        <w:rPr>
          <w:rFonts w:hint="eastAsia"/>
          <w:highlight w:val="none"/>
          <w:u w:val="none"/>
          <w:lang w:eastAsia="zh-CN"/>
        </w:rPr>
        <w:t>。</w:t>
      </w:r>
    </w:p>
    <w:p>
      <w:pPr>
        <w:pStyle w:val="35"/>
        <w:keepNext w:val="0"/>
        <w:keepLines w:val="0"/>
        <w:pageBreakBefore w:val="0"/>
        <w:widowControl w:val="0"/>
        <w:numPr>
          <w:ilvl w:val="2"/>
          <w:numId w:val="23"/>
        </w:numPr>
        <w:kinsoku/>
        <w:wordWrap w:val="0"/>
        <w:overflowPunct/>
        <w:topLinePunct/>
        <w:autoSpaceDE/>
        <w:autoSpaceDN/>
        <w:bidi w:val="0"/>
        <w:adjustRightInd w:val="0"/>
        <w:snapToGrid w:val="0"/>
        <w:spacing w:line="440" w:lineRule="exact"/>
        <w:textAlignment w:val="auto"/>
        <w:rPr>
          <w:rFonts w:hint="eastAsia"/>
          <w:highlight w:val="none"/>
        </w:rPr>
      </w:pPr>
      <w:r>
        <w:rPr>
          <w:rFonts w:hint="eastAsia"/>
          <w:highlight w:val="none"/>
        </w:rPr>
        <w:t>我方承诺：投标有效期</w:t>
      </w:r>
      <w:r>
        <w:rPr>
          <w:rFonts w:hint="eastAsia"/>
          <w:highlight w:val="none"/>
          <w:u w:val="none"/>
        </w:rPr>
        <w:t>为</w:t>
      </w:r>
      <w:r>
        <w:rPr>
          <w:rFonts w:hint="eastAsia"/>
          <w:highlight w:val="none"/>
          <w:u w:val="none"/>
          <w:lang w:val="en-US" w:eastAsia="zh-CN"/>
        </w:rPr>
        <w:t>提交投标文件的截止之日起90日</w:t>
      </w:r>
      <w:r>
        <w:rPr>
          <w:rFonts w:hint="eastAsia"/>
          <w:highlight w:val="none"/>
        </w:rPr>
        <w:t>。</w:t>
      </w:r>
    </w:p>
    <w:p>
      <w:pPr>
        <w:pStyle w:val="35"/>
        <w:keepNext w:val="0"/>
        <w:keepLines w:val="0"/>
        <w:pageBreakBefore w:val="0"/>
        <w:widowControl w:val="0"/>
        <w:numPr>
          <w:ilvl w:val="2"/>
          <w:numId w:val="23"/>
        </w:numPr>
        <w:kinsoku/>
        <w:wordWrap w:val="0"/>
        <w:overflowPunct/>
        <w:topLinePunct/>
        <w:autoSpaceDE/>
        <w:autoSpaceDN/>
        <w:bidi w:val="0"/>
        <w:adjustRightInd w:val="0"/>
        <w:snapToGrid w:val="0"/>
        <w:spacing w:line="440" w:lineRule="exact"/>
        <w:textAlignment w:val="auto"/>
        <w:rPr>
          <w:rFonts w:hint="eastAsia"/>
          <w:highlight w:val="none"/>
        </w:rPr>
      </w:pPr>
      <w:r>
        <w:rPr>
          <w:rFonts w:hint="eastAsia"/>
          <w:highlight w:val="none"/>
        </w:rPr>
        <w:t>我方完全理解采购人不一定将合同授予最低报价的投标人的行为。</w:t>
      </w:r>
    </w:p>
    <w:p>
      <w:pPr>
        <w:pStyle w:val="35"/>
        <w:keepNext w:val="0"/>
        <w:keepLines w:val="0"/>
        <w:pageBreakBefore w:val="0"/>
        <w:widowControl w:val="0"/>
        <w:numPr>
          <w:ilvl w:val="2"/>
          <w:numId w:val="23"/>
        </w:numPr>
        <w:kinsoku/>
        <w:wordWrap w:val="0"/>
        <w:overflowPunct/>
        <w:topLinePunct/>
        <w:autoSpaceDE/>
        <w:autoSpaceDN/>
        <w:bidi w:val="0"/>
        <w:adjustRightInd w:val="0"/>
        <w:snapToGrid w:val="0"/>
        <w:spacing w:line="440" w:lineRule="exact"/>
        <w:textAlignment w:val="auto"/>
        <w:rPr>
          <w:rFonts w:hint="eastAsia"/>
          <w:highlight w:val="none"/>
        </w:rPr>
      </w:pPr>
      <w:r>
        <w:rPr>
          <w:rFonts w:hint="eastAsia"/>
          <w:highlight w:val="none"/>
        </w:rPr>
        <w:t>一旦我方中标</w:t>
      </w:r>
      <w:r>
        <w:rPr>
          <w:rFonts w:hint="eastAsia"/>
          <w:highlight w:val="none"/>
          <w:lang w:eastAsia="zh-CN"/>
        </w:rPr>
        <w:t>：</w:t>
      </w:r>
    </w:p>
    <w:p>
      <w:pPr>
        <w:pStyle w:val="36"/>
        <w:bidi w:val="0"/>
        <w:rPr>
          <w:rFonts w:hint="eastAsia"/>
          <w:highlight w:val="none"/>
        </w:rPr>
      </w:pPr>
      <w:r>
        <w:rPr>
          <w:rFonts w:hint="eastAsia"/>
          <w:highlight w:val="none"/>
        </w:rPr>
        <w:t>我方承诺在收到</w:t>
      </w:r>
      <w:r>
        <w:rPr>
          <w:rFonts w:hint="eastAsia"/>
          <w:highlight w:val="none"/>
          <w:lang w:val="en-US" w:eastAsia="zh-CN"/>
        </w:rPr>
        <w:t>中标</w:t>
      </w:r>
      <w:r>
        <w:rPr>
          <w:rFonts w:hint="eastAsia"/>
          <w:highlight w:val="none"/>
        </w:rPr>
        <w:t>通知书后，在规定的期限内与采购人签订合同。</w:t>
      </w:r>
    </w:p>
    <w:p>
      <w:pPr>
        <w:pStyle w:val="36"/>
        <w:bidi w:val="0"/>
        <w:rPr>
          <w:rFonts w:hint="eastAsia"/>
          <w:highlight w:val="none"/>
        </w:rPr>
      </w:pPr>
      <w:r>
        <w:rPr>
          <w:rFonts w:hint="eastAsia"/>
          <w:highlight w:val="none"/>
        </w:rPr>
        <w:t>我方将严格履行政府采购合同规定的责任和义务。</w:t>
      </w:r>
    </w:p>
    <w:p>
      <w:pPr>
        <w:pStyle w:val="36"/>
        <w:bidi w:val="0"/>
        <w:rPr>
          <w:rFonts w:hint="eastAsia"/>
        </w:rPr>
      </w:pPr>
      <w:r>
        <w:rPr>
          <w:rFonts w:hint="eastAsia"/>
        </w:rPr>
        <w:t>我方愿意提供与</w:t>
      </w:r>
      <w:r>
        <w:rPr>
          <w:rFonts w:hint="eastAsia"/>
          <w:lang w:val="en-US" w:eastAsia="zh-CN"/>
        </w:rPr>
        <w:t>投标</w:t>
      </w:r>
      <w:r>
        <w:rPr>
          <w:rFonts w:hint="eastAsia"/>
        </w:rPr>
        <w:t>报价有关的文件资料，并保证我方已提供和将要提供的文件资料是真实、准确的。</w:t>
      </w:r>
    </w:p>
    <w:p>
      <w:pPr>
        <w:pStyle w:val="36"/>
        <w:bidi w:val="0"/>
        <w:rPr>
          <w:rFonts w:hint="eastAsia"/>
        </w:rPr>
      </w:pPr>
      <w:r>
        <w:rPr>
          <w:rFonts w:hint="eastAsia"/>
        </w:rPr>
        <w:t>我方自愿按照</w:t>
      </w:r>
      <w:r>
        <w:rPr>
          <w:rFonts w:hint="eastAsia"/>
          <w:lang w:val="en-US" w:eastAsia="zh-CN"/>
        </w:rPr>
        <w:t>招标</w:t>
      </w:r>
      <w:r>
        <w:rPr>
          <w:rFonts w:hint="eastAsia"/>
        </w:rPr>
        <w:t>文件规定的各项要求完成</w:t>
      </w:r>
      <w:r>
        <w:rPr>
          <w:rFonts w:hint="eastAsia"/>
          <w:lang w:val="en-US" w:eastAsia="zh-CN"/>
        </w:rPr>
        <w:t>采购</w:t>
      </w:r>
      <w:r>
        <w:rPr>
          <w:rFonts w:hint="eastAsia"/>
        </w:rPr>
        <w:t>项目，接受采购人按照政府采购合同约定金额支付采购资金。</w:t>
      </w:r>
    </w:p>
    <w:p>
      <w:pPr>
        <w:pStyle w:val="36"/>
        <w:bidi w:val="0"/>
        <w:rPr>
          <w:rFonts w:hint="eastAsia"/>
        </w:rPr>
      </w:pPr>
      <w:r>
        <w:rPr>
          <w:rFonts w:hint="eastAsia"/>
          <w:lang w:val="en-US" w:eastAsia="zh-CN"/>
        </w:rPr>
        <w:t>我方在参与本项目履约过程中涉及国家相关强制标准的，均按照该标准执行。</w:t>
      </w:r>
    </w:p>
    <w:p>
      <w:pPr>
        <w:pStyle w:val="35"/>
        <w:keepNext w:val="0"/>
        <w:keepLines w:val="0"/>
        <w:pageBreakBefore w:val="0"/>
        <w:widowControl w:val="0"/>
        <w:numPr>
          <w:ilvl w:val="2"/>
          <w:numId w:val="23"/>
        </w:numPr>
        <w:kinsoku/>
        <w:wordWrap w:val="0"/>
        <w:overflowPunct/>
        <w:topLinePunct/>
        <w:autoSpaceDE/>
        <w:autoSpaceDN/>
        <w:bidi w:val="0"/>
        <w:adjustRightInd w:val="0"/>
        <w:snapToGrid w:val="0"/>
        <w:spacing w:line="440" w:lineRule="exact"/>
        <w:textAlignment w:val="auto"/>
        <w:rPr>
          <w:rFonts w:hint="eastAsia"/>
        </w:rPr>
      </w:pPr>
      <w:r>
        <w:rPr>
          <w:rFonts w:hint="eastAsia"/>
          <w:lang w:val="en-US" w:eastAsia="zh-CN"/>
        </w:rPr>
        <w:t>我方如对招标文件有异议，已经在投标</w:t>
      </w:r>
      <w:r>
        <w:rPr>
          <w:rFonts w:hint="eastAsia"/>
        </w:rPr>
        <w:t>截止时间届满前依法进行维权救济，不存在对</w:t>
      </w:r>
      <w:r>
        <w:rPr>
          <w:rFonts w:hint="eastAsia"/>
          <w:lang w:val="en-US" w:eastAsia="zh-CN"/>
        </w:rPr>
        <w:t>招标</w:t>
      </w:r>
      <w:r>
        <w:rPr>
          <w:rFonts w:hint="eastAsia"/>
          <w:lang w:eastAsia="zh-CN"/>
        </w:rPr>
        <w:t>文件</w:t>
      </w:r>
      <w:r>
        <w:rPr>
          <w:rFonts w:hint="eastAsia"/>
        </w:rPr>
        <w:t>有异议的同时又参加</w:t>
      </w:r>
      <w:r>
        <w:rPr>
          <w:rFonts w:hint="eastAsia"/>
          <w:lang w:val="en-US" w:eastAsia="zh-CN"/>
        </w:rPr>
        <w:t>投标</w:t>
      </w:r>
      <w:r>
        <w:rPr>
          <w:rFonts w:hint="eastAsia"/>
        </w:rPr>
        <w:t>以求侥幸</w:t>
      </w:r>
      <w:r>
        <w:rPr>
          <w:rFonts w:hint="eastAsia"/>
          <w:lang w:val="en-US" w:eastAsia="zh-CN"/>
        </w:rPr>
        <w:t>中标</w:t>
      </w:r>
      <w:r>
        <w:rPr>
          <w:rFonts w:hint="eastAsia"/>
        </w:rPr>
        <w:t>或者为实现其他非法目的的行为。</w:t>
      </w:r>
    </w:p>
    <w:p>
      <w:pPr>
        <w:pStyle w:val="35"/>
        <w:keepNext w:val="0"/>
        <w:keepLines w:val="0"/>
        <w:pageBreakBefore w:val="0"/>
        <w:widowControl w:val="0"/>
        <w:numPr>
          <w:ilvl w:val="2"/>
          <w:numId w:val="23"/>
        </w:numPr>
        <w:kinsoku/>
        <w:wordWrap w:val="0"/>
        <w:overflowPunct/>
        <w:topLinePunct/>
        <w:autoSpaceDE/>
        <w:autoSpaceDN/>
        <w:bidi w:val="0"/>
        <w:adjustRightInd w:val="0"/>
        <w:snapToGrid w:val="0"/>
        <w:spacing w:line="440" w:lineRule="exact"/>
        <w:textAlignment w:val="auto"/>
        <w:rPr>
          <w:rFonts w:hint="eastAsia" w:cs="宋体" w:asciiTheme="minorEastAsia" w:hAnsiTheme="minorEastAsia" w:eastAsiaTheme="minorEastAsia"/>
          <w:snapToGrid/>
          <w:color w:val="auto"/>
          <w:kern w:val="2"/>
          <w:sz w:val="24"/>
          <w:szCs w:val="24"/>
          <w:highlight w:val="none"/>
          <w:lang w:val="en-US" w:eastAsia="zh-CN" w:bidi="ar-SA"/>
        </w:rPr>
      </w:pPr>
      <w:r>
        <w:rPr>
          <w:rFonts w:hint="eastAsia"/>
          <w:lang w:val="en-US" w:eastAsia="zh-CN"/>
        </w:rPr>
        <w:t>我方承诺在参加本项目投标过程中，已认真研读并充分理解招标文件及招标公告的相关内容，完全识别招标投标相关风险(含不利因素)并已采取有效的风险防控应对措施，积极主动尽职尽责，愿意承担错过在“政府采购云平台”递交电子投标文件时间、错过开标解密时间、</w:t>
      </w:r>
      <w:r>
        <w:rPr>
          <w:rFonts w:hint="eastAsia" w:cs="宋体" w:asciiTheme="minorEastAsia" w:hAnsiTheme="minorEastAsia" w:eastAsiaTheme="minorEastAsia"/>
          <w:snapToGrid/>
          <w:color w:val="auto"/>
          <w:kern w:val="2"/>
          <w:sz w:val="24"/>
          <w:szCs w:val="24"/>
          <w:highlight w:val="none"/>
          <w:lang w:val="en-US" w:eastAsia="zh-CN" w:bidi="ar-SA"/>
        </w:rPr>
        <w:t>错过澄清、说明、补正时间、以及电子签章过期或失效、投标人电脑终端或系统故障、投标人网络不稳定或故障等情形(不可抗力因素除外)所导致的一切不利后果。</w:t>
      </w:r>
    </w:p>
    <w:p>
      <w:pPr>
        <w:pStyle w:val="35"/>
        <w:keepNext w:val="0"/>
        <w:keepLines w:val="0"/>
        <w:pageBreakBefore w:val="0"/>
        <w:widowControl w:val="0"/>
        <w:numPr>
          <w:ilvl w:val="2"/>
          <w:numId w:val="23"/>
        </w:numPr>
        <w:kinsoku/>
        <w:wordWrap w:val="0"/>
        <w:overflowPunct/>
        <w:topLinePunct/>
        <w:autoSpaceDE/>
        <w:autoSpaceDN/>
        <w:bidi w:val="0"/>
        <w:adjustRightInd w:val="0"/>
        <w:snapToGrid w:val="0"/>
        <w:spacing w:line="440" w:lineRule="exact"/>
        <w:textAlignment w:val="auto"/>
        <w:rPr>
          <w:rFonts w:hint="eastAsia" w:cs="宋体" w:asciiTheme="minorEastAsia" w:hAnsiTheme="minorEastAsia" w:eastAsiaTheme="minorEastAsia"/>
          <w:snapToGrid/>
          <w:color w:val="auto"/>
          <w:kern w:val="2"/>
          <w:sz w:val="24"/>
          <w:szCs w:val="24"/>
          <w:highlight w:val="none"/>
          <w:lang w:val="en-US" w:eastAsia="zh-CN" w:bidi="ar-SA"/>
        </w:rPr>
      </w:pPr>
      <w:r>
        <w:rPr>
          <w:rFonts w:hint="eastAsia" w:cs="宋体" w:asciiTheme="minorEastAsia" w:hAnsiTheme="minorEastAsia" w:eastAsiaTheme="minorEastAsia"/>
          <w:snapToGrid/>
          <w:color w:val="auto"/>
          <w:kern w:val="2"/>
          <w:sz w:val="24"/>
          <w:szCs w:val="24"/>
          <w:highlight w:val="none"/>
          <w:lang w:val="en-US" w:eastAsia="zh-CN" w:bidi="ar-SA"/>
        </w:rPr>
        <w:t>我方充分认识，理解、包容电子招投标过程中可能出现的细微偏差、瑕疵、不足、错误等(影响公平竞争的除外)情形，并积极将发现的具体问题向招标采购单位如实反映。</w:t>
      </w:r>
    </w:p>
    <w:p>
      <w:pPr>
        <w:pStyle w:val="42"/>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p>
    <w:p>
      <w:pPr>
        <w:pStyle w:val="42"/>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通讯地址：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 xml:space="preserve">               </w:t>
      </w:r>
    </w:p>
    <w:p>
      <w:pPr>
        <w:pStyle w:val="42"/>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邮政编码：</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 xml:space="preserve">               </w:t>
      </w:r>
    </w:p>
    <w:p>
      <w:pPr>
        <w:pStyle w:val="42"/>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 xml:space="preserve">               </w:t>
      </w:r>
    </w:p>
    <w:p>
      <w:pPr>
        <w:pStyle w:val="42"/>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传    真：</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 xml:space="preserve">               </w:t>
      </w:r>
    </w:p>
    <w:p>
      <w:pPr>
        <w:pStyle w:val="42"/>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投标日期：</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 xml:space="preserve">     </w:t>
      </w:r>
    </w:p>
    <w:p>
      <w:pPr>
        <w:rPr>
          <w:rFonts w:hint="eastAsia"/>
        </w:rPr>
      </w:pPr>
      <w:r>
        <w:rPr>
          <w:rFonts w:hint="eastAsia"/>
        </w:rPr>
        <w:br w:type="page"/>
      </w:r>
    </w:p>
    <w:p>
      <w:pPr>
        <w:pStyle w:val="44"/>
        <w:numPr>
          <w:ilvl w:val="0"/>
          <w:numId w:val="22"/>
        </w:numPr>
        <w:bidi w:val="0"/>
        <w:ind w:left="0" w:leftChars="0" w:firstLine="0" w:firstLineChars="0"/>
        <w:rPr>
          <w:rFonts w:hint="eastAsia"/>
          <w:lang w:val="en-US" w:eastAsia="zh-CN"/>
        </w:rPr>
      </w:pPr>
      <w:bookmarkStart w:id="868" w:name="_Toc14315"/>
      <w:r>
        <w:rPr>
          <w:rFonts w:hint="eastAsia"/>
          <w:lang w:val="en-US" w:eastAsia="zh-CN"/>
        </w:rPr>
        <w:t>实质性要求承诺</w:t>
      </w:r>
      <w:bookmarkEnd w:id="868"/>
    </w:p>
    <w:p>
      <w:pPr>
        <w:pStyle w:val="42"/>
        <w:bidi w:val="0"/>
        <w:rPr>
          <w:rFonts w:hint="eastAsia"/>
        </w:rPr>
      </w:pPr>
      <w:r>
        <w:rPr>
          <w:rFonts w:hint="eastAsia"/>
          <w:u w:val="single"/>
        </w:rPr>
        <w:t xml:space="preserve">                   </w:t>
      </w:r>
      <w:r>
        <w:rPr>
          <w:rFonts w:hint="eastAsia"/>
          <w:lang w:eastAsia="zh-CN"/>
        </w:rPr>
        <w:t>(</w:t>
      </w:r>
      <w:r>
        <w:rPr>
          <w:rFonts w:hint="eastAsia"/>
        </w:rPr>
        <w:t>采购代理机构名称</w:t>
      </w:r>
      <w:r>
        <w:rPr>
          <w:rFonts w:hint="eastAsia"/>
          <w:lang w:eastAsia="zh-CN"/>
        </w:rPr>
        <w:t>)</w:t>
      </w:r>
      <w:r>
        <w:rPr>
          <w:rFonts w:hint="eastAsia"/>
        </w:rPr>
        <w:t>：</w:t>
      </w:r>
    </w:p>
    <w:p>
      <w:pPr>
        <w:pStyle w:val="46"/>
        <w:bidi w:val="0"/>
        <w:rPr>
          <w:rFonts w:hint="eastAsia"/>
        </w:rPr>
      </w:pPr>
      <w:r>
        <w:rPr>
          <w:rFonts w:hint="eastAsia"/>
        </w:rPr>
        <w:t>我</w:t>
      </w:r>
      <w:r>
        <w:rPr>
          <w:rFonts w:hint="eastAsia"/>
          <w:lang w:val="en-US" w:eastAsia="zh-CN"/>
        </w:rPr>
        <w:t>方</w:t>
      </w:r>
      <w:r>
        <w:rPr>
          <w:rFonts w:hint="eastAsia"/>
        </w:rPr>
        <w:t>作为本次采购项目的</w:t>
      </w:r>
      <w:r>
        <w:rPr>
          <w:rFonts w:hint="eastAsia"/>
          <w:lang w:val="en-US" w:eastAsia="zh-CN"/>
        </w:rPr>
        <w:t>投标人</w:t>
      </w:r>
      <w:r>
        <w:rPr>
          <w:rFonts w:hint="eastAsia"/>
        </w:rPr>
        <w:t>，根据</w:t>
      </w:r>
      <w:r>
        <w:rPr>
          <w:rFonts w:hint="eastAsia"/>
          <w:lang w:val="en-US" w:eastAsia="zh-CN"/>
        </w:rPr>
        <w:t>招标</w:t>
      </w:r>
      <w:r>
        <w:rPr>
          <w:rFonts w:hint="eastAsia"/>
          <w:lang w:eastAsia="zh-CN"/>
        </w:rPr>
        <w:t>文件</w:t>
      </w:r>
      <w:r>
        <w:rPr>
          <w:rFonts w:hint="eastAsia"/>
        </w:rPr>
        <w:t>要求，现郑重承诺及声明如下：</w:t>
      </w:r>
    </w:p>
    <w:p>
      <w:pPr>
        <w:pStyle w:val="35"/>
        <w:numPr>
          <w:ilvl w:val="2"/>
          <w:numId w:val="24"/>
        </w:numPr>
        <w:bidi w:val="0"/>
        <w:rPr>
          <w:rFonts w:hint="eastAsia"/>
        </w:rPr>
      </w:pPr>
      <w:r>
        <w:rPr>
          <w:rFonts w:hint="eastAsia"/>
        </w:rPr>
        <w:t>我方已认真阅读并接受本项目</w:t>
      </w:r>
      <w:r>
        <w:rPr>
          <w:rFonts w:hint="eastAsia"/>
          <w:lang w:val="en-US" w:eastAsia="zh-CN"/>
        </w:rPr>
        <w:t>采购文件</w:t>
      </w:r>
      <w:r>
        <w:rPr>
          <w:rFonts w:hint="eastAsia"/>
        </w:rPr>
        <w:t>的全部实质性要求</w:t>
      </w:r>
      <w:r>
        <w:rPr>
          <w:rFonts w:hint="eastAsia"/>
          <w:lang w:eastAsia="zh-CN"/>
        </w:rPr>
        <w:t>。</w:t>
      </w:r>
    </w:p>
    <w:p>
      <w:pPr>
        <w:pStyle w:val="35"/>
        <w:numPr>
          <w:ilvl w:val="2"/>
          <w:numId w:val="24"/>
        </w:numPr>
        <w:bidi w:val="0"/>
        <w:rPr>
          <w:rFonts w:hint="eastAsia"/>
        </w:rPr>
      </w:pPr>
      <w:r>
        <w:rPr>
          <w:rFonts w:hint="eastAsia"/>
          <w:lang w:val="en-US" w:eastAsia="zh-CN"/>
        </w:rPr>
        <w:t>我方</w:t>
      </w:r>
      <w:r>
        <w:rPr>
          <w:rFonts w:hint="eastAsia"/>
        </w:rPr>
        <w:t>参加本次采购活动，不存在与单位负责人为同一人或者存在直接控股、管理关系的其他供应商参与同一合同项下的政府采购活动的行为。</w:t>
      </w:r>
      <w:r>
        <w:rPr>
          <w:rFonts w:hint="eastAsia"/>
          <w:color w:val="auto"/>
          <w:sz w:val="24"/>
          <w:szCs w:val="24"/>
          <w:lang w:val="en-US" w:eastAsia="zh-CN"/>
        </w:rPr>
        <w:t>与我方</w:t>
      </w:r>
      <w:r>
        <w:rPr>
          <w:rFonts w:hint="eastAsia"/>
          <w:color w:val="auto"/>
          <w:sz w:val="24"/>
          <w:szCs w:val="24"/>
        </w:rPr>
        <w:t>存在直接控股关系的</w:t>
      </w:r>
      <w:r>
        <w:rPr>
          <w:rFonts w:hint="eastAsia"/>
          <w:color w:val="auto"/>
          <w:sz w:val="24"/>
          <w:szCs w:val="24"/>
          <w:lang w:val="en-US" w:eastAsia="zh-CN"/>
        </w:rPr>
        <w:t>单位为：</w:t>
      </w:r>
      <w:r>
        <w:rPr>
          <w:rFonts w:hint="eastAsia"/>
          <w:color w:val="auto"/>
          <w:sz w:val="24"/>
          <w:szCs w:val="24"/>
          <w:u w:val="single"/>
          <w:lang w:val="en-US" w:eastAsia="zh-CN"/>
        </w:rPr>
        <w:t xml:space="preserve">                  </w:t>
      </w:r>
      <w:r>
        <w:rPr>
          <w:rFonts w:hint="eastAsia"/>
          <w:color w:val="auto"/>
          <w:sz w:val="24"/>
          <w:szCs w:val="24"/>
          <w:lang w:eastAsia="zh-CN"/>
        </w:rPr>
        <w:t>；</w:t>
      </w:r>
      <w:r>
        <w:rPr>
          <w:rFonts w:hint="eastAsia"/>
          <w:color w:val="auto"/>
          <w:sz w:val="24"/>
          <w:szCs w:val="24"/>
          <w:lang w:val="en-US" w:eastAsia="zh-CN"/>
        </w:rPr>
        <w:t>存在</w:t>
      </w:r>
      <w:r>
        <w:rPr>
          <w:rFonts w:hint="eastAsia"/>
          <w:color w:val="auto"/>
          <w:sz w:val="24"/>
          <w:szCs w:val="24"/>
        </w:rPr>
        <w:t>管理关系的</w:t>
      </w:r>
      <w:r>
        <w:rPr>
          <w:rFonts w:hint="eastAsia"/>
          <w:color w:val="auto"/>
          <w:sz w:val="24"/>
          <w:szCs w:val="24"/>
          <w:lang w:val="en-US" w:eastAsia="zh-CN"/>
        </w:rPr>
        <w:t>单位为：</w:t>
      </w:r>
      <w:r>
        <w:rPr>
          <w:rFonts w:hint="eastAsia"/>
          <w:color w:val="auto"/>
          <w:sz w:val="24"/>
          <w:szCs w:val="24"/>
          <w:u w:val="single"/>
          <w:lang w:val="en-US" w:eastAsia="zh-CN"/>
        </w:rPr>
        <w:t xml:space="preserve">                      </w:t>
      </w:r>
      <w:r>
        <w:rPr>
          <w:rFonts w:hint="eastAsia"/>
          <w:color w:val="auto"/>
          <w:sz w:val="24"/>
          <w:szCs w:val="24"/>
          <w:u w:val="none"/>
          <w:lang w:val="en-US" w:eastAsia="zh-CN"/>
        </w:rPr>
        <w:t>(如不存在</w:t>
      </w:r>
      <w:r>
        <w:rPr>
          <w:rFonts w:hint="eastAsia"/>
          <w:color w:val="auto"/>
          <w:sz w:val="24"/>
          <w:szCs w:val="24"/>
        </w:rPr>
        <w:t>直接控股、管理关系的相关供应商</w:t>
      </w:r>
      <w:r>
        <w:rPr>
          <w:rFonts w:hint="eastAsia"/>
          <w:color w:val="auto"/>
          <w:sz w:val="24"/>
          <w:szCs w:val="24"/>
          <w:lang w:val="en-US" w:eastAsia="zh-CN"/>
        </w:rPr>
        <w:t>填“无”</w:t>
      </w:r>
      <w:r>
        <w:rPr>
          <w:rFonts w:hint="eastAsia"/>
          <w:color w:val="auto"/>
          <w:sz w:val="24"/>
          <w:szCs w:val="24"/>
          <w:u w:val="none"/>
          <w:lang w:val="en-US" w:eastAsia="zh-CN"/>
        </w:rPr>
        <w:t>)。</w:t>
      </w:r>
    </w:p>
    <w:p>
      <w:pPr>
        <w:pStyle w:val="35"/>
        <w:numPr>
          <w:ilvl w:val="2"/>
          <w:numId w:val="24"/>
        </w:numPr>
        <w:bidi w:val="0"/>
        <w:rPr>
          <w:rFonts w:hint="eastAsia"/>
        </w:rPr>
      </w:pPr>
      <w:r>
        <w:rPr>
          <w:rFonts w:hint="eastAsia"/>
          <w:lang w:val="en-US" w:eastAsia="zh-CN"/>
        </w:rPr>
        <w:t>我方</w:t>
      </w:r>
      <w:r>
        <w:rPr>
          <w:rFonts w:hint="eastAsia"/>
        </w:rPr>
        <w:t>参加本次采购活动前本单位未对本次采购项目提供过整体设计、规范编制或者项目管理、监理、检测等服务。</w:t>
      </w:r>
    </w:p>
    <w:p>
      <w:pPr>
        <w:pStyle w:val="35"/>
        <w:numPr>
          <w:ilvl w:val="2"/>
          <w:numId w:val="24"/>
        </w:numPr>
        <w:bidi w:val="0"/>
        <w:rPr>
          <w:rFonts w:hint="eastAsia"/>
          <w:lang w:val="en-US"/>
        </w:rPr>
      </w:pPr>
      <w:r>
        <w:rPr>
          <w:rFonts w:hint="eastAsia"/>
          <w:lang w:val="en-US" w:eastAsia="zh-CN"/>
        </w:rPr>
        <w:t>我方</w:t>
      </w:r>
      <w:r>
        <w:rPr>
          <w:rFonts w:hint="eastAsia"/>
        </w:rPr>
        <w:t>参加本次采购活动，</w:t>
      </w:r>
      <w:r>
        <w:rPr>
          <w:rFonts w:hint="eastAsia"/>
          <w:lang w:val="en-US" w:eastAsia="zh-CN"/>
        </w:rPr>
        <w:t>不存在我单位实际控制人或者中高级管理人员是本项目采购代理机构的工作人员的情形。</w:t>
      </w:r>
    </w:p>
    <w:p>
      <w:pPr>
        <w:pStyle w:val="35"/>
        <w:numPr>
          <w:ilvl w:val="2"/>
          <w:numId w:val="24"/>
        </w:numPr>
        <w:bidi w:val="0"/>
        <w:rPr>
          <w:rFonts w:hint="eastAsia"/>
          <w:lang w:eastAsia="zh-CN"/>
        </w:rPr>
      </w:pPr>
      <w:r>
        <w:rPr>
          <w:rFonts w:hint="eastAsia"/>
          <w:lang w:val="en-US" w:eastAsia="zh-CN"/>
        </w:rPr>
        <w:t>我方</w:t>
      </w:r>
      <w:r>
        <w:rPr>
          <w:rFonts w:hint="eastAsia"/>
        </w:rPr>
        <w:t>参加本次采购活动，</w:t>
      </w:r>
      <w:r>
        <w:rPr>
          <w:rFonts w:hint="eastAsia"/>
          <w:lang w:val="en-US" w:eastAsia="zh-CN"/>
        </w:rPr>
        <w:t>不存在</w:t>
      </w:r>
      <w:r>
        <w:rPr>
          <w:rFonts w:hint="eastAsia"/>
        </w:rPr>
        <w:t>同一母公司的两家以上的子公司以不同供应商身份同时参加本项目同一合同项下的采购活动</w:t>
      </w:r>
      <w:r>
        <w:rPr>
          <w:rFonts w:hint="eastAsia"/>
          <w:lang w:val="en-US" w:eastAsia="zh-CN"/>
        </w:rPr>
        <w:t>的情形</w:t>
      </w:r>
      <w:r>
        <w:rPr>
          <w:rFonts w:hint="eastAsia"/>
          <w:lang w:eastAsia="zh-CN"/>
        </w:rPr>
        <w:t>。</w:t>
      </w:r>
    </w:p>
    <w:p>
      <w:pPr>
        <w:pStyle w:val="35"/>
        <w:numPr>
          <w:ilvl w:val="2"/>
          <w:numId w:val="24"/>
        </w:numPr>
        <w:bidi w:val="0"/>
        <w:rPr>
          <w:rFonts w:hint="eastAsia"/>
        </w:rPr>
      </w:pPr>
      <w:r>
        <w:rPr>
          <w:rFonts w:hint="eastAsia"/>
          <w:lang w:val="en-US" w:eastAsia="zh-CN"/>
        </w:rPr>
        <w:t>我方</w:t>
      </w:r>
      <w:r>
        <w:rPr>
          <w:rFonts w:hint="eastAsia"/>
        </w:rPr>
        <w:t>参加本次采购活动，</w:t>
      </w:r>
      <w:r>
        <w:rPr>
          <w:rFonts w:hint="eastAsia"/>
          <w:lang w:val="en-US"/>
        </w:rPr>
        <w:t>与采购代理机构</w:t>
      </w:r>
      <w:r>
        <w:rPr>
          <w:rFonts w:hint="eastAsia"/>
          <w:lang w:val="en-US" w:eastAsia="zh-CN"/>
        </w:rPr>
        <w:t>不</w:t>
      </w:r>
      <w:r>
        <w:rPr>
          <w:rFonts w:hint="eastAsia"/>
          <w:lang w:val="en-US"/>
        </w:rPr>
        <w:t>存在关联关系，</w:t>
      </w:r>
      <w:r>
        <w:rPr>
          <w:rFonts w:hint="eastAsia"/>
          <w:lang w:val="en-US" w:eastAsia="zh-CN"/>
        </w:rPr>
        <w:t>不为</w:t>
      </w:r>
      <w:r>
        <w:rPr>
          <w:rFonts w:hint="eastAsia"/>
          <w:lang w:val="en-US"/>
        </w:rPr>
        <w:t>采购代理机构的母公司或子公司</w:t>
      </w:r>
      <w:r>
        <w:rPr>
          <w:rFonts w:hint="eastAsia"/>
          <w:lang w:val="en-US" w:eastAsia="zh-CN"/>
        </w:rPr>
        <w:t>。</w:t>
      </w:r>
    </w:p>
    <w:p>
      <w:pPr>
        <w:pStyle w:val="35"/>
        <w:numPr>
          <w:ilvl w:val="2"/>
          <w:numId w:val="24"/>
        </w:numPr>
        <w:bidi w:val="0"/>
        <w:rPr>
          <w:rFonts w:hint="eastAsia"/>
        </w:rPr>
      </w:pPr>
      <w:r>
        <w:rPr>
          <w:rFonts w:hint="eastAsia"/>
          <w:lang w:val="en-US" w:eastAsia="zh-CN"/>
        </w:rPr>
        <w:t>我方</w:t>
      </w:r>
      <w:r>
        <w:rPr>
          <w:rFonts w:hint="eastAsia"/>
        </w:rPr>
        <w:t>参加本次采购活动，不存在和其他供应商在同一合同项下的采购项目中，同时委托同一个自然人、同一家庭的人员、同一单位的人员作为代理人的行为。</w:t>
      </w:r>
    </w:p>
    <w:p>
      <w:pPr>
        <w:pStyle w:val="35"/>
        <w:numPr>
          <w:ilvl w:val="2"/>
          <w:numId w:val="24"/>
        </w:numPr>
        <w:bidi w:val="0"/>
        <w:rPr>
          <w:rFonts w:hint="eastAsia"/>
        </w:rPr>
      </w:pPr>
      <w:r>
        <w:rPr>
          <w:rFonts w:hint="eastAsia"/>
          <w:lang w:val="en-US" w:eastAsia="zh-CN"/>
        </w:rPr>
        <w:t>我方投标</w:t>
      </w:r>
      <w:r>
        <w:rPr>
          <w:rFonts w:hint="eastAsia"/>
        </w:rPr>
        <w:t>文件中提供的任何资料和技术、服务、商务等响应承诺情况都是真实的、有效的、合法的。</w:t>
      </w:r>
    </w:p>
    <w:p>
      <w:pPr>
        <w:pStyle w:val="35"/>
        <w:numPr>
          <w:ilvl w:val="2"/>
          <w:numId w:val="24"/>
        </w:numPr>
        <w:bidi w:val="0"/>
        <w:rPr>
          <w:rFonts w:hint="eastAsia"/>
          <w:highlight w:val="none"/>
        </w:rPr>
      </w:pPr>
      <w:r>
        <w:rPr>
          <w:rFonts w:hint="eastAsia"/>
          <w:lang w:val="en-US" w:eastAsia="zh-CN"/>
        </w:rPr>
        <w:t>我方</w:t>
      </w:r>
      <w:r>
        <w:rPr>
          <w:rFonts w:hint="eastAsia"/>
        </w:rPr>
        <w:t>参加本次采购活动，我方完全同意</w:t>
      </w:r>
      <w:r>
        <w:rPr>
          <w:rFonts w:hint="eastAsia"/>
          <w:lang w:val="en-US" w:eastAsia="zh-CN"/>
        </w:rPr>
        <w:t>招标</w:t>
      </w:r>
      <w:r>
        <w:rPr>
          <w:rFonts w:hint="eastAsia"/>
        </w:rPr>
        <w:t>文件</w:t>
      </w:r>
      <w:r>
        <w:rPr>
          <w:rFonts w:hint="eastAsia"/>
          <w:lang w:val="en-US" w:eastAsia="zh-CN"/>
        </w:rPr>
        <w:t>中</w:t>
      </w:r>
      <w:r>
        <w:rPr>
          <w:rFonts w:hint="eastAsia"/>
        </w:rPr>
        <w:t>关于“</w:t>
      </w:r>
      <w:r>
        <w:rPr>
          <w:rFonts w:hint="eastAsia"/>
          <w:lang w:val="en-US" w:eastAsia="zh-CN"/>
        </w:rPr>
        <w:t>投标</w:t>
      </w:r>
      <w:r>
        <w:rPr>
          <w:rFonts w:hint="eastAsia"/>
          <w:highlight w:val="none"/>
        </w:rPr>
        <w:t>费用”、</w:t>
      </w:r>
      <w:r>
        <w:rPr>
          <w:rFonts w:hint="eastAsia"/>
          <w:color w:val="000000" w:themeColor="text1"/>
          <w:highlight w:val="none"/>
          <w14:textFill>
            <w14:solidFill>
              <w14:schemeClr w14:val="tx1"/>
            </w14:solidFill>
          </w14:textFill>
        </w:rPr>
        <w:t>“合同分包”、</w:t>
      </w:r>
      <w:r>
        <w:rPr>
          <w:rFonts w:hint="eastAsia"/>
          <w:highlight w:val="none"/>
        </w:rPr>
        <w:t>“合同转包”</w:t>
      </w:r>
      <w:r>
        <w:rPr>
          <w:rFonts w:hint="eastAsia"/>
          <w:highlight w:val="none"/>
          <w:lang w:eastAsia="zh-CN"/>
        </w:rPr>
        <w:t>、“</w:t>
      </w:r>
      <w:r>
        <w:rPr>
          <w:rFonts w:hint="eastAsia"/>
          <w:highlight w:val="none"/>
          <w:lang w:val="en-US" w:eastAsia="zh-CN"/>
        </w:rPr>
        <w:t>知识产权</w:t>
      </w:r>
      <w:r>
        <w:rPr>
          <w:rFonts w:hint="eastAsia"/>
          <w:highlight w:val="none"/>
          <w:lang w:eastAsia="zh-CN"/>
        </w:rPr>
        <w:t>”</w:t>
      </w:r>
      <w:r>
        <w:rPr>
          <w:rFonts w:hint="eastAsia"/>
          <w:highlight w:val="none"/>
          <w:lang w:val="en-US" w:eastAsia="zh-CN"/>
        </w:rPr>
        <w:t>等</w:t>
      </w:r>
      <w:r>
        <w:rPr>
          <w:rFonts w:hint="eastAsia"/>
          <w:highlight w:val="none"/>
        </w:rPr>
        <w:t>实质性要求，并承诺严格按照</w:t>
      </w:r>
      <w:r>
        <w:rPr>
          <w:rFonts w:hint="eastAsia"/>
          <w:highlight w:val="none"/>
          <w:lang w:val="en-US" w:eastAsia="zh-CN"/>
        </w:rPr>
        <w:t>招标</w:t>
      </w:r>
      <w:r>
        <w:rPr>
          <w:rFonts w:hint="eastAsia"/>
          <w:highlight w:val="none"/>
        </w:rPr>
        <w:t>文件要求履行。</w:t>
      </w:r>
    </w:p>
    <w:p>
      <w:pPr>
        <w:pStyle w:val="35"/>
        <w:numPr>
          <w:ilvl w:val="2"/>
          <w:numId w:val="24"/>
        </w:numPr>
        <w:bidi w:val="0"/>
        <w:rPr>
          <w:rFonts w:hint="eastAsia"/>
        </w:rPr>
      </w:pPr>
      <w:r>
        <w:rPr>
          <w:rFonts w:hint="eastAsia"/>
        </w:rPr>
        <w:t>我方保证在本项目使用的任何产品和服务</w:t>
      </w:r>
      <w:r>
        <w:rPr>
          <w:rFonts w:hint="eastAsia"/>
          <w:lang w:eastAsia="zh-CN"/>
        </w:rPr>
        <w:t>(</w:t>
      </w:r>
      <w:r>
        <w:rPr>
          <w:rFonts w:hint="eastAsia"/>
        </w:rPr>
        <w:t>包括部分使用</w:t>
      </w:r>
      <w:r>
        <w:rPr>
          <w:rFonts w:hint="eastAsia"/>
          <w:lang w:eastAsia="zh-CN"/>
        </w:rPr>
        <w:t>)</w:t>
      </w:r>
      <w:r>
        <w:rPr>
          <w:rFonts w:hint="eastAsia"/>
        </w:rPr>
        <w:t>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t>承诺</w:t>
      </w:r>
      <w:r>
        <w:rPr>
          <w:rFonts w:hint="eastAsia"/>
        </w:rPr>
        <w:t>提供</w:t>
      </w:r>
      <w:r>
        <w:rPr>
          <w:rFonts w:hint="eastAsia"/>
          <w:lang w:val="en-US" w:eastAsia="zh-CN"/>
        </w:rPr>
        <w:t>相关</w:t>
      </w:r>
      <w:r>
        <w:rPr>
          <w:rFonts w:hint="eastAsia"/>
        </w:rPr>
        <w:t>技术文档，并提供无限期技术支持，采购人享有永久使用权</w:t>
      </w:r>
      <w:r>
        <w:rPr>
          <w:rFonts w:hint="eastAsia"/>
          <w:lang w:eastAsia="zh-CN"/>
        </w:rPr>
        <w:t>(</w:t>
      </w:r>
      <w:r>
        <w:rPr>
          <w:rFonts w:hint="eastAsia"/>
        </w:rPr>
        <w:t>含采购人委托第三方在该项目后续开发的使用权</w:t>
      </w:r>
      <w:r>
        <w:rPr>
          <w:rFonts w:hint="eastAsia"/>
          <w:lang w:eastAsia="zh-CN"/>
        </w:rPr>
        <w:t>)</w:t>
      </w:r>
      <w:r>
        <w:rPr>
          <w:rFonts w:hint="eastAsia"/>
        </w:rPr>
        <w:t>。如我方在项目实施过程中采用非自有的知识产权，则在投标报价中已包括合法获取该知识产权的相关费用。</w:t>
      </w:r>
    </w:p>
    <w:p>
      <w:pPr>
        <w:pStyle w:val="46"/>
        <w:bidi w:val="0"/>
        <w:rPr>
          <w:rFonts w:hint="eastAsia"/>
        </w:rPr>
      </w:pPr>
      <w:r>
        <w:rPr>
          <w:rFonts w:hint="eastAsia"/>
        </w:rPr>
        <w:t>本公司对上述承诺的内容事项真实性</w:t>
      </w:r>
      <w:r>
        <w:rPr>
          <w:rFonts w:hint="eastAsia"/>
          <w:lang w:eastAsia="zh-CN"/>
        </w:rPr>
        <w:t>、</w:t>
      </w:r>
      <w:r>
        <w:rPr>
          <w:rFonts w:hint="eastAsia"/>
        </w:rPr>
        <w:t>合法</w:t>
      </w:r>
      <w:r>
        <w:rPr>
          <w:rFonts w:hint="eastAsia"/>
          <w:lang w:val="en-US" w:eastAsia="zh-CN"/>
        </w:rPr>
        <w:t>性</w:t>
      </w:r>
      <w:r>
        <w:rPr>
          <w:rFonts w:hint="eastAsia"/>
        </w:rPr>
        <w:t>负责。如经查实上述承诺的内容事项存在虚假，我公司</w:t>
      </w:r>
      <w:r>
        <w:rPr>
          <w:rFonts w:hint="eastAsia"/>
          <w:lang w:val="en-US" w:eastAsia="zh-CN"/>
        </w:rPr>
        <w:t>自愿</w:t>
      </w:r>
      <w:r>
        <w:rPr>
          <w:rFonts w:hint="eastAsia"/>
        </w:rPr>
        <w:t>接受以提供虚假材料谋取</w:t>
      </w:r>
      <w:r>
        <w:rPr>
          <w:rFonts w:hint="eastAsia"/>
          <w:lang w:val="en-US" w:eastAsia="zh-CN"/>
        </w:rPr>
        <w:t>中标所带来的所有</w:t>
      </w:r>
      <w:r>
        <w:rPr>
          <w:rFonts w:hint="eastAsia"/>
        </w:rPr>
        <w:t>法律责任。</w:t>
      </w:r>
    </w:p>
    <w:p>
      <w:pPr>
        <w:pStyle w:val="46"/>
        <w:bidi w:val="0"/>
        <w:rPr>
          <w:rFonts w:hint="eastAsia"/>
        </w:rPr>
      </w:pPr>
      <w:r>
        <w:rPr>
          <w:rFonts w:hint="eastAsia"/>
          <w:lang w:val="en-US" w:eastAsia="zh-CN"/>
        </w:rPr>
        <w:t>投标人</w:t>
      </w:r>
      <w:r>
        <w:rPr>
          <w:rFonts w:hint="eastAsia"/>
        </w:rPr>
        <w:t>名称：</w:t>
      </w:r>
      <w:r>
        <w:rPr>
          <w:rFonts w:hint="eastAsia" w:asciiTheme="minorEastAsia" w:hAnsiTheme="minorEastAsia" w:eastAsiaTheme="minorEastAsia" w:cstheme="minorEastAsia"/>
          <w:color w:val="auto"/>
          <w:sz w:val="24"/>
          <w:highlight w:val="none"/>
          <w:u w:val="single"/>
          <w:lang w:val="en-US" w:eastAsia="zh-CN"/>
        </w:rPr>
        <w:t xml:space="preserve">            </w:t>
      </w:r>
    </w:p>
    <w:p>
      <w:pPr>
        <w:pStyle w:val="46"/>
        <w:bidi w:val="0"/>
        <w:rPr>
          <w:rFonts w:hint="eastAsia"/>
          <w:lang w:val="en-US" w:eastAsia="zh-CN"/>
        </w:rPr>
      </w:pPr>
      <w:r>
        <w:rPr>
          <w:rFonts w:hint="eastAsia"/>
          <w:lang w:val="en-US" w:eastAsia="zh-CN"/>
        </w:rPr>
        <w:t>投标</w:t>
      </w:r>
      <w:r>
        <w:rPr>
          <w:rFonts w:hint="eastAsia"/>
        </w:rPr>
        <w:t>日期</w:t>
      </w:r>
      <w:r>
        <w:rPr>
          <w:rFonts w:hint="eastAsia"/>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lang w:val="en-US" w:eastAsia="zh-CN"/>
        </w:rPr>
        <w:t xml:space="preserve">         </w:t>
      </w:r>
    </w:p>
    <w:p>
      <w:pPr>
        <w:rPr>
          <w:rFonts w:hint="eastAsia" w:ascii="宋体" w:hAnsi="宋体" w:eastAsia="宋体"/>
        </w:rPr>
      </w:pPr>
      <w:r>
        <w:rPr>
          <w:rFonts w:hint="eastAsia" w:ascii="宋体" w:hAnsi="宋体" w:eastAsia="宋体"/>
        </w:rPr>
        <w:br w:type="page"/>
      </w:r>
    </w:p>
    <w:p>
      <w:pPr>
        <w:pStyle w:val="44"/>
        <w:numPr>
          <w:ilvl w:val="0"/>
          <w:numId w:val="22"/>
        </w:numPr>
        <w:bidi w:val="0"/>
        <w:ind w:left="0" w:leftChars="0" w:firstLine="0" w:firstLineChars="0"/>
        <w:rPr>
          <w:rFonts w:hint="eastAsia"/>
          <w:lang w:val="en-US" w:eastAsia="zh-CN"/>
        </w:rPr>
      </w:pPr>
      <w:bookmarkStart w:id="869" w:name="_Toc3690"/>
      <w:bookmarkStart w:id="870" w:name="_Toc439161752"/>
      <w:bookmarkStart w:id="871" w:name="_Toc10493"/>
      <w:bookmarkStart w:id="872" w:name="_Toc1281"/>
      <w:bookmarkStart w:id="873" w:name="_Toc302997926"/>
      <w:bookmarkStart w:id="874" w:name="_Toc5912"/>
      <w:bookmarkStart w:id="875" w:name="_Toc6982"/>
      <w:r>
        <w:rPr>
          <w:rFonts w:hint="eastAsia"/>
          <w:lang w:val="en-US" w:eastAsia="zh-CN"/>
        </w:rPr>
        <w:t>投标人基本情况表</w:t>
      </w:r>
      <w:bookmarkEnd w:id="869"/>
      <w:bookmarkEnd w:id="870"/>
      <w:bookmarkEnd w:id="871"/>
      <w:bookmarkEnd w:id="872"/>
      <w:bookmarkEnd w:id="873"/>
      <w:bookmarkEnd w:id="874"/>
      <w:bookmarkEnd w:id="875"/>
    </w:p>
    <w:tbl>
      <w:tblPr>
        <w:tblStyle w:val="21"/>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投标人名称</w:t>
            </w:r>
          </w:p>
        </w:tc>
        <w:tc>
          <w:tcPr>
            <w:tcW w:w="8000" w:type="dxa"/>
            <w:gridSpan w:val="7"/>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注册地址</w:t>
            </w:r>
          </w:p>
        </w:tc>
        <w:tc>
          <w:tcPr>
            <w:tcW w:w="3826" w:type="dxa"/>
            <w:gridSpan w:val="3"/>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548"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邮政编码</w:t>
            </w:r>
          </w:p>
        </w:tc>
        <w:tc>
          <w:tcPr>
            <w:tcW w:w="2626" w:type="dxa"/>
            <w:gridSpan w:val="3"/>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联系方式</w:t>
            </w:r>
          </w:p>
        </w:tc>
        <w:tc>
          <w:tcPr>
            <w:tcW w:w="939"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联系人</w:t>
            </w:r>
          </w:p>
        </w:tc>
        <w:tc>
          <w:tcPr>
            <w:tcW w:w="2887"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548"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电话</w:t>
            </w:r>
          </w:p>
        </w:tc>
        <w:tc>
          <w:tcPr>
            <w:tcW w:w="2626" w:type="dxa"/>
            <w:gridSpan w:val="3"/>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939"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传真</w:t>
            </w:r>
          </w:p>
        </w:tc>
        <w:tc>
          <w:tcPr>
            <w:tcW w:w="2887"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548"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网址</w:t>
            </w:r>
          </w:p>
        </w:tc>
        <w:tc>
          <w:tcPr>
            <w:tcW w:w="2626" w:type="dxa"/>
            <w:gridSpan w:val="3"/>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法定代表人</w:t>
            </w:r>
          </w:p>
        </w:tc>
        <w:tc>
          <w:tcPr>
            <w:tcW w:w="939"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姓名</w:t>
            </w:r>
          </w:p>
        </w:tc>
        <w:tc>
          <w:tcPr>
            <w:tcW w:w="1432"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455"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技术职称</w:t>
            </w:r>
          </w:p>
        </w:tc>
        <w:tc>
          <w:tcPr>
            <w:tcW w:w="1548"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364"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电话</w:t>
            </w:r>
          </w:p>
        </w:tc>
        <w:tc>
          <w:tcPr>
            <w:tcW w:w="1262"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技术负责人</w:t>
            </w:r>
          </w:p>
        </w:tc>
        <w:tc>
          <w:tcPr>
            <w:tcW w:w="939"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姓名</w:t>
            </w:r>
          </w:p>
        </w:tc>
        <w:tc>
          <w:tcPr>
            <w:tcW w:w="1432"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455"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技术职称</w:t>
            </w:r>
          </w:p>
        </w:tc>
        <w:tc>
          <w:tcPr>
            <w:tcW w:w="1548"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364"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电话</w:t>
            </w:r>
          </w:p>
        </w:tc>
        <w:tc>
          <w:tcPr>
            <w:tcW w:w="1262"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成立时间</w:t>
            </w:r>
          </w:p>
        </w:tc>
        <w:tc>
          <w:tcPr>
            <w:tcW w:w="2371"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5629" w:type="dxa"/>
            <w:gridSpan w:val="5"/>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lang w:val="en-US" w:eastAsia="zh-CN"/>
              </w:rPr>
              <w:t>从业人员</w:t>
            </w:r>
            <w:r>
              <w:rPr>
                <w:rFonts w:hint="eastAsia"/>
              </w:rPr>
              <w:t>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企业资质等级</w:t>
            </w:r>
          </w:p>
        </w:tc>
        <w:tc>
          <w:tcPr>
            <w:tcW w:w="2371"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455" w:type="dxa"/>
            <w:vMerge w:val="restart"/>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其中</w:t>
            </w:r>
          </w:p>
        </w:tc>
        <w:tc>
          <w:tcPr>
            <w:tcW w:w="1734"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项目经理</w:t>
            </w:r>
          </w:p>
        </w:tc>
        <w:tc>
          <w:tcPr>
            <w:tcW w:w="2440"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营业执照号/统一社会信用代码</w:t>
            </w:r>
          </w:p>
        </w:tc>
        <w:tc>
          <w:tcPr>
            <w:tcW w:w="2371"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455" w:type="dxa"/>
            <w:vMerge w:val="continue"/>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734"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高级职称人员</w:t>
            </w:r>
          </w:p>
        </w:tc>
        <w:tc>
          <w:tcPr>
            <w:tcW w:w="2440"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注册资金</w:t>
            </w:r>
          </w:p>
        </w:tc>
        <w:tc>
          <w:tcPr>
            <w:tcW w:w="2371"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455" w:type="dxa"/>
            <w:vMerge w:val="continue"/>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734"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中级职称人员</w:t>
            </w:r>
          </w:p>
        </w:tc>
        <w:tc>
          <w:tcPr>
            <w:tcW w:w="2440"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开户银行</w:t>
            </w:r>
          </w:p>
        </w:tc>
        <w:tc>
          <w:tcPr>
            <w:tcW w:w="2371"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455" w:type="dxa"/>
            <w:vMerge w:val="continue"/>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734"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初级职称人员</w:t>
            </w:r>
          </w:p>
        </w:tc>
        <w:tc>
          <w:tcPr>
            <w:tcW w:w="2440"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账号</w:t>
            </w:r>
          </w:p>
        </w:tc>
        <w:tc>
          <w:tcPr>
            <w:tcW w:w="2371"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455" w:type="dxa"/>
            <w:vMerge w:val="continue"/>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734"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技工</w:t>
            </w:r>
          </w:p>
        </w:tc>
        <w:tc>
          <w:tcPr>
            <w:tcW w:w="2440" w:type="dxa"/>
            <w:gridSpan w:val="2"/>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经营范围</w:t>
            </w:r>
          </w:p>
        </w:tc>
        <w:tc>
          <w:tcPr>
            <w:tcW w:w="8000" w:type="dxa"/>
            <w:gridSpan w:val="7"/>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default" w:eastAsia="宋体"/>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jc w:val="center"/>
              <w:textAlignment w:val="auto"/>
              <w:rPr>
                <w:rFonts w:hint="eastAsia"/>
              </w:rPr>
            </w:pPr>
            <w:r>
              <w:rPr>
                <w:rFonts w:hint="eastAsia"/>
              </w:rPr>
              <w:t>备注</w:t>
            </w:r>
          </w:p>
        </w:tc>
        <w:tc>
          <w:tcPr>
            <w:tcW w:w="8000" w:type="dxa"/>
            <w:gridSpan w:val="7"/>
            <w:vAlign w:val="top"/>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bl>
    <w:p>
      <w:pPr>
        <w:pStyle w:val="47"/>
        <w:bidi w:val="0"/>
        <w:rPr>
          <w:rFonts w:hint="eastAsia"/>
        </w:rPr>
      </w:pPr>
      <w:r>
        <w:rPr>
          <w:rFonts w:hint="eastAsia"/>
        </w:rPr>
        <w:t>注：</w:t>
      </w:r>
      <w:r>
        <w:rPr>
          <w:rFonts w:hint="eastAsia"/>
          <w:lang w:val="en-US" w:eastAsia="zh-CN"/>
        </w:rPr>
        <w:t>①投标人</w:t>
      </w:r>
      <w:r>
        <w:rPr>
          <w:rFonts w:hint="eastAsia"/>
        </w:rPr>
        <w:t>根据</w:t>
      </w:r>
      <w:r>
        <w:rPr>
          <w:rFonts w:hint="eastAsia"/>
          <w:lang w:val="en-US" w:eastAsia="zh-CN"/>
        </w:rPr>
        <w:t>自身</w:t>
      </w:r>
      <w:r>
        <w:rPr>
          <w:rFonts w:hint="eastAsia"/>
        </w:rPr>
        <w:t>实际情况</w:t>
      </w:r>
      <w:r>
        <w:rPr>
          <w:rFonts w:hint="eastAsia"/>
          <w:lang w:val="en-US" w:eastAsia="zh-CN"/>
        </w:rPr>
        <w:t>填写</w:t>
      </w:r>
      <w:r>
        <w:rPr>
          <w:rFonts w:hint="eastAsia"/>
        </w:rPr>
        <w:t>，</w:t>
      </w:r>
      <w:r>
        <w:rPr>
          <w:rFonts w:hint="eastAsia"/>
          <w:lang w:val="en-US" w:eastAsia="zh-CN"/>
        </w:rPr>
        <w:t>对不涉及的内容可填写“/”，</w:t>
      </w:r>
      <w:r>
        <w:rPr>
          <w:rFonts w:hint="eastAsia"/>
        </w:rPr>
        <w:t>不影响投标资质及效力。</w:t>
      </w:r>
    </w:p>
    <w:p>
      <w:pPr>
        <w:pStyle w:val="46"/>
        <w:bidi w:val="0"/>
        <w:rPr>
          <w:rFonts w:hint="eastAsia"/>
        </w:rPr>
      </w:pPr>
    </w:p>
    <w:p>
      <w:pPr>
        <w:pStyle w:val="46"/>
        <w:bidi w:val="0"/>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6"/>
        <w:bidi w:val="0"/>
        <w:rPr>
          <w:rFonts w:hint="eastAsia"/>
        </w:rPr>
      </w:pPr>
      <w:r>
        <w:rPr>
          <w:rFonts w:hint="eastAsia"/>
        </w:rPr>
        <w:t>投标日期</w:t>
      </w:r>
      <w:r>
        <w:rPr>
          <w:rFonts w:hint="eastAsia"/>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lang w:val="en-US" w:eastAsia="zh-CN"/>
        </w:rPr>
        <w:t xml:space="preserve">       </w:t>
      </w:r>
    </w:p>
    <w:p>
      <w:pPr>
        <w:pStyle w:val="44"/>
        <w:numPr>
          <w:ilvl w:val="0"/>
          <w:numId w:val="22"/>
        </w:numPr>
        <w:bidi w:val="0"/>
        <w:ind w:left="0" w:leftChars="0" w:firstLine="0" w:firstLineChars="0"/>
        <w:rPr>
          <w:rFonts w:hint="eastAsia"/>
          <w:lang w:val="en-US" w:eastAsia="zh-CN"/>
        </w:rPr>
      </w:pPr>
      <w:bookmarkStart w:id="876" w:name="_Toc16464"/>
      <w:r>
        <w:rPr>
          <w:rFonts w:hint="eastAsia"/>
          <w:lang w:val="en-US" w:eastAsia="zh-CN"/>
        </w:rPr>
        <w:t>开标一览表</w:t>
      </w:r>
      <w:bookmarkEnd w:id="864"/>
      <w:bookmarkEnd w:id="865"/>
      <w:bookmarkEnd w:id="866"/>
      <w:bookmarkEnd w:id="867"/>
      <w:bookmarkEnd w:id="876"/>
    </w:p>
    <w:p>
      <w:pPr>
        <w:pStyle w:val="42"/>
        <w:bidi w:val="0"/>
        <w:rPr>
          <w:rFonts w:hint="eastAsia"/>
          <w:u w:val="single"/>
        </w:rPr>
      </w:pPr>
      <w:r>
        <w:rPr>
          <w:rFonts w:hint="eastAsia"/>
        </w:rPr>
        <w:t>项目名称：</w:t>
      </w:r>
      <w:r>
        <w:rPr>
          <w:rFonts w:hint="eastAsia"/>
          <w:u w:val="single"/>
        </w:rPr>
        <w:t xml:space="preserve">             </w:t>
      </w:r>
      <w:r>
        <w:rPr>
          <w:rFonts w:hint="eastAsia"/>
          <w:u w:val="single"/>
          <w:lang w:val="en-US" w:eastAsia="zh-CN"/>
        </w:rPr>
        <w:t xml:space="preserve">          </w:t>
      </w:r>
      <w:r>
        <w:rPr>
          <w:rFonts w:hint="eastAsia"/>
          <w:u w:val="single"/>
        </w:rPr>
        <w:t xml:space="preserve">  </w:t>
      </w:r>
    </w:p>
    <w:p>
      <w:pPr>
        <w:pStyle w:val="42"/>
        <w:bidi w:val="0"/>
        <w:rPr>
          <w:rFonts w:hint="eastAsia"/>
          <w:highlight w:val="yellow"/>
          <w:u w:val="single"/>
        </w:rPr>
      </w:pPr>
      <w:r>
        <w:rPr>
          <w:rFonts w:hint="eastAsia"/>
        </w:rPr>
        <w:t>项目编号：</w:t>
      </w:r>
      <w:r>
        <w:rPr>
          <w:rFonts w:hint="eastAsia"/>
          <w:u w:val="single"/>
        </w:rPr>
        <w:t xml:space="preserve">               </w:t>
      </w:r>
      <w:r>
        <w:rPr>
          <w:rFonts w:hint="eastAsia"/>
          <w:u w:val="single"/>
          <w:lang w:val="en-US" w:eastAsia="zh-CN"/>
        </w:rPr>
        <w:t xml:space="preserve">          </w:t>
      </w:r>
      <w:r>
        <w:rPr>
          <w:rFonts w:hint="eastAsia"/>
          <w:lang w:val="en-US" w:eastAsia="zh-CN"/>
        </w:rPr>
        <w:t xml:space="preserve">                                  </w:t>
      </w:r>
    </w:p>
    <w:tbl>
      <w:tblPr>
        <w:tblStyle w:val="21"/>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2751"/>
        <w:gridCol w:w="2759"/>
        <w:gridCol w:w="2751"/>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367" w:type="pct"/>
            <w:vAlign w:val="center"/>
          </w:tcPr>
          <w:p>
            <w:pPr>
              <w:pStyle w:val="45"/>
              <w:bidi w:val="0"/>
              <w:jc w:val="center"/>
              <w:rPr>
                <w:rFonts w:hint="eastAsia"/>
                <w:b/>
                <w:bCs/>
              </w:rPr>
            </w:pPr>
            <w:r>
              <w:rPr>
                <w:rFonts w:hint="eastAsia"/>
                <w:b/>
                <w:bCs/>
              </w:rPr>
              <w:t>序号</w:t>
            </w:r>
          </w:p>
        </w:tc>
        <w:tc>
          <w:tcPr>
            <w:tcW w:w="1378" w:type="pct"/>
            <w:vAlign w:val="center"/>
          </w:tcPr>
          <w:p>
            <w:pPr>
              <w:pStyle w:val="45"/>
              <w:bidi w:val="0"/>
              <w:rPr>
                <w:rFonts w:hint="default" w:eastAsia="宋体"/>
                <w:b/>
                <w:bCs/>
                <w:lang w:val="en-US" w:eastAsia="zh-CN"/>
              </w:rPr>
            </w:pPr>
            <w:r>
              <w:rPr>
                <w:rFonts w:hint="eastAsia"/>
                <w:b/>
                <w:bCs/>
                <w:lang w:val="en-US" w:eastAsia="zh-CN"/>
              </w:rPr>
              <w:t>采购内容</w:t>
            </w:r>
          </w:p>
        </w:tc>
        <w:tc>
          <w:tcPr>
            <w:tcW w:w="1382" w:type="pct"/>
            <w:vAlign w:val="center"/>
          </w:tcPr>
          <w:p>
            <w:pPr>
              <w:pStyle w:val="45"/>
              <w:ind w:firstLine="0" w:firstLineChars="0"/>
              <w:rPr>
                <w:rFonts w:hint="eastAsia"/>
                <w:b/>
                <w:bCs/>
              </w:rPr>
            </w:pPr>
            <w:r>
              <w:rPr>
                <w:rFonts w:hint="eastAsia"/>
                <w:b/>
                <w:bCs/>
                <w:highlight w:val="none"/>
              </w:rPr>
              <w:t>投标</w:t>
            </w:r>
            <w:r>
              <w:rPr>
                <w:rFonts w:hint="eastAsia"/>
                <w:b/>
                <w:bCs/>
                <w:highlight w:val="none"/>
                <w:lang w:val="en-US" w:eastAsia="zh-CN"/>
              </w:rPr>
              <w:t>报价</w:t>
            </w:r>
          </w:p>
        </w:tc>
        <w:tc>
          <w:tcPr>
            <w:tcW w:w="1378" w:type="pct"/>
            <w:vAlign w:val="center"/>
          </w:tcPr>
          <w:p>
            <w:pPr>
              <w:pStyle w:val="45"/>
              <w:bidi w:val="0"/>
              <w:rPr>
                <w:rFonts w:hint="eastAsia"/>
                <w:b/>
                <w:bCs/>
              </w:rPr>
            </w:pPr>
            <w:r>
              <w:rPr>
                <w:rFonts w:hint="eastAsia"/>
                <w:b/>
                <w:bCs/>
                <w:lang w:val="en-US" w:eastAsia="zh-CN"/>
              </w:rPr>
              <w:t>服务期限</w:t>
            </w:r>
          </w:p>
        </w:tc>
        <w:tc>
          <w:tcPr>
            <w:tcW w:w="492" w:type="pct"/>
            <w:vAlign w:val="center"/>
          </w:tcPr>
          <w:p>
            <w:pPr>
              <w:pStyle w:val="45"/>
              <w:bidi w:val="0"/>
              <w:rPr>
                <w:rFonts w:hint="eastAsia"/>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367" w:type="pct"/>
            <w:vAlign w:val="center"/>
          </w:tcPr>
          <w:p>
            <w:pPr>
              <w:pStyle w:val="42"/>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78" w:type="pct"/>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sz w:val="21"/>
                <w:szCs w:val="21"/>
              </w:rPr>
            </w:pPr>
          </w:p>
        </w:tc>
        <w:tc>
          <w:tcPr>
            <w:tcW w:w="1382" w:type="pct"/>
            <w:vAlign w:val="center"/>
          </w:tcPr>
          <w:p>
            <w:pPr>
              <w:pStyle w:val="45"/>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default"/>
                <w:sz w:val="21"/>
                <w:szCs w:val="21"/>
                <w:lang w:val="en-US"/>
              </w:rPr>
            </w:pPr>
          </w:p>
        </w:tc>
        <w:tc>
          <w:tcPr>
            <w:tcW w:w="1378" w:type="pct"/>
            <w:vAlign w:val="center"/>
          </w:tcPr>
          <w:p>
            <w:pPr>
              <w:pStyle w:val="42"/>
              <w:bidi w:val="0"/>
              <w:rPr>
                <w:rFonts w:hint="eastAsia" w:ascii="宋体" w:hAnsi="宋体" w:eastAsia="宋体" w:cs="宋体"/>
                <w:sz w:val="21"/>
                <w:szCs w:val="21"/>
                <w:lang w:eastAsia="zh-CN"/>
              </w:rPr>
            </w:pPr>
          </w:p>
        </w:tc>
        <w:tc>
          <w:tcPr>
            <w:tcW w:w="492" w:type="pct"/>
            <w:vAlign w:val="center"/>
          </w:tcPr>
          <w:p>
            <w:pPr>
              <w:pStyle w:val="42"/>
              <w:bidi w:val="0"/>
              <w:rPr>
                <w:rFonts w:hint="eastAsia" w:ascii="宋体" w:hAnsi="宋体" w:eastAsia="宋体" w:cs="宋体"/>
                <w:sz w:val="24"/>
                <w:szCs w:val="24"/>
              </w:rPr>
            </w:pPr>
          </w:p>
        </w:tc>
      </w:tr>
    </w:tbl>
    <w:p>
      <w:pPr>
        <w:pStyle w:val="47"/>
        <w:bidi w:val="0"/>
        <w:rPr>
          <w:rFonts w:hint="eastAsia"/>
          <w:b w:val="0"/>
          <w:bCs/>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注：</w:t>
      </w:r>
      <w:r>
        <w:rPr>
          <w:rFonts w:hint="eastAsia"/>
          <w:b w:val="0"/>
          <w:bCs/>
          <w:color w:val="000000" w:themeColor="text1"/>
          <w:highlight w:val="none"/>
          <w:lang w:val="en-US" w:eastAsia="zh-CN"/>
          <w14:textFill>
            <w14:solidFill>
              <w14:schemeClr w14:val="tx1"/>
            </w14:solidFill>
          </w14:textFill>
        </w:rPr>
        <w:t>①</w:t>
      </w:r>
      <w:r>
        <w:rPr>
          <w:rFonts w:hint="eastAsia"/>
          <w:b w:val="0"/>
          <w:bCs/>
          <w:color w:val="000000" w:themeColor="text1"/>
          <w:highlight w:val="none"/>
          <w14:textFill>
            <w14:solidFill>
              <w14:schemeClr w14:val="tx1"/>
            </w14:solidFill>
          </w14:textFill>
        </w:rPr>
        <w:t>报价应是投标人响应招标项目要求的全部工作内容的价格体现，</w:t>
      </w:r>
      <w:r>
        <w:rPr>
          <w:rFonts w:hint="eastAsia"/>
          <w:b w:val="0"/>
          <w:bCs/>
          <w:color w:val="000000" w:themeColor="text1"/>
          <w:highlight w:val="none"/>
          <w:lang w:val="en-US" w:eastAsia="zh-CN"/>
          <w14:textFill>
            <w14:solidFill>
              <w14:schemeClr w14:val="tx1"/>
            </w14:solidFill>
          </w14:textFill>
        </w:rPr>
        <w:t>包含完成</w:t>
      </w:r>
      <w:r>
        <w:rPr>
          <w:rFonts w:hint="eastAsia"/>
          <w:b w:val="0"/>
          <w:bCs/>
          <w:color w:val="000000" w:themeColor="text1"/>
          <w:highlight w:val="none"/>
          <w14:textFill>
            <w14:solidFill>
              <w14:schemeClr w14:val="tx1"/>
            </w14:solidFill>
          </w14:textFill>
        </w:rPr>
        <w:t>本项目所涉及人员</w:t>
      </w:r>
      <w:r>
        <w:rPr>
          <w:rFonts w:hint="eastAsia"/>
          <w:b w:val="0"/>
          <w:bCs/>
          <w:color w:val="000000" w:themeColor="text1"/>
          <w:highlight w:val="none"/>
          <w:lang w:val="en-US" w:eastAsia="zh-CN"/>
          <w14:textFill>
            <w14:solidFill>
              <w14:schemeClr w14:val="tx1"/>
            </w14:solidFill>
          </w14:textFill>
        </w:rPr>
        <w:t>薪资</w:t>
      </w:r>
      <w:r>
        <w:rPr>
          <w:rFonts w:hint="eastAsia"/>
          <w:b w:val="0"/>
          <w:bCs/>
          <w:color w:val="000000" w:themeColor="text1"/>
          <w:highlight w:val="none"/>
          <w14:textFill>
            <w14:solidFill>
              <w14:schemeClr w14:val="tx1"/>
            </w14:solidFill>
          </w14:textFill>
        </w:rPr>
        <w:t>、</w:t>
      </w:r>
      <w:r>
        <w:rPr>
          <w:rFonts w:hint="eastAsia"/>
          <w:b w:val="0"/>
          <w:bCs/>
          <w:color w:val="000000" w:themeColor="text1"/>
          <w:highlight w:val="none"/>
          <w:lang w:val="en-US" w:eastAsia="zh-CN"/>
          <w14:textFill>
            <w14:solidFill>
              <w14:schemeClr w14:val="tx1"/>
            </w14:solidFill>
          </w14:textFill>
        </w:rPr>
        <w:t>设备投入</w:t>
      </w:r>
      <w:r>
        <w:rPr>
          <w:rFonts w:hint="eastAsia"/>
          <w:b w:val="0"/>
          <w:bCs/>
          <w:color w:val="000000" w:themeColor="text1"/>
          <w:highlight w:val="none"/>
          <w14:textFill>
            <w14:solidFill>
              <w14:schemeClr w14:val="tx1"/>
            </w14:solidFill>
          </w14:textFill>
        </w:rPr>
        <w:t>、</w:t>
      </w:r>
      <w:r>
        <w:rPr>
          <w:rFonts w:hint="eastAsia"/>
          <w:b w:val="0"/>
          <w:bCs/>
          <w:color w:val="000000" w:themeColor="text1"/>
          <w:highlight w:val="none"/>
          <w:lang w:val="en-US" w:eastAsia="zh-CN"/>
          <w14:textFill>
            <w14:solidFill>
              <w14:schemeClr w14:val="tx1"/>
            </w14:solidFill>
          </w14:textFill>
        </w:rPr>
        <w:t>交通住宿</w:t>
      </w:r>
      <w:r>
        <w:rPr>
          <w:rFonts w:hint="eastAsia"/>
          <w:b w:val="0"/>
          <w:bCs/>
          <w:color w:val="000000" w:themeColor="text1"/>
          <w:highlight w:val="none"/>
          <w14:textFill>
            <w14:solidFill>
              <w14:schemeClr w14:val="tx1"/>
            </w14:solidFill>
          </w14:textFill>
        </w:rPr>
        <w:t>、</w:t>
      </w:r>
      <w:r>
        <w:rPr>
          <w:rFonts w:hint="eastAsia"/>
          <w:b w:val="0"/>
          <w:bCs/>
          <w:color w:val="000000" w:themeColor="text1"/>
          <w:highlight w:val="none"/>
          <w:lang w:val="en-US" w:eastAsia="zh-CN"/>
          <w14:textFill>
            <w14:solidFill>
              <w14:schemeClr w14:val="tx1"/>
            </w14:solidFill>
          </w14:textFill>
        </w:rPr>
        <w:t>检测、管理</w:t>
      </w:r>
      <w:r>
        <w:rPr>
          <w:rFonts w:hint="eastAsia"/>
          <w:b w:val="0"/>
          <w:bCs/>
          <w:color w:val="000000" w:themeColor="text1"/>
          <w:highlight w:val="none"/>
          <w14:textFill>
            <w14:solidFill>
              <w14:schemeClr w14:val="tx1"/>
            </w14:solidFill>
          </w14:textFill>
        </w:rPr>
        <w:t>、成果、利润、保险、风险、税金、招标代理服务费</w:t>
      </w:r>
      <w:r>
        <w:rPr>
          <w:rFonts w:hint="eastAsia"/>
          <w:b w:val="0"/>
          <w:bCs/>
          <w:color w:val="000000" w:themeColor="text1"/>
          <w:highlight w:val="none"/>
          <w:lang w:val="en-US" w:eastAsia="zh-CN"/>
          <w14:textFill>
            <w14:solidFill>
              <w14:schemeClr w14:val="tx1"/>
            </w14:solidFill>
          </w14:textFill>
        </w:rPr>
        <w:t>等完成本项目所需要的</w:t>
      </w:r>
      <w:r>
        <w:rPr>
          <w:rFonts w:hint="eastAsia"/>
          <w:b w:val="0"/>
          <w:bCs/>
          <w:color w:val="000000" w:themeColor="text1"/>
          <w:highlight w:val="none"/>
          <w14:textFill>
            <w14:solidFill>
              <w14:schemeClr w14:val="tx1"/>
            </w14:solidFill>
          </w14:textFill>
        </w:rPr>
        <w:t>一切费用。</w:t>
      </w:r>
    </w:p>
    <w:p>
      <w:pPr>
        <w:pStyle w:val="47"/>
        <w:bidi w:val="0"/>
        <w:rPr>
          <w:rFonts w:hint="default"/>
          <w:b w:val="0"/>
          <w:bCs/>
          <w:color w:val="000000" w:themeColor="text1"/>
          <w:highlight w:val="none"/>
          <w:lang w:val="en-US"/>
          <w14:textFill>
            <w14:solidFill>
              <w14:schemeClr w14:val="tx1"/>
            </w14:solidFill>
          </w14:textFill>
        </w:rPr>
      </w:pPr>
      <w:r>
        <w:rPr>
          <w:rFonts w:hint="eastAsia"/>
          <w:b w:val="0"/>
          <w:bCs/>
          <w:color w:val="000000" w:themeColor="text1"/>
          <w:highlight w:val="none"/>
          <w:lang w:val="en-US" w:eastAsia="zh-CN"/>
          <w14:textFill>
            <w14:solidFill>
              <w14:schemeClr w14:val="tx1"/>
            </w14:solidFill>
          </w14:textFill>
        </w:rPr>
        <w:t>②</w:t>
      </w:r>
      <w:r>
        <w:rPr>
          <w:rFonts w:hint="eastAsia"/>
          <w:b w:val="0"/>
          <w:bCs/>
          <w:color w:val="000000" w:themeColor="text1"/>
          <w:highlight w:val="none"/>
          <w14:textFill>
            <w14:solidFill>
              <w14:schemeClr w14:val="tx1"/>
            </w14:solidFill>
          </w14:textFill>
        </w:rPr>
        <w:t>“开标一览表”为多页的，每页均需由</w:t>
      </w:r>
      <w:r>
        <w:rPr>
          <w:rFonts w:hint="eastAsia"/>
          <w:b w:val="0"/>
          <w:bCs/>
          <w:color w:val="000000" w:themeColor="text1"/>
          <w:highlight w:val="none"/>
          <w:lang w:eastAsia="zh-CN"/>
          <w14:textFill>
            <w14:solidFill>
              <w14:schemeClr w14:val="tx1"/>
            </w14:solidFill>
          </w14:textFill>
        </w:rPr>
        <w:t>法定代表人/单位负责人或授权代表</w:t>
      </w:r>
      <w:r>
        <w:rPr>
          <w:rFonts w:hint="eastAsia"/>
          <w:b w:val="0"/>
          <w:bCs/>
          <w:color w:val="000000" w:themeColor="text1"/>
          <w:highlight w:val="none"/>
          <w14:textFill>
            <w14:solidFill>
              <w14:schemeClr w14:val="tx1"/>
            </w14:solidFill>
          </w14:textFill>
        </w:rPr>
        <w:t>签字并盖投标人印章</w:t>
      </w:r>
      <w:r>
        <w:rPr>
          <w:rFonts w:hint="eastAsia"/>
          <w:b w:val="0"/>
          <w:bCs/>
          <w:color w:val="000000" w:themeColor="text1"/>
          <w:highlight w:val="none"/>
          <w:lang w:eastAsia="zh-CN"/>
          <w14:textFill>
            <w14:solidFill>
              <w14:schemeClr w14:val="tx1"/>
            </w14:solidFill>
          </w14:textFill>
        </w:rPr>
        <w:t>，</w:t>
      </w:r>
      <w:r>
        <w:rPr>
          <w:rFonts w:hint="eastAsia"/>
          <w:b w:val="0"/>
          <w:bCs/>
          <w:color w:val="000000" w:themeColor="text1"/>
          <w:highlight w:val="none"/>
          <w:lang w:val="en-US" w:eastAsia="zh-CN"/>
          <w14:textFill>
            <w14:solidFill>
              <w14:schemeClr w14:val="tx1"/>
            </w14:solidFill>
          </w14:textFill>
        </w:rPr>
        <w:t>否则作无效投标处理</w:t>
      </w:r>
      <w:r>
        <w:rPr>
          <w:rFonts w:hint="eastAsia"/>
          <w:b w:val="0"/>
          <w:bCs/>
          <w:color w:val="000000" w:themeColor="text1"/>
          <w:highlight w:val="none"/>
          <w14:textFill>
            <w14:solidFill>
              <w14:schemeClr w14:val="tx1"/>
            </w14:solidFill>
          </w14:textFill>
        </w:rPr>
        <w:t>。</w:t>
      </w:r>
    </w:p>
    <w:p>
      <w:pPr>
        <w:pStyle w:val="47"/>
        <w:bidi w:val="0"/>
      </w:pPr>
      <w:r>
        <w:rPr>
          <w:rFonts w:hint="eastAsia"/>
          <w:color w:val="000000" w:themeColor="text1"/>
          <w:highlight w:val="none"/>
          <w14:textFill>
            <w14:solidFill>
              <w14:schemeClr w14:val="tx1"/>
            </w14:solidFill>
          </w14:textFill>
        </w:rPr>
        <w:t>③“开标一览表”除了单独密封递交外，</w:t>
      </w:r>
      <w:r>
        <w:rPr>
          <w:rFonts w:hint="eastAsia"/>
          <w:color w:val="000000" w:themeColor="text1"/>
          <w:highlight w:val="none"/>
          <w:lang w:val="en-US" w:eastAsia="zh-CN"/>
          <w14:textFill>
            <w14:solidFill>
              <w14:schemeClr w14:val="tx1"/>
            </w14:solidFill>
          </w14:textFill>
        </w:rPr>
        <w:t>其他</w:t>
      </w:r>
      <w:r>
        <w:rPr>
          <w:rFonts w:hint="eastAsia"/>
          <w:color w:val="000000" w:themeColor="text1"/>
          <w:highlight w:val="none"/>
          <w14:textFill>
            <w14:solidFill>
              <w14:schemeClr w14:val="tx1"/>
            </w14:solidFill>
          </w14:textFill>
        </w:rPr>
        <w:t>投标文件(正副本)</w:t>
      </w:r>
      <w:r>
        <w:rPr>
          <w:rFonts w:hint="eastAsia"/>
          <w:color w:val="000000" w:themeColor="text1"/>
          <w:highlight w:val="none"/>
          <w:lang w:val="en-US" w:eastAsia="zh-CN"/>
          <w14:textFill>
            <w14:solidFill>
              <w14:schemeClr w14:val="tx1"/>
            </w14:solidFill>
          </w14:textFill>
        </w:rPr>
        <w:t>中</w:t>
      </w:r>
      <w:r>
        <w:rPr>
          <w:rFonts w:hint="eastAsia"/>
          <w:color w:val="000000" w:themeColor="text1"/>
          <w:highlight w:val="none"/>
          <w14:textFill>
            <w14:solidFill>
              <w14:schemeClr w14:val="tx1"/>
            </w14:solidFill>
          </w14:textFill>
        </w:rPr>
        <w:t>也</w:t>
      </w:r>
      <w:r>
        <w:rPr>
          <w:rFonts w:hint="eastAsia"/>
        </w:rPr>
        <w:t>应当提供，如有遗漏，将视为无效投标。</w:t>
      </w:r>
    </w:p>
    <w:p>
      <w:pPr>
        <w:pStyle w:val="42"/>
        <w:bidi w:val="0"/>
        <w:rPr>
          <w:rFonts w:hint="eastAsia"/>
          <w:lang w:eastAsia="zh-CN"/>
        </w:rPr>
      </w:pPr>
    </w:p>
    <w:p>
      <w:pPr>
        <w:pStyle w:val="42"/>
        <w:bidi w:val="0"/>
        <w:rPr>
          <w:rFonts w:hint="eastAsia"/>
        </w:rPr>
      </w:pPr>
    </w:p>
    <w:p>
      <w:pPr>
        <w:pStyle w:val="42"/>
        <w:bidi w:val="0"/>
        <w:rPr>
          <w:rFonts w:hint="eastAsia"/>
        </w:rPr>
      </w:pPr>
    </w:p>
    <w:p>
      <w:pPr>
        <w:pStyle w:val="42"/>
        <w:bidi w:val="0"/>
        <w:rPr>
          <w:rFonts w:hint="eastAsia"/>
        </w:rPr>
      </w:pPr>
    </w:p>
    <w:p>
      <w:pPr>
        <w:pStyle w:val="42"/>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2"/>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lang w:val="en-US" w:eastAsia="zh-CN"/>
        </w:rPr>
      </w:pPr>
      <w:r>
        <w:rPr>
          <w:rFonts w:hint="eastAsia"/>
        </w:rPr>
        <w:t>投标日期：</w:t>
      </w:r>
      <w:bookmarkStart w:id="877" w:name="_Toc7728"/>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lang w:val="en-US" w:eastAsia="zh-CN"/>
        </w:rPr>
        <w:br w:type="page"/>
      </w:r>
    </w:p>
    <w:bookmarkEnd w:id="877"/>
    <w:p>
      <w:pPr>
        <w:pStyle w:val="44"/>
        <w:numPr>
          <w:ilvl w:val="0"/>
          <w:numId w:val="22"/>
        </w:numPr>
        <w:bidi w:val="0"/>
        <w:ind w:left="0" w:leftChars="0" w:firstLine="0" w:firstLineChars="0"/>
        <w:rPr>
          <w:rFonts w:hint="eastAsia"/>
          <w:lang w:val="en-US" w:eastAsia="zh-CN"/>
        </w:rPr>
      </w:pPr>
      <w:bookmarkStart w:id="878" w:name="_Toc11461"/>
      <w:bookmarkStart w:id="879" w:name="_Toc319440166"/>
      <w:bookmarkStart w:id="880" w:name="_Toc327196310"/>
      <w:bookmarkStart w:id="881" w:name="_Toc7835"/>
      <w:bookmarkStart w:id="882" w:name="_Toc27468"/>
      <w:bookmarkStart w:id="883" w:name="_Toc217446087"/>
      <w:bookmarkStart w:id="884" w:name="_Toc21006"/>
      <w:bookmarkStart w:id="885" w:name="_Toc25577"/>
      <w:bookmarkStart w:id="886" w:name="_Toc307564875"/>
      <w:bookmarkStart w:id="887" w:name="_Toc307501130"/>
      <w:bookmarkStart w:id="888" w:name="_Toc319440168"/>
      <w:bookmarkStart w:id="889" w:name="_Toc26124"/>
      <w:bookmarkStart w:id="890" w:name="_Toc327196312"/>
      <w:bookmarkStart w:id="891" w:name="_Toc24507"/>
      <w:r>
        <w:rPr>
          <w:rFonts w:hint="eastAsia"/>
          <w:lang w:val="en-US" w:eastAsia="zh-CN"/>
        </w:rPr>
        <w:t>商务应答表</w:t>
      </w:r>
      <w:bookmarkEnd w:id="878"/>
      <w:bookmarkEnd w:id="879"/>
      <w:bookmarkEnd w:id="880"/>
      <w:bookmarkEnd w:id="881"/>
      <w:bookmarkEnd w:id="882"/>
      <w:bookmarkEnd w:id="883"/>
      <w:bookmarkEnd w:id="884"/>
      <w:bookmarkEnd w:id="885"/>
      <w:bookmarkEnd w:id="886"/>
      <w:bookmarkEnd w:id="887"/>
    </w:p>
    <w:p>
      <w:pPr>
        <w:pStyle w:val="42"/>
        <w:bidi w:val="0"/>
        <w:rPr>
          <w:rFonts w:hint="eastAsia"/>
          <w:u w:val="single"/>
        </w:rPr>
      </w:pPr>
      <w:r>
        <w:rPr>
          <w:rFonts w:hint="eastAsia"/>
        </w:rPr>
        <w:t>项目名称：</w:t>
      </w:r>
      <w:r>
        <w:rPr>
          <w:rFonts w:hint="eastAsia"/>
          <w:u w:val="single"/>
        </w:rPr>
        <w:t xml:space="preserve">                             </w:t>
      </w:r>
      <w:r>
        <w:rPr>
          <w:rFonts w:hint="eastAsia"/>
          <w:u w:val="none"/>
        </w:rPr>
        <w:t xml:space="preserve"> </w:t>
      </w:r>
    </w:p>
    <w:p>
      <w:pPr>
        <w:pStyle w:val="42"/>
        <w:bidi w:val="0"/>
        <w:rPr>
          <w:rFonts w:hint="eastAsia"/>
          <w:color w:val="000000" w:themeColor="text1"/>
          <w:highlight w:val="none"/>
          <w14:textFill>
            <w14:solidFill>
              <w14:schemeClr w14:val="tx1"/>
            </w14:solidFill>
          </w14:textFill>
        </w:rPr>
      </w:pPr>
      <w:r>
        <w:rPr>
          <w:rFonts w:hint="eastAsia"/>
        </w:rPr>
        <w:t>项目编号：</w:t>
      </w:r>
      <w:r>
        <w:rPr>
          <w:rFonts w:hint="eastAsia"/>
          <w:u w:val="single"/>
        </w:rPr>
        <w:t xml:space="preserve">                             </w:t>
      </w:r>
      <w:r>
        <w:rPr>
          <w:rFonts w:hint="eastAsia"/>
          <w:u w:val="none"/>
          <w:lang w:val="en-US" w:eastAsia="zh-CN"/>
        </w:rPr>
        <w:t xml:space="preserve">                           </w:t>
      </w:r>
      <w:r>
        <w:rPr>
          <w:rFonts w:hint="eastAsia"/>
          <w:color w:val="000000" w:themeColor="text1"/>
          <w:highlight w:val="none"/>
          <w:u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w:t>
      </w:r>
    </w:p>
    <w:tbl>
      <w:tblPr>
        <w:tblStyle w:val="21"/>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3880"/>
        <w:gridCol w:w="3673"/>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pStyle w:val="45"/>
              <w:bidi w:val="0"/>
              <w:rPr>
                <w:rFonts w:hint="eastAsia"/>
                <w:b/>
                <w:bCs/>
              </w:rPr>
            </w:pPr>
            <w:r>
              <w:rPr>
                <w:rFonts w:hint="eastAsia"/>
                <w:b/>
                <w:bCs/>
              </w:rPr>
              <w:t>序号</w:t>
            </w:r>
          </w:p>
        </w:tc>
        <w:tc>
          <w:tcPr>
            <w:tcW w:w="3880" w:type="dxa"/>
            <w:vAlign w:val="center"/>
          </w:tcPr>
          <w:p>
            <w:pPr>
              <w:pStyle w:val="45"/>
              <w:bidi w:val="0"/>
              <w:rPr>
                <w:rFonts w:hint="default" w:eastAsia="宋体"/>
                <w:b/>
                <w:bCs/>
                <w:lang w:val="en-US" w:eastAsia="zh-CN"/>
              </w:rPr>
            </w:pPr>
            <w:r>
              <w:rPr>
                <w:rFonts w:hint="eastAsia"/>
                <w:b/>
                <w:bCs/>
              </w:rPr>
              <w:t>招标</w:t>
            </w:r>
            <w:r>
              <w:rPr>
                <w:rFonts w:hint="eastAsia"/>
                <w:b/>
                <w:bCs/>
                <w:lang w:val="en-US" w:eastAsia="zh-CN"/>
              </w:rPr>
              <w:t>文件商务</w:t>
            </w:r>
            <w:r>
              <w:rPr>
                <w:rFonts w:hint="eastAsia"/>
                <w:b/>
                <w:bCs/>
              </w:rPr>
              <w:t>要求</w:t>
            </w:r>
            <w:r>
              <w:rPr>
                <w:rFonts w:hint="eastAsia"/>
                <w:b/>
                <w:bCs/>
                <w:lang w:eastAsia="zh-CN"/>
              </w:rPr>
              <w:t>、</w:t>
            </w:r>
            <w:r>
              <w:rPr>
                <w:rFonts w:hint="eastAsia"/>
                <w:b/>
                <w:bCs/>
                <w:lang w:val="en-US" w:eastAsia="zh-CN"/>
              </w:rPr>
              <w:t>其他要求</w:t>
            </w:r>
          </w:p>
        </w:tc>
        <w:tc>
          <w:tcPr>
            <w:tcW w:w="3673" w:type="dxa"/>
            <w:vAlign w:val="center"/>
          </w:tcPr>
          <w:p>
            <w:pPr>
              <w:pStyle w:val="45"/>
              <w:bidi w:val="0"/>
              <w:rPr>
                <w:rFonts w:hint="eastAsia"/>
                <w:b/>
                <w:bCs/>
              </w:rPr>
            </w:pPr>
            <w:r>
              <w:rPr>
                <w:rFonts w:hint="eastAsia"/>
                <w:b/>
                <w:bCs/>
              </w:rPr>
              <w:t>投标应答</w:t>
            </w:r>
          </w:p>
        </w:tc>
        <w:tc>
          <w:tcPr>
            <w:tcW w:w="1631" w:type="dxa"/>
            <w:vAlign w:val="center"/>
          </w:tcPr>
          <w:p>
            <w:pPr>
              <w:pStyle w:val="45"/>
              <w:bidi w:val="0"/>
              <w:rPr>
                <w:rFonts w:hint="eastAsia" w:eastAsia="宋体"/>
                <w:b/>
                <w:bCs/>
                <w:lang w:eastAsia="zh-CN"/>
              </w:rPr>
            </w:pPr>
            <w:r>
              <w:rPr>
                <w:rFonts w:hint="eastAsia"/>
                <w:b/>
                <w:bCs/>
                <w:lang w:eastAsia="zh-CN"/>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vAlign w:val="top"/>
          </w:tcPr>
          <w:p>
            <w:pPr>
              <w:pStyle w:val="45"/>
              <w:bidi w:val="0"/>
              <w:rPr>
                <w:rFonts w:hint="eastAsia"/>
                <w:b/>
                <w:bCs/>
              </w:rPr>
            </w:pPr>
          </w:p>
        </w:tc>
        <w:tc>
          <w:tcPr>
            <w:tcW w:w="3880" w:type="dxa"/>
            <w:vAlign w:val="top"/>
          </w:tcPr>
          <w:p>
            <w:pPr>
              <w:pStyle w:val="45"/>
              <w:bidi w:val="0"/>
              <w:rPr>
                <w:rFonts w:hint="eastAsia"/>
                <w:b/>
                <w:bCs/>
              </w:rPr>
            </w:pPr>
          </w:p>
        </w:tc>
        <w:tc>
          <w:tcPr>
            <w:tcW w:w="3673" w:type="dxa"/>
            <w:vAlign w:val="top"/>
          </w:tcPr>
          <w:p>
            <w:pPr>
              <w:pStyle w:val="45"/>
              <w:bidi w:val="0"/>
              <w:rPr>
                <w:rFonts w:hint="eastAsia"/>
                <w:b/>
                <w:bCs/>
              </w:rPr>
            </w:pPr>
          </w:p>
        </w:tc>
        <w:tc>
          <w:tcPr>
            <w:tcW w:w="1631" w:type="dxa"/>
            <w:vAlign w:val="top"/>
          </w:tcPr>
          <w:p>
            <w:pPr>
              <w:pStyle w:val="45"/>
              <w:bidi w:val="0"/>
              <w:rPr>
                <w:rFonts w:hint="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5"/>
              <w:bidi w:val="0"/>
              <w:rPr>
                <w:rFonts w:hint="eastAsia"/>
                <w:b/>
                <w:bCs/>
              </w:rPr>
            </w:pPr>
          </w:p>
        </w:tc>
        <w:tc>
          <w:tcPr>
            <w:tcW w:w="3880" w:type="dxa"/>
            <w:vAlign w:val="top"/>
          </w:tcPr>
          <w:p>
            <w:pPr>
              <w:pStyle w:val="45"/>
              <w:bidi w:val="0"/>
              <w:rPr>
                <w:rFonts w:hint="eastAsia"/>
                <w:b/>
                <w:bCs/>
              </w:rPr>
            </w:pPr>
          </w:p>
        </w:tc>
        <w:tc>
          <w:tcPr>
            <w:tcW w:w="3673" w:type="dxa"/>
            <w:vAlign w:val="top"/>
          </w:tcPr>
          <w:p>
            <w:pPr>
              <w:pStyle w:val="45"/>
              <w:bidi w:val="0"/>
              <w:rPr>
                <w:rFonts w:hint="eastAsia"/>
                <w:b/>
                <w:bCs/>
              </w:rPr>
            </w:pPr>
          </w:p>
        </w:tc>
        <w:tc>
          <w:tcPr>
            <w:tcW w:w="1631" w:type="dxa"/>
            <w:vAlign w:val="top"/>
          </w:tcPr>
          <w:p>
            <w:pPr>
              <w:pStyle w:val="45"/>
              <w:bidi w:val="0"/>
              <w:rPr>
                <w:rFonts w:hint="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5"/>
              <w:bidi w:val="0"/>
              <w:rPr>
                <w:rFonts w:hint="eastAsia"/>
                <w:b/>
                <w:bCs/>
              </w:rPr>
            </w:pPr>
          </w:p>
        </w:tc>
        <w:tc>
          <w:tcPr>
            <w:tcW w:w="3880" w:type="dxa"/>
            <w:vAlign w:val="top"/>
          </w:tcPr>
          <w:p>
            <w:pPr>
              <w:pStyle w:val="45"/>
              <w:bidi w:val="0"/>
              <w:rPr>
                <w:rFonts w:hint="eastAsia"/>
                <w:b/>
                <w:bCs/>
              </w:rPr>
            </w:pPr>
          </w:p>
        </w:tc>
        <w:tc>
          <w:tcPr>
            <w:tcW w:w="3673" w:type="dxa"/>
            <w:vAlign w:val="top"/>
          </w:tcPr>
          <w:p>
            <w:pPr>
              <w:pStyle w:val="45"/>
              <w:bidi w:val="0"/>
              <w:rPr>
                <w:rFonts w:hint="eastAsia"/>
                <w:b/>
                <w:bCs/>
              </w:rPr>
            </w:pPr>
          </w:p>
        </w:tc>
        <w:tc>
          <w:tcPr>
            <w:tcW w:w="1631" w:type="dxa"/>
            <w:vAlign w:val="top"/>
          </w:tcPr>
          <w:p>
            <w:pPr>
              <w:pStyle w:val="45"/>
              <w:bidi w:val="0"/>
              <w:rPr>
                <w:rFonts w:hint="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5"/>
              <w:bidi w:val="0"/>
              <w:rPr>
                <w:rFonts w:hint="eastAsia"/>
                <w:b/>
                <w:bCs/>
              </w:rPr>
            </w:pPr>
          </w:p>
        </w:tc>
        <w:tc>
          <w:tcPr>
            <w:tcW w:w="3880" w:type="dxa"/>
            <w:vAlign w:val="top"/>
          </w:tcPr>
          <w:p>
            <w:pPr>
              <w:pStyle w:val="45"/>
              <w:bidi w:val="0"/>
              <w:rPr>
                <w:rFonts w:hint="eastAsia"/>
                <w:b/>
                <w:bCs/>
              </w:rPr>
            </w:pPr>
          </w:p>
        </w:tc>
        <w:tc>
          <w:tcPr>
            <w:tcW w:w="3673" w:type="dxa"/>
            <w:vAlign w:val="top"/>
          </w:tcPr>
          <w:p>
            <w:pPr>
              <w:pStyle w:val="45"/>
              <w:bidi w:val="0"/>
              <w:rPr>
                <w:rFonts w:hint="eastAsia"/>
                <w:b/>
                <w:bCs/>
              </w:rPr>
            </w:pPr>
          </w:p>
        </w:tc>
        <w:tc>
          <w:tcPr>
            <w:tcW w:w="1631" w:type="dxa"/>
            <w:vAlign w:val="top"/>
          </w:tcPr>
          <w:p>
            <w:pPr>
              <w:pStyle w:val="45"/>
              <w:bidi w:val="0"/>
              <w:rPr>
                <w:rFonts w:hint="eastAsia"/>
                <w:b/>
                <w:bCs/>
              </w:rPr>
            </w:pPr>
          </w:p>
        </w:tc>
      </w:tr>
    </w:tbl>
    <w:p>
      <w:pPr>
        <w:pStyle w:val="47"/>
        <w:bidi w:val="0"/>
        <w:rPr>
          <w:rFonts w:hint="eastAsia"/>
          <w:lang w:eastAsia="zh-CN"/>
        </w:rPr>
      </w:pPr>
      <w:r>
        <w:rPr>
          <w:rFonts w:hint="eastAsia"/>
          <w:lang w:eastAsia="zh-CN"/>
        </w:rPr>
        <w:t>注：</w:t>
      </w:r>
      <w:r>
        <w:rPr>
          <w:rFonts w:hint="eastAsia"/>
          <w:color w:val="000000" w:themeColor="text1"/>
          <w:highlight w:val="none"/>
          <w:lang w:eastAsia="zh-CN"/>
          <w14:textFill>
            <w14:solidFill>
              <w14:schemeClr w14:val="tx1"/>
            </w14:solidFill>
          </w14:textFill>
        </w:rPr>
        <w:t>如与</w:t>
      </w:r>
      <w:r>
        <w:rPr>
          <w:rFonts w:hint="eastAsia"/>
          <w:color w:val="000000" w:themeColor="text1"/>
          <w:highlight w:val="none"/>
          <w:lang w:val="en-US" w:eastAsia="zh-CN"/>
          <w14:textFill>
            <w14:solidFill>
              <w14:schemeClr w14:val="tx1"/>
            </w14:solidFill>
          </w14:textFill>
        </w:rPr>
        <w:t>招标文件的商务要求、</w:t>
      </w:r>
      <w:r>
        <w:rPr>
          <w:rFonts w:hint="eastAsia"/>
          <w:b/>
          <w:bCs/>
          <w:lang w:val="en-US" w:eastAsia="zh-CN"/>
        </w:rPr>
        <w:t>其他要求</w:t>
      </w:r>
      <w:r>
        <w:rPr>
          <w:rFonts w:hint="eastAsia"/>
          <w:color w:val="000000" w:themeColor="text1"/>
          <w:highlight w:val="none"/>
          <w:lang w:eastAsia="zh-CN"/>
          <w14:textFill>
            <w14:solidFill>
              <w14:schemeClr w14:val="tx1"/>
            </w14:solidFill>
          </w14:textFill>
        </w:rPr>
        <w:t>有偏离(包括正偏离和负偏离)，请将偏离条款逐条应答。如与</w:t>
      </w:r>
      <w:r>
        <w:rPr>
          <w:rFonts w:hint="eastAsia"/>
          <w:color w:val="000000" w:themeColor="text1"/>
          <w:highlight w:val="none"/>
          <w:lang w:val="en-US" w:eastAsia="zh-CN"/>
          <w14:textFill>
            <w14:solidFill>
              <w14:schemeClr w14:val="tx1"/>
            </w14:solidFill>
          </w14:textFill>
        </w:rPr>
        <w:t>招标文件商务要求、</w:t>
      </w:r>
      <w:r>
        <w:rPr>
          <w:rFonts w:hint="eastAsia"/>
          <w:b/>
          <w:bCs/>
          <w:lang w:val="en-US" w:eastAsia="zh-CN"/>
        </w:rPr>
        <w:t>其他要求</w:t>
      </w:r>
      <w:r>
        <w:rPr>
          <w:rFonts w:hint="eastAsia"/>
          <w:color w:val="000000" w:themeColor="text1"/>
          <w:highlight w:val="none"/>
          <w:lang w:val="en-US" w:eastAsia="zh-CN"/>
          <w14:textFill>
            <w14:solidFill>
              <w14:schemeClr w14:val="tx1"/>
            </w14:solidFill>
          </w14:textFill>
        </w:rPr>
        <w:t>的所有</w:t>
      </w:r>
      <w:r>
        <w:rPr>
          <w:rFonts w:hint="eastAsia"/>
          <w:color w:val="000000" w:themeColor="text1"/>
          <w:highlight w:val="none"/>
          <w:lang w:eastAsia="zh-CN"/>
          <w14:textFill>
            <w14:solidFill>
              <w14:schemeClr w14:val="tx1"/>
            </w14:solidFill>
          </w14:textFill>
        </w:rPr>
        <w:t>条款无偏离，则无须在此表中应答，视为默认完全响应和接受</w:t>
      </w:r>
      <w:r>
        <w:rPr>
          <w:rFonts w:hint="eastAsia"/>
          <w:color w:val="000000" w:themeColor="text1"/>
          <w:highlight w:val="none"/>
          <w:lang w:val="en-US" w:eastAsia="zh-CN"/>
          <w14:textFill>
            <w14:solidFill>
              <w14:schemeClr w14:val="tx1"/>
            </w14:solidFill>
          </w14:textFill>
        </w:rPr>
        <w:t>招标文件所有商务要求、</w:t>
      </w:r>
      <w:r>
        <w:rPr>
          <w:rFonts w:hint="eastAsia"/>
          <w:b/>
          <w:bCs/>
          <w:lang w:val="en-US" w:eastAsia="zh-CN"/>
        </w:rPr>
        <w:t>其他要求</w:t>
      </w:r>
      <w:r>
        <w:rPr>
          <w:rFonts w:hint="eastAsia"/>
          <w:color w:val="000000" w:themeColor="text1"/>
          <w:highlight w:val="none"/>
          <w:lang w:eastAsia="zh-CN"/>
          <w14:textFill>
            <w14:solidFill>
              <w14:schemeClr w14:val="tx1"/>
            </w14:solidFill>
          </w14:textFill>
        </w:rPr>
        <w:t>，供应商不得以未作应答而拒不接受</w:t>
      </w:r>
      <w:r>
        <w:rPr>
          <w:rFonts w:hint="eastAsia"/>
          <w:lang w:eastAsia="zh-CN"/>
        </w:rPr>
        <w:t>。供</w:t>
      </w:r>
      <w:r>
        <w:rPr>
          <w:rFonts w:hint="eastAsia"/>
          <w:color w:val="000000" w:themeColor="text1"/>
          <w:highlight w:val="none"/>
          <w:lang w:eastAsia="zh-CN"/>
          <w14:textFill>
            <w14:solidFill>
              <w14:schemeClr w14:val="tx1"/>
            </w14:solidFill>
          </w14:textFill>
        </w:rPr>
        <w:t>应商必须据实填写，不得虚假应答，否则将取消其</w:t>
      </w:r>
      <w:r>
        <w:rPr>
          <w:rFonts w:hint="eastAsia"/>
          <w:color w:val="000000" w:themeColor="text1"/>
          <w:highlight w:val="none"/>
          <w:lang w:val="en-US" w:eastAsia="zh-CN"/>
          <w14:textFill>
            <w14:solidFill>
              <w14:schemeClr w14:val="tx1"/>
            </w14:solidFill>
          </w14:textFill>
        </w:rPr>
        <w:t>中标</w:t>
      </w:r>
      <w:r>
        <w:rPr>
          <w:rFonts w:hint="eastAsia"/>
          <w:color w:val="000000" w:themeColor="text1"/>
          <w:highlight w:val="none"/>
          <w:lang w:eastAsia="zh-CN"/>
          <w14:textFill>
            <w14:solidFill>
              <w14:schemeClr w14:val="tx1"/>
            </w14:solidFill>
          </w14:textFill>
        </w:rPr>
        <w:t>资格。</w:t>
      </w:r>
    </w:p>
    <w:p>
      <w:pPr>
        <w:pStyle w:val="42"/>
        <w:bidi w:val="0"/>
        <w:rPr>
          <w:rFonts w:hint="eastAsia"/>
          <w:lang w:eastAsia="zh-CN"/>
        </w:rPr>
      </w:pPr>
    </w:p>
    <w:p>
      <w:pPr>
        <w:pStyle w:val="42"/>
        <w:bidi w:val="0"/>
        <w:rPr>
          <w:rFonts w:hint="eastAsia"/>
          <w:lang w:eastAsia="zh-CN"/>
        </w:rPr>
      </w:pPr>
    </w:p>
    <w:p>
      <w:pPr>
        <w:pStyle w:val="46"/>
        <w:bidi w:val="0"/>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6"/>
        <w:bidi w:val="0"/>
        <w:rPr>
          <w:rFonts w:hint="eastAsia"/>
        </w:rPr>
      </w:pPr>
      <w:r>
        <w:rPr>
          <w:rFonts w:hint="eastAsia"/>
        </w:rPr>
        <w:t>投标日期</w:t>
      </w:r>
      <w:r>
        <w:rPr>
          <w:rFonts w:hint="eastAsia"/>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lang w:val="en-US" w:eastAsia="zh-CN"/>
        </w:rPr>
        <w:t xml:space="preserve">          </w:t>
      </w:r>
      <w:r>
        <w:rPr>
          <w:rFonts w:hint="eastAsia"/>
        </w:rPr>
        <w:t xml:space="preserve">   </w:t>
      </w:r>
    </w:p>
    <w:p>
      <w:pPr>
        <w:pStyle w:val="42"/>
        <w:bidi w:val="0"/>
        <w:rPr>
          <w:rFonts w:hint="eastAsia"/>
          <w:lang w:val="en-US" w:eastAsia="zh-CN"/>
        </w:rPr>
      </w:pPr>
      <w:r>
        <w:rPr>
          <w:rFonts w:hint="eastAsia"/>
          <w:lang w:val="en-US" w:eastAsia="zh-CN"/>
        </w:rPr>
        <w:br w:type="page"/>
      </w:r>
    </w:p>
    <w:p>
      <w:pPr>
        <w:pStyle w:val="44"/>
        <w:numPr>
          <w:ilvl w:val="0"/>
          <w:numId w:val="22"/>
        </w:numPr>
        <w:bidi w:val="0"/>
        <w:ind w:left="0" w:leftChars="0" w:firstLine="0" w:firstLineChars="0"/>
        <w:rPr>
          <w:rFonts w:hint="eastAsia"/>
          <w:lang w:val="en-US" w:eastAsia="zh-CN"/>
        </w:rPr>
      </w:pPr>
      <w:bookmarkStart w:id="892" w:name="_Toc23376"/>
      <w:bookmarkStart w:id="893" w:name="_Toc3995"/>
      <w:bookmarkStart w:id="894" w:name="_Toc5629"/>
      <w:bookmarkStart w:id="895" w:name="_Toc25122"/>
      <w:r>
        <w:rPr>
          <w:rFonts w:hint="eastAsia"/>
          <w:lang w:val="en-US" w:eastAsia="zh-CN"/>
        </w:rPr>
        <w:t>服务应答表</w:t>
      </w:r>
      <w:bookmarkEnd w:id="892"/>
      <w:bookmarkEnd w:id="893"/>
      <w:bookmarkEnd w:id="894"/>
      <w:bookmarkEnd w:id="895"/>
    </w:p>
    <w:p>
      <w:pPr>
        <w:pStyle w:val="42"/>
        <w:bidi w:val="0"/>
        <w:rPr>
          <w:rFonts w:hint="eastAsia"/>
          <w:b w:val="0"/>
          <w:bCs w:val="0"/>
        </w:rPr>
      </w:pPr>
      <w:r>
        <w:rPr>
          <w:rFonts w:hint="eastAsia"/>
          <w:b w:val="0"/>
          <w:bCs w:val="0"/>
        </w:rPr>
        <w:t>项目名称：</w:t>
      </w:r>
      <w:r>
        <w:rPr>
          <w:rFonts w:hint="eastAsia"/>
          <w:b w:val="0"/>
          <w:bCs w:val="0"/>
          <w:u w:val="single"/>
        </w:rPr>
        <w:t xml:space="preserve">                        </w:t>
      </w:r>
      <w:r>
        <w:rPr>
          <w:rFonts w:hint="eastAsia"/>
          <w:b w:val="0"/>
          <w:bCs w:val="0"/>
        </w:rPr>
        <w:t xml:space="preserve">      </w:t>
      </w:r>
    </w:p>
    <w:p>
      <w:pPr>
        <w:pStyle w:val="42"/>
        <w:bidi w:val="0"/>
        <w:rPr>
          <w:rFonts w:hint="eastAsia"/>
          <w:b w:val="0"/>
          <w:bCs w:val="0"/>
          <w:highlight w:val="none"/>
          <w:u w:val="single"/>
        </w:rPr>
      </w:pPr>
      <w:r>
        <w:rPr>
          <w:rFonts w:hint="eastAsia"/>
          <w:b w:val="0"/>
          <w:bCs w:val="0"/>
        </w:rPr>
        <w:t>项目编号：</w:t>
      </w:r>
      <w:r>
        <w:rPr>
          <w:rFonts w:hint="eastAsia"/>
          <w:b w:val="0"/>
          <w:bCs w:val="0"/>
          <w:u w:val="single"/>
        </w:rPr>
        <w:t xml:space="preserve">                        </w:t>
      </w:r>
      <w:r>
        <w:rPr>
          <w:rFonts w:hint="eastAsia"/>
          <w:b w:val="0"/>
          <w:bCs w:val="0"/>
        </w:rPr>
        <w:t xml:space="preserve">          </w:t>
      </w:r>
      <w:r>
        <w:rPr>
          <w:rFonts w:hint="eastAsia"/>
          <w:b w:val="0"/>
          <w:bCs w:val="0"/>
          <w:highlight w:val="none"/>
        </w:rPr>
        <w:t xml:space="preserve">         </w:t>
      </w:r>
      <w:r>
        <w:rPr>
          <w:rFonts w:hint="eastAsia"/>
          <w:b w:val="0"/>
          <w:bCs w:val="0"/>
          <w:highlight w:val="none"/>
          <w:lang w:val="en-US" w:eastAsia="zh-CN"/>
        </w:rPr>
        <w:t xml:space="preserve">             </w:t>
      </w:r>
      <w:r>
        <w:rPr>
          <w:rFonts w:hint="eastAsia"/>
          <w:b w:val="0"/>
          <w:bCs w:val="0"/>
          <w:highlight w:val="none"/>
        </w:rPr>
        <w:t xml:space="preserve">  </w:t>
      </w:r>
    </w:p>
    <w:tbl>
      <w:tblPr>
        <w:tblStyle w:val="21"/>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3880"/>
        <w:gridCol w:w="3673"/>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pStyle w:val="45"/>
              <w:bidi w:val="0"/>
              <w:rPr>
                <w:rFonts w:hint="eastAsia"/>
                <w:b/>
                <w:bCs/>
                <w:highlight w:val="none"/>
              </w:rPr>
            </w:pPr>
            <w:r>
              <w:rPr>
                <w:rFonts w:hint="eastAsia"/>
                <w:b/>
                <w:bCs/>
                <w:highlight w:val="none"/>
              </w:rPr>
              <w:t>序号</w:t>
            </w:r>
          </w:p>
        </w:tc>
        <w:tc>
          <w:tcPr>
            <w:tcW w:w="3880" w:type="dxa"/>
            <w:vAlign w:val="center"/>
          </w:tcPr>
          <w:p>
            <w:pPr>
              <w:pStyle w:val="45"/>
              <w:bidi w:val="0"/>
              <w:rPr>
                <w:rFonts w:hint="eastAsia"/>
                <w:b/>
                <w:bCs/>
                <w:highlight w:val="none"/>
              </w:rPr>
            </w:pPr>
            <w:r>
              <w:rPr>
                <w:rFonts w:hint="eastAsia"/>
                <w:b/>
                <w:bCs/>
                <w:highlight w:val="none"/>
              </w:rPr>
              <w:t>招标</w:t>
            </w:r>
            <w:r>
              <w:rPr>
                <w:rFonts w:hint="eastAsia"/>
                <w:b/>
                <w:bCs/>
                <w:highlight w:val="none"/>
                <w:lang w:val="en-US" w:eastAsia="zh-CN"/>
              </w:rPr>
              <w:t>文件服务内容及</w:t>
            </w:r>
            <w:r>
              <w:rPr>
                <w:rFonts w:hint="eastAsia"/>
                <w:b/>
                <w:bCs/>
                <w:highlight w:val="none"/>
              </w:rPr>
              <w:t>要求</w:t>
            </w:r>
          </w:p>
        </w:tc>
        <w:tc>
          <w:tcPr>
            <w:tcW w:w="3673" w:type="dxa"/>
            <w:vAlign w:val="center"/>
          </w:tcPr>
          <w:p>
            <w:pPr>
              <w:pStyle w:val="45"/>
              <w:bidi w:val="0"/>
              <w:rPr>
                <w:rFonts w:hint="eastAsia"/>
                <w:b/>
                <w:bCs/>
                <w:highlight w:val="none"/>
              </w:rPr>
            </w:pPr>
            <w:r>
              <w:rPr>
                <w:rFonts w:hint="eastAsia"/>
                <w:b/>
                <w:bCs/>
                <w:highlight w:val="none"/>
              </w:rPr>
              <w:t>投标应答</w:t>
            </w:r>
          </w:p>
        </w:tc>
        <w:tc>
          <w:tcPr>
            <w:tcW w:w="1631" w:type="dxa"/>
            <w:vAlign w:val="center"/>
          </w:tcPr>
          <w:p>
            <w:pPr>
              <w:pStyle w:val="45"/>
              <w:bidi w:val="0"/>
              <w:rPr>
                <w:rFonts w:hint="eastAsia" w:eastAsia="宋体"/>
                <w:b/>
                <w:bCs/>
                <w:highlight w:val="none"/>
                <w:lang w:eastAsia="zh-CN"/>
              </w:rPr>
            </w:pPr>
            <w:r>
              <w:rPr>
                <w:rFonts w:hint="eastAsia"/>
                <w:b/>
                <w:bCs/>
                <w:highlight w:val="none"/>
                <w:lang w:eastAsia="zh-CN"/>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vAlign w:val="top"/>
          </w:tcPr>
          <w:p>
            <w:pPr>
              <w:pStyle w:val="45"/>
              <w:bidi w:val="0"/>
              <w:rPr>
                <w:rFonts w:hint="eastAsia"/>
                <w:b/>
                <w:bCs/>
                <w:highlight w:val="none"/>
              </w:rPr>
            </w:pPr>
          </w:p>
        </w:tc>
        <w:tc>
          <w:tcPr>
            <w:tcW w:w="3880" w:type="dxa"/>
            <w:vAlign w:val="top"/>
          </w:tcPr>
          <w:p>
            <w:pPr>
              <w:pStyle w:val="45"/>
              <w:bidi w:val="0"/>
              <w:rPr>
                <w:rFonts w:hint="eastAsia"/>
                <w:b/>
                <w:bCs/>
                <w:highlight w:val="none"/>
              </w:rPr>
            </w:pPr>
          </w:p>
        </w:tc>
        <w:tc>
          <w:tcPr>
            <w:tcW w:w="3673" w:type="dxa"/>
            <w:vAlign w:val="top"/>
          </w:tcPr>
          <w:p>
            <w:pPr>
              <w:pStyle w:val="45"/>
              <w:bidi w:val="0"/>
              <w:rPr>
                <w:rFonts w:hint="eastAsia"/>
                <w:b/>
                <w:bCs/>
                <w:highlight w:val="none"/>
              </w:rPr>
            </w:pPr>
          </w:p>
        </w:tc>
        <w:tc>
          <w:tcPr>
            <w:tcW w:w="1631" w:type="dxa"/>
            <w:vAlign w:val="top"/>
          </w:tcPr>
          <w:p>
            <w:pPr>
              <w:pStyle w:val="45"/>
              <w:bidi w:val="0"/>
              <w:rPr>
                <w:rFonts w:hint="eastAsia"/>
                <w:b/>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5"/>
              <w:bidi w:val="0"/>
              <w:rPr>
                <w:rFonts w:hint="eastAsia"/>
                <w:b/>
                <w:bCs/>
                <w:highlight w:val="none"/>
              </w:rPr>
            </w:pPr>
          </w:p>
        </w:tc>
        <w:tc>
          <w:tcPr>
            <w:tcW w:w="3880" w:type="dxa"/>
            <w:vAlign w:val="top"/>
          </w:tcPr>
          <w:p>
            <w:pPr>
              <w:pStyle w:val="45"/>
              <w:bidi w:val="0"/>
              <w:rPr>
                <w:rFonts w:hint="eastAsia"/>
                <w:b/>
                <w:bCs/>
                <w:highlight w:val="none"/>
              </w:rPr>
            </w:pPr>
          </w:p>
        </w:tc>
        <w:tc>
          <w:tcPr>
            <w:tcW w:w="3673" w:type="dxa"/>
            <w:vAlign w:val="top"/>
          </w:tcPr>
          <w:p>
            <w:pPr>
              <w:pStyle w:val="45"/>
              <w:bidi w:val="0"/>
              <w:rPr>
                <w:rFonts w:hint="eastAsia"/>
                <w:b/>
                <w:bCs/>
                <w:highlight w:val="none"/>
              </w:rPr>
            </w:pPr>
          </w:p>
        </w:tc>
        <w:tc>
          <w:tcPr>
            <w:tcW w:w="1631" w:type="dxa"/>
            <w:vAlign w:val="top"/>
          </w:tcPr>
          <w:p>
            <w:pPr>
              <w:pStyle w:val="45"/>
              <w:bidi w:val="0"/>
              <w:rPr>
                <w:rFonts w:hint="eastAsia"/>
                <w:b/>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5"/>
              <w:bidi w:val="0"/>
              <w:rPr>
                <w:rFonts w:hint="eastAsia"/>
                <w:b/>
                <w:bCs/>
                <w:highlight w:val="none"/>
              </w:rPr>
            </w:pPr>
          </w:p>
        </w:tc>
        <w:tc>
          <w:tcPr>
            <w:tcW w:w="3880" w:type="dxa"/>
            <w:vAlign w:val="top"/>
          </w:tcPr>
          <w:p>
            <w:pPr>
              <w:pStyle w:val="45"/>
              <w:bidi w:val="0"/>
              <w:rPr>
                <w:rFonts w:hint="eastAsia"/>
                <w:b/>
                <w:bCs/>
                <w:highlight w:val="none"/>
              </w:rPr>
            </w:pPr>
          </w:p>
        </w:tc>
        <w:tc>
          <w:tcPr>
            <w:tcW w:w="3673" w:type="dxa"/>
            <w:vAlign w:val="top"/>
          </w:tcPr>
          <w:p>
            <w:pPr>
              <w:pStyle w:val="45"/>
              <w:bidi w:val="0"/>
              <w:rPr>
                <w:rFonts w:hint="eastAsia"/>
                <w:b/>
                <w:bCs/>
                <w:highlight w:val="none"/>
              </w:rPr>
            </w:pPr>
          </w:p>
        </w:tc>
        <w:tc>
          <w:tcPr>
            <w:tcW w:w="1631" w:type="dxa"/>
            <w:vAlign w:val="top"/>
          </w:tcPr>
          <w:p>
            <w:pPr>
              <w:pStyle w:val="45"/>
              <w:bidi w:val="0"/>
              <w:rPr>
                <w:rFonts w:hint="eastAsia"/>
                <w:b/>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5"/>
              <w:bidi w:val="0"/>
              <w:rPr>
                <w:rFonts w:hint="eastAsia"/>
                <w:b/>
                <w:bCs/>
                <w:highlight w:val="none"/>
              </w:rPr>
            </w:pPr>
          </w:p>
        </w:tc>
        <w:tc>
          <w:tcPr>
            <w:tcW w:w="3880" w:type="dxa"/>
            <w:vAlign w:val="top"/>
          </w:tcPr>
          <w:p>
            <w:pPr>
              <w:pStyle w:val="45"/>
              <w:bidi w:val="0"/>
              <w:rPr>
                <w:rFonts w:hint="eastAsia"/>
                <w:b/>
                <w:bCs/>
                <w:highlight w:val="none"/>
              </w:rPr>
            </w:pPr>
          </w:p>
        </w:tc>
        <w:tc>
          <w:tcPr>
            <w:tcW w:w="3673" w:type="dxa"/>
            <w:vAlign w:val="top"/>
          </w:tcPr>
          <w:p>
            <w:pPr>
              <w:pStyle w:val="45"/>
              <w:bidi w:val="0"/>
              <w:rPr>
                <w:rFonts w:hint="eastAsia"/>
                <w:b/>
                <w:bCs/>
                <w:highlight w:val="none"/>
              </w:rPr>
            </w:pPr>
          </w:p>
        </w:tc>
        <w:tc>
          <w:tcPr>
            <w:tcW w:w="1631" w:type="dxa"/>
            <w:vAlign w:val="top"/>
          </w:tcPr>
          <w:p>
            <w:pPr>
              <w:pStyle w:val="45"/>
              <w:bidi w:val="0"/>
              <w:rPr>
                <w:rFonts w:hint="eastAsia"/>
                <w:b/>
                <w:bCs/>
                <w:highlight w:val="none"/>
              </w:rPr>
            </w:pPr>
          </w:p>
        </w:tc>
      </w:tr>
    </w:tbl>
    <w:p>
      <w:pPr>
        <w:pStyle w:val="47"/>
        <w:bidi w:val="0"/>
        <w:rPr>
          <w:rFonts w:hint="eastAsia"/>
        </w:rPr>
      </w:pPr>
      <w:r>
        <w:rPr>
          <w:rFonts w:hint="eastAsia"/>
          <w:highlight w:val="none"/>
        </w:rPr>
        <w:t>注：</w:t>
      </w:r>
      <w:r>
        <w:rPr>
          <w:rFonts w:hint="eastAsia"/>
          <w:color w:val="000000" w:themeColor="text1"/>
          <w:highlight w:val="none"/>
          <w:lang w:eastAsia="zh-CN"/>
          <w14:textFill>
            <w14:solidFill>
              <w14:schemeClr w14:val="tx1"/>
            </w14:solidFill>
          </w14:textFill>
        </w:rPr>
        <w:t>如与</w:t>
      </w:r>
      <w:r>
        <w:rPr>
          <w:rFonts w:hint="eastAsia"/>
          <w:color w:val="000000" w:themeColor="text1"/>
          <w:highlight w:val="none"/>
          <w:lang w:val="en-US" w:eastAsia="zh-CN"/>
          <w14:textFill>
            <w14:solidFill>
              <w14:schemeClr w14:val="tx1"/>
            </w14:solidFill>
          </w14:textFill>
        </w:rPr>
        <w:t>招标文件第六章</w:t>
      </w:r>
      <w:r>
        <w:rPr>
          <w:rFonts w:hint="eastAsia"/>
          <w:b/>
          <w:bCs/>
          <w:highlight w:val="none"/>
          <w:lang w:val="en-US" w:eastAsia="zh-CN"/>
        </w:rPr>
        <w:t>服务内容及</w:t>
      </w:r>
      <w:r>
        <w:rPr>
          <w:rFonts w:hint="eastAsia"/>
          <w:b/>
          <w:bCs/>
          <w:highlight w:val="none"/>
        </w:rPr>
        <w:t>要求</w:t>
      </w:r>
      <w:r>
        <w:rPr>
          <w:rFonts w:hint="eastAsia"/>
          <w:color w:val="000000" w:themeColor="text1"/>
          <w:highlight w:val="none"/>
          <w:lang w:val="en-US" w:eastAsia="zh-CN"/>
          <w14:textFill>
            <w14:solidFill>
              <w14:schemeClr w14:val="tx1"/>
            </w14:solidFill>
          </w14:textFill>
        </w:rPr>
        <w:t>的内容</w:t>
      </w:r>
      <w:r>
        <w:rPr>
          <w:rFonts w:hint="eastAsia"/>
          <w:color w:val="000000" w:themeColor="text1"/>
          <w:highlight w:val="none"/>
          <w:lang w:eastAsia="zh-CN"/>
          <w14:textFill>
            <w14:solidFill>
              <w14:schemeClr w14:val="tx1"/>
            </w14:solidFill>
          </w14:textFill>
        </w:rPr>
        <w:t>有偏离(包括正偏离和负偏离)，请将偏离条款逐条应答。如与</w:t>
      </w:r>
      <w:r>
        <w:rPr>
          <w:rFonts w:hint="eastAsia"/>
          <w:color w:val="000000" w:themeColor="text1"/>
          <w:highlight w:val="none"/>
          <w:lang w:val="en-US" w:eastAsia="zh-CN"/>
          <w14:textFill>
            <w14:solidFill>
              <w14:schemeClr w14:val="tx1"/>
            </w14:solidFill>
          </w14:textFill>
        </w:rPr>
        <w:t>招标文件第六章</w:t>
      </w:r>
      <w:r>
        <w:rPr>
          <w:rFonts w:hint="eastAsia"/>
          <w:b/>
          <w:bCs/>
          <w:highlight w:val="none"/>
          <w:lang w:val="en-US" w:eastAsia="zh-CN"/>
        </w:rPr>
        <w:t>服务内容及</w:t>
      </w:r>
      <w:r>
        <w:rPr>
          <w:rFonts w:hint="eastAsia"/>
          <w:b/>
          <w:bCs/>
          <w:highlight w:val="none"/>
        </w:rPr>
        <w:t>要求</w:t>
      </w:r>
      <w:r>
        <w:rPr>
          <w:rFonts w:hint="eastAsia"/>
          <w:color w:val="000000" w:themeColor="text1"/>
          <w:highlight w:val="none"/>
          <w:lang w:val="en-US" w:eastAsia="zh-CN"/>
          <w14:textFill>
            <w14:solidFill>
              <w14:schemeClr w14:val="tx1"/>
            </w14:solidFill>
          </w14:textFill>
        </w:rPr>
        <w:t>的所有</w:t>
      </w:r>
      <w:r>
        <w:rPr>
          <w:rFonts w:hint="eastAsia"/>
          <w:color w:val="000000" w:themeColor="text1"/>
          <w:highlight w:val="none"/>
          <w:lang w:eastAsia="zh-CN"/>
          <w14:textFill>
            <w14:solidFill>
              <w14:schemeClr w14:val="tx1"/>
            </w14:solidFill>
          </w14:textFill>
        </w:rPr>
        <w:t>条款无偏离，则无须在此表中应答，视为默认完全响应和接受</w:t>
      </w:r>
      <w:r>
        <w:rPr>
          <w:rFonts w:hint="eastAsia"/>
          <w:color w:val="000000" w:themeColor="text1"/>
          <w:highlight w:val="none"/>
          <w:lang w:val="en-US" w:eastAsia="zh-CN"/>
          <w14:textFill>
            <w14:solidFill>
              <w14:schemeClr w14:val="tx1"/>
            </w14:solidFill>
          </w14:textFill>
        </w:rPr>
        <w:t>招标文件第六章</w:t>
      </w:r>
      <w:r>
        <w:rPr>
          <w:rFonts w:hint="eastAsia"/>
          <w:b/>
          <w:bCs/>
          <w:highlight w:val="none"/>
          <w:lang w:val="en-US" w:eastAsia="zh-CN"/>
        </w:rPr>
        <w:t>服务内容及</w:t>
      </w:r>
      <w:r>
        <w:rPr>
          <w:rFonts w:hint="eastAsia"/>
          <w:b/>
          <w:bCs/>
          <w:highlight w:val="none"/>
        </w:rPr>
        <w:t>要求</w:t>
      </w:r>
      <w:r>
        <w:rPr>
          <w:rFonts w:hint="eastAsia"/>
          <w:color w:val="000000" w:themeColor="text1"/>
          <w:highlight w:val="none"/>
          <w:lang w:val="en-US" w:eastAsia="zh-CN"/>
          <w14:textFill>
            <w14:solidFill>
              <w14:schemeClr w14:val="tx1"/>
            </w14:solidFill>
          </w14:textFill>
        </w:rPr>
        <w:t>所有</w:t>
      </w:r>
      <w:r>
        <w:rPr>
          <w:rFonts w:hint="eastAsia"/>
          <w:color w:val="000000" w:themeColor="text1"/>
          <w:highlight w:val="none"/>
          <w:lang w:eastAsia="zh-CN"/>
          <w14:textFill>
            <w14:solidFill>
              <w14:schemeClr w14:val="tx1"/>
            </w14:solidFill>
          </w14:textFill>
        </w:rPr>
        <w:t>的内容，供应商不得以未作应答而拒不接受</w:t>
      </w:r>
      <w:r>
        <w:rPr>
          <w:rFonts w:hint="eastAsia"/>
          <w:highlight w:val="none"/>
        </w:rPr>
        <w:t>。</w:t>
      </w:r>
      <w:r>
        <w:rPr>
          <w:rFonts w:hint="eastAsia"/>
          <w:color w:val="000000" w:themeColor="text1"/>
          <w:highlight w:val="none"/>
          <w:lang w:eastAsia="zh-CN"/>
          <w14:textFill>
            <w14:solidFill>
              <w14:schemeClr w14:val="tx1"/>
            </w14:solidFill>
          </w14:textFill>
        </w:rPr>
        <w:t>供应商必须据实填写，不得虚假应答，否则将取消其</w:t>
      </w:r>
      <w:r>
        <w:rPr>
          <w:rFonts w:hint="eastAsia"/>
          <w:color w:val="000000" w:themeColor="text1"/>
          <w:highlight w:val="none"/>
          <w:lang w:val="en-US" w:eastAsia="zh-CN"/>
          <w14:textFill>
            <w14:solidFill>
              <w14:schemeClr w14:val="tx1"/>
            </w14:solidFill>
          </w14:textFill>
        </w:rPr>
        <w:t>中标</w:t>
      </w:r>
      <w:r>
        <w:rPr>
          <w:rFonts w:hint="eastAsia"/>
          <w:color w:val="000000" w:themeColor="text1"/>
          <w:highlight w:val="none"/>
          <w:lang w:eastAsia="zh-CN"/>
          <w14:textFill>
            <w14:solidFill>
              <w14:schemeClr w14:val="tx1"/>
            </w14:solidFill>
          </w14:textFill>
        </w:rPr>
        <w:t>资格。</w:t>
      </w:r>
    </w:p>
    <w:p>
      <w:pPr>
        <w:pStyle w:val="42"/>
        <w:bidi w:val="0"/>
        <w:rPr>
          <w:rFonts w:hint="eastAsia"/>
        </w:rPr>
      </w:pPr>
    </w:p>
    <w:p>
      <w:pPr>
        <w:pStyle w:val="42"/>
        <w:bidi w:val="0"/>
        <w:rPr>
          <w:rFonts w:hint="eastAsia"/>
        </w:rPr>
      </w:pPr>
    </w:p>
    <w:p>
      <w:pPr>
        <w:pStyle w:val="42"/>
        <w:bidi w:val="0"/>
        <w:rPr>
          <w:rFonts w:hint="eastAsia"/>
        </w:rPr>
      </w:pPr>
    </w:p>
    <w:p>
      <w:pPr>
        <w:pStyle w:val="46"/>
        <w:bidi w:val="0"/>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6"/>
        <w:bidi w:val="0"/>
        <w:rPr>
          <w:rFonts w:hint="eastAsia"/>
        </w:rPr>
      </w:pPr>
      <w:r>
        <w:rPr>
          <w:rFonts w:hint="eastAsia"/>
        </w:rPr>
        <w:t>投标日期</w:t>
      </w:r>
      <w:r>
        <w:rPr>
          <w:rFonts w:hint="eastAsia"/>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2"/>
        <w:bidi w:val="0"/>
        <w:rPr>
          <w:rFonts w:hint="eastAsia"/>
          <w:lang w:val="en-US" w:eastAsia="zh-CN"/>
        </w:rPr>
      </w:pPr>
      <w:r>
        <w:rPr>
          <w:rFonts w:hint="eastAsia"/>
          <w:lang w:val="en-US" w:eastAsia="zh-CN"/>
        </w:rPr>
        <w:br w:type="page"/>
      </w:r>
    </w:p>
    <w:bookmarkEnd w:id="888"/>
    <w:bookmarkEnd w:id="889"/>
    <w:bookmarkEnd w:id="890"/>
    <w:p>
      <w:pPr>
        <w:pStyle w:val="44"/>
        <w:numPr>
          <w:ilvl w:val="0"/>
          <w:numId w:val="22"/>
        </w:numPr>
        <w:bidi w:val="0"/>
        <w:ind w:left="0" w:leftChars="0" w:firstLine="0" w:firstLineChars="0"/>
        <w:rPr>
          <w:rFonts w:hint="eastAsia"/>
          <w:lang w:val="en-US" w:eastAsia="zh-CN"/>
        </w:rPr>
      </w:pPr>
      <w:bookmarkStart w:id="896" w:name="_Toc28539"/>
      <w:bookmarkStart w:id="897" w:name="_Toc19775"/>
      <w:r>
        <w:rPr>
          <w:rFonts w:hint="eastAsia"/>
          <w:lang w:val="en-US" w:eastAsia="zh-CN"/>
        </w:rPr>
        <w:t>履约能力及相关证明</w:t>
      </w:r>
      <w:bookmarkEnd w:id="896"/>
      <w:bookmarkEnd w:id="897"/>
    </w:p>
    <w:p>
      <w:pPr>
        <w:pStyle w:val="47"/>
        <w:bidi w:val="0"/>
        <w:rPr>
          <w:rFonts w:hint="eastAsia"/>
        </w:rPr>
      </w:pPr>
      <w:r>
        <w:rPr>
          <w:rFonts w:hint="eastAsia"/>
        </w:rPr>
        <w:t>注：</w:t>
      </w:r>
      <w:r>
        <w:rPr>
          <w:rFonts w:hint="eastAsia"/>
          <w:lang w:val="en-US" w:eastAsia="zh-CN"/>
        </w:rPr>
        <w:t>格式自拟。</w:t>
      </w:r>
    </w:p>
    <w:p>
      <w:pPr>
        <w:pStyle w:val="42"/>
        <w:bidi w:val="0"/>
        <w:rPr>
          <w:rFonts w:hint="eastAsia"/>
        </w:rPr>
      </w:pPr>
    </w:p>
    <w:p>
      <w:pPr>
        <w:pStyle w:val="42"/>
        <w:bidi w:val="0"/>
        <w:rPr>
          <w:rFonts w:hint="eastAsia"/>
        </w:rPr>
      </w:pPr>
    </w:p>
    <w:p>
      <w:pPr>
        <w:pStyle w:val="42"/>
        <w:bidi w:val="0"/>
        <w:rPr>
          <w:rFonts w:hint="eastAsia"/>
        </w:rPr>
      </w:pPr>
    </w:p>
    <w:p>
      <w:pPr>
        <w:pStyle w:val="42"/>
        <w:bidi w:val="0"/>
        <w:rPr>
          <w:rFonts w:hint="eastAsia"/>
        </w:rPr>
      </w:pPr>
    </w:p>
    <w:p>
      <w:pPr>
        <w:pStyle w:val="42"/>
        <w:bidi w:val="0"/>
        <w:rPr>
          <w:rFonts w:hint="eastAsia"/>
        </w:rPr>
      </w:pPr>
    </w:p>
    <w:p>
      <w:pPr>
        <w:pStyle w:val="42"/>
        <w:bidi w:val="0"/>
        <w:rPr>
          <w:rFonts w:hint="eastAsia"/>
          <w:lang w:val="en-US" w:eastAsia="zh-CN"/>
        </w:rPr>
      </w:pPr>
      <w:r>
        <w:rPr>
          <w:rFonts w:hint="eastAsia"/>
          <w:lang w:val="en-US" w:eastAsia="zh-CN"/>
        </w:rPr>
        <w:br w:type="page"/>
      </w:r>
    </w:p>
    <w:bookmarkEnd w:id="891"/>
    <w:p>
      <w:pPr>
        <w:pStyle w:val="44"/>
        <w:numPr>
          <w:ilvl w:val="0"/>
          <w:numId w:val="22"/>
        </w:numPr>
        <w:bidi w:val="0"/>
        <w:ind w:left="0" w:leftChars="0" w:firstLine="0" w:firstLineChars="0"/>
        <w:rPr>
          <w:rFonts w:hint="eastAsia"/>
          <w:lang w:val="en-US" w:eastAsia="zh-CN"/>
        </w:rPr>
      </w:pPr>
      <w:bookmarkStart w:id="898" w:name="_Toc19560"/>
      <w:bookmarkStart w:id="899" w:name="_Toc13361"/>
      <w:bookmarkStart w:id="900" w:name="_Toc19240"/>
      <w:bookmarkStart w:id="901" w:name="_Toc2450"/>
      <w:bookmarkStart w:id="902" w:name="_Toc122"/>
      <w:bookmarkStart w:id="903" w:name="_Toc8563"/>
      <w:r>
        <w:rPr>
          <w:rFonts w:hint="eastAsia"/>
          <w:lang w:val="en-US" w:eastAsia="zh-CN"/>
        </w:rPr>
        <w:t>投标人针对本项目人员配置情况表</w:t>
      </w:r>
      <w:bookmarkEnd w:id="898"/>
      <w:bookmarkEnd w:id="899"/>
    </w:p>
    <w:p>
      <w:pPr>
        <w:pStyle w:val="42"/>
        <w:bidi w:val="0"/>
        <w:rPr>
          <w:rFonts w:hint="eastAsia"/>
        </w:rPr>
      </w:pPr>
      <w:r>
        <w:rPr>
          <w:rFonts w:hint="eastAsia"/>
        </w:rPr>
        <w:t>项目名称：</w:t>
      </w:r>
      <w:r>
        <w:rPr>
          <w:rFonts w:hint="eastAsia"/>
          <w:u w:val="single"/>
        </w:rPr>
        <w:t xml:space="preserve">                              </w:t>
      </w:r>
    </w:p>
    <w:p>
      <w:pPr>
        <w:pStyle w:val="42"/>
        <w:bidi w:val="0"/>
        <w:rPr>
          <w:rFonts w:hint="eastAsia"/>
          <w:u w:val="single"/>
        </w:rPr>
      </w:pPr>
      <w:r>
        <w:rPr>
          <w:rFonts w:hint="eastAsia"/>
        </w:rPr>
        <w:t>项目编号：</w:t>
      </w:r>
      <w:r>
        <w:rPr>
          <w:rFonts w:hint="eastAsia"/>
          <w:u w:val="single"/>
        </w:rPr>
        <w:t xml:space="preserve">                              </w:t>
      </w:r>
      <w:r>
        <w:rPr>
          <w:rFonts w:hint="eastAsia"/>
        </w:rPr>
        <w:t xml:space="preserve"> </w:t>
      </w:r>
      <w:r>
        <w:rPr>
          <w:rFonts w:hint="eastAsia"/>
          <w:lang w:val="en-US" w:eastAsia="zh-CN"/>
        </w:rPr>
        <w:t xml:space="preserve">                             </w:t>
      </w:r>
    </w:p>
    <w:tbl>
      <w:tblPr>
        <w:tblStyle w:val="21"/>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pStyle w:val="45"/>
              <w:bidi w:val="0"/>
              <w:rPr>
                <w:rFonts w:hint="eastAsia"/>
                <w:b/>
                <w:bCs/>
              </w:rPr>
            </w:pPr>
            <w:r>
              <w:rPr>
                <w:rFonts w:hint="eastAsia"/>
                <w:b/>
                <w:bCs/>
              </w:rPr>
              <w:t>类别</w:t>
            </w:r>
          </w:p>
        </w:tc>
        <w:tc>
          <w:tcPr>
            <w:tcW w:w="923" w:type="dxa"/>
            <w:vMerge w:val="restart"/>
            <w:vAlign w:val="center"/>
          </w:tcPr>
          <w:p>
            <w:pPr>
              <w:pStyle w:val="45"/>
              <w:bidi w:val="0"/>
              <w:rPr>
                <w:rFonts w:hint="default" w:eastAsia="宋体"/>
                <w:b/>
                <w:bCs/>
                <w:lang w:val="en-US" w:eastAsia="zh-CN"/>
              </w:rPr>
            </w:pPr>
            <w:r>
              <w:rPr>
                <w:rFonts w:hint="eastAsia"/>
                <w:b/>
                <w:bCs/>
              </w:rPr>
              <w:t>职务</w:t>
            </w:r>
            <w:r>
              <w:rPr>
                <w:rFonts w:hint="eastAsia"/>
                <w:b/>
                <w:bCs/>
                <w:lang w:val="en-US" w:eastAsia="zh-CN"/>
              </w:rPr>
              <w:t>(岗位)</w:t>
            </w:r>
          </w:p>
        </w:tc>
        <w:tc>
          <w:tcPr>
            <w:tcW w:w="921" w:type="dxa"/>
            <w:vMerge w:val="restart"/>
            <w:vAlign w:val="center"/>
          </w:tcPr>
          <w:p>
            <w:pPr>
              <w:pStyle w:val="45"/>
              <w:bidi w:val="0"/>
              <w:rPr>
                <w:rFonts w:hint="eastAsia"/>
                <w:b/>
                <w:bCs/>
              </w:rPr>
            </w:pPr>
            <w:r>
              <w:rPr>
                <w:rFonts w:hint="eastAsia"/>
                <w:b/>
                <w:bCs/>
              </w:rPr>
              <w:t>姓名</w:t>
            </w:r>
          </w:p>
        </w:tc>
        <w:tc>
          <w:tcPr>
            <w:tcW w:w="923" w:type="dxa"/>
            <w:vMerge w:val="restart"/>
            <w:vAlign w:val="center"/>
          </w:tcPr>
          <w:p>
            <w:pPr>
              <w:pStyle w:val="45"/>
              <w:bidi w:val="0"/>
              <w:rPr>
                <w:rFonts w:hint="eastAsia"/>
                <w:b/>
                <w:bCs/>
              </w:rPr>
            </w:pPr>
            <w:r>
              <w:rPr>
                <w:rFonts w:hint="eastAsia"/>
                <w:b/>
                <w:bCs/>
              </w:rPr>
              <w:t>职称</w:t>
            </w:r>
          </w:p>
        </w:tc>
        <w:tc>
          <w:tcPr>
            <w:tcW w:w="922" w:type="dxa"/>
            <w:vMerge w:val="restart"/>
            <w:vAlign w:val="center"/>
          </w:tcPr>
          <w:p>
            <w:pPr>
              <w:pStyle w:val="45"/>
              <w:bidi w:val="0"/>
              <w:rPr>
                <w:rFonts w:hint="eastAsia"/>
                <w:b/>
                <w:bCs/>
              </w:rPr>
            </w:pPr>
            <w:r>
              <w:rPr>
                <w:rFonts w:hint="eastAsia"/>
                <w:b/>
                <w:bCs/>
              </w:rPr>
              <w:t>常住地</w:t>
            </w:r>
          </w:p>
        </w:tc>
        <w:tc>
          <w:tcPr>
            <w:tcW w:w="4919" w:type="dxa"/>
            <w:gridSpan w:val="4"/>
            <w:vAlign w:val="center"/>
          </w:tcPr>
          <w:p>
            <w:pPr>
              <w:pStyle w:val="45"/>
              <w:bidi w:val="0"/>
              <w:rPr>
                <w:rFonts w:hint="eastAsia"/>
                <w:b/>
                <w:bCs/>
              </w:rPr>
            </w:pPr>
            <w:r>
              <w:rPr>
                <w:rFonts w:hint="eastAsia"/>
                <w:b/>
                <w:bCs/>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pStyle w:val="45"/>
              <w:bidi w:val="0"/>
              <w:rPr>
                <w:rFonts w:hint="eastAsia"/>
                <w:b/>
                <w:bCs/>
              </w:rPr>
            </w:pPr>
          </w:p>
        </w:tc>
        <w:tc>
          <w:tcPr>
            <w:tcW w:w="923" w:type="dxa"/>
            <w:vMerge w:val="continue"/>
            <w:vAlign w:val="center"/>
          </w:tcPr>
          <w:p>
            <w:pPr>
              <w:pStyle w:val="45"/>
              <w:bidi w:val="0"/>
              <w:rPr>
                <w:rFonts w:hint="eastAsia"/>
                <w:b/>
                <w:bCs/>
              </w:rPr>
            </w:pPr>
          </w:p>
        </w:tc>
        <w:tc>
          <w:tcPr>
            <w:tcW w:w="921" w:type="dxa"/>
            <w:vMerge w:val="continue"/>
            <w:vAlign w:val="center"/>
          </w:tcPr>
          <w:p>
            <w:pPr>
              <w:pStyle w:val="45"/>
              <w:bidi w:val="0"/>
              <w:rPr>
                <w:rFonts w:hint="eastAsia"/>
                <w:b/>
                <w:bCs/>
              </w:rPr>
            </w:pPr>
          </w:p>
        </w:tc>
        <w:tc>
          <w:tcPr>
            <w:tcW w:w="923" w:type="dxa"/>
            <w:vMerge w:val="continue"/>
            <w:vAlign w:val="center"/>
          </w:tcPr>
          <w:p>
            <w:pPr>
              <w:pStyle w:val="45"/>
              <w:bidi w:val="0"/>
              <w:rPr>
                <w:rFonts w:hint="eastAsia"/>
                <w:b/>
                <w:bCs/>
              </w:rPr>
            </w:pPr>
          </w:p>
        </w:tc>
        <w:tc>
          <w:tcPr>
            <w:tcW w:w="922" w:type="dxa"/>
            <w:vMerge w:val="continue"/>
            <w:vAlign w:val="center"/>
          </w:tcPr>
          <w:p>
            <w:pPr>
              <w:pStyle w:val="45"/>
              <w:bidi w:val="0"/>
              <w:rPr>
                <w:rFonts w:hint="eastAsia"/>
                <w:b/>
                <w:bCs/>
              </w:rPr>
            </w:pPr>
          </w:p>
        </w:tc>
        <w:tc>
          <w:tcPr>
            <w:tcW w:w="1436" w:type="dxa"/>
            <w:vAlign w:val="center"/>
          </w:tcPr>
          <w:p>
            <w:pPr>
              <w:pStyle w:val="45"/>
              <w:bidi w:val="0"/>
              <w:rPr>
                <w:rFonts w:hint="eastAsia"/>
                <w:b/>
                <w:bCs/>
              </w:rPr>
            </w:pPr>
            <w:r>
              <w:rPr>
                <w:rFonts w:hint="eastAsia"/>
                <w:b/>
                <w:bCs/>
              </w:rPr>
              <w:t>证书名称</w:t>
            </w:r>
          </w:p>
        </w:tc>
        <w:tc>
          <w:tcPr>
            <w:tcW w:w="1022" w:type="dxa"/>
            <w:vAlign w:val="center"/>
          </w:tcPr>
          <w:p>
            <w:pPr>
              <w:pStyle w:val="45"/>
              <w:bidi w:val="0"/>
              <w:rPr>
                <w:rFonts w:hint="eastAsia"/>
                <w:b/>
                <w:bCs/>
              </w:rPr>
            </w:pPr>
            <w:r>
              <w:rPr>
                <w:rFonts w:hint="eastAsia"/>
                <w:b/>
                <w:bCs/>
              </w:rPr>
              <w:t>级别</w:t>
            </w:r>
          </w:p>
        </w:tc>
        <w:tc>
          <w:tcPr>
            <w:tcW w:w="1232" w:type="dxa"/>
            <w:vAlign w:val="center"/>
          </w:tcPr>
          <w:p>
            <w:pPr>
              <w:pStyle w:val="45"/>
              <w:bidi w:val="0"/>
              <w:rPr>
                <w:rFonts w:hint="eastAsia"/>
                <w:b/>
                <w:bCs/>
              </w:rPr>
            </w:pPr>
            <w:r>
              <w:rPr>
                <w:rFonts w:hint="eastAsia"/>
                <w:b/>
                <w:bCs/>
              </w:rPr>
              <w:t>证号</w:t>
            </w:r>
          </w:p>
        </w:tc>
        <w:tc>
          <w:tcPr>
            <w:tcW w:w="1229" w:type="dxa"/>
            <w:vAlign w:val="center"/>
          </w:tcPr>
          <w:p>
            <w:pPr>
              <w:pStyle w:val="45"/>
              <w:bidi w:val="0"/>
              <w:rPr>
                <w:rFonts w:hint="eastAsia"/>
                <w:b/>
                <w:bCs/>
              </w:rPr>
            </w:pPr>
            <w:r>
              <w:rPr>
                <w:rFonts w:hint="eastAsia"/>
                <w:b/>
                <w:bCs/>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5"/>
              <w:bidi w:val="0"/>
              <w:rPr>
                <w:rFonts w:hint="eastAsia"/>
                <w:highlight w:val="none"/>
              </w:rPr>
            </w:pPr>
          </w:p>
        </w:tc>
        <w:tc>
          <w:tcPr>
            <w:tcW w:w="923" w:type="dxa"/>
            <w:vAlign w:val="top"/>
          </w:tcPr>
          <w:p>
            <w:pPr>
              <w:pStyle w:val="45"/>
              <w:bidi w:val="0"/>
              <w:rPr>
                <w:rFonts w:hint="eastAsia"/>
              </w:rPr>
            </w:pPr>
          </w:p>
        </w:tc>
        <w:tc>
          <w:tcPr>
            <w:tcW w:w="921" w:type="dxa"/>
            <w:vAlign w:val="top"/>
          </w:tcPr>
          <w:p>
            <w:pPr>
              <w:pStyle w:val="45"/>
              <w:bidi w:val="0"/>
              <w:rPr>
                <w:rFonts w:hint="eastAsia"/>
              </w:rPr>
            </w:pPr>
          </w:p>
        </w:tc>
        <w:tc>
          <w:tcPr>
            <w:tcW w:w="923" w:type="dxa"/>
            <w:vAlign w:val="top"/>
          </w:tcPr>
          <w:p>
            <w:pPr>
              <w:pStyle w:val="45"/>
              <w:bidi w:val="0"/>
              <w:rPr>
                <w:rFonts w:hint="eastAsia"/>
              </w:rPr>
            </w:pPr>
          </w:p>
        </w:tc>
        <w:tc>
          <w:tcPr>
            <w:tcW w:w="922" w:type="dxa"/>
            <w:vAlign w:val="top"/>
          </w:tcPr>
          <w:p>
            <w:pPr>
              <w:pStyle w:val="45"/>
              <w:bidi w:val="0"/>
              <w:rPr>
                <w:rFonts w:hint="eastAsia"/>
              </w:rPr>
            </w:pPr>
          </w:p>
        </w:tc>
        <w:tc>
          <w:tcPr>
            <w:tcW w:w="1436" w:type="dxa"/>
            <w:vAlign w:val="top"/>
          </w:tcPr>
          <w:p>
            <w:pPr>
              <w:pStyle w:val="45"/>
              <w:bidi w:val="0"/>
              <w:rPr>
                <w:rFonts w:hint="eastAsia"/>
              </w:rPr>
            </w:pPr>
          </w:p>
        </w:tc>
        <w:tc>
          <w:tcPr>
            <w:tcW w:w="1022" w:type="dxa"/>
            <w:vAlign w:val="top"/>
          </w:tcPr>
          <w:p>
            <w:pPr>
              <w:pStyle w:val="45"/>
              <w:bidi w:val="0"/>
              <w:rPr>
                <w:rFonts w:hint="eastAsia"/>
              </w:rPr>
            </w:pPr>
          </w:p>
        </w:tc>
        <w:tc>
          <w:tcPr>
            <w:tcW w:w="1232" w:type="dxa"/>
            <w:vAlign w:val="top"/>
          </w:tcPr>
          <w:p>
            <w:pPr>
              <w:pStyle w:val="45"/>
              <w:bidi w:val="0"/>
              <w:rPr>
                <w:rFonts w:hint="eastAsia"/>
              </w:rPr>
            </w:pPr>
          </w:p>
        </w:tc>
        <w:tc>
          <w:tcPr>
            <w:tcW w:w="1229" w:type="dxa"/>
            <w:vAlign w:val="top"/>
          </w:tcPr>
          <w:p>
            <w:pPr>
              <w:pStyle w:val="45"/>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5"/>
              <w:bidi w:val="0"/>
              <w:rPr>
                <w:rFonts w:hint="eastAsia"/>
                <w:highlight w:val="none"/>
              </w:rPr>
            </w:pPr>
          </w:p>
        </w:tc>
        <w:tc>
          <w:tcPr>
            <w:tcW w:w="923" w:type="dxa"/>
            <w:vAlign w:val="top"/>
          </w:tcPr>
          <w:p>
            <w:pPr>
              <w:pStyle w:val="45"/>
              <w:bidi w:val="0"/>
              <w:rPr>
                <w:rFonts w:hint="eastAsia"/>
              </w:rPr>
            </w:pPr>
          </w:p>
        </w:tc>
        <w:tc>
          <w:tcPr>
            <w:tcW w:w="921" w:type="dxa"/>
            <w:vAlign w:val="top"/>
          </w:tcPr>
          <w:p>
            <w:pPr>
              <w:pStyle w:val="45"/>
              <w:bidi w:val="0"/>
              <w:rPr>
                <w:rFonts w:hint="eastAsia"/>
              </w:rPr>
            </w:pPr>
          </w:p>
        </w:tc>
        <w:tc>
          <w:tcPr>
            <w:tcW w:w="923" w:type="dxa"/>
            <w:vAlign w:val="top"/>
          </w:tcPr>
          <w:p>
            <w:pPr>
              <w:pStyle w:val="45"/>
              <w:bidi w:val="0"/>
              <w:rPr>
                <w:rFonts w:hint="eastAsia"/>
              </w:rPr>
            </w:pPr>
          </w:p>
        </w:tc>
        <w:tc>
          <w:tcPr>
            <w:tcW w:w="922" w:type="dxa"/>
            <w:vAlign w:val="top"/>
          </w:tcPr>
          <w:p>
            <w:pPr>
              <w:pStyle w:val="45"/>
              <w:bidi w:val="0"/>
              <w:rPr>
                <w:rFonts w:hint="eastAsia"/>
              </w:rPr>
            </w:pPr>
          </w:p>
        </w:tc>
        <w:tc>
          <w:tcPr>
            <w:tcW w:w="1436" w:type="dxa"/>
            <w:vAlign w:val="top"/>
          </w:tcPr>
          <w:p>
            <w:pPr>
              <w:pStyle w:val="45"/>
              <w:bidi w:val="0"/>
              <w:rPr>
                <w:rFonts w:hint="eastAsia"/>
              </w:rPr>
            </w:pPr>
          </w:p>
        </w:tc>
        <w:tc>
          <w:tcPr>
            <w:tcW w:w="1022" w:type="dxa"/>
            <w:vAlign w:val="top"/>
          </w:tcPr>
          <w:p>
            <w:pPr>
              <w:pStyle w:val="45"/>
              <w:bidi w:val="0"/>
              <w:rPr>
                <w:rFonts w:hint="eastAsia"/>
              </w:rPr>
            </w:pPr>
          </w:p>
        </w:tc>
        <w:tc>
          <w:tcPr>
            <w:tcW w:w="1232" w:type="dxa"/>
            <w:vAlign w:val="top"/>
          </w:tcPr>
          <w:p>
            <w:pPr>
              <w:pStyle w:val="45"/>
              <w:bidi w:val="0"/>
              <w:rPr>
                <w:rFonts w:hint="eastAsia"/>
              </w:rPr>
            </w:pPr>
          </w:p>
        </w:tc>
        <w:tc>
          <w:tcPr>
            <w:tcW w:w="1229" w:type="dxa"/>
            <w:vAlign w:val="top"/>
          </w:tcPr>
          <w:p>
            <w:pPr>
              <w:pStyle w:val="45"/>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5"/>
              <w:bidi w:val="0"/>
              <w:rPr>
                <w:rFonts w:hint="eastAsia"/>
                <w:highlight w:val="none"/>
              </w:rPr>
            </w:pPr>
          </w:p>
        </w:tc>
        <w:tc>
          <w:tcPr>
            <w:tcW w:w="923" w:type="dxa"/>
            <w:vAlign w:val="top"/>
          </w:tcPr>
          <w:p>
            <w:pPr>
              <w:pStyle w:val="45"/>
              <w:bidi w:val="0"/>
              <w:rPr>
                <w:rFonts w:hint="eastAsia"/>
              </w:rPr>
            </w:pPr>
          </w:p>
        </w:tc>
        <w:tc>
          <w:tcPr>
            <w:tcW w:w="921" w:type="dxa"/>
            <w:vAlign w:val="top"/>
          </w:tcPr>
          <w:p>
            <w:pPr>
              <w:pStyle w:val="45"/>
              <w:bidi w:val="0"/>
              <w:rPr>
                <w:rFonts w:hint="eastAsia"/>
              </w:rPr>
            </w:pPr>
          </w:p>
        </w:tc>
        <w:tc>
          <w:tcPr>
            <w:tcW w:w="923" w:type="dxa"/>
            <w:vAlign w:val="top"/>
          </w:tcPr>
          <w:p>
            <w:pPr>
              <w:pStyle w:val="45"/>
              <w:bidi w:val="0"/>
              <w:rPr>
                <w:rFonts w:hint="eastAsia"/>
              </w:rPr>
            </w:pPr>
          </w:p>
        </w:tc>
        <w:tc>
          <w:tcPr>
            <w:tcW w:w="922" w:type="dxa"/>
            <w:vAlign w:val="top"/>
          </w:tcPr>
          <w:p>
            <w:pPr>
              <w:pStyle w:val="45"/>
              <w:bidi w:val="0"/>
              <w:rPr>
                <w:rFonts w:hint="eastAsia"/>
              </w:rPr>
            </w:pPr>
          </w:p>
        </w:tc>
        <w:tc>
          <w:tcPr>
            <w:tcW w:w="1436" w:type="dxa"/>
            <w:vAlign w:val="top"/>
          </w:tcPr>
          <w:p>
            <w:pPr>
              <w:pStyle w:val="45"/>
              <w:bidi w:val="0"/>
              <w:rPr>
                <w:rFonts w:hint="eastAsia"/>
              </w:rPr>
            </w:pPr>
          </w:p>
        </w:tc>
        <w:tc>
          <w:tcPr>
            <w:tcW w:w="1022" w:type="dxa"/>
            <w:vAlign w:val="top"/>
          </w:tcPr>
          <w:p>
            <w:pPr>
              <w:pStyle w:val="45"/>
              <w:bidi w:val="0"/>
              <w:rPr>
                <w:rFonts w:hint="eastAsia"/>
              </w:rPr>
            </w:pPr>
          </w:p>
        </w:tc>
        <w:tc>
          <w:tcPr>
            <w:tcW w:w="1232" w:type="dxa"/>
            <w:vAlign w:val="top"/>
          </w:tcPr>
          <w:p>
            <w:pPr>
              <w:pStyle w:val="45"/>
              <w:bidi w:val="0"/>
              <w:rPr>
                <w:rFonts w:hint="eastAsia"/>
              </w:rPr>
            </w:pPr>
          </w:p>
        </w:tc>
        <w:tc>
          <w:tcPr>
            <w:tcW w:w="1229" w:type="dxa"/>
            <w:vAlign w:val="top"/>
          </w:tcPr>
          <w:p>
            <w:pPr>
              <w:pStyle w:val="45"/>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5"/>
              <w:bidi w:val="0"/>
              <w:rPr>
                <w:rFonts w:hint="eastAsia"/>
                <w:highlight w:val="none"/>
              </w:rPr>
            </w:pPr>
          </w:p>
        </w:tc>
        <w:tc>
          <w:tcPr>
            <w:tcW w:w="923" w:type="dxa"/>
            <w:vAlign w:val="top"/>
          </w:tcPr>
          <w:p>
            <w:pPr>
              <w:pStyle w:val="45"/>
              <w:bidi w:val="0"/>
              <w:rPr>
                <w:rFonts w:hint="eastAsia"/>
              </w:rPr>
            </w:pPr>
          </w:p>
        </w:tc>
        <w:tc>
          <w:tcPr>
            <w:tcW w:w="921" w:type="dxa"/>
            <w:vAlign w:val="top"/>
          </w:tcPr>
          <w:p>
            <w:pPr>
              <w:pStyle w:val="45"/>
              <w:bidi w:val="0"/>
              <w:rPr>
                <w:rFonts w:hint="eastAsia"/>
              </w:rPr>
            </w:pPr>
          </w:p>
        </w:tc>
        <w:tc>
          <w:tcPr>
            <w:tcW w:w="923" w:type="dxa"/>
            <w:vAlign w:val="top"/>
          </w:tcPr>
          <w:p>
            <w:pPr>
              <w:pStyle w:val="45"/>
              <w:bidi w:val="0"/>
              <w:rPr>
                <w:rFonts w:hint="eastAsia"/>
              </w:rPr>
            </w:pPr>
          </w:p>
        </w:tc>
        <w:tc>
          <w:tcPr>
            <w:tcW w:w="922" w:type="dxa"/>
            <w:vAlign w:val="top"/>
          </w:tcPr>
          <w:p>
            <w:pPr>
              <w:pStyle w:val="45"/>
              <w:bidi w:val="0"/>
              <w:rPr>
                <w:rFonts w:hint="eastAsia"/>
              </w:rPr>
            </w:pPr>
          </w:p>
        </w:tc>
        <w:tc>
          <w:tcPr>
            <w:tcW w:w="1436" w:type="dxa"/>
            <w:vAlign w:val="top"/>
          </w:tcPr>
          <w:p>
            <w:pPr>
              <w:pStyle w:val="45"/>
              <w:bidi w:val="0"/>
              <w:rPr>
                <w:rFonts w:hint="eastAsia"/>
              </w:rPr>
            </w:pPr>
          </w:p>
        </w:tc>
        <w:tc>
          <w:tcPr>
            <w:tcW w:w="1022" w:type="dxa"/>
            <w:vAlign w:val="top"/>
          </w:tcPr>
          <w:p>
            <w:pPr>
              <w:pStyle w:val="45"/>
              <w:bidi w:val="0"/>
              <w:rPr>
                <w:rFonts w:hint="eastAsia"/>
              </w:rPr>
            </w:pPr>
          </w:p>
        </w:tc>
        <w:tc>
          <w:tcPr>
            <w:tcW w:w="1232" w:type="dxa"/>
            <w:vAlign w:val="top"/>
          </w:tcPr>
          <w:p>
            <w:pPr>
              <w:pStyle w:val="45"/>
              <w:bidi w:val="0"/>
              <w:rPr>
                <w:rFonts w:hint="eastAsia"/>
              </w:rPr>
            </w:pPr>
          </w:p>
        </w:tc>
        <w:tc>
          <w:tcPr>
            <w:tcW w:w="1229" w:type="dxa"/>
            <w:vAlign w:val="top"/>
          </w:tcPr>
          <w:p>
            <w:pPr>
              <w:pStyle w:val="45"/>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5"/>
              <w:bidi w:val="0"/>
              <w:rPr>
                <w:rFonts w:hint="eastAsia"/>
                <w:highlight w:val="none"/>
              </w:rPr>
            </w:pPr>
          </w:p>
        </w:tc>
        <w:tc>
          <w:tcPr>
            <w:tcW w:w="923" w:type="dxa"/>
            <w:vAlign w:val="top"/>
          </w:tcPr>
          <w:p>
            <w:pPr>
              <w:pStyle w:val="45"/>
              <w:bidi w:val="0"/>
              <w:rPr>
                <w:rFonts w:hint="eastAsia"/>
              </w:rPr>
            </w:pPr>
          </w:p>
        </w:tc>
        <w:tc>
          <w:tcPr>
            <w:tcW w:w="921" w:type="dxa"/>
            <w:vAlign w:val="top"/>
          </w:tcPr>
          <w:p>
            <w:pPr>
              <w:pStyle w:val="45"/>
              <w:bidi w:val="0"/>
              <w:rPr>
                <w:rFonts w:hint="eastAsia"/>
              </w:rPr>
            </w:pPr>
          </w:p>
        </w:tc>
        <w:tc>
          <w:tcPr>
            <w:tcW w:w="923" w:type="dxa"/>
            <w:vAlign w:val="top"/>
          </w:tcPr>
          <w:p>
            <w:pPr>
              <w:pStyle w:val="45"/>
              <w:bidi w:val="0"/>
              <w:rPr>
                <w:rFonts w:hint="eastAsia"/>
              </w:rPr>
            </w:pPr>
          </w:p>
        </w:tc>
        <w:tc>
          <w:tcPr>
            <w:tcW w:w="922" w:type="dxa"/>
            <w:vAlign w:val="top"/>
          </w:tcPr>
          <w:p>
            <w:pPr>
              <w:pStyle w:val="45"/>
              <w:bidi w:val="0"/>
              <w:rPr>
                <w:rFonts w:hint="eastAsia"/>
              </w:rPr>
            </w:pPr>
          </w:p>
        </w:tc>
        <w:tc>
          <w:tcPr>
            <w:tcW w:w="1436" w:type="dxa"/>
            <w:vAlign w:val="top"/>
          </w:tcPr>
          <w:p>
            <w:pPr>
              <w:pStyle w:val="45"/>
              <w:bidi w:val="0"/>
              <w:rPr>
                <w:rFonts w:hint="eastAsia"/>
              </w:rPr>
            </w:pPr>
          </w:p>
        </w:tc>
        <w:tc>
          <w:tcPr>
            <w:tcW w:w="1022" w:type="dxa"/>
            <w:vAlign w:val="top"/>
          </w:tcPr>
          <w:p>
            <w:pPr>
              <w:pStyle w:val="45"/>
              <w:bidi w:val="0"/>
              <w:rPr>
                <w:rFonts w:hint="eastAsia"/>
              </w:rPr>
            </w:pPr>
          </w:p>
        </w:tc>
        <w:tc>
          <w:tcPr>
            <w:tcW w:w="1232" w:type="dxa"/>
            <w:vAlign w:val="top"/>
          </w:tcPr>
          <w:p>
            <w:pPr>
              <w:pStyle w:val="45"/>
              <w:bidi w:val="0"/>
              <w:rPr>
                <w:rFonts w:hint="eastAsia"/>
              </w:rPr>
            </w:pPr>
          </w:p>
        </w:tc>
        <w:tc>
          <w:tcPr>
            <w:tcW w:w="1229" w:type="dxa"/>
            <w:vAlign w:val="top"/>
          </w:tcPr>
          <w:p>
            <w:pPr>
              <w:pStyle w:val="45"/>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5"/>
              <w:bidi w:val="0"/>
              <w:rPr>
                <w:rFonts w:hint="eastAsia"/>
                <w:highlight w:val="none"/>
              </w:rPr>
            </w:pPr>
          </w:p>
        </w:tc>
        <w:tc>
          <w:tcPr>
            <w:tcW w:w="923" w:type="dxa"/>
            <w:vAlign w:val="top"/>
          </w:tcPr>
          <w:p>
            <w:pPr>
              <w:pStyle w:val="45"/>
              <w:bidi w:val="0"/>
              <w:rPr>
                <w:rFonts w:hint="eastAsia"/>
              </w:rPr>
            </w:pPr>
          </w:p>
        </w:tc>
        <w:tc>
          <w:tcPr>
            <w:tcW w:w="921" w:type="dxa"/>
            <w:vAlign w:val="top"/>
          </w:tcPr>
          <w:p>
            <w:pPr>
              <w:pStyle w:val="45"/>
              <w:bidi w:val="0"/>
              <w:rPr>
                <w:rFonts w:hint="eastAsia"/>
              </w:rPr>
            </w:pPr>
          </w:p>
        </w:tc>
        <w:tc>
          <w:tcPr>
            <w:tcW w:w="923" w:type="dxa"/>
            <w:vAlign w:val="top"/>
          </w:tcPr>
          <w:p>
            <w:pPr>
              <w:pStyle w:val="45"/>
              <w:bidi w:val="0"/>
              <w:rPr>
                <w:rFonts w:hint="eastAsia"/>
              </w:rPr>
            </w:pPr>
          </w:p>
        </w:tc>
        <w:tc>
          <w:tcPr>
            <w:tcW w:w="922" w:type="dxa"/>
            <w:vAlign w:val="top"/>
          </w:tcPr>
          <w:p>
            <w:pPr>
              <w:pStyle w:val="45"/>
              <w:bidi w:val="0"/>
              <w:rPr>
                <w:rFonts w:hint="eastAsia"/>
              </w:rPr>
            </w:pPr>
          </w:p>
        </w:tc>
        <w:tc>
          <w:tcPr>
            <w:tcW w:w="1436" w:type="dxa"/>
            <w:vAlign w:val="top"/>
          </w:tcPr>
          <w:p>
            <w:pPr>
              <w:pStyle w:val="45"/>
              <w:bidi w:val="0"/>
              <w:rPr>
                <w:rFonts w:hint="eastAsia"/>
              </w:rPr>
            </w:pPr>
          </w:p>
        </w:tc>
        <w:tc>
          <w:tcPr>
            <w:tcW w:w="1022" w:type="dxa"/>
            <w:vAlign w:val="top"/>
          </w:tcPr>
          <w:p>
            <w:pPr>
              <w:pStyle w:val="45"/>
              <w:bidi w:val="0"/>
              <w:rPr>
                <w:rFonts w:hint="eastAsia"/>
              </w:rPr>
            </w:pPr>
          </w:p>
        </w:tc>
        <w:tc>
          <w:tcPr>
            <w:tcW w:w="1232" w:type="dxa"/>
            <w:vAlign w:val="top"/>
          </w:tcPr>
          <w:p>
            <w:pPr>
              <w:pStyle w:val="45"/>
              <w:bidi w:val="0"/>
              <w:rPr>
                <w:rFonts w:hint="eastAsia"/>
              </w:rPr>
            </w:pPr>
          </w:p>
        </w:tc>
        <w:tc>
          <w:tcPr>
            <w:tcW w:w="1229" w:type="dxa"/>
            <w:vAlign w:val="top"/>
          </w:tcPr>
          <w:p>
            <w:pPr>
              <w:pStyle w:val="45"/>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5"/>
              <w:bidi w:val="0"/>
              <w:rPr>
                <w:rFonts w:hint="eastAsia"/>
                <w:highlight w:val="none"/>
              </w:rPr>
            </w:pPr>
          </w:p>
        </w:tc>
        <w:tc>
          <w:tcPr>
            <w:tcW w:w="923" w:type="dxa"/>
            <w:vAlign w:val="top"/>
          </w:tcPr>
          <w:p>
            <w:pPr>
              <w:pStyle w:val="45"/>
              <w:bidi w:val="0"/>
              <w:rPr>
                <w:rFonts w:hint="eastAsia"/>
              </w:rPr>
            </w:pPr>
          </w:p>
        </w:tc>
        <w:tc>
          <w:tcPr>
            <w:tcW w:w="921" w:type="dxa"/>
            <w:vAlign w:val="top"/>
          </w:tcPr>
          <w:p>
            <w:pPr>
              <w:pStyle w:val="45"/>
              <w:bidi w:val="0"/>
              <w:rPr>
                <w:rFonts w:hint="eastAsia"/>
              </w:rPr>
            </w:pPr>
          </w:p>
        </w:tc>
        <w:tc>
          <w:tcPr>
            <w:tcW w:w="923" w:type="dxa"/>
            <w:vAlign w:val="top"/>
          </w:tcPr>
          <w:p>
            <w:pPr>
              <w:pStyle w:val="45"/>
              <w:bidi w:val="0"/>
              <w:rPr>
                <w:rFonts w:hint="eastAsia"/>
              </w:rPr>
            </w:pPr>
          </w:p>
        </w:tc>
        <w:tc>
          <w:tcPr>
            <w:tcW w:w="922" w:type="dxa"/>
            <w:vAlign w:val="top"/>
          </w:tcPr>
          <w:p>
            <w:pPr>
              <w:pStyle w:val="45"/>
              <w:bidi w:val="0"/>
              <w:rPr>
                <w:rFonts w:hint="eastAsia"/>
              </w:rPr>
            </w:pPr>
          </w:p>
        </w:tc>
        <w:tc>
          <w:tcPr>
            <w:tcW w:w="1436" w:type="dxa"/>
            <w:vAlign w:val="top"/>
          </w:tcPr>
          <w:p>
            <w:pPr>
              <w:pStyle w:val="45"/>
              <w:bidi w:val="0"/>
              <w:rPr>
                <w:rFonts w:hint="eastAsia"/>
              </w:rPr>
            </w:pPr>
          </w:p>
        </w:tc>
        <w:tc>
          <w:tcPr>
            <w:tcW w:w="1022" w:type="dxa"/>
            <w:vAlign w:val="top"/>
          </w:tcPr>
          <w:p>
            <w:pPr>
              <w:pStyle w:val="45"/>
              <w:bidi w:val="0"/>
              <w:rPr>
                <w:rFonts w:hint="eastAsia"/>
              </w:rPr>
            </w:pPr>
          </w:p>
        </w:tc>
        <w:tc>
          <w:tcPr>
            <w:tcW w:w="1232" w:type="dxa"/>
            <w:vAlign w:val="top"/>
          </w:tcPr>
          <w:p>
            <w:pPr>
              <w:pStyle w:val="45"/>
              <w:bidi w:val="0"/>
              <w:rPr>
                <w:rFonts w:hint="eastAsia"/>
              </w:rPr>
            </w:pPr>
          </w:p>
        </w:tc>
        <w:tc>
          <w:tcPr>
            <w:tcW w:w="1229" w:type="dxa"/>
            <w:vAlign w:val="top"/>
          </w:tcPr>
          <w:p>
            <w:pPr>
              <w:pStyle w:val="45"/>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45"/>
              <w:bidi w:val="0"/>
              <w:rPr>
                <w:rFonts w:hint="eastAsia"/>
              </w:rPr>
            </w:pPr>
          </w:p>
        </w:tc>
        <w:tc>
          <w:tcPr>
            <w:tcW w:w="923" w:type="dxa"/>
            <w:vAlign w:val="top"/>
          </w:tcPr>
          <w:p>
            <w:pPr>
              <w:pStyle w:val="45"/>
              <w:bidi w:val="0"/>
              <w:rPr>
                <w:rFonts w:hint="eastAsia"/>
              </w:rPr>
            </w:pPr>
          </w:p>
        </w:tc>
        <w:tc>
          <w:tcPr>
            <w:tcW w:w="921" w:type="dxa"/>
            <w:vAlign w:val="top"/>
          </w:tcPr>
          <w:p>
            <w:pPr>
              <w:pStyle w:val="45"/>
              <w:bidi w:val="0"/>
              <w:rPr>
                <w:rFonts w:hint="eastAsia"/>
              </w:rPr>
            </w:pPr>
          </w:p>
        </w:tc>
        <w:tc>
          <w:tcPr>
            <w:tcW w:w="923" w:type="dxa"/>
            <w:vAlign w:val="top"/>
          </w:tcPr>
          <w:p>
            <w:pPr>
              <w:pStyle w:val="45"/>
              <w:bidi w:val="0"/>
              <w:rPr>
                <w:rFonts w:hint="eastAsia"/>
              </w:rPr>
            </w:pPr>
          </w:p>
        </w:tc>
        <w:tc>
          <w:tcPr>
            <w:tcW w:w="922" w:type="dxa"/>
            <w:vAlign w:val="top"/>
          </w:tcPr>
          <w:p>
            <w:pPr>
              <w:pStyle w:val="45"/>
              <w:bidi w:val="0"/>
              <w:rPr>
                <w:rFonts w:hint="eastAsia"/>
              </w:rPr>
            </w:pPr>
          </w:p>
        </w:tc>
        <w:tc>
          <w:tcPr>
            <w:tcW w:w="1436" w:type="dxa"/>
            <w:vAlign w:val="top"/>
          </w:tcPr>
          <w:p>
            <w:pPr>
              <w:pStyle w:val="45"/>
              <w:bidi w:val="0"/>
              <w:rPr>
                <w:rFonts w:hint="eastAsia"/>
              </w:rPr>
            </w:pPr>
          </w:p>
        </w:tc>
        <w:tc>
          <w:tcPr>
            <w:tcW w:w="1022" w:type="dxa"/>
            <w:vAlign w:val="top"/>
          </w:tcPr>
          <w:p>
            <w:pPr>
              <w:pStyle w:val="45"/>
              <w:bidi w:val="0"/>
              <w:rPr>
                <w:rFonts w:hint="eastAsia"/>
              </w:rPr>
            </w:pPr>
          </w:p>
        </w:tc>
        <w:tc>
          <w:tcPr>
            <w:tcW w:w="1232" w:type="dxa"/>
            <w:vAlign w:val="top"/>
          </w:tcPr>
          <w:p>
            <w:pPr>
              <w:pStyle w:val="45"/>
              <w:bidi w:val="0"/>
              <w:rPr>
                <w:rFonts w:hint="eastAsia"/>
              </w:rPr>
            </w:pPr>
          </w:p>
        </w:tc>
        <w:tc>
          <w:tcPr>
            <w:tcW w:w="1229" w:type="dxa"/>
            <w:vAlign w:val="top"/>
          </w:tcPr>
          <w:p>
            <w:pPr>
              <w:pStyle w:val="45"/>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45"/>
              <w:bidi w:val="0"/>
              <w:rPr>
                <w:rFonts w:hint="eastAsia"/>
              </w:rPr>
            </w:pPr>
          </w:p>
        </w:tc>
        <w:tc>
          <w:tcPr>
            <w:tcW w:w="923" w:type="dxa"/>
            <w:vAlign w:val="top"/>
          </w:tcPr>
          <w:p>
            <w:pPr>
              <w:pStyle w:val="45"/>
              <w:bidi w:val="0"/>
              <w:rPr>
                <w:rFonts w:hint="eastAsia"/>
              </w:rPr>
            </w:pPr>
          </w:p>
        </w:tc>
        <w:tc>
          <w:tcPr>
            <w:tcW w:w="921" w:type="dxa"/>
            <w:vAlign w:val="top"/>
          </w:tcPr>
          <w:p>
            <w:pPr>
              <w:pStyle w:val="45"/>
              <w:bidi w:val="0"/>
              <w:rPr>
                <w:rFonts w:hint="eastAsia"/>
              </w:rPr>
            </w:pPr>
          </w:p>
        </w:tc>
        <w:tc>
          <w:tcPr>
            <w:tcW w:w="923" w:type="dxa"/>
            <w:vAlign w:val="top"/>
          </w:tcPr>
          <w:p>
            <w:pPr>
              <w:pStyle w:val="45"/>
              <w:bidi w:val="0"/>
              <w:rPr>
                <w:rFonts w:hint="eastAsia"/>
              </w:rPr>
            </w:pPr>
          </w:p>
        </w:tc>
        <w:tc>
          <w:tcPr>
            <w:tcW w:w="922" w:type="dxa"/>
            <w:vAlign w:val="top"/>
          </w:tcPr>
          <w:p>
            <w:pPr>
              <w:pStyle w:val="45"/>
              <w:bidi w:val="0"/>
              <w:rPr>
                <w:rFonts w:hint="eastAsia"/>
              </w:rPr>
            </w:pPr>
          </w:p>
        </w:tc>
        <w:tc>
          <w:tcPr>
            <w:tcW w:w="1436" w:type="dxa"/>
            <w:vAlign w:val="top"/>
          </w:tcPr>
          <w:p>
            <w:pPr>
              <w:pStyle w:val="45"/>
              <w:bidi w:val="0"/>
              <w:rPr>
                <w:rFonts w:hint="eastAsia"/>
              </w:rPr>
            </w:pPr>
          </w:p>
        </w:tc>
        <w:tc>
          <w:tcPr>
            <w:tcW w:w="1022" w:type="dxa"/>
            <w:vAlign w:val="top"/>
          </w:tcPr>
          <w:p>
            <w:pPr>
              <w:pStyle w:val="45"/>
              <w:bidi w:val="0"/>
              <w:rPr>
                <w:rFonts w:hint="eastAsia"/>
              </w:rPr>
            </w:pPr>
          </w:p>
        </w:tc>
        <w:tc>
          <w:tcPr>
            <w:tcW w:w="1232" w:type="dxa"/>
            <w:vAlign w:val="top"/>
          </w:tcPr>
          <w:p>
            <w:pPr>
              <w:pStyle w:val="45"/>
              <w:bidi w:val="0"/>
              <w:rPr>
                <w:rFonts w:hint="eastAsia"/>
              </w:rPr>
            </w:pPr>
          </w:p>
        </w:tc>
        <w:tc>
          <w:tcPr>
            <w:tcW w:w="1229" w:type="dxa"/>
            <w:vAlign w:val="top"/>
          </w:tcPr>
          <w:p>
            <w:pPr>
              <w:pStyle w:val="45"/>
              <w:bidi w:val="0"/>
              <w:rPr>
                <w:rFonts w:hint="eastAsia"/>
              </w:rPr>
            </w:pPr>
          </w:p>
        </w:tc>
      </w:tr>
    </w:tbl>
    <w:p>
      <w:pPr>
        <w:pStyle w:val="47"/>
        <w:bidi w:val="0"/>
        <w:rPr>
          <w:rFonts w:hint="default" w:eastAsia="宋体"/>
          <w:lang w:val="en-US" w:eastAsia="zh-CN"/>
        </w:rPr>
      </w:pPr>
      <w:r>
        <w:rPr>
          <w:rFonts w:hint="eastAsia"/>
        </w:rPr>
        <w:t>注：</w:t>
      </w:r>
      <w:r>
        <w:rPr>
          <w:rFonts w:hint="eastAsia"/>
          <w:lang w:val="en-US" w:eastAsia="zh-CN"/>
        </w:rPr>
        <w:t>①投标人</w:t>
      </w:r>
      <w:r>
        <w:rPr>
          <w:rFonts w:hint="eastAsia"/>
        </w:rPr>
        <w:t>根</w:t>
      </w:r>
      <w:r>
        <w:rPr>
          <w:rFonts w:hint="eastAsia"/>
          <w:sz w:val="24"/>
          <w:szCs w:val="24"/>
        </w:rPr>
        <w:t>据</w:t>
      </w:r>
      <w:r>
        <w:rPr>
          <w:rFonts w:hint="eastAsia"/>
          <w:sz w:val="24"/>
          <w:szCs w:val="24"/>
          <w:lang w:val="en-US" w:eastAsia="zh-CN"/>
        </w:rPr>
        <w:t>自身</w:t>
      </w:r>
      <w:r>
        <w:rPr>
          <w:rFonts w:hint="eastAsia"/>
          <w:sz w:val="24"/>
          <w:szCs w:val="24"/>
        </w:rPr>
        <w:t>实际情况</w:t>
      </w:r>
      <w:r>
        <w:rPr>
          <w:rFonts w:hint="eastAsia"/>
          <w:sz w:val="24"/>
          <w:szCs w:val="24"/>
          <w:lang w:val="en-US" w:eastAsia="zh-CN"/>
        </w:rPr>
        <w:t>填写</w:t>
      </w:r>
      <w:r>
        <w:rPr>
          <w:rFonts w:hint="eastAsia"/>
          <w:sz w:val="24"/>
          <w:szCs w:val="24"/>
        </w:rPr>
        <w:t>，</w:t>
      </w:r>
      <w:r>
        <w:rPr>
          <w:rFonts w:hint="eastAsia"/>
          <w:sz w:val="24"/>
          <w:szCs w:val="24"/>
          <w:lang w:val="en-US" w:eastAsia="zh-CN"/>
        </w:rPr>
        <w:t>对不涉及的内容可填写“/”</w:t>
      </w:r>
      <w:r>
        <w:rPr>
          <w:rFonts w:hint="eastAsia"/>
          <w:sz w:val="24"/>
          <w:szCs w:val="24"/>
        </w:rPr>
        <w:t>。</w:t>
      </w:r>
      <w:r>
        <w:rPr>
          <w:rFonts w:hint="eastAsia"/>
          <w:sz w:val="24"/>
          <w:szCs w:val="24"/>
          <w:lang w:val="en-US" w:eastAsia="zh-CN"/>
        </w:rPr>
        <w:t>②本表所列项目管理成员信息将作为主管部门监督管理是否属于</w:t>
      </w:r>
      <w:r>
        <w:rPr>
          <w:rFonts w:hint="eastAsia"/>
          <w:sz w:val="24"/>
          <w:szCs w:val="24"/>
        </w:rPr>
        <w:t>串通投标</w:t>
      </w:r>
      <w:r>
        <w:rPr>
          <w:rFonts w:hint="eastAsia"/>
          <w:sz w:val="24"/>
          <w:szCs w:val="24"/>
          <w:lang w:val="en-US" w:eastAsia="zh-CN"/>
        </w:rPr>
        <w:t>的情形。</w:t>
      </w:r>
    </w:p>
    <w:p>
      <w:pPr>
        <w:pStyle w:val="42"/>
        <w:bidi w:val="0"/>
        <w:rPr>
          <w:rFonts w:hint="eastAsia"/>
        </w:rPr>
      </w:pPr>
    </w:p>
    <w:p>
      <w:pPr>
        <w:pStyle w:val="42"/>
        <w:bidi w:val="0"/>
        <w:rPr>
          <w:rFonts w:hint="eastAsia"/>
        </w:rPr>
      </w:pPr>
    </w:p>
    <w:p>
      <w:pPr>
        <w:pStyle w:val="46"/>
        <w:bidi w:val="0"/>
        <w:rPr>
          <w:rFonts w:hint="eastAsia"/>
        </w:rPr>
      </w:pPr>
      <w:r>
        <w:rPr>
          <w:rFonts w:hint="eastAsia"/>
          <w:lang w:val="en-US" w:eastAsia="zh-CN"/>
        </w:rPr>
        <w:t>投标人</w:t>
      </w:r>
      <w:r>
        <w:rPr>
          <w:rFonts w:hint="eastAsia"/>
        </w:rPr>
        <w:t>名称：</w:t>
      </w:r>
      <w:r>
        <w:rPr>
          <w:rFonts w:hint="eastAsia" w:asciiTheme="minorEastAsia" w:hAnsiTheme="minorEastAsia" w:eastAsiaTheme="minorEastAsia" w:cstheme="minorEastAsia"/>
          <w:color w:val="auto"/>
          <w:sz w:val="24"/>
          <w:highlight w:val="none"/>
          <w:u w:val="single"/>
          <w:lang w:val="en-US" w:eastAsia="zh-CN"/>
        </w:rPr>
        <w:t xml:space="preserve">            </w:t>
      </w:r>
    </w:p>
    <w:p>
      <w:pPr>
        <w:pStyle w:val="46"/>
        <w:bidi w:val="0"/>
        <w:rPr>
          <w:rFonts w:hint="eastAsia"/>
        </w:rPr>
      </w:pPr>
      <w:r>
        <w:rPr>
          <w:rFonts w:hint="eastAsia"/>
          <w:lang w:val="en-US" w:eastAsia="zh-CN"/>
        </w:rPr>
        <w:t>投标</w:t>
      </w:r>
      <w:r>
        <w:rPr>
          <w:rFonts w:hint="eastAsia"/>
        </w:rPr>
        <w:t>日期</w:t>
      </w:r>
      <w:r>
        <w:rPr>
          <w:rFonts w:hint="eastAsia"/>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rPr>
        <w:t xml:space="preserve">    </w:t>
      </w:r>
      <w:r>
        <w:rPr>
          <w:rFonts w:hint="eastAsia"/>
          <w:lang w:val="en-US" w:eastAsia="zh-CN"/>
        </w:rPr>
        <w:t xml:space="preserve">          </w:t>
      </w:r>
      <w:r>
        <w:rPr>
          <w:rFonts w:hint="eastAsia"/>
        </w:rPr>
        <w:t xml:space="preserve">   </w:t>
      </w:r>
    </w:p>
    <w:p>
      <w:pPr>
        <w:pStyle w:val="42"/>
        <w:bidi w:val="0"/>
        <w:rPr>
          <w:rFonts w:hint="eastAsia"/>
          <w:lang w:val="en-US" w:eastAsia="zh-CN"/>
        </w:rPr>
      </w:pPr>
      <w:r>
        <w:rPr>
          <w:rFonts w:hint="eastAsia"/>
          <w:lang w:val="en-US" w:eastAsia="zh-CN"/>
        </w:rPr>
        <w:br w:type="page"/>
      </w:r>
      <w:bookmarkEnd w:id="900"/>
    </w:p>
    <w:bookmarkEnd w:id="901"/>
    <w:bookmarkEnd w:id="902"/>
    <w:bookmarkEnd w:id="903"/>
    <w:p>
      <w:pPr>
        <w:keepNext w:val="0"/>
        <w:keepLines w:val="0"/>
        <w:pageBreakBefore w:val="0"/>
        <w:widowControl w:val="0"/>
        <w:numPr>
          <w:ilvl w:val="0"/>
          <w:numId w:val="20"/>
        </w:numPr>
        <w:kinsoku/>
        <w:wordWrap/>
        <w:overflowPunct/>
        <w:topLinePunct w:val="0"/>
        <w:autoSpaceDE/>
        <w:autoSpaceDN/>
        <w:bidi w:val="0"/>
        <w:adjustRightInd w:val="0"/>
        <w:snapToGrid w:val="0"/>
        <w:ind w:left="0" w:leftChars="0" w:firstLine="0" w:firstLineChars="0"/>
        <w:jc w:val="center"/>
        <w:textAlignment w:val="auto"/>
        <w:outlineLvl w:val="2"/>
        <w:rPr>
          <w:rFonts w:hint="eastAsia" w:ascii="宋体" w:hAnsi="宋体" w:eastAsia="宋体" w:cstheme="minorBidi"/>
          <w:b/>
          <w:snapToGrid w:val="0"/>
          <w:kern w:val="2"/>
          <w:sz w:val="28"/>
          <w:szCs w:val="24"/>
          <w:lang w:val="zh-CN" w:eastAsia="zh-CN" w:bidi="ar-SA"/>
        </w:rPr>
      </w:pPr>
      <w:bookmarkStart w:id="904" w:name="_Toc16209"/>
      <w:bookmarkStart w:id="905" w:name="_Toc16092"/>
      <w:bookmarkStart w:id="906" w:name="_Toc20002"/>
      <w:bookmarkStart w:id="907" w:name="_Toc881"/>
      <w:bookmarkStart w:id="908" w:name="_Toc18724"/>
      <w:r>
        <w:rPr>
          <w:rFonts w:hint="eastAsia" w:ascii="宋体" w:hAnsi="宋体" w:eastAsia="宋体" w:cstheme="minorBidi"/>
          <w:b/>
          <w:snapToGrid w:val="0"/>
          <w:kern w:val="2"/>
          <w:sz w:val="28"/>
          <w:szCs w:val="24"/>
          <w:lang w:val="zh-CN" w:eastAsia="zh-CN" w:bidi="ar-SA"/>
        </w:rPr>
        <w:t>小微企业、监狱企业、残疾人福利性单位价格扣除</w:t>
      </w:r>
      <w:bookmarkStart w:id="909" w:name="_Toc2234"/>
      <w:r>
        <w:rPr>
          <w:rFonts w:hint="eastAsia" w:cstheme="minorBidi"/>
          <w:b/>
          <w:snapToGrid w:val="0"/>
          <w:kern w:val="2"/>
          <w:sz w:val="28"/>
          <w:szCs w:val="24"/>
          <w:lang w:val="en-US" w:eastAsia="zh-CN" w:bidi="ar-SA"/>
        </w:rPr>
        <w:t>政策材料</w:t>
      </w:r>
      <w:bookmarkEnd w:id="904"/>
    </w:p>
    <w:p>
      <w:pPr>
        <w:numPr>
          <w:ilvl w:val="0"/>
          <w:numId w:val="0"/>
        </w:numPr>
        <w:ind w:leftChars="0" w:firstLine="3840" w:firstLineChars="1600"/>
        <w:jc w:val="both"/>
        <w:rPr>
          <w:rFonts w:hint="eastAsia" w:cs="宋体" w:asciiTheme="minorEastAsia" w:hAnsiTheme="minorEastAsia" w:eastAsiaTheme="minorEastAsia"/>
          <w:color w:val="auto"/>
          <w:highlight w:val="none"/>
          <w:lang w:val="en-US" w:eastAsia="zh-CN"/>
        </w:rPr>
      </w:pPr>
    </w:p>
    <w:p>
      <w:pPr>
        <w:numPr>
          <w:ilvl w:val="0"/>
          <w:numId w:val="0"/>
        </w:numPr>
        <w:ind w:leftChars="0" w:firstLine="3855" w:firstLineChars="1600"/>
        <w:jc w:val="both"/>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lang w:val="en-US" w:eastAsia="zh-CN"/>
        </w:rPr>
        <w:t>(一)</w:t>
      </w:r>
      <w:r>
        <w:rPr>
          <w:rFonts w:hint="eastAsia" w:cs="宋体" w:asciiTheme="minorEastAsia" w:hAnsiTheme="minorEastAsia" w:eastAsiaTheme="minorEastAsia"/>
          <w:b/>
          <w:bCs/>
          <w:color w:val="auto"/>
          <w:highlight w:val="none"/>
        </w:rPr>
        <w:t>中小企业声明函</w:t>
      </w:r>
      <w:bookmarkEnd w:id="909"/>
      <w:r>
        <w:rPr>
          <w:rFonts w:hint="eastAsia" w:cs="宋体" w:asciiTheme="minorEastAsia" w:hAnsiTheme="minorEastAsia" w:eastAsiaTheme="minorEastAsia"/>
          <w:b/>
          <w:bCs/>
          <w:color w:val="auto"/>
          <w:highlight w:val="none"/>
          <w:lang w:val="en-US" w:eastAsia="zh-CN"/>
        </w:rPr>
        <w:t>(如涉及)</w:t>
      </w:r>
    </w:p>
    <w:p>
      <w:pPr>
        <w:pStyle w:val="47"/>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color w:val="auto"/>
          <w:highlight w:val="none"/>
        </w:rPr>
        <w:t>本公司</w:t>
      </w:r>
      <w:r>
        <w:rPr>
          <w:rFonts w:hint="eastAsia" w:cs="宋体" w:asciiTheme="minorEastAsia" w:hAnsiTheme="minorEastAsia" w:eastAsiaTheme="minorEastAsia"/>
          <w:b w:val="0"/>
          <w:bCs/>
          <w:i/>
          <w:iCs/>
          <w:color w:val="auto"/>
          <w:highlight w:val="none"/>
          <w:u w:val="single"/>
        </w:rPr>
        <w:t xml:space="preserve">    </w:t>
      </w:r>
      <w:r>
        <w:rPr>
          <w:rFonts w:hint="eastAsia" w:cs="宋体" w:asciiTheme="minorEastAsia" w:hAnsiTheme="minorEastAsia" w:eastAsiaTheme="minorEastAsia"/>
          <w:b w:val="0"/>
          <w:bCs/>
          <w:color w:val="auto"/>
          <w:highlight w:val="none"/>
        </w:rPr>
        <w:t>郑重声明，根据《政府采购促进中小企业发展管理办法》(财库﹝2020﹞46号)的规定，本公司</w:t>
      </w:r>
      <w:r>
        <w:rPr>
          <w:rFonts w:hint="eastAsia" w:cs="宋体" w:asciiTheme="minorEastAsia" w:hAnsiTheme="minorEastAsia" w:eastAsiaTheme="minorEastAsia"/>
          <w:b w:val="0"/>
          <w:bCs/>
          <w:i/>
          <w:iCs/>
          <w:color w:val="auto"/>
          <w:highlight w:val="none"/>
          <w:u w:val="single"/>
        </w:rPr>
        <w:t xml:space="preserve">      </w:t>
      </w:r>
      <w:r>
        <w:rPr>
          <w:rFonts w:hint="eastAsia" w:cs="宋体" w:asciiTheme="minorEastAsia" w:hAnsiTheme="minorEastAsia" w:eastAsiaTheme="minorEastAsia"/>
          <w:b w:val="0"/>
          <w:bCs/>
          <w:color w:val="auto"/>
          <w:highlight w:val="none"/>
        </w:rPr>
        <w:t>参加</w:t>
      </w:r>
      <w:r>
        <w:rPr>
          <w:rFonts w:hint="eastAsia" w:cs="宋体" w:asciiTheme="minorEastAsia" w:hAnsiTheme="minorEastAsia" w:eastAsiaTheme="minorEastAsia"/>
          <w:b w:val="0"/>
          <w:bCs/>
          <w:i/>
          <w:iCs/>
          <w:color w:val="auto"/>
          <w:highlight w:val="none"/>
          <w:u w:val="single"/>
        </w:rPr>
        <w:t>(单位名称)</w:t>
      </w:r>
      <w:r>
        <w:rPr>
          <w:rFonts w:hint="eastAsia" w:cs="宋体" w:asciiTheme="minorEastAsia" w:hAnsiTheme="minorEastAsia" w:eastAsiaTheme="minorEastAsia"/>
          <w:b w:val="0"/>
          <w:bCs/>
          <w:color w:val="auto"/>
          <w:highlight w:val="none"/>
        </w:rPr>
        <w:t>的</w:t>
      </w:r>
      <w:r>
        <w:rPr>
          <w:rFonts w:hint="eastAsia" w:cs="宋体" w:asciiTheme="minorEastAsia" w:hAnsiTheme="minorEastAsia" w:eastAsiaTheme="minorEastAsia"/>
          <w:b w:val="0"/>
          <w:bCs/>
          <w:i/>
          <w:iCs/>
          <w:color w:val="auto"/>
          <w:highlight w:val="none"/>
          <w:u w:val="single"/>
        </w:rPr>
        <w:t>(项目名称)</w:t>
      </w:r>
      <w:r>
        <w:rPr>
          <w:rFonts w:hint="eastAsia" w:cs="宋体" w:asciiTheme="minorEastAsia" w:hAnsiTheme="minorEastAsia" w:eastAsiaTheme="minorEastAsia"/>
          <w:b w:val="0"/>
          <w:bCs/>
          <w:color w:val="auto"/>
          <w:highlight w:val="none"/>
        </w:rPr>
        <w:t>采购活动，服务全部由符合政策要求的中小企业承接。相关企业(含联合体中的中小企业、签订分包意向协议的中小企业)的具体情况如下：</w:t>
      </w:r>
    </w:p>
    <w:p>
      <w:pPr>
        <w:pStyle w:val="47"/>
        <w:rPr>
          <w:rFonts w:cs="宋体" w:asciiTheme="minorEastAsia" w:hAnsiTheme="minorEastAsia" w:eastAsiaTheme="minorEastAsia"/>
          <w:b w:val="0"/>
          <w:bCs/>
          <w:i/>
          <w:iCs/>
          <w:color w:val="auto"/>
          <w:highlight w:val="none"/>
          <w:u w:val="single"/>
        </w:rPr>
      </w:pPr>
      <w:r>
        <w:rPr>
          <w:rFonts w:hint="eastAsia" w:cs="宋体" w:asciiTheme="minorEastAsia" w:hAnsiTheme="minorEastAsia" w:eastAsiaTheme="minorEastAsia"/>
          <w:b w:val="0"/>
          <w:bCs/>
          <w:i/>
          <w:iCs/>
          <w:color w:val="auto"/>
          <w:highlight w:val="none"/>
          <w:u w:val="single"/>
        </w:rPr>
        <w:t>(标的名称)</w:t>
      </w:r>
      <w:r>
        <w:rPr>
          <w:rFonts w:hint="eastAsia" w:cs="宋体" w:asciiTheme="minorEastAsia" w:hAnsiTheme="minorEastAsia" w:eastAsiaTheme="minorEastAsia"/>
          <w:b w:val="0"/>
          <w:bCs/>
          <w:color w:val="auto"/>
          <w:highlight w:val="none"/>
        </w:rPr>
        <w:t>，属于</w:t>
      </w:r>
      <w:r>
        <w:rPr>
          <w:rFonts w:hint="eastAsia" w:cs="宋体" w:asciiTheme="minorEastAsia" w:hAnsiTheme="minorEastAsia" w:eastAsiaTheme="minorEastAsia"/>
          <w:b w:val="0"/>
          <w:bCs/>
          <w:i/>
          <w:iCs/>
          <w:color w:val="auto"/>
          <w:highlight w:val="none"/>
          <w:u w:val="single"/>
        </w:rPr>
        <w:t>(采购文件中明确的所属行业)</w:t>
      </w:r>
      <w:r>
        <w:rPr>
          <w:rFonts w:hint="eastAsia" w:cs="宋体" w:asciiTheme="minorEastAsia" w:hAnsiTheme="minorEastAsia" w:eastAsiaTheme="minorEastAsia"/>
          <w:b w:val="0"/>
          <w:bCs/>
          <w:color w:val="auto"/>
          <w:highlight w:val="none"/>
        </w:rPr>
        <w:t>；承接企业为</w:t>
      </w:r>
      <w:r>
        <w:rPr>
          <w:rFonts w:hint="eastAsia" w:cs="宋体" w:asciiTheme="minorEastAsia" w:hAnsiTheme="minorEastAsia" w:eastAsiaTheme="minorEastAsia"/>
          <w:b w:val="0"/>
          <w:bCs/>
          <w:i/>
          <w:iCs/>
          <w:color w:val="auto"/>
          <w:highlight w:val="none"/>
          <w:u w:val="single"/>
        </w:rPr>
        <w:t>(企业名称)</w:t>
      </w:r>
      <w:r>
        <w:rPr>
          <w:rFonts w:hint="eastAsia" w:cs="宋体" w:asciiTheme="minorEastAsia" w:hAnsiTheme="minorEastAsia" w:eastAsiaTheme="minorEastAsia"/>
          <w:b w:val="0"/>
          <w:bCs/>
          <w:color w:val="auto"/>
          <w:highlight w:val="none"/>
        </w:rPr>
        <w:t>，从业人员</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人，营业收入为</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ab/>
      </w:r>
      <w:r>
        <w:rPr>
          <w:rFonts w:hint="eastAsia" w:cs="宋体" w:asciiTheme="minorEastAsia" w:hAnsiTheme="minorEastAsia" w:eastAsiaTheme="minorEastAsia"/>
          <w:b w:val="0"/>
          <w:bCs/>
          <w:color w:val="auto"/>
          <w:highlight w:val="none"/>
        </w:rPr>
        <w:t>万元，资产总额为</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万元，属于</w:t>
      </w:r>
      <w:r>
        <w:rPr>
          <w:rFonts w:hint="eastAsia" w:cs="宋体" w:asciiTheme="minorEastAsia" w:hAnsiTheme="minorEastAsia" w:eastAsiaTheme="minorEastAsia"/>
          <w:b w:val="0"/>
          <w:bCs/>
          <w:i/>
          <w:iCs/>
          <w:color w:val="auto"/>
          <w:highlight w:val="none"/>
          <w:u w:val="single"/>
        </w:rPr>
        <w:t>(中型企业、小型企业、微型企业)；</w:t>
      </w:r>
    </w:p>
    <w:p>
      <w:pPr>
        <w:pStyle w:val="47"/>
        <w:rPr>
          <w:rFonts w:cs="宋体" w:asciiTheme="minorEastAsia" w:hAnsiTheme="minorEastAsia" w:eastAsiaTheme="minorEastAsia"/>
          <w:b w:val="0"/>
          <w:bCs/>
          <w:i/>
          <w:iCs/>
          <w:color w:val="auto"/>
          <w:highlight w:val="none"/>
          <w:u w:val="single"/>
        </w:rPr>
      </w:pPr>
      <w:r>
        <w:rPr>
          <w:rFonts w:hint="eastAsia" w:cs="宋体" w:asciiTheme="minorEastAsia" w:hAnsiTheme="minorEastAsia" w:eastAsiaTheme="minorEastAsia"/>
          <w:b w:val="0"/>
          <w:bCs/>
          <w:i/>
          <w:iCs/>
          <w:color w:val="auto"/>
          <w:highlight w:val="none"/>
          <w:u w:val="single"/>
        </w:rPr>
        <w:t>(标的名称)</w:t>
      </w:r>
      <w:r>
        <w:rPr>
          <w:rFonts w:hint="eastAsia" w:cs="宋体" w:asciiTheme="minorEastAsia" w:hAnsiTheme="minorEastAsia" w:eastAsiaTheme="minorEastAsia"/>
          <w:b w:val="0"/>
          <w:bCs/>
          <w:color w:val="auto"/>
          <w:highlight w:val="none"/>
        </w:rPr>
        <w:t>，属于</w:t>
      </w:r>
      <w:r>
        <w:rPr>
          <w:rFonts w:hint="eastAsia" w:cs="宋体" w:asciiTheme="minorEastAsia" w:hAnsiTheme="minorEastAsia" w:eastAsiaTheme="minorEastAsia"/>
          <w:b w:val="0"/>
          <w:bCs/>
          <w:i/>
          <w:iCs/>
          <w:color w:val="auto"/>
          <w:highlight w:val="none"/>
          <w:u w:val="single"/>
        </w:rPr>
        <w:t>(采购文件中明确的所属行业)</w:t>
      </w:r>
      <w:r>
        <w:rPr>
          <w:rFonts w:hint="eastAsia" w:cs="宋体" w:asciiTheme="minorEastAsia" w:hAnsiTheme="minorEastAsia" w:eastAsiaTheme="minorEastAsia"/>
          <w:b w:val="0"/>
          <w:bCs/>
          <w:color w:val="auto"/>
          <w:highlight w:val="none"/>
        </w:rPr>
        <w:t>；承接企业为</w:t>
      </w:r>
      <w:r>
        <w:rPr>
          <w:rFonts w:hint="eastAsia" w:cs="宋体" w:asciiTheme="minorEastAsia" w:hAnsiTheme="minorEastAsia" w:eastAsiaTheme="minorEastAsia"/>
          <w:b w:val="0"/>
          <w:bCs/>
          <w:i/>
          <w:iCs/>
          <w:color w:val="auto"/>
          <w:highlight w:val="none"/>
          <w:u w:val="single"/>
        </w:rPr>
        <w:t>(企业名称)</w:t>
      </w:r>
      <w:r>
        <w:rPr>
          <w:rFonts w:hint="eastAsia" w:cs="宋体" w:asciiTheme="minorEastAsia" w:hAnsiTheme="minorEastAsia" w:eastAsiaTheme="minorEastAsia"/>
          <w:b w:val="0"/>
          <w:bCs/>
          <w:color w:val="auto"/>
          <w:highlight w:val="none"/>
        </w:rPr>
        <w:t>，从业人员</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ab/>
      </w:r>
      <w:r>
        <w:rPr>
          <w:rFonts w:hint="eastAsia" w:cs="宋体" w:asciiTheme="minorEastAsia" w:hAnsiTheme="minorEastAsia" w:eastAsiaTheme="minorEastAsia"/>
          <w:b w:val="0"/>
          <w:bCs/>
          <w:color w:val="auto"/>
          <w:highlight w:val="none"/>
        </w:rPr>
        <w:t>人，营业收入为</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ab/>
      </w:r>
      <w:r>
        <w:rPr>
          <w:rFonts w:hint="eastAsia" w:cs="宋体" w:asciiTheme="minorEastAsia" w:hAnsiTheme="minorEastAsia" w:eastAsiaTheme="minorEastAsia"/>
          <w:b w:val="0"/>
          <w:bCs/>
          <w:color w:val="auto"/>
          <w:highlight w:val="none"/>
        </w:rPr>
        <w:t>万元，资产总额为</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ab/>
      </w:r>
      <w:r>
        <w:rPr>
          <w:rFonts w:hint="eastAsia" w:cs="宋体" w:asciiTheme="minorEastAsia" w:hAnsiTheme="minorEastAsia" w:eastAsiaTheme="minorEastAsia"/>
          <w:b w:val="0"/>
          <w:bCs/>
          <w:color w:val="auto"/>
          <w:highlight w:val="none"/>
        </w:rPr>
        <w:t>万元，属于</w:t>
      </w:r>
      <w:r>
        <w:rPr>
          <w:rFonts w:hint="eastAsia" w:cs="宋体" w:asciiTheme="minorEastAsia" w:hAnsiTheme="minorEastAsia" w:eastAsiaTheme="minorEastAsia"/>
          <w:b w:val="0"/>
          <w:bCs/>
          <w:i/>
          <w:iCs/>
          <w:color w:val="auto"/>
          <w:highlight w:val="none"/>
          <w:u w:val="single"/>
        </w:rPr>
        <w:t>(中型企业、小型企业、微型企业)；</w:t>
      </w:r>
    </w:p>
    <w:p>
      <w:pPr>
        <w:pStyle w:val="47"/>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color w:val="auto"/>
          <w:highlight w:val="none"/>
        </w:rPr>
        <w:t>……</w:t>
      </w:r>
    </w:p>
    <w:p>
      <w:pPr>
        <w:pStyle w:val="47"/>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color w:val="auto"/>
          <w:highlight w:val="none"/>
        </w:rPr>
        <w:t>以上企业，不属于大企业的分支机构，不存在控股股东为大企业的情形，也不存在与大企业的负责人为同一人的情形。</w:t>
      </w:r>
    </w:p>
    <w:p>
      <w:pPr>
        <w:pStyle w:val="47"/>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color w:val="auto"/>
          <w:highlight w:val="none"/>
        </w:rPr>
        <w:t>本企业对上述声明内容的真实性负责。如有虚假，将依法承担相应责任。</w:t>
      </w:r>
    </w:p>
    <w:p>
      <w:pPr>
        <w:pStyle w:val="42"/>
        <w:rPr>
          <w:rFonts w:cs="宋体" w:asciiTheme="minorEastAsia" w:hAnsiTheme="minorEastAsia" w:eastAsiaTheme="minorEastAsia"/>
          <w:color w:val="auto"/>
          <w:highlight w:val="none"/>
        </w:rPr>
      </w:pPr>
    </w:p>
    <w:p>
      <w:pPr>
        <w:pStyle w:val="42"/>
        <w:rPr>
          <w:rFonts w:cs="宋体" w:asciiTheme="minorEastAsia" w:hAnsiTheme="minorEastAsia" w:eastAsiaTheme="minorEastAsia"/>
          <w:color w:val="auto"/>
          <w:highlight w:val="none"/>
        </w:rPr>
      </w:pPr>
    </w:p>
    <w:p>
      <w:pPr>
        <w:pStyle w:val="42"/>
        <w:ind w:left="4800" w:leftChars="2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企业名称：</w:t>
      </w:r>
      <w:r>
        <w:rPr>
          <w:rFonts w:hint="eastAsia" w:cs="宋体" w:asciiTheme="minorEastAsia" w:hAnsiTheme="minorEastAsia" w:eastAsiaTheme="minorEastAsia"/>
          <w:color w:val="auto"/>
          <w:highlight w:val="none"/>
          <w:u w:val="single"/>
        </w:rPr>
        <w:t xml:space="preserve">        </w:t>
      </w:r>
    </w:p>
    <w:p>
      <w:pPr>
        <w:pStyle w:val="42"/>
        <w:ind w:left="4800" w:leftChars="2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日期：</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47"/>
        <w:ind w:firstLine="482"/>
        <w:rPr>
          <w:rFonts w:cs="宋体" w:asciiTheme="minorEastAsia" w:hAnsiTheme="minorEastAsia" w:eastAsiaTheme="minorEastAsia"/>
          <w:color w:val="auto"/>
          <w:highlight w:val="none"/>
        </w:rPr>
      </w:pPr>
    </w:p>
    <w:p>
      <w:pPr>
        <w:pStyle w:val="47"/>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注：从业人员、营业收入、资产总额填报上一年度数据，无上一年度数据的新成立企业可不填报。</w:t>
      </w:r>
    </w:p>
    <w:p>
      <w:pPr>
        <w:pStyle w:val="44"/>
        <w:keepNext w:val="0"/>
        <w:keepLines w:val="0"/>
        <w:pageBreakBefore/>
        <w:widowControl w:val="0"/>
        <w:numPr>
          <w:ilvl w:val="0"/>
          <w:numId w:val="0"/>
        </w:numPr>
        <w:kinsoku/>
        <w:wordWrap w:val="0"/>
        <w:overflowPunct/>
        <w:topLinePunct/>
        <w:autoSpaceDE/>
        <w:autoSpaceDN/>
        <w:bidi w:val="0"/>
        <w:adjustRightInd w:val="0"/>
        <w:snapToGrid w:val="0"/>
        <w:spacing w:before="120" w:after="120"/>
        <w:ind w:leftChars="0"/>
        <w:jc w:val="center"/>
        <w:textAlignment w:val="auto"/>
        <w:outlineLvl w:val="9"/>
        <w:rPr>
          <w:rFonts w:hint="default" w:cs="宋体" w:asciiTheme="minorEastAsia" w:hAnsiTheme="minorEastAsia" w:eastAsiaTheme="minorEastAsia"/>
          <w:color w:val="auto"/>
          <w:highlight w:val="none"/>
          <w:lang w:val="en-US" w:eastAsia="zh-CN"/>
        </w:rPr>
      </w:pPr>
      <w:bookmarkStart w:id="910" w:name="_Toc7569"/>
      <w:bookmarkStart w:id="911" w:name="_Toc14294"/>
      <w:r>
        <w:rPr>
          <w:rFonts w:hint="eastAsia" w:cs="宋体" w:asciiTheme="minorEastAsia" w:hAnsiTheme="minorEastAsia" w:eastAsiaTheme="minorEastAsia"/>
          <w:color w:val="auto"/>
          <w:highlight w:val="none"/>
          <w:lang w:val="en-US" w:eastAsia="zh-CN"/>
        </w:rPr>
        <w:t>(二)监狱企业相关证明材料</w:t>
      </w:r>
      <w:bookmarkEnd w:id="910"/>
      <w:r>
        <w:rPr>
          <w:rFonts w:hint="eastAsia" w:cs="宋体" w:asciiTheme="minorEastAsia" w:hAnsiTheme="minorEastAsia" w:eastAsiaTheme="minorEastAsia"/>
          <w:color w:val="auto"/>
          <w:highlight w:val="none"/>
          <w:lang w:val="en-US" w:eastAsia="zh-CN"/>
        </w:rPr>
        <w:t>(如涉及)</w:t>
      </w:r>
      <w:bookmarkEnd w:id="911"/>
    </w:p>
    <w:p>
      <w:pPr>
        <w:pStyle w:val="47"/>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说明：</w:t>
      </w:r>
    </w:p>
    <w:p>
      <w:pPr>
        <w:pStyle w:val="47"/>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①监狱企业参加政府采购活动时，应当提供由省级以上监狱管理局、戒毒管理局(含新疆生产建设兵团)出具的属于监狱企业的证明文件，否则将被视为无效投标。</w:t>
      </w:r>
      <w:r>
        <w:rPr>
          <w:rFonts w:hint="eastAsia" w:cs="宋体" w:asciiTheme="minorEastAsia" w:hAnsiTheme="minorEastAsia" w:eastAsiaTheme="minorEastAsia"/>
          <w:color w:val="auto"/>
          <w:highlight w:val="none"/>
        </w:rPr>
        <w:br w:type="page"/>
      </w:r>
    </w:p>
    <w:p>
      <w:pPr>
        <w:pStyle w:val="44"/>
        <w:keepNext w:val="0"/>
        <w:keepLines w:val="0"/>
        <w:pageBreakBefore/>
        <w:widowControl w:val="0"/>
        <w:numPr>
          <w:ilvl w:val="0"/>
          <w:numId w:val="0"/>
        </w:numPr>
        <w:kinsoku/>
        <w:wordWrap w:val="0"/>
        <w:overflowPunct/>
        <w:topLinePunct/>
        <w:autoSpaceDE/>
        <w:autoSpaceDN/>
        <w:bidi w:val="0"/>
        <w:adjustRightInd w:val="0"/>
        <w:snapToGrid w:val="0"/>
        <w:spacing w:before="120" w:after="120"/>
        <w:ind w:leftChars="0"/>
        <w:jc w:val="center"/>
        <w:textAlignment w:val="auto"/>
        <w:outlineLvl w:val="9"/>
        <w:rPr>
          <w:rFonts w:hint="eastAsia" w:cs="宋体" w:asciiTheme="minorEastAsia" w:hAnsiTheme="minorEastAsia" w:eastAsiaTheme="minorEastAsia"/>
          <w:color w:val="auto"/>
          <w:highlight w:val="none"/>
          <w:lang w:val="en-US" w:eastAsia="zh-CN"/>
        </w:rPr>
      </w:pPr>
      <w:bookmarkStart w:id="912" w:name="_Toc1158"/>
      <w:bookmarkStart w:id="913" w:name="_Toc13116"/>
      <w:r>
        <w:rPr>
          <w:rFonts w:hint="eastAsia" w:cs="宋体" w:asciiTheme="minorEastAsia" w:hAnsiTheme="minorEastAsia" w:eastAsiaTheme="minorEastAsia"/>
          <w:color w:val="auto"/>
          <w:highlight w:val="none"/>
          <w:lang w:val="en-US" w:eastAsia="zh-CN"/>
        </w:rPr>
        <w:t>(三)残疾人福利性单位声明函</w:t>
      </w:r>
      <w:bookmarkEnd w:id="912"/>
      <w:r>
        <w:rPr>
          <w:rFonts w:hint="eastAsia" w:cs="宋体" w:asciiTheme="minorEastAsia" w:hAnsiTheme="minorEastAsia" w:eastAsiaTheme="minorEastAsia"/>
          <w:color w:val="auto"/>
          <w:highlight w:val="none"/>
          <w:lang w:val="en-US" w:eastAsia="zh-CN"/>
        </w:rPr>
        <w:t>(如涉及)</w:t>
      </w:r>
      <w:bookmarkEnd w:id="913"/>
    </w:p>
    <w:p>
      <w:pPr>
        <w:pStyle w:val="46"/>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单位的</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项目采购活动由本单位提供服务。</w:t>
      </w:r>
    </w:p>
    <w:p>
      <w:pPr>
        <w:pStyle w:val="46"/>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本单位对上述声明的真实性负责。如有虚假，将依法承担相应责任。</w:t>
      </w:r>
    </w:p>
    <w:p>
      <w:pPr>
        <w:pStyle w:val="42"/>
        <w:rPr>
          <w:rFonts w:cs="宋体" w:asciiTheme="minorEastAsia" w:hAnsiTheme="minorEastAsia" w:eastAsiaTheme="minorEastAsia"/>
          <w:color w:val="auto"/>
          <w:highlight w:val="none"/>
        </w:rPr>
      </w:pPr>
    </w:p>
    <w:p>
      <w:pPr>
        <w:pStyle w:val="42"/>
        <w:rPr>
          <w:rFonts w:cs="宋体" w:asciiTheme="minorEastAsia" w:hAnsiTheme="minorEastAsia" w:eastAsiaTheme="minorEastAsia"/>
          <w:color w:val="auto"/>
          <w:highlight w:val="none"/>
        </w:rPr>
      </w:pPr>
    </w:p>
    <w:p>
      <w:pPr>
        <w:pStyle w:val="42"/>
        <w:rPr>
          <w:rFonts w:cs="宋体" w:asciiTheme="minorEastAsia" w:hAnsiTheme="minorEastAsia" w:eastAsiaTheme="minorEastAsia"/>
          <w:color w:val="auto"/>
          <w:highlight w:val="none"/>
        </w:rPr>
      </w:pPr>
    </w:p>
    <w:p>
      <w:pPr>
        <w:pStyle w:val="42"/>
        <w:ind w:left="4800" w:leftChars="2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单位名称：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42"/>
        <w:ind w:left="4800" w:leftChars="2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日    期：</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42"/>
        <w:ind w:left="4800" w:leftChars="2000"/>
        <w:rPr>
          <w:rFonts w:cs="宋体" w:asciiTheme="minorEastAsia" w:hAnsiTheme="minorEastAsia" w:eastAsiaTheme="minorEastAsia"/>
          <w:color w:val="auto"/>
          <w:highlight w:val="none"/>
        </w:rPr>
      </w:pPr>
    </w:p>
    <w:p>
      <w:pPr>
        <w:pStyle w:val="47"/>
        <w:ind w:firstLine="482"/>
        <w:rPr>
          <w:rFonts w:cs="宋体" w:asciiTheme="minorEastAsia" w:hAnsiTheme="minorEastAsia" w:eastAsiaTheme="minorEastAsia"/>
          <w:color w:val="auto"/>
          <w:highlight w:val="none"/>
        </w:rPr>
      </w:pPr>
    </w:p>
    <w:p>
      <w:pPr>
        <w:pStyle w:val="47"/>
        <w:ind w:firstLine="482"/>
        <w:rPr>
          <w:rFonts w:hint="eastAsia"/>
          <w:lang w:val="en-US" w:eastAsia="zh-CN"/>
        </w:rPr>
      </w:pPr>
      <w:r>
        <w:rPr>
          <w:rFonts w:hint="eastAsia" w:cs="宋体" w:asciiTheme="minorEastAsia" w:hAnsiTheme="minorEastAsia" w:eastAsiaTheme="minorEastAsia"/>
          <w:color w:val="auto"/>
          <w:highlight w:val="none"/>
        </w:rPr>
        <w:t>说明：</w:t>
      </w:r>
      <w:r>
        <w:rPr>
          <w:rFonts w:hint="eastAsia" w:cs="宋体" w:asciiTheme="minorEastAsia" w:hAnsiTheme="minorEastAsia" w:eastAsiaTheme="minorEastAsia"/>
          <w:color w:val="auto"/>
          <w:highlight w:val="none"/>
        </w:rPr>
        <w:fldChar w:fldCharType="begin"/>
      </w:r>
      <w:r>
        <w:rPr>
          <w:rFonts w:hint="eastAsia" w:cs="宋体" w:asciiTheme="minorEastAsia" w:hAnsiTheme="minorEastAsia" w:eastAsiaTheme="minorEastAsia"/>
          <w:color w:val="auto"/>
          <w:highlight w:val="none"/>
        </w:rPr>
        <w:instrText xml:space="preserve"> = 1 \* GB3 \* MERGEFORMAT </w:instrText>
      </w:r>
      <w:r>
        <w:rPr>
          <w:rFonts w:hint="eastAsia" w:cs="宋体" w:asciiTheme="minorEastAsia" w:hAnsiTheme="minorEastAsia" w:eastAsiaTheme="minorEastAsia"/>
          <w:color w:val="auto"/>
          <w:highlight w:val="none"/>
        </w:rPr>
        <w:fldChar w:fldCharType="separate"/>
      </w:r>
      <w:r>
        <w:rPr>
          <w:rFonts w:hint="eastAsia" w:cs="宋体" w:asciiTheme="minorEastAsia" w:hAnsiTheme="minorEastAsia" w:eastAsiaTheme="minorEastAsia"/>
          <w:color w:val="auto"/>
          <w:highlight w:val="none"/>
        </w:rPr>
        <w:t>①</w:t>
      </w:r>
      <w:r>
        <w:rPr>
          <w:rFonts w:hint="eastAsia" w:cs="宋体" w:asciiTheme="minorEastAsia" w:hAnsiTheme="minorEastAsia" w:eastAsiaTheme="minorEastAsia"/>
          <w:color w:val="auto"/>
          <w:highlight w:val="none"/>
        </w:rPr>
        <w:fldChar w:fldCharType="end"/>
      </w:r>
      <w:r>
        <w:rPr>
          <w:rFonts w:hint="eastAsia" w:cs="宋体" w:asciiTheme="minorEastAsia" w:hAnsiTheme="minorEastAsia" w:eastAsiaTheme="minorEastAsia"/>
          <w:color w:val="auto"/>
          <w:highlight w:val="none"/>
        </w:rPr>
        <w:t>残疾人福利性单位参加政府采购活动时，应提供残疾人福利性单位声明函，否则将被视为无效投标。</w:t>
      </w:r>
    </w:p>
    <w:p>
      <w:pPr>
        <w:pStyle w:val="44"/>
        <w:numPr>
          <w:ilvl w:val="0"/>
          <w:numId w:val="20"/>
        </w:numPr>
        <w:bidi w:val="0"/>
        <w:ind w:left="0" w:leftChars="0" w:firstLine="0" w:firstLineChars="0"/>
        <w:rPr>
          <w:rFonts w:hint="eastAsia"/>
          <w:lang w:val="en-US" w:eastAsia="zh-CN"/>
        </w:rPr>
      </w:pPr>
      <w:bookmarkStart w:id="914" w:name="_Toc18459"/>
      <w:r>
        <w:rPr>
          <w:rFonts w:hint="eastAsia"/>
          <w:lang w:val="en-US" w:eastAsia="zh-CN"/>
        </w:rPr>
        <w:t>服务方案</w:t>
      </w:r>
      <w:bookmarkEnd w:id="905"/>
      <w:bookmarkEnd w:id="906"/>
      <w:bookmarkEnd w:id="914"/>
    </w:p>
    <w:p>
      <w:pPr>
        <w:pStyle w:val="47"/>
        <w:bidi w:val="0"/>
        <w:rPr>
          <w:rFonts w:hint="eastAsia"/>
          <w:lang w:val="en-US" w:eastAsia="zh-CN"/>
        </w:rPr>
      </w:pPr>
      <w:r>
        <w:rPr>
          <w:rFonts w:hint="eastAsia"/>
          <w:lang w:val="en-US" w:eastAsia="zh-CN"/>
        </w:rPr>
        <w:t>注：格式自拟。</w:t>
      </w:r>
    </w:p>
    <w:p>
      <w:pPr>
        <w:pStyle w:val="44"/>
        <w:numPr>
          <w:ilvl w:val="0"/>
          <w:numId w:val="20"/>
        </w:numPr>
        <w:bidi w:val="0"/>
        <w:ind w:left="0" w:leftChars="0" w:firstLine="0" w:firstLineChars="0"/>
        <w:rPr>
          <w:rFonts w:hint="eastAsia"/>
          <w:lang w:val="en-US" w:eastAsia="zh-CN"/>
        </w:rPr>
      </w:pPr>
      <w:bookmarkStart w:id="915" w:name="_Toc4728"/>
      <w:bookmarkStart w:id="916" w:name="_Toc32188"/>
      <w:r>
        <w:rPr>
          <w:rFonts w:hint="eastAsia"/>
          <w:lang w:val="en-US" w:eastAsia="zh-CN"/>
        </w:rPr>
        <w:t>招标代理服务费承诺函</w:t>
      </w:r>
      <w:bookmarkEnd w:id="915"/>
      <w:bookmarkEnd w:id="916"/>
    </w:p>
    <w:p>
      <w:pPr>
        <w:pStyle w:val="42"/>
        <w:bidi w:val="0"/>
        <w:rPr>
          <w:rFonts w:hint="eastAsia"/>
        </w:rPr>
      </w:pPr>
      <w:r>
        <w:rPr>
          <w:rFonts w:hint="eastAsia"/>
          <w:lang w:eastAsia="zh-CN"/>
        </w:rPr>
        <w:t>成都公恒信工程项目管理有限公司</w:t>
      </w:r>
      <w:r>
        <w:rPr>
          <w:rFonts w:hint="eastAsia"/>
        </w:rPr>
        <w:t>：</w:t>
      </w:r>
    </w:p>
    <w:p>
      <w:pPr>
        <w:pStyle w:val="46"/>
        <w:bidi w:val="0"/>
        <w:rPr>
          <w:rFonts w:hint="eastAsia"/>
          <w:lang w:val="en-US" w:eastAsia="zh-CN"/>
        </w:rPr>
      </w:pPr>
      <w:r>
        <w:rPr>
          <w:rFonts w:hint="eastAsia"/>
        </w:rPr>
        <w:t>我公司在贵公司代理的</w:t>
      </w:r>
      <w:r>
        <w:rPr>
          <w:rFonts w:hint="eastAsia"/>
          <w:u w:val="single"/>
        </w:rPr>
        <w:t xml:space="preserve">                              </w:t>
      </w:r>
      <w:r>
        <w:rPr>
          <w:rFonts w:hint="eastAsia"/>
        </w:rPr>
        <w:t>项目(项目编号</w:t>
      </w:r>
      <w:r>
        <w:rPr>
          <w:rFonts w:hint="eastAsia"/>
          <w:u w:val="none"/>
        </w:rPr>
        <w:t>：</w:t>
      </w:r>
      <w:r>
        <w:rPr>
          <w:rFonts w:hint="eastAsia"/>
          <w:u w:val="single"/>
        </w:rPr>
        <w:t xml:space="preserve">                              </w:t>
      </w:r>
      <w:r>
        <w:rPr>
          <w:rFonts w:hint="eastAsia"/>
        </w:rPr>
        <w:t>)公开招标中若获中标，我们保证在收到中标通知后2个工作日内按</w:t>
      </w:r>
      <w:r>
        <w:rPr>
          <w:rFonts w:hint="eastAsia"/>
          <w:lang w:val="zh-CN"/>
        </w:rPr>
        <w:t>招标文件</w:t>
      </w:r>
      <w:r>
        <w:rPr>
          <w:rFonts w:hint="eastAsia"/>
        </w:rPr>
        <w:t>的规定，以支票、银行汇票、电汇、现金或经贵公司认可的一种方式，向贵公司即</w:t>
      </w:r>
      <w:r>
        <w:rPr>
          <w:rFonts w:hint="eastAsia"/>
          <w:lang w:eastAsia="zh-CN"/>
        </w:rPr>
        <w:t>成都公恒信工程项目管理有限公司</w:t>
      </w:r>
      <w:r>
        <w:rPr>
          <w:rFonts w:hint="eastAsia"/>
        </w:rPr>
        <w:t>指定的银行</w:t>
      </w:r>
      <w:r>
        <w:rPr>
          <w:rFonts w:hint="eastAsia"/>
          <w:lang w:val="en-US" w:eastAsia="zh-CN"/>
        </w:rPr>
        <w:t>账</w:t>
      </w:r>
      <w:r>
        <w:rPr>
          <w:rFonts w:hint="eastAsia"/>
        </w:rPr>
        <w:t>号，按照</w:t>
      </w:r>
      <w:r>
        <w:rPr>
          <w:rFonts w:hint="eastAsia"/>
          <w:lang w:val="zh-CN"/>
        </w:rPr>
        <w:t>招标文件中</w:t>
      </w:r>
      <w:r>
        <w:rPr>
          <w:rFonts w:hint="eastAsia"/>
        </w:rPr>
        <w:t>招标代理服务费收取标准一次性支付招标代理服务费。</w:t>
      </w:r>
      <w:r>
        <w:rPr>
          <w:rFonts w:hint="eastAsia"/>
          <w:b/>
          <w:bCs/>
          <w:lang w:val="en-US" w:eastAsia="zh-CN"/>
        </w:rPr>
        <w:t>如因我公司自身原因造成取消中标资格或自愿放弃中标资格的，</w:t>
      </w:r>
      <w:r>
        <w:rPr>
          <w:rFonts w:hint="eastAsia"/>
          <w:b/>
          <w:bCs/>
          <w:highlight w:val="none"/>
          <w:lang w:val="en-US" w:eastAsia="zh-CN"/>
        </w:rPr>
        <w:t>我司</w:t>
      </w:r>
      <w:r>
        <w:rPr>
          <w:rFonts w:hint="eastAsia"/>
          <w:b/>
          <w:bCs/>
          <w:color w:val="auto"/>
          <w:highlight w:val="none"/>
          <w:lang w:val="en-US" w:eastAsia="zh-CN"/>
        </w:rPr>
        <w:t>支付</w:t>
      </w:r>
      <w:r>
        <w:rPr>
          <w:rFonts w:hint="eastAsia"/>
          <w:b/>
          <w:bCs/>
          <w:highlight w:val="none"/>
          <w:lang w:val="en-US" w:eastAsia="zh-CN"/>
        </w:rPr>
        <w:t>的</w:t>
      </w:r>
      <w:r>
        <w:rPr>
          <w:rFonts w:hint="eastAsia"/>
          <w:b/>
          <w:bCs/>
          <w:lang w:val="en-US" w:eastAsia="zh-CN"/>
        </w:rPr>
        <w:t>招标代理服务费不予退还，由此造成的损失由我方自行承担。</w:t>
      </w:r>
    </w:p>
    <w:p>
      <w:pPr>
        <w:pStyle w:val="46"/>
        <w:bidi w:val="0"/>
        <w:rPr>
          <w:rFonts w:hint="eastAsia"/>
        </w:rPr>
      </w:pPr>
    </w:p>
    <w:p>
      <w:pPr>
        <w:pStyle w:val="46"/>
        <w:bidi w:val="0"/>
        <w:rPr>
          <w:rFonts w:hint="eastAsia"/>
        </w:rPr>
      </w:pPr>
    </w:p>
    <w:p>
      <w:pPr>
        <w:pStyle w:val="46"/>
        <w:bidi w:val="0"/>
        <w:rPr>
          <w:rFonts w:hint="eastAsia"/>
        </w:rPr>
      </w:pPr>
      <w:r>
        <w:rPr>
          <w:rFonts w:hint="eastAsia"/>
        </w:rPr>
        <w:t>特此承诺。</w:t>
      </w:r>
    </w:p>
    <w:p>
      <w:pPr>
        <w:pStyle w:val="42"/>
        <w:bidi w:val="0"/>
        <w:rPr>
          <w:rFonts w:hint="eastAsia"/>
        </w:rPr>
      </w:pPr>
    </w:p>
    <w:p>
      <w:pPr>
        <w:pStyle w:val="42"/>
        <w:bidi w:val="0"/>
        <w:rPr>
          <w:rFonts w:hint="eastAsia"/>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u w:val="single"/>
          <w:lang w:val="en-US" w:eastAsia="zh-CN"/>
        </w:rPr>
      </w:pPr>
      <w:r>
        <w:rPr>
          <w:rFonts w:hint="eastAsia" w:asciiTheme="minorEastAsia" w:hAnsiTheme="minorEastAsia" w:eastAsiaTheme="minorEastAsia" w:cstheme="minorEastAsia"/>
          <w:color w:val="auto"/>
          <w:sz w:val="24"/>
          <w:highlight w:val="none"/>
          <w:lang w:val="en-US" w:eastAsia="zh-CN"/>
        </w:rPr>
        <w:t>投标人</w:t>
      </w:r>
      <w:r>
        <w:rPr>
          <w:rFonts w:hint="eastAsia" w:asciiTheme="minorEastAsia" w:hAnsiTheme="minorEastAsia" w:eastAsiaTheme="minorEastAsia" w:cstheme="minorEastAsia"/>
          <w:color w:val="auto"/>
          <w:sz w:val="24"/>
          <w:highlight w:val="none"/>
        </w:rPr>
        <w:t>名称</w:t>
      </w:r>
      <w:r>
        <w:rPr>
          <w:rFonts w:hint="eastAsia" w:asciiTheme="minorEastAsia" w:hAnsiTheme="minorEastAsia" w:eastAsiaTheme="minorEastAsia" w:cstheme="minorEastAsia"/>
          <w:color w:val="auto"/>
          <w:sz w:val="24"/>
          <w:highlight w:val="none"/>
          <w:u w:val="none"/>
        </w:rPr>
        <w:t>：</w:t>
      </w:r>
      <w:r>
        <w:rPr>
          <w:rFonts w:hint="eastAsia" w:asciiTheme="minorEastAsia" w:hAnsiTheme="minorEastAsia" w:eastAsiaTheme="minorEastAsia" w:cstheme="minorEastAsia"/>
          <w:color w:val="auto"/>
          <w:sz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电  话：</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传  真：</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邮  编：</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承诺日期：</w:t>
      </w:r>
      <w:r>
        <w:rPr>
          <w:rFonts w:hint="eastAsia" w:asciiTheme="minorEastAsia" w:hAnsiTheme="minorEastAsia" w:eastAsiaTheme="minorEastAsia" w:cstheme="minorEastAsia"/>
          <w:bCs/>
          <w:color w:val="auto"/>
          <w:sz w:val="24"/>
          <w:highlight w:val="none"/>
          <w:u w:val="single"/>
        </w:rPr>
        <w:t xml:space="preserve">                </w:t>
      </w:r>
    </w:p>
    <w:p>
      <w:pPr>
        <w:pStyle w:val="42"/>
        <w:keepNext w:val="0"/>
        <w:keepLines w:val="0"/>
        <w:pageBreakBefore w:val="0"/>
        <w:widowControl w:val="0"/>
        <w:kinsoku/>
        <w:overflowPunct/>
        <w:autoSpaceDE/>
        <w:autoSpaceDN/>
        <w:bidi w:val="0"/>
        <w:adjustRightInd w:val="0"/>
        <w:snapToGrid w:val="0"/>
        <w:spacing w:line="440" w:lineRule="exact"/>
        <w:textAlignment w:val="auto"/>
        <w:rPr>
          <w:rFonts w:hint="eastAsia"/>
        </w:rPr>
      </w:pPr>
      <w:r>
        <w:rPr>
          <w:rFonts w:hint="eastAsia"/>
        </w:rPr>
        <w:t xml:space="preserve">                </w:t>
      </w:r>
    </w:p>
    <w:p>
      <w:pPr>
        <w:pStyle w:val="42"/>
        <w:bidi w:val="0"/>
        <w:rPr>
          <w:rFonts w:hint="eastAsia"/>
        </w:rPr>
      </w:pPr>
    </w:p>
    <w:p>
      <w:pPr>
        <w:pStyle w:val="42"/>
        <w:bidi w:val="0"/>
        <w:rPr>
          <w:rFonts w:hint="eastAsia"/>
        </w:rPr>
      </w:pPr>
      <w:r>
        <w:rPr>
          <w:rFonts w:hint="eastAsia"/>
        </w:rPr>
        <w:br w:type="page"/>
      </w:r>
    </w:p>
    <w:bookmarkEnd w:id="907"/>
    <w:bookmarkEnd w:id="908"/>
    <w:p>
      <w:pPr>
        <w:pStyle w:val="48"/>
        <w:numPr>
          <w:ilvl w:val="0"/>
          <w:numId w:val="13"/>
        </w:numPr>
        <w:bidi w:val="0"/>
        <w:rPr>
          <w:rFonts w:hint="eastAsia"/>
          <w:lang w:val="en-US" w:eastAsia="zh-CN"/>
        </w:rPr>
      </w:pPr>
      <w:bookmarkStart w:id="917" w:name="_Toc17786"/>
      <w:bookmarkStart w:id="918" w:name="_Toc1941"/>
      <w:bookmarkStart w:id="919" w:name="_Toc32227"/>
      <w:bookmarkStart w:id="920" w:name="_Toc23987"/>
      <w:bookmarkStart w:id="921" w:name="_Toc24042"/>
      <w:bookmarkStart w:id="922" w:name="_Toc8502"/>
      <w:bookmarkStart w:id="923" w:name="_Toc10576"/>
      <w:r>
        <w:rPr>
          <w:rFonts w:hint="eastAsia"/>
          <w:lang w:val="en-US" w:eastAsia="zh-CN"/>
        </w:rPr>
        <w:t>投标人和投标产品的资格、资质性</w:t>
      </w:r>
      <w:bookmarkStart w:id="924" w:name="_Toc307564882"/>
      <w:bookmarkStart w:id="925" w:name="_Toc21759"/>
      <w:bookmarkStart w:id="926" w:name="_Toc307501136"/>
      <w:bookmarkStart w:id="927" w:name="_Toc319439931"/>
      <w:bookmarkStart w:id="928" w:name="_Toc17884"/>
      <w:bookmarkStart w:id="929" w:name="_Toc327196317"/>
      <w:r>
        <w:rPr>
          <w:rFonts w:hint="eastAsia"/>
          <w:lang w:val="en-US" w:eastAsia="zh-CN"/>
        </w:rPr>
        <w:t>及其他类似效力要求</w:t>
      </w:r>
      <w:bookmarkEnd w:id="917"/>
      <w:bookmarkEnd w:id="918"/>
      <w:bookmarkEnd w:id="919"/>
      <w:bookmarkEnd w:id="920"/>
      <w:bookmarkEnd w:id="924"/>
      <w:bookmarkEnd w:id="925"/>
      <w:bookmarkEnd w:id="926"/>
      <w:bookmarkEnd w:id="927"/>
      <w:bookmarkEnd w:id="928"/>
      <w:bookmarkEnd w:id="929"/>
    </w:p>
    <w:bookmarkEnd w:id="921"/>
    <w:bookmarkEnd w:id="922"/>
    <w:bookmarkEnd w:id="923"/>
    <w:p>
      <w:pPr>
        <w:pStyle w:val="34"/>
        <w:numPr>
          <w:ilvl w:val="1"/>
          <w:numId w:val="13"/>
        </w:numPr>
        <w:bidi w:val="0"/>
        <w:rPr>
          <w:rFonts w:hint="eastAsia"/>
          <w:lang w:val="zh-CN"/>
        </w:rPr>
      </w:pPr>
      <w:bookmarkStart w:id="930" w:name="_Toc30456"/>
      <w:bookmarkStart w:id="931" w:name="_Toc27601"/>
      <w:bookmarkStart w:id="932" w:name="_Toc4824"/>
      <w:bookmarkStart w:id="933" w:name="_Toc18335"/>
      <w:bookmarkStart w:id="934" w:name="_Toc14656"/>
      <w:bookmarkStart w:id="935" w:name="_Toc5268"/>
      <w:r>
        <w:rPr>
          <w:rFonts w:hint="eastAsia"/>
        </w:rPr>
        <w:t>投标人资格、资质性及其他类似效力要求</w:t>
      </w:r>
      <w:bookmarkEnd w:id="930"/>
      <w:bookmarkEnd w:id="931"/>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zh-CN"/>
        </w:rPr>
      </w:pPr>
      <w:r>
        <w:rPr>
          <w:rFonts w:hint="eastAsia"/>
          <w:highlight w:val="none"/>
          <w:lang w:val="en-US" w:eastAsia="zh-CN"/>
        </w:rPr>
        <w:t>(一)</w:t>
      </w:r>
      <w:r>
        <w:rPr>
          <w:rFonts w:hint="eastAsia"/>
          <w:highlight w:val="none"/>
          <w:lang w:val="zh-CN"/>
        </w:rPr>
        <w:t>符合《中华人民共和国政府采购法》第二十二条规定的条件：</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lang w:val="en-US" w:eastAsia="zh-CN"/>
        </w:rPr>
        <w:t>1.</w:t>
      </w:r>
      <w:r>
        <w:rPr>
          <w:rFonts w:hint="eastAsia"/>
          <w:highlight w:val="none"/>
        </w:rPr>
        <w:t>具有独立承担</w:t>
      </w:r>
      <w:r>
        <w:rPr>
          <w:rFonts w:hint="eastAsia"/>
          <w:highlight w:val="none"/>
        </w:rPr>
        <w:fldChar w:fldCharType="begin"/>
      </w:r>
      <w:r>
        <w:rPr>
          <w:rFonts w:hint="eastAsia"/>
          <w:highlight w:val="none"/>
        </w:rPr>
        <w:instrText xml:space="preserve"> HYPERLINK "http://www.lawtime.cn/info/minfa/mszeren/" \t "_blank" </w:instrText>
      </w:r>
      <w:r>
        <w:rPr>
          <w:rFonts w:hint="eastAsia"/>
          <w:highlight w:val="none"/>
        </w:rPr>
        <w:fldChar w:fldCharType="separate"/>
      </w:r>
      <w:r>
        <w:rPr>
          <w:rFonts w:hint="eastAsia"/>
          <w:highlight w:val="none"/>
        </w:rPr>
        <w:t>民事责任</w:t>
      </w:r>
      <w:r>
        <w:rPr>
          <w:rFonts w:hint="eastAsia"/>
          <w:highlight w:val="none"/>
        </w:rPr>
        <w:fldChar w:fldCharType="end"/>
      </w:r>
      <w:r>
        <w:rPr>
          <w:rFonts w:hint="eastAsia"/>
          <w:highlight w:val="none"/>
        </w:rPr>
        <w:t>的能力；</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lang w:val="en-US" w:eastAsia="zh-CN"/>
        </w:rPr>
        <w:t>2.</w:t>
      </w:r>
      <w:r>
        <w:rPr>
          <w:rFonts w:hint="eastAsia"/>
          <w:highlight w:val="none"/>
        </w:rPr>
        <w:t>具有良好的商业信誉和健全的财务会计制度；</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lang w:val="en-US" w:eastAsia="zh-CN"/>
        </w:rPr>
        <w:t>3.</w:t>
      </w:r>
      <w:r>
        <w:rPr>
          <w:rFonts w:hint="eastAsia"/>
          <w:highlight w:val="none"/>
        </w:rPr>
        <w:t>具有履行合同所必需的设备和专业技术能力；</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en-US" w:eastAsia="zh-CN"/>
        </w:rPr>
      </w:pPr>
      <w:r>
        <w:rPr>
          <w:rFonts w:hint="eastAsia"/>
          <w:highlight w:val="none"/>
          <w:lang w:val="en-US" w:eastAsia="zh-CN"/>
        </w:rPr>
        <w:t>4.有依法缴纳税收和</w:t>
      </w:r>
      <w:r>
        <w:rPr>
          <w:rFonts w:hint="eastAsia"/>
          <w:highlight w:val="none"/>
          <w:lang w:val="en-US" w:eastAsia="zh-CN"/>
        </w:rPr>
        <w:fldChar w:fldCharType="begin"/>
      </w:r>
      <w:r>
        <w:rPr>
          <w:rFonts w:hint="eastAsia"/>
          <w:highlight w:val="none"/>
          <w:lang w:val="en-US" w:eastAsia="zh-CN"/>
        </w:rPr>
        <w:instrText xml:space="preserve"> HYPERLINK "http://www.lawtime.cn/info/laodong/shehuibaozhang/" \t "_blank" </w:instrText>
      </w:r>
      <w:r>
        <w:rPr>
          <w:rFonts w:hint="eastAsia"/>
          <w:highlight w:val="none"/>
          <w:lang w:val="en-US" w:eastAsia="zh-CN"/>
        </w:rPr>
        <w:fldChar w:fldCharType="separate"/>
      </w:r>
      <w:r>
        <w:rPr>
          <w:rFonts w:hint="eastAsia"/>
          <w:highlight w:val="none"/>
          <w:lang w:val="en-US" w:eastAsia="zh-CN"/>
        </w:rPr>
        <w:t>社会保障</w:t>
      </w:r>
      <w:r>
        <w:rPr>
          <w:rFonts w:hint="eastAsia"/>
          <w:highlight w:val="none"/>
          <w:lang w:val="en-US" w:eastAsia="zh-CN"/>
        </w:rPr>
        <w:fldChar w:fldCharType="end"/>
      </w:r>
      <w:r>
        <w:rPr>
          <w:rFonts w:hint="eastAsia"/>
          <w:highlight w:val="none"/>
          <w:lang w:val="en-US" w:eastAsia="zh-CN"/>
        </w:rPr>
        <w:t>资金的良好记录；</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en-US" w:eastAsia="zh-CN"/>
        </w:rPr>
      </w:pPr>
      <w:r>
        <w:rPr>
          <w:rFonts w:hint="eastAsia"/>
          <w:highlight w:val="none"/>
          <w:lang w:val="en-US" w:eastAsia="zh-CN"/>
        </w:rPr>
        <w:t>5.参加政府采购活动前三年内，在经营活动中没有重大违法记录；</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en-US" w:eastAsia="zh-CN"/>
        </w:rPr>
      </w:pPr>
      <w:r>
        <w:rPr>
          <w:rFonts w:hint="eastAsia"/>
          <w:highlight w:val="none"/>
          <w:lang w:val="en-US" w:eastAsia="zh-CN"/>
        </w:rPr>
        <w:t>6.法律、</w:t>
      </w:r>
      <w:r>
        <w:rPr>
          <w:rFonts w:hint="eastAsia"/>
          <w:highlight w:val="none"/>
          <w:lang w:val="en-US" w:eastAsia="zh-CN"/>
        </w:rPr>
        <w:fldChar w:fldCharType="begin"/>
      </w:r>
      <w:r>
        <w:rPr>
          <w:rFonts w:hint="eastAsia"/>
          <w:highlight w:val="none"/>
          <w:lang w:val="en-US" w:eastAsia="zh-CN"/>
        </w:rPr>
        <w:instrText xml:space="preserve"> HYPERLINK "http://www.lawtime.cn/info/sifakaoshi/xingzhengfa/" \t "_blank" </w:instrText>
      </w:r>
      <w:r>
        <w:rPr>
          <w:rFonts w:hint="eastAsia"/>
          <w:highlight w:val="none"/>
          <w:lang w:val="en-US" w:eastAsia="zh-CN"/>
        </w:rPr>
        <w:fldChar w:fldCharType="separate"/>
      </w:r>
      <w:r>
        <w:rPr>
          <w:rFonts w:hint="eastAsia"/>
          <w:highlight w:val="none"/>
          <w:lang w:val="en-US" w:eastAsia="zh-CN"/>
        </w:rPr>
        <w:t>行政法</w:t>
      </w:r>
      <w:r>
        <w:rPr>
          <w:rFonts w:hint="eastAsia"/>
          <w:highlight w:val="none"/>
          <w:lang w:val="en-US" w:eastAsia="zh-CN"/>
        </w:rPr>
        <w:fldChar w:fldCharType="end"/>
      </w:r>
      <w:r>
        <w:rPr>
          <w:rFonts w:hint="eastAsia"/>
          <w:highlight w:val="none"/>
          <w:lang w:val="en-US" w:eastAsia="zh-CN"/>
        </w:rPr>
        <w:t>规规定的其他条件；</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highlight w:val="none"/>
          <w:lang w:val="zh-CN" w:eastAsia="zh-CN"/>
        </w:rPr>
      </w:pPr>
      <w:r>
        <w:rPr>
          <w:rFonts w:hint="eastAsia" w:ascii="宋体" w:hAnsi="宋体" w:eastAsia="宋体"/>
          <w:highlight w:val="none"/>
          <w:lang w:val="en-US" w:eastAsia="zh-CN"/>
        </w:rPr>
        <w:t>(二)</w:t>
      </w:r>
      <w:r>
        <w:rPr>
          <w:rFonts w:hint="eastAsia" w:ascii="宋体" w:hAnsi="宋体" w:eastAsia="宋体"/>
          <w:highlight w:val="none"/>
          <w:lang w:val="zh-CN" w:eastAsia="zh-CN"/>
        </w:rPr>
        <w:t>本项目的特定资格要求：</w:t>
      </w:r>
    </w:p>
    <w:p>
      <w:pPr>
        <w:pStyle w:val="42"/>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en-US" w:eastAsia="zh-CN"/>
        </w:rPr>
      </w:pPr>
      <w:r>
        <w:rPr>
          <w:rFonts w:hint="eastAsia" w:ascii="宋体" w:hAnsi="宋体" w:eastAsia="宋体"/>
          <w:highlight w:val="none"/>
          <w:lang w:val="en-US" w:eastAsia="zh-CN"/>
        </w:rPr>
        <w:t>本项目不接受联合体投标</w:t>
      </w:r>
      <w:r>
        <w:rPr>
          <w:rFonts w:hint="eastAsia"/>
          <w:highlight w:val="none"/>
          <w:lang w:val="en-US" w:eastAsia="zh-CN"/>
        </w:rPr>
        <w:t>。</w:t>
      </w:r>
    </w:p>
    <w:p>
      <w:pPr>
        <w:pStyle w:val="34"/>
        <w:numPr>
          <w:ilvl w:val="1"/>
          <w:numId w:val="13"/>
        </w:numPr>
        <w:bidi w:val="0"/>
        <w:rPr>
          <w:rFonts w:hint="eastAsia"/>
          <w:highlight w:val="none"/>
        </w:rPr>
      </w:pPr>
      <w:bookmarkStart w:id="936" w:name="_Toc8807"/>
      <w:r>
        <w:rPr>
          <w:rFonts w:hint="eastAsia"/>
          <w:highlight w:val="none"/>
        </w:rPr>
        <w:t>投标产品的资格、资质性及其他类似效力要求</w:t>
      </w:r>
      <w:bookmarkEnd w:id="932"/>
      <w:bookmarkEnd w:id="933"/>
      <w:bookmarkEnd w:id="934"/>
      <w:bookmarkEnd w:id="935"/>
      <w:bookmarkEnd w:id="936"/>
    </w:p>
    <w:p>
      <w:pPr>
        <w:pStyle w:val="46"/>
        <w:bidi w:val="0"/>
        <w:rPr>
          <w:rFonts w:hint="eastAsia"/>
          <w:highlight w:val="none"/>
          <w:lang w:val="en-US" w:eastAsia="zh-CN"/>
        </w:rPr>
      </w:pPr>
      <w:r>
        <w:rPr>
          <w:rFonts w:hint="eastAsia"/>
          <w:highlight w:val="none"/>
          <w:lang w:val="en-US" w:eastAsia="zh-CN"/>
        </w:rPr>
        <w:t>无。</w:t>
      </w:r>
    </w:p>
    <w:p>
      <w:pPr>
        <w:pStyle w:val="34"/>
        <w:numPr>
          <w:ilvl w:val="1"/>
          <w:numId w:val="13"/>
        </w:numPr>
        <w:bidi w:val="0"/>
        <w:rPr>
          <w:rFonts w:hint="eastAsia"/>
          <w:lang w:val="en-US" w:eastAsia="zh-CN"/>
        </w:rPr>
      </w:pPr>
      <w:bookmarkStart w:id="937" w:name="_Toc3740"/>
      <w:bookmarkStart w:id="938" w:name="_Toc2738"/>
      <w:r>
        <w:rPr>
          <w:rFonts w:hint="eastAsia"/>
          <w:lang w:val="en-US" w:eastAsia="zh-CN"/>
        </w:rPr>
        <w:t>其他类似效力要求</w:t>
      </w:r>
      <w:bookmarkEnd w:id="937"/>
      <w:bookmarkEnd w:id="938"/>
    </w:p>
    <w:p>
      <w:pPr>
        <w:pStyle w:val="32"/>
        <w:numPr>
          <w:ilvl w:val="1"/>
          <w:numId w:val="25"/>
        </w:numPr>
        <w:bidi w:val="0"/>
        <w:rPr>
          <w:rFonts w:hint="eastAsia"/>
          <w:lang w:val="zh-CN"/>
        </w:rPr>
      </w:pPr>
      <w:r>
        <w:rPr>
          <w:rFonts w:hint="eastAsia"/>
          <w:lang w:val="zh-CN"/>
        </w:rPr>
        <w:t>投标供应商单位及其现任法定代表人、主要负责人不得具有行贿犯罪记录；</w:t>
      </w:r>
    </w:p>
    <w:p>
      <w:pPr>
        <w:pStyle w:val="32"/>
        <w:numPr>
          <w:ilvl w:val="1"/>
          <w:numId w:val="25"/>
        </w:numPr>
        <w:bidi w:val="0"/>
        <w:rPr>
          <w:rFonts w:hint="eastAsia"/>
        </w:rPr>
      </w:pPr>
      <w:r>
        <w:rPr>
          <w:rFonts w:hint="eastAsia"/>
          <w:lang w:val="zh-CN"/>
        </w:rPr>
        <w:t>供应商不得为“信用中国”网站</w:t>
      </w:r>
      <w:r>
        <w:rPr>
          <w:rFonts w:hint="eastAsia"/>
          <w:lang w:val="zh-CN" w:eastAsia="zh-CN"/>
        </w:rPr>
        <w:t>(</w:t>
      </w:r>
      <w:r>
        <w:rPr>
          <w:rFonts w:hint="eastAsia"/>
          <w:lang w:val="zh-CN"/>
        </w:rPr>
        <w:t>www.creditchina.gov.cn</w:t>
      </w:r>
      <w:r>
        <w:rPr>
          <w:rFonts w:hint="eastAsia"/>
          <w:lang w:val="zh-CN" w:eastAsia="zh-CN"/>
        </w:rPr>
        <w:t>)</w:t>
      </w:r>
      <w:r>
        <w:rPr>
          <w:rFonts w:hint="eastAsia"/>
          <w:lang w:val="zh-CN"/>
        </w:rPr>
        <w:t>中列入失信被执行人和重大税收违法案件当事人名单的供应商，不得为</w:t>
      </w:r>
      <w:r>
        <w:rPr>
          <w:rFonts w:hint="eastAsia"/>
          <w:lang w:val="zh-CN" w:eastAsia="zh-CN"/>
        </w:rPr>
        <w:t>“中国政府采购网”(</w:t>
      </w:r>
      <w:r>
        <w:rPr>
          <w:rFonts w:hint="eastAsia"/>
          <w:lang w:val="zh-CN"/>
        </w:rPr>
        <w:t>www.ccgp.gov.cn</w:t>
      </w:r>
      <w:r>
        <w:rPr>
          <w:rFonts w:hint="eastAsia"/>
          <w:lang w:val="zh-CN" w:eastAsia="zh-CN"/>
        </w:rPr>
        <w:t>)</w:t>
      </w:r>
      <w:r>
        <w:rPr>
          <w:rFonts w:hint="eastAsia"/>
          <w:lang w:val="zh-CN"/>
        </w:rPr>
        <w:t>政府采购严重违法失信行为记录名单中被财政部门禁止参加政府采购活动的供应商</w:t>
      </w:r>
      <w:r>
        <w:rPr>
          <w:rFonts w:hint="eastAsia"/>
          <w:lang w:val="zh-CN" w:eastAsia="zh-CN"/>
        </w:rPr>
        <w:t>(</w:t>
      </w:r>
      <w:r>
        <w:rPr>
          <w:rFonts w:hint="eastAsia"/>
          <w:lang w:val="zh-CN"/>
        </w:rPr>
        <w:t>处罚决定规定的时间和地域范围内</w:t>
      </w:r>
      <w:r>
        <w:rPr>
          <w:rFonts w:hint="eastAsia"/>
          <w:lang w:val="zh-CN" w:eastAsia="zh-CN"/>
        </w:rPr>
        <w:t>)；</w:t>
      </w:r>
    </w:p>
    <w:p>
      <w:pPr>
        <w:pStyle w:val="32"/>
        <w:numPr>
          <w:ilvl w:val="1"/>
          <w:numId w:val="25"/>
        </w:numPr>
        <w:bidi w:val="0"/>
        <w:rPr>
          <w:rFonts w:hint="eastAsia"/>
          <w:lang w:val="zh-CN"/>
        </w:rPr>
      </w:pPr>
      <w:r>
        <w:rPr>
          <w:rFonts w:hint="eastAsia"/>
          <w:lang w:val="zh-CN"/>
        </w:rPr>
        <w:t>投标人代表不是法定代表人</w:t>
      </w:r>
      <w:r>
        <w:rPr>
          <w:rFonts w:hint="eastAsia"/>
          <w:lang w:val="en-US" w:eastAsia="zh-CN"/>
        </w:rPr>
        <w:t>/单位负责人</w:t>
      </w:r>
      <w:r>
        <w:rPr>
          <w:rFonts w:hint="eastAsia"/>
          <w:lang w:val="zh-CN"/>
        </w:rPr>
        <w:t>时提供针对本次投标的法定代表人</w:t>
      </w:r>
      <w:r>
        <w:rPr>
          <w:rFonts w:hint="eastAsia"/>
          <w:lang w:val="en-US" w:eastAsia="zh-CN"/>
        </w:rPr>
        <w:t>/单位负责人</w:t>
      </w:r>
      <w:r>
        <w:rPr>
          <w:rFonts w:hint="eastAsia"/>
          <w:lang w:val="zh-CN"/>
        </w:rPr>
        <w:t>授权书原件；</w:t>
      </w:r>
    </w:p>
    <w:p>
      <w:pPr>
        <w:pStyle w:val="32"/>
        <w:numPr>
          <w:ilvl w:val="1"/>
          <w:numId w:val="25"/>
        </w:numPr>
        <w:bidi w:val="0"/>
        <w:rPr>
          <w:rFonts w:hint="eastAsia"/>
          <w:lang w:val="zh-CN"/>
        </w:rPr>
      </w:pPr>
      <w:r>
        <w:rPr>
          <w:rFonts w:hint="eastAsia"/>
          <w:lang w:val="en-US" w:eastAsia="zh-CN"/>
        </w:rPr>
        <w:t>投标人代表是法定</w:t>
      </w:r>
      <w:r>
        <w:rPr>
          <w:rFonts w:hint="eastAsia"/>
          <w:lang w:val="zh-CN"/>
        </w:rPr>
        <w:t>代表人</w:t>
      </w:r>
      <w:r>
        <w:rPr>
          <w:rFonts w:hint="eastAsia"/>
          <w:lang w:val="en-US" w:eastAsia="zh-CN"/>
        </w:rPr>
        <w:t>/单位负责人</w:t>
      </w:r>
      <w:r>
        <w:rPr>
          <w:rFonts w:hint="eastAsia"/>
          <w:lang w:val="zh-CN"/>
        </w:rPr>
        <w:t>时，</w:t>
      </w:r>
      <w:r>
        <w:rPr>
          <w:rFonts w:hint="eastAsia"/>
          <w:lang w:val="en-US" w:eastAsia="zh-CN"/>
        </w:rPr>
        <w:t>提供法定代表人/单位负责人证明书原件。</w:t>
      </w:r>
    </w:p>
    <w:p>
      <w:pPr>
        <w:pStyle w:val="46"/>
        <w:bidi w:val="0"/>
        <w:rPr>
          <w:rFonts w:hint="eastAsia"/>
          <w:b/>
          <w:bCs/>
        </w:rPr>
      </w:pPr>
      <w:bookmarkStart w:id="939" w:name="_Toc24888"/>
      <w:r>
        <w:rPr>
          <w:rFonts w:hint="eastAsia"/>
          <w:b/>
          <w:bCs/>
        </w:rPr>
        <w:t>注：供应商在前三年政府采购合同履约过程中及其他经营活动履约过程中未依法履约被有关部门处理的，本项目不认定其具有良好的商业信誉。若虚假响应，取消中标资格。</w:t>
      </w:r>
    </w:p>
    <w:p>
      <w:pPr>
        <w:pStyle w:val="46"/>
        <w:bidi w:val="0"/>
        <w:rPr>
          <w:rFonts w:hint="eastAsia"/>
          <w:b/>
          <w:bCs/>
        </w:rPr>
      </w:pPr>
      <w:r>
        <w:rPr>
          <w:rFonts w:hint="eastAsia"/>
          <w:b/>
          <w:bCs/>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47"/>
        <w:bidi w:val="0"/>
        <w:rPr>
          <w:rFonts w:hint="eastAsia"/>
        </w:rPr>
      </w:pPr>
      <w:r>
        <w:rPr>
          <w:rFonts w:hint="eastAsia"/>
        </w:rPr>
        <w:t>重大违法记录中的较大数额罚款的具体金额标准</w:t>
      </w:r>
      <w:r>
        <w:rPr>
          <w:rFonts w:hint="eastAsia"/>
          <w:lang w:val="en-US" w:eastAsia="zh-CN"/>
        </w:rPr>
        <w:t>及范围</w:t>
      </w:r>
      <w:r>
        <w:rPr>
          <w:rFonts w:hint="eastAsia"/>
        </w:rPr>
        <w:t>是：若采购项目所属行业行政主管部门对较大数额罚款金额标准有明文规定的，以所属行业行政主管部门规定的较大数额罚款金额标准</w:t>
      </w:r>
      <w:r>
        <w:rPr>
          <w:rFonts w:hint="eastAsia"/>
          <w:lang w:val="en-US" w:eastAsia="zh-CN"/>
        </w:rPr>
        <w:t>为准</w:t>
      </w:r>
      <w:r>
        <w:rPr>
          <w:rFonts w:hint="eastAsia"/>
        </w:rPr>
        <w:t>；若采购项目所属行业行政主管部门对较大数额罚款金额标准未明文规定的，以《四川省行政处罚听证程序规定》</w:t>
      </w:r>
      <w:r>
        <w:rPr>
          <w:rFonts w:hint="eastAsia"/>
          <w:lang w:eastAsia="zh-CN"/>
        </w:rPr>
        <w:t>(</w:t>
      </w:r>
      <w:r>
        <w:rPr>
          <w:rFonts w:hint="eastAsia"/>
        </w:rPr>
        <w:t>四川省人民政府令第317号</w:t>
      </w:r>
      <w:r>
        <w:rPr>
          <w:rFonts w:hint="eastAsia"/>
          <w:lang w:eastAsia="zh-CN"/>
        </w:rPr>
        <w:t>)</w:t>
      </w:r>
      <w:r>
        <w:rPr>
          <w:rFonts w:hint="eastAsia"/>
        </w:rPr>
        <w:t>规定的行政处罚罚款听证标准金额</w:t>
      </w:r>
      <w:r>
        <w:rPr>
          <w:rFonts w:hint="eastAsia"/>
          <w:lang w:val="en-US" w:eastAsia="zh-CN"/>
        </w:rPr>
        <w:t>为准</w:t>
      </w:r>
      <w:r>
        <w:rPr>
          <w:rFonts w:hint="eastAsia"/>
        </w:rPr>
        <w:t>。</w:t>
      </w:r>
    </w:p>
    <w:p>
      <w:pPr>
        <w:pStyle w:val="47"/>
        <w:bidi w:val="0"/>
        <w:rPr>
          <w:rFonts w:hint="eastAsia"/>
        </w:rPr>
      </w:pPr>
    </w:p>
    <w:p>
      <w:pPr>
        <w:pStyle w:val="48"/>
        <w:numPr>
          <w:ilvl w:val="0"/>
          <w:numId w:val="13"/>
        </w:numPr>
        <w:bidi w:val="0"/>
        <w:rPr>
          <w:rFonts w:hint="eastAsia"/>
          <w:lang w:val="en-US" w:eastAsia="zh-CN"/>
        </w:rPr>
      </w:pPr>
      <w:r>
        <w:rPr>
          <w:rFonts w:hint="eastAsia"/>
        </w:rPr>
        <w:br w:type="page"/>
      </w:r>
      <w:bookmarkEnd w:id="939"/>
      <w:bookmarkStart w:id="940" w:name="_Toc18196"/>
      <w:bookmarkStart w:id="941" w:name="_Toc22998"/>
      <w:bookmarkStart w:id="942" w:name="_Toc11678"/>
      <w:r>
        <w:rPr>
          <w:rFonts w:hint="eastAsia"/>
          <w:lang w:val="en-US" w:eastAsia="zh-CN"/>
        </w:rPr>
        <w:t>资格性审查</w:t>
      </w:r>
      <w:bookmarkEnd w:id="940"/>
      <w:r>
        <w:rPr>
          <w:rFonts w:hint="eastAsia"/>
          <w:lang w:val="en-US" w:eastAsia="zh-CN"/>
        </w:rPr>
        <w:t>内容</w:t>
      </w:r>
      <w:bookmarkEnd w:id="941"/>
      <w:bookmarkEnd w:id="942"/>
    </w:p>
    <w:p>
      <w:pPr>
        <w:pStyle w:val="34"/>
        <w:numPr>
          <w:ilvl w:val="1"/>
          <w:numId w:val="13"/>
        </w:numPr>
        <w:bidi w:val="0"/>
        <w:rPr>
          <w:rFonts w:hint="eastAsia"/>
        </w:rPr>
      </w:pPr>
      <w:bookmarkStart w:id="943" w:name="_Toc28265"/>
      <w:bookmarkStart w:id="944" w:name="_Toc3107"/>
      <w:bookmarkStart w:id="945" w:name="_Toc1469"/>
      <w:bookmarkStart w:id="946" w:name="_Toc17175"/>
      <w:bookmarkStart w:id="947" w:name="_Toc17621"/>
      <w:bookmarkStart w:id="948" w:name="_Toc30344"/>
      <w:bookmarkStart w:id="949" w:name="_Toc141"/>
      <w:bookmarkStart w:id="950" w:name="_Toc10631"/>
      <w:bookmarkStart w:id="951" w:name="_Toc20678"/>
      <w:bookmarkStart w:id="952" w:name="_Toc32482"/>
      <w:r>
        <w:rPr>
          <w:rFonts w:hint="eastAsia"/>
        </w:rPr>
        <w:t>应当提供的投标人</w:t>
      </w:r>
      <w:r>
        <w:rPr>
          <w:rFonts w:hint="eastAsia"/>
          <w:lang w:eastAsia="zh-CN"/>
        </w:rPr>
        <w:t>及投标产品</w:t>
      </w:r>
      <w:r>
        <w:rPr>
          <w:rFonts w:hint="eastAsia"/>
        </w:rPr>
        <w:t>资格、资质性及其他类似效力要求的相关证明材料</w:t>
      </w:r>
      <w:bookmarkEnd w:id="943"/>
      <w:bookmarkEnd w:id="944"/>
      <w:bookmarkEnd w:id="945"/>
      <w:bookmarkEnd w:id="946"/>
      <w:bookmarkEnd w:id="947"/>
      <w:bookmarkEnd w:id="948"/>
    </w:p>
    <w:p>
      <w:pPr>
        <w:pStyle w:val="32"/>
        <w:numPr>
          <w:ilvl w:val="1"/>
          <w:numId w:val="26"/>
        </w:numPr>
        <w:bidi w:val="0"/>
        <w:rPr>
          <w:rFonts w:hint="eastAsia"/>
          <w:b/>
          <w:bCs/>
        </w:rPr>
      </w:pPr>
      <w:r>
        <w:rPr>
          <w:rFonts w:hint="eastAsia"/>
          <w:b/>
          <w:bCs/>
          <w:lang w:val="en-US" w:eastAsia="zh-CN"/>
        </w:rPr>
        <w:t>投标人</w:t>
      </w:r>
      <w:r>
        <w:rPr>
          <w:rFonts w:hint="eastAsia"/>
          <w:b/>
          <w:bCs/>
        </w:rPr>
        <w:t>具有独立承担民事责任的能力</w:t>
      </w:r>
      <w:r>
        <w:rPr>
          <w:rFonts w:hint="eastAsia"/>
          <w:b/>
          <w:bCs/>
          <w:lang w:val="en-US" w:eastAsia="zh-CN"/>
        </w:rPr>
        <w:t>的证明材料；</w:t>
      </w:r>
    </w:p>
    <w:p>
      <w:pPr>
        <w:pStyle w:val="46"/>
        <w:bidi w:val="0"/>
        <w:rPr>
          <w:rFonts w:hint="eastAsia"/>
          <w:lang w:eastAsia="zh-CN"/>
        </w:rPr>
      </w:pPr>
      <w:r>
        <w:rPr>
          <w:rFonts w:hint="eastAsia"/>
          <w:lang w:val="en-US" w:eastAsia="zh-CN"/>
        </w:rPr>
        <w:t>1.投标人</w:t>
      </w:r>
      <w:r>
        <w:rPr>
          <w:rFonts w:hint="eastAsia"/>
        </w:rPr>
        <w:t>若为企业法人：提供“营业执照”；未换证的提供“营业执照、税务登记证、组织机构代码证”；</w:t>
      </w:r>
      <w:r>
        <w:rPr>
          <w:rFonts w:hint="eastAsia"/>
          <w:lang w:val="en-US" w:eastAsia="zh-CN"/>
        </w:rPr>
        <w:t>2.</w:t>
      </w:r>
      <w:r>
        <w:rPr>
          <w:rFonts w:hint="eastAsia"/>
        </w:rPr>
        <w:t>若为事业法人：提供“统一社会信用代码法人登记证书”；未换证的提交“事业法人登记证书、组织机构代码证”；</w:t>
      </w:r>
      <w:r>
        <w:rPr>
          <w:rFonts w:hint="eastAsia"/>
          <w:lang w:val="en-US" w:eastAsia="zh-CN"/>
        </w:rPr>
        <w:t>3.</w:t>
      </w:r>
      <w:r>
        <w:rPr>
          <w:rFonts w:hint="eastAsia"/>
        </w:rPr>
        <w:t>若为其他组织：提供“对应主管部门颁发的准许执业证明文件或营业执照”；</w:t>
      </w:r>
      <w:r>
        <w:rPr>
          <w:rFonts w:hint="eastAsia"/>
          <w:lang w:val="en-US" w:eastAsia="zh-CN"/>
        </w:rPr>
        <w:t>4.</w:t>
      </w:r>
      <w:r>
        <w:rPr>
          <w:rFonts w:hint="eastAsia"/>
        </w:rPr>
        <w:t>若为自然人：提供“身份证明材料”</w:t>
      </w:r>
      <w:r>
        <w:rPr>
          <w:rFonts w:hint="eastAsia"/>
          <w:lang w:eastAsia="zh-CN"/>
        </w:rPr>
        <w:t>。</w:t>
      </w:r>
    </w:p>
    <w:p>
      <w:pPr>
        <w:pStyle w:val="47"/>
        <w:bidi w:val="0"/>
        <w:rPr>
          <w:rFonts w:hint="eastAsia"/>
          <w:lang w:val="en-US" w:eastAsia="zh-CN"/>
        </w:rPr>
      </w:pPr>
      <w:r>
        <w:rPr>
          <w:rFonts w:hint="eastAsia"/>
          <w:lang w:val="en-US" w:eastAsia="zh-CN"/>
        </w:rPr>
        <w:t>注：1.以上证明材料应满足此条要求①发证机关有年检要求的，应按规定通过年检；②在有效期内；③复印件加盖投标人电子签章；</w:t>
      </w:r>
    </w:p>
    <w:p>
      <w:pPr>
        <w:pStyle w:val="47"/>
        <w:bidi w:val="0"/>
        <w:rPr>
          <w:rFonts w:hint="eastAsia"/>
          <w:lang w:val="en-US" w:eastAsia="zh-CN"/>
        </w:rPr>
      </w:pPr>
      <w:r>
        <w:rPr>
          <w:rFonts w:hint="eastAsia"/>
          <w:lang w:val="en-US" w:eastAsia="zh-CN"/>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47"/>
        <w:bidi w:val="0"/>
      </w:pPr>
      <w:r>
        <w:rPr>
          <w:rFonts w:hint="eastAsia"/>
          <w:lang w:val="en-US" w:eastAsia="zh-CN"/>
        </w:rPr>
        <w:t>3.</w:t>
      </w:r>
      <w:r>
        <w:t>根据国务院办公厅关于加快推进“多证合一”改革的指导意见</w:t>
      </w:r>
      <w:r>
        <w:rPr>
          <w:rFonts w:hint="eastAsia"/>
          <w:lang w:eastAsia="zh-CN"/>
        </w:rPr>
        <w:t>(</w:t>
      </w:r>
      <w:r>
        <w:t>国办发</w:t>
      </w:r>
      <w:r>
        <w:rPr>
          <w:rFonts w:hint="eastAsia"/>
          <w:lang w:val="en-US" w:eastAsia="zh-CN"/>
        </w:rPr>
        <w:t>〔</w:t>
      </w:r>
      <w:r>
        <w:t>2017</w:t>
      </w:r>
      <w:r>
        <w:rPr>
          <w:rFonts w:hint="eastAsia"/>
          <w:lang w:val="en-US" w:eastAsia="zh-CN"/>
        </w:rPr>
        <w:t>〕</w:t>
      </w:r>
      <w:r>
        <w:t>41号</w:t>
      </w:r>
      <w:r>
        <w:rPr>
          <w:rFonts w:hint="eastAsia"/>
          <w:lang w:eastAsia="zh-CN"/>
        </w:rPr>
        <w:t>)</w:t>
      </w:r>
      <w:r>
        <w:t>等政策要求，若资格要求涉及的登记、备案等有关事项和各类证照已实行多证合一</w:t>
      </w:r>
      <w:r>
        <w:rPr>
          <w:rFonts w:hint="eastAsia"/>
          <w:lang w:eastAsia="zh-CN"/>
        </w:rPr>
        <w:t>提供多证合一证照</w:t>
      </w:r>
      <w:r>
        <w:rPr>
          <w:rFonts w:hint="eastAsia"/>
          <w:lang w:val="en-US" w:eastAsia="zh-CN"/>
        </w:rPr>
        <w:t>副本</w:t>
      </w:r>
      <w:r>
        <w:rPr>
          <w:rFonts w:hint="eastAsia"/>
          <w:lang w:eastAsia="zh-CN"/>
        </w:rPr>
        <w:t>复印件</w:t>
      </w:r>
      <w:r>
        <w:t>。</w:t>
      </w:r>
    </w:p>
    <w:p>
      <w:pPr>
        <w:pStyle w:val="32"/>
        <w:numPr>
          <w:ilvl w:val="1"/>
          <w:numId w:val="26"/>
        </w:numPr>
        <w:bidi w:val="0"/>
        <w:rPr>
          <w:rFonts w:hint="eastAsia"/>
          <w:b/>
          <w:bCs/>
        </w:rPr>
      </w:pPr>
      <w:r>
        <w:rPr>
          <w:rFonts w:hint="eastAsia"/>
          <w:b/>
          <w:bCs/>
          <w:lang w:val="en-US" w:eastAsia="zh-CN"/>
        </w:rPr>
        <w:t>投标人具有良好的商业信誉和健全的财务会计制度的证明材料；</w:t>
      </w:r>
    </w:p>
    <w:p>
      <w:pPr>
        <w:pStyle w:val="46"/>
        <w:bidi w:val="0"/>
        <w:rPr>
          <w:rFonts w:hint="eastAsia"/>
          <w:lang w:val="en-US" w:eastAsia="zh-CN"/>
        </w:rPr>
      </w:pPr>
      <w:r>
        <w:rPr>
          <w:rFonts w:hint="eastAsia"/>
          <w:lang w:val="en-US" w:eastAsia="zh-CN"/>
        </w:rPr>
        <w:t>1.投标人</w:t>
      </w:r>
      <w:r>
        <w:rPr>
          <w:rFonts w:hint="eastAsia"/>
        </w:rPr>
        <w:t>具</w:t>
      </w:r>
      <w:r>
        <w:rPr>
          <w:rFonts w:hint="eastAsia"/>
          <w:lang w:val="en-US" w:eastAsia="zh-CN"/>
        </w:rPr>
        <w:t>有</w:t>
      </w:r>
      <w:r>
        <w:rPr>
          <w:rFonts w:hint="eastAsia"/>
        </w:rPr>
        <w:t>良好商业信誉的证明材料</w:t>
      </w:r>
      <w:r>
        <w:rPr>
          <w:rFonts w:hint="eastAsia"/>
          <w:lang w:eastAsia="zh-CN"/>
        </w:rPr>
        <w:t>；</w:t>
      </w:r>
    </w:p>
    <w:p>
      <w:pPr>
        <w:pStyle w:val="46"/>
        <w:bidi w:val="0"/>
        <w:rPr>
          <w:rFonts w:hint="eastAsia"/>
          <w:lang w:eastAsia="zh-CN"/>
        </w:rPr>
      </w:pPr>
      <w:r>
        <w:rPr>
          <w:rFonts w:hint="eastAsia"/>
          <w:lang w:val="en-US" w:eastAsia="zh-CN"/>
        </w:rPr>
        <w:t>提供</w:t>
      </w:r>
      <w:r>
        <w:rPr>
          <w:rFonts w:hint="eastAsia"/>
        </w:rPr>
        <w:t>具</w:t>
      </w:r>
      <w:r>
        <w:rPr>
          <w:rFonts w:hint="eastAsia"/>
          <w:lang w:val="en-US" w:eastAsia="zh-CN"/>
        </w:rPr>
        <w:t>有</w:t>
      </w:r>
      <w:r>
        <w:rPr>
          <w:rFonts w:hint="eastAsia"/>
        </w:rPr>
        <w:t>良好</w:t>
      </w:r>
      <w:r>
        <w:rPr>
          <w:rFonts w:hint="eastAsia"/>
          <w:lang w:val="en-US" w:eastAsia="zh-CN"/>
        </w:rPr>
        <w:t>的</w:t>
      </w:r>
      <w:r>
        <w:rPr>
          <w:rFonts w:hint="eastAsia"/>
        </w:rPr>
        <w:t>商业信誉</w:t>
      </w:r>
      <w:r>
        <w:rPr>
          <w:rFonts w:hint="eastAsia"/>
          <w:lang w:val="en-US" w:eastAsia="zh-CN"/>
        </w:rPr>
        <w:t>的</w:t>
      </w:r>
      <w:r>
        <w:rPr>
          <w:rFonts w:hint="eastAsia"/>
        </w:rPr>
        <w:t>承诺函</w:t>
      </w:r>
      <w:r>
        <w:rPr>
          <w:rFonts w:hint="eastAsia"/>
          <w:lang w:eastAsia="zh-CN"/>
        </w:rPr>
        <w:t>。</w:t>
      </w:r>
    </w:p>
    <w:p>
      <w:pPr>
        <w:pStyle w:val="46"/>
        <w:bidi w:val="0"/>
        <w:rPr>
          <w:rFonts w:hint="eastAsia"/>
          <w:b/>
          <w:bCs/>
          <w:lang w:val="en-US" w:eastAsia="zh-CN"/>
        </w:rPr>
      </w:pPr>
      <w:r>
        <w:rPr>
          <w:rFonts w:hint="eastAsia"/>
          <w:b/>
          <w:bCs/>
          <w:lang w:val="en-US" w:eastAsia="zh-CN"/>
        </w:rPr>
        <w:t>注：投标人在参加政府采购活动前，被纳入法院、工商(市场监管)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46"/>
        <w:bidi w:val="0"/>
        <w:rPr>
          <w:rFonts w:hint="eastAsia"/>
          <w:lang w:val="en-US" w:eastAsia="zh-CN"/>
        </w:rPr>
      </w:pPr>
      <w:r>
        <w:rPr>
          <w:rFonts w:hint="eastAsia"/>
          <w:lang w:val="en-US" w:eastAsia="zh-CN"/>
        </w:rPr>
        <w:t>2.投标人具有健全的财务会计制度的证明材料；</w:t>
      </w:r>
    </w:p>
    <w:p>
      <w:pPr>
        <w:pStyle w:val="46"/>
        <w:bidi w:val="0"/>
        <w:rPr>
          <w:rFonts w:hint="default"/>
          <w:lang w:val="en-US" w:eastAsia="zh-CN"/>
        </w:rPr>
      </w:pPr>
      <w:r>
        <w:rPr>
          <w:rFonts w:hint="eastAsia"/>
          <w:lang w:val="en-US" w:eastAsia="zh-CN"/>
        </w:rPr>
        <w:t>(1)投标人提供2020年度经过会计师事务所审计的财务报告复印件(经审计的有效财务报告应包括报告及报告中所附的完整内容，并由注册会计师签名、盖章以及会计师事务所盖章)；</w:t>
      </w:r>
    </w:p>
    <w:p>
      <w:pPr>
        <w:pStyle w:val="46"/>
        <w:bidi w:val="0"/>
        <w:rPr>
          <w:rFonts w:hint="eastAsia"/>
          <w:lang w:val="en-US" w:eastAsia="zh-CN"/>
        </w:rPr>
      </w:pPr>
      <w:r>
        <w:rPr>
          <w:rFonts w:hint="eastAsia"/>
          <w:lang w:val="en-US" w:eastAsia="zh-CN"/>
        </w:rPr>
        <w:t>(2)投标人提供2020年度投标人内部的财务报表复印件(至少包含资产负债表)；</w:t>
      </w:r>
    </w:p>
    <w:p>
      <w:pPr>
        <w:pStyle w:val="46"/>
        <w:bidi w:val="0"/>
        <w:rPr>
          <w:rFonts w:hint="eastAsia"/>
          <w:lang w:val="en-US" w:eastAsia="zh-CN"/>
        </w:rPr>
      </w:pPr>
      <w:r>
        <w:rPr>
          <w:rFonts w:hint="eastAsia"/>
          <w:lang w:val="en-US" w:eastAsia="zh-CN"/>
        </w:rPr>
        <w:t>(3)投标人提供投标文件递交截止日前一年内银行为其出具的资信证明复印件；</w:t>
      </w:r>
    </w:p>
    <w:p>
      <w:pPr>
        <w:pStyle w:val="46"/>
        <w:bidi w:val="0"/>
        <w:rPr>
          <w:rFonts w:hint="eastAsia"/>
          <w:lang w:val="en-US" w:eastAsia="zh-CN"/>
        </w:rPr>
      </w:pPr>
      <w:r>
        <w:rPr>
          <w:rFonts w:hint="eastAsia"/>
          <w:lang w:val="en-US" w:eastAsia="zh-CN"/>
        </w:rPr>
        <w:t>(4)投标人注册时间截至投标文件递交截止日不足一年的，可提供公司章程复印件；</w:t>
      </w:r>
    </w:p>
    <w:p>
      <w:pPr>
        <w:pStyle w:val="46"/>
        <w:bidi w:val="0"/>
        <w:rPr>
          <w:rFonts w:hint="default"/>
          <w:lang w:val="en-US" w:eastAsia="zh-CN"/>
        </w:rPr>
      </w:pPr>
      <w:r>
        <w:rPr>
          <w:rFonts w:hint="eastAsia"/>
          <w:lang w:val="en-US" w:eastAsia="zh-CN"/>
        </w:rPr>
        <w:t>(5)投标人为事业单位或其他组织(不具备法人条件的组织，如</w:t>
      </w:r>
      <w:r>
        <w:rPr>
          <w:rFonts w:hint="eastAsia"/>
          <w:color w:val="auto"/>
        </w:rPr>
        <w:t>合伙组织、个体工商户、农村承包经营户</w:t>
      </w:r>
      <w:r>
        <w:rPr>
          <w:rFonts w:hint="eastAsia"/>
          <w:color w:val="auto"/>
          <w:lang w:val="en-US" w:eastAsia="zh-CN"/>
        </w:rPr>
        <w:t>等)</w:t>
      </w:r>
      <w:r>
        <w:rPr>
          <w:rFonts w:hint="eastAsia"/>
          <w:lang w:val="en-US" w:eastAsia="zh-CN"/>
        </w:rPr>
        <w:t>或自然人时，可提供承诺函。</w:t>
      </w:r>
    </w:p>
    <w:p>
      <w:pPr>
        <w:pStyle w:val="47"/>
        <w:bidi w:val="0"/>
        <w:rPr>
          <w:rFonts w:hint="eastAsia"/>
        </w:rPr>
      </w:pPr>
      <w:r>
        <w:rPr>
          <w:rFonts w:hint="eastAsia"/>
          <w:b/>
          <w:bCs/>
          <w:lang w:val="en-US" w:eastAsia="zh-CN"/>
        </w:rPr>
        <w:t>注：具有健全的财务会计制度的证明材料中第(1)-(5)项具有同等的投标效力，投标人可根据自身实际情况选择提供其中任意一项。</w:t>
      </w:r>
    </w:p>
    <w:p>
      <w:pPr>
        <w:pStyle w:val="32"/>
        <w:numPr>
          <w:ilvl w:val="1"/>
          <w:numId w:val="26"/>
        </w:numPr>
        <w:bidi w:val="0"/>
        <w:rPr>
          <w:rFonts w:hint="eastAsia"/>
          <w:b/>
          <w:bCs/>
        </w:rPr>
      </w:pPr>
      <w:r>
        <w:rPr>
          <w:rFonts w:hint="eastAsia"/>
          <w:b/>
          <w:bCs/>
          <w:lang w:val="en-US" w:eastAsia="zh-CN"/>
        </w:rPr>
        <w:t>投标人</w:t>
      </w:r>
      <w:r>
        <w:rPr>
          <w:rFonts w:hint="eastAsia"/>
          <w:b/>
          <w:bCs/>
        </w:rPr>
        <w:t>具有履行合同所必需的设备和专业技术能力</w:t>
      </w:r>
      <w:r>
        <w:rPr>
          <w:rFonts w:hint="eastAsia"/>
          <w:b/>
          <w:bCs/>
          <w:lang w:val="en-US" w:eastAsia="zh-CN"/>
        </w:rPr>
        <w:t>证明材料；</w:t>
      </w:r>
    </w:p>
    <w:p>
      <w:pPr>
        <w:pStyle w:val="46"/>
        <w:bidi w:val="0"/>
        <w:rPr>
          <w:rFonts w:hint="eastAsia"/>
          <w:lang w:val="en-US" w:eastAsia="zh-CN"/>
        </w:rPr>
      </w:pPr>
      <w:r>
        <w:rPr>
          <w:rFonts w:hint="eastAsia"/>
          <w:lang w:val="en-US" w:eastAsia="zh-CN"/>
        </w:rPr>
        <w:t>提供具有履行合同所必需的设备和专业技术能力的承诺函。</w:t>
      </w:r>
    </w:p>
    <w:p>
      <w:pPr>
        <w:pStyle w:val="47"/>
        <w:bidi w:val="0"/>
        <w:rPr>
          <w:rFonts w:hint="eastAsia"/>
          <w:lang w:val="en-US" w:eastAsia="zh-CN"/>
        </w:rPr>
      </w:pPr>
      <w:r>
        <w:rPr>
          <w:rFonts w:hint="eastAsia"/>
          <w:lang w:val="en-US" w:eastAsia="zh-CN"/>
        </w:rPr>
        <w:t>注：格式自拟，或参照《符合&lt;中华人民共和国政府采购法&gt;第二十二条规定的条件的承诺及声明函》的格式提供承诺函。</w:t>
      </w:r>
    </w:p>
    <w:p>
      <w:pPr>
        <w:pStyle w:val="32"/>
        <w:numPr>
          <w:ilvl w:val="1"/>
          <w:numId w:val="26"/>
        </w:numPr>
        <w:bidi w:val="0"/>
        <w:rPr>
          <w:rFonts w:hint="eastAsia"/>
          <w:b/>
          <w:bCs/>
        </w:rPr>
      </w:pPr>
      <w:r>
        <w:rPr>
          <w:rFonts w:hint="eastAsia"/>
          <w:b/>
          <w:bCs/>
          <w:lang w:val="en-US" w:eastAsia="zh-CN"/>
        </w:rPr>
        <w:t>投标人具</w:t>
      </w:r>
      <w:r>
        <w:rPr>
          <w:rFonts w:hint="eastAsia"/>
          <w:b/>
          <w:bCs/>
        </w:rPr>
        <w:t>有依法缴纳税收和社会保障资金的良好记录</w:t>
      </w:r>
      <w:r>
        <w:rPr>
          <w:rFonts w:hint="eastAsia"/>
          <w:b/>
          <w:bCs/>
          <w:lang w:val="en-US" w:eastAsia="zh-CN"/>
        </w:rPr>
        <w:t>的证明材料；</w:t>
      </w:r>
    </w:p>
    <w:p>
      <w:pPr>
        <w:pStyle w:val="46"/>
        <w:bidi w:val="0"/>
        <w:rPr>
          <w:rFonts w:hint="eastAsia"/>
        </w:rPr>
      </w:pPr>
      <w:r>
        <w:rPr>
          <w:rFonts w:hint="eastAsia"/>
        </w:rPr>
        <w:t>提供</w:t>
      </w:r>
      <w:r>
        <w:rPr>
          <w:rFonts w:hint="eastAsia"/>
          <w:lang w:val="zh-CN"/>
        </w:rPr>
        <w:t>依法缴纳税收和社会保障资金的良好记录</w:t>
      </w:r>
      <w:r>
        <w:rPr>
          <w:rFonts w:hint="eastAsia"/>
        </w:rPr>
        <w:t>的承诺函</w:t>
      </w:r>
      <w:r>
        <w:rPr>
          <w:rFonts w:hint="eastAsia"/>
          <w:lang w:eastAsia="zh-CN"/>
        </w:rPr>
        <w:t>。</w:t>
      </w:r>
    </w:p>
    <w:p>
      <w:pPr>
        <w:pStyle w:val="47"/>
        <w:bidi w:val="0"/>
        <w:rPr>
          <w:rFonts w:hint="default"/>
          <w:lang w:val="en-US" w:eastAsia="zh-CN"/>
        </w:rPr>
      </w:pPr>
      <w:r>
        <w:rPr>
          <w:rFonts w:hint="eastAsia"/>
          <w:lang w:val="en-US" w:eastAsia="zh-CN"/>
        </w:rPr>
        <w:t>注：格式自拟，或参照《符合&lt;中华人民共和国政府采购法&gt;第二十二条规定的条件的承诺及声明函》的格式提供承诺函。</w:t>
      </w:r>
    </w:p>
    <w:p>
      <w:pPr>
        <w:pStyle w:val="32"/>
        <w:numPr>
          <w:ilvl w:val="1"/>
          <w:numId w:val="26"/>
        </w:numPr>
        <w:bidi w:val="0"/>
        <w:rPr>
          <w:rFonts w:hint="eastAsia"/>
          <w:b/>
          <w:bCs/>
          <w:lang w:eastAsia="zh-CN"/>
        </w:rPr>
      </w:pPr>
      <w:r>
        <w:rPr>
          <w:rFonts w:hint="eastAsia"/>
          <w:b/>
          <w:bCs/>
          <w:lang w:val="en-US" w:eastAsia="zh-CN"/>
        </w:rPr>
        <w:t>投标人参加政府采购活动前三年内，在经营活动中没有重大违法记录的证明材料；</w:t>
      </w:r>
    </w:p>
    <w:p>
      <w:pPr>
        <w:pStyle w:val="46"/>
        <w:bidi w:val="0"/>
        <w:rPr>
          <w:rFonts w:hint="eastAsia"/>
          <w:lang w:val="en-US" w:eastAsia="zh-CN"/>
        </w:rPr>
      </w:pPr>
      <w:r>
        <w:rPr>
          <w:rFonts w:hint="eastAsia"/>
          <w:lang w:val="en-US" w:eastAsia="zh-CN"/>
        </w:rPr>
        <w:t>提供参加本次政府采购活动前三年内，在经营活动中没有重大违法记录的书面声明(成立不足三年的，从成立之日起计算)。</w:t>
      </w:r>
    </w:p>
    <w:p>
      <w:pPr>
        <w:pStyle w:val="32"/>
        <w:numPr>
          <w:ilvl w:val="1"/>
          <w:numId w:val="26"/>
        </w:numPr>
        <w:bidi w:val="0"/>
        <w:rPr>
          <w:rFonts w:hint="eastAsia" w:ascii="宋体" w:hAnsi="宋体" w:eastAsia="宋体" w:cs="宋体"/>
          <w:b/>
          <w:bCs/>
          <w:color w:val="auto"/>
          <w:highlight w:val="none"/>
        </w:rPr>
      </w:pPr>
      <w:r>
        <w:rPr>
          <w:rFonts w:hint="eastAsia"/>
          <w:b/>
          <w:bCs/>
          <w:lang w:val="en-US" w:eastAsia="zh-CN"/>
        </w:rPr>
        <w:t>投标</w:t>
      </w:r>
      <w:r>
        <w:rPr>
          <w:rFonts w:hint="eastAsia" w:ascii="宋体" w:hAnsi="宋体" w:eastAsia="宋体" w:cs="宋体"/>
          <w:b/>
          <w:bCs/>
          <w:color w:val="auto"/>
          <w:highlight w:val="none"/>
          <w:lang w:val="en-US" w:eastAsia="zh-CN"/>
        </w:rPr>
        <w:t>人</w:t>
      </w:r>
      <w:r>
        <w:rPr>
          <w:rFonts w:hint="eastAsia" w:ascii="宋体" w:hAnsi="宋体" w:eastAsia="宋体" w:cs="宋体"/>
          <w:b/>
          <w:bCs/>
          <w:color w:val="auto"/>
          <w:highlight w:val="none"/>
          <w:lang w:val="zh-CN" w:eastAsia="zh-CN"/>
        </w:rPr>
        <w:t>及其现任法定代表人、主要负责人不得具有行贿犯罪记录</w:t>
      </w:r>
      <w:r>
        <w:rPr>
          <w:rFonts w:hint="eastAsia" w:ascii="宋体" w:hAnsi="宋体" w:eastAsia="宋体" w:cs="宋体"/>
          <w:b/>
          <w:bCs/>
          <w:color w:val="auto"/>
          <w:highlight w:val="none"/>
          <w:lang w:val="en-US" w:eastAsia="zh-CN"/>
        </w:rPr>
        <w:t>的证明材料</w:t>
      </w:r>
      <w:r>
        <w:rPr>
          <w:rFonts w:hint="eastAsia" w:ascii="宋体" w:hAnsi="宋体" w:eastAsia="宋体" w:cs="宋体"/>
          <w:b/>
          <w:bCs/>
          <w:color w:val="auto"/>
          <w:highlight w:val="none"/>
          <w:lang w:val="zh-CN" w:eastAsia="zh-CN"/>
        </w:rPr>
        <w:t>；</w:t>
      </w:r>
    </w:p>
    <w:p>
      <w:pPr>
        <w:pStyle w:val="47"/>
        <w:bidi w:val="0"/>
        <w:jc w:val="both"/>
        <w:rPr>
          <w:rFonts w:hint="eastAsia"/>
          <w:b w:val="0"/>
          <w:bCs/>
          <w:color w:val="auto"/>
          <w:highlight w:val="none"/>
          <w:lang w:val="en-US" w:eastAsia="zh-CN"/>
        </w:rPr>
      </w:pPr>
      <w:r>
        <w:rPr>
          <w:rFonts w:hint="eastAsia"/>
          <w:b w:val="0"/>
          <w:bCs/>
          <w:color w:val="auto"/>
          <w:highlight w:val="none"/>
          <w:lang w:val="en-US" w:eastAsia="zh-CN"/>
        </w:rPr>
        <w:t>1.在投标文件中作出投标人及其现任法定代表人(姓名和身份证号码)、主要负责人(姓名和身份证号码)10年内(</w:t>
      </w:r>
      <w:r>
        <w:rPr>
          <w:rFonts w:hint="eastAsia"/>
          <w:b w:val="0"/>
          <w:bCs/>
          <w:color w:val="auto"/>
          <w:highlight w:val="none"/>
          <w:lang w:val="zh-CN" w:eastAsia="zh-CN"/>
        </w:rPr>
        <w:t>若</w:t>
      </w:r>
      <w:r>
        <w:rPr>
          <w:rFonts w:hint="eastAsia"/>
          <w:b w:val="0"/>
          <w:bCs/>
          <w:color w:val="auto"/>
          <w:highlight w:val="none"/>
          <w:lang w:val="en-US" w:eastAsia="zh-CN"/>
        </w:rPr>
        <w:t>供应商</w:t>
      </w:r>
      <w:r>
        <w:rPr>
          <w:rFonts w:hint="eastAsia"/>
          <w:b w:val="0"/>
          <w:bCs/>
          <w:color w:val="auto"/>
          <w:highlight w:val="none"/>
          <w:lang w:val="zh-CN" w:eastAsia="zh-CN"/>
        </w:rPr>
        <w:t>成立不足10年的，</w:t>
      </w:r>
      <w:r>
        <w:rPr>
          <w:rFonts w:hint="eastAsia"/>
          <w:b w:val="0"/>
          <w:bCs/>
          <w:color w:val="auto"/>
          <w:highlight w:val="none"/>
          <w:lang w:val="en-US" w:eastAsia="zh-CN"/>
        </w:rPr>
        <w:t>承诺期限为</w:t>
      </w:r>
      <w:r>
        <w:rPr>
          <w:rFonts w:hint="eastAsia"/>
          <w:b w:val="0"/>
          <w:bCs/>
          <w:color w:val="auto"/>
          <w:highlight w:val="none"/>
          <w:lang w:val="zh-CN" w:eastAsia="zh-CN"/>
        </w:rPr>
        <w:t>成立之日起</w:t>
      </w:r>
      <w:r>
        <w:rPr>
          <w:rFonts w:hint="eastAsia"/>
          <w:b w:val="0"/>
          <w:bCs/>
          <w:color w:val="auto"/>
          <w:highlight w:val="none"/>
          <w:lang w:val="en-US" w:eastAsia="zh-CN"/>
        </w:rPr>
        <w:t>至今)无行贿犯罪记录的承诺；</w:t>
      </w:r>
    </w:p>
    <w:p>
      <w:pPr>
        <w:pStyle w:val="47"/>
        <w:bidi w:val="0"/>
        <w:jc w:val="both"/>
        <w:rPr>
          <w:rFonts w:hint="eastAsia"/>
          <w:b w:val="0"/>
          <w:bCs/>
          <w:color w:val="auto"/>
          <w:highlight w:val="none"/>
          <w:lang w:val="zh-CN" w:eastAsia="zh-CN"/>
        </w:rPr>
      </w:pPr>
      <w:r>
        <w:rPr>
          <w:rFonts w:hint="eastAsia"/>
          <w:b w:val="0"/>
          <w:bCs/>
          <w:color w:val="auto"/>
          <w:highlight w:val="none"/>
          <w:lang w:val="en-US" w:eastAsia="zh-CN"/>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b w:val="0"/>
          <w:bCs/>
          <w:color w:val="auto"/>
          <w:highlight w:val="none"/>
          <w:lang w:val="zh-CN" w:eastAsia="zh-CN"/>
        </w:rPr>
        <w:t>。</w:t>
      </w:r>
    </w:p>
    <w:p>
      <w:pPr>
        <w:pStyle w:val="63"/>
        <w:keepNext w:val="0"/>
        <w:keepLines w:val="0"/>
        <w:pageBreakBefore w:val="0"/>
        <w:widowControl w:val="0"/>
        <w:numPr>
          <w:ilvl w:val="3"/>
          <w:numId w:val="0"/>
        </w:numPr>
        <w:kinsoku/>
        <w:wordWrap w:val="0"/>
        <w:overflowPunct/>
        <w:topLinePunct/>
        <w:autoSpaceDE/>
        <w:autoSpaceDN/>
        <w:bidi w:val="0"/>
        <w:adjustRightInd w:val="0"/>
        <w:snapToGrid w:val="0"/>
        <w:ind w:leftChars="0" w:firstLine="482" w:firstLineChars="200"/>
        <w:textAlignment w:val="auto"/>
        <w:rPr>
          <w:rFonts w:hint="default"/>
          <w:b/>
          <w:bCs/>
          <w:lang w:val="en-US" w:eastAsia="zh-CN"/>
        </w:rPr>
      </w:pPr>
      <w:r>
        <w:rPr>
          <w:rFonts w:hint="eastAsia"/>
          <w:b/>
          <w:bCs/>
          <w:color w:val="auto"/>
          <w:highlight w:val="none"/>
          <w:lang w:val="en-US" w:eastAsia="zh-CN"/>
        </w:rPr>
        <w:t>注：</w:t>
      </w:r>
      <w:r>
        <w:rPr>
          <w:rFonts w:hint="eastAsia"/>
          <w:b/>
          <w:bCs/>
          <w:color w:val="auto"/>
          <w:highlight w:val="none"/>
          <w:lang w:eastAsia="zh-CN"/>
        </w:rPr>
        <w:t>①</w:t>
      </w:r>
      <w:r>
        <w:rPr>
          <w:rFonts w:hint="eastAsia"/>
          <w:b/>
          <w:bCs/>
          <w:color w:val="auto"/>
          <w:highlight w:val="none"/>
          <w:lang w:val="en-US" w:eastAsia="zh-CN"/>
        </w:rPr>
        <w:t>投标人采用提供承诺函方式响应的，其内容必须符合上述第1款的要求，否则将视为无效承诺；</w:t>
      </w:r>
      <w:r>
        <w:rPr>
          <w:rFonts w:hint="eastAsia"/>
          <w:b/>
          <w:bCs/>
          <w:color w:val="auto"/>
          <w:highlight w:val="none"/>
          <w:lang w:eastAsia="zh-CN"/>
        </w:rPr>
        <w:t>②</w:t>
      </w:r>
      <w:r>
        <w:rPr>
          <w:rFonts w:hint="eastAsia"/>
          <w:b/>
          <w:bCs/>
          <w:color w:val="auto"/>
          <w:highlight w:val="none"/>
          <w:lang w:val="en-US" w:eastAsia="zh-CN"/>
        </w:rPr>
        <w:t>如投标人未提供有效承诺函，且未</w:t>
      </w:r>
      <w:r>
        <w:rPr>
          <w:rFonts w:hint="eastAsia"/>
          <w:b/>
          <w:bCs w:val="0"/>
          <w:color w:val="auto"/>
          <w:highlight w:val="none"/>
          <w:lang w:val="en-US" w:eastAsia="zh-CN"/>
        </w:rPr>
        <w:t>在投标文件中书面载明</w:t>
      </w:r>
      <w:r>
        <w:rPr>
          <w:rFonts w:hint="eastAsia"/>
          <w:b/>
          <w:bCs/>
          <w:color w:val="auto"/>
          <w:highlight w:val="none"/>
          <w:lang w:val="en-US" w:eastAsia="zh-CN"/>
        </w:rPr>
        <w:t>其“现任法定代表人”(姓名和身份证号码)、“主要负责人”(姓名和身份证号码)信息的，将被视为无效投标。</w:t>
      </w:r>
    </w:p>
    <w:p>
      <w:pPr>
        <w:pStyle w:val="32"/>
        <w:numPr>
          <w:ilvl w:val="1"/>
          <w:numId w:val="26"/>
        </w:numPr>
        <w:bidi w:val="0"/>
        <w:rPr>
          <w:rFonts w:hint="eastAsia"/>
          <w:b/>
          <w:bCs/>
        </w:rPr>
      </w:pPr>
      <w:r>
        <w:rPr>
          <w:rFonts w:hint="eastAsia"/>
          <w:b/>
          <w:bCs/>
          <w:lang w:val="en-US" w:eastAsia="zh-CN"/>
        </w:rPr>
        <w:t>投标供应商不得为“信用中国”网站(www.creditchina.gov.cn)中列入失信被执行人和重大税收违法案件当事人名单的供应商，不得为“中国政府采购网”(www.ccgp.gov.cn)</w:t>
      </w:r>
      <w:r>
        <w:rPr>
          <w:rFonts w:hint="eastAsia"/>
          <w:b/>
          <w:bCs/>
        </w:rPr>
        <w:t>政府采购严重违法失信行为记录名单中被财政部门禁止参加政府采购活动的供应商</w:t>
      </w:r>
      <w:r>
        <w:rPr>
          <w:rFonts w:hint="eastAsia"/>
          <w:b/>
          <w:bCs/>
          <w:lang w:eastAsia="zh-CN"/>
        </w:rPr>
        <w:t>(</w:t>
      </w:r>
      <w:r>
        <w:rPr>
          <w:rFonts w:hint="eastAsia"/>
          <w:b/>
          <w:bCs/>
        </w:rPr>
        <w:t>处罚决定规定的时间和地域范围内</w:t>
      </w:r>
      <w:r>
        <w:rPr>
          <w:rFonts w:hint="eastAsia"/>
          <w:b/>
          <w:bCs/>
          <w:lang w:eastAsia="zh-CN"/>
        </w:rPr>
        <w:t>)；</w:t>
      </w:r>
      <w:r>
        <w:rPr>
          <w:rFonts w:hint="eastAsia"/>
          <w:b/>
          <w:bCs/>
          <w:lang w:val="en-US" w:eastAsia="zh-CN"/>
        </w:rPr>
        <w:t xml:space="preserve"> </w:t>
      </w:r>
    </w:p>
    <w:p>
      <w:pPr>
        <w:pStyle w:val="46"/>
        <w:bidi w:val="0"/>
        <w:rPr>
          <w:rFonts w:hint="eastAsia"/>
        </w:rPr>
      </w:pPr>
      <w:r>
        <w:rPr>
          <w:rFonts w:hint="eastAsia"/>
        </w:rPr>
        <w:t>采购代理机构通过</w:t>
      </w:r>
      <w:r>
        <w:rPr>
          <w:rFonts w:hint="eastAsia"/>
          <w:lang w:eastAsia="zh-CN"/>
        </w:rPr>
        <w:t>“</w:t>
      </w:r>
      <w:r>
        <w:rPr>
          <w:rFonts w:hint="eastAsia"/>
        </w:rPr>
        <w:t>信用中国</w:t>
      </w:r>
      <w:r>
        <w:rPr>
          <w:rFonts w:hint="eastAsia"/>
          <w:lang w:eastAsia="zh-CN"/>
        </w:rPr>
        <w:t>”</w:t>
      </w:r>
      <w:r>
        <w:rPr>
          <w:rFonts w:hint="eastAsia"/>
        </w:rPr>
        <w:t>网站、</w:t>
      </w:r>
      <w:r>
        <w:rPr>
          <w:rFonts w:hint="eastAsia"/>
          <w:lang w:eastAsia="zh-CN"/>
        </w:rPr>
        <w:t>“</w:t>
      </w:r>
      <w:r>
        <w:rPr>
          <w:rFonts w:hint="eastAsia"/>
        </w:rPr>
        <w:t>中国政府采购网</w:t>
      </w:r>
      <w:r>
        <w:rPr>
          <w:rFonts w:hint="eastAsia"/>
          <w:lang w:eastAsia="zh-CN"/>
        </w:rPr>
        <w:t>”</w:t>
      </w:r>
      <w:r>
        <w:rPr>
          <w:rFonts w:hint="eastAsia"/>
        </w:rPr>
        <w:t>等渠道对供应商进行信用记录查询，并将查询记录存档</w:t>
      </w:r>
      <w:r>
        <w:rPr>
          <w:rFonts w:hint="eastAsia"/>
          <w:lang w:val="en-US" w:eastAsia="zh-CN"/>
        </w:rPr>
        <w:t>(纸质截图或电子介质)</w:t>
      </w:r>
      <w:r>
        <w:rPr>
          <w:rFonts w:hint="eastAsia"/>
        </w:rPr>
        <w:t>。凡被列入失信被执行人、重大税收违法案件当事人名单、政府采购严重违法失信行</w:t>
      </w:r>
      <w:r>
        <w:rPr>
          <w:rFonts w:hint="eastAsia" w:ascii="宋体" w:hAnsi="宋体" w:eastAsia="宋体"/>
        </w:rPr>
        <w:t>为记录名单的，视为存在不良信用记录，参与本项目的将被拒绝；</w:t>
      </w:r>
    </w:p>
    <w:p>
      <w:pPr>
        <w:pStyle w:val="47"/>
        <w:bidi w:val="0"/>
        <w:rPr>
          <w:rFonts w:hint="eastAsia"/>
          <w:lang w:eastAsia="zh-CN"/>
        </w:rPr>
      </w:pPr>
      <w:r>
        <w:rPr>
          <w:rFonts w:hint="eastAsia"/>
          <w:lang w:val="en-US" w:eastAsia="zh-CN"/>
        </w:rPr>
        <w:t>注：投标人参与投标时无需对此条进行响应</w:t>
      </w:r>
      <w:r>
        <w:rPr>
          <w:rFonts w:hint="eastAsia"/>
          <w:lang w:eastAsia="zh-CN"/>
        </w:rPr>
        <w:t>。</w:t>
      </w:r>
    </w:p>
    <w:p>
      <w:pPr>
        <w:pStyle w:val="32"/>
        <w:numPr>
          <w:ilvl w:val="1"/>
          <w:numId w:val="26"/>
        </w:numPr>
        <w:bidi w:val="0"/>
        <w:rPr>
          <w:rFonts w:hint="eastAsia"/>
          <w:b/>
          <w:bCs/>
        </w:rPr>
      </w:pPr>
      <w:r>
        <w:rPr>
          <w:rFonts w:hint="eastAsia"/>
          <w:b/>
          <w:bCs/>
        </w:rPr>
        <w:t>法定代表人</w:t>
      </w:r>
      <w:r>
        <w:rPr>
          <w:rFonts w:hint="eastAsia"/>
          <w:b/>
          <w:bCs/>
          <w:lang w:val="en-US" w:eastAsia="zh-CN"/>
        </w:rPr>
        <w:t>/单位负责人</w:t>
      </w:r>
      <w:r>
        <w:rPr>
          <w:rFonts w:hint="eastAsia"/>
          <w:b/>
          <w:bCs/>
        </w:rPr>
        <w:t>授权书原件</w:t>
      </w:r>
      <w:r>
        <w:rPr>
          <w:rFonts w:hint="eastAsia"/>
          <w:b/>
          <w:bCs/>
          <w:lang w:val="en-US" w:eastAsia="zh-CN"/>
        </w:rPr>
        <w:t>；</w:t>
      </w:r>
    </w:p>
    <w:p>
      <w:pPr>
        <w:pStyle w:val="47"/>
        <w:bidi w:val="0"/>
        <w:rPr>
          <w:rFonts w:hint="eastAsia"/>
          <w:lang w:eastAsia="zh-CN"/>
        </w:rPr>
      </w:pPr>
      <w:r>
        <w:rPr>
          <w:rFonts w:hint="eastAsia"/>
          <w:lang w:val="en-US" w:eastAsia="zh-CN"/>
        </w:rPr>
        <w:t>注：</w:t>
      </w:r>
      <w:r>
        <w:rPr>
          <w:rFonts w:hint="eastAsia"/>
          <w:lang w:eastAsia="zh-CN"/>
        </w:rPr>
        <w:t>①附法定代表人</w:t>
      </w:r>
      <w:r>
        <w:rPr>
          <w:rFonts w:hint="eastAsia"/>
          <w:lang w:val="en-US" w:eastAsia="zh-CN"/>
        </w:rPr>
        <w:t>/单位负责人</w:t>
      </w:r>
      <w:r>
        <w:rPr>
          <w:rFonts w:hint="eastAsia"/>
          <w:lang w:eastAsia="zh-CN"/>
        </w:rPr>
        <w:t>和被授权人身份证正反面复印件；②法定代表人</w:t>
      </w:r>
      <w:r>
        <w:rPr>
          <w:rFonts w:hint="eastAsia"/>
          <w:lang w:val="en-US" w:eastAsia="zh-CN"/>
        </w:rPr>
        <w:t>/单位负责人亲自</w:t>
      </w:r>
      <w:r>
        <w:rPr>
          <w:rFonts w:hint="eastAsia"/>
          <w:lang w:eastAsia="zh-CN"/>
        </w:rPr>
        <w:t>参与</w:t>
      </w:r>
      <w:r>
        <w:rPr>
          <w:rFonts w:hint="eastAsia"/>
          <w:lang w:val="en-US" w:eastAsia="zh-CN"/>
        </w:rPr>
        <w:t>投标</w:t>
      </w:r>
      <w:r>
        <w:rPr>
          <w:rFonts w:hint="eastAsia"/>
          <w:lang w:eastAsia="zh-CN"/>
        </w:rPr>
        <w:t>时不需要提供。</w:t>
      </w:r>
    </w:p>
    <w:p>
      <w:pPr>
        <w:pStyle w:val="32"/>
        <w:numPr>
          <w:ilvl w:val="1"/>
          <w:numId w:val="26"/>
        </w:numPr>
        <w:bidi w:val="0"/>
        <w:rPr>
          <w:rFonts w:hint="eastAsia"/>
          <w:b/>
          <w:bCs/>
        </w:rPr>
      </w:pPr>
      <w:r>
        <w:rPr>
          <w:rFonts w:hint="eastAsia"/>
          <w:b/>
          <w:bCs/>
        </w:rPr>
        <w:t>法定代表人</w:t>
      </w:r>
      <w:r>
        <w:rPr>
          <w:rFonts w:hint="eastAsia"/>
          <w:b/>
          <w:bCs/>
          <w:lang w:val="en-US" w:eastAsia="zh-CN"/>
        </w:rPr>
        <w:t>/单位负责人</w:t>
      </w:r>
      <w:r>
        <w:rPr>
          <w:rFonts w:hint="eastAsia"/>
          <w:b/>
          <w:bCs/>
        </w:rPr>
        <w:t>证明书</w:t>
      </w:r>
      <w:r>
        <w:rPr>
          <w:rFonts w:hint="eastAsia"/>
          <w:b/>
          <w:bCs/>
          <w:lang w:val="en-US" w:eastAsia="zh-CN"/>
        </w:rPr>
        <w:t>；</w:t>
      </w:r>
    </w:p>
    <w:p>
      <w:pPr>
        <w:pStyle w:val="47"/>
        <w:bidi w:val="0"/>
        <w:rPr>
          <w:rFonts w:hint="eastAsia"/>
          <w:lang w:val="en-US" w:eastAsia="zh-CN"/>
        </w:rPr>
      </w:pPr>
      <w:r>
        <w:rPr>
          <w:rFonts w:hint="eastAsia"/>
          <w:lang w:val="en-US" w:eastAsia="zh-CN"/>
        </w:rPr>
        <w:t>注：①</w:t>
      </w:r>
      <w:r>
        <w:rPr>
          <w:rFonts w:hint="eastAsia"/>
          <w:lang w:eastAsia="zh-CN"/>
        </w:rPr>
        <w:t>附</w:t>
      </w:r>
      <w:r>
        <w:rPr>
          <w:rFonts w:hint="eastAsia"/>
          <w:lang w:val="en-US" w:eastAsia="zh-CN"/>
        </w:rPr>
        <w:t>法定代表人/单位负责人身份证正反面复印件；②法定代表人/单位负责人亲自参加投标时提供本证明书。</w:t>
      </w:r>
    </w:p>
    <w:p>
      <w:pPr>
        <w:pStyle w:val="32"/>
        <w:numPr>
          <w:ilvl w:val="1"/>
          <w:numId w:val="26"/>
        </w:numPr>
        <w:bidi w:val="0"/>
        <w:rPr>
          <w:rFonts w:hint="eastAsia"/>
          <w:b/>
          <w:bCs/>
        </w:rPr>
      </w:pPr>
      <w:r>
        <w:rPr>
          <w:rFonts w:hint="eastAsia"/>
          <w:b/>
          <w:bCs/>
          <w:lang w:val="en-US" w:eastAsia="zh-CN"/>
        </w:rPr>
        <w:t>法律、</w:t>
      </w:r>
      <w:r>
        <w:rPr>
          <w:rFonts w:hint="eastAsia"/>
          <w:b/>
          <w:bCs/>
          <w:lang w:val="en-US" w:eastAsia="zh-CN"/>
        </w:rPr>
        <w:fldChar w:fldCharType="begin"/>
      </w:r>
      <w:r>
        <w:rPr>
          <w:rFonts w:hint="eastAsia"/>
          <w:b/>
          <w:bCs/>
          <w:lang w:val="en-US" w:eastAsia="zh-CN"/>
        </w:rPr>
        <w:instrText xml:space="preserve"> HYPERLINK "http://www.lawtime.cn/info/sifakaoshi/xingzhengfa/" \t "_blank" </w:instrText>
      </w:r>
      <w:r>
        <w:rPr>
          <w:rFonts w:hint="eastAsia"/>
          <w:b/>
          <w:bCs/>
          <w:lang w:val="en-US" w:eastAsia="zh-CN"/>
        </w:rPr>
        <w:fldChar w:fldCharType="separate"/>
      </w:r>
      <w:r>
        <w:rPr>
          <w:rFonts w:hint="eastAsia"/>
          <w:b/>
          <w:bCs/>
          <w:lang w:val="en-US" w:eastAsia="zh-CN"/>
        </w:rPr>
        <w:t>行政法</w:t>
      </w:r>
      <w:r>
        <w:rPr>
          <w:rFonts w:hint="eastAsia"/>
          <w:b/>
          <w:bCs/>
          <w:lang w:val="en-US" w:eastAsia="zh-CN"/>
        </w:rPr>
        <w:fldChar w:fldCharType="end"/>
      </w:r>
      <w:r>
        <w:rPr>
          <w:rFonts w:hint="eastAsia"/>
          <w:b/>
          <w:bCs/>
          <w:lang w:val="en-US" w:eastAsia="zh-CN"/>
        </w:rPr>
        <w:t>规规定的其他条件的证明材料；</w:t>
      </w:r>
    </w:p>
    <w:p>
      <w:pPr>
        <w:pStyle w:val="46"/>
        <w:bidi w:val="0"/>
        <w:rPr>
          <w:rFonts w:hint="eastAsia"/>
          <w:lang w:val="en-US" w:eastAsia="zh-CN"/>
        </w:rPr>
      </w:pPr>
      <w:r>
        <w:rPr>
          <w:rFonts w:hint="eastAsia"/>
          <w:lang w:val="en-US" w:eastAsia="zh-CN"/>
        </w:rPr>
        <w:t>提供符合法律、</w:t>
      </w:r>
      <w:r>
        <w:rPr>
          <w:rFonts w:hint="eastAsia"/>
          <w:lang w:val="en-US" w:eastAsia="zh-CN"/>
        </w:rPr>
        <w:fldChar w:fldCharType="begin"/>
      </w:r>
      <w:r>
        <w:rPr>
          <w:rFonts w:hint="eastAsia"/>
          <w:lang w:val="en-US" w:eastAsia="zh-CN"/>
        </w:rPr>
        <w:instrText xml:space="preserve"> HYPERLINK "http://www.lawtime.cn/info/sifakaoshi/xingzhengfa/" \t "_blank" </w:instrText>
      </w:r>
      <w:r>
        <w:rPr>
          <w:rFonts w:hint="eastAsia"/>
          <w:lang w:val="en-US" w:eastAsia="zh-CN"/>
        </w:rPr>
        <w:fldChar w:fldCharType="separate"/>
      </w:r>
      <w:r>
        <w:rPr>
          <w:rFonts w:hint="eastAsia"/>
          <w:lang w:val="en-US" w:eastAsia="zh-CN"/>
        </w:rPr>
        <w:t>行政法</w:t>
      </w:r>
      <w:r>
        <w:rPr>
          <w:rFonts w:hint="eastAsia"/>
          <w:lang w:val="en-US" w:eastAsia="zh-CN"/>
        </w:rPr>
        <w:fldChar w:fldCharType="end"/>
      </w:r>
      <w:r>
        <w:rPr>
          <w:rFonts w:hint="eastAsia"/>
          <w:lang w:val="en-US" w:eastAsia="zh-CN"/>
        </w:rPr>
        <w:t>规规定的其他条件的承诺函。</w:t>
      </w:r>
    </w:p>
    <w:p>
      <w:pPr>
        <w:pStyle w:val="47"/>
        <w:bidi w:val="0"/>
        <w:rPr>
          <w:rFonts w:hint="eastAsia"/>
          <w:lang w:val="en-US" w:eastAsia="zh-CN"/>
        </w:rPr>
      </w:pPr>
    </w:p>
    <w:p>
      <w:pPr>
        <w:pStyle w:val="47"/>
        <w:bidi w:val="0"/>
      </w:pPr>
      <w:r>
        <w:rPr>
          <w:rFonts w:hint="eastAsia"/>
          <w:lang w:val="en-US" w:eastAsia="zh-CN"/>
        </w:rPr>
        <w:t>备</w:t>
      </w:r>
      <w:r>
        <w:rPr>
          <w:rFonts w:hint="eastAsia"/>
        </w:rPr>
        <w:t>注：①以上承诺及声明函可参照第三章投标文件格式中相关格式或自拟格式填写均有效。</w:t>
      </w:r>
    </w:p>
    <w:p>
      <w:pPr>
        <w:pStyle w:val="47"/>
        <w:bidi w:val="0"/>
        <w:rPr>
          <w:rFonts w:hint="eastAsia"/>
        </w:rPr>
      </w:pPr>
      <w:r>
        <w:rPr>
          <w:rFonts w:hint="eastAsia"/>
        </w:rPr>
        <w:t>②以上要求提供的相关证明材料须加盖投标人</w:t>
      </w:r>
      <w:r>
        <w:rPr>
          <w:rFonts w:hint="eastAsia"/>
          <w:lang w:val="en-US" w:eastAsia="zh-CN"/>
        </w:rPr>
        <w:t>电子签章</w:t>
      </w:r>
      <w:r>
        <w:rPr>
          <w:rFonts w:hint="eastAsia"/>
          <w:lang w:eastAsia="zh-CN"/>
        </w:rPr>
        <w:t>，</w:t>
      </w:r>
      <w:r>
        <w:rPr>
          <w:rFonts w:hint="eastAsia"/>
          <w:lang w:val="en-US" w:eastAsia="zh-CN"/>
        </w:rPr>
        <w:t>否则</w:t>
      </w:r>
      <w:r>
        <w:rPr>
          <w:rFonts w:hint="eastAsia"/>
        </w:rPr>
        <w:t>其资格审查作未通过处理。</w:t>
      </w:r>
    </w:p>
    <w:p>
      <w:pPr>
        <w:pStyle w:val="47"/>
        <w:bidi w:val="0"/>
      </w:pPr>
      <w:r>
        <w:rPr>
          <w:rFonts w:hint="eastAsia"/>
        </w:rPr>
        <w:t>③本项目资格审查仅限于本章涉及的所有内容，若供应商未按照以上要求提供齐全，其资格审查作未通过处理。</w:t>
      </w:r>
    </w:p>
    <w:p>
      <w:pPr>
        <w:pStyle w:val="47"/>
        <w:bidi w:val="0"/>
      </w:pPr>
      <w:r>
        <w:rPr>
          <w:rFonts w:hint="eastAsia"/>
        </w:rPr>
        <w:t>④投标人应对其所提供的资格证明材料来源的合法性、真实性承担法律责任。</w:t>
      </w:r>
    </w:p>
    <w:p>
      <w:pPr>
        <w:pStyle w:val="47"/>
        <w:bidi w:val="0"/>
      </w:pPr>
      <w:r>
        <w:rPr>
          <w:rFonts w:hint="eastAsia"/>
          <w:lang w:val="en-US" w:eastAsia="zh-CN"/>
        </w:rPr>
        <w:t>⑤</w:t>
      </w:r>
      <w:r>
        <w:rPr>
          <w:rFonts w:hint="eastAsia"/>
        </w:rPr>
        <w:t>以上要求提供的相关证明材料应当结合采购项目具体情况和投标人的组织机构性质确定，不得一概而论。</w:t>
      </w:r>
    </w:p>
    <w:p>
      <w:pPr>
        <w:pStyle w:val="34"/>
        <w:numPr>
          <w:ilvl w:val="1"/>
          <w:numId w:val="13"/>
        </w:numPr>
        <w:bidi w:val="0"/>
        <w:rPr>
          <w:rFonts w:hint="eastAsia"/>
          <w:lang w:eastAsia="zh-CN"/>
        </w:rPr>
      </w:pPr>
      <w:bookmarkStart w:id="953" w:name="_Toc14213"/>
      <w:bookmarkStart w:id="954" w:name="_Toc32185"/>
      <w:r>
        <w:rPr>
          <w:rFonts w:hint="eastAsia"/>
          <w:lang w:eastAsia="zh-CN"/>
        </w:rPr>
        <w:t>审查程序</w:t>
      </w:r>
      <w:bookmarkEnd w:id="949"/>
      <w:bookmarkEnd w:id="950"/>
      <w:bookmarkEnd w:id="951"/>
      <w:bookmarkEnd w:id="953"/>
      <w:bookmarkEnd w:id="954"/>
    </w:p>
    <w:p>
      <w:pPr>
        <w:pStyle w:val="32"/>
        <w:numPr>
          <w:ilvl w:val="1"/>
          <w:numId w:val="27"/>
        </w:numPr>
        <w:bidi w:val="0"/>
        <w:rPr>
          <w:rFonts w:hint="eastAsia"/>
          <w:lang w:eastAsia="zh-CN"/>
        </w:rPr>
      </w:pPr>
      <w:r>
        <w:rPr>
          <w:rFonts w:hint="eastAsia"/>
          <w:lang w:val="en-US" w:eastAsia="zh-CN"/>
        </w:rPr>
        <w:t>根据</w:t>
      </w:r>
      <w:r>
        <w:rPr>
          <w:rFonts w:hint="eastAsia"/>
        </w:rPr>
        <w:t>《政府采购货物和服务招标投标管理办法》</w:t>
      </w:r>
      <w:r>
        <w:rPr>
          <w:rFonts w:hint="eastAsia"/>
          <w:lang w:eastAsia="zh-CN"/>
        </w:rPr>
        <w:t>(</w:t>
      </w:r>
      <w:r>
        <w:rPr>
          <w:rFonts w:hint="eastAsia"/>
        </w:rPr>
        <w:t>财政部令第</w:t>
      </w:r>
      <w:r>
        <w:rPr>
          <w:rFonts w:hint="eastAsia"/>
          <w:lang w:val="en-US" w:eastAsia="zh-CN"/>
        </w:rPr>
        <w:t>87</w:t>
      </w:r>
      <w:r>
        <w:rPr>
          <w:rFonts w:hint="eastAsia"/>
        </w:rPr>
        <w:t>号</w:t>
      </w:r>
      <w:r>
        <w:rPr>
          <w:rFonts w:hint="eastAsia"/>
          <w:lang w:eastAsia="zh-CN"/>
        </w:rPr>
        <w:t>)第四十四条</w:t>
      </w:r>
      <w:r>
        <w:rPr>
          <w:rFonts w:hint="eastAsia"/>
        </w:rPr>
        <w:t>对投标人的资格进行审查。</w:t>
      </w:r>
    </w:p>
    <w:p>
      <w:pPr>
        <w:pStyle w:val="32"/>
        <w:numPr>
          <w:ilvl w:val="1"/>
          <w:numId w:val="27"/>
        </w:numPr>
        <w:bidi w:val="0"/>
        <w:rPr>
          <w:rFonts w:hint="eastAsia"/>
          <w:lang w:val="en-US" w:eastAsia="zh-CN"/>
        </w:rPr>
      </w:pPr>
      <w:r>
        <w:rPr>
          <w:rFonts w:hint="eastAsia"/>
          <w:lang w:val="en-US" w:eastAsia="zh-CN"/>
        </w:rPr>
        <w:t>本项目由</w:t>
      </w:r>
      <w:r>
        <w:rPr>
          <w:rFonts w:hint="eastAsia"/>
        </w:rPr>
        <w:t>采购人或者采购代理机构依法对投标人的资格进行审查</w:t>
      </w:r>
      <w:r>
        <w:rPr>
          <w:rFonts w:hint="eastAsia"/>
          <w:lang w:eastAsia="zh-CN"/>
        </w:rPr>
        <w:t>，并出具书面的资格性审查结果。</w:t>
      </w:r>
    </w:p>
    <w:p>
      <w:pPr>
        <w:pStyle w:val="32"/>
        <w:numPr>
          <w:ilvl w:val="1"/>
          <w:numId w:val="27"/>
        </w:num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通过资格审查的投标人＜</w:t>
      </w:r>
      <w:r>
        <w:rPr>
          <w:rFonts w:hint="eastAsia"/>
          <w:color w:val="000000" w:themeColor="text1"/>
          <w14:textFill>
            <w14:solidFill>
              <w14:schemeClr w14:val="tx1"/>
            </w14:solidFill>
          </w14:textFill>
        </w:rPr>
        <w:t>3家，不得评标</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采购失败</w:t>
      </w:r>
      <w:r>
        <w:rPr>
          <w:rFonts w:hint="eastAsia"/>
          <w:color w:val="000000" w:themeColor="text1"/>
          <w:lang w:eastAsia="zh-CN"/>
          <w14:textFill>
            <w14:solidFill>
              <w14:schemeClr w14:val="tx1"/>
            </w14:solidFill>
          </w14:textFill>
        </w:rPr>
        <w:t>。</w:t>
      </w:r>
    </w:p>
    <w:p>
      <w:pPr>
        <w:pStyle w:val="32"/>
        <w:numPr>
          <w:ilvl w:val="1"/>
          <w:numId w:val="27"/>
        </w:num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资格性审查时因</w:t>
      </w:r>
      <w:r>
        <w:rPr>
          <w:rFonts w:hint="eastAsia"/>
          <w:color w:val="000000" w:themeColor="text1"/>
          <w:lang w:val="en-US" w:eastAsia="zh-CN"/>
          <w14:textFill>
            <w14:solidFill>
              <w14:schemeClr w14:val="tx1"/>
            </w14:solidFill>
          </w14:textFill>
        </w:rPr>
        <w:t>采购代理机构</w:t>
      </w:r>
      <w:r>
        <w:rPr>
          <w:rFonts w:hint="eastAsia"/>
          <w:color w:val="000000" w:themeColor="text1"/>
          <w14:textFill>
            <w14:solidFill>
              <w14:schemeClr w14:val="tx1"/>
            </w14:solidFill>
          </w14:textFill>
        </w:rPr>
        <w:t>断电、断网、系统故障或其他不可抗力等因素，导致资格审查小组无法通过系统阅读投标文件进行审查的，待系统恢复后继续审查。出现上述情况时，</w:t>
      </w:r>
      <w:r>
        <w:rPr>
          <w:rFonts w:hint="eastAsia"/>
          <w:color w:val="000000" w:themeColor="text1"/>
          <w:lang w:val="en-US" w:eastAsia="zh-CN"/>
          <w14:textFill>
            <w14:solidFill>
              <w14:schemeClr w14:val="tx1"/>
            </w14:solidFill>
          </w14:textFill>
        </w:rPr>
        <w:t>采购代理机构</w:t>
      </w:r>
      <w:r>
        <w:rPr>
          <w:rFonts w:hint="eastAsia"/>
          <w:color w:val="000000" w:themeColor="text1"/>
          <w14:textFill>
            <w14:solidFill>
              <w14:schemeClr w14:val="tx1"/>
            </w14:solidFill>
          </w14:textFill>
        </w:rPr>
        <w:t>将以电子邮件形式通知各投标人。</w:t>
      </w:r>
    </w:p>
    <w:p>
      <w:pPr>
        <w:pStyle w:val="32"/>
        <w:numPr>
          <w:ilvl w:val="1"/>
          <w:numId w:val="0"/>
        </w:numPr>
        <w:bidi w:val="0"/>
        <w:ind w:firstLine="482" w:firstLineChars="200"/>
        <w:rPr>
          <w:rFonts w:hint="eastAsia"/>
        </w:rPr>
      </w:pPr>
      <w:r>
        <w:rPr>
          <w:rFonts w:hint="eastAsia"/>
          <w:b/>
          <w:bCs/>
          <w:color w:val="000000" w:themeColor="text1"/>
          <w:lang w:val="en-US" w:eastAsia="zh-CN"/>
          <w14:textFill>
            <w14:solidFill>
              <w14:schemeClr w14:val="tx1"/>
            </w14:solidFill>
          </w14:textFill>
        </w:rPr>
        <w:t>注：</w:t>
      </w:r>
      <w:r>
        <w:rPr>
          <w:rFonts w:hint="eastAsia"/>
          <w:color w:val="000000" w:themeColor="text1"/>
          <w:lang w:val="en-US" w:eastAsia="zh-CN"/>
          <w14:textFill>
            <w14:solidFill>
              <w14:schemeClr w14:val="tx1"/>
            </w14:solidFill>
          </w14:textFill>
        </w:rPr>
        <w:t>投标人的投标文件资格性审查时被判定为未通过的，采购代理机构将通知投标人(以短信、电话、“政府采购云平台”等任一方式)。投标人如对资格审查结论有异议的，应及时向采购代理机构反馈意见。采购代理机构将及时告知资格审查小组。(说明：无论投标人是否收到通知或提供反馈意见，均不影响资格审查和评标工作。投标人对资格审查结论有异议的，其反馈意见仅限于资格审查小组对资格审查结论的正确性进行复核，避免出现审查错误)。</w:t>
      </w:r>
    </w:p>
    <w:p>
      <w:pPr>
        <w:pStyle w:val="48"/>
        <w:numPr>
          <w:ilvl w:val="0"/>
          <w:numId w:val="13"/>
        </w:numPr>
        <w:bidi w:val="0"/>
        <w:rPr>
          <w:rFonts w:hint="eastAsia"/>
          <w:color w:val="auto"/>
        </w:rPr>
      </w:pPr>
      <w:r>
        <w:rPr>
          <w:rFonts w:hint="eastAsia"/>
        </w:rPr>
        <w:br w:type="page"/>
      </w:r>
      <w:bookmarkEnd w:id="952"/>
      <w:bookmarkStart w:id="955" w:name="_Toc5955"/>
      <w:bookmarkStart w:id="956" w:name="_Toc14530"/>
      <w:bookmarkStart w:id="957" w:name="_Toc20524"/>
      <w:r>
        <w:rPr>
          <w:rFonts w:hint="eastAsia"/>
        </w:rPr>
        <w:t>招标项目技术、服务、政府采购合同内容条款及其他</w:t>
      </w:r>
      <w:r>
        <w:rPr>
          <w:rFonts w:hint="eastAsia"/>
          <w:color w:val="auto"/>
        </w:rPr>
        <w:t>商务要求</w:t>
      </w:r>
      <w:bookmarkEnd w:id="955"/>
      <w:bookmarkEnd w:id="956"/>
      <w:bookmarkEnd w:id="957"/>
    </w:p>
    <w:p>
      <w:pPr>
        <w:numPr>
          <w:ilvl w:val="0"/>
          <w:numId w:val="28"/>
        </w:numPr>
        <w:ind w:firstLine="482" w:firstLineChars="200"/>
        <w:jc w:val="both"/>
        <w:outlineLvl w:val="1"/>
        <w:rPr>
          <w:rFonts w:cs="宋体"/>
          <w:b/>
          <w:bCs/>
          <w:color w:val="auto"/>
        </w:rPr>
      </w:pPr>
      <w:bookmarkStart w:id="958" w:name="_Toc25098"/>
      <w:bookmarkStart w:id="959" w:name="_Toc11700"/>
      <w:bookmarkStart w:id="960" w:name="_Toc27469"/>
      <w:bookmarkStart w:id="961" w:name="_Toc28932"/>
      <w:bookmarkStart w:id="962" w:name="_Toc1684"/>
      <w:bookmarkStart w:id="963" w:name="_Toc308188201"/>
      <w:bookmarkStart w:id="964" w:name="_Toc319439948"/>
      <w:bookmarkStart w:id="965" w:name="_Toc12025"/>
      <w:bookmarkStart w:id="966" w:name="_Toc307564899"/>
      <w:bookmarkStart w:id="967" w:name="_Toc1839"/>
      <w:bookmarkStart w:id="968" w:name="_Toc32159"/>
      <w:bookmarkStart w:id="969" w:name="_Toc29864"/>
      <w:bookmarkStart w:id="970" w:name="_Toc309897566"/>
      <w:bookmarkStart w:id="971" w:name="_Toc307501157"/>
      <w:bookmarkStart w:id="972" w:name="_Toc23360"/>
      <w:bookmarkStart w:id="973" w:name="_Toc319440192"/>
      <w:bookmarkStart w:id="974" w:name="_Toc327196343"/>
      <w:bookmarkStart w:id="975" w:name="_Toc308084648"/>
      <w:bookmarkStart w:id="976" w:name="_Toc1541"/>
      <w:bookmarkStart w:id="977" w:name="_Toc217446060"/>
      <w:bookmarkStart w:id="978" w:name="_Toc217446099"/>
      <w:r>
        <w:rPr>
          <w:rFonts w:hint="eastAsia" w:cs="宋体"/>
          <w:b/>
          <w:bCs/>
          <w:color w:val="auto"/>
        </w:rPr>
        <w:t>项目</w:t>
      </w:r>
      <w:bookmarkEnd w:id="958"/>
      <w:bookmarkEnd w:id="959"/>
      <w:r>
        <w:rPr>
          <w:rFonts w:hint="eastAsia" w:cs="宋体"/>
          <w:b/>
          <w:bCs/>
          <w:color w:val="auto"/>
        </w:rPr>
        <w:t>概述</w:t>
      </w:r>
    </w:p>
    <w:p>
      <w:pPr>
        <w:ind w:firstLine="480" w:firstLineChars="200"/>
        <w:jc w:val="both"/>
        <w:rPr>
          <w:rFonts w:cs="宋体"/>
          <w:color w:val="auto"/>
        </w:rPr>
      </w:pPr>
      <w:r>
        <w:rPr>
          <w:rFonts w:hint="eastAsia" w:cs="宋体"/>
          <w:color w:val="auto"/>
        </w:rPr>
        <w:t>按照采购人需求开发食品安全</w:t>
      </w:r>
      <w:r>
        <w:rPr>
          <w:rFonts w:hint="eastAsia" w:cs="宋体"/>
          <w:bCs/>
          <w:color w:val="auto"/>
        </w:rPr>
        <w:t>信息化</w:t>
      </w:r>
      <w:r>
        <w:rPr>
          <w:rFonts w:hint="eastAsia" w:cs="宋体"/>
          <w:color w:val="auto"/>
        </w:rPr>
        <w:t>评估系统，应用信息化手段协助</w:t>
      </w:r>
      <w:bookmarkStart w:id="979" w:name="_Hlk47515493"/>
      <w:r>
        <w:rPr>
          <w:rFonts w:hint="eastAsia" w:cs="宋体"/>
          <w:color w:val="auto"/>
        </w:rPr>
        <w:t>开展</w:t>
      </w:r>
      <w:bookmarkEnd w:id="979"/>
      <w:r>
        <w:rPr>
          <w:rFonts w:hint="eastAsia" w:cs="宋体"/>
          <w:color w:val="auto"/>
        </w:rPr>
        <w:t>食品安全风险隐患排查，并实现</w:t>
      </w:r>
      <w:r>
        <w:rPr>
          <w:rFonts w:hint="eastAsia" w:cs="宋体"/>
          <w:color w:val="auto"/>
          <w:lang w:eastAsia="zh-CN"/>
        </w:rPr>
        <w:t>食品生产经营主体</w:t>
      </w:r>
      <w:r>
        <w:rPr>
          <w:rFonts w:hint="eastAsia" w:cs="宋体"/>
          <w:color w:val="auto"/>
        </w:rPr>
        <w:t>动态监测预警。</w:t>
      </w:r>
    </w:p>
    <w:p>
      <w:pPr>
        <w:numPr>
          <w:ilvl w:val="0"/>
          <w:numId w:val="28"/>
        </w:numPr>
        <w:ind w:firstLine="482" w:firstLineChars="200"/>
        <w:jc w:val="both"/>
        <w:outlineLvl w:val="1"/>
        <w:rPr>
          <w:rFonts w:cs="宋体"/>
          <w:b/>
          <w:bCs/>
          <w:color w:val="auto"/>
        </w:rPr>
      </w:pPr>
      <w:r>
        <w:rPr>
          <w:rFonts w:hint="eastAsia" w:cs="宋体"/>
          <w:b/>
          <w:bCs/>
          <w:color w:val="auto"/>
        </w:rPr>
        <w:t>服务范围</w:t>
      </w:r>
    </w:p>
    <w:p>
      <w:pPr>
        <w:ind w:firstLine="480" w:firstLineChars="200"/>
        <w:jc w:val="both"/>
        <w:rPr>
          <w:rFonts w:cs="宋体"/>
          <w:color w:val="auto"/>
        </w:rPr>
      </w:pPr>
      <w:r>
        <w:rPr>
          <w:rFonts w:hint="eastAsia" w:cs="宋体"/>
          <w:color w:val="auto"/>
        </w:rPr>
        <w:t>成都市武侯区市场监管局管辖区域内的</w:t>
      </w:r>
      <w:r>
        <w:rPr>
          <w:rFonts w:hint="eastAsia" w:cs="宋体"/>
          <w:color w:val="auto"/>
          <w:lang w:eastAsia="zh-CN"/>
        </w:rPr>
        <w:t>食品生产经营主体</w:t>
      </w:r>
      <w:r>
        <w:rPr>
          <w:rFonts w:hint="eastAsia" w:cs="宋体"/>
          <w:color w:val="auto"/>
        </w:rPr>
        <w:t>。</w:t>
      </w:r>
    </w:p>
    <w:p>
      <w:pPr>
        <w:numPr>
          <w:ilvl w:val="0"/>
          <w:numId w:val="28"/>
        </w:numPr>
        <w:ind w:firstLine="482" w:firstLineChars="200"/>
        <w:jc w:val="both"/>
        <w:outlineLvl w:val="1"/>
        <w:rPr>
          <w:rFonts w:cs="宋体"/>
          <w:b/>
          <w:bCs/>
          <w:color w:val="auto"/>
        </w:rPr>
      </w:pPr>
      <w:bookmarkStart w:id="980" w:name="_Toc30088"/>
      <w:bookmarkStart w:id="981" w:name="_Toc24891"/>
      <w:r>
        <w:rPr>
          <w:rFonts w:hint="eastAsia" w:cs="宋体"/>
          <w:b/>
          <w:bCs/>
          <w:color w:val="auto"/>
        </w:rPr>
        <w:t>服务内容</w:t>
      </w:r>
      <w:bookmarkEnd w:id="980"/>
      <w:bookmarkEnd w:id="981"/>
    </w:p>
    <w:p>
      <w:pPr>
        <w:ind w:firstLine="482" w:firstLineChars="200"/>
        <w:jc w:val="both"/>
        <w:rPr>
          <w:rFonts w:cs="宋体"/>
          <w:b/>
          <w:bCs/>
          <w:color w:val="auto"/>
        </w:rPr>
      </w:pPr>
      <w:r>
        <w:rPr>
          <w:rFonts w:hint="eastAsia" w:cs="宋体"/>
          <w:b/>
          <w:bCs/>
          <w:color w:val="auto"/>
        </w:rPr>
        <w:t>1.评估目的</w:t>
      </w:r>
    </w:p>
    <w:p>
      <w:pPr>
        <w:ind w:firstLine="480" w:firstLineChars="200"/>
        <w:jc w:val="both"/>
        <w:rPr>
          <w:rFonts w:cs="宋体"/>
          <w:color w:val="auto"/>
        </w:rPr>
      </w:pPr>
      <w:r>
        <w:rPr>
          <w:rFonts w:hint="eastAsia" w:cs="宋体"/>
          <w:color w:val="auto"/>
        </w:rPr>
        <w:t>1.1 增强食品安全监管统一性和专业性，切实提高食品安全监管水平和能力，筑牢食品安全监管防线；</w:t>
      </w:r>
    </w:p>
    <w:p>
      <w:pPr>
        <w:ind w:firstLine="480" w:firstLineChars="200"/>
        <w:jc w:val="both"/>
        <w:rPr>
          <w:rFonts w:cs="宋体"/>
          <w:color w:val="auto"/>
        </w:rPr>
      </w:pPr>
      <w:r>
        <w:rPr>
          <w:rFonts w:hint="eastAsia" w:cs="宋体"/>
          <w:color w:val="auto"/>
        </w:rPr>
        <w:t>1.2 协助</w:t>
      </w:r>
      <w:r>
        <w:rPr>
          <w:rFonts w:hint="eastAsia" w:cs="宋体"/>
          <w:color w:val="auto"/>
          <w:lang w:eastAsia="zh-CN"/>
        </w:rPr>
        <w:t>食品生产经营主体</w:t>
      </w:r>
      <w:r>
        <w:rPr>
          <w:rFonts w:hint="eastAsia" w:cs="宋体"/>
          <w:color w:val="auto"/>
        </w:rPr>
        <w:t>落实主体责任，提高食品安全管理水平；</w:t>
      </w:r>
    </w:p>
    <w:p>
      <w:pPr>
        <w:ind w:firstLine="480" w:firstLineChars="200"/>
        <w:jc w:val="both"/>
        <w:rPr>
          <w:rFonts w:cs="宋体"/>
          <w:color w:val="auto"/>
        </w:rPr>
      </w:pPr>
      <w:r>
        <w:rPr>
          <w:rFonts w:hint="eastAsia" w:cs="宋体"/>
          <w:color w:val="auto"/>
        </w:rPr>
        <w:t>1.3 按照食品经营安全风险分级管理办法对辖区内</w:t>
      </w:r>
      <w:r>
        <w:rPr>
          <w:rFonts w:hint="eastAsia" w:cs="宋体"/>
          <w:color w:val="auto"/>
          <w:lang w:eastAsia="zh-CN"/>
        </w:rPr>
        <w:t>食品生产经营主体</w:t>
      </w:r>
      <w:r>
        <w:rPr>
          <w:rFonts w:hint="eastAsia" w:cs="宋体"/>
          <w:color w:val="auto"/>
        </w:rPr>
        <w:t>进行风险分级，做到精准监管；</w:t>
      </w:r>
    </w:p>
    <w:p>
      <w:pPr>
        <w:ind w:firstLine="480" w:firstLineChars="200"/>
        <w:jc w:val="both"/>
        <w:rPr>
          <w:rFonts w:cs="宋体"/>
          <w:color w:val="auto"/>
        </w:rPr>
      </w:pPr>
      <w:r>
        <w:rPr>
          <w:rFonts w:hint="eastAsia" w:cs="宋体"/>
          <w:color w:val="auto"/>
        </w:rPr>
        <w:t xml:space="preserve">1.4 </w:t>
      </w:r>
      <w:r>
        <w:rPr>
          <w:rFonts w:hint="eastAsia" w:cs="宋体"/>
          <w:bCs/>
          <w:color w:val="auto"/>
        </w:rPr>
        <w:t>提供保障整个服务项目高效开展的信息化监管平台和微信小程序供采购人使用，平台及小程序应实现对食品安全风险监测数据库进行实时分析、判断和上传汇总</w:t>
      </w:r>
      <w:r>
        <w:rPr>
          <w:rFonts w:hint="eastAsia" w:cs="宋体"/>
          <w:color w:val="auto"/>
        </w:rPr>
        <w:t>。</w:t>
      </w:r>
    </w:p>
    <w:p>
      <w:pPr>
        <w:ind w:firstLine="482" w:firstLineChars="200"/>
        <w:jc w:val="both"/>
        <w:rPr>
          <w:rFonts w:cs="宋体"/>
          <w:b/>
          <w:bCs/>
          <w:color w:val="auto"/>
        </w:rPr>
      </w:pPr>
      <w:r>
        <w:rPr>
          <w:rFonts w:hint="eastAsia" w:cs="宋体"/>
          <w:b/>
          <w:bCs/>
          <w:color w:val="auto"/>
        </w:rPr>
        <w:t>2.服务内容</w:t>
      </w:r>
    </w:p>
    <w:p>
      <w:pPr>
        <w:pStyle w:val="13"/>
        <w:spacing w:after="0"/>
        <w:ind w:left="0" w:leftChars="0" w:right="0" w:rightChars="0" w:firstLine="480" w:firstLineChars="200"/>
        <w:jc w:val="both"/>
        <w:rPr>
          <w:rFonts w:cs="宋体"/>
          <w:color w:val="auto"/>
        </w:rPr>
      </w:pPr>
      <w:r>
        <w:rPr>
          <w:rFonts w:hint="eastAsia" w:cs="宋体"/>
          <w:color w:val="auto"/>
        </w:rPr>
        <w:t xml:space="preserve">2.1 </w:t>
      </w:r>
      <w:r>
        <w:rPr>
          <w:rFonts w:hint="eastAsia" w:cs="宋体"/>
          <w:bCs/>
          <w:color w:val="auto"/>
        </w:rPr>
        <w:t>信息化</w:t>
      </w:r>
      <w:r>
        <w:rPr>
          <w:rFonts w:hint="eastAsia" w:cs="宋体"/>
          <w:color w:val="auto"/>
        </w:rPr>
        <w:t>评估系统开发：针对武侯区市场监管局需求开发评估系统，提升评估信息化水平。</w:t>
      </w:r>
    </w:p>
    <w:p>
      <w:pPr>
        <w:ind w:firstLine="480" w:firstLineChars="200"/>
        <w:jc w:val="both"/>
        <w:outlineLvl w:val="0"/>
        <w:rPr>
          <w:rFonts w:cs="宋体"/>
          <w:color w:val="auto"/>
        </w:rPr>
      </w:pPr>
      <w:r>
        <w:rPr>
          <w:rFonts w:hint="eastAsia" w:cs="宋体"/>
          <w:color w:val="auto"/>
        </w:rPr>
        <w:t>2.2 协助开展常态化巡查评估服务：协助武侯区市场监督管理局对辖区内家</w:t>
      </w:r>
      <w:r>
        <w:rPr>
          <w:rFonts w:hint="eastAsia" w:cs="宋体"/>
          <w:color w:val="auto"/>
          <w:lang w:eastAsia="zh-CN"/>
        </w:rPr>
        <w:t>食品生产经营主体</w:t>
      </w:r>
      <w:r>
        <w:rPr>
          <w:rFonts w:hint="eastAsia" w:cs="宋体"/>
          <w:color w:val="auto"/>
        </w:rPr>
        <w:t>开展2万家次/年的食品安全的常态化巡查评估，巡查评估内容包括食品经营企业资质、生产经营环境、生产经营全过程质量控制、生产经营相关制度等（具体可参考国家以及四川省相关法律法规文件），并将排查企业所有信息及时录入食品安全</w:t>
      </w:r>
      <w:r>
        <w:rPr>
          <w:rFonts w:hint="eastAsia" w:cs="宋体"/>
          <w:bCs/>
          <w:color w:val="auto"/>
        </w:rPr>
        <w:t>信息化</w:t>
      </w:r>
      <w:r>
        <w:rPr>
          <w:rFonts w:hint="eastAsia" w:cs="宋体"/>
          <w:color w:val="auto"/>
        </w:rPr>
        <w:t>评估系统，建立食品安全风险监测数据库。此外，在排查过程中，对发现的安全隐患需及时上报，并对在巡查过程中发现的无证经营、超范围经营、卫生条件等违法现象，或发现未按要求申报的停业、搬迁、更换法人等经营异常线索，及时上报及上传相关信息。</w:t>
      </w:r>
    </w:p>
    <w:p>
      <w:pPr>
        <w:ind w:firstLine="480" w:firstLineChars="200"/>
        <w:jc w:val="both"/>
        <w:outlineLvl w:val="0"/>
        <w:rPr>
          <w:color w:val="auto"/>
        </w:rPr>
      </w:pPr>
      <w:r>
        <w:rPr>
          <w:rFonts w:hint="eastAsia" w:cs="宋体"/>
          <w:color w:val="auto"/>
        </w:rPr>
        <w:t xml:space="preserve">2.3 </w:t>
      </w:r>
      <w:r>
        <w:rPr>
          <w:rFonts w:hint="eastAsia" w:cs="宋体"/>
          <w:color w:val="auto"/>
          <w:lang w:eastAsia="zh-CN"/>
        </w:rPr>
        <w:t>食品生产经营主体</w:t>
      </w:r>
      <w:r>
        <w:rPr>
          <w:rFonts w:hint="eastAsia" w:cs="宋体"/>
          <w:color w:val="auto"/>
        </w:rPr>
        <w:t>风险等级初评：①评估人员对</w:t>
      </w:r>
      <w:r>
        <w:rPr>
          <w:rFonts w:hint="eastAsia" w:cs="宋体"/>
          <w:color w:val="auto"/>
          <w:lang w:eastAsia="zh-CN"/>
        </w:rPr>
        <w:t>食品生产经营主体</w:t>
      </w:r>
      <w:r>
        <w:rPr>
          <w:rFonts w:hint="eastAsia" w:cs="宋体"/>
          <w:color w:val="auto"/>
        </w:rPr>
        <w:t>的门头、证照、负责人、联系方式等信息进行统计；②按照《静态风险因素量化分值表》、《动态风险因素量化分值表》的检查要点对现场进行检查评估，并记录《日常监督检查结果记录表》；③现场将检查结果录入信息化评估系统，告知</w:t>
      </w:r>
      <w:r>
        <w:rPr>
          <w:rFonts w:hint="eastAsia" w:cs="宋体"/>
          <w:color w:val="auto"/>
          <w:lang w:eastAsia="zh-CN"/>
        </w:rPr>
        <w:t>食品生产经营主体</w:t>
      </w:r>
      <w:r>
        <w:rPr>
          <w:rFonts w:hint="eastAsia" w:cs="宋体"/>
          <w:color w:val="auto"/>
        </w:rPr>
        <w:t>问题项及整改要求，指导其将整改照片回传系统；④</w:t>
      </w:r>
      <w:r>
        <w:rPr>
          <w:color w:val="auto"/>
        </w:rPr>
        <w:t>针对特殊供餐单位指导实施“五常管理”模式，并引导餐饮单位导入“五常管理体系”。</w:t>
      </w: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r>
        <w:rPr>
          <w:rFonts w:hint="eastAsia"/>
          <w:color w:val="auto"/>
        </w:rPr>
        <w:t>在辖区11个街道办事处开展食品安全培训，全年不少于11场。</w:t>
      </w:r>
    </w:p>
    <w:p>
      <w:pPr>
        <w:ind w:firstLine="480" w:firstLineChars="200"/>
        <w:jc w:val="both"/>
        <w:outlineLvl w:val="0"/>
        <w:rPr>
          <w:rFonts w:hint="eastAsia" w:cs="仿宋_GB2312"/>
          <w:color w:val="auto"/>
        </w:rPr>
      </w:pPr>
      <w:r>
        <w:rPr>
          <w:rFonts w:hint="eastAsia"/>
          <w:color w:val="auto"/>
        </w:rPr>
        <w:t>2.</w:t>
      </w:r>
      <w:r>
        <w:rPr>
          <w:rFonts w:hint="eastAsia" w:cs="仿宋_GB2312"/>
          <w:color w:val="auto"/>
        </w:rPr>
        <w:t>4  服务期内，巡查采集的工作数据、系统数据归采购人所有，</w:t>
      </w:r>
      <w:r>
        <w:rPr>
          <w:rFonts w:hint="eastAsia" w:cs="仿宋_GB2312"/>
          <w:color w:val="auto"/>
          <w:lang w:val="en-US" w:eastAsia="zh-CN"/>
        </w:rPr>
        <w:t>投标人</w:t>
      </w:r>
      <w:r>
        <w:rPr>
          <w:rFonts w:hint="eastAsia" w:cs="仿宋_GB2312"/>
          <w:color w:val="auto"/>
        </w:rPr>
        <w:t>应履行相关保密工作。</w:t>
      </w:r>
    </w:p>
    <w:p>
      <w:pPr>
        <w:pStyle w:val="13"/>
        <w:spacing w:after="0"/>
        <w:ind w:left="0" w:leftChars="0" w:right="0" w:rightChars="0" w:firstLine="480" w:firstLineChars="200"/>
        <w:rPr>
          <w:rFonts w:hint="eastAsia" w:cs="宋体"/>
          <w:color w:val="auto"/>
          <w:lang w:val="en-US" w:eastAsia="zh-CN"/>
        </w:rPr>
      </w:pPr>
      <w:r>
        <w:rPr>
          <w:rFonts w:hint="eastAsia" w:cs="宋体"/>
          <w:color w:val="auto"/>
          <w:lang w:val="en-US" w:eastAsia="zh-CN"/>
        </w:rPr>
        <w:t>2.5 协助采购人完成各类食品安全专项检查工作。</w:t>
      </w:r>
    </w:p>
    <w:p>
      <w:pPr>
        <w:pStyle w:val="13"/>
        <w:spacing w:after="0"/>
        <w:ind w:left="0" w:leftChars="0" w:right="0" w:rightChars="0" w:firstLine="480" w:firstLineChars="200"/>
        <w:rPr>
          <w:color w:val="auto"/>
        </w:rPr>
      </w:pPr>
      <w:r>
        <w:rPr>
          <w:rFonts w:hint="eastAsia" w:cs="宋体"/>
          <w:color w:val="auto"/>
          <w:lang w:val="en-US" w:eastAsia="zh-CN"/>
        </w:rPr>
        <w:t>2.6 协助采购人完成辖区内的重大会议和重大活动的食品安全保障工作。</w:t>
      </w:r>
    </w:p>
    <w:p>
      <w:pPr>
        <w:ind w:firstLine="480" w:firstLineChars="200"/>
        <w:jc w:val="both"/>
        <w:outlineLvl w:val="0"/>
        <w:rPr>
          <w:rFonts w:cs="宋体"/>
          <w:color w:val="auto"/>
        </w:rPr>
      </w:pPr>
      <w:r>
        <w:rPr>
          <w:rFonts w:hint="eastAsia"/>
          <w:color w:val="auto"/>
        </w:rPr>
        <w:t>3.</w:t>
      </w:r>
      <w:r>
        <w:rPr>
          <w:rFonts w:hint="eastAsia" w:cs="宋体"/>
          <w:b/>
          <w:bCs/>
          <w:color w:val="auto"/>
        </w:rPr>
        <w:t xml:space="preserve"> 服务要求</w:t>
      </w:r>
    </w:p>
    <w:p>
      <w:pPr>
        <w:ind w:firstLine="480" w:firstLineChars="200"/>
        <w:jc w:val="both"/>
        <w:rPr>
          <w:rFonts w:cs="宋体"/>
          <w:color w:val="auto"/>
        </w:rPr>
      </w:pPr>
      <w:r>
        <w:rPr>
          <w:rFonts w:hint="eastAsia" w:cs="宋体"/>
          <w:color w:val="auto"/>
        </w:rPr>
        <w:t>3.1 质量控制：①随机抽查检查工作情况，对已检查单位进行复查，形成抽查报告，保证检查工作质量；②针对有争议的问题及时上报监管部门。</w:t>
      </w:r>
    </w:p>
    <w:p>
      <w:pPr>
        <w:pStyle w:val="13"/>
        <w:spacing w:after="0"/>
        <w:ind w:left="0" w:leftChars="0" w:right="0" w:rightChars="0" w:firstLine="480" w:firstLineChars="200"/>
        <w:jc w:val="both"/>
        <w:rPr>
          <w:rFonts w:cs="宋体"/>
          <w:color w:val="auto"/>
        </w:rPr>
      </w:pPr>
      <w:r>
        <w:rPr>
          <w:rFonts w:hint="eastAsia" w:cs="宋体"/>
          <w:color w:val="auto"/>
        </w:rPr>
        <w:t>3.2 资料汇总：将每日巡查评估材料进行汇总，包括纸质文档的分类归档、系统数据的核对保存、整改照片的分类汇总。</w:t>
      </w:r>
    </w:p>
    <w:p>
      <w:pPr>
        <w:pStyle w:val="13"/>
        <w:spacing w:after="0"/>
        <w:ind w:left="0" w:leftChars="0" w:right="0" w:rightChars="0" w:firstLine="480" w:firstLineChars="200"/>
        <w:jc w:val="both"/>
        <w:rPr>
          <w:rFonts w:cs="宋体"/>
          <w:color w:val="auto"/>
        </w:rPr>
      </w:pPr>
      <w:r>
        <w:rPr>
          <w:rFonts w:hint="eastAsia" w:cs="宋体"/>
          <w:color w:val="auto"/>
        </w:rPr>
        <w:t>3.3数据分析：对评估数据进行汇总分析，找出辖区内食品安全的共性问题，提供解决方案。</w:t>
      </w:r>
    </w:p>
    <w:p>
      <w:pPr>
        <w:pStyle w:val="13"/>
        <w:spacing w:after="0"/>
        <w:ind w:left="0" w:leftChars="0" w:right="0" w:rightChars="0" w:firstLine="480" w:firstLineChars="200"/>
        <w:jc w:val="both"/>
        <w:rPr>
          <w:rFonts w:cs="宋体"/>
          <w:color w:val="auto"/>
        </w:rPr>
      </w:pPr>
      <w:r>
        <w:rPr>
          <w:rFonts w:hint="eastAsia" w:cs="宋体"/>
          <w:color w:val="auto"/>
        </w:rPr>
        <w:t>3.4 报告编制：编制风险评估总报告及各食品经营企业分报告，并为区局及街道所建立区域内食品经营企业风险信息档案。</w:t>
      </w:r>
    </w:p>
    <w:p>
      <w:pPr>
        <w:pStyle w:val="13"/>
        <w:spacing w:after="0"/>
        <w:ind w:left="0" w:leftChars="0" w:right="0" w:rightChars="0" w:firstLine="480" w:firstLineChars="200"/>
        <w:jc w:val="both"/>
        <w:rPr>
          <w:rFonts w:cs="宋体"/>
          <w:color w:val="auto"/>
        </w:rPr>
      </w:pPr>
      <w:r>
        <w:rPr>
          <w:rFonts w:hint="eastAsia" w:cs="宋体"/>
          <w:color w:val="auto"/>
        </w:rPr>
        <w:t>3.5 数据展示：将评估情况在信息评估系统的数据展示平台展示，将信息评估过程透明化、公开化，以便监管部门了解辖区内食品经营企业食品安全现状。</w:t>
      </w:r>
    </w:p>
    <w:p>
      <w:pPr>
        <w:ind w:firstLine="482" w:firstLineChars="200"/>
        <w:jc w:val="both"/>
        <w:rPr>
          <w:rFonts w:cs="宋体"/>
          <w:b/>
          <w:bCs/>
          <w:color w:val="auto"/>
        </w:rPr>
      </w:pPr>
      <w:r>
        <w:rPr>
          <w:rFonts w:hint="eastAsia" w:cs="宋体"/>
          <w:b/>
          <w:bCs/>
          <w:color w:val="auto"/>
        </w:rPr>
        <w:t>4.工作成果</w:t>
      </w:r>
    </w:p>
    <w:p>
      <w:pPr>
        <w:ind w:firstLine="480" w:firstLineChars="200"/>
        <w:jc w:val="both"/>
        <w:outlineLvl w:val="0"/>
        <w:rPr>
          <w:rFonts w:cs="宋体"/>
          <w:color w:val="auto"/>
        </w:rPr>
      </w:pPr>
      <w:r>
        <w:rPr>
          <w:rFonts w:hint="eastAsia" w:cs="宋体"/>
          <w:color w:val="auto"/>
        </w:rPr>
        <w:t>服务机构需向采购人提交1份《武侯区</w:t>
      </w:r>
      <w:r>
        <w:rPr>
          <w:rFonts w:hint="eastAsia" w:cs="宋体"/>
          <w:color w:val="auto"/>
          <w:lang w:eastAsia="zh-CN"/>
        </w:rPr>
        <w:t>食品生产经营主体</w:t>
      </w:r>
      <w:r>
        <w:rPr>
          <w:rFonts w:hint="eastAsia" w:cs="宋体"/>
          <w:color w:val="auto"/>
        </w:rPr>
        <w:t>常态化巡查评估服务实施方案》；根据采购人要求对辖区内</w:t>
      </w:r>
      <w:r>
        <w:rPr>
          <w:rFonts w:hint="eastAsia" w:cs="宋体"/>
          <w:color w:val="auto"/>
          <w:lang w:eastAsia="zh-CN"/>
        </w:rPr>
        <w:t>食品生产经营主体</w:t>
      </w:r>
      <w:r>
        <w:rPr>
          <w:rFonts w:hint="eastAsia" w:cs="宋体"/>
          <w:color w:val="auto"/>
        </w:rPr>
        <w:t>进行常态化巡查评估，全年实现100%覆盖；建立食品安全风险监测数据库，将所有日常巡查评估、风险隐患等数据及时录入信息化评估系统；每半年提交1份巡查工作报告，内容应包含巡查的内容与准则、发现的风险隐患情况、隐患原因分析、建议解决方案、后期情况跟踪等。</w:t>
      </w:r>
    </w:p>
    <w:p>
      <w:pPr>
        <w:ind w:firstLine="482" w:firstLineChars="200"/>
        <w:jc w:val="both"/>
        <w:rPr>
          <w:rFonts w:cs="宋体"/>
          <w:b/>
          <w:bCs/>
          <w:color w:val="auto"/>
        </w:rPr>
      </w:pPr>
      <w:r>
        <w:rPr>
          <w:rFonts w:hint="eastAsia" w:cs="宋体"/>
          <w:b/>
          <w:bCs/>
          <w:color w:val="auto"/>
        </w:rPr>
        <w:t>5.人员要求</w:t>
      </w:r>
    </w:p>
    <w:p>
      <w:pPr>
        <w:ind w:firstLine="480" w:firstLineChars="200"/>
        <w:jc w:val="both"/>
        <w:outlineLvl w:val="0"/>
        <w:rPr>
          <w:rFonts w:cs="宋体"/>
          <w:color w:val="auto"/>
        </w:rPr>
      </w:pPr>
      <w:r>
        <w:rPr>
          <w:rFonts w:hint="eastAsia" w:cs="宋体"/>
          <w:color w:val="auto"/>
        </w:rPr>
        <w:t>投标人针对项目成立服务团队，包括但不限于技术指导组、现场检查评估组、资料汇总组、数据分析组、质量控制组、报告编制组，所有人员上岗前需进行统一培训并考核通过</w:t>
      </w:r>
      <w:r>
        <w:rPr>
          <w:rFonts w:hint="eastAsia" w:cs="宋体"/>
          <w:color w:val="auto"/>
          <w:lang w:eastAsia="zh-CN"/>
        </w:rPr>
        <w:t>，</w:t>
      </w:r>
      <w:r>
        <w:rPr>
          <w:rFonts w:hint="eastAsia" w:cs="宋体"/>
          <w:color w:val="auto"/>
        </w:rPr>
        <w:t>每组工作人员不少于</w:t>
      </w:r>
      <w:r>
        <w:rPr>
          <w:rFonts w:hint="eastAsia" w:cs="宋体"/>
          <w:color w:val="auto"/>
          <w:lang w:val="en-US" w:eastAsia="zh-CN"/>
        </w:rPr>
        <w:t>3</w:t>
      </w:r>
      <w:r>
        <w:rPr>
          <w:rFonts w:hint="eastAsia" w:cs="宋体"/>
          <w:color w:val="auto"/>
        </w:rPr>
        <w:t>人（含），其中现场检查评估组不少于1</w:t>
      </w:r>
      <w:r>
        <w:rPr>
          <w:rFonts w:hint="eastAsia" w:cs="宋体"/>
          <w:color w:val="auto"/>
          <w:lang w:val="en-US" w:eastAsia="zh-CN"/>
        </w:rPr>
        <w:t>5</w:t>
      </w:r>
      <w:r>
        <w:rPr>
          <w:rFonts w:hint="eastAsia" w:cs="宋体"/>
          <w:color w:val="auto"/>
        </w:rPr>
        <w:t>人，总计不少于</w:t>
      </w:r>
      <w:r>
        <w:rPr>
          <w:rFonts w:hint="eastAsia" w:cs="宋体"/>
          <w:color w:val="auto"/>
          <w:lang w:val="en-US" w:eastAsia="zh-CN"/>
        </w:rPr>
        <w:t>3</w:t>
      </w:r>
      <w:r>
        <w:rPr>
          <w:rFonts w:hint="eastAsia" w:cs="宋体"/>
          <w:color w:val="auto"/>
        </w:rPr>
        <w:t>0名人员，以保障项目高质量高效率实施。</w:t>
      </w:r>
    </w:p>
    <w:p>
      <w:pPr>
        <w:numPr>
          <w:ilvl w:val="0"/>
          <w:numId w:val="28"/>
        </w:numPr>
        <w:ind w:firstLine="482" w:firstLineChars="200"/>
        <w:jc w:val="both"/>
        <w:outlineLvl w:val="1"/>
        <w:rPr>
          <w:rFonts w:cs="宋体"/>
          <w:b/>
          <w:bCs/>
          <w:color w:val="auto"/>
        </w:rPr>
      </w:pPr>
      <w:bookmarkStart w:id="982" w:name="_Toc14017"/>
      <w:bookmarkStart w:id="983" w:name="_Toc30416"/>
      <w:bookmarkStart w:id="984" w:name="_Toc5275"/>
      <w:r>
        <w:rPr>
          <w:rFonts w:hint="eastAsia" w:cs="宋体"/>
          <w:b/>
          <w:bCs/>
          <w:color w:val="auto"/>
        </w:rPr>
        <w:t>※验收标准</w:t>
      </w:r>
      <w:bookmarkEnd w:id="982"/>
    </w:p>
    <w:p>
      <w:pPr>
        <w:ind w:firstLine="480" w:firstLineChars="200"/>
        <w:jc w:val="both"/>
        <w:outlineLvl w:val="0"/>
        <w:rPr>
          <w:rFonts w:cs="宋体"/>
          <w:color w:val="auto"/>
        </w:rPr>
      </w:pPr>
      <w:r>
        <w:rPr>
          <w:rFonts w:hint="eastAsia" w:cs="宋体"/>
          <w:color w:val="auto"/>
        </w:rPr>
        <w:t>1.经我局审核的《武侯区</w:t>
      </w:r>
      <w:r>
        <w:rPr>
          <w:rFonts w:hint="eastAsia" w:cs="宋体"/>
          <w:color w:val="auto"/>
          <w:lang w:eastAsia="zh-CN"/>
        </w:rPr>
        <w:t>食品生产经营主体</w:t>
      </w:r>
      <w:r>
        <w:rPr>
          <w:rFonts w:hint="eastAsia" w:cs="宋体"/>
          <w:color w:val="auto"/>
        </w:rPr>
        <w:t>常态化巡查评估服务实施方案》、全年实现100%覆盖巡查、建立食品安全风险监测数据库并录入辖区内2万家次全年完整的日常巡查信息以及每半年的巡查评估工作报告。（30分）</w:t>
      </w:r>
    </w:p>
    <w:p>
      <w:pPr>
        <w:ind w:firstLine="480" w:firstLineChars="200"/>
        <w:jc w:val="both"/>
        <w:outlineLvl w:val="0"/>
        <w:rPr>
          <w:rFonts w:cs="宋体"/>
          <w:color w:val="auto"/>
        </w:rPr>
      </w:pPr>
      <w:r>
        <w:rPr>
          <w:rFonts w:hint="eastAsia" w:cs="宋体"/>
          <w:color w:val="auto"/>
        </w:rPr>
        <w:t>2.建立食品安全风险监测数据库，将所有日常巡查评估、风险隐患等数据及时录入信息化评估系统；每半年提交1份辖区内2万家次</w:t>
      </w:r>
      <w:r>
        <w:rPr>
          <w:rFonts w:hint="eastAsia" w:cs="宋体"/>
          <w:color w:val="auto"/>
          <w:lang w:eastAsia="zh-CN"/>
        </w:rPr>
        <w:t>食品生产经营主体</w:t>
      </w:r>
      <w:r>
        <w:rPr>
          <w:rFonts w:hint="eastAsia" w:cs="宋体"/>
          <w:color w:val="auto"/>
        </w:rPr>
        <w:t>完整的评估档案、</w:t>
      </w:r>
      <w:r>
        <w:rPr>
          <w:rFonts w:hint="eastAsia" w:cs="宋体"/>
          <w:color w:val="auto"/>
          <w:lang w:eastAsia="zh-CN"/>
        </w:rPr>
        <w:t>食品生产经营主体</w:t>
      </w:r>
      <w:r>
        <w:rPr>
          <w:rFonts w:hint="eastAsia" w:cs="宋体"/>
          <w:color w:val="auto"/>
        </w:rPr>
        <w:t>风险评估分析报告、企业“黑名单”等。（40分）</w:t>
      </w:r>
    </w:p>
    <w:p>
      <w:pPr>
        <w:ind w:firstLine="480" w:firstLineChars="200"/>
        <w:jc w:val="both"/>
        <w:rPr>
          <w:rFonts w:cs="宋体"/>
          <w:color w:val="auto"/>
        </w:rPr>
      </w:pPr>
      <w:r>
        <w:rPr>
          <w:rFonts w:cs="宋体"/>
          <w:color w:val="auto"/>
        </w:rPr>
        <w:t>3</w:t>
      </w:r>
      <w:r>
        <w:rPr>
          <w:rFonts w:hint="eastAsia" w:cs="宋体"/>
          <w:color w:val="auto"/>
        </w:rPr>
        <w:t>.工作台账。查阅服务区域日常巡查评估记录、整改复查记录、线索移送记录等台账。每季度报送不少于1次的巡查评估结果分析报告。按要求报送临时性专项检查报表、总结等。（30分）</w:t>
      </w:r>
    </w:p>
    <w:p>
      <w:pPr>
        <w:ind w:firstLine="480" w:firstLineChars="200"/>
        <w:jc w:val="both"/>
        <w:rPr>
          <w:rFonts w:hint="default" w:eastAsia="宋体" w:cs="仿宋_GB2312"/>
          <w:color w:val="auto"/>
          <w:lang w:val="en-US" w:eastAsia="zh-CN"/>
        </w:rPr>
      </w:pPr>
      <w:r>
        <w:rPr>
          <w:rFonts w:hint="eastAsia" w:cs="仿宋_GB2312"/>
          <w:color w:val="auto"/>
        </w:rPr>
        <w:t>每半年考核1次，评价总分1</w:t>
      </w:r>
      <w:r>
        <w:rPr>
          <w:rFonts w:cs="仿宋_GB2312"/>
          <w:color w:val="auto"/>
        </w:rPr>
        <w:t>00</w:t>
      </w:r>
      <w:r>
        <w:rPr>
          <w:rFonts w:hint="eastAsia" w:cs="仿宋_GB2312"/>
          <w:color w:val="auto"/>
        </w:rPr>
        <w:t>分，8</w:t>
      </w:r>
      <w:r>
        <w:rPr>
          <w:rFonts w:cs="仿宋_GB2312"/>
          <w:color w:val="auto"/>
        </w:rPr>
        <w:t>0</w:t>
      </w:r>
      <w:r>
        <w:rPr>
          <w:rFonts w:hint="eastAsia" w:cs="仿宋_GB2312"/>
          <w:color w:val="auto"/>
        </w:rPr>
        <w:t>分以上（含8</w:t>
      </w:r>
      <w:r>
        <w:rPr>
          <w:rFonts w:cs="仿宋_GB2312"/>
          <w:color w:val="auto"/>
        </w:rPr>
        <w:t>0</w:t>
      </w:r>
      <w:r>
        <w:rPr>
          <w:rFonts w:hint="eastAsia" w:cs="仿宋_GB2312"/>
          <w:color w:val="auto"/>
        </w:rPr>
        <w:t>分）为达标。</w:t>
      </w:r>
      <w:r>
        <w:rPr>
          <w:rFonts w:hint="eastAsia" w:cs="仿宋_GB2312"/>
          <w:color w:val="auto"/>
          <w:lang w:val="en-US" w:eastAsia="zh-CN"/>
        </w:rPr>
        <w:t>低于80分的按每1分扣减500元服务费计算，所有扣减的服务费在最后一次支付时扣减。</w:t>
      </w:r>
    </w:p>
    <w:p>
      <w:pPr>
        <w:numPr>
          <w:ilvl w:val="0"/>
          <w:numId w:val="28"/>
        </w:numPr>
        <w:ind w:firstLine="482" w:firstLineChars="200"/>
        <w:jc w:val="both"/>
        <w:outlineLvl w:val="1"/>
        <w:rPr>
          <w:rFonts w:cs="宋体"/>
          <w:b/>
          <w:bCs/>
          <w:color w:val="auto"/>
        </w:rPr>
      </w:pPr>
      <w:r>
        <w:rPr>
          <w:rFonts w:hint="eastAsia" w:cs="宋体"/>
          <w:b/>
          <w:bCs/>
          <w:color w:val="auto"/>
        </w:rPr>
        <w:t>※商务要求</w:t>
      </w:r>
      <w:bookmarkEnd w:id="983"/>
      <w:bookmarkEnd w:id="984"/>
    </w:p>
    <w:p>
      <w:pPr>
        <w:pStyle w:val="28"/>
        <w:adjustRightInd w:val="0"/>
        <w:snapToGrid w:val="0"/>
        <w:spacing w:line="440" w:lineRule="exact"/>
        <w:ind w:firstLine="480" w:firstLineChars="200"/>
        <w:jc w:val="both"/>
        <w:rPr>
          <w:rFonts w:ascii="宋体" w:hAnsi="宋体" w:cs="宋体"/>
          <w:bCs/>
          <w:color w:val="auto"/>
          <w:sz w:val="24"/>
          <w:szCs w:val="24"/>
        </w:rPr>
      </w:pPr>
      <w:r>
        <w:rPr>
          <w:rFonts w:hint="eastAsia" w:ascii="宋体" w:hAnsi="宋体" w:cs="宋体"/>
          <w:bCs/>
          <w:color w:val="auto"/>
          <w:sz w:val="24"/>
          <w:szCs w:val="24"/>
        </w:rPr>
        <w:t>(一)履约地点：完成本项目所需的所有地点，具体以采购人指定为准。</w:t>
      </w:r>
    </w:p>
    <w:p>
      <w:pPr>
        <w:pStyle w:val="28"/>
        <w:adjustRightInd w:val="0"/>
        <w:snapToGrid w:val="0"/>
        <w:spacing w:line="440" w:lineRule="exact"/>
        <w:ind w:firstLine="480" w:firstLineChars="200"/>
        <w:jc w:val="both"/>
        <w:rPr>
          <w:rFonts w:ascii="宋体" w:hAnsi="宋体" w:cs="宋体"/>
          <w:bCs/>
          <w:color w:val="auto"/>
          <w:sz w:val="24"/>
          <w:szCs w:val="24"/>
        </w:rPr>
      </w:pPr>
      <w:r>
        <w:rPr>
          <w:rFonts w:hint="eastAsia" w:ascii="宋体" w:hAnsi="宋体" w:cs="宋体"/>
          <w:bCs/>
          <w:color w:val="auto"/>
          <w:sz w:val="24"/>
          <w:szCs w:val="24"/>
        </w:rPr>
        <w:t>(二)履约时间：政府采购合同签订生效后一年。</w:t>
      </w:r>
    </w:p>
    <w:p>
      <w:pPr>
        <w:pStyle w:val="28"/>
        <w:adjustRightInd w:val="0"/>
        <w:snapToGrid w:val="0"/>
        <w:spacing w:line="440" w:lineRule="exact"/>
        <w:ind w:firstLine="480" w:firstLineChars="200"/>
        <w:jc w:val="both"/>
        <w:rPr>
          <w:rFonts w:ascii="宋体" w:hAnsi="宋体" w:cs="宋体"/>
          <w:bCs/>
          <w:color w:val="auto"/>
          <w:sz w:val="24"/>
          <w:szCs w:val="24"/>
        </w:rPr>
      </w:pPr>
      <w:r>
        <w:rPr>
          <w:rFonts w:hint="eastAsia" w:ascii="宋体" w:hAnsi="宋体" w:cs="宋体"/>
          <w:bCs/>
          <w:color w:val="auto"/>
          <w:sz w:val="24"/>
          <w:szCs w:val="24"/>
        </w:rPr>
        <w:t>(三)报价及合同价</w:t>
      </w:r>
    </w:p>
    <w:p>
      <w:pPr>
        <w:pStyle w:val="28"/>
        <w:adjustRightInd w:val="0"/>
        <w:snapToGrid w:val="0"/>
        <w:spacing w:line="440" w:lineRule="exact"/>
        <w:ind w:firstLine="480" w:firstLineChars="200"/>
        <w:jc w:val="both"/>
        <w:rPr>
          <w:rFonts w:ascii="宋体" w:hAnsi="宋体" w:cs="宋体"/>
          <w:bCs/>
          <w:color w:val="auto"/>
          <w:sz w:val="24"/>
          <w:szCs w:val="24"/>
        </w:rPr>
      </w:pPr>
      <w:r>
        <w:rPr>
          <w:rFonts w:hint="eastAsia" w:ascii="宋体" w:hAnsi="宋体" w:cs="宋体"/>
          <w:bCs/>
          <w:color w:val="auto"/>
          <w:sz w:val="24"/>
          <w:szCs w:val="24"/>
        </w:rPr>
        <w:t>合同价是投标人完成采购人当前环境下项目正常运行所需的全部费用，包含完成本项目所涉及人员薪资、设备投入、交通住宿、检测、管理、成果、利润、保险、风险、税金、招标代理服务费等完成本项目所需要的一切费用。</w:t>
      </w:r>
    </w:p>
    <w:p>
      <w:pPr>
        <w:pStyle w:val="28"/>
        <w:adjustRightInd w:val="0"/>
        <w:snapToGrid w:val="0"/>
        <w:spacing w:line="440" w:lineRule="exact"/>
        <w:ind w:firstLine="480" w:firstLineChars="200"/>
        <w:jc w:val="both"/>
        <w:rPr>
          <w:rFonts w:ascii="宋体" w:hAnsi="宋体" w:cs="宋体"/>
          <w:bCs/>
          <w:color w:val="auto"/>
          <w:sz w:val="24"/>
          <w:szCs w:val="24"/>
        </w:rPr>
      </w:pPr>
      <w:r>
        <w:rPr>
          <w:rFonts w:hint="eastAsia" w:ascii="宋体" w:hAnsi="宋体" w:cs="宋体"/>
          <w:bCs/>
          <w:color w:val="auto"/>
          <w:sz w:val="24"/>
          <w:szCs w:val="24"/>
        </w:rPr>
        <w:t>(四)付款方式</w:t>
      </w:r>
    </w:p>
    <w:p>
      <w:pPr>
        <w:pStyle w:val="63"/>
        <w:numPr>
          <w:ilvl w:val="3"/>
          <w:numId w:val="0"/>
        </w:numPr>
        <w:ind w:firstLine="480" w:firstLineChars="200"/>
        <w:jc w:val="both"/>
        <w:rPr>
          <w:rFonts w:cs="宋体"/>
          <w:bCs/>
          <w:color w:val="auto"/>
        </w:rPr>
      </w:pPr>
      <w:r>
        <w:rPr>
          <w:rFonts w:hint="eastAsia" w:cs="宋体"/>
          <w:bCs/>
          <w:color w:val="auto"/>
        </w:rPr>
        <w:t>1</w:t>
      </w:r>
      <w:r>
        <w:rPr>
          <w:rFonts w:cs="宋体"/>
          <w:bCs/>
          <w:color w:val="auto"/>
        </w:rPr>
        <w:t>.</w:t>
      </w:r>
      <w:r>
        <w:rPr>
          <w:rFonts w:hint="eastAsia" w:cs="宋体"/>
          <w:bCs/>
          <w:color w:val="auto"/>
        </w:rPr>
        <w:t>签订采购合同生效后15个工作日内支付合同金额的50%做为预付款，按合同约定完成各项工作后支付剩余服务费。</w:t>
      </w:r>
    </w:p>
    <w:p>
      <w:pPr>
        <w:pStyle w:val="63"/>
        <w:numPr>
          <w:ilvl w:val="3"/>
          <w:numId w:val="0"/>
        </w:numPr>
        <w:ind w:firstLine="480" w:firstLineChars="200"/>
        <w:jc w:val="both"/>
        <w:rPr>
          <w:rFonts w:cs="宋体"/>
          <w:bCs/>
          <w:color w:val="auto"/>
        </w:rPr>
      </w:pPr>
      <w:r>
        <w:rPr>
          <w:rFonts w:hint="eastAsia" w:cs="宋体"/>
          <w:bCs/>
          <w:color w:val="auto"/>
        </w:rPr>
        <w:t>2.供应商须向采购人出具合法有效完整的完税发票及凭证资料进行支付结算。</w:t>
      </w:r>
    </w:p>
    <w:p>
      <w:pPr>
        <w:pStyle w:val="28"/>
        <w:adjustRightInd w:val="0"/>
        <w:snapToGrid w:val="0"/>
        <w:spacing w:line="440" w:lineRule="exact"/>
        <w:ind w:firstLine="480" w:firstLineChars="200"/>
        <w:jc w:val="both"/>
        <w:rPr>
          <w:rFonts w:ascii="宋体" w:hAnsi="宋体" w:cs="宋体"/>
          <w:bCs/>
          <w:color w:val="auto"/>
          <w:sz w:val="24"/>
          <w:szCs w:val="24"/>
        </w:rPr>
      </w:pPr>
      <w:r>
        <w:rPr>
          <w:rFonts w:hint="eastAsia" w:ascii="宋体" w:hAnsi="宋体" w:cs="宋体"/>
          <w:bCs/>
          <w:color w:val="auto"/>
          <w:sz w:val="24"/>
          <w:szCs w:val="24"/>
        </w:rPr>
        <w:t>(五)违约责任</w:t>
      </w:r>
    </w:p>
    <w:p>
      <w:pPr>
        <w:ind w:firstLine="480" w:firstLineChars="200"/>
        <w:jc w:val="both"/>
        <w:rPr>
          <w:rFonts w:cs="宋体"/>
          <w:bCs/>
          <w:color w:val="auto"/>
          <w:kern w:val="0"/>
        </w:rPr>
      </w:pPr>
      <w:r>
        <w:rPr>
          <w:rFonts w:hint="eastAsia" w:cs="宋体"/>
          <w:bCs/>
          <w:color w:val="auto"/>
          <w:kern w:val="0"/>
        </w:rPr>
        <w:t>1.供应商必须遵守采购合同并执行合同中的各项规定，保证采购合同的正常履行。</w:t>
      </w:r>
    </w:p>
    <w:p>
      <w:pPr>
        <w:ind w:firstLine="480" w:firstLineChars="200"/>
        <w:jc w:val="both"/>
        <w:rPr>
          <w:rFonts w:cs="宋体"/>
          <w:bCs/>
          <w:color w:val="auto"/>
          <w:kern w:val="0"/>
        </w:rPr>
      </w:pPr>
      <w:r>
        <w:rPr>
          <w:rFonts w:hint="eastAsia" w:cs="宋体"/>
          <w:bCs/>
          <w:color w:val="auto"/>
          <w:kern w:val="0"/>
        </w:rPr>
        <w:t>2.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pPr>
        <w:ind w:firstLine="480" w:firstLineChars="200"/>
        <w:jc w:val="both"/>
        <w:rPr>
          <w:rFonts w:cs="宋体"/>
          <w:bCs/>
          <w:color w:val="auto"/>
          <w:kern w:val="0"/>
        </w:rPr>
      </w:pPr>
      <w:r>
        <w:rPr>
          <w:rFonts w:hint="eastAsia" w:cs="宋体"/>
          <w:bCs/>
          <w:color w:val="auto"/>
          <w:kern w:val="0"/>
        </w:rPr>
        <w:t>3.供应商必须遵守采购合同按时完成合同相关工作，若由于供应商原因导致合同迟延履行，供应商应承担采购合同中约定承担违约责任。</w:t>
      </w:r>
    </w:p>
    <w:p>
      <w:pPr>
        <w:ind w:firstLine="480" w:firstLineChars="200"/>
        <w:jc w:val="both"/>
        <w:rPr>
          <w:rFonts w:cs="宋体"/>
          <w:bCs/>
          <w:color w:val="auto"/>
          <w:kern w:val="0"/>
        </w:rPr>
      </w:pPr>
      <w:r>
        <w:rPr>
          <w:rFonts w:hint="eastAsia" w:cs="宋体"/>
          <w:bCs/>
          <w:color w:val="auto"/>
          <w:kern w:val="0"/>
        </w:rPr>
        <w:t>4.供应商应当遵守采购人的相关项目需求及相关技术要求及实质性条款，实施完成采购合同应当完全满足相关项目需求及相关技术要求及实质性条款，若供应商瑕疵履行采购合同，采购人有权向供应商要求赔偿合同总价款20%的违约金，若造成相关损失的，采购人有权要求供应商承担所有赔偿责任。</w:t>
      </w:r>
    </w:p>
    <w:p>
      <w:pPr>
        <w:pStyle w:val="63"/>
        <w:numPr>
          <w:ilvl w:val="3"/>
          <w:numId w:val="0"/>
        </w:numPr>
        <w:ind w:firstLine="480" w:firstLineChars="200"/>
        <w:jc w:val="both"/>
        <w:rPr>
          <w:rFonts w:cs="宋体"/>
          <w:bCs/>
          <w:color w:val="auto"/>
          <w:kern w:val="0"/>
        </w:rPr>
      </w:pPr>
      <w:r>
        <w:rPr>
          <w:rFonts w:hint="eastAsia" w:cs="宋体"/>
          <w:bCs/>
          <w:color w:val="auto"/>
          <w:kern w:val="0"/>
        </w:rPr>
        <w:t>5.有下列情形之一的，当事人可以解除合同：</w:t>
      </w:r>
      <w:r>
        <w:rPr>
          <w:rFonts w:hint="eastAsia" w:cs="宋体"/>
          <w:bCs/>
          <w:color w:val="auto"/>
          <w:kern w:val="0"/>
        </w:rPr>
        <w:br w:type="textWrapping"/>
      </w:r>
      <w:r>
        <w:rPr>
          <w:rFonts w:hint="eastAsia" w:cs="宋体"/>
          <w:bCs/>
          <w:color w:val="auto"/>
          <w:kern w:val="0"/>
        </w:rPr>
        <w:t>　　5.1因不可抗力致使不能实现合同目的(由于非供应商或采购人原因，致使合同实质性条款无法实现的)；</w:t>
      </w:r>
      <w:r>
        <w:rPr>
          <w:rFonts w:hint="eastAsia" w:cs="宋体"/>
          <w:bCs/>
          <w:color w:val="auto"/>
          <w:kern w:val="0"/>
        </w:rPr>
        <w:br w:type="textWrapping"/>
      </w:r>
      <w:r>
        <w:rPr>
          <w:rFonts w:hint="eastAsia" w:cs="宋体"/>
          <w:bCs/>
          <w:color w:val="auto"/>
          <w:kern w:val="0"/>
        </w:rPr>
        <w:t>　  5.2当事人一方迟延履行主要债务，经催告后在合理期限内仍未履行；</w:t>
      </w:r>
      <w:r>
        <w:rPr>
          <w:rFonts w:hint="eastAsia" w:cs="宋体"/>
          <w:bCs/>
          <w:color w:val="auto"/>
          <w:kern w:val="0"/>
        </w:rPr>
        <w:br w:type="textWrapping"/>
      </w:r>
      <w:r>
        <w:rPr>
          <w:rFonts w:hint="eastAsia" w:cs="宋体"/>
          <w:bCs/>
          <w:color w:val="auto"/>
          <w:kern w:val="0"/>
        </w:rPr>
        <w:t>　　5.3当事人一方迟延履行债务或者有其他违约行为致使不能实现合同目的；</w:t>
      </w:r>
      <w:r>
        <w:rPr>
          <w:rFonts w:hint="eastAsia" w:cs="宋体"/>
          <w:bCs/>
          <w:color w:val="auto"/>
          <w:kern w:val="0"/>
        </w:rPr>
        <w:br w:type="textWrapping"/>
      </w:r>
      <w:r>
        <w:rPr>
          <w:rFonts w:hint="eastAsia" w:cs="宋体"/>
          <w:bCs/>
          <w:color w:val="auto"/>
          <w:kern w:val="0"/>
        </w:rPr>
        <w:t>　  5.4法律规定的其他情形。</w:t>
      </w:r>
    </w:p>
    <w:p>
      <w:pPr>
        <w:pStyle w:val="28"/>
        <w:adjustRightInd w:val="0"/>
        <w:snapToGrid w:val="0"/>
        <w:spacing w:line="440" w:lineRule="exact"/>
        <w:ind w:firstLine="480" w:firstLineChars="200"/>
        <w:jc w:val="both"/>
        <w:rPr>
          <w:rFonts w:ascii="宋体" w:hAnsi="宋体" w:cs="宋体"/>
          <w:bCs/>
          <w:color w:val="auto"/>
          <w:sz w:val="24"/>
          <w:szCs w:val="24"/>
        </w:rPr>
      </w:pPr>
      <w:r>
        <w:rPr>
          <w:rFonts w:hint="eastAsia" w:ascii="宋体" w:hAnsi="宋体" w:cs="宋体"/>
          <w:bCs/>
          <w:color w:val="auto"/>
          <w:sz w:val="24"/>
          <w:szCs w:val="24"/>
        </w:rPr>
        <w:t>(六)解决争议的方法</w:t>
      </w:r>
    </w:p>
    <w:p>
      <w:pPr>
        <w:pStyle w:val="28"/>
        <w:adjustRightInd w:val="0"/>
        <w:snapToGrid w:val="0"/>
        <w:spacing w:line="440" w:lineRule="exact"/>
        <w:ind w:firstLine="480" w:firstLineChars="200"/>
        <w:jc w:val="both"/>
        <w:rPr>
          <w:rFonts w:ascii="宋体" w:hAnsi="宋体" w:cs="宋体"/>
          <w:bCs/>
          <w:color w:val="auto"/>
          <w:sz w:val="24"/>
          <w:szCs w:val="24"/>
        </w:rPr>
      </w:pPr>
      <w:r>
        <w:rPr>
          <w:rFonts w:hint="eastAsia" w:ascii="宋体" w:hAnsi="宋体" w:cs="宋体"/>
          <w:bCs/>
          <w:color w:val="auto"/>
          <w:sz w:val="24"/>
          <w:szCs w:val="24"/>
        </w:rPr>
        <w:t>1.因服务的质量问题发生争议，由采购人或其指定的第三方机构进行质量鉴定。服务符合标准的，鉴定费由采购人承担；服务不符合质量标准的，鉴定费由中标供应商承担。</w:t>
      </w:r>
    </w:p>
    <w:p>
      <w:pPr>
        <w:ind w:firstLine="480" w:firstLineChars="200"/>
        <w:jc w:val="both"/>
        <w:rPr>
          <w:rFonts w:cs="宋体"/>
          <w:bCs/>
          <w:color w:val="auto"/>
        </w:rPr>
      </w:pPr>
      <w:r>
        <w:rPr>
          <w:rFonts w:hint="eastAsia" w:cs="宋体"/>
          <w:bCs/>
          <w:color w:val="auto"/>
        </w:rPr>
        <w:t>2.</w:t>
      </w:r>
      <w:r>
        <w:rPr>
          <w:rFonts w:cs="宋体"/>
          <w:color w:val="auto"/>
        </w:rPr>
        <w:t>在执行本合同中发生的或与本合同有关的争端，双方应通过友好协商解决，经协商在30天内不能达成协议时，应提交</w:t>
      </w:r>
      <w:r>
        <w:rPr>
          <w:rFonts w:hint="eastAsia" w:cs="宋体"/>
          <w:color w:val="auto"/>
        </w:rPr>
        <w:t>采购人</w:t>
      </w:r>
      <w:r>
        <w:rPr>
          <w:rFonts w:cs="宋体"/>
          <w:color w:val="auto"/>
        </w:rPr>
        <w:t>住所地人民法院诉讼</w:t>
      </w:r>
      <w:r>
        <w:rPr>
          <w:rFonts w:hint="eastAsia" w:cs="宋体"/>
          <w:bCs/>
          <w:color w:val="auto"/>
        </w:rPr>
        <w:t>。</w:t>
      </w:r>
    </w:p>
    <w:p>
      <w:pPr>
        <w:numPr>
          <w:ilvl w:val="0"/>
          <w:numId w:val="28"/>
        </w:numPr>
        <w:ind w:firstLine="482" w:firstLineChars="200"/>
        <w:jc w:val="both"/>
        <w:outlineLvl w:val="1"/>
        <w:rPr>
          <w:rFonts w:cs="宋体"/>
          <w:b/>
          <w:bCs/>
          <w:color w:val="auto"/>
        </w:rPr>
      </w:pPr>
      <w:bookmarkStart w:id="985" w:name="_Toc1049"/>
      <w:bookmarkStart w:id="986" w:name="_Toc28715"/>
      <w:r>
        <w:rPr>
          <w:rFonts w:hint="eastAsia" w:cs="宋体"/>
          <w:b/>
          <w:bCs/>
          <w:color w:val="auto"/>
        </w:rPr>
        <w:t>其他要求</w:t>
      </w:r>
      <w:bookmarkEnd w:id="985"/>
      <w:bookmarkEnd w:id="986"/>
    </w:p>
    <w:p>
      <w:pPr>
        <w:pStyle w:val="28"/>
        <w:adjustRightInd w:val="0"/>
        <w:snapToGrid w:val="0"/>
        <w:spacing w:line="440" w:lineRule="exact"/>
        <w:ind w:firstLine="480" w:firstLineChars="200"/>
        <w:jc w:val="both"/>
        <w:rPr>
          <w:rFonts w:ascii="宋体" w:hAnsi="宋体" w:cs="宋体"/>
          <w:bCs/>
          <w:color w:val="auto"/>
          <w:sz w:val="24"/>
          <w:szCs w:val="24"/>
        </w:rPr>
      </w:pPr>
      <w:r>
        <w:rPr>
          <w:rFonts w:hint="eastAsia" w:ascii="宋体" w:hAnsi="宋体" w:cs="宋体"/>
          <w:bCs/>
          <w:color w:val="auto"/>
          <w:sz w:val="24"/>
          <w:szCs w:val="24"/>
        </w:rPr>
        <w:t>(一)政府采购合同签订时间：供应商中标后，自中标通知书发出之日起30日内与采购单位签订政府采购合同。</w:t>
      </w:r>
    </w:p>
    <w:p>
      <w:pPr>
        <w:pStyle w:val="28"/>
        <w:adjustRightInd w:val="0"/>
        <w:snapToGrid w:val="0"/>
        <w:spacing w:line="440" w:lineRule="exact"/>
        <w:ind w:firstLine="480" w:firstLineChars="200"/>
        <w:jc w:val="both"/>
        <w:rPr>
          <w:rFonts w:ascii="宋体" w:hAnsi="宋体" w:cs="宋体"/>
          <w:bCs/>
          <w:color w:val="auto"/>
          <w:sz w:val="24"/>
          <w:szCs w:val="24"/>
        </w:rPr>
      </w:pPr>
      <w:r>
        <w:rPr>
          <w:rFonts w:hint="eastAsia" w:ascii="宋体" w:hAnsi="宋体" w:cs="宋体"/>
          <w:bCs/>
          <w:color w:val="auto"/>
          <w:sz w:val="24"/>
          <w:szCs w:val="24"/>
        </w:rPr>
        <w:t>(二)</w:t>
      </w:r>
      <w:r>
        <w:rPr>
          <w:rFonts w:hint="eastAsia" w:ascii="宋体" w:hAnsi="宋体" w:cs="宋体"/>
          <w:b/>
          <w:color w:val="auto"/>
          <w:sz w:val="24"/>
          <w:szCs w:val="24"/>
        </w:rPr>
        <w:t>※</w:t>
      </w:r>
      <w:r>
        <w:rPr>
          <w:rFonts w:hint="eastAsia" w:ascii="宋体" w:hAnsi="宋体" w:cs="宋体"/>
          <w:bCs/>
          <w:color w:val="auto"/>
          <w:sz w:val="24"/>
          <w:szCs w:val="24"/>
        </w:rPr>
        <w:t>供应商应保证所提供的服务或其任何一部分均不会侵犯任何第三方的专利权、商标权或著作权</w:t>
      </w:r>
      <w:r>
        <w:rPr>
          <w:rFonts w:hint="eastAsia" w:ascii="宋体" w:hAnsi="宋体" w:cs="宋体"/>
          <w:b/>
          <w:color w:val="auto"/>
          <w:sz w:val="24"/>
          <w:szCs w:val="24"/>
        </w:rPr>
        <w:t>(应在投标文件中提供承诺函进行响应，格式自拟)</w:t>
      </w:r>
      <w:r>
        <w:rPr>
          <w:rFonts w:hint="eastAsia" w:ascii="宋体" w:hAnsi="宋体" w:cs="宋体"/>
          <w:bCs/>
          <w:color w:val="auto"/>
          <w:sz w:val="24"/>
          <w:szCs w:val="24"/>
        </w:rPr>
        <w:t>。</w:t>
      </w:r>
    </w:p>
    <w:p>
      <w:pPr>
        <w:pStyle w:val="28"/>
        <w:adjustRightInd w:val="0"/>
        <w:snapToGrid w:val="0"/>
        <w:spacing w:line="440" w:lineRule="exact"/>
        <w:ind w:firstLine="480" w:firstLineChars="200"/>
        <w:jc w:val="both"/>
        <w:rPr>
          <w:rFonts w:ascii="宋体" w:hAnsi="宋体" w:cs="宋体"/>
          <w:bCs/>
          <w:color w:val="auto"/>
          <w:sz w:val="24"/>
          <w:szCs w:val="24"/>
        </w:rPr>
      </w:pPr>
      <w:r>
        <w:rPr>
          <w:rFonts w:hint="eastAsia" w:ascii="宋体" w:hAnsi="宋体" w:cs="宋体"/>
          <w:bCs/>
          <w:color w:val="auto"/>
          <w:sz w:val="24"/>
          <w:szCs w:val="24"/>
        </w:rPr>
        <w:t>(三)供应商为本项目提供服务的从业人员应依照《中华人民共和国劳动合同法》订立劳动合同。</w:t>
      </w:r>
    </w:p>
    <w:p>
      <w:pPr>
        <w:pStyle w:val="28"/>
        <w:adjustRightInd w:val="0"/>
        <w:snapToGrid w:val="0"/>
        <w:spacing w:line="440" w:lineRule="exact"/>
        <w:ind w:firstLine="480" w:firstLineChars="200"/>
        <w:jc w:val="both"/>
        <w:rPr>
          <w:rFonts w:ascii="宋体" w:hAnsi="宋体" w:cs="宋体"/>
          <w:b/>
          <w:color w:val="auto"/>
          <w:sz w:val="24"/>
          <w:szCs w:val="24"/>
        </w:rPr>
      </w:pPr>
      <w:r>
        <w:rPr>
          <w:rFonts w:hint="eastAsia" w:ascii="宋体" w:hAnsi="宋体" w:cs="宋体"/>
          <w:bCs/>
          <w:color w:val="auto"/>
          <w:sz w:val="24"/>
          <w:szCs w:val="24"/>
        </w:rPr>
        <w:t>(四)</w:t>
      </w:r>
      <w:r>
        <w:rPr>
          <w:rFonts w:hint="eastAsia" w:ascii="宋体" w:hAnsi="宋体" w:cs="宋体"/>
          <w:b/>
          <w:color w:val="auto"/>
          <w:sz w:val="24"/>
          <w:szCs w:val="24"/>
        </w:rPr>
        <w:t>※</w:t>
      </w:r>
      <w:r>
        <w:rPr>
          <w:rFonts w:hint="eastAsia" w:ascii="宋体" w:hAnsi="宋体" w:cs="宋体"/>
          <w:bCs/>
          <w:color w:val="auto"/>
          <w:sz w:val="24"/>
          <w:szCs w:val="24"/>
        </w:rPr>
        <w:t>供应商应严格执行《中华人民共和国民法典》、《中华人民共和国劳动合同法》及项目所在地最低工资标准等相关法律、法规并依法与服务人员签订劳动合同，并办理各种用工手续，如因用工不当，给采购人及服务人员造成的损失由供应商全额承担</w:t>
      </w:r>
      <w:r>
        <w:rPr>
          <w:rFonts w:hint="eastAsia" w:ascii="宋体" w:hAnsi="宋体" w:cs="宋体"/>
          <w:b/>
          <w:color w:val="auto"/>
          <w:sz w:val="24"/>
          <w:szCs w:val="24"/>
        </w:rPr>
        <w:t>(应在投标文件中提供承诺函进行响应，格式自拟)。</w:t>
      </w:r>
    </w:p>
    <w:p>
      <w:pPr>
        <w:pStyle w:val="28"/>
        <w:adjustRightInd w:val="0"/>
        <w:snapToGrid w:val="0"/>
        <w:spacing w:line="440" w:lineRule="exact"/>
        <w:ind w:firstLine="480" w:firstLineChars="200"/>
        <w:jc w:val="both"/>
        <w:rPr>
          <w:rFonts w:ascii="宋体" w:hAnsi="宋体" w:cs="宋体"/>
          <w:bCs/>
          <w:color w:val="auto"/>
          <w:sz w:val="24"/>
          <w:szCs w:val="24"/>
        </w:rPr>
      </w:pPr>
      <w:r>
        <w:rPr>
          <w:rFonts w:hint="eastAsia" w:ascii="宋体" w:hAnsi="宋体" w:cs="宋体"/>
          <w:bCs/>
          <w:color w:val="auto"/>
          <w:sz w:val="24"/>
          <w:szCs w:val="24"/>
        </w:rPr>
        <w:t>(五)※供应商服务从业人员在服务期间发生伤亡事故，或在服务过程中造成第三人伤亡的，责任由供应商全额承担</w:t>
      </w:r>
      <w:r>
        <w:rPr>
          <w:rFonts w:hint="eastAsia" w:ascii="宋体" w:hAnsi="宋体" w:cs="宋体"/>
          <w:b/>
          <w:color w:val="auto"/>
          <w:sz w:val="24"/>
          <w:szCs w:val="24"/>
        </w:rPr>
        <w:t>(应在投标文件中提供承诺函进行响应，格式自拟)</w:t>
      </w:r>
      <w:r>
        <w:rPr>
          <w:rFonts w:hint="eastAsia" w:ascii="宋体" w:hAnsi="宋体" w:cs="宋体"/>
          <w:bCs/>
          <w:color w:val="auto"/>
          <w:sz w:val="24"/>
          <w:szCs w:val="24"/>
        </w:rPr>
        <w:t>。</w:t>
      </w:r>
    </w:p>
    <w:p>
      <w:pPr>
        <w:pStyle w:val="28"/>
        <w:adjustRightInd w:val="0"/>
        <w:snapToGrid w:val="0"/>
        <w:spacing w:line="440" w:lineRule="exact"/>
        <w:ind w:firstLine="480" w:firstLineChars="200"/>
        <w:jc w:val="both"/>
        <w:rPr>
          <w:rFonts w:ascii="宋体" w:hAnsi="宋体" w:cs="宋体"/>
          <w:bCs/>
          <w:color w:val="auto"/>
          <w:sz w:val="24"/>
          <w:szCs w:val="24"/>
        </w:rPr>
      </w:pPr>
      <w:r>
        <w:rPr>
          <w:rFonts w:hint="eastAsia" w:ascii="宋体" w:hAnsi="宋体" w:cs="宋体"/>
          <w:bCs/>
          <w:color w:val="auto"/>
          <w:sz w:val="24"/>
          <w:szCs w:val="24"/>
        </w:rPr>
        <w:t>(六)采购人定期核对供应商提供服务所配备的人员数量及相关信息，对于未按照采购文件及投标响应要求执行或存在不合理的部分有权下达整改通知书，并要求供应商限期整改。</w:t>
      </w:r>
    </w:p>
    <w:p>
      <w:pPr>
        <w:pStyle w:val="28"/>
        <w:adjustRightInd w:val="0"/>
        <w:snapToGrid w:val="0"/>
        <w:spacing w:line="440" w:lineRule="exact"/>
        <w:ind w:firstLine="480" w:firstLineChars="200"/>
        <w:jc w:val="both"/>
        <w:rPr>
          <w:rFonts w:ascii="宋体" w:hAnsi="宋体" w:cs="宋体"/>
          <w:bCs/>
          <w:color w:val="auto"/>
          <w:sz w:val="24"/>
          <w:szCs w:val="24"/>
        </w:rPr>
      </w:pPr>
      <w:r>
        <w:rPr>
          <w:rFonts w:hint="eastAsia" w:ascii="宋体" w:hAnsi="宋体" w:cs="宋体"/>
          <w:bCs/>
          <w:color w:val="auto"/>
          <w:sz w:val="24"/>
          <w:szCs w:val="24"/>
        </w:rPr>
        <w:t>(七)供应商定期及时向采购人通告本项目服务范围内有关服务的重大事项及其进度。</w:t>
      </w:r>
    </w:p>
    <w:p>
      <w:pPr>
        <w:pStyle w:val="28"/>
        <w:adjustRightInd w:val="0"/>
        <w:snapToGrid w:val="0"/>
        <w:spacing w:line="440" w:lineRule="exact"/>
        <w:ind w:firstLine="480" w:firstLineChars="200"/>
        <w:jc w:val="both"/>
        <w:rPr>
          <w:rFonts w:ascii="宋体" w:hAnsi="宋体" w:cs="宋体"/>
          <w:bCs/>
          <w:color w:val="auto"/>
          <w:sz w:val="24"/>
          <w:szCs w:val="24"/>
        </w:rPr>
      </w:pPr>
      <w:r>
        <w:rPr>
          <w:rFonts w:hint="eastAsia" w:ascii="宋体" w:hAnsi="宋体" w:cs="宋体"/>
          <w:bCs/>
          <w:color w:val="auto"/>
          <w:sz w:val="24"/>
          <w:szCs w:val="24"/>
        </w:rPr>
        <w:t>(八)接受项目行业管理部门及政府有关部门的指导，接受采购人的监督。</w:t>
      </w:r>
    </w:p>
    <w:p>
      <w:pPr>
        <w:pStyle w:val="47"/>
        <w:ind w:firstLine="482"/>
        <w:jc w:val="both"/>
        <w:rPr>
          <w:rFonts w:cs="宋体"/>
          <w:color w:val="auto"/>
        </w:rPr>
      </w:pPr>
      <w:r>
        <w:rPr>
          <w:rFonts w:hint="eastAsia" w:cs="宋体"/>
          <w:color w:val="auto"/>
        </w:rPr>
        <w:t>注意：①本章带“※”号条款为实质性要求，供应商若未满足的，将被视为无效投标。</w:t>
      </w:r>
    </w:p>
    <w:p>
      <w:pPr>
        <w:ind w:firstLine="482" w:firstLineChars="200"/>
        <w:rPr>
          <w:rFonts w:hint="eastAsia" w:cs="宋体"/>
          <w:b/>
          <w:bCs/>
        </w:rPr>
      </w:pPr>
      <w:r>
        <w:rPr>
          <w:rFonts w:hint="eastAsia" w:cs="宋体"/>
          <w:b/>
          <w:bCs/>
          <w:color w:val="auto"/>
        </w:rPr>
        <w:t>②本项目涉及企业资质、产品认证、人员执业资格等描述与国家最新要求不一致时以最新要求为准</w:t>
      </w:r>
      <w:bookmarkStart w:id="1241" w:name="_GoBack"/>
      <w:bookmarkEnd w:id="1241"/>
      <w:r>
        <w:rPr>
          <w:rFonts w:hint="eastAsia" w:cs="宋体"/>
          <w:b/>
          <w:bCs/>
        </w:rPr>
        <w:t>。</w:t>
      </w:r>
    </w:p>
    <w:p>
      <w:pPr>
        <w:keepNext w:val="0"/>
        <w:keepLines w:val="0"/>
        <w:pageBreakBefore w:val="0"/>
        <w:kinsoku/>
        <w:overflowPunct/>
        <w:autoSpaceDE/>
        <w:autoSpaceDN/>
        <w:bidi w:val="0"/>
        <w:adjustRightInd w:val="0"/>
        <w:snapToGrid w:val="0"/>
        <w:spacing w:line="440" w:lineRule="exact"/>
        <w:ind w:firstLine="600" w:firstLineChars="200"/>
        <w:jc w:val="left"/>
        <w:textAlignment w:val="auto"/>
        <w:rPr>
          <w:rFonts w:hint="eastAsia" w:ascii="宋体" w:hAnsi="宋体" w:eastAsia="宋体" w:cs="宋体"/>
          <w:color w:val="000000"/>
          <w:sz w:val="30"/>
          <w:szCs w:val="30"/>
        </w:rPr>
      </w:pPr>
    </w:p>
    <w:p>
      <w:pPr>
        <w:widowControl/>
        <w:jc w:val="left"/>
        <w:rPr>
          <w:rFonts w:hint="eastAsia"/>
        </w:rPr>
      </w:pPr>
      <w:r>
        <w:rPr>
          <w:rFonts w:hint="eastAsia"/>
        </w:rPr>
        <w:br w:type="page"/>
      </w:r>
    </w:p>
    <w:bookmarkEnd w:id="960"/>
    <w:bookmarkEnd w:id="961"/>
    <w:bookmarkEnd w:id="962"/>
    <w:p>
      <w:pPr>
        <w:pStyle w:val="48"/>
        <w:numPr>
          <w:ilvl w:val="0"/>
          <w:numId w:val="13"/>
        </w:numPr>
        <w:bidi w:val="0"/>
        <w:rPr>
          <w:rFonts w:hint="eastAsia"/>
        </w:rPr>
      </w:pPr>
      <w:bookmarkStart w:id="987" w:name="_Toc32447"/>
      <w:bookmarkStart w:id="988" w:name="_Toc10570"/>
      <w:bookmarkStart w:id="989" w:name="_Toc24603"/>
      <w:bookmarkStart w:id="990" w:name="_Toc217446097"/>
      <w:bookmarkStart w:id="991" w:name="_Toc3881"/>
      <w:bookmarkStart w:id="992" w:name="_Toc1543"/>
      <w:bookmarkStart w:id="993" w:name="_Toc208849007"/>
      <w:bookmarkStart w:id="994" w:name="_Toc307564896"/>
      <w:bookmarkStart w:id="995" w:name="_Toc4553"/>
      <w:bookmarkStart w:id="996" w:name="_Toc483"/>
      <w:bookmarkStart w:id="997" w:name="_Toc21302"/>
      <w:bookmarkStart w:id="998" w:name="_Toc319439946"/>
      <w:bookmarkStart w:id="999" w:name="_Toc307501154"/>
      <w:bookmarkStart w:id="1000" w:name="_Toc309897563"/>
      <w:bookmarkStart w:id="1001" w:name="_Toc327196339"/>
      <w:bookmarkStart w:id="1002" w:name="_Toc26923"/>
      <w:bookmarkStart w:id="1003" w:name="_Toc183582280"/>
      <w:bookmarkStart w:id="1004" w:name="_Toc319440188"/>
      <w:bookmarkStart w:id="1005" w:name="_Toc308084645"/>
      <w:bookmarkStart w:id="1006" w:name="_Toc2232"/>
      <w:bookmarkStart w:id="1007" w:name="_Toc25959"/>
      <w:bookmarkStart w:id="1008" w:name="_Toc308188198"/>
      <w:bookmarkStart w:id="1009" w:name="_Toc183682415"/>
      <w:bookmarkStart w:id="1010" w:name="_Toc11039"/>
      <w:bookmarkStart w:id="1011" w:name="_Toc25435"/>
      <w:r>
        <w:rPr>
          <w:rFonts w:hint="eastAsia"/>
        </w:rPr>
        <w:t>评标办法</w:t>
      </w:r>
      <w:bookmarkEnd w:id="987"/>
      <w:bookmarkEnd w:id="988"/>
      <w:bookmarkEnd w:id="989"/>
      <w:bookmarkStart w:id="1012" w:name="_Hlt101846155"/>
      <w:bookmarkEnd w:id="1012"/>
    </w:p>
    <w:p>
      <w:pPr>
        <w:pStyle w:val="34"/>
        <w:numPr>
          <w:ilvl w:val="1"/>
          <w:numId w:val="13"/>
        </w:numPr>
        <w:bidi w:val="0"/>
        <w:rPr>
          <w:rFonts w:hint="eastAsia"/>
        </w:rPr>
      </w:pPr>
      <w:bookmarkStart w:id="1013" w:name="_Toc14265"/>
      <w:bookmarkStart w:id="1014" w:name="_Toc16563"/>
      <w:r>
        <w:rPr>
          <w:rFonts w:hint="eastAsia"/>
        </w:rPr>
        <w:t>总则</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3"/>
      <w:bookmarkEnd w:id="1014"/>
    </w:p>
    <w:p>
      <w:pPr>
        <w:pStyle w:val="32"/>
        <w:numPr>
          <w:ilvl w:val="1"/>
          <w:numId w:val="29"/>
        </w:numPr>
        <w:bidi w:val="0"/>
        <w:rPr>
          <w:rFonts w:hint="eastAsia"/>
        </w:rPr>
      </w:pPr>
      <w:r>
        <w:rPr>
          <w:rFonts w:hint="eastAsia"/>
        </w:rPr>
        <w:t>根据《中华人民共和国政府采购法》、《中华人民共和国政府采购法实施条例》和《政府采购货物和服务招标投标管理办法》</w:t>
      </w:r>
      <w:r>
        <w:rPr>
          <w:rFonts w:hint="eastAsia"/>
          <w:lang w:eastAsia="zh-CN"/>
        </w:rPr>
        <w:t>(</w:t>
      </w:r>
      <w:r>
        <w:rPr>
          <w:rFonts w:hint="eastAsia"/>
        </w:rPr>
        <w:t>财政部令第</w:t>
      </w:r>
      <w:r>
        <w:rPr>
          <w:rFonts w:hint="eastAsia"/>
          <w:lang w:val="en-US" w:eastAsia="zh-CN"/>
        </w:rPr>
        <w:t>87</w:t>
      </w:r>
      <w:r>
        <w:rPr>
          <w:rFonts w:hint="eastAsia"/>
        </w:rPr>
        <w:t>号</w:t>
      </w:r>
      <w:r>
        <w:rPr>
          <w:rFonts w:hint="eastAsia"/>
          <w:lang w:eastAsia="zh-CN"/>
        </w:rPr>
        <w:t>)</w:t>
      </w:r>
      <w:r>
        <w:rPr>
          <w:rFonts w:hint="eastAsia"/>
        </w:rPr>
        <w:t>等法律规章，结合采购项目特点制定本评标办法。</w:t>
      </w:r>
    </w:p>
    <w:p>
      <w:pPr>
        <w:pStyle w:val="32"/>
        <w:numPr>
          <w:ilvl w:val="1"/>
          <w:numId w:val="29"/>
        </w:numPr>
        <w:bidi w:val="0"/>
        <w:rPr>
          <w:rFonts w:hint="eastAsia"/>
        </w:rPr>
      </w:pPr>
      <w:r>
        <w:rPr>
          <w:rFonts w:hint="eastAsia"/>
        </w:rPr>
        <w:t>评标工作由采购代理机构负责组织，具体评标事务由采购代理机构依法组建的评标委员会负责。评标委员会由采购人代表和有关技术、经济等方面的专家组成。</w:t>
      </w:r>
    </w:p>
    <w:p>
      <w:pPr>
        <w:pStyle w:val="32"/>
        <w:numPr>
          <w:ilvl w:val="1"/>
          <w:numId w:val="29"/>
        </w:numPr>
        <w:bidi w:val="0"/>
        <w:rPr>
          <w:rFonts w:hint="eastAsia"/>
        </w:rPr>
      </w:pPr>
      <w:r>
        <w:rPr>
          <w:rFonts w:hint="eastAsia"/>
        </w:rPr>
        <w:t>评标工作应遵循公平、公正、科学及择优的原则，并以相同的评标程序和标准对待所有的投标人。</w:t>
      </w:r>
    </w:p>
    <w:p>
      <w:pPr>
        <w:pStyle w:val="32"/>
        <w:numPr>
          <w:ilvl w:val="1"/>
          <w:numId w:val="29"/>
        </w:numPr>
        <w:bidi w:val="0"/>
        <w:rPr>
          <w:rFonts w:hint="eastAsia"/>
        </w:rPr>
      </w:pPr>
      <w:r>
        <w:rPr>
          <w:rFonts w:hint="eastAsia"/>
        </w:rPr>
        <w:t>评标委员会按照招标文件规定的评标方法和标准进行评标，并独立履行下列职责：</w:t>
      </w:r>
    </w:p>
    <w:p>
      <w:pPr>
        <w:pStyle w:val="35"/>
        <w:bidi w:val="0"/>
        <w:rPr>
          <w:rFonts w:hint="eastAsia"/>
        </w:rPr>
      </w:pPr>
      <w:bookmarkStart w:id="1015" w:name="_Toc217446098"/>
      <w:r>
        <w:rPr>
          <w:rFonts w:hint="eastAsia"/>
        </w:rPr>
        <w:t>审查、评价投标文件是否符合招标文件的商务、技术等实质性要求；</w:t>
      </w:r>
    </w:p>
    <w:p>
      <w:pPr>
        <w:pStyle w:val="35"/>
        <w:bidi w:val="0"/>
        <w:rPr>
          <w:rFonts w:hint="eastAsia"/>
        </w:rPr>
      </w:pPr>
      <w:r>
        <w:rPr>
          <w:rFonts w:hint="eastAsia"/>
        </w:rPr>
        <w:t>要求投标人对投标文件有关事项作出澄清或者说明；</w:t>
      </w:r>
    </w:p>
    <w:p>
      <w:pPr>
        <w:pStyle w:val="35"/>
        <w:bidi w:val="0"/>
        <w:rPr>
          <w:rFonts w:hint="eastAsia"/>
        </w:rPr>
      </w:pPr>
      <w:r>
        <w:rPr>
          <w:rFonts w:hint="eastAsia"/>
        </w:rPr>
        <w:t>对投标文件进行比较和评价；</w:t>
      </w:r>
    </w:p>
    <w:p>
      <w:pPr>
        <w:pStyle w:val="35"/>
        <w:bidi w:val="0"/>
        <w:rPr>
          <w:rFonts w:hint="eastAsia"/>
        </w:rPr>
      </w:pPr>
      <w:r>
        <w:rPr>
          <w:rFonts w:hint="eastAsia"/>
        </w:rPr>
        <w:t>确定中标候选人名单；</w:t>
      </w:r>
    </w:p>
    <w:p>
      <w:pPr>
        <w:pStyle w:val="35"/>
        <w:bidi w:val="0"/>
        <w:rPr>
          <w:rFonts w:hint="eastAsia"/>
        </w:rPr>
      </w:pPr>
      <w:r>
        <w:rPr>
          <w:rFonts w:hint="eastAsia"/>
        </w:rPr>
        <w:t>向采购人、采购代理机构或者有关部门报告评标中发现的违法行为。</w:t>
      </w:r>
    </w:p>
    <w:p>
      <w:pPr>
        <w:pStyle w:val="32"/>
        <w:bidi w:val="0"/>
        <w:rPr>
          <w:rFonts w:hint="eastAsia"/>
        </w:rPr>
      </w:pPr>
      <w:r>
        <w:rPr>
          <w:rFonts w:hint="eastAsia"/>
        </w:rPr>
        <w:t>评标过程独立、保密。投标人非法干预评标过程的行为将导致其投标文件作为无效处理。</w:t>
      </w:r>
    </w:p>
    <w:p>
      <w:pPr>
        <w:pStyle w:val="32"/>
        <w:bidi w:val="0"/>
        <w:rPr>
          <w:rFonts w:hint="eastAsia"/>
        </w:rPr>
      </w:pPr>
      <w:r>
        <w:rPr>
          <w:rFonts w:hint="eastAsia"/>
        </w:rPr>
        <w:t>评标委员会评价投标文件的响应性，对于投标人而言，除评标委员会要求其澄清、说明或者纠正而提供的资料外，仅依据投标文件本身的内容，不寻求其他外部证据。</w:t>
      </w:r>
    </w:p>
    <w:p>
      <w:pPr>
        <w:pStyle w:val="32"/>
        <w:bidi w:val="0"/>
        <w:rPr>
          <w:rFonts w:hint="eastAsia"/>
        </w:rPr>
      </w:pPr>
      <w:r>
        <w:rPr>
          <w:rFonts w:hint="eastAsia"/>
        </w:rPr>
        <w:t>评委会发现招标文件表述不明确或需要说明的事项，可提请招标采购单位书面解释说明。发现招标文件违反有关法律、法规和规章的，可以拒绝评标，并向招标采购单位书面说明情况</w:t>
      </w:r>
      <w:r>
        <w:rPr>
          <w:rFonts w:hint="eastAsia"/>
          <w:lang w:eastAsia="zh-CN"/>
        </w:rPr>
        <w:t>(</w:t>
      </w:r>
      <w:r>
        <w:rPr>
          <w:rFonts w:hint="eastAsia"/>
          <w:lang w:val="en-US" w:eastAsia="zh-CN"/>
        </w:rPr>
        <w:t>注明法律法规依据)</w:t>
      </w:r>
      <w:r>
        <w:rPr>
          <w:rFonts w:hint="eastAsia"/>
        </w:rPr>
        <w:t>。</w:t>
      </w:r>
    </w:p>
    <w:p>
      <w:pPr>
        <w:pStyle w:val="34"/>
        <w:numPr>
          <w:ilvl w:val="1"/>
          <w:numId w:val="13"/>
        </w:numPr>
        <w:bidi w:val="0"/>
        <w:rPr>
          <w:rFonts w:hint="eastAsia"/>
        </w:rPr>
      </w:pPr>
      <w:bookmarkStart w:id="1016" w:name="_Toc25612"/>
      <w:bookmarkStart w:id="1017" w:name="_Toc3915"/>
      <w:bookmarkStart w:id="1018" w:name="_Toc26792"/>
      <w:bookmarkStart w:id="1019" w:name="_Toc3371"/>
      <w:bookmarkStart w:id="1020" w:name="_Toc8496"/>
      <w:bookmarkStart w:id="1021" w:name="_Toc319440189"/>
      <w:bookmarkStart w:id="1022" w:name="_Toc5984"/>
      <w:bookmarkStart w:id="1023" w:name="_Toc327196340"/>
      <w:bookmarkStart w:id="1024" w:name="_Toc10398"/>
      <w:bookmarkStart w:id="1025" w:name="_Toc23669"/>
      <w:bookmarkStart w:id="1026" w:name="_Toc5152"/>
      <w:bookmarkStart w:id="1027" w:name="_Toc12975"/>
      <w:bookmarkStart w:id="1028" w:name="_Toc5338"/>
      <w:bookmarkStart w:id="1029" w:name="_Toc14100"/>
      <w:r>
        <w:rPr>
          <w:rFonts w:hint="eastAsia"/>
        </w:rPr>
        <w:t>评标方法</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pPr>
        <w:pStyle w:val="46"/>
        <w:bidi w:val="0"/>
        <w:rPr>
          <w:rFonts w:hint="eastAsia"/>
        </w:rPr>
      </w:pPr>
      <w:r>
        <w:rPr>
          <w:rFonts w:hint="eastAsia"/>
        </w:rPr>
        <w:t>本项目评标方法为：综合评分法。</w:t>
      </w:r>
    </w:p>
    <w:p>
      <w:pPr>
        <w:pStyle w:val="34"/>
        <w:numPr>
          <w:ilvl w:val="1"/>
          <w:numId w:val="13"/>
        </w:numPr>
        <w:bidi w:val="0"/>
        <w:rPr>
          <w:rFonts w:hint="eastAsia"/>
        </w:rPr>
      </w:pPr>
      <w:bookmarkStart w:id="1030" w:name="_Toc319440190"/>
      <w:bookmarkStart w:id="1031" w:name="_Toc5897"/>
      <w:bookmarkStart w:id="1032" w:name="_Toc19196"/>
      <w:bookmarkStart w:id="1033" w:name="_Toc17374"/>
      <w:bookmarkStart w:id="1034" w:name="_Toc31119"/>
      <w:bookmarkStart w:id="1035" w:name="_Toc7390"/>
      <w:bookmarkStart w:id="1036" w:name="_Toc4253"/>
      <w:bookmarkStart w:id="1037" w:name="_Toc27103"/>
      <w:bookmarkStart w:id="1038" w:name="_Toc5906"/>
      <w:bookmarkStart w:id="1039" w:name="_Toc23322"/>
      <w:bookmarkStart w:id="1040" w:name="_Toc327196341"/>
      <w:bookmarkStart w:id="1041" w:name="_Toc9969"/>
      <w:bookmarkStart w:id="1042" w:name="_Toc17613"/>
      <w:bookmarkStart w:id="1043" w:name="_Toc12883"/>
      <w:r>
        <w:rPr>
          <w:rFonts w:hint="eastAsia"/>
        </w:rPr>
        <w:t>评标程序</w:t>
      </w:r>
      <w:bookmarkEnd w:id="1015"/>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pPr>
        <w:pStyle w:val="32"/>
        <w:numPr>
          <w:ilvl w:val="1"/>
          <w:numId w:val="30"/>
        </w:numPr>
        <w:bidi w:val="0"/>
        <w:rPr>
          <w:rFonts w:hint="eastAsia"/>
        </w:rPr>
      </w:pPr>
      <w:r>
        <w:rPr>
          <w:rFonts w:hint="eastAsia"/>
          <w:lang w:val="en-US" w:eastAsia="zh-CN"/>
        </w:rPr>
        <w:t>熟悉</w:t>
      </w:r>
      <w:r>
        <w:rPr>
          <w:rFonts w:hint="eastAsia"/>
        </w:rPr>
        <w:t>招标文件和停止评标</w:t>
      </w:r>
    </w:p>
    <w:p>
      <w:pPr>
        <w:pStyle w:val="35"/>
        <w:bidi w:val="0"/>
        <w:rPr>
          <w:rFonts w:hint="eastAsia"/>
        </w:rPr>
      </w:pPr>
      <w:r>
        <w:rPr>
          <w:rFonts w:hint="eastAsia"/>
        </w:rPr>
        <w:t>评标委员会正式评标前，应当</w:t>
      </w:r>
      <w:r>
        <w:rPr>
          <w:rFonts w:hint="eastAsia"/>
          <w:lang w:val="en-US" w:eastAsia="zh-CN"/>
        </w:rPr>
        <w:t>熟悉招标文件</w:t>
      </w:r>
      <w:r>
        <w:rPr>
          <w:rFonts w:hint="eastAsia"/>
        </w:rPr>
        <w:t>，主要包括招标文件中</w:t>
      </w:r>
      <w:r>
        <w:rPr>
          <w:rFonts w:hint="eastAsia"/>
          <w:lang w:val="en-US" w:eastAsia="zh-CN"/>
        </w:rPr>
        <w:t>符合性审查内容</w:t>
      </w:r>
      <w:r>
        <w:rPr>
          <w:rFonts w:hint="eastAsia"/>
        </w:rPr>
        <w:t>、采购项目技术、服务和商务要求、评标方法和标准以及政府采购合同主要条款等。</w:t>
      </w:r>
    </w:p>
    <w:p>
      <w:pPr>
        <w:pStyle w:val="35"/>
        <w:bidi w:val="0"/>
        <w:rPr>
          <w:rFonts w:hint="eastAsia"/>
        </w:rPr>
      </w:pPr>
      <w:r>
        <w:rPr>
          <w:rFonts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r>
        <w:rPr>
          <w:rFonts w:hint="eastAsia"/>
          <w:lang w:eastAsia="zh-CN"/>
        </w:rPr>
        <w:t>。</w:t>
      </w:r>
    </w:p>
    <w:p>
      <w:pPr>
        <w:pStyle w:val="35"/>
        <w:bidi w:val="0"/>
        <w:rPr>
          <w:rFonts w:hint="eastAsia"/>
        </w:rPr>
      </w:pPr>
      <w:r>
        <w:rPr>
          <w:rFonts w:hint="eastAsia"/>
        </w:rPr>
        <w:t>评标过程中有下列情形之一的，评标委员会成员可以停止评标：</w:t>
      </w:r>
    </w:p>
    <w:p>
      <w:pPr>
        <w:pStyle w:val="36"/>
        <w:bidi w:val="0"/>
        <w:rPr>
          <w:rFonts w:hint="eastAsia"/>
        </w:rPr>
      </w:pPr>
      <w:r>
        <w:rPr>
          <w:rFonts w:hint="eastAsia"/>
        </w:rPr>
        <w:t>招标采购单位未提供必要的与采购项目有关的政策制度文件或者</w:t>
      </w:r>
      <w:r>
        <w:rPr>
          <w:rFonts w:hint="eastAsia"/>
          <w:lang w:val="en-US" w:eastAsia="zh-CN"/>
        </w:rPr>
        <w:t>招标</w:t>
      </w:r>
      <w:r>
        <w:rPr>
          <w:rFonts w:hint="eastAsia"/>
        </w:rPr>
        <w:t>文件，继续评标将导致违法或者错误评标的；</w:t>
      </w:r>
    </w:p>
    <w:p>
      <w:pPr>
        <w:pStyle w:val="36"/>
        <w:bidi w:val="0"/>
        <w:rPr>
          <w:rFonts w:hint="eastAsia"/>
        </w:rPr>
      </w:pPr>
      <w:r>
        <w:rPr>
          <w:rFonts w:hint="eastAsia"/>
        </w:rPr>
        <w:t>有关单位和个人非法干预评标委员会依法独立评标的；</w:t>
      </w:r>
    </w:p>
    <w:p>
      <w:pPr>
        <w:pStyle w:val="36"/>
        <w:bidi w:val="0"/>
        <w:rPr>
          <w:rFonts w:hint="eastAsia"/>
        </w:rPr>
      </w:pPr>
      <w:r>
        <w:rPr>
          <w:rFonts w:hint="eastAsia"/>
        </w:rPr>
        <w:t>其他导致评标委员会无法正常履职的情形。</w:t>
      </w:r>
    </w:p>
    <w:p>
      <w:pPr>
        <w:pStyle w:val="35"/>
        <w:bidi w:val="0"/>
        <w:rPr>
          <w:rFonts w:hint="eastAsia"/>
        </w:rPr>
      </w:pPr>
      <w:r>
        <w:rPr>
          <w:rFonts w:hint="eastAsia"/>
        </w:rPr>
        <w:t>出现本条规定应当停止评标或者可以停止评标情形的，评标委员会成员应当向招标采购单位书面说明情况。除本条规定的情形外，评标委员会成员不得以任何方式和理由停止评标。</w:t>
      </w:r>
    </w:p>
    <w:p>
      <w:pPr>
        <w:pStyle w:val="32"/>
        <w:bidi w:val="0"/>
        <w:rPr>
          <w:rFonts w:hint="eastAsia"/>
          <w:lang w:val="en-US" w:eastAsia="zh-CN"/>
        </w:rPr>
      </w:pPr>
      <w:r>
        <w:rPr>
          <w:rFonts w:hint="eastAsia"/>
          <w:lang w:val="en-US" w:eastAsia="zh-CN"/>
        </w:rPr>
        <w:t>符合性审查</w:t>
      </w:r>
    </w:p>
    <w:p>
      <w:pPr>
        <w:pStyle w:val="46"/>
        <w:bidi w:val="0"/>
        <w:rPr>
          <w:rFonts w:hint="eastAsia"/>
        </w:rPr>
      </w:pPr>
      <w:r>
        <w:rPr>
          <w:rFonts w:hint="eastAsia"/>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35"/>
        <w:bidi w:val="0"/>
        <w:rPr>
          <w:rFonts w:hint="eastAsia"/>
        </w:rPr>
      </w:pPr>
      <w:r>
        <w:rPr>
          <w:rFonts w:hint="eastAsia"/>
        </w:rPr>
        <w:t>除政府采购法律制度规定的情形外，本项目投标人或者其投标文件有下列情形之一的，作为无效投标处理：</w:t>
      </w:r>
    </w:p>
    <w:p>
      <w:pPr>
        <w:pStyle w:val="36"/>
        <w:bidi w:val="0"/>
        <w:rPr>
          <w:rFonts w:hint="eastAsia"/>
        </w:rPr>
      </w:pPr>
      <w:r>
        <w:rPr>
          <w:rFonts w:hint="eastAsia"/>
          <w:lang w:val="en-US" w:eastAsia="zh-CN"/>
        </w:rPr>
        <w:t>未</w:t>
      </w:r>
      <w:r>
        <w:rPr>
          <w:rFonts w:hint="eastAsia"/>
        </w:rPr>
        <w:t>按照招标文件的规定和要求编制投标文件</w:t>
      </w:r>
      <w:r>
        <w:rPr>
          <w:rFonts w:hint="eastAsia"/>
          <w:lang w:val="en-US" w:eastAsia="zh-CN"/>
        </w:rPr>
        <w:t>的</w:t>
      </w:r>
      <w:r>
        <w:rPr>
          <w:rFonts w:hint="eastAsia"/>
        </w:rPr>
        <w:t>；</w:t>
      </w:r>
    </w:p>
    <w:p>
      <w:pPr>
        <w:pStyle w:val="36"/>
        <w:bidi w:val="0"/>
        <w:rPr>
          <w:rFonts w:hint="eastAsia"/>
        </w:rPr>
      </w:pPr>
      <w:r>
        <w:rPr>
          <w:rFonts w:hint="eastAsia"/>
        </w:rPr>
        <w:t>投标文件组成明显不符合招标文件的规定要求，影响评标委员会评判的；</w:t>
      </w:r>
    </w:p>
    <w:p>
      <w:pPr>
        <w:pStyle w:val="36"/>
        <w:bidi w:val="0"/>
        <w:rPr>
          <w:rFonts w:hint="eastAsia"/>
        </w:rPr>
      </w:pPr>
      <w:r>
        <w:rPr>
          <w:rFonts w:hint="eastAsia"/>
        </w:rPr>
        <w:t>投标文件的格式、语言、计量单位、报价货币、知识产权、投标有效期等不符合招标文件的规定，影响评标委员会评判的；</w:t>
      </w:r>
    </w:p>
    <w:p>
      <w:pPr>
        <w:pStyle w:val="36"/>
        <w:bidi w:val="0"/>
        <w:rPr>
          <w:rFonts w:hint="eastAsia"/>
        </w:rPr>
      </w:pPr>
      <w:r>
        <w:rPr>
          <w:rFonts w:hint="eastAsia"/>
        </w:rPr>
        <w:t>投标报价不符合招标文件规定的价格标底和其他报价规定的；</w:t>
      </w:r>
    </w:p>
    <w:p>
      <w:pPr>
        <w:pStyle w:val="36"/>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rPr>
      </w:pPr>
      <w:r>
        <w:rPr>
          <w:rFonts w:hint="eastAsia"/>
        </w:rPr>
        <w:t>技术、服务应答内容没有完全响应招标文件的实质性要求的；</w:t>
      </w:r>
    </w:p>
    <w:p>
      <w:pPr>
        <w:pStyle w:val="36"/>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rPr>
      </w:pPr>
      <w:r>
        <w:rPr>
          <w:rFonts w:hint="eastAsia"/>
        </w:rPr>
        <w:t>招标文件有明确要求，但投标文件未载明或者载明的采购项目</w:t>
      </w:r>
      <w:r>
        <w:rPr>
          <w:rFonts w:hint="eastAsia"/>
          <w:lang w:eastAsia="zh-CN"/>
        </w:rPr>
        <w:t>服务期限</w:t>
      </w:r>
      <w:r>
        <w:rPr>
          <w:rFonts w:hint="eastAsia"/>
        </w:rPr>
        <w:t>、方式、数量与招标文件要求不一致的</w:t>
      </w:r>
      <w:r>
        <w:rPr>
          <w:rFonts w:hint="eastAsia"/>
          <w:lang w:eastAsia="zh-CN"/>
        </w:rPr>
        <w:t>；</w:t>
      </w:r>
    </w:p>
    <w:p>
      <w:pPr>
        <w:pStyle w:val="36"/>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rPr>
      </w:pPr>
      <w:r>
        <w:rPr>
          <w:rFonts w:hint="eastAsia"/>
        </w:rPr>
        <w:t>投标文件含有采购人不能接受的附加条件的</w:t>
      </w:r>
      <w:r>
        <w:rPr>
          <w:rFonts w:hint="eastAsia"/>
          <w:lang w:eastAsia="zh-CN"/>
        </w:rPr>
        <w:t>。</w:t>
      </w:r>
    </w:p>
    <w:p>
      <w:pPr>
        <w:keepNext w:val="0"/>
        <w:keepLines w:val="0"/>
        <w:pageBreakBefore w:val="0"/>
        <w:widowControl w:val="0"/>
        <w:tabs>
          <w:tab w:val="left" w:pos="851"/>
          <w:tab w:val="clear" w:pos="0"/>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注：</w:t>
      </w:r>
      <w:r>
        <w:rPr>
          <w:rFonts w:hint="eastAsia" w:cstheme="minorBidi"/>
          <w:kern w:val="2"/>
          <w:sz w:val="24"/>
          <w:szCs w:val="24"/>
          <w:lang w:val="en-US" w:eastAsia="zh-CN" w:bidi="ar-SA"/>
        </w:rPr>
        <w:t>①</w:t>
      </w:r>
      <w:r>
        <w:rPr>
          <w:rFonts w:hint="eastAsia" w:ascii="宋体" w:hAnsi="宋体" w:eastAsia="宋体" w:cstheme="minorBidi"/>
          <w:kern w:val="2"/>
          <w:sz w:val="24"/>
          <w:szCs w:val="24"/>
          <w:lang w:val="en-US" w:eastAsia="zh-CN" w:bidi="ar-SA"/>
        </w:rPr>
        <w:t>投标人的投标文件应全部通过上述</w:t>
      </w:r>
      <w:r>
        <w:rPr>
          <w:rFonts w:hint="eastAsia" w:cstheme="minorBidi"/>
          <w:kern w:val="2"/>
          <w:sz w:val="24"/>
          <w:szCs w:val="24"/>
          <w:lang w:val="en-US" w:eastAsia="zh-CN" w:bidi="ar-SA"/>
        </w:rPr>
        <w:t>符合性审查内容</w:t>
      </w:r>
      <w:r>
        <w:rPr>
          <w:rFonts w:hint="eastAsia" w:ascii="宋体" w:hAnsi="宋体" w:eastAsia="宋体" w:cstheme="minorBidi"/>
          <w:kern w:val="2"/>
          <w:sz w:val="24"/>
          <w:szCs w:val="24"/>
          <w:lang w:val="en-US" w:eastAsia="zh-CN" w:bidi="ar-SA"/>
        </w:rPr>
        <w:t>；如有任意一项未通过的，应在符合性审查报告中载明</w:t>
      </w:r>
      <w:r>
        <w:rPr>
          <w:rFonts w:hint="eastAsia" w:cstheme="minorBidi"/>
          <w:kern w:val="2"/>
          <w:sz w:val="24"/>
          <w:szCs w:val="24"/>
          <w:lang w:val="en-US" w:eastAsia="zh-CN" w:bidi="ar-SA"/>
        </w:rPr>
        <w:t>未</w:t>
      </w:r>
      <w:r>
        <w:rPr>
          <w:rFonts w:hint="eastAsia" w:ascii="宋体" w:hAnsi="宋体" w:eastAsia="宋体" w:cstheme="minorBidi"/>
          <w:kern w:val="2"/>
          <w:sz w:val="24"/>
          <w:szCs w:val="24"/>
          <w:lang w:val="en-US" w:eastAsia="zh-CN" w:bidi="ar-SA"/>
        </w:rPr>
        <w:t>通过的具体原因，</w:t>
      </w:r>
      <w:r>
        <w:rPr>
          <w:rFonts w:hint="eastAsia" w:cstheme="minorBidi"/>
          <w:kern w:val="2"/>
          <w:sz w:val="24"/>
          <w:szCs w:val="24"/>
          <w:lang w:val="en-US" w:eastAsia="zh-CN" w:bidi="ar-SA"/>
        </w:rPr>
        <w:t>该</w:t>
      </w:r>
      <w:r>
        <w:rPr>
          <w:rFonts w:hint="eastAsia" w:ascii="宋体" w:hAnsi="宋体" w:eastAsia="宋体" w:cstheme="minorBidi"/>
          <w:kern w:val="2"/>
          <w:sz w:val="24"/>
          <w:szCs w:val="24"/>
          <w:lang w:val="en-US" w:eastAsia="zh-CN" w:bidi="ar-SA"/>
        </w:rPr>
        <w:t>投标人的投标文件按无效投标文件处理。</w:t>
      </w:r>
    </w:p>
    <w:p>
      <w:pPr>
        <w:keepNext w:val="0"/>
        <w:keepLines w:val="0"/>
        <w:pageBreakBefore w:val="0"/>
        <w:widowControl w:val="0"/>
        <w:tabs>
          <w:tab w:val="left" w:pos="851"/>
          <w:tab w:val="clear" w:pos="0"/>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heme="minorBidi"/>
          <w:kern w:val="2"/>
          <w:sz w:val="24"/>
          <w:szCs w:val="24"/>
          <w:lang w:val="en-US" w:eastAsia="zh-CN" w:bidi="ar-SA"/>
        </w:rPr>
      </w:pPr>
      <w:r>
        <w:rPr>
          <w:rFonts w:hint="eastAsia" w:cstheme="minorBidi"/>
          <w:kern w:val="2"/>
          <w:sz w:val="24"/>
          <w:szCs w:val="24"/>
          <w:lang w:val="en-US" w:eastAsia="zh-CN" w:bidi="ar-SA"/>
        </w:rPr>
        <w:t>②</w:t>
      </w:r>
      <w:r>
        <w:rPr>
          <w:rFonts w:hint="eastAsia" w:ascii="宋体" w:hAnsi="宋体" w:eastAsia="宋体" w:cstheme="minorBidi"/>
          <w:kern w:val="2"/>
          <w:sz w:val="24"/>
          <w:szCs w:val="24"/>
          <w:lang w:val="en-US" w:eastAsia="zh-CN" w:bidi="ar-SA"/>
        </w:rPr>
        <w:t>投标人的投标文件符合性审查时被判定为</w:t>
      </w:r>
      <w:r>
        <w:rPr>
          <w:rFonts w:hint="eastAsia" w:cstheme="minorBidi"/>
          <w:kern w:val="2"/>
          <w:sz w:val="24"/>
          <w:szCs w:val="24"/>
          <w:lang w:val="en-US" w:eastAsia="zh-CN" w:bidi="ar-SA"/>
        </w:rPr>
        <w:t>未通过</w:t>
      </w:r>
      <w:r>
        <w:rPr>
          <w:rFonts w:hint="eastAsia" w:ascii="宋体" w:hAnsi="宋体" w:eastAsia="宋体" w:cstheme="minorBidi"/>
          <w:kern w:val="2"/>
          <w:sz w:val="24"/>
          <w:szCs w:val="24"/>
          <w:lang w:val="en-US" w:eastAsia="zh-CN" w:bidi="ar-SA"/>
        </w:rPr>
        <w:t>的，</w:t>
      </w:r>
      <w:r>
        <w:rPr>
          <w:rFonts w:hint="eastAsia" w:cstheme="minorBidi"/>
          <w:kern w:val="2"/>
          <w:sz w:val="24"/>
          <w:szCs w:val="24"/>
          <w:lang w:val="en-US" w:eastAsia="zh-CN" w:bidi="ar-SA"/>
        </w:rPr>
        <w:t>采购代理机构</w:t>
      </w:r>
      <w:r>
        <w:rPr>
          <w:rFonts w:hint="eastAsia" w:ascii="宋体" w:hAnsi="宋体" w:eastAsia="宋体" w:cstheme="minorBidi"/>
          <w:kern w:val="2"/>
          <w:sz w:val="24"/>
          <w:szCs w:val="24"/>
          <w:lang w:val="en-US" w:eastAsia="zh-CN" w:bidi="ar-SA"/>
        </w:rPr>
        <w:t>将通知投标人</w:t>
      </w:r>
      <w:r>
        <w:rPr>
          <w:rFonts w:hint="eastAsia" w:cstheme="minorBidi"/>
          <w:kern w:val="2"/>
          <w:sz w:val="24"/>
          <w:szCs w:val="24"/>
          <w:lang w:val="en-US" w:eastAsia="zh-CN" w:bidi="ar-SA"/>
        </w:rPr>
        <w:t>(</w:t>
      </w:r>
      <w:r>
        <w:rPr>
          <w:rFonts w:hint="eastAsia" w:ascii="宋体" w:hAnsi="宋体" w:eastAsia="宋体" w:cstheme="minorBidi"/>
          <w:kern w:val="2"/>
          <w:sz w:val="24"/>
          <w:szCs w:val="24"/>
          <w:lang w:val="en-US" w:eastAsia="zh-CN" w:bidi="ar-SA"/>
        </w:rPr>
        <w:t>以短信、电话、“政府采购云平台”等任一方式</w:t>
      </w:r>
      <w:r>
        <w:rPr>
          <w:rFonts w:hint="eastAsia" w:cstheme="minorBidi"/>
          <w:kern w:val="2"/>
          <w:sz w:val="24"/>
          <w:szCs w:val="24"/>
          <w:lang w:val="en-US" w:eastAsia="zh-CN" w:bidi="ar-SA"/>
        </w:rPr>
        <w:t>)</w:t>
      </w:r>
      <w:r>
        <w:rPr>
          <w:rFonts w:hint="eastAsia" w:ascii="宋体" w:hAnsi="宋体" w:eastAsia="宋体" w:cstheme="minorBidi"/>
          <w:kern w:val="2"/>
          <w:sz w:val="24"/>
          <w:szCs w:val="24"/>
          <w:lang w:val="en-US" w:eastAsia="zh-CN" w:bidi="ar-SA"/>
        </w:rPr>
        <w:t>。投标人如对评审结论有异议的，应及时向</w:t>
      </w:r>
      <w:r>
        <w:rPr>
          <w:rFonts w:hint="eastAsia" w:cstheme="minorBidi"/>
          <w:kern w:val="2"/>
          <w:sz w:val="24"/>
          <w:szCs w:val="24"/>
          <w:lang w:val="en-US" w:eastAsia="zh-CN" w:bidi="ar-SA"/>
        </w:rPr>
        <w:t>采购代理机构</w:t>
      </w:r>
      <w:r>
        <w:rPr>
          <w:rFonts w:hint="eastAsia" w:ascii="宋体" w:hAnsi="宋体" w:eastAsia="宋体" w:cstheme="minorBidi"/>
          <w:kern w:val="2"/>
          <w:sz w:val="24"/>
          <w:szCs w:val="24"/>
          <w:lang w:val="en-US" w:eastAsia="zh-CN" w:bidi="ar-SA"/>
        </w:rPr>
        <w:t>反馈意见。</w:t>
      </w:r>
      <w:r>
        <w:rPr>
          <w:rFonts w:hint="eastAsia" w:cstheme="minorBidi"/>
          <w:kern w:val="2"/>
          <w:sz w:val="24"/>
          <w:szCs w:val="24"/>
          <w:lang w:val="en-US" w:eastAsia="zh-CN" w:bidi="ar-SA"/>
        </w:rPr>
        <w:t>采购代理机构</w:t>
      </w:r>
      <w:r>
        <w:rPr>
          <w:rFonts w:hint="eastAsia" w:ascii="宋体" w:hAnsi="宋体" w:eastAsia="宋体" w:cstheme="minorBidi"/>
          <w:kern w:val="2"/>
          <w:sz w:val="24"/>
          <w:szCs w:val="24"/>
          <w:lang w:val="en-US" w:eastAsia="zh-CN" w:bidi="ar-SA"/>
        </w:rPr>
        <w:t>在评审结束前将收到的反馈意见及时告知评标委员会。</w:t>
      </w:r>
      <w:r>
        <w:rPr>
          <w:rFonts w:hint="eastAsia" w:cstheme="minorBidi"/>
          <w:kern w:val="2"/>
          <w:sz w:val="24"/>
          <w:szCs w:val="24"/>
          <w:lang w:val="en-US" w:eastAsia="zh-CN" w:bidi="ar-SA"/>
        </w:rPr>
        <w:t>(</w:t>
      </w:r>
      <w:r>
        <w:rPr>
          <w:rFonts w:hint="eastAsia" w:ascii="宋体" w:hAnsi="宋体" w:eastAsia="宋体" w:cstheme="minorBidi"/>
          <w:kern w:val="2"/>
          <w:sz w:val="24"/>
          <w:szCs w:val="24"/>
          <w:lang w:val="en-US" w:eastAsia="zh-CN" w:bidi="ar-SA"/>
        </w:rPr>
        <w:t>说明：无论投标人是否收到通知或提供反馈意见，均不影响评标委员会的评标工作，且</w:t>
      </w:r>
      <w:r>
        <w:rPr>
          <w:rFonts w:hint="eastAsia" w:cstheme="minorBidi"/>
          <w:kern w:val="2"/>
          <w:sz w:val="24"/>
          <w:szCs w:val="24"/>
          <w:lang w:val="en-US" w:eastAsia="zh-CN" w:bidi="ar-SA"/>
        </w:rPr>
        <w:t>采购代理机构</w:t>
      </w:r>
      <w:r>
        <w:rPr>
          <w:rFonts w:hint="eastAsia" w:ascii="宋体" w:hAnsi="宋体" w:eastAsia="宋体" w:cstheme="minorBidi"/>
          <w:kern w:val="2"/>
          <w:sz w:val="24"/>
          <w:szCs w:val="24"/>
          <w:lang w:val="en-US" w:eastAsia="zh-CN" w:bidi="ar-SA"/>
        </w:rPr>
        <w:t>对此将不承担任何的责任。投标人对评审结论有异议的，其反馈意见仅限于评标委员会对评审结论的正确性进行复核，避免出现评审错误。</w:t>
      </w:r>
      <w:r>
        <w:rPr>
          <w:rFonts w:hint="eastAsia" w:cstheme="minorBidi"/>
          <w:kern w:val="2"/>
          <w:sz w:val="24"/>
          <w:szCs w:val="24"/>
          <w:lang w:val="en-US" w:eastAsia="zh-CN" w:bidi="ar-SA"/>
        </w:rPr>
        <w:t>)</w:t>
      </w:r>
    </w:p>
    <w:p>
      <w:pPr>
        <w:keepNext w:val="0"/>
        <w:keepLines w:val="0"/>
        <w:pageBreakBefore w:val="0"/>
        <w:widowControl w:val="0"/>
        <w:tabs>
          <w:tab w:val="left" w:pos="851"/>
          <w:tab w:val="clear" w:pos="0"/>
        </w:tabs>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theme="minorBidi"/>
          <w:kern w:val="2"/>
          <w:sz w:val="24"/>
          <w:szCs w:val="24"/>
          <w:lang w:val="en-US" w:eastAsia="zh-CN" w:bidi="ar-SA"/>
        </w:rPr>
      </w:pPr>
      <w:r>
        <w:rPr>
          <w:rFonts w:hint="eastAsia" w:cstheme="minorBidi"/>
          <w:kern w:val="2"/>
          <w:sz w:val="24"/>
          <w:szCs w:val="24"/>
          <w:lang w:val="en-US" w:eastAsia="zh-CN" w:bidi="ar-SA"/>
        </w:rPr>
        <w:t>③</w:t>
      </w:r>
      <w:r>
        <w:rPr>
          <w:rFonts w:hint="eastAsia" w:ascii="宋体" w:hAnsi="宋体" w:eastAsia="宋体" w:cstheme="minorBidi"/>
          <w:kern w:val="2"/>
          <w:sz w:val="24"/>
          <w:szCs w:val="24"/>
          <w:lang w:val="en-US" w:eastAsia="zh-CN" w:bidi="ar-SA"/>
        </w:rPr>
        <w:t>通过符合性审查的</w:t>
      </w:r>
      <w:r>
        <w:rPr>
          <w:rFonts w:hint="eastAsia" w:cstheme="minorBidi"/>
          <w:kern w:val="2"/>
          <w:sz w:val="24"/>
          <w:szCs w:val="24"/>
          <w:lang w:val="en-US" w:eastAsia="zh-CN" w:bidi="ar-SA"/>
        </w:rPr>
        <w:t>投标人</w:t>
      </w:r>
      <w:r>
        <w:rPr>
          <w:rFonts w:hint="eastAsia" w:ascii="宋体" w:hAnsi="宋体" w:eastAsia="宋体" w:cstheme="minorBidi"/>
          <w:kern w:val="2"/>
          <w:sz w:val="24"/>
          <w:szCs w:val="24"/>
          <w:lang w:val="en-US" w:eastAsia="zh-CN" w:bidi="ar-SA"/>
        </w:rPr>
        <w:t>＜3</w:t>
      </w:r>
      <w:r>
        <w:rPr>
          <w:rFonts w:hint="eastAsia" w:cstheme="minorBidi"/>
          <w:kern w:val="2"/>
          <w:sz w:val="24"/>
          <w:szCs w:val="24"/>
          <w:lang w:val="en-US" w:eastAsia="zh-CN" w:bidi="ar-SA"/>
        </w:rPr>
        <w:t>家</w:t>
      </w:r>
      <w:r>
        <w:rPr>
          <w:rFonts w:hint="eastAsia" w:ascii="宋体" w:hAnsi="宋体" w:eastAsia="宋体" w:cstheme="minorBidi"/>
          <w:kern w:val="2"/>
          <w:sz w:val="24"/>
          <w:szCs w:val="24"/>
          <w:lang w:val="en-US" w:eastAsia="zh-CN" w:bidi="ar-SA"/>
        </w:rPr>
        <w:t>，本项目采购失败</w:t>
      </w:r>
      <w:r>
        <w:rPr>
          <w:rFonts w:hint="eastAsia" w:cstheme="minorBidi"/>
          <w:kern w:val="2"/>
          <w:sz w:val="24"/>
          <w:szCs w:val="24"/>
          <w:lang w:val="en-US" w:eastAsia="zh-CN" w:bidi="ar-SA"/>
        </w:rPr>
        <w:t>。</w:t>
      </w:r>
    </w:p>
    <w:p>
      <w:pPr>
        <w:pStyle w:val="32"/>
        <w:bidi w:val="0"/>
        <w:rPr>
          <w:rFonts w:hint="eastAsia"/>
          <w:lang w:val="en-US" w:eastAsia="zh-CN"/>
        </w:rPr>
      </w:pPr>
      <w:r>
        <w:rPr>
          <w:rFonts w:hint="eastAsia"/>
          <w:lang w:val="en-US" w:eastAsia="zh-CN"/>
        </w:rPr>
        <w:t>比较与评价</w:t>
      </w:r>
    </w:p>
    <w:p>
      <w:pPr>
        <w:pStyle w:val="46"/>
        <w:bidi w:val="0"/>
        <w:rPr>
          <w:rFonts w:hint="eastAsia"/>
        </w:rPr>
      </w:pPr>
      <w:r>
        <w:rPr>
          <w:rFonts w:hint="eastAsia"/>
          <w:lang w:val="en-US" w:eastAsia="zh-CN"/>
        </w:rPr>
        <w:t>评标委员会应当按照</w:t>
      </w:r>
      <w:r>
        <w:rPr>
          <w:rFonts w:hint="eastAsia"/>
        </w:rPr>
        <w:t>招标文件中规定的评标方法和标准，对</w:t>
      </w:r>
      <w:r>
        <w:rPr>
          <w:rFonts w:hint="eastAsia"/>
          <w:lang w:val="en-US" w:eastAsia="zh-CN"/>
        </w:rPr>
        <w:t>符合性审查合格的</w:t>
      </w:r>
      <w:r>
        <w:rPr>
          <w:rFonts w:hint="eastAsia"/>
        </w:rPr>
        <w:t>投标文件进行商务</w:t>
      </w:r>
      <w:r>
        <w:rPr>
          <w:rFonts w:hint="eastAsia"/>
          <w:lang w:val="en-US" w:eastAsia="zh-CN"/>
        </w:rPr>
        <w:t>和技术</w:t>
      </w:r>
      <w:r>
        <w:rPr>
          <w:rFonts w:hint="eastAsia"/>
        </w:rPr>
        <w:t>评估，综合比较与评价。</w:t>
      </w:r>
    </w:p>
    <w:p>
      <w:pPr>
        <w:pStyle w:val="32"/>
        <w:bidi w:val="0"/>
        <w:rPr>
          <w:rFonts w:hint="eastAsia"/>
          <w:lang w:val="en-US" w:eastAsia="zh-CN"/>
        </w:rPr>
      </w:pPr>
      <w:r>
        <w:rPr>
          <w:rFonts w:hint="eastAsia"/>
          <w:lang w:val="en-US" w:eastAsia="zh-CN"/>
        </w:rPr>
        <w:t>评标争议处理规则</w:t>
      </w:r>
    </w:p>
    <w:p>
      <w:pPr>
        <w:pStyle w:val="46"/>
        <w:bidi w:val="0"/>
        <w:rPr>
          <w:rFonts w:hint="eastAsia"/>
        </w:rPr>
      </w:pPr>
      <w:r>
        <w:rPr>
          <w:rFonts w:hint="eastAsia"/>
        </w:rPr>
        <w:t>评标委员会成员在评标过程中，对于符合性</w:t>
      </w:r>
      <w:r>
        <w:rPr>
          <w:rFonts w:hint="eastAsia"/>
          <w:lang w:val="en-US" w:eastAsia="zh-CN"/>
        </w:rPr>
        <w:t>审</w:t>
      </w:r>
      <w:r>
        <w:rPr>
          <w:rFonts w:hint="eastAsia"/>
        </w:rPr>
        <w:t>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pStyle w:val="32"/>
        <w:bidi w:val="0"/>
        <w:rPr>
          <w:rFonts w:hint="eastAsia"/>
          <w:lang w:val="en-US" w:eastAsia="zh-CN"/>
        </w:rPr>
      </w:pPr>
      <w:r>
        <w:rPr>
          <w:rFonts w:hint="eastAsia"/>
          <w:lang w:val="en-US" w:eastAsia="zh-CN"/>
        </w:rPr>
        <w:t>澄清、说明或者纠正</w:t>
      </w:r>
    </w:p>
    <w:p>
      <w:pPr>
        <w:pStyle w:val="35"/>
        <w:bidi w:val="0"/>
        <w:rPr>
          <w:rFonts w:hint="eastAsia"/>
        </w:rPr>
      </w:pPr>
      <w:r>
        <w:rPr>
          <w:rFonts w:hint="eastAsia"/>
        </w:rPr>
        <w:t>评标过程中，评标委员会认为招标文件有关事项表述不明确或需要说明的，可以提请</w:t>
      </w:r>
      <w:r>
        <w:rPr>
          <w:rFonts w:hint="eastAsia"/>
          <w:lang w:val="en-US" w:eastAsia="zh-CN"/>
        </w:rPr>
        <w:t>采购代理机构</w:t>
      </w:r>
      <w:r>
        <w:rPr>
          <w:rFonts w:hint="eastAsia"/>
        </w:rPr>
        <w:t>书面解释。</w:t>
      </w:r>
      <w:r>
        <w:rPr>
          <w:rFonts w:hint="eastAsia"/>
          <w:lang w:val="en-US" w:eastAsia="zh-CN"/>
        </w:rPr>
        <w:t>采购代理机构</w:t>
      </w:r>
      <w:r>
        <w:rPr>
          <w:rFonts w:hint="eastAsia"/>
        </w:rPr>
        <w:t>的解释不得改变招标文件的原义或者影响公平、公正，解释事项如果涉及投标人权益的以有利于投标人的原则进行解释。</w:t>
      </w:r>
    </w:p>
    <w:p>
      <w:pPr>
        <w:pStyle w:val="35"/>
        <w:bidi w:val="0"/>
        <w:rPr>
          <w:rFonts w:hint="eastAsia"/>
        </w:rPr>
      </w:pPr>
      <w:r>
        <w:rPr>
          <w:rFonts w:hint="eastAsia"/>
        </w:rPr>
        <w:t>在评标过程中，评标委员会对投标文件中含义不明确、同类问题表述不一致或者有明显文字和计算错误的内容，应当以书面形式</w:t>
      </w:r>
      <w:r>
        <w:rPr>
          <w:rFonts w:hint="eastAsia"/>
          <w:lang w:eastAsia="zh-CN"/>
        </w:rPr>
        <w:t>(</w:t>
      </w:r>
      <w:r>
        <w:rPr>
          <w:rFonts w:hint="eastAsia"/>
        </w:rPr>
        <w:t>须由评标委员会全体成员签字</w:t>
      </w:r>
      <w:r>
        <w:rPr>
          <w:rFonts w:hint="eastAsia"/>
          <w:lang w:eastAsia="zh-CN"/>
        </w:rPr>
        <w:t>)</w:t>
      </w:r>
      <w:r>
        <w:rPr>
          <w:rFonts w:hint="eastAsia"/>
        </w:rPr>
        <w:t>要求供应商作出必要的书面澄清、说明或者纠正，并给予供应商必要的反馈时间。</w:t>
      </w:r>
    </w:p>
    <w:p>
      <w:pPr>
        <w:pStyle w:val="35"/>
        <w:bidi w:val="0"/>
        <w:rPr>
          <w:rFonts w:hint="eastAsia"/>
        </w:rPr>
      </w:pPr>
      <w:r>
        <w:rPr>
          <w:rFonts w:hint="eastAsia"/>
        </w:rPr>
        <w:t>供应商应当书面澄清、说明或者纠正，并加盖</w:t>
      </w:r>
      <w:r>
        <w:rPr>
          <w:rFonts w:hint="eastAsia"/>
          <w:lang w:val="en-US" w:eastAsia="zh-CN"/>
        </w:rPr>
        <w:t>电子签章</w:t>
      </w:r>
      <w:r>
        <w:rPr>
          <w:rFonts w:hint="eastAsia"/>
        </w:rPr>
        <w:t>或签字确认</w:t>
      </w:r>
      <w:r>
        <w:rPr>
          <w:rFonts w:hint="eastAsia"/>
          <w:lang w:eastAsia="zh-CN"/>
        </w:rPr>
        <w:t>(</w:t>
      </w:r>
      <w:r>
        <w:rPr>
          <w:rFonts w:hint="eastAsia"/>
        </w:rPr>
        <w:t>供应商为法人的，应当由其法定代表人或者代理人签字确认；供应商为其他组织的，应当由其主要负责人或者代理人签字确认；供应商为自然人的，应当由其本人或者代理人签字确认</w:t>
      </w:r>
      <w:r>
        <w:rPr>
          <w:rFonts w:hint="eastAsia"/>
          <w:lang w:eastAsia="zh-CN"/>
        </w:rPr>
        <w:t>)</w:t>
      </w:r>
      <w:r>
        <w:rPr>
          <w:rFonts w:hint="eastAsia"/>
        </w:rPr>
        <w:t>，否则无效。澄清、说明或者纠正不影响投标文件的效力，有效的澄清、说明或者纠正材料，是投标文件的组成部分。</w:t>
      </w:r>
    </w:p>
    <w:p>
      <w:pPr>
        <w:pStyle w:val="35"/>
        <w:bidi w:val="0"/>
        <w:rPr>
          <w:rFonts w:hint="eastAsia"/>
        </w:rPr>
      </w:pPr>
      <w:r>
        <w:rPr>
          <w:rFonts w:hint="eastAsia"/>
        </w:rPr>
        <w:t>评标委员会要求供应商澄清、说明或者更正，不得超出招标文件的范围，不得以此让供应商实质改变投标文件的内容，不得影响供应商公平竞争。本项目下列内容不得澄清：</w:t>
      </w:r>
    </w:p>
    <w:p>
      <w:pPr>
        <w:pStyle w:val="36"/>
        <w:bidi w:val="0"/>
        <w:rPr>
          <w:rFonts w:hint="eastAsia"/>
        </w:rPr>
      </w:pPr>
      <w:r>
        <w:rPr>
          <w:rFonts w:hint="eastAsia"/>
        </w:rPr>
        <w:t>按财政部规定应当在评标时不予承认的投标文件内容事项；</w:t>
      </w:r>
    </w:p>
    <w:p>
      <w:pPr>
        <w:pStyle w:val="36"/>
        <w:bidi w:val="0"/>
        <w:rPr>
          <w:rFonts w:hint="eastAsia"/>
        </w:rPr>
      </w:pPr>
      <w:r>
        <w:rPr>
          <w:rFonts w:hint="eastAsia"/>
        </w:rPr>
        <w:t>投标文件中已经明确的内容事项；</w:t>
      </w:r>
    </w:p>
    <w:p>
      <w:pPr>
        <w:pStyle w:val="36"/>
        <w:bidi w:val="0"/>
        <w:rPr>
          <w:rFonts w:hint="eastAsia"/>
        </w:rPr>
      </w:pPr>
      <w:r>
        <w:rPr>
          <w:rFonts w:hint="eastAsia"/>
        </w:rPr>
        <w:t>投标文件未提供的材料。</w:t>
      </w:r>
    </w:p>
    <w:p>
      <w:pPr>
        <w:pStyle w:val="35"/>
        <w:bidi w:val="0"/>
        <w:rPr>
          <w:rFonts w:hint="eastAsia"/>
        </w:rPr>
      </w:pPr>
      <w:r>
        <w:rPr>
          <w:rFonts w:hint="eastAsia"/>
        </w:rPr>
        <w:t>本项目采购过程中，投标文件出现下列情况的，不需要供应商澄清、说明或者纠正，按照以下原则处理：</w:t>
      </w:r>
    </w:p>
    <w:p>
      <w:pPr>
        <w:pStyle w:val="36"/>
        <w:bidi w:val="0"/>
        <w:rPr>
          <w:rFonts w:hint="eastAsia"/>
        </w:rPr>
      </w:pPr>
      <w:r>
        <w:rPr>
          <w:rFonts w:hint="eastAsia"/>
        </w:rPr>
        <w:t>投标文件的大写金额和小写金额不一致的，以大写金额为准，但大写金额出现文字错误，导致金额无法判断的除外；</w:t>
      </w:r>
    </w:p>
    <w:p>
      <w:pPr>
        <w:pStyle w:val="36"/>
        <w:bidi w:val="0"/>
        <w:rPr>
          <w:rFonts w:hint="eastAsia"/>
        </w:rPr>
      </w:pPr>
      <w:r>
        <w:rPr>
          <w:rFonts w:hint="eastAsia"/>
        </w:rPr>
        <w:t>总价金额与按单价汇总金额不一致的，以单价汇总金额计算结果为准，但是单价金额出现计算错误、明显人为工作失误的除外；</w:t>
      </w:r>
    </w:p>
    <w:p>
      <w:pPr>
        <w:pStyle w:val="36"/>
        <w:bidi w:val="0"/>
        <w:rPr>
          <w:rFonts w:hint="eastAsia"/>
        </w:rPr>
      </w:pPr>
      <w:r>
        <w:rPr>
          <w:rFonts w:hint="eastAsia"/>
        </w:rPr>
        <w:t>单价金额小数点有明显错位的，应以总价为准，并修改单价；</w:t>
      </w:r>
    </w:p>
    <w:p>
      <w:pPr>
        <w:pStyle w:val="36"/>
        <w:bidi w:val="0"/>
        <w:rPr>
          <w:rFonts w:hint="eastAsia"/>
        </w:rPr>
      </w:pPr>
      <w:r>
        <w:rPr>
          <w:rFonts w:hint="eastAsia"/>
        </w:rPr>
        <w:t>对不同语言文本投标文件的解释发生异议的，以中文文本为准。</w:t>
      </w:r>
    </w:p>
    <w:p>
      <w:pPr>
        <w:pStyle w:val="46"/>
        <w:bidi w:val="0"/>
        <w:rPr>
          <w:rFonts w:hint="eastAsia"/>
        </w:rPr>
      </w:pPr>
      <w:r>
        <w:rPr>
          <w:rFonts w:hint="eastAsia"/>
        </w:rPr>
        <w:t>出现本条第</w:t>
      </w:r>
      <w:r>
        <w:rPr>
          <w:rFonts w:hint="eastAsia"/>
          <w:lang w:val="en-US" w:eastAsia="zh-CN"/>
        </w:rPr>
        <w:t>5.2</w:t>
      </w:r>
      <w:r>
        <w:rPr>
          <w:rFonts w:hint="eastAsia"/>
        </w:rPr>
        <w:t>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46"/>
        <w:bidi w:val="0"/>
        <w:rPr>
          <w:rFonts w:hint="default" w:eastAsia="宋体"/>
          <w:lang w:val="en-US" w:eastAsia="zh-CN"/>
        </w:rPr>
      </w:pPr>
      <w:r>
        <w:rPr>
          <w:rFonts w:hint="eastAsia"/>
          <w:lang w:val="en-US" w:eastAsia="zh-CN"/>
        </w:rPr>
        <w:t>6.评标结束之前，投标人应随时关注“政府采购云平台”系统提示，及时通过“政府采购云平台”在线响应评标委员会发出的澄清、说明或补正要求，签章并确认提交成功。逾时回复将不能提交，视为投标人自行放弃，其损失由投标人承担。</w:t>
      </w:r>
    </w:p>
    <w:p>
      <w:pPr>
        <w:pStyle w:val="47"/>
        <w:bidi w:val="0"/>
        <w:rPr>
          <w:rFonts w:hint="eastAsia"/>
        </w:rPr>
      </w:pPr>
      <w:r>
        <w:rPr>
          <w:rFonts w:hint="eastAsia"/>
        </w:rPr>
        <w:t>注：评标委员会成员应当积极履行澄清、说明或者纠正的职责，不得将应当澄清、说明或者纠正的投标文件作无效投标处理。</w:t>
      </w:r>
    </w:p>
    <w:p>
      <w:pPr>
        <w:pStyle w:val="32"/>
        <w:bidi w:val="0"/>
        <w:rPr>
          <w:rFonts w:hint="eastAsia"/>
        </w:rPr>
      </w:pPr>
      <w:r>
        <w:rPr>
          <w:rFonts w:hint="eastAsia"/>
        </w:rPr>
        <w:t>投标文件报价出现前后不一致的，除招标文件另有规定外，按照下列规定修正：</w:t>
      </w:r>
    </w:p>
    <w:p>
      <w:pPr>
        <w:pStyle w:val="35"/>
        <w:bidi w:val="0"/>
        <w:rPr>
          <w:rFonts w:hint="eastAsia"/>
        </w:rPr>
      </w:pPr>
      <w:r>
        <w:rPr>
          <w:rFonts w:hint="eastAsia"/>
        </w:rPr>
        <w:t>投标文件中开标一览表</w:t>
      </w:r>
      <w:r>
        <w:rPr>
          <w:rFonts w:hint="eastAsia"/>
          <w:lang w:eastAsia="zh-CN"/>
        </w:rPr>
        <w:t>(</w:t>
      </w:r>
      <w:r>
        <w:rPr>
          <w:rFonts w:hint="eastAsia"/>
        </w:rPr>
        <w:t>报价表</w:t>
      </w:r>
      <w:r>
        <w:rPr>
          <w:rFonts w:hint="eastAsia"/>
          <w:lang w:eastAsia="zh-CN"/>
        </w:rPr>
        <w:t>)</w:t>
      </w:r>
      <w:r>
        <w:rPr>
          <w:rFonts w:hint="eastAsia"/>
        </w:rPr>
        <w:t>内容与投标文件中相应内容不一致的，以开标唱标</w:t>
      </w:r>
      <w:r>
        <w:rPr>
          <w:rFonts w:hint="eastAsia"/>
          <w:lang w:eastAsia="zh-CN"/>
        </w:rPr>
        <w:t>时</w:t>
      </w:r>
      <w:r>
        <w:rPr>
          <w:rFonts w:hint="eastAsia"/>
        </w:rPr>
        <w:t>单独提交的开标一览表</w:t>
      </w:r>
      <w:r>
        <w:rPr>
          <w:rFonts w:hint="eastAsia"/>
          <w:lang w:eastAsia="zh-CN"/>
        </w:rPr>
        <w:t>(</w:t>
      </w:r>
      <w:r>
        <w:rPr>
          <w:rFonts w:hint="eastAsia"/>
        </w:rPr>
        <w:t>报价表</w:t>
      </w:r>
      <w:r>
        <w:rPr>
          <w:rFonts w:hint="eastAsia"/>
          <w:lang w:eastAsia="zh-CN"/>
        </w:rPr>
        <w:t>)</w:t>
      </w:r>
      <w:r>
        <w:rPr>
          <w:rFonts w:hint="eastAsia"/>
        </w:rPr>
        <w:t>为准；</w:t>
      </w:r>
    </w:p>
    <w:p>
      <w:pPr>
        <w:pStyle w:val="35"/>
        <w:bidi w:val="0"/>
        <w:rPr>
          <w:rFonts w:hint="eastAsia"/>
        </w:rPr>
      </w:pPr>
      <w:r>
        <w:rPr>
          <w:rFonts w:hint="eastAsia"/>
        </w:rPr>
        <w:t>大写金额和小写金额不一致的，以大写金额为准；</w:t>
      </w:r>
    </w:p>
    <w:p>
      <w:pPr>
        <w:pStyle w:val="35"/>
        <w:bidi w:val="0"/>
        <w:rPr>
          <w:rFonts w:hint="eastAsia"/>
        </w:rPr>
      </w:pPr>
      <w:r>
        <w:rPr>
          <w:rFonts w:hint="eastAsia"/>
        </w:rPr>
        <w:t>单价金额小数点或者百分比有明显错位的，以开标一览表的总价为准，并修改单价；</w:t>
      </w:r>
    </w:p>
    <w:p>
      <w:pPr>
        <w:pStyle w:val="35"/>
        <w:bidi w:val="0"/>
        <w:rPr>
          <w:rFonts w:hint="eastAsia"/>
        </w:rPr>
      </w:pPr>
      <w:r>
        <w:rPr>
          <w:rFonts w:hint="eastAsia"/>
        </w:rPr>
        <w:t>总价金额与按单价汇总金额不一致的，以单价金额计算结果为准。</w:t>
      </w:r>
    </w:p>
    <w:p>
      <w:pPr>
        <w:pStyle w:val="47"/>
        <w:bidi w:val="0"/>
        <w:rPr>
          <w:rFonts w:hint="eastAsia"/>
          <w:lang w:val="en-US" w:eastAsia="zh-CN"/>
        </w:rPr>
      </w:pPr>
      <w:r>
        <w:rPr>
          <w:rFonts w:hint="eastAsia"/>
        </w:rPr>
        <w:t>同时出现两种以上不一致的，按照前款规定的顺序修正。修正后的报价按照《政府采购货物和服务招标投标管理办法》</w:t>
      </w:r>
      <w:r>
        <w:rPr>
          <w:rFonts w:hint="eastAsia"/>
          <w:lang w:eastAsia="zh-CN"/>
        </w:rPr>
        <w:t>(</w:t>
      </w:r>
      <w:r>
        <w:rPr>
          <w:rFonts w:hint="eastAsia"/>
        </w:rPr>
        <w:t>财政部令第</w:t>
      </w:r>
      <w:r>
        <w:rPr>
          <w:rFonts w:hint="eastAsia"/>
          <w:lang w:val="en-US" w:eastAsia="zh-CN"/>
        </w:rPr>
        <w:t>87</w:t>
      </w:r>
      <w:r>
        <w:rPr>
          <w:rFonts w:hint="eastAsia"/>
        </w:rPr>
        <w:t>号</w:t>
      </w:r>
      <w:r>
        <w:rPr>
          <w:rFonts w:hint="eastAsia"/>
          <w:lang w:eastAsia="zh-CN"/>
        </w:rPr>
        <w:t>)</w:t>
      </w:r>
      <w:r>
        <w:rPr>
          <w:rFonts w:hint="eastAsia"/>
        </w:rPr>
        <w:t>第五十一条第二款的规定经投标人确认后产生约束力，投标人不确认的，其投标无效。</w:t>
      </w:r>
    </w:p>
    <w:p>
      <w:pPr>
        <w:pStyle w:val="32"/>
        <w:bidi w:val="0"/>
        <w:rPr>
          <w:rFonts w:hint="eastAsia"/>
          <w:lang w:val="en-US" w:eastAsia="zh-CN"/>
        </w:rPr>
      </w:pPr>
      <w:r>
        <w:rPr>
          <w:rFonts w:hint="eastAsia"/>
          <w:lang w:val="en-US" w:eastAsia="zh-CN"/>
        </w:rPr>
        <w:t>低于成本价投标处理</w:t>
      </w:r>
    </w:p>
    <w:p>
      <w:pPr>
        <w:pStyle w:val="35"/>
        <w:numPr>
          <w:ilvl w:val="2"/>
          <w:numId w:val="0"/>
        </w:numPr>
        <w:bidi w:val="0"/>
        <w:ind w:firstLine="480" w:firstLineChars="200"/>
        <w:rPr>
          <w:rFonts w:hint="eastAsia"/>
          <w:lang w:val="en-US" w:eastAsia="zh-CN"/>
        </w:rPr>
      </w:pPr>
      <w:r>
        <w:rPr>
          <w:rFonts w:hint="eastAsia"/>
          <w:lang w:val="en-US" w:eastAsia="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5"/>
        <w:numPr>
          <w:ilvl w:val="2"/>
          <w:numId w:val="0"/>
        </w:numPr>
        <w:bidi w:val="0"/>
        <w:ind w:firstLine="480" w:firstLineChars="200"/>
        <w:rPr>
          <w:rFonts w:hint="eastAsia"/>
        </w:rPr>
      </w:pPr>
      <w:r>
        <w:rPr>
          <w:rFonts w:hint="eastAsia"/>
          <w:lang w:val="en-US" w:eastAsia="zh-CN"/>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p>
      <w:pPr>
        <w:pStyle w:val="34"/>
        <w:numPr>
          <w:ilvl w:val="1"/>
          <w:numId w:val="13"/>
        </w:numPr>
        <w:bidi w:val="0"/>
        <w:rPr>
          <w:rFonts w:hint="eastAsia"/>
        </w:rPr>
      </w:pPr>
      <w:bookmarkStart w:id="1044" w:name="_Toc1756"/>
      <w:bookmarkStart w:id="1045" w:name="_Toc14654"/>
      <w:bookmarkStart w:id="1046" w:name="_Toc24902"/>
      <w:bookmarkStart w:id="1047" w:name="_Toc307501155"/>
      <w:bookmarkStart w:id="1048" w:name="_Toc308084646"/>
      <w:bookmarkStart w:id="1049" w:name="_Toc25587"/>
      <w:bookmarkStart w:id="1050" w:name="_Toc319439947"/>
      <w:bookmarkStart w:id="1051" w:name="_Toc2106"/>
      <w:bookmarkStart w:id="1052" w:name="_Toc27402"/>
      <w:bookmarkStart w:id="1053" w:name="_Toc327196342"/>
      <w:bookmarkStart w:id="1054" w:name="_Toc30417"/>
      <w:bookmarkStart w:id="1055" w:name="_Toc217446103"/>
      <w:bookmarkStart w:id="1056" w:name="_Toc307564897"/>
      <w:bookmarkStart w:id="1057" w:name="_Toc22389"/>
      <w:bookmarkStart w:id="1058" w:name="_Toc308188199"/>
      <w:bookmarkStart w:id="1059" w:name="_Toc319440191"/>
      <w:bookmarkStart w:id="1060" w:name="_Toc26213"/>
      <w:bookmarkStart w:id="1061" w:name="_Toc23187"/>
      <w:bookmarkStart w:id="1062" w:name="_Toc309897564"/>
      <w:bookmarkStart w:id="1063" w:name="_Toc23140"/>
      <w:bookmarkStart w:id="1064" w:name="_Toc21397"/>
      <w:r>
        <w:rPr>
          <w:rFonts w:hint="eastAsia"/>
        </w:rPr>
        <w:t>评标细则及标准</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pPr>
        <w:pStyle w:val="32"/>
        <w:numPr>
          <w:ilvl w:val="1"/>
          <w:numId w:val="31"/>
        </w:numPr>
        <w:bidi w:val="0"/>
        <w:rPr>
          <w:rFonts w:hint="eastAsia"/>
        </w:rPr>
      </w:pPr>
      <w:r>
        <w:rPr>
          <w:rFonts w:hint="eastAsia"/>
        </w:rPr>
        <w:t>评委会只对通过</w:t>
      </w:r>
      <w:r>
        <w:rPr>
          <w:rFonts w:hint="eastAsia"/>
          <w:lang w:val="en-US" w:eastAsia="zh-CN"/>
        </w:rPr>
        <w:t>符合性检查</w:t>
      </w:r>
      <w:r>
        <w:rPr>
          <w:rFonts w:hint="eastAsia"/>
        </w:rPr>
        <w:t>的投标文件，根据招标文件的要求采用相同的评标程序、评分办法及标准进行评价和比较。</w:t>
      </w:r>
    </w:p>
    <w:p>
      <w:pPr>
        <w:pStyle w:val="32"/>
        <w:numPr>
          <w:ilvl w:val="1"/>
          <w:numId w:val="31"/>
        </w:numPr>
        <w:bidi w:val="0"/>
        <w:rPr>
          <w:rFonts w:hint="eastAsia"/>
        </w:rPr>
      </w:pPr>
      <w:r>
        <w:rPr>
          <w:rFonts w:hint="eastAsia"/>
        </w:rPr>
        <w:t>本次综合评分的因素是：</w:t>
      </w:r>
      <w:r>
        <w:rPr>
          <w:rFonts w:hint="eastAsia"/>
          <w:lang w:val="en-US" w:eastAsia="zh-CN"/>
        </w:rPr>
        <w:t>详见“</w:t>
      </w:r>
      <w:r>
        <w:rPr>
          <w:rFonts w:hint="eastAsia"/>
        </w:rPr>
        <w:t>综合评分明细表</w:t>
      </w:r>
      <w:r>
        <w:rPr>
          <w:rFonts w:hint="eastAsia"/>
          <w:lang w:val="en-US" w:eastAsia="zh-CN"/>
        </w:rPr>
        <w:t>中的评分因素及权重”。</w:t>
      </w:r>
    </w:p>
    <w:p>
      <w:pPr>
        <w:pStyle w:val="32"/>
        <w:numPr>
          <w:ilvl w:val="1"/>
          <w:numId w:val="31"/>
        </w:numPr>
        <w:bidi w:val="0"/>
        <w:rPr>
          <w:rFonts w:hint="eastAsia"/>
        </w:rPr>
      </w:pPr>
      <w:r>
        <w:rPr>
          <w:rFonts w:hint="eastAsia"/>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pStyle w:val="32"/>
        <w:numPr>
          <w:ilvl w:val="1"/>
          <w:numId w:val="31"/>
        </w:numPr>
        <w:bidi w:val="0"/>
        <w:rPr>
          <w:rFonts w:hint="eastAsia"/>
        </w:rPr>
      </w:pPr>
      <w:r>
        <w:rPr>
          <w:rFonts w:hint="eastAsia"/>
          <w:lang w:val="en-US" w:eastAsia="zh-CN"/>
        </w:rPr>
        <w:t>评审得分计算方法</w:t>
      </w:r>
    </w:p>
    <w:p>
      <w:pPr>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评审得分＝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A1＋A2＋……＋An</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/NA＋</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B1＋B2＋……＋Bn</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 NB＋</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C1＋C2＋……＋Cn</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 NC＋</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D1＋D2＋……＋Dn</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/ND</w:t>
      </w:r>
    </w:p>
    <w:p>
      <w:pPr>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rPr>
      </w:pPr>
      <w:r>
        <w:rPr>
          <w:rFonts w:hint="eastAsia" w:asciiTheme="minorEastAsia" w:hAnsiTheme="minorEastAsia" w:eastAsiaTheme="minorEastAsia" w:cstheme="minorEastAsia"/>
          <w:sz w:val="24"/>
          <w:szCs w:val="24"/>
        </w:rPr>
        <w:t>A1、A2……An分别为每个经济类评委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经济类专家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的打分，NA为经济类评委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经济类专家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人数；B1、B2＋……Bn 分别为每个技术类评委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技术类专家和采购人代表</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的打分，NB为技术类评委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技术类专家和采购人代表</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人数；C1、C2……Cn 分别为每个政策合同类评委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法律类专家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的打分，NC为政策合同类评委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法律类专家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人数；D1、D2……Dn 分别为评审委员会每个成员的打分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共同评分类</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，ND为评审委员会人数</w:t>
      </w:r>
      <w:r>
        <w:rPr>
          <w:rFonts w:hint="eastAsia" w:asciiTheme="minorEastAsia" w:hAnsiTheme="minorEastAsia" w:eastAsiaTheme="minorEastAsia" w:cstheme="minorEastAsia"/>
          <w:sz w:val="24"/>
          <w:szCs w:val="24"/>
          <w:lang w:eastAsia="zh-CN"/>
        </w:rPr>
        <w:t>。</w:t>
      </w:r>
    </w:p>
    <w:p>
      <w:pPr>
        <w:pStyle w:val="32"/>
        <w:bidi w:val="0"/>
        <w:rPr>
          <w:rFonts w:hint="eastAsia"/>
        </w:rPr>
      </w:pPr>
      <w:r>
        <w:rPr>
          <w:rFonts w:hint="eastAsia"/>
        </w:rPr>
        <w:t>综合评分明细表</w:t>
      </w:r>
    </w:p>
    <w:p>
      <w:pPr>
        <w:pStyle w:val="35"/>
        <w:bidi w:val="0"/>
        <w:rPr>
          <w:rFonts w:hint="eastAsia"/>
        </w:rPr>
      </w:pPr>
      <w:r>
        <w:rPr>
          <w:rFonts w:hint="eastAsia"/>
        </w:rPr>
        <w:t>综合评分明细表的制定以科学合理、降低评委会自由裁量权为原则。</w:t>
      </w:r>
    </w:p>
    <w:p>
      <w:pPr>
        <w:pStyle w:val="35"/>
        <w:bidi w:val="0"/>
        <w:rPr>
          <w:rFonts w:hint="eastAsia"/>
        </w:rPr>
      </w:pPr>
      <w:r>
        <w:rPr>
          <w:rFonts w:hint="eastAsia"/>
        </w:rPr>
        <w:t>综合评分明细表</w:t>
      </w:r>
    </w:p>
    <w:tbl>
      <w:tblPr>
        <w:tblStyle w:val="21"/>
        <w:tblW w:w="9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117"/>
        <w:gridCol w:w="1283"/>
        <w:gridCol w:w="5732"/>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blHeader/>
          <w:jc w:val="center"/>
        </w:trPr>
        <w:tc>
          <w:tcPr>
            <w:tcW w:w="710" w:type="dxa"/>
            <w:vAlign w:val="center"/>
          </w:tcPr>
          <w:p>
            <w:pPr>
              <w:pStyle w:val="45"/>
              <w:rPr>
                <w:rFonts w:cs="宋体"/>
                <w:b/>
                <w:bCs/>
                <w:color w:val="auto"/>
                <w:szCs w:val="21"/>
              </w:rPr>
            </w:pPr>
            <w:bookmarkStart w:id="1065" w:name="_Toc11138"/>
            <w:bookmarkStart w:id="1066" w:name="_Toc13245"/>
            <w:bookmarkStart w:id="1067" w:name="_Toc21671"/>
            <w:bookmarkStart w:id="1068" w:name="_Toc21363"/>
            <w:bookmarkStart w:id="1069" w:name="_Toc4648"/>
            <w:bookmarkStart w:id="1070" w:name="_Toc13513"/>
            <w:r>
              <w:rPr>
                <w:rFonts w:hint="eastAsia" w:cs="宋体"/>
                <w:b/>
                <w:bCs/>
                <w:color w:val="auto"/>
                <w:szCs w:val="21"/>
              </w:rPr>
              <w:t>序号</w:t>
            </w:r>
          </w:p>
        </w:tc>
        <w:tc>
          <w:tcPr>
            <w:tcW w:w="1117" w:type="dxa"/>
            <w:vAlign w:val="center"/>
          </w:tcPr>
          <w:p>
            <w:pPr>
              <w:pStyle w:val="45"/>
              <w:rPr>
                <w:rFonts w:cs="宋体"/>
                <w:b/>
                <w:bCs/>
                <w:color w:val="auto"/>
                <w:szCs w:val="21"/>
              </w:rPr>
            </w:pPr>
            <w:r>
              <w:rPr>
                <w:rFonts w:hint="eastAsia" w:cs="宋体"/>
                <w:b/>
                <w:bCs/>
                <w:color w:val="auto"/>
                <w:szCs w:val="21"/>
              </w:rPr>
              <w:t>评分因素及权重</w:t>
            </w:r>
          </w:p>
        </w:tc>
        <w:tc>
          <w:tcPr>
            <w:tcW w:w="1283" w:type="dxa"/>
            <w:vAlign w:val="center"/>
          </w:tcPr>
          <w:p>
            <w:pPr>
              <w:pStyle w:val="45"/>
              <w:rPr>
                <w:rFonts w:cs="宋体"/>
                <w:b/>
                <w:bCs/>
                <w:color w:val="auto"/>
                <w:szCs w:val="21"/>
              </w:rPr>
            </w:pPr>
            <w:r>
              <w:rPr>
                <w:rFonts w:hint="eastAsia" w:cs="宋体"/>
                <w:b/>
                <w:bCs/>
                <w:color w:val="auto"/>
                <w:szCs w:val="21"/>
              </w:rPr>
              <w:t>分值</w:t>
            </w:r>
          </w:p>
        </w:tc>
        <w:tc>
          <w:tcPr>
            <w:tcW w:w="5732" w:type="dxa"/>
            <w:vAlign w:val="center"/>
          </w:tcPr>
          <w:p>
            <w:pPr>
              <w:pStyle w:val="45"/>
              <w:rPr>
                <w:rFonts w:cs="宋体"/>
                <w:b/>
                <w:bCs/>
                <w:color w:val="auto"/>
                <w:szCs w:val="21"/>
              </w:rPr>
            </w:pPr>
            <w:r>
              <w:rPr>
                <w:rFonts w:hint="eastAsia" w:cs="宋体"/>
                <w:b/>
                <w:bCs/>
                <w:color w:val="auto"/>
                <w:szCs w:val="21"/>
              </w:rPr>
              <w:t>评分标准</w:t>
            </w:r>
          </w:p>
        </w:tc>
        <w:tc>
          <w:tcPr>
            <w:tcW w:w="1056" w:type="dxa"/>
            <w:vAlign w:val="center"/>
          </w:tcPr>
          <w:p>
            <w:pPr>
              <w:pStyle w:val="45"/>
              <w:rPr>
                <w:rFonts w:cs="宋体"/>
                <w:b/>
                <w:bCs/>
                <w:color w:val="auto"/>
                <w:szCs w:val="21"/>
              </w:rPr>
            </w:pPr>
            <w:r>
              <w:rPr>
                <w:rFonts w:hint="eastAsia" w:cs="宋体"/>
                <w:b/>
                <w:bCs/>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2" w:hRule="atLeast"/>
          <w:jc w:val="center"/>
        </w:trPr>
        <w:tc>
          <w:tcPr>
            <w:tcW w:w="710" w:type="dxa"/>
            <w:vAlign w:val="center"/>
          </w:tcPr>
          <w:p>
            <w:pPr>
              <w:pStyle w:val="45"/>
              <w:rPr>
                <w:rFonts w:cs="宋体"/>
                <w:color w:val="auto"/>
                <w:szCs w:val="21"/>
              </w:rPr>
            </w:pPr>
            <w:r>
              <w:rPr>
                <w:rFonts w:hint="eastAsia" w:cs="宋体"/>
                <w:color w:val="auto"/>
                <w:szCs w:val="21"/>
              </w:rPr>
              <w:t>一</w:t>
            </w:r>
          </w:p>
        </w:tc>
        <w:tc>
          <w:tcPr>
            <w:tcW w:w="1117" w:type="dxa"/>
            <w:vAlign w:val="center"/>
          </w:tcPr>
          <w:p>
            <w:pPr>
              <w:pStyle w:val="45"/>
              <w:rPr>
                <w:rFonts w:cs="宋体"/>
                <w:color w:val="auto"/>
                <w:szCs w:val="21"/>
              </w:rPr>
            </w:pPr>
            <w:r>
              <w:rPr>
                <w:rFonts w:hint="eastAsia" w:cs="宋体"/>
                <w:color w:val="auto"/>
                <w:szCs w:val="21"/>
              </w:rPr>
              <w:t>报价</w:t>
            </w:r>
          </w:p>
          <w:p>
            <w:pPr>
              <w:pStyle w:val="45"/>
              <w:rPr>
                <w:rFonts w:cs="宋体"/>
                <w:color w:val="auto"/>
                <w:szCs w:val="21"/>
              </w:rPr>
            </w:pPr>
            <w:r>
              <w:rPr>
                <w:rFonts w:hint="eastAsia" w:cs="宋体"/>
                <w:color w:val="auto"/>
                <w:szCs w:val="21"/>
              </w:rPr>
              <w:t>10%</w:t>
            </w:r>
          </w:p>
        </w:tc>
        <w:tc>
          <w:tcPr>
            <w:tcW w:w="1283" w:type="dxa"/>
            <w:vAlign w:val="center"/>
          </w:tcPr>
          <w:p>
            <w:pPr>
              <w:pStyle w:val="45"/>
              <w:rPr>
                <w:rFonts w:cs="宋体"/>
                <w:color w:val="auto"/>
                <w:szCs w:val="21"/>
              </w:rPr>
            </w:pPr>
            <w:r>
              <w:rPr>
                <w:rFonts w:hint="eastAsia" w:cs="宋体"/>
                <w:color w:val="auto"/>
                <w:szCs w:val="21"/>
              </w:rPr>
              <w:t>10分</w:t>
            </w:r>
          </w:p>
        </w:tc>
        <w:tc>
          <w:tcPr>
            <w:tcW w:w="5732" w:type="dxa"/>
            <w:vAlign w:val="center"/>
          </w:tcPr>
          <w:p>
            <w:pPr>
              <w:pStyle w:val="41"/>
              <w:ind w:left="0" w:leftChars="0"/>
              <w:rPr>
                <w:rFonts w:cs="宋体"/>
                <w:color w:val="auto"/>
                <w:szCs w:val="21"/>
              </w:rPr>
            </w:pPr>
            <w:r>
              <w:rPr>
                <w:rFonts w:hint="eastAsia" w:cs="宋体"/>
                <w:color w:val="auto"/>
                <w:szCs w:val="21"/>
              </w:rPr>
              <w:t>满足招标文件要求且投标价格最低的投标报价为评标基准价，其价格分为满分。其他投标人的价格分统一按照下列公式计算：</w:t>
            </w:r>
          </w:p>
          <w:p>
            <w:pPr>
              <w:pStyle w:val="41"/>
              <w:ind w:left="0" w:leftChars="0"/>
              <w:rPr>
                <w:rFonts w:cs="宋体"/>
                <w:color w:val="auto"/>
                <w:szCs w:val="21"/>
              </w:rPr>
            </w:pPr>
            <w:r>
              <w:rPr>
                <w:rFonts w:hint="eastAsia" w:cs="宋体"/>
                <w:color w:val="auto"/>
                <w:szCs w:val="21"/>
              </w:rPr>
              <w:t>投标报价得分=(评标基准价／投标报价)×10%×100；</w:t>
            </w:r>
          </w:p>
          <w:p>
            <w:pPr>
              <w:pStyle w:val="41"/>
              <w:ind w:left="0" w:leftChars="0"/>
              <w:jc w:val="both"/>
              <w:rPr>
                <w:rFonts w:cs="宋体"/>
                <w:b/>
                <w:bCs/>
                <w:color w:val="auto"/>
                <w:szCs w:val="21"/>
              </w:rPr>
            </w:pPr>
            <w:r>
              <w:rPr>
                <w:rFonts w:hint="eastAsia" w:cs="宋体"/>
                <w:b/>
                <w:bCs/>
                <w:color w:val="auto"/>
                <w:szCs w:val="21"/>
              </w:rPr>
              <w:t>注：1.项目评审过程中，不得去掉最后报价中的最高报价和最低报价。</w:t>
            </w:r>
          </w:p>
          <w:p>
            <w:pPr>
              <w:pStyle w:val="41"/>
              <w:ind w:left="0" w:leftChars="0"/>
              <w:jc w:val="both"/>
              <w:rPr>
                <w:rFonts w:cs="宋体"/>
                <w:b/>
                <w:bCs/>
                <w:color w:val="auto"/>
                <w:szCs w:val="21"/>
              </w:rPr>
            </w:pPr>
            <w:r>
              <w:rPr>
                <w:rFonts w:hint="eastAsia" w:cs="宋体"/>
                <w:b/>
                <w:bCs/>
                <w:color w:val="auto"/>
                <w:szCs w:val="21"/>
              </w:rPr>
              <w:t>2.因落实政府采购政策进行价格调整的，以调整后的价格计算磋商基准价和最后报价。</w:t>
            </w:r>
          </w:p>
          <w:p>
            <w:pPr>
              <w:pStyle w:val="41"/>
              <w:ind w:left="0" w:leftChars="0"/>
              <w:rPr>
                <w:rFonts w:cs="宋体"/>
                <w:color w:val="auto"/>
                <w:szCs w:val="21"/>
              </w:rPr>
            </w:pPr>
            <w:r>
              <w:rPr>
                <w:rFonts w:hint="eastAsia" w:cs="宋体"/>
                <w:b/>
                <w:bCs/>
                <w:color w:val="auto"/>
                <w:szCs w:val="21"/>
              </w:rPr>
              <w:t>3.小微企业(残疾人福利性单位、监狱企业视同小微企业)价格扣除政策按照磋商须知表的相关要求执行。</w:t>
            </w:r>
          </w:p>
        </w:tc>
        <w:tc>
          <w:tcPr>
            <w:tcW w:w="1056" w:type="dxa"/>
            <w:vAlign w:val="center"/>
          </w:tcPr>
          <w:p>
            <w:pPr>
              <w:pStyle w:val="45"/>
              <w:rPr>
                <w:rFonts w:cs="宋体"/>
                <w:color w:val="auto"/>
                <w:szCs w:val="21"/>
              </w:rPr>
            </w:pPr>
            <w:r>
              <w:rPr>
                <w:rFonts w:hint="eastAsia" w:cs="宋体"/>
                <w:color w:val="auto"/>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10" w:type="dxa"/>
            <w:vMerge w:val="restart"/>
            <w:vAlign w:val="center"/>
          </w:tcPr>
          <w:p>
            <w:pPr>
              <w:pStyle w:val="45"/>
              <w:rPr>
                <w:rFonts w:cs="宋体"/>
                <w:color w:val="auto"/>
                <w:szCs w:val="21"/>
              </w:rPr>
            </w:pPr>
            <w:r>
              <w:rPr>
                <w:rFonts w:hint="eastAsia" w:cs="宋体"/>
                <w:color w:val="auto"/>
                <w:szCs w:val="21"/>
              </w:rPr>
              <w:t>二</w:t>
            </w:r>
          </w:p>
        </w:tc>
        <w:tc>
          <w:tcPr>
            <w:tcW w:w="1117" w:type="dxa"/>
            <w:vMerge w:val="restart"/>
            <w:vAlign w:val="center"/>
          </w:tcPr>
          <w:p>
            <w:pPr>
              <w:pStyle w:val="45"/>
              <w:rPr>
                <w:rFonts w:cs="宋体"/>
                <w:color w:val="auto"/>
                <w:szCs w:val="21"/>
              </w:rPr>
            </w:pPr>
            <w:r>
              <w:rPr>
                <w:rFonts w:hint="eastAsia" w:cs="宋体"/>
                <w:color w:val="auto"/>
                <w:szCs w:val="21"/>
              </w:rPr>
              <w:t>服务方案</w:t>
            </w:r>
          </w:p>
          <w:p>
            <w:pPr>
              <w:pStyle w:val="45"/>
              <w:rPr>
                <w:rFonts w:cs="宋体"/>
                <w:color w:val="auto"/>
                <w:szCs w:val="21"/>
              </w:rPr>
            </w:pPr>
            <w:r>
              <w:rPr>
                <w:rFonts w:hint="eastAsia" w:cs="宋体"/>
                <w:color w:val="auto"/>
                <w:szCs w:val="21"/>
              </w:rPr>
              <w:t>44%</w:t>
            </w:r>
          </w:p>
        </w:tc>
        <w:tc>
          <w:tcPr>
            <w:tcW w:w="1283" w:type="dxa"/>
            <w:vAlign w:val="center"/>
          </w:tcPr>
          <w:p>
            <w:pPr>
              <w:wordWrap w:val="0"/>
              <w:topLinePunct/>
              <w:spacing w:line="360" w:lineRule="exact"/>
              <w:jc w:val="center"/>
              <w:rPr>
                <w:rFonts w:cs="宋体"/>
                <w:color w:val="auto"/>
                <w:sz w:val="21"/>
                <w:szCs w:val="21"/>
              </w:rPr>
            </w:pPr>
            <w:r>
              <w:rPr>
                <w:rFonts w:hint="eastAsia" w:cs="宋体"/>
                <w:color w:val="auto"/>
                <w:sz w:val="21"/>
                <w:szCs w:val="21"/>
              </w:rPr>
              <w:t>项目背景分析(16分)</w:t>
            </w:r>
          </w:p>
        </w:tc>
        <w:tc>
          <w:tcPr>
            <w:tcW w:w="5732" w:type="dxa"/>
            <w:vAlign w:val="center"/>
          </w:tcPr>
          <w:p>
            <w:pPr>
              <w:wordWrap w:val="0"/>
              <w:topLinePunct/>
              <w:spacing w:line="360" w:lineRule="exact"/>
              <w:rPr>
                <w:rFonts w:cs="宋体"/>
                <w:color w:val="auto"/>
                <w:sz w:val="21"/>
                <w:szCs w:val="21"/>
              </w:rPr>
            </w:pPr>
            <w:r>
              <w:rPr>
                <w:rFonts w:hint="eastAsia" w:cs="宋体"/>
                <w:color w:val="auto"/>
                <w:sz w:val="21"/>
                <w:szCs w:val="21"/>
              </w:rPr>
              <w:t>根据投标人针对本项目背景分析，包含但不限于①项目实施背景及环境分析；②项目实施政策规范分析；③项目重点难点分析；④项目重点难点应对措施等进行综合评分：以上四项每有一项内容完善、描述准确且完全符合本项目实际情况的得4分；每有一项存在缺陷的得2分(缺陷是指：内容与本项目适用的规范政策不匹配的或项目名称、履约地点与技术服务与本项目要求不一致或存在照抄照搬其他项目方案的情形等)；每缺少一项内容或内容不满足要求的该项不得分。</w:t>
            </w:r>
          </w:p>
        </w:tc>
        <w:tc>
          <w:tcPr>
            <w:tcW w:w="1056" w:type="dxa"/>
            <w:vMerge w:val="restart"/>
            <w:vAlign w:val="center"/>
          </w:tcPr>
          <w:p>
            <w:pPr>
              <w:pStyle w:val="45"/>
              <w:rPr>
                <w:rFonts w:cs="宋体"/>
                <w:color w:val="auto"/>
                <w:szCs w:val="21"/>
              </w:rPr>
            </w:pPr>
            <w:r>
              <w:rPr>
                <w:rFonts w:hint="eastAsia" w:cs="宋体"/>
                <w:color w:val="auto"/>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710" w:type="dxa"/>
            <w:vMerge w:val="continue"/>
            <w:vAlign w:val="center"/>
          </w:tcPr>
          <w:p>
            <w:pPr>
              <w:pStyle w:val="45"/>
              <w:rPr>
                <w:rFonts w:cs="宋体"/>
                <w:color w:val="auto"/>
                <w:szCs w:val="21"/>
              </w:rPr>
            </w:pPr>
          </w:p>
        </w:tc>
        <w:tc>
          <w:tcPr>
            <w:tcW w:w="1117" w:type="dxa"/>
            <w:vMerge w:val="continue"/>
            <w:vAlign w:val="center"/>
          </w:tcPr>
          <w:p>
            <w:pPr>
              <w:pStyle w:val="45"/>
              <w:rPr>
                <w:rFonts w:cs="宋体"/>
                <w:color w:val="auto"/>
                <w:szCs w:val="21"/>
              </w:rPr>
            </w:pPr>
          </w:p>
        </w:tc>
        <w:tc>
          <w:tcPr>
            <w:tcW w:w="1283" w:type="dxa"/>
            <w:vAlign w:val="center"/>
          </w:tcPr>
          <w:p>
            <w:pPr>
              <w:wordWrap w:val="0"/>
              <w:topLinePunct/>
              <w:spacing w:line="360" w:lineRule="exact"/>
              <w:jc w:val="center"/>
              <w:rPr>
                <w:rFonts w:cs="宋体"/>
                <w:color w:val="auto"/>
                <w:sz w:val="21"/>
                <w:szCs w:val="21"/>
              </w:rPr>
            </w:pPr>
            <w:r>
              <w:rPr>
                <w:rFonts w:hint="eastAsia" w:cs="宋体"/>
                <w:color w:val="auto"/>
                <w:sz w:val="21"/>
                <w:szCs w:val="21"/>
              </w:rPr>
              <w:t>项目实施计划(24分)</w:t>
            </w:r>
          </w:p>
        </w:tc>
        <w:tc>
          <w:tcPr>
            <w:tcW w:w="5732" w:type="dxa"/>
            <w:vAlign w:val="center"/>
          </w:tcPr>
          <w:p>
            <w:pPr>
              <w:wordWrap w:val="0"/>
              <w:topLinePunct/>
              <w:spacing w:line="360" w:lineRule="exact"/>
              <w:rPr>
                <w:rFonts w:cs="宋体"/>
                <w:color w:val="auto"/>
                <w:sz w:val="21"/>
                <w:szCs w:val="21"/>
              </w:rPr>
            </w:pPr>
            <w:r>
              <w:rPr>
                <w:rFonts w:hint="eastAsia" w:cs="宋体"/>
                <w:color w:val="auto"/>
                <w:sz w:val="21"/>
                <w:szCs w:val="21"/>
              </w:rPr>
              <w:t>根据投标人提供的项目实施计划，包含但不限于①设备配置清单及配置方案；②</w:t>
            </w:r>
            <w:r>
              <w:rPr>
                <w:rFonts w:hint="eastAsia" w:cs="宋体"/>
                <w:color w:val="auto"/>
                <w:sz w:val="21"/>
                <w:szCs w:val="21"/>
                <w:lang w:val="zh-CN"/>
              </w:rPr>
              <w:t>人员分工</w:t>
            </w:r>
            <w:r>
              <w:rPr>
                <w:rFonts w:hint="eastAsia" w:cs="宋体"/>
                <w:color w:val="auto"/>
                <w:sz w:val="21"/>
                <w:szCs w:val="21"/>
              </w:rPr>
              <w:t>及职能安排；</w:t>
            </w:r>
            <w:r>
              <w:rPr>
                <w:rFonts w:hint="eastAsia" w:cs="宋体"/>
                <w:color w:val="auto"/>
                <w:kern w:val="0"/>
                <w:sz w:val="21"/>
                <w:szCs w:val="21"/>
              </w:rPr>
              <w:t>③进度控制措施；④质量保障措施；⑤培训方案；⑥应急预案等内容进行综合评</w:t>
            </w:r>
            <w:r>
              <w:rPr>
                <w:rFonts w:hint="eastAsia" w:cs="宋体"/>
                <w:color w:val="auto"/>
                <w:sz w:val="21"/>
                <w:szCs w:val="21"/>
              </w:rPr>
              <w:t>分</w:t>
            </w:r>
            <w:r>
              <w:rPr>
                <w:rFonts w:hint="eastAsia" w:cs="宋体"/>
                <w:color w:val="auto"/>
                <w:kern w:val="0"/>
                <w:sz w:val="21"/>
                <w:szCs w:val="21"/>
              </w:rPr>
              <w:t>：</w:t>
            </w:r>
            <w:r>
              <w:rPr>
                <w:rFonts w:hint="eastAsia" w:cs="宋体"/>
                <w:color w:val="auto"/>
                <w:sz w:val="21"/>
                <w:szCs w:val="21"/>
              </w:rPr>
              <w:t>以上六项每有一项内容完善、描述准确且完全符合本项目实际情况的得4分，每有一项存在缺陷的得2分(缺陷是指：项目人员配置、设备配置、执行标准、进度安排、质量保证措施等与本项目不完全匹配或项目名称、履约地点与技术服务与本项目要求不一致或存在照抄照搬其他项目方案的情形等)；每缺少一项内容或内容不满足要求的该项不得分。</w:t>
            </w:r>
          </w:p>
        </w:tc>
        <w:tc>
          <w:tcPr>
            <w:tcW w:w="1056" w:type="dxa"/>
            <w:vMerge w:val="continue"/>
            <w:vAlign w:val="center"/>
          </w:tcPr>
          <w:p>
            <w:pPr>
              <w:pStyle w:val="45"/>
              <w:rPr>
                <w:rFonts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10" w:type="dxa"/>
            <w:vMerge w:val="continue"/>
            <w:vAlign w:val="center"/>
          </w:tcPr>
          <w:p>
            <w:pPr>
              <w:pStyle w:val="45"/>
              <w:rPr>
                <w:rFonts w:cs="宋体"/>
                <w:color w:val="auto"/>
                <w:szCs w:val="21"/>
              </w:rPr>
            </w:pPr>
          </w:p>
        </w:tc>
        <w:tc>
          <w:tcPr>
            <w:tcW w:w="1117" w:type="dxa"/>
            <w:vMerge w:val="continue"/>
            <w:vAlign w:val="center"/>
          </w:tcPr>
          <w:p>
            <w:pPr>
              <w:pStyle w:val="45"/>
              <w:rPr>
                <w:rFonts w:cs="宋体"/>
                <w:color w:val="auto"/>
                <w:szCs w:val="21"/>
              </w:rPr>
            </w:pPr>
          </w:p>
        </w:tc>
        <w:tc>
          <w:tcPr>
            <w:tcW w:w="1283" w:type="dxa"/>
            <w:vAlign w:val="center"/>
          </w:tcPr>
          <w:p>
            <w:pPr>
              <w:wordWrap w:val="0"/>
              <w:topLinePunct/>
              <w:spacing w:line="360" w:lineRule="exact"/>
              <w:jc w:val="center"/>
              <w:rPr>
                <w:rFonts w:cs="宋体"/>
                <w:color w:val="auto"/>
                <w:sz w:val="21"/>
                <w:szCs w:val="21"/>
              </w:rPr>
            </w:pPr>
            <w:r>
              <w:rPr>
                <w:rFonts w:hint="eastAsia" w:cs="宋体"/>
                <w:color w:val="auto"/>
                <w:sz w:val="21"/>
                <w:szCs w:val="21"/>
              </w:rPr>
              <w:t>其他(4分)</w:t>
            </w:r>
          </w:p>
        </w:tc>
        <w:tc>
          <w:tcPr>
            <w:tcW w:w="5732" w:type="dxa"/>
            <w:vAlign w:val="center"/>
          </w:tcPr>
          <w:p>
            <w:pPr>
              <w:wordWrap w:val="0"/>
              <w:topLinePunct/>
              <w:spacing w:line="360" w:lineRule="exact"/>
              <w:rPr>
                <w:rFonts w:cs="宋体"/>
                <w:color w:val="auto"/>
                <w:sz w:val="21"/>
                <w:szCs w:val="21"/>
              </w:rPr>
            </w:pPr>
            <w:r>
              <w:rPr>
                <w:rFonts w:hint="eastAsia" w:cs="宋体"/>
                <w:color w:val="auto"/>
                <w:kern w:val="0"/>
                <w:sz w:val="21"/>
                <w:szCs w:val="21"/>
              </w:rPr>
              <w:t>根据投标人提供的其他服务内容进行综合评分，每提供一项有利于本项目实施的措施或承诺或建议且经评标小组认可的2分，最多得4分。</w:t>
            </w:r>
          </w:p>
        </w:tc>
        <w:tc>
          <w:tcPr>
            <w:tcW w:w="1056" w:type="dxa"/>
            <w:vMerge w:val="continue"/>
            <w:vAlign w:val="center"/>
          </w:tcPr>
          <w:p>
            <w:pPr>
              <w:pStyle w:val="45"/>
              <w:rPr>
                <w:rFonts w:cs="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10" w:type="dxa"/>
            <w:vMerge w:val="continue"/>
            <w:vAlign w:val="center"/>
          </w:tcPr>
          <w:p>
            <w:pPr>
              <w:pStyle w:val="45"/>
              <w:rPr>
                <w:rFonts w:cs="宋体"/>
                <w:color w:val="auto"/>
                <w:szCs w:val="21"/>
              </w:rPr>
            </w:pPr>
          </w:p>
        </w:tc>
        <w:tc>
          <w:tcPr>
            <w:tcW w:w="1117" w:type="dxa"/>
            <w:vMerge w:val="continue"/>
            <w:vAlign w:val="center"/>
          </w:tcPr>
          <w:p>
            <w:pPr>
              <w:pStyle w:val="45"/>
              <w:rPr>
                <w:rFonts w:cs="宋体"/>
                <w:color w:val="auto"/>
                <w:szCs w:val="21"/>
              </w:rPr>
            </w:pPr>
          </w:p>
        </w:tc>
        <w:tc>
          <w:tcPr>
            <w:tcW w:w="8071" w:type="dxa"/>
            <w:gridSpan w:val="3"/>
            <w:vAlign w:val="center"/>
          </w:tcPr>
          <w:p>
            <w:pPr>
              <w:pStyle w:val="45"/>
              <w:jc w:val="left"/>
              <w:rPr>
                <w:rFonts w:cs="宋体"/>
                <w:color w:val="auto"/>
                <w:szCs w:val="21"/>
              </w:rPr>
            </w:pPr>
            <w:r>
              <w:rPr>
                <w:rFonts w:hint="eastAsia" w:cs="宋体"/>
                <w:b/>
                <w:bCs/>
                <w:color w:val="auto"/>
                <w:szCs w:val="21"/>
              </w:rPr>
              <w:t>注：以评标专家结合项目实际情况和投标文件响应独立评审为准。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jc w:val="center"/>
        </w:trPr>
        <w:tc>
          <w:tcPr>
            <w:tcW w:w="710" w:type="dxa"/>
            <w:vAlign w:val="center"/>
          </w:tcPr>
          <w:p>
            <w:pPr>
              <w:pStyle w:val="45"/>
              <w:rPr>
                <w:rFonts w:cs="宋体"/>
                <w:snapToGrid w:val="0"/>
                <w:color w:val="auto"/>
                <w:szCs w:val="21"/>
              </w:rPr>
            </w:pPr>
            <w:r>
              <w:rPr>
                <w:rFonts w:hint="eastAsia" w:cs="宋体"/>
                <w:snapToGrid w:val="0"/>
                <w:color w:val="auto"/>
                <w:szCs w:val="21"/>
              </w:rPr>
              <w:t>三</w:t>
            </w:r>
          </w:p>
        </w:tc>
        <w:tc>
          <w:tcPr>
            <w:tcW w:w="1117" w:type="dxa"/>
            <w:vAlign w:val="center"/>
          </w:tcPr>
          <w:p>
            <w:pPr>
              <w:pStyle w:val="45"/>
              <w:rPr>
                <w:rFonts w:cs="宋体"/>
                <w:color w:val="auto"/>
                <w:kern w:val="0"/>
                <w:szCs w:val="21"/>
              </w:rPr>
            </w:pPr>
            <w:r>
              <w:rPr>
                <w:rFonts w:hint="eastAsia" w:cs="宋体"/>
                <w:color w:val="auto"/>
                <w:kern w:val="0"/>
                <w:szCs w:val="21"/>
              </w:rPr>
              <w:t>人员配置</w:t>
            </w:r>
          </w:p>
          <w:p>
            <w:pPr>
              <w:pStyle w:val="45"/>
              <w:rPr>
                <w:rFonts w:cs="宋体"/>
                <w:color w:val="auto"/>
                <w:szCs w:val="21"/>
              </w:rPr>
            </w:pPr>
            <w:r>
              <w:rPr>
                <w:rFonts w:hint="eastAsia" w:cs="宋体"/>
                <w:color w:val="auto"/>
                <w:szCs w:val="21"/>
              </w:rPr>
              <w:t>23%</w:t>
            </w:r>
          </w:p>
        </w:tc>
        <w:tc>
          <w:tcPr>
            <w:tcW w:w="1283" w:type="dxa"/>
            <w:vAlign w:val="center"/>
          </w:tcPr>
          <w:p>
            <w:pPr>
              <w:wordWrap w:val="0"/>
              <w:topLinePunct/>
              <w:spacing w:line="360" w:lineRule="exact"/>
              <w:jc w:val="center"/>
              <w:rPr>
                <w:rFonts w:cs="宋体"/>
                <w:color w:val="auto"/>
                <w:sz w:val="21"/>
                <w:szCs w:val="21"/>
              </w:rPr>
            </w:pPr>
            <w:r>
              <w:rPr>
                <w:rFonts w:hint="eastAsia" w:cs="宋体"/>
                <w:color w:val="auto"/>
                <w:sz w:val="21"/>
                <w:szCs w:val="21"/>
              </w:rPr>
              <w:t>23分</w:t>
            </w:r>
          </w:p>
        </w:tc>
        <w:tc>
          <w:tcPr>
            <w:tcW w:w="5732" w:type="dxa"/>
            <w:vAlign w:val="center"/>
          </w:tcPr>
          <w:p>
            <w:pPr>
              <w:wordWrap w:val="0"/>
              <w:topLinePunct/>
              <w:spacing w:line="360" w:lineRule="exact"/>
              <w:rPr>
                <w:rFonts w:cs="宋体"/>
                <w:b/>
                <w:bCs/>
                <w:color w:val="auto"/>
                <w:sz w:val="21"/>
                <w:szCs w:val="21"/>
              </w:rPr>
            </w:pPr>
            <w:r>
              <w:rPr>
                <w:rFonts w:hint="eastAsia" w:cs="宋体"/>
                <w:b/>
                <w:bCs/>
                <w:color w:val="auto"/>
                <w:sz w:val="21"/>
                <w:szCs w:val="21"/>
              </w:rPr>
              <w:t>1.项目负责人：</w:t>
            </w:r>
          </w:p>
          <w:p>
            <w:pPr>
              <w:wordWrap w:val="0"/>
              <w:topLinePunct/>
              <w:spacing w:line="360" w:lineRule="exact"/>
              <w:rPr>
                <w:rFonts w:cs="宋体"/>
                <w:color w:val="auto"/>
                <w:sz w:val="21"/>
                <w:szCs w:val="21"/>
              </w:rPr>
            </w:pPr>
            <w:r>
              <w:rPr>
                <w:rFonts w:hint="eastAsia" w:cs="宋体"/>
                <w:color w:val="auto"/>
                <w:sz w:val="21"/>
                <w:szCs w:val="21"/>
              </w:rPr>
              <w:t>①具有食品安全相关专业中级技术职称的得2分；具有食品安全相关专业高级技术职称或国家行政主管部门颁发的全国食品生产许可证审查员的得5分。</w:t>
            </w:r>
          </w:p>
          <w:p>
            <w:pPr>
              <w:wordWrap w:val="0"/>
              <w:topLinePunct/>
              <w:spacing w:line="360" w:lineRule="exact"/>
              <w:rPr>
                <w:rFonts w:cs="宋体"/>
                <w:color w:val="auto"/>
                <w:sz w:val="21"/>
                <w:szCs w:val="21"/>
              </w:rPr>
            </w:pPr>
            <w:r>
              <w:rPr>
                <w:rFonts w:hint="eastAsia" w:cs="宋体"/>
                <w:color w:val="auto"/>
                <w:sz w:val="21"/>
                <w:szCs w:val="21"/>
              </w:rPr>
              <w:t>②从业年限达到三年(含)以上的加1分(从业年限以取得相关技术职称证书时间为起始时间)；</w:t>
            </w:r>
          </w:p>
          <w:p>
            <w:pPr>
              <w:wordWrap w:val="0"/>
              <w:topLinePunct/>
              <w:spacing w:line="360" w:lineRule="exact"/>
              <w:rPr>
                <w:rFonts w:cs="宋体"/>
                <w:color w:val="auto"/>
                <w:sz w:val="21"/>
                <w:szCs w:val="21"/>
              </w:rPr>
            </w:pPr>
            <w:r>
              <w:rPr>
                <w:rFonts w:hint="eastAsia" w:cs="宋体"/>
                <w:color w:val="auto"/>
                <w:sz w:val="21"/>
                <w:szCs w:val="21"/>
              </w:rPr>
              <w:t>③每具有一个在其他类似项目担任项目负责人的经验得1分，最多得2分。</w:t>
            </w:r>
          </w:p>
          <w:p>
            <w:pPr>
              <w:wordWrap w:val="0"/>
              <w:topLinePunct/>
              <w:spacing w:line="360" w:lineRule="exact"/>
              <w:rPr>
                <w:rFonts w:cs="宋体"/>
                <w:color w:val="auto"/>
                <w:sz w:val="21"/>
                <w:szCs w:val="21"/>
              </w:rPr>
            </w:pPr>
            <w:r>
              <w:rPr>
                <w:rFonts w:hint="eastAsia" w:cs="宋体"/>
                <w:color w:val="auto"/>
                <w:sz w:val="21"/>
                <w:szCs w:val="21"/>
              </w:rPr>
              <w:t>本项最多得8分；</w:t>
            </w:r>
          </w:p>
          <w:p>
            <w:pPr>
              <w:wordWrap w:val="0"/>
              <w:topLinePunct/>
              <w:spacing w:line="360" w:lineRule="exact"/>
              <w:rPr>
                <w:rFonts w:hint="default" w:cs="宋体"/>
                <w:bCs/>
                <w:color w:val="auto"/>
                <w:sz w:val="21"/>
                <w:szCs w:val="21"/>
                <w:lang w:val="en-US" w:eastAsia="zh-CN"/>
              </w:rPr>
            </w:pPr>
            <w:r>
              <w:rPr>
                <w:rFonts w:hint="eastAsia" w:cs="宋体"/>
                <w:b/>
                <w:bCs w:val="0"/>
                <w:color w:val="auto"/>
                <w:sz w:val="21"/>
                <w:szCs w:val="21"/>
                <w:lang w:val="en-US" w:eastAsia="zh-CN"/>
              </w:rPr>
              <w:t>2.各小组负责人(5人)：</w:t>
            </w:r>
            <w:r>
              <w:rPr>
                <w:rFonts w:hint="eastAsia" w:cs="宋体"/>
                <w:bCs/>
                <w:color w:val="auto"/>
                <w:sz w:val="21"/>
                <w:szCs w:val="21"/>
                <w:lang w:val="en-US" w:eastAsia="zh-CN"/>
              </w:rPr>
              <w:t>每有1人</w:t>
            </w:r>
            <w:r>
              <w:rPr>
                <w:rFonts w:hint="eastAsia" w:cs="宋体"/>
                <w:bCs/>
                <w:color w:val="auto"/>
                <w:sz w:val="21"/>
                <w:szCs w:val="21"/>
              </w:rPr>
              <w:t>具有</w:t>
            </w:r>
            <w:r>
              <w:rPr>
                <w:rFonts w:hint="eastAsia" w:cs="宋体"/>
                <w:color w:val="auto"/>
                <w:sz w:val="21"/>
                <w:szCs w:val="21"/>
              </w:rPr>
              <w:t>食品安全相关</w:t>
            </w:r>
            <w:r>
              <w:rPr>
                <w:rFonts w:hint="eastAsia" w:cs="宋体"/>
                <w:bCs/>
                <w:color w:val="auto"/>
                <w:sz w:val="21"/>
                <w:szCs w:val="21"/>
              </w:rPr>
              <w:t>中级职称或得</w:t>
            </w:r>
            <w:r>
              <w:rPr>
                <w:rFonts w:hint="eastAsia" w:cs="宋体"/>
                <w:bCs/>
                <w:color w:val="auto"/>
                <w:sz w:val="21"/>
                <w:szCs w:val="21"/>
                <w:lang w:val="en-US" w:eastAsia="zh-CN"/>
              </w:rPr>
              <w:t>0.5</w:t>
            </w:r>
            <w:r>
              <w:rPr>
                <w:rFonts w:hint="eastAsia" w:cs="宋体"/>
                <w:bCs/>
                <w:color w:val="auto"/>
                <w:sz w:val="21"/>
                <w:szCs w:val="21"/>
              </w:rPr>
              <w:t>分</w:t>
            </w:r>
            <w:r>
              <w:rPr>
                <w:rFonts w:hint="eastAsia" w:cs="宋体"/>
                <w:bCs/>
                <w:color w:val="auto"/>
                <w:sz w:val="21"/>
                <w:szCs w:val="21"/>
                <w:lang w:eastAsia="zh-CN"/>
              </w:rPr>
              <w:t>，</w:t>
            </w:r>
            <w:r>
              <w:rPr>
                <w:rFonts w:hint="eastAsia" w:cs="宋体"/>
                <w:bCs/>
                <w:color w:val="auto"/>
                <w:sz w:val="21"/>
                <w:szCs w:val="21"/>
                <w:lang w:val="en-US" w:eastAsia="zh-CN"/>
              </w:rPr>
              <w:t>最多得2.5分</w:t>
            </w:r>
            <w:r>
              <w:rPr>
                <w:rFonts w:hint="eastAsia" w:cs="宋体"/>
                <w:bCs/>
                <w:color w:val="auto"/>
                <w:sz w:val="21"/>
                <w:szCs w:val="21"/>
                <w:lang w:eastAsia="zh-CN"/>
              </w:rPr>
              <w:t>；</w:t>
            </w:r>
            <w:r>
              <w:rPr>
                <w:rFonts w:hint="eastAsia" w:cs="宋体"/>
                <w:bCs/>
                <w:color w:val="auto"/>
                <w:sz w:val="21"/>
                <w:szCs w:val="21"/>
                <w:lang w:val="en-US" w:eastAsia="zh-CN"/>
              </w:rPr>
              <w:t>每有1人</w:t>
            </w:r>
            <w:r>
              <w:rPr>
                <w:rFonts w:hint="eastAsia" w:cs="宋体"/>
                <w:bCs/>
                <w:color w:val="auto"/>
                <w:sz w:val="21"/>
                <w:szCs w:val="21"/>
              </w:rPr>
              <w:t>具有</w:t>
            </w:r>
            <w:r>
              <w:rPr>
                <w:rFonts w:hint="eastAsia" w:cs="宋体"/>
                <w:color w:val="auto"/>
                <w:sz w:val="21"/>
                <w:szCs w:val="21"/>
              </w:rPr>
              <w:t>食品安全</w:t>
            </w:r>
            <w:r>
              <w:rPr>
                <w:rFonts w:hint="eastAsia" w:cs="宋体"/>
                <w:color w:val="auto"/>
                <w:sz w:val="21"/>
                <w:szCs w:val="21"/>
                <w:lang w:val="en-US" w:eastAsia="zh-CN"/>
              </w:rPr>
              <w:t>或</w:t>
            </w:r>
            <w:r>
              <w:rPr>
                <w:rFonts w:hint="eastAsia" w:cs="宋体"/>
                <w:color w:val="auto"/>
                <w:sz w:val="21"/>
                <w:szCs w:val="21"/>
              </w:rPr>
              <w:t>相关专业</w:t>
            </w:r>
            <w:r>
              <w:rPr>
                <w:rFonts w:hint="eastAsia" w:cs="宋体"/>
                <w:bCs/>
                <w:color w:val="auto"/>
                <w:sz w:val="21"/>
                <w:szCs w:val="21"/>
              </w:rPr>
              <w:t>高级技术职称的得</w:t>
            </w:r>
            <w:r>
              <w:rPr>
                <w:rFonts w:hint="eastAsia" w:cs="宋体"/>
                <w:bCs/>
                <w:color w:val="auto"/>
                <w:sz w:val="21"/>
                <w:szCs w:val="21"/>
                <w:lang w:val="en-US" w:eastAsia="zh-CN"/>
              </w:rPr>
              <w:t>1</w:t>
            </w:r>
            <w:r>
              <w:rPr>
                <w:rFonts w:hint="eastAsia" w:cs="宋体"/>
                <w:bCs/>
                <w:color w:val="auto"/>
                <w:sz w:val="21"/>
                <w:szCs w:val="21"/>
              </w:rPr>
              <w:t>分，</w:t>
            </w:r>
            <w:r>
              <w:rPr>
                <w:rFonts w:hint="eastAsia" w:cs="宋体"/>
                <w:bCs/>
                <w:color w:val="auto"/>
                <w:sz w:val="21"/>
                <w:szCs w:val="21"/>
                <w:lang w:val="en-US" w:eastAsia="zh-CN"/>
              </w:rPr>
              <w:t>最多的5分；本项</w:t>
            </w:r>
            <w:r>
              <w:rPr>
                <w:rFonts w:hint="eastAsia" w:cs="宋体"/>
                <w:bCs/>
                <w:color w:val="auto"/>
                <w:sz w:val="21"/>
                <w:szCs w:val="21"/>
              </w:rPr>
              <w:t>最多得</w:t>
            </w:r>
            <w:r>
              <w:rPr>
                <w:rFonts w:hint="eastAsia" w:cs="宋体"/>
                <w:bCs/>
                <w:color w:val="auto"/>
                <w:sz w:val="21"/>
                <w:szCs w:val="21"/>
                <w:lang w:val="en-US" w:eastAsia="zh-CN"/>
              </w:rPr>
              <w:t>5分。</w:t>
            </w:r>
          </w:p>
          <w:p>
            <w:pPr>
              <w:wordWrap w:val="0"/>
              <w:topLinePunct/>
              <w:spacing w:line="360" w:lineRule="exact"/>
              <w:rPr>
                <w:rFonts w:cs="宋体"/>
                <w:b/>
                <w:bCs w:val="0"/>
                <w:color w:val="auto"/>
                <w:sz w:val="21"/>
                <w:szCs w:val="21"/>
              </w:rPr>
            </w:pPr>
            <w:r>
              <w:rPr>
                <w:rFonts w:hint="eastAsia" w:cs="宋体"/>
                <w:b/>
                <w:bCs w:val="0"/>
                <w:color w:val="auto"/>
                <w:sz w:val="21"/>
                <w:szCs w:val="21"/>
                <w:lang w:val="en-US" w:eastAsia="zh-CN"/>
              </w:rPr>
              <w:t>3</w:t>
            </w:r>
            <w:r>
              <w:rPr>
                <w:rFonts w:hint="eastAsia" w:cs="宋体"/>
                <w:b/>
                <w:bCs w:val="0"/>
                <w:color w:val="auto"/>
                <w:sz w:val="21"/>
                <w:szCs w:val="21"/>
              </w:rPr>
              <w:t>.团队</w:t>
            </w:r>
            <w:r>
              <w:rPr>
                <w:rFonts w:hint="eastAsia" w:cs="宋体"/>
                <w:b/>
                <w:bCs w:val="0"/>
                <w:color w:val="auto"/>
                <w:sz w:val="21"/>
                <w:szCs w:val="21"/>
                <w:lang w:val="en-US" w:eastAsia="zh-CN"/>
              </w:rPr>
              <w:t>技术人</w:t>
            </w:r>
            <w:r>
              <w:rPr>
                <w:rFonts w:hint="eastAsia" w:cs="宋体"/>
                <w:b/>
                <w:bCs w:val="0"/>
                <w:color w:val="auto"/>
                <w:sz w:val="21"/>
                <w:szCs w:val="21"/>
              </w:rPr>
              <w:t>员</w:t>
            </w:r>
            <w:r>
              <w:rPr>
                <w:rFonts w:hint="eastAsia" w:cs="宋体"/>
                <w:b/>
                <w:bCs w:val="0"/>
                <w:color w:val="auto"/>
                <w:sz w:val="21"/>
                <w:szCs w:val="21"/>
                <w:lang w:val="en-US" w:eastAsia="zh-CN"/>
              </w:rPr>
              <w:t>(10人)</w:t>
            </w:r>
            <w:r>
              <w:rPr>
                <w:rFonts w:hint="eastAsia" w:cs="宋体"/>
                <w:b/>
                <w:bCs w:val="0"/>
                <w:color w:val="auto"/>
                <w:sz w:val="21"/>
                <w:szCs w:val="21"/>
              </w:rPr>
              <w:t>：</w:t>
            </w:r>
          </w:p>
          <w:p>
            <w:pPr>
              <w:wordWrap w:val="0"/>
              <w:topLinePunct/>
              <w:spacing w:line="360" w:lineRule="exact"/>
              <w:rPr>
                <w:rFonts w:cs="宋体"/>
                <w:bCs/>
                <w:color w:val="auto"/>
                <w:sz w:val="21"/>
                <w:szCs w:val="21"/>
              </w:rPr>
            </w:pPr>
            <w:r>
              <w:rPr>
                <w:rFonts w:hint="eastAsia" w:cs="宋体"/>
                <w:bCs/>
                <w:color w:val="auto"/>
                <w:sz w:val="21"/>
                <w:szCs w:val="21"/>
                <w:lang w:val="en-US" w:eastAsia="zh-CN"/>
              </w:rPr>
              <w:t>每有1人</w:t>
            </w:r>
            <w:r>
              <w:rPr>
                <w:rFonts w:hint="eastAsia" w:cs="宋体"/>
                <w:bCs/>
                <w:color w:val="auto"/>
                <w:sz w:val="21"/>
                <w:szCs w:val="21"/>
              </w:rPr>
              <w:t>具有</w:t>
            </w:r>
            <w:r>
              <w:rPr>
                <w:rFonts w:hint="eastAsia" w:cs="宋体"/>
                <w:color w:val="auto"/>
                <w:sz w:val="21"/>
                <w:szCs w:val="21"/>
              </w:rPr>
              <w:t>食品安全相关</w:t>
            </w:r>
            <w:r>
              <w:rPr>
                <w:rFonts w:hint="eastAsia" w:cs="宋体"/>
                <w:bCs/>
                <w:color w:val="auto"/>
                <w:sz w:val="21"/>
                <w:szCs w:val="21"/>
              </w:rPr>
              <w:t>中级职称或得0.5分</w:t>
            </w:r>
            <w:r>
              <w:rPr>
                <w:rFonts w:hint="eastAsia" w:cs="宋体"/>
                <w:bCs/>
                <w:color w:val="auto"/>
                <w:sz w:val="21"/>
                <w:szCs w:val="21"/>
                <w:lang w:eastAsia="zh-CN"/>
              </w:rPr>
              <w:t>，</w:t>
            </w:r>
            <w:r>
              <w:rPr>
                <w:rFonts w:hint="eastAsia" w:cs="宋体"/>
                <w:bCs/>
                <w:color w:val="auto"/>
                <w:sz w:val="21"/>
                <w:szCs w:val="21"/>
                <w:lang w:val="en-US" w:eastAsia="zh-CN"/>
              </w:rPr>
              <w:t>最多得5分</w:t>
            </w:r>
            <w:r>
              <w:rPr>
                <w:rFonts w:hint="eastAsia" w:cs="宋体"/>
                <w:bCs/>
                <w:color w:val="auto"/>
                <w:sz w:val="21"/>
                <w:szCs w:val="21"/>
                <w:lang w:eastAsia="zh-CN"/>
              </w:rPr>
              <w:t>；</w:t>
            </w:r>
            <w:r>
              <w:rPr>
                <w:rFonts w:hint="eastAsia" w:cs="宋体"/>
                <w:bCs/>
                <w:color w:val="auto"/>
                <w:sz w:val="21"/>
                <w:szCs w:val="21"/>
                <w:lang w:val="en-US" w:eastAsia="zh-CN"/>
              </w:rPr>
              <w:t>每有1人</w:t>
            </w:r>
            <w:r>
              <w:rPr>
                <w:rFonts w:hint="eastAsia" w:cs="宋体"/>
                <w:bCs/>
                <w:color w:val="auto"/>
                <w:sz w:val="21"/>
                <w:szCs w:val="21"/>
              </w:rPr>
              <w:t>具有</w:t>
            </w:r>
            <w:r>
              <w:rPr>
                <w:rFonts w:hint="eastAsia" w:cs="宋体"/>
                <w:color w:val="auto"/>
                <w:sz w:val="21"/>
                <w:szCs w:val="21"/>
              </w:rPr>
              <w:t>食品安全</w:t>
            </w:r>
            <w:r>
              <w:rPr>
                <w:rFonts w:hint="eastAsia" w:cs="宋体"/>
                <w:color w:val="auto"/>
                <w:sz w:val="21"/>
                <w:szCs w:val="21"/>
                <w:lang w:val="en-US" w:eastAsia="zh-CN"/>
              </w:rPr>
              <w:t>或</w:t>
            </w:r>
            <w:r>
              <w:rPr>
                <w:rFonts w:hint="eastAsia" w:cs="宋体"/>
                <w:color w:val="auto"/>
                <w:sz w:val="21"/>
                <w:szCs w:val="21"/>
              </w:rPr>
              <w:t>相关专业</w:t>
            </w:r>
            <w:r>
              <w:rPr>
                <w:rFonts w:hint="eastAsia" w:cs="宋体"/>
                <w:bCs/>
                <w:color w:val="auto"/>
                <w:sz w:val="21"/>
                <w:szCs w:val="21"/>
              </w:rPr>
              <w:t>高级技术职称的得</w:t>
            </w:r>
            <w:r>
              <w:rPr>
                <w:rFonts w:hint="eastAsia" w:cs="宋体"/>
                <w:bCs/>
                <w:color w:val="auto"/>
                <w:sz w:val="21"/>
                <w:szCs w:val="21"/>
                <w:lang w:val="en-US" w:eastAsia="zh-CN"/>
              </w:rPr>
              <w:t>1</w:t>
            </w:r>
            <w:r>
              <w:rPr>
                <w:rFonts w:hint="eastAsia" w:cs="宋体"/>
                <w:bCs/>
                <w:color w:val="auto"/>
                <w:sz w:val="21"/>
                <w:szCs w:val="21"/>
              </w:rPr>
              <w:t>分，</w:t>
            </w:r>
            <w:r>
              <w:rPr>
                <w:rFonts w:hint="eastAsia" w:cs="宋体"/>
                <w:bCs/>
                <w:color w:val="auto"/>
                <w:sz w:val="21"/>
                <w:szCs w:val="21"/>
                <w:lang w:val="en-US" w:eastAsia="zh-CN"/>
              </w:rPr>
              <w:t>最多的10分；本项</w:t>
            </w:r>
            <w:r>
              <w:rPr>
                <w:rFonts w:hint="eastAsia" w:cs="宋体"/>
                <w:bCs/>
                <w:color w:val="auto"/>
                <w:sz w:val="21"/>
                <w:szCs w:val="21"/>
              </w:rPr>
              <w:t>最多得</w:t>
            </w:r>
            <w:r>
              <w:rPr>
                <w:rFonts w:hint="eastAsia" w:cs="宋体"/>
                <w:bCs/>
                <w:color w:val="auto"/>
                <w:sz w:val="21"/>
                <w:szCs w:val="21"/>
                <w:lang w:val="en-US" w:eastAsia="zh-CN"/>
              </w:rPr>
              <w:t>10分</w:t>
            </w:r>
            <w:r>
              <w:rPr>
                <w:rFonts w:hint="eastAsia" w:cs="宋体"/>
                <w:bCs/>
                <w:color w:val="auto"/>
                <w:sz w:val="21"/>
                <w:szCs w:val="21"/>
              </w:rPr>
              <w:t>。</w:t>
            </w:r>
          </w:p>
          <w:p>
            <w:pPr>
              <w:wordWrap w:val="0"/>
              <w:topLinePunct/>
              <w:spacing w:line="360" w:lineRule="exact"/>
              <w:rPr>
                <w:rFonts w:cs="宋体"/>
                <w:color w:val="auto"/>
                <w:sz w:val="21"/>
                <w:szCs w:val="21"/>
              </w:rPr>
            </w:pPr>
            <w:r>
              <w:rPr>
                <w:rFonts w:hint="eastAsia" w:cs="宋体"/>
                <w:b/>
                <w:color w:val="auto"/>
                <w:sz w:val="21"/>
                <w:szCs w:val="21"/>
              </w:rPr>
              <w:t>注：①提供上述人员的证书复印件和有效的在职证明，未提供不得分；②</w:t>
            </w:r>
            <w:r>
              <w:rPr>
                <w:rFonts w:hint="eastAsia" w:cs="宋体"/>
                <w:b/>
                <w:color w:val="auto"/>
                <w:sz w:val="21"/>
                <w:szCs w:val="21"/>
                <w:lang w:val="en-US" w:eastAsia="zh-CN"/>
              </w:rPr>
              <w:t>以上人员</w:t>
            </w:r>
            <w:r>
              <w:rPr>
                <w:rFonts w:hint="eastAsia" w:cs="宋体"/>
                <w:b/>
                <w:color w:val="auto"/>
                <w:sz w:val="21"/>
                <w:szCs w:val="21"/>
              </w:rPr>
              <w:t>不重复计分，同一人员证书以得分最高的为准；③项目负责人的业绩以提供的合同载明的负责人为准，如合同无法体现相关信息，以</w:t>
            </w:r>
            <w:r>
              <w:rPr>
                <w:rFonts w:hint="eastAsia" w:cs="宋体"/>
                <w:b/>
                <w:color w:val="auto"/>
                <w:sz w:val="21"/>
                <w:szCs w:val="21"/>
                <w:lang w:val="en-US" w:eastAsia="zh-CN"/>
              </w:rPr>
              <w:t>加盖</w:t>
            </w:r>
            <w:r>
              <w:rPr>
                <w:rFonts w:hint="eastAsia" w:cs="宋体"/>
                <w:b/>
                <w:color w:val="auto"/>
                <w:sz w:val="21"/>
                <w:szCs w:val="21"/>
              </w:rPr>
              <w:t>该合同的</w:t>
            </w:r>
            <w:r>
              <w:rPr>
                <w:rFonts w:hint="eastAsia" w:cs="宋体"/>
                <w:b/>
                <w:color w:val="auto"/>
                <w:sz w:val="21"/>
                <w:szCs w:val="21"/>
                <w:lang w:val="en-US" w:eastAsia="zh-CN"/>
              </w:rPr>
              <w:t>委托</w:t>
            </w:r>
            <w:r>
              <w:rPr>
                <w:rFonts w:hint="eastAsia" w:cs="宋体"/>
                <w:b/>
                <w:color w:val="auto"/>
                <w:sz w:val="21"/>
                <w:szCs w:val="21"/>
              </w:rPr>
              <w:t>方</w:t>
            </w:r>
            <w:r>
              <w:rPr>
                <w:rFonts w:hint="eastAsia" w:cs="宋体"/>
                <w:b/>
                <w:color w:val="auto"/>
                <w:sz w:val="21"/>
                <w:szCs w:val="21"/>
                <w:lang w:val="en-US" w:eastAsia="zh-CN"/>
              </w:rPr>
              <w:t>单位公章</w:t>
            </w:r>
            <w:r>
              <w:rPr>
                <w:rFonts w:hint="eastAsia" w:cs="宋体"/>
                <w:b/>
                <w:color w:val="auto"/>
                <w:sz w:val="21"/>
                <w:szCs w:val="21"/>
              </w:rPr>
              <w:t>的证明材料为准。</w:t>
            </w:r>
          </w:p>
        </w:tc>
        <w:tc>
          <w:tcPr>
            <w:tcW w:w="1056" w:type="dxa"/>
            <w:vAlign w:val="center"/>
          </w:tcPr>
          <w:p>
            <w:pPr>
              <w:pStyle w:val="45"/>
              <w:rPr>
                <w:rFonts w:cs="宋体"/>
                <w:color w:val="auto"/>
                <w:szCs w:val="21"/>
              </w:rPr>
            </w:pPr>
            <w:r>
              <w:rPr>
                <w:rFonts w:hint="eastAsia" w:cs="宋体"/>
                <w:color w:val="auto"/>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710" w:type="dxa"/>
            <w:vAlign w:val="center"/>
          </w:tcPr>
          <w:p>
            <w:pPr>
              <w:pStyle w:val="45"/>
              <w:rPr>
                <w:rFonts w:cs="宋体"/>
                <w:color w:val="auto"/>
                <w:szCs w:val="21"/>
              </w:rPr>
            </w:pPr>
            <w:r>
              <w:rPr>
                <w:rFonts w:hint="eastAsia" w:cs="宋体"/>
                <w:color w:val="auto"/>
                <w:szCs w:val="21"/>
              </w:rPr>
              <w:t>四</w:t>
            </w:r>
          </w:p>
        </w:tc>
        <w:tc>
          <w:tcPr>
            <w:tcW w:w="1117" w:type="dxa"/>
            <w:vAlign w:val="center"/>
          </w:tcPr>
          <w:p>
            <w:pPr>
              <w:pStyle w:val="45"/>
              <w:rPr>
                <w:rFonts w:cs="宋体"/>
                <w:color w:val="auto"/>
                <w:szCs w:val="21"/>
              </w:rPr>
            </w:pPr>
            <w:r>
              <w:rPr>
                <w:rFonts w:hint="eastAsia" w:cs="宋体"/>
                <w:color w:val="auto"/>
                <w:kern w:val="0"/>
                <w:szCs w:val="21"/>
              </w:rPr>
              <w:t>供应商实力</w:t>
            </w:r>
            <w:r>
              <w:rPr>
                <w:rFonts w:hint="eastAsia" w:cs="宋体"/>
                <w:color w:val="auto"/>
                <w:szCs w:val="21"/>
              </w:rPr>
              <w:t>11%</w:t>
            </w:r>
          </w:p>
        </w:tc>
        <w:tc>
          <w:tcPr>
            <w:tcW w:w="1283" w:type="dxa"/>
            <w:vAlign w:val="center"/>
          </w:tcPr>
          <w:p>
            <w:pPr>
              <w:wordWrap w:val="0"/>
              <w:topLinePunct/>
              <w:spacing w:line="360" w:lineRule="exact"/>
              <w:jc w:val="center"/>
              <w:rPr>
                <w:rFonts w:cs="宋体"/>
                <w:color w:val="auto"/>
                <w:kern w:val="0"/>
                <w:sz w:val="21"/>
                <w:szCs w:val="21"/>
              </w:rPr>
            </w:pPr>
            <w:r>
              <w:rPr>
                <w:rFonts w:hint="eastAsia" w:cs="宋体"/>
                <w:color w:val="auto"/>
                <w:sz w:val="21"/>
                <w:szCs w:val="21"/>
              </w:rPr>
              <w:t>11分</w:t>
            </w:r>
          </w:p>
        </w:tc>
        <w:tc>
          <w:tcPr>
            <w:tcW w:w="5732" w:type="dxa"/>
            <w:vAlign w:val="center"/>
          </w:tcPr>
          <w:p>
            <w:pPr>
              <w:wordWrap w:val="0"/>
              <w:topLinePunct/>
              <w:spacing w:line="360" w:lineRule="exact"/>
              <w:rPr>
                <w:rFonts w:cs="宋体"/>
                <w:color w:val="auto"/>
                <w:sz w:val="21"/>
                <w:szCs w:val="21"/>
              </w:rPr>
            </w:pPr>
            <w:r>
              <w:rPr>
                <w:rFonts w:hint="eastAsia" w:cs="宋体"/>
                <w:color w:val="auto"/>
                <w:sz w:val="21"/>
                <w:szCs w:val="21"/>
              </w:rPr>
              <w:t>1.具有有效的</w:t>
            </w:r>
            <w:r>
              <w:rPr>
                <w:rFonts w:hint="eastAsia" w:cs="宋体"/>
                <w:color w:val="auto"/>
                <w:sz w:val="21"/>
                <w:szCs w:val="21"/>
                <w:lang w:val="en-US" w:eastAsia="zh-CN"/>
              </w:rPr>
              <w:t>质量管理体系认证证书、食品安全管理体系认证证书、职业健康安全管理认证证书、环境管理体系认证证书</w:t>
            </w:r>
            <w:r>
              <w:rPr>
                <w:rFonts w:hint="eastAsia" w:cs="宋体"/>
                <w:color w:val="auto"/>
                <w:sz w:val="21"/>
                <w:szCs w:val="21"/>
              </w:rPr>
              <w:t>，</w:t>
            </w:r>
            <w:r>
              <w:rPr>
                <w:rFonts w:hint="eastAsia" w:cs="宋体"/>
                <w:color w:val="auto"/>
                <w:sz w:val="21"/>
                <w:szCs w:val="21"/>
                <w:lang w:val="en-US" w:eastAsia="zh-CN"/>
              </w:rPr>
              <w:t>每有一类得1.5分</w:t>
            </w:r>
            <w:r>
              <w:rPr>
                <w:rFonts w:hint="eastAsia" w:cs="宋体"/>
                <w:color w:val="auto"/>
                <w:sz w:val="21"/>
                <w:szCs w:val="21"/>
                <w:lang w:eastAsia="zh-CN"/>
              </w:rPr>
              <w:t>，</w:t>
            </w:r>
            <w:r>
              <w:rPr>
                <w:rFonts w:hint="eastAsia" w:cs="宋体"/>
                <w:color w:val="auto"/>
                <w:sz w:val="21"/>
                <w:szCs w:val="21"/>
                <w:lang w:val="en-US" w:eastAsia="zh-CN"/>
              </w:rPr>
              <w:t>满分6</w:t>
            </w:r>
            <w:r>
              <w:rPr>
                <w:rFonts w:hint="eastAsia" w:cs="宋体"/>
                <w:color w:val="auto"/>
                <w:sz w:val="21"/>
                <w:szCs w:val="21"/>
              </w:rPr>
              <w:t>分；未提供不得分；</w:t>
            </w:r>
          </w:p>
          <w:p>
            <w:pPr>
              <w:wordWrap w:val="0"/>
              <w:topLinePunct/>
              <w:spacing w:line="360" w:lineRule="exact"/>
              <w:rPr>
                <w:rFonts w:cs="宋体"/>
                <w:b/>
                <w:color w:val="auto"/>
                <w:sz w:val="21"/>
                <w:szCs w:val="21"/>
              </w:rPr>
            </w:pPr>
            <w:r>
              <w:rPr>
                <w:rFonts w:hint="eastAsia" w:cs="宋体"/>
                <w:b/>
                <w:color w:val="auto"/>
                <w:sz w:val="21"/>
                <w:szCs w:val="21"/>
              </w:rPr>
              <w:t>注：提供有效的</w:t>
            </w:r>
            <w:r>
              <w:rPr>
                <w:rFonts w:hint="eastAsia" w:cs="宋体"/>
                <w:b/>
                <w:color w:val="auto"/>
                <w:sz w:val="21"/>
                <w:szCs w:val="21"/>
                <w:lang w:val="en-US" w:eastAsia="zh-CN"/>
              </w:rPr>
              <w:t>认证证书复印件</w:t>
            </w:r>
            <w:r>
              <w:rPr>
                <w:rFonts w:hint="eastAsia" w:cs="宋体"/>
                <w:b/>
                <w:color w:val="auto"/>
                <w:sz w:val="21"/>
                <w:szCs w:val="21"/>
              </w:rPr>
              <w:t>，不提供不得分。</w:t>
            </w:r>
          </w:p>
          <w:p>
            <w:pPr>
              <w:wordWrap w:val="0"/>
              <w:topLinePunct/>
              <w:spacing w:line="360" w:lineRule="exact"/>
              <w:rPr>
                <w:rFonts w:cs="宋体"/>
                <w:color w:val="auto"/>
                <w:sz w:val="21"/>
                <w:szCs w:val="21"/>
              </w:rPr>
            </w:pPr>
            <w:r>
              <w:rPr>
                <w:rFonts w:hint="eastAsia" w:cs="宋体"/>
                <w:color w:val="auto"/>
                <w:sz w:val="21"/>
                <w:szCs w:val="21"/>
                <w:lang w:val="en-US" w:eastAsia="zh-CN"/>
              </w:rPr>
              <w:t>2</w:t>
            </w:r>
            <w:r>
              <w:rPr>
                <w:rFonts w:hint="eastAsia" w:cs="宋体"/>
                <w:color w:val="auto"/>
                <w:sz w:val="21"/>
                <w:szCs w:val="21"/>
              </w:rPr>
              <w:t>.拥有实时上</w:t>
            </w:r>
            <w:r>
              <w:rPr>
                <w:rFonts w:hint="eastAsia" w:cs="宋体"/>
                <w:color w:val="auto"/>
                <w:sz w:val="21"/>
                <w:szCs w:val="21"/>
                <w:highlight w:val="none"/>
              </w:rPr>
              <w:t>传数据检</w:t>
            </w:r>
            <w:r>
              <w:rPr>
                <w:rFonts w:hint="eastAsia" w:cs="宋体"/>
                <w:color w:val="auto"/>
                <w:sz w:val="21"/>
                <w:szCs w:val="21"/>
                <w:highlight w:val="none"/>
                <w:lang w:val="en-US" w:eastAsia="zh-CN"/>
              </w:rPr>
              <w:t>查</w:t>
            </w:r>
            <w:r>
              <w:rPr>
                <w:rFonts w:hint="eastAsia" w:cs="宋体"/>
                <w:color w:val="auto"/>
                <w:sz w:val="21"/>
                <w:szCs w:val="21"/>
                <w:highlight w:val="none"/>
              </w:rPr>
              <w:t>系统，</w:t>
            </w:r>
            <w:r>
              <w:rPr>
                <w:rFonts w:hint="eastAsia" w:cs="宋体"/>
                <w:color w:val="auto"/>
                <w:sz w:val="21"/>
                <w:szCs w:val="21"/>
              </w:rPr>
              <w:t>并且能及时提供数据汇总结果的得5分；其余不得分。</w:t>
            </w:r>
          </w:p>
          <w:p>
            <w:pPr>
              <w:wordWrap w:val="0"/>
              <w:topLinePunct/>
              <w:spacing w:line="360" w:lineRule="exact"/>
              <w:rPr>
                <w:rFonts w:cs="宋体"/>
                <w:color w:val="auto"/>
                <w:sz w:val="21"/>
                <w:szCs w:val="21"/>
              </w:rPr>
            </w:pPr>
            <w:r>
              <w:rPr>
                <w:rFonts w:hint="eastAsia" w:cs="宋体"/>
                <w:b/>
                <w:bCs/>
                <w:color w:val="auto"/>
                <w:sz w:val="21"/>
                <w:szCs w:val="21"/>
              </w:rPr>
              <w:t>注：提供系统截图等其他有关证明材料，不提供不得分。</w:t>
            </w:r>
          </w:p>
        </w:tc>
        <w:tc>
          <w:tcPr>
            <w:tcW w:w="1056" w:type="dxa"/>
            <w:vAlign w:val="center"/>
          </w:tcPr>
          <w:p>
            <w:pPr>
              <w:pStyle w:val="45"/>
              <w:rPr>
                <w:rFonts w:cs="宋体"/>
                <w:color w:val="auto"/>
                <w:szCs w:val="21"/>
              </w:rPr>
            </w:pPr>
            <w:r>
              <w:rPr>
                <w:rFonts w:hint="eastAsia" w:cs="宋体"/>
                <w:color w:val="auto"/>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710" w:type="dxa"/>
            <w:vAlign w:val="center"/>
          </w:tcPr>
          <w:p>
            <w:pPr>
              <w:pStyle w:val="45"/>
              <w:rPr>
                <w:rFonts w:cs="宋体"/>
                <w:color w:val="auto"/>
                <w:szCs w:val="21"/>
              </w:rPr>
            </w:pPr>
            <w:r>
              <w:rPr>
                <w:rFonts w:hint="eastAsia" w:cs="宋体"/>
                <w:color w:val="auto"/>
                <w:szCs w:val="21"/>
              </w:rPr>
              <w:t>五</w:t>
            </w:r>
          </w:p>
        </w:tc>
        <w:tc>
          <w:tcPr>
            <w:tcW w:w="1117" w:type="dxa"/>
            <w:vAlign w:val="center"/>
          </w:tcPr>
          <w:p>
            <w:pPr>
              <w:pStyle w:val="45"/>
              <w:rPr>
                <w:rFonts w:cs="宋体"/>
                <w:color w:val="auto"/>
                <w:kern w:val="0"/>
                <w:szCs w:val="21"/>
              </w:rPr>
            </w:pPr>
            <w:r>
              <w:rPr>
                <w:rFonts w:hint="eastAsia" w:cs="宋体"/>
                <w:color w:val="auto"/>
                <w:kern w:val="0"/>
                <w:szCs w:val="21"/>
              </w:rPr>
              <w:t>履约经验</w:t>
            </w:r>
          </w:p>
          <w:p>
            <w:pPr>
              <w:pStyle w:val="45"/>
              <w:rPr>
                <w:rFonts w:cs="宋体"/>
                <w:color w:val="auto"/>
                <w:kern w:val="0"/>
                <w:szCs w:val="21"/>
              </w:rPr>
            </w:pPr>
            <w:r>
              <w:rPr>
                <w:rFonts w:hint="eastAsia" w:cs="宋体"/>
                <w:color w:val="auto"/>
                <w:kern w:val="0"/>
                <w:szCs w:val="21"/>
              </w:rPr>
              <w:t>12</w:t>
            </w:r>
            <w:r>
              <w:rPr>
                <w:rFonts w:hint="eastAsia" w:cs="宋体"/>
                <w:color w:val="auto"/>
                <w:szCs w:val="21"/>
              </w:rPr>
              <w:t>%</w:t>
            </w:r>
          </w:p>
        </w:tc>
        <w:tc>
          <w:tcPr>
            <w:tcW w:w="1283" w:type="dxa"/>
            <w:vAlign w:val="center"/>
          </w:tcPr>
          <w:p>
            <w:pPr>
              <w:wordWrap w:val="0"/>
              <w:topLinePunct/>
              <w:spacing w:line="360" w:lineRule="exact"/>
              <w:jc w:val="center"/>
              <w:rPr>
                <w:rFonts w:cs="宋体"/>
                <w:color w:val="auto"/>
                <w:sz w:val="21"/>
                <w:szCs w:val="21"/>
              </w:rPr>
            </w:pPr>
            <w:r>
              <w:rPr>
                <w:rFonts w:hint="eastAsia" w:cs="宋体"/>
                <w:color w:val="auto"/>
                <w:sz w:val="21"/>
                <w:szCs w:val="21"/>
              </w:rPr>
              <w:t>12分</w:t>
            </w:r>
          </w:p>
        </w:tc>
        <w:tc>
          <w:tcPr>
            <w:tcW w:w="5732" w:type="dxa"/>
            <w:vAlign w:val="center"/>
          </w:tcPr>
          <w:p>
            <w:pPr>
              <w:wordWrap w:val="0"/>
              <w:topLinePunct/>
              <w:spacing w:line="360" w:lineRule="exact"/>
              <w:rPr>
                <w:rFonts w:cs="宋体"/>
                <w:color w:val="auto"/>
                <w:sz w:val="21"/>
                <w:szCs w:val="21"/>
              </w:rPr>
            </w:pPr>
            <w:r>
              <w:rPr>
                <w:rFonts w:hint="eastAsia" w:cs="宋体"/>
                <w:color w:val="auto"/>
                <w:sz w:val="21"/>
                <w:szCs w:val="21"/>
              </w:rPr>
              <w:t>投标人提供2018年1月1日(含)至今类似项目履约经验，每提供一个履约经验得4分，此项最多得12分。</w:t>
            </w:r>
          </w:p>
          <w:p>
            <w:pPr>
              <w:wordWrap w:val="0"/>
              <w:topLinePunct/>
              <w:spacing w:line="360" w:lineRule="exact"/>
              <w:rPr>
                <w:rFonts w:cs="宋体"/>
                <w:color w:val="auto"/>
                <w:sz w:val="21"/>
                <w:szCs w:val="21"/>
              </w:rPr>
            </w:pPr>
            <w:r>
              <w:rPr>
                <w:rFonts w:hint="eastAsia" w:cs="宋体"/>
                <w:b/>
                <w:bCs/>
                <w:color w:val="auto"/>
                <w:sz w:val="21"/>
                <w:szCs w:val="21"/>
              </w:rPr>
              <w:t>注：</w:t>
            </w:r>
            <w:r>
              <w:rPr>
                <w:rFonts w:hint="eastAsia" w:cs="宋体"/>
                <w:b/>
                <w:bCs/>
                <w:color w:val="auto"/>
                <w:sz w:val="21"/>
                <w:szCs w:val="21"/>
                <w:lang w:val="zh-CN"/>
              </w:rPr>
              <w:t>提供合同(或协议书)或中标(成交)通知书复印加盖公章，</w:t>
            </w:r>
            <w:r>
              <w:rPr>
                <w:rFonts w:hint="eastAsia" w:cs="宋体"/>
                <w:b/>
                <w:bCs/>
                <w:color w:val="auto"/>
                <w:sz w:val="21"/>
                <w:szCs w:val="21"/>
              </w:rPr>
              <w:t>以合同签订日期为准</w:t>
            </w:r>
            <w:r>
              <w:rPr>
                <w:rFonts w:hint="eastAsia" w:cs="宋体"/>
                <w:color w:val="auto"/>
                <w:sz w:val="21"/>
                <w:szCs w:val="21"/>
              </w:rPr>
              <w:t>。</w:t>
            </w:r>
          </w:p>
        </w:tc>
        <w:tc>
          <w:tcPr>
            <w:tcW w:w="1056" w:type="dxa"/>
            <w:vAlign w:val="center"/>
          </w:tcPr>
          <w:p>
            <w:pPr>
              <w:pStyle w:val="45"/>
              <w:rPr>
                <w:rFonts w:cs="宋体"/>
                <w:color w:val="auto"/>
                <w:szCs w:val="21"/>
              </w:rPr>
            </w:pPr>
            <w:r>
              <w:rPr>
                <w:rFonts w:hint="eastAsia" w:cs="宋体"/>
                <w:color w:val="auto"/>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9898" w:type="dxa"/>
            <w:gridSpan w:val="5"/>
            <w:tcBorders>
              <w:top w:val="single" w:color="auto" w:sz="4" w:space="0"/>
              <w:left w:val="single" w:color="auto" w:sz="4" w:space="0"/>
              <w:bottom w:val="single" w:color="auto" w:sz="4" w:space="0"/>
              <w:right w:val="single" w:color="auto" w:sz="4" w:space="0"/>
            </w:tcBorders>
            <w:vAlign w:val="center"/>
          </w:tcPr>
          <w:p>
            <w:pPr>
              <w:pStyle w:val="45"/>
              <w:jc w:val="both"/>
              <w:rPr>
                <w:rFonts w:cs="宋体"/>
                <w:color w:val="auto"/>
                <w:szCs w:val="21"/>
              </w:rPr>
            </w:pPr>
            <w:r>
              <w:rPr>
                <w:rFonts w:hint="eastAsia" w:cs="宋体"/>
                <w:color w:val="auto"/>
                <w:szCs w:val="21"/>
              </w:rPr>
              <w:t>注：</w:t>
            </w:r>
            <w:r>
              <w:rPr>
                <w:rFonts w:hint="eastAsia" w:cs="宋体"/>
                <w:color w:val="auto"/>
                <w:szCs w:val="21"/>
              </w:rPr>
              <w:fldChar w:fldCharType="begin"/>
            </w:r>
            <w:r>
              <w:rPr>
                <w:rFonts w:hint="eastAsia" w:cs="宋体"/>
                <w:color w:val="auto"/>
                <w:szCs w:val="21"/>
              </w:rPr>
              <w:instrText xml:space="preserve"> = 1 \* GB3 \* MERGEFORMAT </w:instrText>
            </w:r>
            <w:r>
              <w:rPr>
                <w:rFonts w:hint="eastAsia" w:cs="宋体"/>
                <w:color w:val="auto"/>
                <w:szCs w:val="21"/>
              </w:rPr>
              <w:fldChar w:fldCharType="separate"/>
            </w:r>
            <w:r>
              <w:rPr>
                <w:rFonts w:hint="eastAsia" w:cs="宋体"/>
                <w:color w:val="auto"/>
                <w:szCs w:val="21"/>
              </w:rPr>
              <w:t>①</w:t>
            </w:r>
            <w:r>
              <w:rPr>
                <w:rFonts w:hint="eastAsia" w:cs="宋体"/>
                <w:color w:val="auto"/>
                <w:szCs w:val="21"/>
              </w:rPr>
              <w:fldChar w:fldCharType="end"/>
            </w:r>
            <w:r>
              <w:rPr>
                <w:rFonts w:hint="eastAsia" w:cs="宋体"/>
                <w:color w:val="auto"/>
                <w:szCs w:val="21"/>
              </w:rPr>
              <w:t>评分的取值按四舍五入法，小数点后保留两位。</w:t>
            </w:r>
            <w:r>
              <w:rPr>
                <w:rFonts w:hint="eastAsia" w:cs="宋体"/>
                <w:color w:val="auto"/>
                <w:szCs w:val="21"/>
              </w:rPr>
              <w:fldChar w:fldCharType="begin"/>
            </w:r>
            <w:r>
              <w:rPr>
                <w:rFonts w:hint="eastAsia" w:cs="宋体"/>
                <w:color w:val="auto"/>
                <w:szCs w:val="21"/>
              </w:rPr>
              <w:instrText xml:space="preserve"> = 2 \* GB3 \* MERGEFORMAT </w:instrText>
            </w:r>
            <w:r>
              <w:rPr>
                <w:rFonts w:hint="eastAsia" w:cs="宋体"/>
                <w:color w:val="auto"/>
                <w:szCs w:val="21"/>
              </w:rPr>
              <w:fldChar w:fldCharType="separate"/>
            </w:r>
            <w:r>
              <w:rPr>
                <w:rFonts w:hint="eastAsia" w:cs="宋体"/>
                <w:color w:val="auto"/>
                <w:szCs w:val="21"/>
              </w:rPr>
              <w:t>②</w:t>
            </w:r>
            <w:r>
              <w:rPr>
                <w:rFonts w:hint="eastAsia" w:cs="宋体"/>
                <w:color w:val="auto"/>
                <w:szCs w:val="21"/>
              </w:rPr>
              <w:fldChar w:fldCharType="end"/>
            </w:r>
            <w:r>
              <w:rPr>
                <w:rFonts w:hint="eastAsia" w:cs="宋体"/>
                <w:color w:val="auto"/>
                <w:szCs w:val="21"/>
              </w:rPr>
              <w:t>本表中要求提供各类证明材料须清晰可辨，且须加盖投标人单位电子公章，否则将不认可该项材料的有效性。③本项目不涉及节能产品、环境标志产品、无线局域网产品等，故不在评分表里体现。</w:t>
            </w:r>
          </w:p>
        </w:tc>
      </w:tr>
    </w:tbl>
    <w:p>
      <w:pPr>
        <w:pStyle w:val="34"/>
        <w:numPr>
          <w:ilvl w:val="1"/>
          <w:numId w:val="13"/>
        </w:numPr>
        <w:bidi w:val="0"/>
        <w:rPr>
          <w:rFonts w:hint="eastAsia"/>
          <w:lang w:val="en-US" w:eastAsia="zh-CN"/>
        </w:rPr>
      </w:pPr>
      <w:r>
        <w:rPr>
          <w:rFonts w:hint="eastAsia"/>
          <w:lang w:val="en-US" w:eastAsia="zh-CN"/>
        </w:rPr>
        <w:t>复核</w:t>
      </w:r>
      <w:bookmarkEnd w:id="1065"/>
      <w:bookmarkEnd w:id="1066"/>
    </w:p>
    <w:p>
      <w:pPr>
        <w:pStyle w:val="32"/>
        <w:numPr>
          <w:ilvl w:val="1"/>
          <w:numId w:val="32"/>
        </w:numPr>
        <w:bidi w:val="0"/>
        <w:rPr>
          <w:rFonts w:hint="eastAsia"/>
          <w:lang w:eastAsia="zh-CN"/>
        </w:rPr>
      </w:pPr>
      <w:r>
        <w:rPr>
          <w:rFonts w:hint="eastAsia"/>
        </w:rPr>
        <w:t>评标委员会复核</w:t>
      </w:r>
    </w:p>
    <w:p>
      <w:pPr>
        <w:pStyle w:val="42"/>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rPr>
      </w:pPr>
      <w:r>
        <w:rPr>
          <w:rFonts w:hint="eastAsia"/>
        </w:rPr>
        <w:t>评分汇总结束后，评标委员会应当进行复核，特别要对拟推荐为中标候选供应商的、报价最低的、投标文件被认定为无效的进行重点复核。</w:t>
      </w:r>
    </w:p>
    <w:p>
      <w:pPr>
        <w:pStyle w:val="32"/>
        <w:bidi w:val="0"/>
        <w:rPr>
          <w:rFonts w:hint="eastAsia"/>
        </w:rPr>
      </w:pPr>
      <w:r>
        <w:rPr>
          <w:rFonts w:hint="eastAsia"/>
        </w:rPr>
        <w:t>采购代理机构现场复核评审结果</w:t>
      </w:r>
    </w:p>
    <w:p>
      <w:pPr>
        <w:pStyle w:val="35"/>
        <w:bidi w:val="0"/>
        <w:rPr>
          <w:rFonts w:hint="eastAsia"/>
        </w:rPr>
      </w:pPr>
      <w:r>
        <w:rPr>
          <w:rFonts w:hint="eastAsia"/>
        </w:rPr>
        <w:t>评审结果汇总完成后，评</w:t>
      </w:r>
      <w:r>
        <w:rPr>
          <w:rFonts w:hint="eastAsia"/>
          <w:lang w:val="en-US" w:eastAsia="zh-CN"/>
        </w:rPr>
        <w:t>标</w:t>
      </w:r>
      <w:r>
        <w:rPr>
          <w:rFonts w:hint="eastAsia"/>
        </w:rPr>
        <w:t>委员会拟出具</w:t>
      </w:r>
      <w:r>
        <w:rPr>
          <w:rFonts w:hint="eastAsia"/>
          <w:lang w:eastAsia="zh-CN"/>
        </w:rPr>
        <w:t>评标报告</w:t>
      </w:r>
      <w:r>
        <w:rPr>
          <w:rFonts w:hint="eastAsia"/>
        </w:rPr>
        <w:t>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pStyle w:val="36"/>
        <w:bidi w:val="0"/>
        <w:rPr>
          <w:rFonts w:hint="eastAsia"/>
        </w:rPr>
      </w:pPr>
      <w:r>
        <w:rPr>
          <w:rFonts w:hint="eastAsia"/>
        </w:rPr>
        <w:t>分值汇总计算错误的；</w:t>
      </w:r>
    </w:p>
    <w:p>
      <w:pPr>
        <w:pStyle w:val="36"/>
        <w:bidi w:val="0"/>
        <w:rPr>
          <w:rFonts w:hint="eastAsia"/>
        </w:rPr>
      </w:pPr>
      <w:r>
        <w:rPr>
          <w:rFonts w:hint="eastAsia"/>
        </w:rPr>
        <w:t>分项评分超出评分标准范围的；</w:t>
      </w:r>
    </w:p>
    <w:p>
      <w:pPr>
        <w:pStyle w:val="36"/>
        <w:bidi w:val="0"/>
        <w:rPr>
          <w:rFonts w:hint="eastAsia"/>
        </w:rPr>
      </w:pPr>
      <w:r>
        <w:rPr>
          <w:rFonts w:hint="eastAsia"/>
        </w:rPr>
        <w:t>评标委员会成员对客观评审因素评分不一致的；</w:t>
      </w:r>
    </w:p>
    <w:p>
      <w:pPr>
        <w:pStyle w:val="36"/>
        <w:bidi w:val="0"/>
        <w:rPr>
          <w:rFonts w:hint="eastAsia"/>
        </w:rPr>
      </w:pPr>
      <w:r>
        <w:rPr>
          <w:rFonts w:hint="eastAsia"/>
        </w:rPr>
        <w:t>经评标委员会认定评分畸高、畸低的。</w:t>
      </w:r>
    </w:p>
    <w:p>
      <w:pPr>
        <w:pStyle w:val="46"/>
        <w:bidi w:val="0"/>
        <w:rPr>
          <w:rFonts w:hint="eastAsia"/>
        </w:rPr>
      </w:pPr>
      <w:r>
        <w:rPr>
          <w:rFonts w:hint="eastAsia"/>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采购代理机构认为评标委员会评标结果不合法的，应当书面报告采购项目同级财政部门依法处理。</w:t>
      </w:r>
    </w:p>
    <w:p>
      <w:pPr>
        <w:pStyle w:val="46"/>
        <w:bidi w:val="0"/>
        <w:rPr>
          <w:rFonts w:hint="eastAsia"/>
        </w:rPr>
      </w:pPr>
      <w:r>
        <w:rPr>
          <w:rFonts w:hint="eastAsi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35"/>
        <w:bidi w:val="0"/>
        <w:rPr>
          <w:rFonts w:hint="eastAsia"/>
        </w:rPr>
      </w:pPr>
      <w:r>
        <w:rPr>
          <w:rFonts w:hint="eastAsia"/>
        </w:rPr>
        <w:t>采购代理机构复核过程中，评标委员会不得离开评标现场。</w:t>
      </w:r>
    </w:p>
    <w:p>
      <w:pPr>
        <w:pStyle w:val="35"/>
        <w:bidi w:val="0"/>
        <w:rPr>
          <w:rFonts w:hint="eastAsia"/>
        </w:rPr>
      </w:pPr>
      <w:r>
        <w:rPr>
          <w:rFonts w:hint="eastAsia"/>
        </w:rPr>
        <w:t>有下列情形之一的，不得修改评标结果或者重新评标：</w:t>
      </w:r>
    </w:p>
    <w:p>
      <w:pPr>
        <w:pStyle w:val="36"/>
        <w:bidi w:val="0"/>
        <w:rPr>
          <w:rFonts w:hint="eastAsia"/>
        </w:rPr>
      </w:pPr>
      <w:r>
        <w:rPr>
          <w:rFonts w:hint="eastAsia"/>
        </w:rPr>
        <w:t>评标委员会已经出具评标报告并且离开评标现场的；</w:t>
      </w:r>
    </w:p>
    <w:p>
      <w:pPr>
        <w:pStyle w:val="36"/>
        <w:bidi w:val="0"/>
        <w:rPr>
          <w:rFonts w:hint="eastAsia"/>
        </w:rPr>
      </w:pPr>
      <w:r>
        <w:rPr>
          <w:rFonts w:hint="eastAsia"/>
        </w:rPr>
        <w:t>采购代理机构现场复核时，复核工作人员数量不足的；</w:t>
      </w:r>
    </w:p>
    <w:p>
      <w:pPr>
        <w:pStyle w:val="36"/>
        <w:bidi w:val="0"/>
        <w:rPr>
          <w:rFonts w:hint="eastAsia"/>
        </w:rPr>
      </w:pPr>
      <w:r>
        <w:rPr>
          <w:rFonts w:hint="eastAsia"/>
        </w:rPr>
        <w:t>采购代理机构现场复核时，没有采购监督人员现场监督的；</w:t>
      </w:r>
    </w:p>
    <w:p>
      <w:pPr>
        <w:pStyle w:val="36"/>
        <w:bidi w:val="0"/>
        <w:rPr>
          <w:rFonts w:hint="eastAsia"/>
        </w:rPr>
      </w:pPr>
      <w:r>
        <w:rPr>
          <w:rFonts w:hint="eastAsia"/>
        </w:rPr>
        <w:t>采购代理机构现场复核内容超出规定范围的；</w:t>
      </w:r>
    </w:p>
    <w:p>
      <w:pPr>
        <w:pStyle w:val="36"/>
        <w:bidi w:val="0"/>
        <w:rPr>
          <w:rFonts w:hint="eastAsia"/>
        </w:rPr>
      </w:pPr>
      <w:r>
        <w:rPr>
          <w:rFonts w:hint="eastAsia"/>
        </w:rPr>
        <w:t>采购代理机构未提供书面建议的。</w:t>
      </w:r>
    </w:p>
    <w:p>
      <w:pPr>
        <w:pStyle w:val="34"/>
        <w:numPr>
          <w:ilvl w:val="1"/>
          <w:numId w:val="13"/>
        </w:numPr>
        <w:bidi w:val="0"/>
        <w:rPr>
          <w:rFonts w:hint="eastAsia"/>
          <w:lang w:val="en-US" w:eastAsia="zh-CN"/>
        </w:rPr>
      </w:pPr>
      <w:bookmarkStart w:id="1071" w:name="_Toc31256"/>
      <w:bookmarkStart w:id="1072" w:name="_Toc21682"/>
      <w:r>
        <w:rPr>
          <w:rFonts w:hint="eastAsia"/>
          <w:lang w:val="en-US" w:eastAsia="zh-CN"/>
        </w:rPr>
        <w:t>推荐中标候选供应商</w:t>
      </w:r>
      <w:bookmarkEnd w:id="1071"/>
      <w:bookmarkEnd w:id="1072"/>
    </w:p>
    <w:p>
      <w:pPr>
        <w:pStyle w:val="46"/>
        <w:bidi w:val="0"/>
        <w:rPr>
          <w:rFonts w:hint="eastAsia"/>
          <w:highlight w:val="none"/>
        </w:rPr>
      </w:pPr>
      <w:r>
        <w:rPr>
          <w:rFonts w:hint="eastAsia"/>
        </w:rPr>
        <w:t>中标候选供应商数量应当根据招标文件的规定确定，但必须按顺序排列中标候选供应商。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highlight w:val="none"/>
        </w:rPr>
        <w:t>评</w:t>
      </w:r>
      <w:r>
        <w:rPr>
          <w:rFonts w:hint="eastAsia"/>
          <w:highlight w:val="none"/>
          <w:lang w:val="en-US" w:eastAsia="zh-CN"/>
        </w:rPr>
        <w:t>标</w:t>
      </w:r>
      <w:r>
        <w:rPr>
          <w:rFonts w:hint="eastAsia"/>
          <w:highlight w:val="none"/>
        </w:rPr>
        <w:t>得分且</w:t>
      </w:r>
      <w:r>
        <w:rPr>
          <w:rFonts w:hint="eastAsia"/>
          <w:highlight w:val="none"/>
          <w:lang w:val="en-US" w:eastAsia="zh-CN"/>
        </w:rPr>
        <w:t>投标</w:t>
      </w:r>
      <w:r>
        <w:rPr>
          <w:rFonts w:hint="eastAsia"/>
          <w:highlight w:val="none"/>
        </w:rPr>
        <w:t>报价且评审因素的量化指标评审得分均相同的，</w:t>
      </w:r>
      <w:r>
        <w:rPr>
          <w:rFonts w:hint="eastAsia" w:cs="宋体"/>
          <w:color w:val="000000"/>
          <w:kern w:val="0"/>
          <w:highlight w:val="none"/>
          <w:lang w:bidi="ar"/>
        </w:rPr>
        <w:t>优先选择不发达地区或少数民族地区的供应商</w:t>
      </w:r>
      <w:r>
        <w:rPr>
          <w:rFonts w:hint="eastAsia"/>
          <w:highlight w:val="none"/>
        </w:rPr>
        <w:t>。</w:t>
      </w:r>
    </w:p>
    <w:p>
      <w:pPr>
        <w:pStyle w:val="46"/>
        <w:bidi w:val="0"/>
        <w:rPr>
          <w:rFonts w:hint="eastAsia"/>
        </w:rPr>
      </w:pPr>
      <w:r>
        <w:rPr>
          <w:rFonts w:hint="eastAsia"/>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不予认可。</w:t>
      </w:r>
    </w:p>
    <w:p>
      <w:pPr>
        <w:pStyle w:val="34"/>
        <w:numPr>
          <w:ilvl w:val="1"/>
          <w:numId w:val="13"/>
        </w:numPr>
        <w:bidi w:val="0"/>
        <w:rPr>
          <w:rFonts w:hint="eastAsia"/>
          <w:lang w:val="en-US" w:eastAsia="zh-CN"/>
        </w:rPr>
      </w:pPr>
      <w:bookmarkStart w:id="1073" w:name="_Toc19418"/>
      <w:bookmarkStart w:id="1074" w:name="_Toc7685"/>
      <w:r>
        <w:rPr>
          <w:rFonts w:hint="eastAsia"/>
          <w:lang w:val="en-US" w:eastAsia="zh-CN"/>
        </w:rPr>
        <w:t>出具评标报告</w:t>
      </w:r>
      <w:bookmarkEnd w:id="1073"/>
      <w:bookmarkEnd w:id="1074"/>
    </w:p>
    <w:p>
      <w:pPr>
        <w:pStyle w:val="46"/>
        <w:bidi w:val="0"/>
        <w:rPr>
          <w:rFonts w:hint="eastAsia"/>
        </w:rPr>
      </w:pPr>
      <w:r>
        <w:rPr>
          <w:rFonts w:hint="eastAsia"/>
        </w:rPr>
        <w:t>评标委员会推荐中标候选供应商后，应当向招标采购单位出具评标报告。评标报告应当包括下列内容：</w:t>
      </w:r>
    </w:p>
    <w:p>
      <w:pPr>
        <w:pStyle w:val="32"/>
        <w:numPr>
          <w:ilvl w:val="1"/>
          <w:numId w:val="33"/>
        </w:numPr>
        <w:bidi w:val="0"/>
        <w:rPr>
          <w:rFonts w:hint="eastAsia"/>
        </w:rPr>
      </w:pPr>
      <w:r>
        <w:rPr>
          <w:rFonts w:hint="eastAsia"/>
        </w:rPr>
        <w:t>招标公告刊登的媒体名称、开标日期和地点；</w:t>
      </w:r>
    </w:p>
    <w:p>
      <w:pPr>
        <w:pStyle w:val="32"/>
        <w:numPr>
          <w:ilvl w:val="1"/>
          <w:numId w:val="33"/>
        </w:numPr>
        <w:bidi w:val="0"/>
        <w:rPr>
          <w:rFonts w:hint="eastAsia"/>
        </w:rPr>
      </w:pPr>
      <w:r>
        <w:rPr>
          <w:rFonts w:hint="eastAsia"/>
        </w:rPr>
        <w:t>投标人名单和评标委员会成员名单；</w:t>
      </w:r>
    </w:p>
    <w:p>
      <w:pPr>
        <w:pStyle w:val="32"/>
        <w:numPr>
          <w:ilvl w:val="1"/>
          <w:numId w:val="33"/>
        </w:numPr>
        <w:bidi w:val="0"/>
        <w:rPr>
          <w:rFonts w:hint="eastAsia"/>
        </w:rPr>
      </w:pPr>
      <w:r>
        <w:rPr>
          <w:rFonts w:hint="eastAsia"/>
        </w:rPr>
        <w:t>评标方法和标准；</w:t>
      </w:r>
    </w:p>
    <w:p>
      <w:pPr>
        <w:pStyle w:val="32"/>
        <w:numPr>
          <w:ilvl w:val="1"/>
          <w:numId w:val="33"/>
        </w:numPr>
        <w:bidi w:val="0"/>
        <w:rPr>
          <w:rFonts w:hint="eastAsia"/>
        </w:rPr>
      </w:pPr>
      <w:r>
        <w:rPr>
          <w:rFonts w:hint="eastAsia"/>
        </w:rPr>
        <w:t>开标记录和评标情况及说明，包括无效投标人名单及原因；</w:t>
      </w:r>
    </w:p>
    <w:p>
      <w:pPr>
        <w:pStyle w:val="32"/>
        <w:numPr>
          <w:ilvl w:val="1"/>
          <w:numId w:val="33"/>
        </w:numPr>
        <w:bidi w:val="0"/>
        <w:rPr>
          <w:rFonts w:hint="eastAsia"/>
        </w:rPr>
      </w:pPr>
      <w:r>
        <w:rPr>
          <w:rFonts w:hint="eastAsia"/>
        </w:rPr>
        <w:t>评标结果，确定的中标候选人名单或者经采购人委托直接确定的中标人；</w:t>
      </w:r>
    </w:p>
    <w:p>
      <w:pPr>
        <w:pStyle w:val="32"/>
        <w:numPr>
          <w:ilvl w:val="1"/>
          <w:numId w:val="33"/>
        </w:numPr>
        <w:bidi w:val="0"/>
        <w:rPr>
          <w:rFonts w:hint="eastAsia"/>
          <w:lang w:val="en-US" w:eastAsia="zh-CN"/>
        </w:rPr>
      </w:pPr>
      <w:r>
        <w:rPr>
          <w:rFonts w:hint="eastAsia"/>
          <w:lang w:val="en-US" w:eastAsia="zh-CN"/>
        </w:rPr>
        <w:t>其他需要说明的情况，包括评标过程中投标人根据评标委员会要求进行的澄清、说明或者补正，评标委员会成员的更换等。</w:t>
      </w:r>
    </w:p>
    <w:p>
      <w:pPr>
        <w:pStyle w:val="47"/>
        <w:bidi w:val="0"/>
        <w:rPr>
          <w:rFonts w:hint="eastAsia"/>
          <w:lang w:val="en-US" w:eastAsia="zh-CN"/>
        </w:rPr>
      </w:pPr>
      <w:r>
        <w:rPr>
          <w:rFonts w:hint="eastAsia"/>
          <w:lang w:val="en-US" w:eastAsia="zh-CN"/>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pStyle w:val="34"/>
        <w:numPr>
          <w:ilvl w:val="1"/>
          <w:numId w:val="13"/>
        </w:numPr>
        <w:bidi w:val="0"/>
        <w:rPr>
          <w:rFonts w:hint="eastAsia"/>
        </w:rPr>
      </w:pPr>
      <w:bookmarkStart w:id="1075" w:name="_Toc17073"/>
      <w:bookmarkStart w:id="1076" w:name="_Toc30247"/>
      <w:r>
        <w:rPr>
          <w:rFonts w:hint="eastAsia"/>
        </w:rPr>
        <w:t>废标</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1067"/>
      <w:bookmarkEnd w:id="1068"/>
      <w:bookmarkEnd w:id="1069"/>
      <w:bookmarkEnd w:id="1070"/>
      <w:bookmarkEnd w:id="1075"/>
      <w:bookmarkEnd w:id="1076"/>
    </w:p>
    <w:p>
      <w:pPr>
        <w:pStyle w:val="46"/>
        <w:bidi w:val="0"/>
        <w:rPr>
          <w:rFonts w:hint="eastAsia"/>
        </w:rPr>
      </w:pPr>
      <w:r>
        <w:rPr>
          <w:rFonts w:hint="eastAsia"/>
        </w:rPr>
        <w:t>本次政府采购活动中，出现下列情形之一的，予以废标：</w:t>
      </w:r>
    </w:p>
    <w:p>
      <w:pPr>
        <w:pStyle w:val="35"/>
        <w:bidi w:val="0"/>
        <w:rPr>
          <w:rFonts w:hint="eastAsia"/>
        </w:rPr>
      </w:pPr>
      <w:r>
        <w:rPr>
          <w:rFonts w:hint="eastAsia"/>
        </w:rPr>
        <w:t>符合专业条件的供应商或者对招标文件作实质响应的供应商不足三家的；</w:t>
      </w:r>
    </w:p>
    <w:p>
      <w:pPr>
        <w:pStyle w:val="35"/>
        <w:bidi w:val="0"/>
        <w:rPr>
          <w:rFonts w:hint="eastAsia"/>
        </w:rPr>
      </w:pPr>
      <w:r>
        <w:rPr>
          <w:rFonts w:hint="eastAsia"/>
        </w:rPr>
        <w:t>出现影响采购公正的违法、违规行为的；</w:t>
      </w:r>
    </w:p>
    <w:p>
      <w:pPr>
        <w:pStyle w:val="35"/>
        <w:bidi w:val="0"/>
        <w:rPr>
          <w:rFonts w:hint="eastAsia"/>
        </w:rPr>
      </w:pPr>
      <w:r>
        <w:rPr>
          <w:rFonts w:hint="eastAsia"/>
        </w:rPr>
        <w:t>投标人的报价均超过了采购预算</w:t>
      </w:r>
      <w:r>
        <w:rPr>
          <w:rFonts w:hint="eastAsia"/>
          <w:lang w:val="en-US" w:eastAsia="zh-CN"/>
        </w:rPr>
        <w:t>或单价最高限价</w:t>
      </w:r>
      <w:r>
        <w:rPr>
          <w:rFonts w:hint="eastAsia"/>
        </w:rPr>
        <w:t>，采购人不能支付的；</w:t>
      </w:r>
    </w:p>
    <w:p>
      <w:pPr>
        <w:pStyle w:val="35"/>
        <w:bidi w:val="0"/>
        <w:rPr>
          <w:rFonts w:hint="eastAsia"/>
        </w:rPr>
      </w:pPr>
      <w:r>
        <w:rPr>
          <w:rFonts w:hint="eastAsia"/>
        </w:rPr>
        <w:t>因重大变故，采购任务取消的。</w:t>
      </w:r>
    </w:p>
    <w:p>
      <w:pPr>
        <w:pStyle w:val="46"/>
        <w:bidi w:val="0"/>
        <w:rPr>
          <w:rFonts w:hint="eastAsia"/>
        </w:rPr>
      </w:pPr>
      <w:r>
        <w:rPr>
          <w:rFonts w:hint="eastAsia"/>
        </w:rPr>
        <w:t>废标后，采购代理机构应在</w:t>
      </w:r>
      <w:r>
        <w:rPr>
          <w:rFonts w:hint="eastAsia"/>
          <w:lang w:eastAsia="zh-CN"/>
        </w:rPr>
        <w:t>“四川政府采购网”</w:t>
      </w:r>
      <w:r>
        <w:rPr>
          <w:rFonts w:hint="eastAsia"/>
        </w:rPr>
        <w:t>公告，并公告废标的理由。</w:t>
      </w:r>
    </w:p>
    <w:p>
      <w:pPr>
        <w:pStyle w:val="34"/>
        <w:numPr>
          <w:ilvl w:val="1"/>
          <w:numId w:val="13"/>
        </w:numPr>
        <w:bidi w:val="0"/>
        <w:rPr>
          <w:rFonts w:hint="eastAsia"/>
        </w:rPr>
      </w:pPr>
      <w:bookmarkStart w:id="1077" w:name="_Toc7121"/>
      <w:bookmarkStart w:id="1078" w:name="_Toc4475"/>
      <w:bookmarkStart w:id="1079" w:name="_Toc4794"/>
      <w:bookmarkStart w:id="1080" w:name="_Toc308084649"/>
      <w:bookmarkStart w:id="1081" w:name="_Toc319440193"/>
      <w:bookmarkStart w:id="1082" w:name="_Toc768"/>
      <w:bookmarkStart w:id="1083" w:name="_Toc309897567"/>
      <w:bookmarkStart w:id="1084" w:name="_Toc24655"/>
      <w:bookmarkStart w:id="1085" w:name="_Toc25875"/>
      <w:bookmarkStart w:id="1086" w:name="_Toc13169"/>
      <w:bookmarkStart w:id="1087" w:name="_Toc21352"/>
      <w:bookmarkStart w:id="1088" w:name="_Toc31281"/>
      <w:bookmarkStart w:id="1089" w:name="_Toc10846"/>
      <w:bookmarkStart w:id="1090" w:name="_Toc307564900"/>
      <w:bookmarkStart w:id="1091" w:name="_Toc319439949"/>
      <w:bookmarkStart w:id="1092" w:name="_Toc20515"/>
      <w:bookmarkStart w:id="1093" w:name="_Toc307501158"/>
      <w:bookmarkStart w:id="1094" w:name="_Toc327196344"/>
      <w:bookmarkStart w:id="1095" w:name="_Toc308188202"/>
      <w:bookmarkStart w:id="1096" w:name="_Toc2453"/>
      <w:r>
        <w:rPr>
          <w:rFonts w:hint="eastAsia"/>
        </w:rPr>
        <w:t>定标</w:t>
      </w:r>
      <w:bookmarkEnd w:id="977"/>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Start w:id="1097" w:name="_Toc217446061"/>
    </w:p>
    <w:p>
      <w:pPr>
        <w:pStyle w:val="32"/>
        <w:numPr>
          <w:ilvl w:val="1"/>
          <w:numId w:val="34"/>
        </w:numPr>
        <w:bidi w:val="0"/>
        <w:rPr>
          <w:rFonts w:hint="eastAsia"/>
        </w:rPr>
      </w:pPr>
      <w:r>
        <w:rPr>
          <w:rFonts w:hint="eastAsia"/>
        </w:rPr>
        <w:t>定标原则</w:t>
      </w:r>
      <w:bookmarkEnd w:id="1097"/>
      <w:r>
        <w:rPr>
          <w:rFonts w:hint="eastAsia"/>
        </w:rPr>
        <w:t>：本项目根据评委会推荐的中标候选人名单，按顺序确定</w:t>
      </w:r>
      <w:r>
        <w:rPr>
          <w:rFonts w:hint="eastAsia"/>
          <w:lang w:val="en-US" w:eastAsia="zh-CN"/>
        </w:rPr>
        <w:t>第1名为</w:t>
      </w:r>
      <w:r>
        <w:rPr>
          <w:rFonts w:hint="eastAsia"/>
        </w:rPr>
        <w:t>中标人。</w:t>
      </w:r>
    </w:p>
    <w:p>
      <w:pPr>
        <w:pStyle w:val="32"/>
        <w:numPr>
          <w:ilvl w:val="1"/>
          <w:numId w:val="34"/>
        </w:numPr>
        <w:bidi w:val="0"/>
        <w:rPr>
          <w:rFonts w:hint="eastAsia"/>
        </w:rPr>
      </w:pPr>
      <w:bookmarkStart w:id="1098" w:name="_Toc217446062"/>
      <w:r>
        <w:rPr>
          <w:rFonts w:hint="eastAsia"/>
        </w:rPr>
        <w:t>定标程序</w:t>
      </w:r>
      <w:bookmarkEnd w:id="1098"/>
    </w:p>
    <w:p>
      <w:pPr>
        <w:pStyle w:val="35"/>
        <w:bidi w:val="0"/>
        <w:rPr>
          <w:rFonts w:hint="eastAsia"/>
        </w:rPr>
      </w:pPr>
      <w:r>
        <w:rPr>
          <w:rFonts w:hint="eastAsia"/>
          <w:lang w:val="en-US" w:eastAsia="zh-CN"/>
        </w:rPr>
        <w:t>评标委员会根据全体评标成员签字的原始评标记录和评标结果编写评标报告</w:t>
      </w:r>
      <w:r>
        <w:rPr>
          <w:rFonts w:hint="eastAsia"/>
        </w:rPr>
        <w:t>，推荐</w:t>
      </w:r>
      <w:r>
        <w:rPr>
          <w:rFonts w:hint="eastAsia"/>
          <w:lang w:val="en-US" w:eastAsia="zh-CN"/>
        </w:rPr>
        <w:t>不少于三名</w:t>
      </w:r>
      <w:r>
        <w:rPr>
          <w:rFonts w:hint="eastAsia"/>
        </w:rPr>
        <w:t>中标候选人，并按照综合得分高低标明排列顺序。</w:t>
      </w:r>
    </w:p>
    <w:p>
      <w:pPr>
        <w:pStyle w:val="35"/>
        <w:bidi w:val="0"/>
        <w:rPr>
          <w:rFonts w:hint="eastAsia"/>
        </w:rPr>
      </w:pPr>
      <w:r>
        <w:rPr>
          <w:rFonts w:hint="eastAsia"/>
        </w:rPr>
        <w:t>采购代理机构在评标结束后2个工作日内将评标报告送采购人。</w:t>
      </w:r>
    </w:p>
    <w:p>
      <w:pPr>
        <w:pStyle w:val="35"/>
        <w:bidi w:val="0"/>
        <w:rPr>
          <w:rFonts w:hint="eastAsia"/>
        </w:rPr>
      </w:pPr>
      <w:r>
        <w:rPr>
          <w:rFonts w:hint="eastAsia"/>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如果中标候选人及其现任法定代表人、主要负责人存在行贿犯罪记录，采购人将不确定其为中标人。采购人在确认</w:t>
      </w:r>
      <w:r>
        <w:rPr>
          <w:rFonts w:hint="eastAsia"/>
          <w:lang w:val="en-US" w:eastAsia="zh-CN"/>
        </w:rPr>
        <w:t>中标</w:t>
      </w:r>
      <w:r>
        <w:rPr>
          <w:rFonts w:hint="eastAsia"/>
        </w:rPr>
        <w:t>供应商前，应到中国裁判文书网</w:t>
      </w:r>
      <w:r>
        <w:rPr>
          <w:rFonts w:hint="eastAsia"/>
          <w:lang w:eastAsia="zh-CN"/>
        </w:rPr>
        <w:t>(</w:t>
      </w:r>
      <w:r>
        <w:rPr>
          <w:rFonts w:hint="eastAsia"/>
        </w:rPr>
        <w:t>https://wenshu.court.gov.cn</w:t>
      </w:r>
      <w:r>
        <w:rPr>
          <w:rFonts w:hint="eastAsia"/>
          <w:lang w:eastAsia="zh-CN"/>
        </w:rPr>
        <w:t>)</w:t>
      </w:r>
      <w:r>
        <w:rPr>
          <w:rFonts w:hint="eastAsia"/>
        </w:rPr>
        <w:t>查询</w:t>
      </w:r>
      <w:r>
        <w:rPr>
          <w:rFonts w:hint="eastAsia"/>
          <w:lang w:val="en-US" w:eastAsia="zh-CN"/>
        </w:rPr>
        <w:t>中标</w:t>
      </w:r>
      <w:r>
        <w:rPr>
          <w:rFonts w:hint="eastAsia"/>
        </w:rPr>
        <w:t>候选供应商及其现任法定代表人、主要负责人是否存在行贿犯罪记录</w:t>
      </w:r>
      <w:r>
        <w:rPr>
          <w:rFonts w:hint="eastAsia"/>
          <w:lang w:eastAsia="zh-CN"/>
        </w:rPr>
        <w:t>。</w:t>
      </w:r>
    </w:p>
    <w:p>
      <w:pPr>
        <w:pStyle w:val="46"/>
        <w:bidi w:val="0"/>
        <w:rPr>
          <w:rFonts w:hint="eastAsia"/>
        </w:rPr>
      </w:pPr>
      <w:r>
        <w:rPr>
          <w:rFonts w:hint="eastAsia"/>
          <w:lang w:val="en-US" w:eastAsia="zh-CN"/>
        </w:rPr>
        <w:t>采</w:t>
      </w:r>
      <w:r>
        <w:rPr>
          <w:rFonts w:hint="eastAsia"/>
        </w:rPr>
        <w:t>购人在收到评标报告5个工作日内未按评标报告推荐的中标候选人顺序确定中标人，又不能说明合法理由的，视同按评标报告推荐的顺序确定排名第一的中标候选人为中标人。</w:t>
      </w:r>
    </w:p>
    <w:p>
      <w:pPr>
        <w:pStyle w:val="35"/>
        <w:bidi w:val="0"/>
        <w:rPr>
          <w:rFonts w:hint="eastAsia"/>
          <w:highlight w:val="none"/>
        </w:rPr>
      </w:pPr>
      <w:r>
        <w:rPr>
          <w:rFonts w:hint="eastAsia"/>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w:t>
      </w:r>
      <w:r>
        <w:rPr>
          <w:rFonts w:hint="eastAsia"/>
          <w:highlight w:val="none"/>
          <w:lang w:val="en-US" w:eastAsia="zh-CN"/>
        </w:rPr>
        <w:t>标</w:t>
      </w:r>
      <w:r>
        <w:rPr>
          <w:rFonts w:hint="eastAsia"/>
          <w:highlight w:val="none"/>
        </w:rPr>
        <w:t>得分且</w:t>
      </w:r>
      <w:r>
        <w:rPr>
          <w:rFonts w:hint="eastAsia"/>
          <w:highlight w:val="none"/>
          <w:lang w:val="en-US" w:eastAsia="zh-CN"/>
        </w:rPr>
        <w:t>投标</w:t>
      </w:r>
      <w:r>
        <w:rPr>
          <w:rFonts w:hint="eastAsia"/>
          <w:highlight w:val="none"/>
        </w:rPr>
        <w:t>报价且评审因素的量化指标评审得分均相同的，</w:t>
      </w:r>
      <w:r>
        <w:rPr>
          <w:rFonts w:hint="eastAsia" w:cs="宋体"/>
          <w:color w:val="000000"/>
          <w:kern w:val="0"/>
          <w:highlight w:val="none"/>
          <w:lang w:bidi="ar"/>
        </w:rPr>
        <w:t>优先选择不发达地区或少数民族地区的供应商</w:t>
      </w:r>
      <w:r>
        <w:rPr>
          <w:rFonts w:hint="eastAsia"/>
          <w:highlight w:val="none"/>
        </w:rPr>
        <w:t>。</w:t>
      </w:r>
    </w:p>
    <w:p>
      <w:pPr>
        <w:pStyle w:val="35"/>
        <w:bidi w:val="0"/>
        <w:rPr>
          <w:rFonts w:hint="eastAsia"/>
        </w:rPr>
      </w:pPr>
      <w:r>
        <w:rPr>
          <w:rFonts w:hint="eastAsia"/>
        </w:rPr>
        <w:t>采购代理机构在</w:t>
      </w:r>
      <w:r>
        <w:rPr>
          <w:rFonts w:hint="eastAsia"/>
          <w:lang w:eastAsia="zh-CN"/>
        </w:rPr>
        <w:t>中标人</w:t>
      </w:r>
      <w:r>
        <w:rPr>
          <w:rFonts w:hint="eastAsia"/>
        </w:rPr>
        <w:t>确定后2个工作日内，在</w:t>
      </w:r>
      <w:r>
        <w:rPr>
          <w:rFonts w:hint="eastAsia"/>
          <w:lang w:eastAsia="zh-CN"/>
        </w:rPr>
        <w:t>“四川政府采购网”</w:t>
      </w:r>
      <w:r>
        <w:rPr>
          <w:rFonts w:hint="eastAsia"/>
        </w:rPr>
        <w:t>发布中标公告，同时向</w:t>
      </w:r>
      <w:r>
        <w:rPr>
          <w:rFonts w:hint="eastAsia"/>
          <w:lang w:eastAsia="zh-CN"/>
        </w:rPr>
        <w:t>中标人</w:t>
      </w:r>
      <w:r>
        <w:rPr>
          <w:rFonts w:hint="eastAsia"/>
        </w:rPr>
        <w:t>发出中标通知书</w:t>
      </w:r>
      <w:r>
        <w:rPr>
          <w:rFonts w:hint="eastAsia"/>
          <w:lang w:eastAsia="zh-CN"/>
        </w:rPr>
        <w:t>，</w:t>
      </w:r>
      <w:r>
        <w:rPr>
          <w:rFonts w:hint="eastAsia"/>
          <w:lang w:val="zh-CN" w:eastAsia="zh-CN"/>
        </w:rPr>
        <w:t>中标供应商自行登录“政府采购云平台”下载中标通知书</w:t>
      </w:r>
      <w:r>
        <w:rPr>
          <w:rFonts w:hint="eastAsia"/>
        </w:rPr>
        <w:t>。</w:t>
      </w:r>
    </w:p>
    <w:p>
      <w:pPr>
        <w:pStyle w:val="35"/>
        <w:bidi w:val="0"/>
        <w:rPr>
          <w:rFonts w:hint="eastAsia"/>
        </w:rPr>
      </w:pPr>
      <w:r>
        <w:rPr>
          <w:rFonts w:hint="eastAsia"/>
        </w:rPr>
        <w:t>采购人、</w:t>
      </w:r>
      <w:r>
        <w:rPr>
          <w:rFonts w:hint="eastAsia"/>
          <w:lang w:val="en-US" w:eastAsia="zh-CN"/>
        </w:rPr>
        <w:t>采购代理机构</w:t>
      </w:r>
      <w:r>
        <w:rPr>
          <w:rFonts w:hint="eastAsia"/>
        </w:rPr>
        <w:t>不解释中标或未中标原因</w:t>
      </w:r>
      <w:r>
        <w:rPr>
          <w:rFonts w:hint="eastAsia"/>
          <w:lang w:eastAsia="zh-CN"/>
        </w:rPr>
        <w:t>，</w:t>
      </w:r>
      <w:r>
        <w:rPr>
          <w:rFonts w:hint="eastAsia"/>
        </w:rPr>
        <w:t>招标采购单位不退回投标人投标文件和其他投标资料。</w:t>
      </w:r>
    </w:p>
    <w:bookmarkEnd w:id="978"/>
    <w:p>
      <w:pPr>
        <w:pStyle w:val="34"/>
        <w:numPr>
          <w:ilvl w:val="1"/>
          <w:numId w:val="13"/>
        </w:numPr>
        <w:bidi w:val="0"/>
        <w:rPr>
          <w:rFonts w:hint="eastAsia"/>
        </w:rPr>
      </w:pPr>
      <w:bookmarkStart w:id="1099" w:name="_Toc27423"/>
      <w:bookmarkStart w:id="1100" w:name="_Toc8099"/>
      <w:bookmarkStart w:id="1101" w:name="_Toc319440194"/>
      <w:bookmarkStart w:id="1102" w:name="_Toc319439950"/>
      <w:bookmarkStart w:id="1103" w:name="_Toc327196345"/>
      <w:bookmarkStart w:id="1104" w:name="_Toc309897568"/>
      <w:bookmarkStart w:id="1105" w:name="_Toc308084650"/>
      <w:bookmarkStart w:id="1106" w:name="_Toc308188203"/>
      <w:bookmarkStart w:id="1107" w:name="_Toc15982"/>
      <w:bookmarkStart w:id="1108" w:name="_Toc16879"/>
      <w:bookmarkStart w:id="1109" w:name="_Toc25198"/>
      <w:bookmarkStart w:id="1110" w:name="_Toc24311"/>
      <w:bookmarkStart w:id="1111" w:name="_Toc307501159"/>
      <w:bookmarkStart w:id="1112" w:name="_Toc25084"/>
      <w:bookmarkStart w:id="1113" w:name="_Toc32114"/>
      <w:bookmarkStart w:id="1114" w:name="_Toc14102"/>
      <w:bookmarkStart w:id="1115" w:name="_Toc10903"/>
      <w:bookmarkStart w:id="1116" w:name="_Toc307564901"/>
      <w:bookmarkStart w:id="1117" w:name="_Toc27662"/>
      <w:bookmarkStart w:id="1118" w:name="_Toc22537"/>
      <w:r>
        <w:rPr>
          <w:rFonts w:hint="eastAsia"/>
          <w:lang w:eastAsia="zh-CN"/>
        </w:rPr>
        <w:t>评标专家</w:t>
      </w:r>
      <w:r>
        <w:rPr>
          <w:rFonts w:hint="eastAsia"/>
        </w:rPr>
        <w:t>在政府采购活动中承担以下义务</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pPr>
        <w:pStyle w:val="32"/>
        <w:numPr>
          <w:ilvl w:val="1"/>
          <w:numId w:val="35"/>
        </w:numPr>
        <w:bidi w:val="0"/>
        <w:rPr>
          <w:rFonts w:hint="eastAsia"/>
        </w:rPr>
      </w:pPr>
      <w:r>
        <w:rPr>
          <w:rFonts w:hint="eastAsia"/>
        </w:rPr>
        <w:t>遵守评标工作纪律；</w:t>
      </w:r>
    </w:p>
    <w:p>
      <w:pPr>
        <w:pStyle w:val="32"/>
        <w:numPr>
          <w:ilvl w:val="1"/>
          <w:numId w:val="35"/>
        </w:numPr>
        <w:bidi w:val="0"/>
        <w:rPr>
          <w:rFonts w:hint="eastAsia"/>
        </w:rPr>
      </w:pPr>
      <w:r>
        <w:rPr>
          <w:rFonts w:hint="eastAsia"/>
        </w:rPr>
        <w:t>按照客观、公正、审慎的原则，根据招标文件规定的评标程序、评标方法和评标标准进行独立评标；</w:t>
      </w:r>
    </w:p>
    <w:p>
      <w:pPr>
        <w:pStyle w:val="32"/>
        <w:numPr>
          <w:ilvl w:val="1"/>
          <w:numId w:val="35"/>
        </w:numPr>
        <w:bidi w:val="0"/>
        <w:rPr>
          <w:rFonts w:hint="eastAsia"/>
        </w:rPr>
      </w:pPr>
      <w:r>
        <w:rPr>
          <w:rFonts w:hint="eastAsia"/>
        </w:rPr>
        <w:t>不得泄露评标文件、评标情况和在评标过程中获悉的商业秘密；</w:t>
      </w:r>
    </w:p>
    <w:p>
      <w:pPr>
        <w:pStyle w:val="32"/>
        <w:numPr>
          <w:ilvl w:val="1"/>
          <w:numId w:val="35"/>
        </w:numPr>
        <w:bidi w:val="0"/>
        <w:rPr>
          <w:rFonts w:hint="eastAsia"/>
        </w:rPr>
      </w:pPr>
      <w:r>
        <w:rPr>
          <w:rFonts w:hint="eastAsia"/>
        </w:rPr>
        <w:t>及时向财政部门报告评标过程中发现的采购人、采购代理机构向评标专家做倾向性、误导性的解释或者说明，以及供应商行贿、提供虚假材料或者串通等违法行为；</w:t>
      </w:r>
    </w:p>
    <w:p>
      <w:pPr>
        <w:pStyle w:val="32"/>
        <w:numPr>
          <w:ilvl w:val="1"/>
          <w:numId w:val="35"/>
        </w:numPr>
        <w:bidi w:val="0"/>
        <w:rPr>
          <w:rFonts w:hint="eastAsia"/>
        </w:rPr>
      </w:pPr>
      <w:r>
        <w:rPr>
          <w:rFonts w:hint="eastAsia"/>
        </w:rPr>
        <w:t>发现招标文件内容违反国家有关强制性规定或者采购文件存在歧义、重大缺陷导致评标工作无法进行时，停止评标并向采购人或者采购代理机构书面说明情况；</w:t>
      </w:r>
    </w:p>
    <w:p>
      <w:pPr>
        <w:pStyle w:val="32"/>
        <w:numPr>
          <w:ilvl w:val="1"/>
          <w:numId w:val="35"/>
        </w:numPr>
        <w:bidi w:val="0"/>
        <w:rPr>
          <w:rFonts w:hint="eastAsia"/>
        </w:rPr>
      </w:pPr>
      <w:r>
        <w:rPr>
          <w:rFonts w:hint="eastAsia"/>
        </w:rPr>
        <w:t>及时向财政、监察等部门举报在评标过程中受到的非法干预情况；</w:t>
      </w:r>
    </w:p>
    <w:p>
      <w:pPr>
        <w:pStyle w:val="32"/>
        <w:numPr>
          <w:ilvl w:val="1"/>
          <w:numId w:val="35"/>
        </w:numPr>
        <w:bidi w:val="0"/>
        <w:rPr>
          <w:rFonts w:hint="eastAsia"/>
        </w:rPr>
      </w:pPr>
      <w:r>
        <w:rPr>
          <w:rFonts w:hint="eastAsia"/>
        </w:rPr>
        <w:t>配合答复处理供应商的询问、质疑和投诉等事项；</w:t>
      </w:r>
    </w:p>
    <w:p>
      <w:pPr>
        <w:pStyle w:val="32"/>
        <w:numPr>
          <w:ilvl w:val="1"/>
          <w:numId w:val="35"/>
        </w:numPr>
        <w:bidi w:val="0"/>
        <w:rPr>
          <w:rFonts w:hint="eastAsia"/>
        </w:rPr>
      </w:pPr>
      <w:r>
        <w:rPr>
          <w:rFonts w:hint="eastAsia"/>
        </w:rPr>
        <w:t>法律、法规和规章规定的其他义务。</w:t>
      </w:r>
    </w:p>
    <w:p>
      <w:pPr>
        <w:pStyle w:val="34"/>
        <w:numPr>
          <w:ilvl w:val="1"/>
          <w:numId w:val="13"/>
        </w:numPr>
        <w:bidi w:val="0"/>
        <w:rPr>
          <w:rFonts w:hint="eastAsia"/>
        </w:rPr>
      </w:pPr>
      <w:bookmarkStart w:id="1119" w:name="_Toc12088"/>
      <w:bookmarkStart w:id="1120" w:name="_Toc24913"/>
      <w:bookmarkStart w:id="1121" w:name="_Toc19071"/>
      <w:bookmarkStart w:id="1122" w:name="_Toc9685"/>
      <w:bookmarkStart w:id="1123" w:name="_Toc22368"/>
      <w:bookmarkStart w:id="1124" w:name="_Toc3688"/>
      <w:bookmarkStart w:id="1125" w:name="_Toc1690"/>
      <w:bookmarkStart w:id="1126" w:name="_Toc4379"/>
      <w:bookmarkStart w:id="1127" w:name="_Toc319440195"/>
      <w:bookmarkStart w:id="1128" w:name="_Toc327196346"/>
      <w:bookmarkStart w:id="1129" w:name="_Toc29759"/>
      <w:bookmarkStart w:id="1130" w:name="_Toc28428"/>
      <w:bookmarkStart w:id="1131" w:name="_Toc30872"/>
      <w:bookmarkStart w:id="1132" w:name="_Toc27047"/>
      <w:r>
        <w:rPr>
          <w:rFonts w:hint="eastAsia"/>
          <w:lang w:eastAsia="zh-CN"/>
        </w:rPr>
        <w:t>评标专家</w:t>
      </w:r>
      <w:r>
        <w:rPr>
          <w:rFonts w:hint="eastAsia"/>
        </w:rPr>
        <w:t>在政府采购活动中应当遵守以下工作纪律</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pPr>
        <w:pStyle w:val="32"/>
        <w:numPr>
          <w:ilvl w:val="1"/>
          <w:numId w:val="36"/>
        </w:numPr>
        <w:bidi w:val="0"/>
        <w:rPr>
          <w:rFonts w:hint="eastAsia"/>
        </w:rPr>
      </w:pPr>
      <w:bookmarkStart w:id="1133" w:name="_Toc28956"/>
      <w:r>
        <w:rPr>
          <w:rFonts w:hint="eastAsia"/>
        </w:rPr>
        <w:t>遵行《</w:t>
      </w:r>
      <w:r>
        <w:rPr>
          <w:rFonts w:hint="eastAsia"/>
          <w:lang w:val="en-US" w:eastAsia="zh-CN"/>
        </w:rPr>
        <w:t>中华人民共和国</w:t>
      </w:r>
      <w:r>
        <w:rPr>
          <w:rFonts w:hint="eastAsia"/>
        </w:rPr>
        <w:t>政府采购法》第十二条和《</w:t>
      </w:r>
      <w:r>
        <w:rPr>
          <w:rFonts w:hint="eastAsia"/>
          <w:lang w:val="en-US" w:eastAsia="zh-CN"/>
        </w:rPr>
        <w:t>中华人民共和国</w:t>
      </w:r>
      <w:r>
        <w:rPr>
          <w:rFonts w:hint="eastAsia"/>
        </w:rPr>
        <w:t>政府采购法实施条例》第九条及财政部关于回避的规定；</w:t>
      </w:r>
    </w:p>
    <w:p>
      <w:pPr>
        <w:pStyle w:val="32"/>
        <w:numPr>
          <w:ilvl w:val="1"/>
          <w:numId w:val="36"/>
        </w:numPr>
        <w:bidi w:val="0"/>
        <w:rPr>
          <w:rFonts w:hint="eastAsia"/>
        </w:rPr>
      </w:pPr>
      <w:r>
        <w:rPr>
          <w:rFonts w:hint="eastAsia"/>
        </w:rPr>
        <w:t>评标前，应当将通讯工具或者相关电子设备交由招标采购单位统一保管；</w:t>
      </w:r>
    </w:p>
    <w:p>
      <w:pPr>
        <w:pStyle w:val="32"/>
        <w:numPr>
          <w:ilvl w:val="1"/>
          <w:numId w:val="36"/>
        </w:numPr>
        <w:bidi w:val="0"/>
        <w:rPr>
          <w:rFonts w:hint="eastAsia"/>
        </w:rPr>
      </w:pPr>
      <w:r>
        <w:rPr>
          <w:rFonts w:hint="eastAsia"/>
        </w:rPr>
        <w:t>评标过程中，不得与外界联系，因发生不可预见情况，确实需要与外界联系的，应当在监督人员监督之下办理；</w:t>
      </w:r>
    </w:p>
    <w:p>
      <w:pPr>
        <w:pStyle w:val="32"/>
        <w:numPr>
          <w:ilvl w:val="1"/>
          <w:numId w:val="36"/>
        </w:numPr>
        <w:bidi w:val="0"/>
        <w:rPr>
          <w:rFonts w:hint="eastAsia"/>
        </w:rPr>
      </w:pPr>
      <w:r>
        <w:rPr>
          <w:rFonts w:hint="eastAsia"/>
        </w:rPr>
        <w:t>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pStyle w:val="32"/>
        <w:numPr>
          <w:ilvl w:val="1"/>
          <w:numId w:val="36"/>
        </w:numPr>
        <w:bidi w:val="0"/>
        <w:rPr>
          <w:rFonts w:hint="eastAsia"/>
        </w:rPr>
      </w:pPr>
      <w:r>
        <w:rPr>
          <w:rFonts w:hint="eastAsia"/>
        </w:rPr>
        <w:t>在评标过程中和评标结束后，不得记录、复制或带走任何评标资料，除因规定的义务外，不得向外界透露评标内容；</w:t>
      </w:r>
    </w:p>
    <w:p>
      <w:pPr>
        <w:pStyle w:val="32"/>
        <w:numPr>
          <w:ilvl w:val="1"/>
          <w:numId w:val="36"/>
        </w:numPr>
        <w:bidi w:val="0"/>
        <w:rPr>
          <w:rFonts w:hint="eastAsia"/>
          <w:lang w:eastAsia="zh-CN"/>
        </w:rPr>
      </w:pPr>
      <w:r>
        <w:rPr>
          <w:rFonts w:hint="eastAsia"/>
        </w:rPr>
        <w:t>服从评标现场招标采购单位的现场秩序管理，接受评标现场监督人员的合法监督</w:t>
      </w:r>
      <w:r>
        <w:rPr>
          <w:rFonts w:hint="eastAsia"/>
          <w:lang w:eastAsia="zh-CN"/>
        </w:rPr>
        <w:t>；</w:t>
      </w:r>
    </w:p>
    <w:p>
      <w:pPr>
        <w:pStyle w:val="32"/>
        <w:numPr>
          <w:ilvl w:val="1"/>
          <w:numId w:val="36"/>
        </w:numPr>
        <w:bidi w:val="0"/>
        <w:rPr>
          <w:rFonts w:hint="eastAsia"/>
        </w:rPr>
      </w:pPr>
      <w:r>
        <w:rPr>
          <w:rFonts w:hint="eastAsia"/>
        </w:rPr>
        <w:t>遵守有关廉洁自律规定，不得私下接触供应商，不得收受供应商及有关业务单位和个人的财物或好处，不得接受招标采购单位的请托。</w:t>
      </w:r>
    </w:p>
    <w:p>
      <w:pPr>
        <w:pStyle w:val="32"/>
        <w:numPr>
          <w:ilvl w:val="1"/>
          <w:numId w:val="36"/>
        </w:numPr>
        <w:bidi w:val="0"/>
        <w:rPr>
          <w:rFonts w:hint="eastAsia"/>
          <w:lang w:eastAsia="zh-CN"/>
        </w:rPr>
      </w:pPr>
      <w:r>
        <w:rPr>
          <w:rFonts w:hint="eastAsia"/>
        </w:rPr>
        <w:t>有关部门(机构)制定的其他评审工作纪律</w:t>
      </w:r>
      <w:r>
        <w:rPr>
          <w:rFonts w:hint="eastAsia"/>
          <w:lang w:eastAsia="zh-CN"/>
        </w:rPr>
        <w:t>。</w:t>
      </w:r>
    </w:p>
    <w:p>
      <w:pPr>
        <w:pStyle w:val="34"/>
        <w:numPr>
          <w:ilvl w:val="1"/>
          <w:numId w:val="13"/>
        </w:numPr>
        <w:bidi w:val="0"/>
        <w:rPr>
          <w:rFonts w:hint="eastAsia"/>
        </w:rPr>
      </w:pPr>
      <w:bookmarkStart w:id="1134" w:name="_Toc8256"/>
      <w:bookmarkStart w:id="1135" w:name="_Toc26220"/>
      <w:bookmarkStart w:id="1136" w:name="_Toc30239"/>
      <w:bookmarkStart w:id="1137" w:name="_Toc23064"/>
      <w:r>
        <w:rPr>
          <w:rFonts w:hint="eastAsia"/>
        </w:rPr>
        <w:t>评标委员会及其成员不得有下列行为</w:t>
      </w:r>
      <w:bookmarkEnd w:id="1134"/>
      <w:bookmarkEnd w:id="1135"/>
      <w:bookmarkEnd w:id="1136"/>
      <w:bookmarkEnd w:id="1137"/>
    </w:p>
    <w:p>
      <w:pPr>
        <w:pStyle w:val="32"/>
        <w:numPr>
          <w:ilvl w:val="1"/>
          <w:numId w:val="37"/>
        </w:numPr>
        <w:bidi w:val="0"/>
        <w:rPr>
          <w:rFonts w:hint="eastAsia"/>
        </w:rPr>
      </w:pPr>
      <w:r>
        <w:rPr>
          <w:rFonts w:hint="eastAsia"/>
        </w:rPr>
        <w:t>确定参与评标至评标结束前私自接触投标人；</w:t>
      </w:r>
    </w:p>
    <w:p>
      <w:pPr>
        <w:pStyle w:val="32"/>
        <w:numPr>
          <w:ilvl w:val="1"/>
          <w:numId w:val="37"/>
        </w:numPr>
        <w:bidi w:val="0"/>
        <w:rPr>
          <w:rFonts w:hint="eastAsia"/>
        </w:rPr>
      </w:pPr>
      <w:r>
        <w:rPr>
          <w:rFonts w:hint="eastAsia"/>
        </w:rPr>
        <w:t>接受投标人提出的与投标文件不一致的澄清或者说明，《政府采购货物和服务招标投标管理办法》</w:t>
      </w:r>
      <w:r>
        <w:rPr>
          <w:rFonts w:hint="eastAsia"/>
          <w:lang w:eastAsia="zh-CN"/>
        </w:rPr>
        <w:t>(</w:t>
      </w:r>
      <w:r>
        <w:rPr>
          <w:rFonts w:hint="eastAsia"/>
        </w:rPr>
        <w:t>财政部令第87号</w:t>
      </w:r>
      <w:r>
        <w:rPr>
          <w:rFonts w:hint="eastAsia"/>
          <w:lang w:eastAsia="zh-CN"/>
        </w:rPr>
        <w:t>)</w:t>
      </w:r>
      <w:r>
        <w:rPr>
          <w:rFonts w:hint="eastAsia"/>
        </w:rPr>
        <w:t>第五十一条规定的情形除外；</w:t>
      </w:r>
    </w:p>
    <w:p>
      <w:pPr>
        <w:pStyle w:val="32"/>
        <w:numPr>
          <w:ilvl w:val="1"/>
          <w:numId w:val="37"/>
        </w:numPr>
        <w:bidi w:val="0"/>
        <w:rPr>
          <w:rFonts w:hint="eastAsia"/>
        </w:rPr>
      </w:pPr>
      <w:r>
        <w:rPr>
          <w:rFonts w:hint="eastAsia"/>
        </w:rPr>
        <w:t>违反评标纪律发表倾向性意见或者征询采购人的倾向性意见；</w:t>
      </w:r>
    </w:p>
    <w:p>
      <w:pPr>
        <w:pStyle w:val="32"/>
        <w:numPr>
          <w:ilvl w:val="1"/>
          <w:numId w:val="37"/>
        </w:numPr>
        <w:bidi w:val="0"/>
        <w:rPr>
          <w:rFonts w:hint="eastAsia"/>
        </w:rPr>
      </w:pPr>
      <w:r>
        <w:rPr>
          <w:rFonts w:hint="eastAsia"/>
        </w:rPr>
        <w:t>对需要专业判断的主观评审因素协商评分；</w:t>
      </w:r>
    </w:p>
    <w:p>
      <w:pPr>
        <w:pStyle w:val="32"/>
        <w:numPr>
          <w:ilvl w:val="1"/>
          <w:numId w:val="37"/>
        </w:numPr>
        <w:bidi w:val="0"/>
        <w:rPr>
          <w:rFonts w:hint="eastAsia"/>
        </w:rPr>
      </w:pPr>
      <w:r>
        <w:rPr>
          <w:rFonts w:hint="eastAsia"/>
        </w:rPr>
        <w:t>在评标过程中擅离职守，影响评标程序正常进行的；</w:t>
      </w:r>
    </w:p>
    <w:p>
      <w:pPr>
        <w:pStyle w:val="32"/>
        <w:numPr>
          <w:ilvl w:val="1"/>
          <w:numId w:val="37"/>
        </w:numPr>
        <w:bidi w:val="0"/>
        <w:rPr>
          <w:rFonts w:hint="eastAsia"/>
        </w:rPr>
      </w:pPr>
      <w:r>
        <w:rPr>
          <w:rFonts w:hint="eastAsia"/>
        </w:rPr>
        <w:t>记录、复制或者带走任何评标资料；</w:t>
      </w:r>
    </w:p>
    <w:p>
      <w:pPr>
        <w:pStyle w:val="32"/>
        <w:numPr>
          <w:ilvl w:val="1"/>
          <w:numId w:val="37"/>
        </w:numPr>
        <w:bidi w:val="0"/>
        <w:rPr>
          <w:rFonts w:hint="eastAsia"/>
        </w:rPr>
      </w:pPr>
      <w:r>
        <w:rPr>
          <w:rFonts w:hint="eastAsia"/>
        </w:rPr>
        <w:t>其他不遵守评标纪律的行为。</w:t>
      </w:r>
    </w:p>
    <w:p>
      <w:pPr>
        <w:pStyle w:val="46"/>
        <w:bidi w:val="0"/>
        <w:rPr>
          <w:rFonts w:hint="eastAsia"/>
        </w:rPr>
      </w:pPr>
      <w:r>
        <w:rPr>
          <w:rFonts w:hint="eastAsia"/>
        </w:rPr>
        <w:t>评标委员会成员有前款第一至五项行为之一的，其评审意见无效，并不得获取评审劳务报酬和报销异地评审差旅费。</w:t>
      </w:r>
    </w:p>
    <w:p>
      <w:pPr>
        <w:pStyle w:val="34"/>
        <w:numPr>
          <w:ilvl w:val="1"/>
          <w:numId w:val="13"/>
        </w:numPr>
        <w:bidi w:val="0"/>
        <w:rPr>
          <w:rFonts w:hint="eastAsia"/>
        </w:rPr>
      </w:pPr>
      <w:bookmarkStart w:id="1138" w:name="_Toc13225"/>
      <w:bookmarkStart w:id="1139" w:name="_Toc14826"/>
      <w:r>
        <w:rPr>
          <w:rFonts w:hint="eastAsia"/>
          <w:lang w:val="en-US" w:eastAsia="zh-CN"/>
        </w:rPr>
        <w:t>评标委员会及其成员不得有下列违约情形</w:t>
      </w:r>
      <w:bookmarkEnd w:id="1138"/>
      <w:bookmarkEnd w:id="1139"/>
    </w:p>
    <w:p>
      <w:pPr>
        <w:pStyle w:val="32"/>
        <w:numPr>
          <w:ilvl w:val="1"/>
          <w:numId w:val="38"/>
        </w:numPr>
        <w:bidi w:val="0"/>
        <w:rPr>
          <w:rFonts w:hint="eastAsia"/>
        </w:rPr>
      </w:pPr>
      <w:r>
        <w:rPr>
          <w:rFonts w:hint="eastAsia"/>
        </w:rPr>
        <w:t>答应参加评审活动后，无正当理由不参加或者迟到，且不及时告知抽取终端工作人员，导致评审活动无法正常进行的；</w:t>
      </w:r>
    </w:p>
    <w:p>
      <w:pPr>
        <w:pStyle w:val="32"/>
        <w:numPr>
          <w:ilvl w:val="1"/>
          <w:numId w:val="38"/>
        </w:numPr>
        <w:bidi w:val="0"/>
        <w:rPr>
          <w:rFonts w:hint="eastAsia"/>
        </w:rPr>
      </w:pPr>
      <w:r>
        <w:rPr>
          <w:rFonts w:hint="eastAsia"/>
        </w:rPr>
        <w:t>不遵守评审现场工作纪律的；</w:t>
      </w:r>
    </w:p>
    <w:p>
      <w:pPr>
        <w:pStyle w:val="32"/>
        <w:numPr>
          <w:ilvl w:val="1"/>
          <w:numId w:val="38"/>
        </w:numPr>
        <w:bidi w:val="0"/>
        <w:rPr>
          <w:rFonts w:hint="eastAsia"/>
        </w:rPr>
      </w:pPr>
      <w:r>
        <w:rPr>
          <w:rFonts w:hint="eastAsia"/>
        </w:rPr>
        <w:t>明显故意拖延评审时间的；</w:t>
      </w:r>
    </w:p>
    <w:p>
      <w:pPr>
        <w:pStyle w:val="32"/>
        <w:numPr>
          <w:ilvl w:val="1"/>
          <w:numId w:val="38"/>
        </w:numPr>
        <w:bidi w:val="0"/>
        <w:rPr>
          <w:rFonts w:hint="eastAsia"/>
        </w:rPr>
      </w:pPr>
      <w:r>
        <w:rPr>
          <w:rFonts w:hint="eastAsia"/>
        </w:rPr>
        <w:t>抄袭其他评审委员会成员的评审意见的；</w:t>
      </w:r>
    </w:p>
    <w:p>
      <w:pPr>
        <w:pStyle w:val="32"/>
        <w:numPr>
          <w:ilvl w:val="1"/>
          <w:numId w:val="38"/>
        </w:numPr>
        <w:bidi w:val="0"/>
        <w:rPr>
          <w:rFonts w:hint="eastAsia"/>
        </w:rPr>
      </w:pPr>
      <w:r>
        <w:rPr>
          <w:rFonts w:hint="eastAsia"/>
        </w:rPr>
        <w:t>不按照政府采购法律制度和采购文件的规定进行评审，导致评审过程、评审结果违法违规，情节轻微不构成行政处罚的；</w:t>
      </w:r>
    </w:p>
    <w:p>
      <w:pPr>
        <w:pStyle w:val="32"/>
        <w:numPr>
          <w:ilvl w:val="1"/>
          <w:numId w:val="38"/>
        </w:numPr>
        <w:bidi w:val="0"/>
        <w:rPr>
          <w:rFonts w:hint="eastAsia"/>
        </w:rPr>
      </w:pPr>
      <w:r>
        <w:rPr>
          <w:rFonts w:hint="eastAsia"/>
        </w:rPr>
        <w:t>索取高于规定的劳务报酬，或者要求先给付报酬再进行评审，或者因劳务报酬低而拒绝评审、拒绝签署评审报告的；</w:t>
      </w:r>
    </w:p>
    <w:p>
      <w:pPr>
        <w:pStyle w:val="32"/>
        <w:numPr>
          <w:ilvl w:val="1"/>
          <w:numId w:val="38"/>
        </w:numPr>
        <w:bidi w:val="0"/>
        <w:rPr>
          <w:rFonts w:hint="eastAsia"/>
        </w:rPr>
      </w:pPr>
      <w:r>
        <w:rPr>
          <w:rFonts w:hint="eastAsia"/>
        </w:rPr>
        <w:t>不按照《四川省政府采购评审专家管理实施办法》的规定记录或者反馈采购人或者采购代理机构的职责履行情况的；</w:t>
      </w:r>
    </w:p>
    <w:p>
      <w:pPr>
        <w:pStyle w:val="32"/>
        <w:numPr>
          <w:ilvl w:val="1"/>
          <w:numId w:val="38"/>
        </w:numPr>
        <w:bidi w:val="0"/>
        <w:rPr>
          <w:rFonts w:hint="eastAsia"/>
        </w:rPr>
      </w:pPr>
      <w:r>
        <w:rPr>
          <w:rFonts w:hint="eastAsia"/>
        </w:rPr>
        <w:t>存在其他违反政府采购法规制度，但不构成行政处罚行为的。</w:t>
      </w:r>
    </w:p>
    <w:p>
      <w:pPr>
        <w:pStyle w:val="42"/>
        <w:bidi w:val="0"/>
        <w:rPr>
          <w:rFonts w:hint="eastAsia"/>
        </w:rPr>
      </w:pPr>
    </w:p>
    <w:p>
      <w:pPr>
        <w:pStyle w:val="48"/>
        <w:numPr>
          <w:ilvl w:val="0"/>
          <w:numId w:val="13"/>
        </w:numPr>
        <w:bidi w:val="0"/>
        <w:rPr>
          <w:rFonts w:hint="eastAsia"/>
        </w:rPr>
      </w:pPr>
      <w:r>
        <w:rPr>
          <w:rFonts w:hint="eastAsia"/>
        </w:rPr>
        <w:br w:type="page"/>
      </w:r>
      <w:bookmarkEnd w:id="1133"/>
      <w:bookmarkStart w:id="1140" w:name="_Toc18908"/>
      <w:bookmarkStart w:id="1141" w:name="_Toc229"/>
      <w:bookmarkStart w:id="1142" w:name="_Toc7547"/>
      <w:bookmarkStart w:id="1143" w:name="_Toc13264"/>
      <w:bookmarkStart w:id="1144" w:name="_Toc7953"/>
      <w:r>
        <w:rPr>
          <w:rFonts w:hint="eastAsia"/>
        </w:rPr>
        <w:t>政府采购合同</w:t>
      </w:r>
      <w:bookmarkEnd w:id="1140"/>
      <w:bookmarkEnd w:id="1141"/>
      <w:bookmarkEnd w:id="1142"/>
      <w:bookmarkEnd w:id="1143"/>
      <w:r>
        <w:rPr>
          <w:rFonts w:hint="eastAsia"/>
          <w:lang w:val="en-US" w:eastAsia="zh-CN"/>
        </w:rPr>
        <w:t>(参考文本)</w:t>
      </w:r>
      <w:bookmarkEnd w:id="1144"/>
    </w:p>
    <w:p>
      <w:pPr>
        <w:pStyle w:val="42"/>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rPr>
      </w:pPr>
    </w:p>
    <w:p>
      <w:pPr>
        <w:pStyle w:val="42"/>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合同编号：</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lang w:val="en-US" w:eastAsia="zh-CN" w:bidi="ar-SA"/>
        </w:rPr>
        <w:t>(与项目编号一致)</w:t>
      </w:r>
    </w:p>
    <w:p>
      <w:pPr>
        <w:pStyle w:val="42"/>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计划号/备案号：</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lang w:val="en-US" w:eastAsia="zh-CN" w:bidi="ar-SA"/>
        </w:rPr>
        <w:t xml:space="preserve">                </w:t>
      </w:r>
    </w:p>
    <w:p>
      <w:pPr>
        <w:pStyle w:val="42"/>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签订地点：</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lang w:val="en-US" w:eastAsia="zh-CN" w:bidi="ar-SA"/>
        </w:rPr>
        <w:t xml:space="preserve">                     </w:t>
      </w:r>
    </w:p>
    <w:p>
      <w:pPr>
        <w:pStyle w:val="42"/>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签订时间：</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lang w:val="en-US" w:eastAsia="zh-CN" w:bidi="ar-SA"/>
        </w:rPr>
        <w:t xml:space="preserve">                     </w:t>
      </w:r>
    </w:p>
    <w:p>
      <w:pPr>
        <w:pStyle w:val="42"/>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采购人名称(甲方)：</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lang w:val="en-US" w:eastAsia="zh-CN" w:bidi="ar-SA"/>
        </w:rPr>
        <w:t xml:space="preserve">                              </w:t>
      </w:r>
    </w:p>
    <w:p>
      <w:pPr>
        <w:pStyle w:val="42"/>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中标人名称(乙方)：</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lang w:val="en-US" w:eastAsia="zh-CN" w:bidi="ar-SA"/>
        </w:rPr>
        <w:t xml:space="preserve">                          </w:t>
      </w:r>
    </w:p>
    <w:p>
      <w:pPr>
        <w:pStyle w:val="42"/>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rPr>
      </w:pPr>
      <w:r>
        <w:rPr>
          <w:rFonts w:hint="eastAsia" w:ascii="宋体" w:hAnsi="宋体" w:eastAsia="宋体" w:cs="宋体"/>
          <w:snapToGrid/>
          <w:color w:val="000000"/>
          <w:kern w:val="2"/>
          <w:sz w:val="24"/>
          <w:szCs w:val="24"/>
          <w:lang w:val="en-US" w:eastAsia="zh-CN" w:bidi="ar-SA"/>
        </w:rPr>
        <w:t>根据《中华人民共和国民法典》、《中华人民共和国政府采购法》、《中华人民共和国政府采购法实施条例》、《政府采购货物和服务招标投标管理办法》(财政部令第87号)及</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lang w:val="en-US" w:eastAsia="zh-CN" w:bidi="ar-SA"/>
        </w:rPr>
        <w:t xml:space="preserve"> (采购项目的名称)(项目编号：</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lang w:val="en-US" w:eastAsia="zh-CN" w:bidi="ar-SA"/>
        </w:rPr>
        <w:t xml:space="preserve"> (采购项目的编号))的《招标文件》、乙方的《投标文件》及《中标通知书》，甲、乙双方同意签订本合同。详细技术说明及其他有关合同项目的特定信息由合同附件予以说明，合同附件及本项目的采购文件、投标文件、《中标通知书》等均为本合同不可分割的部分。双方同意共同遵守如下条款：</w:t>
      </w:r>
      <w:bookmarkStart w:id="1145" w:name="_Toc32461"/>
    </w:p>
    <w:p>
      <w:pPr>
        <w:pStyle w:val="77"/>
        <w:bidi w:val="0"/>
        <w:rPr>
          <w:rFonts w:hint="eastAsia"/>
        </w:rPr>
      </w:pPr>
      <w:bookmarkStart w:id="1146" w:name="_Toc32487"/>
      <w:bookmarkStart w:id="1147" w:name="_Toc12918"/>
      <w:r>
        <w:rPr>
          <w:rFonts w:hint="eastAsia"/>
        </w:rPr>
        <w:t>项目基本情况</w:t>
      </w:r>
      <w:bookmarkEnd w:id="1146"/>
      <w:bookmarkEnd w:id="1147"/>
    </w:p>
    <w:p>
      <w:pPr>
        <w:rPr>
          <w:rFonts w:hint="eastAsia"/>
        </w:rPr>
      </w:pPr>
    </w:p>
    <w:p>
      <w:pPr>
        <w:pStyle w:val="77"/>
        <w:bidi w:val="0"/>
        <w:rPr>
          <w:rFonts w:hint="eastAsia"/>
        </w:rPr>
      </w:pPr>
      <w:bookmarkStart w:id="1148" w:name="_Toc32166"/>
      <w:bookmarkStart w:id="1149" w:name="_Toc13949"/>
      <w:r>
        <w:rPr>
          <w:rFonts w:hint="eastAsia"/>
        </w:rPr>
        <w:t>合同</w:t>
      </w:r>
      <w:r>
        <w:rPr>
          <w:rFonts w:hint="eastAsia"/>
          <w:lang w:val="en-US" w:eastAsia="zh-CN"/>
        </w:rPr>
        <w:t>履行</w:t>
      </w:r>
      <w:bookmarkEnd w:id="1148"/>
      <w:bookmarkEnd w:id="1149"/>
    </w:p>
    <w:p>
      <w:pPr>
        <w:pStyle w:val="32"/>
        <w:numPr>
          <w:ilvl w:val="1"/>
          <w:numId w:val="39"/>
        </w:numPr>
        <w:bidi w:val="0"/>
        <w:rPr>
          <w:rFonts w:hint="eastAsia"/>
          <w:lang w:val="en-US" w:eastAsia="zh-CN"/>
        </w:rPr>
      </w:pPr>
      <w:r>
        <w:rPr>
          <w:rFonts w:hint="eastAsia"/>
          <w:lang w:val="en-US" w:eastAsia="zh-CN"/>
        </w:rPr>
        <w:t>履约期限：</w:t>
      </w:r>
    </w:p>
    <w:p>
      <w:pPr>
        <w:pStyle w:val="32"/>
        <w:numPr>
          <w:ilvl w:val="1"/>
          <w:numId w:val="39"/>
        </w:numPr>
        <w:bidi w:val="0"/>
        <w:rPr>
          <w:rFonts w:hint="eastAsia"/>
          <w:lang w:val="en-US" w:eastAsia="zh-CN"/>
        </w:rPr>
      </w:pPr>
      <w:r>
        <w:rPr>
          <w:rFonts w:hint="eastAsia"/>
          <w:lang w:val="en-US" w:eastAsia="zh-CN"/>
        </w:rPr>
        <w:t>履行地点：</w:t>
      </w:r>
    </w:p>
    <w:p>
      <w:pPr>
        <w:pStyle w:val="32"/>
        <w:numPr>
          <w:ilvl w:val="1"/>
          <w:numId w:val="39"/>
        </w:numPr>
        <w:bidi w:val="0"/>
        <w:rPr>
          <w:rFonts w:hint="eastAsia"/>
          <w:lang w:val="en-US" w:eastAsia="zh-CN"/>
        </w:rPr>
      </w:pPr>
      <w:r>
        <w:rPr>
          <w:rFonts w:hint="eastAsia"/>
          <w:lang w:val="en-US" w:eastAsia="zh-CN"/>
        </w:rPr>
        <w:t>履约方式：</w:t>
      </w:r>
    </w:p>
    <w:p>
      <w:pPr>
        <w:pStyle w:val="77"/>
        <w:bidi w:val="0"/>
        <w:rPr>
          <w:rFonts w:hint="eastAsia"/>
        </w:rPr>
      </w:pPr>
      <w:bookmarkStart w:id="1150" w:name="_Toc7291"/>
      <w:bookmarkStart w:id="1151" w:name="_Toc25128"/>
      <w:bookmarkStart w:id="1152" w:name="_Toc283019214"/>
      <w:bookmarkStart w:id="1153" w:name="_Toc225244852"/>
      <w:bookmarkStart w:id="1154" w:name="_Toc238984975"/>
      <w:bookmarkStart w:id="1155" w:name="_Toc185395249"/>
      <w:bookmarkStart w:id="1156" w:name="_Toc239568418"/>
      <w:bookmarkStart w:id="1157" w:name="_Toc212019594"/>
      <w:bookmarkStart w:id="1158" w:name="_Toc251768862"/>
      <w:bookmarkStart w:id="1159" w:name="_Toc225654644"/>
      <w:bookmarkStart w:id="1160" w:name="_Toc237145406"/>
      <w:bookmarkStart w:id="1161" w:name="_Toc282696226"/>
      <w:bookmarkStart w:id="1162" w:name="_Toc225670751"/>
      <w:bookmarkStart w:id="1163" w:name="_Toc247334841"/>
      <w:bookmarkStart w:id="1164" w:name="_Toc239233914"/>
      <w:bookmarkStart w:id="1165" w:name="_Toc241833903"/>
      <w:bookmarkStart w:id="1166" w:name="_Toc232492928"/>
      <w:bookmarkStart w:id="1167" w:name="_Toc211911348"/>
      <w:bookmarkStart w:id="1168" w:name="_Toc211854449"/>
      <w:bookmarkStart w:id="1169" w:name="_Toc286993786"/>
      <w:r>
        <w:rPr>
          <w:rFonts w:hint="eastAsia"/>
          <w:lang w:val="en-US" w:eastAsia="zh-CN"/>
        </w:rPr>
        <w:t>合同标的</w:t>
      </w:r>
      <w:bookmarkEnd w:id="1150"/>
      <w:bookmarkEnd w:id="1151"/>
    </w:p>
    <w:p>
      <w:pPr>
        <w:pStyle w:val="32"/>
        <w:numPr>
          <w:ilvl w:val="1"/>
          <w:numId w:val="40"/>
        </w:numPr>
        <w:bidi w:val="0"/>
        <w:rPr>
          <w:rFonts w:hint="eastAsia"/>
          <w:lang w:val="en-US" w:eastAsia="zh-CN"/>
        </w:rPr>
      </w:pPr>
      <w:r>
        <w:rPr>
          <w:rFonts w:hint="eastAsia"/>
          <w:lang w:val="en-US" w:eastAsia="zh-CN"/>
        </w:rPr>
        <w:t>XXXX……；</w:t>
      </w:r>
    </w:p>
    <w:p>
      <w:pPr>
        <w:pStyle w:val="32"/>
        <w:numPr>
          <w:ilvl w:val="1"/>
          <w:numId w:val="40"/>
        </w:numPr>
        <w:bidi w:val="0"/>
        <w:rPr>
          <w:rFonts w:hint="eastAsia"/>
          <w:lang w:val="en-US" w:eastAsia="zh-CN"/>
        </w:rPr>
      </w:pPr>
      <w:r>
        <w:rPr>
          <w:rFonts w:hint="eastAsia"/>
          <w:lang w:val="en-US" w:eastAsia="zh-CN"/>
        </w:rPr>
        <w:t>数量(若涉及填写)；</w:t>
      </w:r>
    </w:p>
    <w:p>
      <w:pPr>
        <w:pStyle w:val="32"/>
        <w:numPr>
          <w:ilvl w:val="1"/>
          <w:numId w:val="40"/>
        </w:numPr>
        <w:bidi w:val="0"/>
        <w:rPr>
          <w:rFonts w:hint="eastAsia"/>
          <w:lang w:val="en-US" w:eastAsia="zh-CN"/>
        </w:rPr>
      </w:pPr>
      <w:r>
        <w:rPr>
          <w:rFonts w:hint="eastAsia"/>
          <w:lang w:val="en-US" w:eastAsia="zh-CN"/>
        </w:rPr>
        <w:t>质量(若涉及填写)；</w:t>
      </w:r>
    </w:p>
    <w:p>
      <w:pPr>
        <w:pStyle w:val="77"/>
        <w:bidi w:val="0"/>
        <w:rPr>
          <w:rFonts w:hint="eastAsia"/>
          <w:lang w:val="en-US" w:eastAsia="zh-CN"/>
        </w:rPr>
      </w:pPr>
      <w:bookmarkStart w:id="1170" w:name="_Toc8161"/>
      <w:bookmarkStart w:id="1171" w:name="_Toc17515"/>
      <w:r>
        <w:rPr>
          <w:rFonts w:hint="eastAsia"/>
        </w:rPr>
        <w:t>质量标准</w:t>
      </w:r>
      <w:bookmarkEnd w:id="1170"/>
      <w:bookmarkEnd w:id="1171"/>
    </w:p>
    <w:p>
      <w:pPr>
        <w:pStyle w:val="32"/>
        <w:numPr>
          <w:ilvl w:val="1"/>
          <w:numId w:val="41"/>
        </w:numPr>
        <w:bidi w:val="0"/>
        <w:rPr>
          <w:rFonts w:hint="eastAsia"/>
        </w:rPr>
      </w:pPr>
      <w:r>
        <w:rPr>
          <w:rFonts w:hint="eastAsia"/>
        </w:rPr>
        <w:t>XXXX；</w:t>
      </w:r>
    </w:p>
    <w:p>
      <w:pPr>
        <w:pStyle w:val="32"/>
        <w:numPr>
          <w:ilvl w:val="1"/>
          <w:numId w:val="41"/>
        </w:numPr>
        <w:bidi w:val="0"/>
        <w:rPr>
          <w:rFonts w:hint="eastAsia"/>
        </w:rPr>
      </w:pPr>
      <w:r>
        <w:rPr>
          <w:rFonts w:hint="eastAsia"/>
        </w:rPr>
        <w:t>XXXX；</w:t>
      </w:r>
    </w:p>
    <w:p>
      <w:pPr>
        <w:pStyle w:val="32"/>
        <w:numPr>
          <w:ilvl w:val="1"/>
          <w:numId w:val="41"/>
        </w:numPr>
        <w:bidi w:val="0"/>
        <w:rPr>
          <w:rFonts w:hint="eastAsia"/>
        </w:rPr>
      </w:pPr>
      <w:r>
        <w:rPr>
          <w:rFonts w:hint="eastAsia"/>
        </w:rPr>
        <w:t>XXXX．</w:t>
      </w:r>
    </w:p>
    <w:p>
      <w:pPr>
        <w:pStyle w:val="77"/>
        <w:bidi w:val="0"/>
        <w:rPr>
          <w:rFonts w:hint="eastAsia"/>
          <w:lang w:val="en-US" w:eastAsia="zh-CN"/>
        </w:rPr>
      </w:pPr>
      <w:bookmarkStart w:id="1172" w:name="_Toc32337"/>
      <w:bookmarkStart w:id="1173" w:name="_Toc11434"/>
      <w:r>
        <w:rPr>
          <w:rFonts w:hint="eastAsia"/>
          <w:lang w:val="en-US" w:eastAsia="zh-CN"/>
        </w:rPr>
        <w:t>验收要求</w:t>
      </w:r>
      <w:bookmarkEnd w:id="1172"/>
      <w:bookmarkEnd w:id="1173"/>
    </w:p>
    <w:p>
      <w:pPr>
        <w:pStyle w:val="32"/>
        <w:numPr>
          <w:ilvl w:val="1"/>
          <w:numId w:val="42"/>
        </w:numPr>
        <w:bidi w:val="0"/>
        <w:rPr>
          <w:rFonts w:hint="eastAsia"/>
        </w:rPr>
      </w:pPr>
      <w:r>
        <w:rPr>
          <w:rFonts w:hint="eastAsia"/>
        </w:rPr>
        <w:t>严格按照《财政部关于进一步加强政府采购需求和履约验收管理的指导意见》</w:t>
      </w:r>
      <w:r>
        <w:rPr>
          <w:rFonts w:hint="eastAsia"/>
          <w:lang w:eastAsia="zh-CN"/>
        </w:rPr>
        <w:t>(</w:t>
      </w:r>
      <w:r>
        <w:rPr>
          <w:rFonts w:hint="eastAsia"/>
        </w:rPr>
        <w:t>财库〔2016〕205号</w:t>
      </w:r>
      <w:r>
        <w:rPr>
          <w:rFonts w:hint="eastAsia"/>
          <w:lang w:eastAsia="zh-CN"/>
        </w:rPr>
        <w:t>)</w:t>
      </w:r>
      <w:r>
        <w:rPr>
          <w:rFonts w:hint="eastAsia"/>
        </w:rPr>
        <w:t>的要求进行验收。须符合国家有关规定、</w:t>
      </w:r>
      <w:r>
        <w:rPr>
          <w:rFonts w:hint="eastAsia"/>
          <w:lang w:val="en-US" w:eastAsia="zh-CN"/>
        </w:rPr>
        <w:t>磋商</w:t>
      </w:r>
      <w:r>
        <w:rPr>
          <w:rFonts w:hint="eastAsia"/>
        </w:rPr>
        <w:t>文件的质量要求和技术指标、供应商的</w:t>
      </w:r>
      <w:r>
        <w:rPr>
          <w:rFonts w:hint="eastAsia"/>
          <w:lang w:val="en-US" w:eastAsia="zh-CN"/>
        </w:rPr>
        <w:t>响应</w:t>
      </w:r>
      <w:r>
        <w:rPr>
          <w:rFonts w:hint="eastAsia"/>
        </w:rPr>
        <w:t>文件及承诺以及合同条款。</w:t>
      </w:r>
    </w:p>
    <w:p>
      <w:pPr>
        <w:pStyle w:val="32"/>
        <w:numPr>
          <w:ilvl w:val="1"/>
          <w:numId w:val="42"/>
        </w:numPr>
        <w:bidi w:val="0"/>
        <w:rPr>
          <w:rFonts w:hint="eastAsia"/>
        </w:rPr>
      </w:pPr>
      <w:r>
        <w:rPr>
          <w:rFonts w:hint="eastAsia"/>
        </w:rPr>
        <w:t>甲乙双方如对质量要求和技术指标的约定标准有相互抵触或异议的事项，由甲方在</w:t>
      </w:r>
      <w:r>
        <w:rPr>
          <w:rFonts w:hint="eastAsia"/>
          <w:lang w:val="en-US" w:eastAsia="zh-CN"/>
        </w:rPr>
        <w:t>响应</w:t>
      </w:r>
      <w:r>
        <w:rPr>
          <w:rFonts w:hint="eastAsia"/>
        </w:rPr>
        <w:t>文件中按质量要求和技术指标比较优胜的原则确定该项的约定标准进行验收；</w:t>
      </w:r>
    </w:p>
    <w:p>
      <w:pPr>
        <w:pStyle w:val="32"/>
        <w:numPr>
          <w:ilvl w:val="1"/>
          <w:numId w:val="42"/>
        </w:numPr>
        <w:bidi w:val="0"/>
        <w:rPr>
          <w:rFonts w:hint="eastAsia"/>
          <w:lang w:val="en-US" w:eastAsia="zh-CN"/>
        </w:rPr>
      </w:pPr>
      <w:r>
        <w:rPr>
          <w:rFonts w:hint="eastAsia"/>
        </w:rPr>
        <w:t>如质量验收合格，双方签署质量验收报告。</w:t>
      </w:r>
    </w:p>
    <w:p>
      <w:pPr>
        <w:pStyle w:val="77"/>
        <w:bidi w:val="0"/>
        <w:rPr>
          <w:rFonts w:hint="eastAsia"/>
        </w:rPr>
      </w:pPr>
      <w:bookmarkStart w:id="1174" w:name="_Toc15666"/>
      <w:bookmarkStart w:id="1175" w:name="_Toc23904"/>
      <w:r>
        <w:rPr>
          <w:rFonts w:hint="eastAsia"/>
          <w:lang w:val="en-US" w:eastAsia="zh-CN"/>
        </w:rPr>
        <w:t>合同价款</w:t>
      </w:r>
      <w:r>
        <w:rPr>
          <w:rFonts w:hint="eastAsia"/>
        </w:rPr>
        <w:t>及支付方式</w:t>
      </w:r>
      <w:bookmarkEnd w:id="1174"/>
      <w:bookmarkEnd w:id="1175"/>
    </w:p>
    <w:p>
      <w:pPr>
        <w:pStyle w:val="32"/>
        <w:numPr>
          <w:ilvl w:val="1"/>
          <w:numId w:val="43"/>
        </w:numPr>
        <w:bidi w:val="0"/>
        <w:rPr>
          <w:rFonts w:hint="eastAsia"/>
        </w:rPr>
      </w:pPr>
      <w:r>
        <w:rPr>
          <w:rFonts w:hint="eastAsia"/>
        </w:rPr>
        <w:t>本项目</w:t>
      </w:r>
      <w:r>
        <w:rPr>
          <w:rFonts w:hint="eastAsia"/>
          <w:lang w:val="en-US" w:eastAsia="zh-CN"/>
        </w:rPr>
        <w:t>合同价款</w:t>
      </w:r>
      <w:r>
        <w:rPr>
          <w:rFonts w:hint="eastAsia"/>
        </w:rPr>
        <w:t>由以下组成：</w:t>
      </w:r>
    </w:p>
    <w:p>
      <w:pPr>
        <w:pStyle w:val="32"/>
        <w:numPr>
          <w:ilvl w:val="1"/>
          <w:numId w:val="43"/>
        </w:numPr>
        <w:bidi w:val="0"/>
        <w:rPr>
          <w:rFonts w:hint="eastAsia"/>
        </w:rPr>
      </w:pPr>
      <w:r>
        <w:rPr>
          <w:rFonts w:hint="eastAsia"/>
        </w:rPr>
        <w:t>XX万元；</w:t>
      </w:r>
    </w:p>
    <w:p>
      <w:pPr>
        <w:pStyle w:val="32"/>
        <w:numPr>
          <w:ilvl w:val="1"/>
          <w:numId w:val="43"/>
        </w:numPr>
        <w:bidi w:val="0"/>
        <w:rPr>
          <w:rFonts w:hint="eastAsia"/>
        </w:rPr>
      </w:pPr>
      <w:r>
        <w:rPr>
          <w:rFonts w:hint="eastAsia"/>
        </w:rPr>
        <w:t>XX万元；</w:t>
      </w:r>
    </w:p>
    <w:p>
      <w:pPr>
        <w:pStyle w:val="32"/>
        <w:numPr>
          <w:ilvl w:val="1"/>
          <w:numId w:val="43"/>
        </w:numPr>
        <w:bidi w:val="0"/>
        <w:rPr>
          <w:rFonts w:hint="eastAsia"/>
        </w:rPr>
      </w:pPr>
      <w:r>
        <w:rPr>
          <w:rFonts w:hint="eastAsia"/>
        </w:rPr>
        <w:t>XX万元。</w:t>
      </w:r>
    </w:p>
    <w:p>
      <w:pPr>
        <w:pStyle w:val="32"/>
        <w:numPr>
          <w:ilvl w:val="1"/>
          <w:numId w:val="43"/>
        </w:numPr>
        <w:bidi w:val="0"/>
        <w:rPr>
          <w:rFonts w:hint="eastAsia"/>
        </w:rPr>
      </w:pPr>
      <w:r>
        <w:rPr>
          <w:rFonts w:hint="eastAsia"/>
        </w:rPr>
        <w:t>……</w:t>
      </w:r>
    </w:p>
    <w:p>
      <w:pPr>
        <w:pStyle w:val="32"/>
        <w:numPr>
          <w:ilvl w:val="1"/>
          <w:numId w:val="43"/>
        </w:numPr>
        <w:bidi w:val="0"/>
        <w:rPr>
          <w:rFonts w:hint="eastAsia"/>
        </w:rPr>
      </w:pPr>
      <w:r>
        <w:rPr>
          <w:rFonts w:hint="eastAsia"/>
        </w:rPr>
        <w:t xml:space="preserve">支付方式： </w:t>
      </w:r>
    </w:p>
    <w:p>
      <w:pPr>
        <w:pStyle w:val="77"/>
        <w:bidi w:val="0"/>
        <w:rPr>
          <w:rFonts w:hint="eastAsia"/>
        </w:rPr>
      </w:pPr>
      <w:bookmarkStart w:id="1176" w:name="_Toc30152"/>
      <w:bookmarkStart w:id="1177" w:name="_Toc2879"/>
      <w:r>
        <w:rPr>
          <w:rFonts w:hint="eastAsia"/>
        </w:rPr>
        <w:t>知识产权</w:t>
      </w:r>
      <w:bookmarkEnd w:id="1176"/>
      <w:bookmarkEnd w:id="1177"/>
    </w:p>
    <w:p>
      <w:pPr>
        <w:pStyle w:val="46"/>
        <w:bidi w:val="0"/>
        <w:rPr>
          <w:rFonts w:hint="eastAsia"/>
        </w:rPr>
      </w:pPr>
      <w:r>
        <w:rPr>
          <w:rFonts w:hint="eastAsia"/>
        </w:rPr>
        <w:t>乙方应保证所提供的服务或其任何一部分均不会侵犯任何第三方的专利权、商标权或著作权。</w:t>
      </w:r>
    </w:p>
    <w:p>
      <w:pPr>
        <w:pStyle w:val="77"/>
        <w:bidi w:val="0"/>
        <w:rPr>
          <w:rFonts w:hint="eastAsia"/>
        </w:rPr>
      </w:pPr>
      <w:bookmarkStart w:id="1178" w:name="_Toc31622"/>
      <w:bookmarkStart w:id="1179" w:name="_Toc12813"/>
      <w:r>
        <w:rPr>
          <w:rFonts w:hint="eastAsia"/>
        </w:rPr>
        <w:t>无产权瑕疵条款</w:t>
      </w:r>
      <w:bookmarkEnd w:id="1178"/>
      <w:bookmarkEnd w:id="1179"/>
    </w:p>
    <w:p>
      <w:pPr>
        <w:pStyle w:val="46"/>
        <w:bidi w:val="0"/>
        <w:rPr>
          <w:rFonts w:hint="eastAsia"/>
        </w:rPr>
      </w:pPr>
      <w:r>
        <w:rPr>
          <w:rFonts w:hint="eastAsia"/>
        </w:rPr>
        <w:t>乙方保证所提供的服务的所有权完全属于乙方且无任何抵押、查封等产权瑕疵。如有产权瑕疵的，视为乙方违约。乙方应负担由此而产生的一切损失。</w:t>
      </w:r>
    </w:p>
    <w:p>
      <w:pPr>
        <w:pStyle w:val="77"/>
        <w:bidi w:val="0"/>
        <w:rPr>
          <w:rFonts w:hint="eastAsia"/>
        </w:rPr>
      </w:pPr>
      <w:bookmarkStart w:id="1180" w:name="_Toc6928"/>
      <w:bookmarkStart w:id="1181" w:name="_Toc28216"/>
      <w:r>
        <w:rPr>
          <w:rFonts w:hint="eastAsia"/>
        </w:rPr>
        <w:t>履约保证金</w:t>
      </w:r>
      <w:bookmarkEnd w:id="1180"/>
      <w:bookmarkEnd w:id="1181"/>
    </w:p>
    <w:p>
      <w:pPr>
        <w:pStyle w:val="32"/>
        <w:numPr>
          <w:ilvl w:val="1"/>
          <w:numId w:val="0"/>
        </w:numPr>
        <w:bidi w:val="0"/>
        <w:ind w:leftChars="200"/>
        <w:rPr>
          <w:rFonts w:hint="eastAsia"/>
        </w:rPr>
      </w:pPr>
      <w:r>
        <w:rPr>
          <w:rFonts w:hint="eastAsia"/>
          <w:lang w:val="en-US" w:eastAsia="zh-CN"/>
        </w:rPr>
        <w:t>本项目不涉及</w:t>
      </w:r>
      <w:r>
        <w:rPr>
          <w:rFonts w:hint="eastAsia"/>
        </w:rPr>
        <w:t>。</w:t>
      </w:r>
    </w:p>
    <w:p>
      <w:pPr>
        <w:pStyle w:val="77"/>
        <w:bidi w:val="0"/>
        <w:rPr>
          <w:rFonts w:hint="eastAsia"/>
        </w:rPr>
      </w:pPr>
      <w:bookmarkStart w:id="1182" w:name="_Toc15281"/>
      <w:bookmarkStart w:id="1183" w:name="_Toc4881"/>
      <w:r>
        <w:rPr>
          <w:rFonts w:hint="eastAsia"/>
        </w:rPr>
        <w:t>甲方的权利和义务</w:t>
      </w:r>
      <w:bookmarkEnd w:id="1182"/>
      <w:bookmarkEnd w:id="1183"/>
    </w:p>
    <w:p>
      <w:pPr>
        <w:pStyle w:val="32"/>
        <w:numPr>
          <w:ilvl w:val="1"/>
          <w:numId w:val="44"/>
        </w:numPr>
        <w:bidi w:val="0"/>
        <w:rPr>
          <w:rFonts w:hint="eastAsia"/>
        </w:rPr>
      </w:pPr>
      <w:r>
        <w:rPr>
          <w:rFonts w:hint="eastAsia"/>
        </w:rPr>
        <w:t>甲方有权对合同规定范围内乙方的服务行为进行监督和检查，拥有监管权。有权定期核对乙方提供服务所配备的人员数量。对甲方认为不合理的部分有权下达整改通知书，并要求乙方限期整改。</w:t>
      </w:r>
    </w:p>
    <w:p>
      <w:pPr>
        <w:pStyle w:val="32"/>
        <w:numPr>
          <w:ilvl w:val="1"/>
          <w:numId w:val="44"/>
        </w:numPr>
        <w:bidi w:val="0"/>
        <w:rPr>
          <w:rFonts w:hint="eastAsia"/>
        </w:rPr>
      </w:pPr>
      <w:r>
        <w:rPr>
          <w:rFonts w:hint="eastAsia"/>
        </w:rPr>
        <w:t>负责检查监督乙方管理工作的实施及制度的执行情况。</w:t>
      </w:r>
    </w:p>
    <w:p>
      <w:pPr>
        <w:pStyle w:val="32"/>
        <w:numPr>
          <w:ilvl w:val="1"/>
          <w:numId w:val="44"/>
        </w:numPr>
        <w:bidi w:val="0"/>
        <w:rPr>
          <w:rFonts w:hint="eastAsia"/>
        </w:rPr>
      </w:pPr>
      <w:r>
        <w:rPr>
          <w:rFonts w:hint="eastAsia"/>
        </w:rPr>
        <w:t>根据本合同规定，按时向乙方支付应付服务费用。</w:t>
      </w:r>
    </w:p>
    <w:p>
      <w:pPr>
        <w:pStyle w:val="32"/>
        <w:numPr>
          <w:ilvl w:val="1"/>
          <w:numId w:val="44"/>
        </w:numPr>
        <w:bidi w:val="0"/>
        <w:rPr>
          <w:rFonts w:hint="eastAsia"/>
        </w:rPr>
      </w:pPr>
      <w:r>
        <w:rPr>
          <w:rFonts w:hint="eastAsia"/>
        </w:rPr>
        <w:t>国家法律、法规所规定由甲方承担的其它责任。</w:t>
      </w:r>
    </w:p>
    <w:p>
      <w:pPr>
        <w:pStyle w:val="77"/>
        <w:bidi w:val="0"/>
        <w:rPr>
          <w:rFonts w:hint="eastAsia"/>
        </w:rPr>
      </w:pPr>
      <w:bookmarkStart w:id="1184" w:name="_Toc21413"/>
      <w:bookmarkStart w:id="1185" w:name="_Toc11005"/>
      <w:r>
        <w:rPr>
          <w:rFonts w:hint="eastAsia"/>
        </w:rPr>
        <w:t>乙方的权利和义务</w:t>
      </w:r>
      <w:bookmarkEnd w:id="1184"/>
      <w:bookmarkEnd w:id="1185"/>
    </w:p>
    <w:p>
      <w:pPr>
        <w:pStyle w:val="32"/>
        <w:numPr>
          <w:ilvl w:val="1"/>
          <w:numId w:val="45"/>
        </w:numPr>
        <w:bidi w:val="0"/>
        <w:rPr>
          <w:rFonts w:hint="eastAsia"/>
        </w:rPr>
      </w:pPr>
      <w:r>
        <w:rPr>
          <w:rFonts w:hint="eastAsia"/>
        </w:rPr>
        <w:t>对本合同规定的委托服务范围内的项目享有管理权及服务义务。</w:t>
      </w:r>
    </w:p>
    <w:p>
      <w:pPr>
        <w:pStyle w:val="32"/>
        <w:numPr>
          <w:ilvl w:val="1"/>
          <w:numId w:val="45"/>
        </w:numPr>
        <w:bidi w:val="0"/>
        <w:rPr>
          <w:rFonts w:hint="eastAsia"/>
        </w:rPr>
      </w:pPr>
      <w:r>
        <w:rPr>
          <w:rFonts w:hint="eastAsia"/>
        </w:rPr>
        <w:t>根据本合同的规定向甲方收取相关服务费用，并有权在本项目管理范围内管理及合理使用。</w:t>
      </w:r>
    </w:p>
    <w:p>
      <w:pPr>
        <w:pStyle w:val="32"/>
        <w:numPr>
          <w:ilvl w:val="1"/>
          <w:numId w:val="45"/>
        </w:numPr>
        <w:bidi w:val="0"/>
        <w:rPr>
          <w:rFonts w:hint="eastAsia"/>
        </w:rPr>
      </w:pPr>
      <w:r>
        <w:rPr>
          <w:rFonts w:hint="eastAsia"/>
        </w:rPr>
        <w:t>及时向甲方通告本项目服务范围内有关服务的重大事项，及时配合处理投诉。</w:t>
      </w:r>
    </w:p>
    <w:p>
      <w:pPr>
        <w:pStyle w:val="32"/>
        <w:numPr>
          <w:ilvl w:val="1"/>
          <w:numId w:val="45"/>
        </w:numPr>
        <w:bidi w:val="0"/>
        <w:rPr>
          <w:rFonts w:hint="eastAsia"/>
        </w:rPr>
      </w:pPr>
      <w:r>
        <w:rPr>
          <w:rFonts w:hint="eastAsia"/>
        </w:rPr>
        <w:t>接受项目行业管理部门及政府有关部门的指导，接受甲方的监督。</w:t>
      </w:r>
    </w:p>
    <w:p>
      <w:pPr>
        <w:pStyle w:val="32"/>
        <w:numPr>
          <w:ilvl w:val="1"/>
          <w:numId w:val="45"/>
        </w:numPr>
        <w:bidi w:val="0"/>
        <w:rPr>
          <w:rFonts w:hint="eastAsia"/>
        </w:rPr>
      </w:pPr>
      <w:r>
        <w:rPr>
          <w:rFonts w:hint="eastAsia"/>
        </w:rPr>
        <w:t>国家法律、法规所规定由乙方承担的其它责任。</w:t>
      </w:r>
    </w:p>
    <w:p>
      <w:pPr>
        <w:pStyle w:val="77"/>
        <w:bidi w:val="0"/>
        <w:rPr>
          <w:rFonts w:hint="eastAsia"/>
        </w:rPr>
      </w:pPr>
      <w:bookmarkStart w:id="1186" w:name="_Toc32000"/>
      <w:bookmarkStart w:id="1187" w:name="_Toc21184"/>
      <w:r>
        <w:rPr>
          <w:rFonts w:hint="eastAsia"/>
        </w:rPr>
        <w:t>违约责任</w:t>
      </w:r>
      <w:bookmarkEnd w:id="1186"/>
      <w:bookmarkEnd w:id="1187"/>
    </w:p>
    <w:p>
      <w:pPr>
        <w:pStyle w:val="32"/>
        <w:numPr>
          <w:ilvl w:val="1"/>
          <w:numId w:val="46"/>
        </w:numPr>
        <w:bidi w:val="0"/>
        <w:rPr>
          <w:rFonts w:hint="eastAsia"/>
        </w:rPr>
      </w:pPr>
      <w:r>
        <w:rPr>
          <w:rFonts w:hint="eastAsia"/>
        </w:rPr>
        <w:t>甲乙双方必须遵守本合同并执行合同中的各项规定，保证本合同的正常履行。</w:t>
      </w:r>
    </w:p>
    <w:p>
      <w:pPr>
        <w:pStyle w:val="32"/>
        <w:numPr>
          <w:ilvl w:val="1"/>
          <w:numId w:val="46"/>
        </w:numPr>
        <w:bidi w:val="0"/>
        <w:rPr>
          <w:rFonts w:hint="eastAsia"/>
        </w:rPr>
      </w:pPr>
      <w:r>
        <w:rPr>
          <w:rFonts w:hint="eastAsia"/>
        </w:rPr>
        <w:t>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pStyle w:val="77"/>
        <w:bidi w:val="0"/>
        <w:rPr>
          <w:rFonts w:hint="eastAsia"/>
        </w:rPr>
      </w:pPr>
      <w:bookmarkStart w:id="1188" w:name="_Toc26714"/>
      <w:bookmarkStart w:id="1189" w:name="_Toc11510"/>
      <w:r>
        <w:rPr>
          <w:rFonts w:hint="eastAsia"/>
        </w:rPr>
        <w:t>不可抗力事件处理</w:t>
      </w:r>
      <w:bookmarkEnd w:id="1188"/>
      <w:bookmarkEnd w:id="1189"/>
    </w:p>
    <w:p>
      <w:pPr>
        <w:pStyle w:val="32"/>
        <w:numPr>
          <w:ilvl w:val="1"/>
          <w:numId w:val="47"/>
        </w:numPr>
        <w:bidi w:val="0"/>
        <w:rPr>
          <w:rFonts w:hint="eastAsia"/>
        </w:rPr>
      </w:pPr>
      <w:r>
        <w:rPr>
          <w:rFonts w:hint="eastAsia"/>
        </w:rPr>
        <w:t>在合同有效期内，任何一方因不可抗力事件导致不能履行合同，则合同履行期可延长，其延长期与不可抗力影响期相同。</w:t>
      </w:r>
    </w:p>
    <w:p>
      <w:pPr>
        <w:pStyle w:val="32"/>
        <w:numPr>
          <w:ilvl w:val="1"/>
          <w:numId w:val="47"/>
        </w:numPr>
        <w:bidi w:val="0"/>
        <w:rPr>
          <w:rFonts w:hint="eastAsia"/>
        </w:rPr>
      </w:pPr>
      <w:r>
        <w:rPr>
          <w:rFonts w:hint="eastAsia"/>
        </w:rPr>
        <w:t>不可抗力事件发生后，应立即通知对方，并寄送有关权威机构出具的证明。</w:t>
      </w:r>
    </w:p>
    <w:p>
      <w:pPr>
        <w:pStyle w:val="32"/>
        <w:numPr>
          <w:ilvl w:val="1"/>
          <w:numId w:val="47"/>
        </w:numPr>
        <w:bidi w:val="0"/>
        <w:rPr>
          <w:rFonts w:hint="eastAsia"/>
        </w:rPr>
      </w:pPr>
      <w:r>
        <w:rPr>
          <w:rFonts w:hint="eastAsia"/>
        </w:rPr>
        <w:t>不可抗力事件延续XX天以上，双方应通过友好协商，确定是否继续履行合同。</w:t>
      </w:r>
    </w:p>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Pr>
        <w:pStyle w:val="77"/>
        <w:bidi w:val="0"/>
        <w:rPr>
          <w:rFonts w:hint="eastAsia"/>
        </w:rPr>
      </w:pPr>
      <w:bookmarkStart w:id="1190" w:name="_Toc232492933"/>
      <w:bookmarkStart w:id="1191" w:name="_Toc238984980"/>
      <w:bookmarkStart w:id="1192" w:name="_Toc211854454"/>
      <w:bookmarkStart w:id="1193" w:name="_Toc185395254"/>
      <w:bookmarkStart w:id="1194" w:name="_Toc247334846"/>
      <w:bookmarkStart w:id="1195" w:name="_Toc286993792"/>
      <w:bookmarkStart w:id="1196" w:name="_Toc225244857"/>
      <w:bookmarkStart w:id="1197" w:name="_Toc225654649"/>
      <w:bookmarkStart w:id="1198" w:name="_Toc239568423"/>
      <w:bookmarkStart w:id="1199" w:name="_Toc241833908"/>
      <w:bookmarkStart w:id="1200" w:name="_Toc239233919"/>
      <w:bookmarkStart w:id="1201" w:name="_Toc251768867"/>
      <w:bookmarkStart w:id="1202" w:name="_Toc211911353"/>
      <w:bookmarkStart w:id="1203" w:name="_Toc237145411"/>
      <w:bookmarkStart w:id="1204" w:name="_Toc225670756"/>
      <w:bookmarkStart w:id="1205" w:name="_Toc212019599"/>
      <w:bookmarkStart w:id="1206" w:name="_Toc23048"/>
      <w:bookmarkStart w:id="1207" w:name="_Toc11897"/>
      <w:r>
        <w:rPr>
          <w:rFonts w:hint="eastAsia"/>
        </w:rPr>
        <w:t>解决</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r>
        <w:rPr>
          <w:rFonts w:hint="eastAsia"/>
          <w:lang w:val="en-US" w:eastAsia="zh-CN"/>
        </w:rPr>
        <w:t>争议的方法</w:t>
      </w:r>
      <w:bookmarkEnd w:id="1206"/>
      <w:bookmarkEnd w:id="1207"/>
    </w:p>
    <w:p>
      <w:pPr>
        <w:pStyle w:val="32"/>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lang w:val="en-US" w:eastAsia="zh-CN"/>
        </w:rPr>
      </w:pPr>
      <w:r>
        <w:rPr>
          <w:rStyle w:val="58"/>
          <w:rFonts w:hint="eastAsia"/>
          <w:lang w:val="en-US" w:eastAsia="zh-CN"/>
        </w:rPr>
        <w:t>因服务的质量问题发生争议，由甲方或其指定的第三方机构进行质量鉴定。服务符合标准的，</w:t>
      </w:r>
      <w:r>
        <w:rPr>
          <w:rFonts w:hint="eastAsia"/>
          <w:lang w:val="en-US" w:eastAsia="zh-CN"/>
        </w:rPr>
        <w:t>鉴定费由甲方承担；服务不符合质量标准的，鉴定费由乙方承担。</w:t>
      </w:r>
    </w:p>
    <w:p>
      <w:pPr>
        <w:pStyle w:val="46"/>
        <w:bidi w:val="0"/>
        <w:rPr>
          <w:rFonts w:hint="eastAsia"/>
          <w:lang w:val="en-US" w:eastAsia="zh-CN"/>
        </w:rPr>
      </w:pPr>
      <w:r>
        <w:rPr>
          <w:rFonts w:hint="eastAsia"/>
          <w:lang w:val="en-US" w:eastAsia="zh-CN"/>
        </w:rPr>
        <w:t>合同履行期间,若双方发生争议，可协商或由有关部门调解解决，协商或调解不成的，按照下列方式解决向</w:t>
      </w:r>
      <w:r>
        <w:rPr>
          <w:rFonts w:hint="eastAsia"/>
          <w:u w:val="none"/>
          <w:lang w:val="en-US" w:eastAsia="zh-CN"/>
        </w:rPr>
        <w:t>甲方</w:t>
      </w:r>
      <w:r>
        <w:rPr>
          <w:rFonts w:hint="eastAsia"/>
          <w:lang w:val="en-US" w:eastAsia="zh-CN"/>
        </w:rPr>
        <w:t>所在地人民法院起诉。</w:t>
      </w:r>
    </w:p>
    <w:p>
      <w:pPr>
        <w:pStyle w:val="77"/>
        <w:bidi w:val="0"/>
        <w:rPr>
          <w:rFonts w:hint="eastAsia"/>
        </w:rPr>
      </w:pPr>
      <w:bookmarkStart w:id="1208" w:name="_Toc211854455"/>
      <w:bookmarkStart w:id="1209" w:name="_Toc247334847"/>
      <w:bookmarkStart w:id="1210" w:name="_Toc232492934"/>
      <w:bookmarkStart w:id="1211" w:name="_Toc238984981"/>
      <w:bookmarkStart w:id="1212" w:name="_Toc225654650"/>
      <w:bookmarkStart w:id="1213" w:name="_Toc286993793"/>
      <w:bookmarkStart w:id="1214" w:name="_Toc239233920"/>
      <w:bookmarkStart w:id="1215" w:name="_Toc225244858"/>
      <w:bookmarkStart w:id="1216" w:name="_Toc239568424"/>
      <w:bookmarkStart w:id="1217" w:name="_Toc237145412"/>
      <w:bookmarkStart w:id="1218" w:name="_Toc211911354"/>
      <w:bookmarkStart w:id="1219" w:name="_Toc185395255"/>
      <w:bookmarkStart w:id="1220" w:name="_Toc241833909"/>
      <w:bookmarkStart w:id="1221" w:name="_Toc212019600"/>
      <w:bookmarkStart w:id="1222" w:name="_Toc282696231"/>
      <w:bookmarkStart w:id="1223" w:name="_Toc251768868"/>
      <w:bookmarkStart w:id="1224" w:name="_Toc225670757"/>
      <w:bookmarkStart w:id="1225" w:name="_Toc283019219"/>
      <w:bookmarkStart w:id="1226" w:name="_Toc20264"/>
      <w:bookmarkStart w:id="1227" w:name="_Toc18505"/>
      <w:r>
        <w:rPr>
          <w:rFonts w:hint="eastAsia"/>
        </w:rPr>
        <w:t>合同</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r>
        <w:rPr>
          <w:rFonts w:hint="eastAsia"/>
        </w:rPr>
        <w:t>生效及其他</w:t>
      </w:r>
      <w:bookmarkEnd w:id="1226"/>
      <w:bookmarkEnd w:id="1227"/>
    </w:p>
    <w:p>
      <w:pPr>
        <w:pStyle w:val="32"/>
        <w:keepNext w:val="0"/>
        <w:keepLines w:val="0"/>
        <w:pageBreakBefore w:val="0"/>
        <w:widowControl w:val="0"/>
        <w:numPr>
          <w:ilvl w:val="1"/>
          <w:numId w:val="48"/>
        </w:numPr>
        <w:kinsoku/>
        <w:overflowPunct/>
        <w:bidi w:val="0"/>
        <w:adjustRightInd w:val="0"/>
        <w:snapToGrid w:val="0"/>
        <w:spacing w:line="440" w:lineRule="exact"/>
        <w:textAlignment w:val="auto"/>
        <w:rPr>
          <w:rFonts w:hint="eastAsia"/>
        </w:rPr>
      </w:pPr>
      <w:r>
        <w:rPr>
          <w:rFonts w:hint="eastAsia"/>
        </w:rPr>
        <w:t>合同经双方法定代表人或授权委托代理人签字并加盖单位公章后生效。</w:t>
      </w:r>
    </w:p>
    <w:p>
      <w:pPr>
        <w:pStyle w:val="32"/>
        <w:keepNext w:val="0"/>
        <w:keepLines w:val="0"/>
        <w:pageBreakBefore w:val="0"/>
        <w:widowControl w:val="0"/>
        <w:numPr>
          <w:ilvl w:val="1"/>
          <w:numId w:val="48"/>
        </w:numPr>
        <w:kinsoku/>
        <w:overflowPunct/>
        <w:bidi w:val="0"/>
        <w:adjustRightInd w:val="0"/>
        <w:snapToGrid w:val="0"/>
        <w:spacing w:line="440" w:lineRule="exact"/>
        <w:textAlignment w:val="auto"/>
        <w:rPr>
          <w:rFonts w:hint="eastAsia"/>
        </w:rPr>
      </w:pPr>
      <w:r>
        <w:rPr>
          <w:rFonts w:hint="eastAsia"/>
        </w:rPr>
        <w:t>合同执行中涉及采购资金和采购内容修改或补充的，须经政府采购监管部门审批，并签书面补充协议报政府采购监督管理部门备案，方可作为主合同不可分割的一部分。</w:t>
      </w:r>
    </w:p>
    <w:p>
      <w:pPr>
        <w:keepNext w:val="0"/>
        <w:keepLines w:val="0"/>
        <w:pageBreakBefore w:val="0"/>
        <w:widowControl w:val="0"/>
        <w:kinsoku/>
        <w:overflowPunct/>
        <w:autoSpaceDE w:val="0"/>
        <w:autoSpaceDN w:val="0"/>
        <w:bidi w:val="0"/>
        <w:adjustRightInd w:val="0"/>
        <w:snapToGrid w:val="0"/>
        <w:spacing w:after="0" w:line="440" w:lineRule="exact"/>
        <w:ind w:firstLine="480" w:firstLineChars="200"/>
        <w:textAlignment w:val="auto"/>
        <w:outlineLvl w:val="9"/>
        <w:rPr>
          <w:rFonts w:hint="eastAsia" w:ascii="宋体" w:hAnsi="宋体" w:eastAsia="宋体" w:cs="宋体"/>
          <w:color w:val="000000"/>
          <w:sz w:val="24"/>
          <w:szCs w:val="24"/>
        </w:rPr>
      </w:pPr>
      <w:r>
        <w:rPr>
          <w:rFonts w:hint="eastAsia"/>
        </w:rPr>
        <w:t>本合同一式XX份，自双方签章之日起起效。甲方XX份，乙方XX份，政府采购代理机构XX份，同级财政部门备案XX份，具有同等法律效力</w:t>
      </w:r>
      <w:r>
        <w:rPr>
          <w:rFonts w:hint="eastAsia" w:ascii="宋体" w:hAnsi="宋体" w:eastAsia="宋体" w:cs="宋体"/>
          <w:color w:val="000000"/>
          <w:sz w:val="24"/>
          <w:szCs w:val="24"/>
        </w:rPr>
        <w:t xml:space="preserve">。 </w:t>
      </w:r>
    </w:p>
    <w:p>
      <w:pPr>
        <w:keepNext w:val="0"/>
        <w:keepLines w:val="0"/>
        <w:pageBreakBefore w:val="0"/>
        <w:widowControl w:val="0"/>
        <w:kinsoku/>
        <w:overflowPunct/>
        <w:autoSpaceDE w:val="0"/>
        <w:autoSpaceDN w:val="0"/>
        <w:bidi w:val="0"/>
        <w:adjustRightInd w:val="0"/>
        <w:snapToGrid/>
        <w:spacing w:after="0" w:line="360" w:lineRule="auto"/>
        <w:ind w:firstLine="482" w:firstLineChars="200"/>
        <w:textAlignment w:val="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第十</w:t>
      </w:r>
      <w:r>
        <w:rPr>
          <w:rFonts w:hint="eastAsia" w:ascii="宋体" w:hAnsi="宋体" w:eastAsia="宋体" w:cs="宋体"/>
          <w:b/>
          <w:color w:val="000000"/>
          <w:sz w:val="24"/>
          <w:szCs w:val="24"/>
          <w:lang w:val="en-US" w:eastAsia="zh-CN"/>
        </w:rPr>
        <w:t>三</w:t>
      </w:r>
      <w:r>
        <w:rPr>
          <w:rFonts w:hint="eastAsia" w:ascii="宋体" w:hAnsi="宋体" w:eastAsia="宋体" w:cs="宋体"/>
          <w:b/>
          <w:color w:val="000000"/>
          <w:sz w:val="24"/>
          <w:szCs w:val="24"/>
        </w:rPr>
        <w:t>条</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rPr>
        <w:t>附件</w:t>
      </w:r>
      <w:bookmarkEnd w:id="1145"/>
    </w:p>
    <w:p>
      <w:pPr>
        <w:keepNext w:val="0"/>
        <w:keepLines w:val="0"/>
        <w:pageBreakBefore w:val="0"/>
        <w:widowControl w:val="0"/>
        <w:kinsoku/>
        <w:overflowPunct/>
        <w:autoSpaceDE w:val="0"/>
        <w:autoSpaceDN w:val="0"/>
        <w:bidi w:val="0"/>
        <w:adjustRightInd w:val="0"/>
        <w:snapToGrid/>
        <w:spacing w:after="0" w:line="360" w:lineRule="auto"/>
        <w:ind w:firstLine="480" w:firstLineChars="200"/>
        <w:textAlignment w:val="auto"/>
        <w:outlineLvl w:val="9"/>
        <w:rPr>
          <w:rFonts w:hint="eastAsia" w:ascii="宋体" w:hAnsi="宋体" w:eastAsia="宋体" w:cs="宋体"/>
          <w:color w:val="000000"/>
          <w:sz w:val="24"/>
          <w:szCs w:val="24"/>
          <w:lang w:val="en-US" w:eastAsia="zh-CN"/>
        </w:rPr>
      </w:pPr>
      <w:bookmarkStart w:id="1228" w:name="_Toc29863"/>
      <w:bookmarkStart w:id="1229" w:name="_Toc20191"/>
      <w:r>
        <w:rPr>
          <w:rFonts w:hint="eastAsia" w:cs="宋体"/>
          <w:color w:val="000000"/>
          <w:sz w:val="24"/>
          <w:szCs w:val="24"/>
          <w:lang w:val="en-US" w:eastAsia="zh-CN"/>
        </w:rPr>
        <w:t>1、</w:t>
      </w:r>
      <w:r>
        <w:rPr>
          <w:rFonts w:hint="eastAsia" w:ascii="宋体" w:hAnsi="宋体" w:eastAsia="宋体" w:cs="宋体"/>
          <w:color w:val="000000"/>
          <w:sz w:val="24"/>
          <w:szCs w:val="24"/>
          <w:lang w:val="en-US" w:eastAsia="zh-CN"/>
        </w:rPr>
        <w:t>《招标文件》；</w:t>
      </w:r>
      <w:bookmarkEnd w:id="1228"/>
      <w:bookmarkEnd w:id="1229"/>
    </w:p>
    <w:p>
      <w:pPr>
        <w:keepNext w:val="0"/>
        <w:keepLines w:val="0"/>
        <w:pageBreakBefore w:val="0"/>
        <w:widowControl w:val="0"/>
        <w:kinsoku/>
        <w:overflowPunct/>
        <w:autoSpaceDE w:val="0"/>
        <w:autoSpaceDN w:val="0"/>
        <w:bidi w:val="0"/>
        <w:adjustRightInd w:val="0"/>
        <w:snapToGrid/>
        <w:spacing w:after="0" w:line="360" w:lineRule="auto"/>
        <w:ind w:firstLine="480" w:firstLineChars="200"/>
        <w:textAlignment w:val="auto"/>
        <w:outlineLvl w:val="9"/>
        <w:rPr>
          <w:rFonts w:hint="eastAsia" w:ascii="宋体" w:hAnsi="宋体" w:eastAsia="宋体" w:cs="宋体"/>
          <w:color w:val="000000"/>
          <w:sz w:val="24"/>
          <w:szCs w:val="24"/>
          <w:lang w:val="en-US" w:eastAsia="zh-CN"/>
        </w:rPr>
      </w:pPr>
      <w:bookmarkStart w:id="1230" w:name="_Toc11584"/>
      <w:bookmarkStart w:id="1231" w:name="_Toc16175"/>
      <w:r>
        <w:rPr>
          <w:rFonts w:hint="eastAsia" w:cs="宋体"/>
          <w:color w:val="000000"/>
          <w:sz w:val="24"/>
          <w:szCs w:val="24"/>
          <w:lang w:val="en-US" w:eastAsia="zh-CN"/>
        </w:rPr>
        <w:t>2、</w:t>
      </w:r>
      <w:r>
        <w:rPr>
          <w:rFonts w:hint="eastAsia" w:ascii="宋体" w:hAnsi="宋体" w:eastAsia="宋体" w:cs="宋体"/>
          <w:color w:val="000000"/>
          <w:sz w:val="24"/>
          <w:szCs w:val="24"/>
          <w:lang w:val="en-US" w:eastAsia="zh-CN"/>
        </w:rPr>
        <w:t>项目修改澄清文件；</w:t>
      </w:r>
      <w:bookmarkEnd w:id="1230"/>
      <w:bookmarkEnd w:id="1231"/>
    </w:p>
    <w:p>
      <w:pPr>
        <w:keepNext w:val="0"/>
        <w:keepLines w:val="0"/>
        <w:pageBreakBefore w:val="0"/>
        <w:widowControl w:val="0"/>
        <w:kinsoku/>
        <w:overflowPunct/>
        <w:autoSpaceDE w:val="0"/>
        <w:autoSpaceDN w:val="0"/>
        <w:bidi w:val="0"/>
        <w:adjustRightInd w:val="0"/>
        <w:snapToGrid/>
        <w:spacing w:after="0" w:line="360" w:lineRule="auto"/>
        <w:ind w:firstLine="480" w:firstLineChars="200"/>
        <w:textAlignment w:val="auto"/>
        <w:outlineLvl w:val="9"/>
        <w:rPr>
          <w:rFonts w:hint="eastAsia" w:ascii="宋体" w:hAnsi="宋体" w:eastAsia="宋体" w:cs="宋体"/>
          <w:color w:val="000000"/>
          <w:sz w:val="24"/>
          <w:szCs w:val="24"/>
          <w:lang w:val="en-US" w:eastAsia="zh-CN"/>
        </w:rPr>
      </w:pPr>
      <w:bookmarkStart w:id="1232" w:name="_Toc27996"/>
      <w:bookmarkStart w:id="1233" w:name="_Toc6657"/>
      <w:r>
        <w:rPr>
          <w:rFonts w:hint="eastAsia" w:cs="宋体"/>
          <w:color w:val="000000"/>
          <w:sz w:val="24"/>
          <w:szCs w:val="24"/>
          <w:lang w:val="en-US" w:eastAsia="zh-CN"/>
        </w:rPr>
        <w:t>3、</w:t>
      </w:r>
      <w:r>
        <w:rPr>
          <w:rFonts w:hint="eastAsia" w:ascii="宋体" w:hAnsi="宋体" w:eastAsia="宋体" w:cs="宋体"/>
          <w:color w:val="000000"/>
          <w:sz w:val="24"/>
          <w:szCs w:val="24"/>
          <w:lang w:val="en-US" w:eastAsia="zh-CN"/>
        </w:rPr>
        <w:t>《投标文件》；</w:t>
      </w:r>
      <w:bookmarkEnd w:id="1232"/>
      <w:bookmarkEnd w:id="1233"/>
    </w:p>
    <w:p>
      <w:pPr>
        <w:keepNext w:val="0"/>
        <w:keepLines w:val="0"/>
        <w:pageBreakBefore w:val="0"/>
        <w:widowControl w:val="0"/>
        <w:kinsoku/>
        <w:overflowPunct/>
        <w:autoSpaceDE w:val="0"/>
        <w:autoSpaceDN w:val="0"/>
        <w:bidi w:val="0"/>
        <w:adjustRightInd w:val="0"/>
        <w:snapToGrid/>
        <w:spacing w:after="0" w:line="360" w:lineRule="auto"/>
        <w:ind w:firstLine="480" w:firstLineChars="200"/>
        <w:textAlignment w:val="auto"/>
        <w:outlineLvl w:val="9"/>
        <w:rPr>
          <w:rFonts w:hint="eastAsia" w:ascii="宋体" w:hAnsi="宋体" w:eastAsia="宋体" w:cs="宋体"/>
          <w:color w:val="000000"/>
          <w:sz w:val="24"/>
          <w:szCs w:val="24"/>
          <w:lang w:val="en-US" w:eastAsia="zh-CN"/>
        </w:rPr>
      </w:pPr>
      <w:bookmarkStart w:id="1234" w:name="_Toc9469"/>
      <w:bookmarkStart w:id="1235" w:name="_Toc22142"/>
      <w:r>
        <w:rPr>
          <w:rFonts w:hint="eastAsia" w:cs="宋体"/>
          <w:color w:val="000000"/>
          <w:sz w:val="24"/>
          <w:szCs w:val="24"/>
          <w:lang w:val="en-US" w:eastAsia="zh-CN"/>
        </w:rPr>
        <w:t>4、</w:t>
      </w:r>
      <w:r>
        <w:rPr>
          <w:rFonts w:hint="eastAsia" w:ascii="宋体" w:hAnsi="宋体" w:eastAsia="宋体" w:cs="宋体"/>
          <w:color w:val="000000"/>
          <w:sz w:val="24"/>
          <w:szCs w:val="24"/>
          <w:lang w:val="en-US" w:eastAsia="zh-CN"/>
        </w:rPr>
        <w:t>《中标通知书》；</w:t>
      </w:r>
      <w:bookmarkEnd w:id="1234"/>
      <w:bookmarkEnd w:id="1235"/>
    </w:p>
    <w:p>
      <w:pPr>
        <w:keepNext w:val="0"/>
        <w:keepLines w:val="0"/>
        <w:pageBreakBefore w:val="0"/>
        <w:widowControl w:val="0"/>
        <w:kinsoku/>
        <w:overflowPunct/>
        <w:autoSpaceDE w:val="0"/>
        <w:autoSpaceDN w:val="0"/>
        <w:bidi w:val="0"/>
        <w:adjustRightInd w:val="0"/>
        <w:snapToGrid/>
        <w:spacing w:after="0" w:line="360" w:lineRule="auto"/>
        <w:ind w:firstLine="480" w:firstLineChars="200"/>
        <w:textAlignment w:val="auto"/>
        <w:outlineLvl w:val="9"/>
        <w:rPr>
          <w:rFonts w:hint="eastAsia" w:ascii="宋体" w:hAnsi="宋体" w:eastAsia="宋体" w:cs="宋体"/>
          <w:color w:val="000000"/>
          <w:sz w:val="24"/>
          <w:szCs w:val="24"/>
          <w:lang w:val="en-US" w:eastAsia="zh-CN"/>
        </w:rPr>
      </w:pPr>
      <w:bookmarkStart w:id="1236" w:name="_Toc31384"/>
      <w:bookmarkStart w:id="1237" w:name="_Toc3039"/>
      <w:r>
        <w:rPr>
          <w:rFonts w:hint="eastAsia" w:cs="宋体"/>
          <w:color w:val="000000"/>
          <w:sz w:val="24"/>
          <w:szCs w:val="24"/>
          <w:lang w:val="en-US" w:eastAsia="zh-CN"/>
        </w:rPr>
        <w:t>5、</w:t>
      </w:r>
      <w:r>
        <w:rPr>
          <w:rFonts w:hint="eastAsia" w:ascii="宋体" w:hAnsi="宋体" w:eastAsia="宋体" w:cs="宋体"/>
          <w:color w:val="000000"/>
          <w:sz w:val="24"/>
          <w:szCs w:val="24"/>
          <w:lang w:val="en-US" w:eastAsia="zh-CN"/>
        </w:rPr>
        <w:t>其他。</w:t>
      </w:r>
      <w:bookmarkEnd w:id="1236"/>
      <w:bookmarkEnd w:id="1237"/>
    </w:p>
    <w:p>
      <w:pPr>
        <w:rPr>
          <w:rFonts w:hint="eastAsia" w:ascii="宋体" w:hAnsi="宋体" w:eastAsia="宋体" w:cs="宋体"/>
          <w:b/>
          <w:bCs/>
          <w:lang w:val="en-US" w:eastAsia="zh-CN"/>
        </w:rPr>
      </w:pPr>
      <w:r>
        <w:rPr>
          <w:rFonts w:hint="eastAsia" w:ascii="宋体" w:hAnsi="宋体" w:eastAsia="宋体" w:cs="宋体"/>
          <w:b/>
          <w:bCs/>
          <w:lang w:val="en-US" w:eastAsia="zh-CN"/>
        </w:rPr>
        <w:br w:type="page"/>
      </w:r>
    </w:p>
    <w:p>
      <w:pPr>
        <w:keepNext w:val="0"/>
        <w:keepLines w:val="0"/>
        <w:pageBreakBefore w:val="0"/>
        <w:widowControl w:val="0"/>
        <w:kinsoku/>
        <w:overflowPunct/>
        <w:autoSpaceDE w:val="0"/>
        <w:autoSpaceDN w:val="0"/>
        <w:bidi w:val="0"/>
        <w:adjustRightInd w:val="0"/>
        <w:snapToGrid/>
        <w:spacing w:after="0" w:line="360" w:lineRule="auto"/>
        <w:ind w:firstLine="482" w:firstLineChars="200"/>
        <w:jc w:val="center"/>
        <w:textAlignment w:val="auto"/>
        <w:outlineLvl w:val="9"/>
        <w:rPr>
          <w:rFonts w:hint="eastAsia" w:ascii="宋体" w:hAnsi="宋体" w:eastAsia="宋体" w:cs="宋体"/>
          <w:b/>
          <w:bCs/>
        </w:rPr>
      </w:pPr>
      <w:r>
        <w:rPr>
          <w:rFonts w:hint="eastAsia" w:ascii="宋体" w:hAnsi="宋体" w:eastAsia="宋体" w:cs="宋体"/>
          <w:b/>
          <w:bCs/>
          <w:lang w:val="en-US" w:eastAsia="zh-CN"/>
        </w:rPr>
        <w:t>(本页无正文)</w:t>
      </w:r>
    </w:p>
    <w:tbl>
      <w:tblPr>
        <w:tblStyle w:val="22"/>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2"/>
              <w:bidi w:val="0"/>
              <w:rPr>
                <w:rFonts w:hint="eastAsia" w:ascii="宋体" w:hAnsi="宋体" w:eastAsia="宋体" w:cs="宋体"/>
              </w:rPr>
            </w:pPr>
            <w:r>
              <w:rPr>
                <w:rFonts w:hint="eastAsia" w:ascii="宋体" w:hAnsi="宋体" w:eastAsia="宋体" w:cs="宋体"/>
              </w:rPr>
              <w:t>甲方：   (盖章)</w:t>
            </w:r>
          </w:p>
        </w:tc>
        <w:tc>
          <w:tcPr>
            <w:tcW w:w="4981" w:type="dxa"/>
            <w:vAlign w:val="center"/>
          </w:tcPr>
          <w:p>
            <w:pPr>
              <w:pStyle w:val="42"/>
              <w:bidi w:val="0"/>
              <w:rPr>
                <w:rFonts w:hint="eastAsia" w:ascii="宋体" w:hAnsi="宋体" w:eastAsia="宋体" w:cs="宋体"/>
              </w:rPr>
            </w:pPr>
            <w:r>
              <w:rPr>
                <w:rFonts w:hint="eastAsia" w:ascii="宋体" w:hAnsi="宋体" w:eastAsia="宋体" w:cs="宋体"/>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2"/>
              <w:bidi w:val="0"/>
              <w:rPr>
                <w:rFonts w:hint="eastAsia" w:ascii="宋体" w:hAnsi="宋体" w:eastAsia="宋体" w:cs="宋体"/>
              </w:rPr>
            </w:pPr>
            <w:r>
              <w:rPr>
                <w:rFonts w:hint="eastAsia" w:ascii="宋体" w:hAnsi="宋体" w:eastAsia="宋体" w:cs="宋体"/>
              </w:rPr>
              <w:t>法定代表人(授权代表)：</w:t>
            </w:r>
          </w:p>
        </w:tc>
        <w:tc>
          <w:tcPr>
            <w:tcW w:w="4981" w:type="dxa"/>
            <w:vAlign w:val="center"/>
          </w:tcPr>
          <w:p>
            <w:pPr>
              <w:pStyle w:val="42"/>
              <w:bidi w:val="0"/>
              <w:rPr>
                <w:rFonts w:hint="eastAsia" w:ascii="宋体" w:hAnsi="宋体" w:eastAsia="宋体" w:cs="宋体"/>
              </w:rPr>
            </w:pPr>
            <w:r>
              <w:rPr>
                <w:rFonts w:hint="eastAsia" w:ascii="宋体" w:hAnsi="宋体" w:eastAsia="宋体" w:cs="宋体"/>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2"/>
              <w:bidi w:val="0"/>
              <w:rPr>
                <w:rFonts w:hint="eastAsia" w:ascii="宋体" w:hAnsi="宋体" w:eastAsia="宋体" w:cs="宋体"/>
              </w:rPr>
            </w:pPr>
            <w:r>
              <w:rPr>
                <w:rFonts w:hint="eastAsia" w:ascii="宋体" w:hAnsi="宋体" w:eastAsia="宋体" w:cs="宋体"/>
              </w:rPr>
              <w:t>地址</w:t>
            </w:r>
            <w:r>
              <w:rPr>
                <w:rFonts w:hint="eastAsia" w:ascii="宋体" w:hAnsi="宋体" w:eastAsia="宋体" w:cs="宋体"/>
                <w:lang w:eastAsia="zh-CN"/>
              </w:rPr>
              <w:t>(</w:t>
            </w:r>
            <w:r>
              <w:rPr>
                <w:rFonts w:hint="eastAsia" w:ascii="宋体" w:hAnsi="宋体" w:eastAsia="宋体" w:cs="宋体"/>
              </w:rPr>
              <w:t>住所</w:t>
            </w:r>
            <w:r>
              <w:rPr>
                <w:rFonts w:hint="eastAsia" w:ascii="宋体" w:hAnsi="宋体" w:eastAsia="宋体" w:cs="宋体"/>
                <w:lang w:eastAsia="zh-CN"/>
              </w:rPr>
              <w:t>)</w:t>
            </w:r>
            <w:r>
              <w:rPr>
                <w:rFonts w:hint="eastAsia" w:ascii="宋体" w:hAnsi="宋体" w:eastAsia="宋体" w:cs="宋体"/>
              </w:rPr>
              <w:t>：</w:t>
            </w:r>
          </w:p>
        </w:tc>
        <w:tc>
          <w:tcPr>
            <w:tcW w:w="4981" w:type="dxa"/>
            <w:vAlign w:val="center"/>
          </w:tcPr>
          <w:p>
            <w:pPr>
              <w:pStyle w:val="42"/>
              <w:bidi w:val="0"/>
              <w:rPr>
                <w:rFonts w:hint="eastAsia" w:ascii="宋体" w:hAnsi="宋体" w:eastAsia="宋体" w:cs="宋体"/>
              </w:rPr>
            </w:pPr>
            <w:r>
              <w:rPr>
                <w:rFonts w:hint="eastAsia" w:ascii="宋体" w:hAnsi="宋体" w:eastAsia="宋体" w:cs="宋体"/>
              </w:rPr>
              <w:t>地址</w:t>
            </w:r>
            <w:r>
              <w:rPr>
                <w:rFonts w:hint="eastAsia" w:ascii="宋体" w:hAnsi="宋体" w:eastAsia="宋体" w:cs="宋体"/>
                <w:lang w:eastAsia="zh-CN"/>
              </w:rPr>
              <w:t>(</w:t>
            </w:r>
            <w:r>
              <w:rPr>
                <w:rFonts w:hint="eastAsia" w:ascii="宋体" w:hAnsi="宋体" w:eastAsia="宋体" w:cs="宋体"/>
              </w:rPr>
              <w:t>住所</w:t>
            </w:r>
            <w:r>
              <w:rPr>
                <w:rFonts w:hint="eastAsia" w:ascii="宋体" w:hAnsi="宋体" w:eastAsia="宋体" w:cs="宋体"/>
                <w:lang w:eastAsia="zh-CN"/>
              </w:rPr>
              <w:t>)</w:t>
            </w:r>
            <w:r>
              <w:rPr>
                <w:rFonts w:hint="eastAsia" w:ascii="宋体" w:hAnsi="宋体" w:eastAsia="宋体" w:cs="宋体"/>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2"/>
              <w:bidi w:val="0"/>
              <w:rPr>
                <w:rFonts w:hint="eastAsia" w:ascii="宋体" w:hAnsi="宋体" w:eastAsia="宋体" w:cs="宋体"/>
              </w:rPr>
            </w:pPr>
            <w:r>
              <w:rPr>
                <w:rFonts w:hint="eastAsia" w:ascii="宋体" w:hAnsi="宋体" w:eastAsia="宋体" w:cs="宋体"/>
              </w:rPr>
              <w:t>开户银行：</w:t>
            </w:r>
          </w:p>
        </w:tc>
        <w:tc>
          <w:tcPr>
            <w:tcW w:w="4981" w:type="dxa"/>
            <w:vAlign w:val="center"/>
          </w:tcPr>
          <w:p>
            <w:pPr>
              <w:pStyle w:val="42"/>
              <w:bidi w:val="0"/>
              <w:rPr>
                <w:rFonts w:hint="eastAsia" w:ascii="宋体" w:hAnsi="宋体" w:eastAsia="宋体" w:cs="宋体"/>
              </w:rPr>
            </w:pPr>
            <w:r>
              <w:rPr>
                <w:rFonts w:hint="eastAsia" w:ascii="宋体" w:hAnsi="宋体" w:eastAsia="宋体" w:cs="宋体"/>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2"/>
              <w:bidi w:val="0"/>
              <w:rPr>
                <w:rFonts w:hint="eastAsia" w:ascii="宋体" w:hAnsi="宋体" w:eastAsia="宋体" w:cs="宋体"/>
              </w:rPr>
            </w:pPr>
            <w:r>
              <w:rPr>
                <w:rFonts w:hint="eastAsia" w:ascii="宋体" w:hAnsi="宋体" w:eastAsia="宋体" w:cs="宋体"/>
              </w:rPr>
              <w:t>账号：</w:t>
            </w:r>
          </w:p>
        </w:tc>
        <w:tc>
          <w:tcPr>
            <w:tcW w:w="4981" w:type="dxa"/>
            <w:vAlign w:val="center"/>
          </w:tcPr>
          <w:p>
            <w:pPr>
              <w:pStyle w:val="42"/>
              <w:bidi w:val="0"/>
              <w:rPr>
                <w:rFonts w:hint="eastAsia" w:ascii="宋体" w:hAnsi="宋体" w:eastAsia="宋体" w:cs="宋体"/>
              </w:rPr>
            </w:pPr>
            <w:r>
              <w:rPr>
                <w:rFonts w:hint="eastAsia" w:ascii="宋体" w:hAnsi="宋体" w:eastAsia="宋体" w:cs="宋体"/>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2"/>
              <w:bidi w:val="0"/>
              <w:rPr>
                <w:rFonts w:hint="eastAsia" w:ascii="宋体" w:hAnsi="宋体" w:eastAsia="宋体" w:cs="宋体"/>
              </w:rPr>
            </w:pPr>
            <w:r>
              <w:rPr>
                <w:rFonts w:hint="eastAsia" w:ascii="宋体" w:hAnsi="宋体" w:eastAsia="宋体" w:cs="宋体"/>
              </w:rPr>
              <w:t xml:space="preserve">电话： </w:t>
            </w:r>
          </w:p>
        </w:tc>
        <w:tc>
          <w:tcPr>
            <w:tcW w:w="4981" w:type="dxa"/>
            <w:vAlign w:val="center"/>
          </w:tcPr>
          <w:p>
            <w:pPr>
              <w:pStyle w:val="42"/>
              <w:bidi w:val="0"/>
              <w:rPr>
                <w:rFonts w:hint="eastAsia" w:ascii="宋体" w:hAnsi="宋体" w:eastAsia="宋体" w:cs="宋体"/>
              </w:rPr>
            </w:pPr>
            <w:r>
              <w:rPr>
                <w:rFonts w:hint="eastAsia" w:ascii="宋体" w:hAnsi="宋体" w:eastAsia="宋体" w:cs="宋体"/>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42"/>
              <w:bidi w:val="0"/>
              <w:rPr>
                <w:rFonts w:hint="eastAsia" w:ascii="宋体" w:hAnsi="宋体" w:eastAsia="宋体" w:cs="宋体"/>
              </w:rPr>
            </w:pPr>
            <w:r>
              <w:rPr>
                <w:rFonts w:hint="eastAsia" w:ascii="宋体" w:hAnsi="宋体" w:eastAsia="宋体" w:cs="宋体"/>
              </w:rPr>
              <w:t>传真：</w:t>
            </w:r>
          </w:p>
        </w:tc>
        <w:tc>
          <w:tcPr>
            <w:tcW w:w="4981" w:type="dxa"/>
            <w:vAlign w:val="center"/>
          </w:tcPr>
          <w:p>
            <w:pPr>
              <w:pStyle w:val="42"/>
              <w:bidi w:val="0"/>
              <w:rPr>
                <w:rFonts w:hint="eastAsia" w:ascii="宋体" w:hAnsi="宋体" w:eastAsia="宋体" w:cs="宋体"/>
              </w:rPr>
            </w:pPr>
            <w:r>
              <w:rPr>
                <w:rFonts w:hint="eastAsia" w:ascii="宋体" w:hAnsi="宋体" w:eastAsia="宋体" w:cs="宋体"/>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42"/>
              <w:bidi w:val="0"/>
              <w:rPr>
                <w:rFonts w:hint="eastAsia" w:ascii="宋体" w:hAnsi="宋体" w:eastAsia="宋体" w:cs="宋体"/>
              </w:rPr>
            </w:pPr>
            <w:r>
              <w:rPr>
                <w:rFonts w:hint="eastAsia" w:ascii="宋体" w:hAnsi="宋体" w:eastAsia="宋体" w:cs="宋体"/>
              </w:rPr>
              <w:t>签约日期：XX年XX月XX日</w:t>
            </w:r>
          </w:p>
        </w:tc>
        <w:tc>
          <w:tcPr>
            <w:tcW w:w="4981" w:type="dxa"/>
            <w:vAlign w:val="center"/>
          </w:tcPr>
          <w:p>
            <w:pPr>
              <w:pStyle w:val="42"/>
              <w:bidi w:val="0"/>
              <w:rPr>
                <w:rFonts w:hint="eastAsia" w:ascii="宋体" w:hAnsi="宋体" w:eastAsia="宋体" w:cs="宋体"/>
              </w:rPr>
            </w:pPr>
            <w:r>
              <w:rPr>
                <w:rFonts w:hint="eastAsia" w:ascii="宋体" w:hAnsi="宋体" w:eastAsia="宋体" w:cs="宋体"/>
              </w:rPr>
              <w:t>签约日期：XX年XX月XX日</w:t>
            </w:r>
          </w:p>
        </w:tc>
      </w:tr>
    </w:tbl>
    <w:p>
      <w:pPr>
        <w:pStyle w:val="42"/>
        <w:bidi w:val="0"/>
        <w:rPr>
          <w:rFonts w:hint="eastAsia"/>
        </w:rPr>
      </w:pPr>
      <w:r>
        <w:rPr>
          <w:rFonts w:hint="eastAsia"/>
        </w:rPr>
        <w:br w:type="page"/>
      </w:r>
    </w:p>
    <w:p>
      <w:pPr>
        <w:pStyle w:val="48"/>
        <w:numPr>
          <w:ilvl w:val="0"/>
          <w:numId w:val="13"/>
        </w:numPr>
        <w:bidi w:val="0"/>
        <w:rPr>
          <w:rFonts w:hint="eastAsia"/>
          <w:lang w:val="en-US" w:eastAsia="zh-CN"/>
        </w:rPr>
      </w:pPr>
      <w:bookmarkStart w:id="1238" w:name="_Toc28848"/>
      <w:bookmarkStart w:id="1239" w:name="_Toc8498"/>
      <w:r>
        <w:rPr>
          <w:rFonts w:hint="eastAsia"/>
          <w:lang w:val="en-US" w:eastAsia="zh-CN"/>
        </w:rPr>
        <w:t>附件</w:t>
      </w:r>
      <w:bookmarkEnd w:id="1238"/>
      <w:bookmarkEnd w:id="1239"/>
    </w:p>
    <w:p>
      <w:pPr>
        <w:pStyle w:val="42"/>
        <w:bidi w:val="0"/>
        <w:jc w:val="both"/>
        <w:rPr>
          <w:rFonts w:hint="eastAsia" w:cs="宋体"/>
          <w:b/>
          <w:bCs/>
          <w:sz w:val="24"/>
          <w:szCs w:val="24"/>
          <w:lang w:val="en-US" w:eastAsia="zh-CN"/>
        </w:rPr>
      </w:pPr>
      <w:r>
        <w:rPr>
          <w:rFonts w:hint="eastAsia" w:cs="宋体"/>
          <w:b/>
          <w:bCs/>
          <w:sz w:val="24"/>
          <w:szCs w:val="24"/>
          <w:lang w:val="en-US" w:eastAsia="zh-CN"/>
        </w:rPr>
        <w:t>附件一：政府采购云平台使用介绍</w:t>
      </w:r>
    </w:p>
    <w:p>
      <w:pPr>
        <w:adjustRightInd/>
        <w:snapToGrid/>
        <w:spacing w:after="160" w:line="259" w:lineRule="auto"/>
        <w:ind w:firstLine="0" w:firstLineChars="0"/>
        <w:jc w:val="both"/>
        <w:rPr>
          <w:rFonts w:ascii="宋体" w:hAnsi="宋体" w:cs="宋体"/>
          <w:b/>
          <w:bCs/>
          <w:sz w:val="24"/>
          <w:szCs w:val="32"/>
          <w:highlight w:val="yellow"/>
        </w:rPr>
      </w:pPr>
      <w:r>
        <w:rPr>
          <w:rFonts w:hint="eastAsia" w:ascii="宋体" w:hAnsi="宋体" w:cs="宋体"/>
          <w:b/>
          <w:bCs/>
          <w:sz w:val="24"/>
          <w:szCs w:val="32"/>
          <w:highlight w:val="yellow"/>
        </w:rPr>
        <w:t>1.输入网址：</w:t>
      </w:r>
      <w:r>
        <w:rPr>
          <w:rFonts w:ascii="Calibri" w:hAnsi="Calibri" w:cs="Times New Roman"/>
          <w:sz w:val="21"/>
        </w:rPr>
        <w:fldChar w:fldCharType="begin"/>
      </w:r>
      <w:r>
        <w:rPr>
          <w:rFonts w:ascii="Calibri" w:hAnsi="Calibri" w:cs="Times New Roman"/>
          <w:sz w:val="21"/>
        </w:rPr>
        <w:instrText xml:space="preserve"> HYPERLINK "https://www.zcygov.cn" </w:instrText>
      </w:r>
      <w:r>
        <w:rPr>
          <w:rFonts w:ascii="Calibri" w:hAnsi="Calibri" w:cs="Times New Roman"/>
          <w:sz w:val="21"/>
        </w:rPr>
        <w:fldChar w:fldCharType="separate"/>
      </w:r>
      <w:r>
        <w:rPr>
          <w:rFonts w:hint="eastAsia" w:ascii="宋体" w:hAnsi="宋体" w:cs="宋体"/>
          <w:b/>
          <w:bCs/>
          <w:color w:val="0563C1"/>
          <w:sz w:val="24"/>
          <w:szCs w:val="32"/>
          <w:highlight w:val="yellow"/>
          <w:u w:val="single"/>
        </w:rPr>
        <w:t>https://www.zcygov.cn</w:t>
      </w:r>
      <w:r>
        <w:rPr>
          <w:rFonts w:hint="eastAsia" w:ascii="宋体" w:hAnsi="宋体" w:cs="宋体"/>
          <w:b/>
          <w:bCs/>
          <w:color w:val="0563C1"/>
          <w:sz w:val="24"/>
          <w:szCs w:val="32"/>
          <w:highlight w:val="yellow"/>
          <w:u w:val="single"/>
        </w:rPr>
        <w:fldChar w:fldCharType="end"/>
      </w:r>
    </w:p>
    <w:p>
      <w:pPr>
        <w:adjustRightInd/>
        <w:snapToGrid/>
        <w:spacing w:after="160" w:line="259" w:lineRule="auto"/>
        <w:ind w:firstLine="0" w:firstLineChars="0"/>
        <w:jc w:val="both"/>
        <w:rPr>
          <w:rFonts w:ascii="宋体" w:hAnsi="宋体" w:cs="宋体"/>
          <w:b/>
          <w:bCs/>
          <w:sz w:val="24"/>
          <w:szCs w:val="32"/>
          <w:highlight w:val="yellow"/>
        </w:rPr>
      </w:pPr>
      <w:r>
        <w:rPr>
          <w:rFonts w:hint="eastAsia" w:ascii="宋体" w:hAnsi="宋体" w:cs="宋体"/>
          <w:b/>
          <w:bCs/>
          <w:sz w:val="24"/>
          <w:szCs w:val="32"/>
          <w:highlight w:val="yellow"/>
        </w:rPr>
        <w:t>2.选择与项目对应的行政区域如：四川省-成都市-成都市本级</w:t>
      </w:r>
    </w:p>
    <w:p>
      <w:pPr>
        <w:adjustRightInd/>
        <w:snapToGrid/>
        <w:spacing w:after="160" w:line="259" w:lineRule="auto"/>
        <w:ind w:firstLine="0" w:firstLineChars="0"/>
        <w:jc w:val="both"/>
        <w:rPr>
          <w:rFonts w:ascii="Calibri" w:hAnsi="Calibri" w:cs="Times New Roman"/>
          <w:sz w:val="21"/>
          <w:highlight w:val="yellow"/>
        </w:rPr>
      </w:pPr>
      <w:r>
        <w:rPr>
          <w:rFonts w:ascii="Calibri" w:hAnsi="Calibri" w:cs="Times New Roman"/>
          <w:sz w:val="21"/>
          <w:highlight w:val="yellow"/>
        </w:rPr>
        <w:drawing>
          <wp:inline distT="0" distB="0" distL="114300" distR="114300">
            <wp:extent cx="6314440" cy="3949065"/>
            <wp:effectExtent l="0" t="0" r="1016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6314440" cy="3949065"/>
                    </a:xfrm>
                    <a:prstGeom prst="rect">
                      <a:avLst/>
                    </a:prstGeom>
                    <a:noFill/>
                    <a:ln>
                      <a:noFill/>
                    </a:ln>
                  </pic:spPr>
                </pic:pic>
              </a:graphicData>
            </a:graphic>
          </wp:inline>
        </w:drawing>
      </w:r>
    </w:p>
    <w:p>
      <w:pPr>
        <w:numPr>
          <w:ilvl w:val="0"/>
          <w:numId w:val="49"/>
        </w:numPr>
        <w:tabs>
          <w:tab w:val="clear" w:pos="0"/>
        </w:tabs>
        <w:adjustRightInd/>
        <w:snapToGrid/>
        <w:spacing w:after="160" w:line="259" w:lineRule="auto"/>
        <w:ind w:firstLine="0" w:firstLineChars="0"/>
        <w:jc w:val="both"/>
        <w:rPr>
          <w:rFonts w:ascii="宋体" w:hAnsi="宋体" w:cs="宋体"/>
          <w:b/>
          <w:bCs/>
          <w:sz w:val="24"/>
          <w:szCs w:val="32"/>
          <w:highlight w:val="yellow"/>
        </w:rPr>
      </w:pPr>
      <w:r>
        <w:rPr>
          <w:rFonts w:hint="eastAsia" w:ascii="宋体" w:hAnsi="宋体" w:cs="宋体"/>
          <w:b/>
          <w:bCs/>
          <w:sz w:val="24"/>
          <w:szCs w:val="32"/>
          <w:highlight w:val="yellow"/>
        </w:rPr>
        <w:t>点击操作指南-供应商</w:t>
      </w:r>
    </w:p>
    <w:p>
      <w:pPr>
        <w:adjustRightInd/>
        <w:snapToGrid/>
        <w:spacing w:after="160" w:line="259" w:lineRule="auto"/>
        <w:ind w:firstLine="0" w:firstLineChars="0"/>
        <w:jc w:val="both"/>
        <w:rPr>
          <w:rFonts w:hint="eastAsia" w:ascii="Calibri" w:hAnsi="Calibri" w:eastAsia="宋体" w:cs="Times New Roman"/>
          <w:b/>
          <w:bCs/>
          <w:sz w:val="21"/>
          <w:highlight w:val="yellow"/>
          <w:lang w:eastAsia="zh-CN"/>
        </w:rPr>
      </w:pPr>
      <w:r>
        <w:rPr>
          <w:rFonts w:ascii="Calibri" w:hAnsi="Calibri" w:cs="Times New Roman"/>
          <w:sz w:val="21"/>
          <w:highlight w:val="yellow"/>
        </w:rPr>
        <w:drawing>
          <wp:inline distT="0" distB="0" distL="114300" distR="114300">
            <wp:extent cx="6551930" cy="3392805"/>
            <wp:effectExtent l="0" t="0" r="1270"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7"/>
                    <a:stretch>
                      <a:fillRect/>
                    </a:stretch>
                  </pic:blipFill>
                  <pic:spPr>
                    <a:xfrm>
                      <a:off x="0" y="0"/>
                      <a:ext cx="6551930" cy="3392805"/>
                    </a:xfrm>
                    <a:prstGeom prst="rect">
                      <a:avLst/>
                    </a:prstGeom>
                    <a:noFill/>
                    <a:ln>
                      <a:noFill/>
                    </a:ln>
                  </pic:spPr>
                </pic:pic>
              </a:graphicData>
            </a:graphic>
          </wp:inline>
        </w:drawing>
      </w:r>
      <w:r>
        <w:rPr>
          <w:rFonts w:ascii="Calibri" w:hAnsi="Calibri" w:cs="Times New Roman"/>
          <w:sz w:val="21"/>
          <w:highlight w:val="yellow"/>
        </w:rPr>
        <w:br w:type="page"/>
      </w:r>
      <w:r>
        <w:rPr>
          <w:rFonts w:hint="eastAsia" w:ascii="宋体" w:hAnsi="宋体" w:cs="宋体"/>
          <w:b/>
          <w:bCs/>
          <w:sz w:val="24"/>
          <w:szCs w:val="32"/>
          <w:highlight w:val="yellow"/>
        </w:rPr>
        <w:t>4.进入政采云供应商学习专题页面</w:t>
      </w:r>
      <w:r>
        <w:rPr>
          <w:rFonts w:hint="eastAsia" w:ascii="Calibri" w:hAnsi="Calibri" w:cs="Times New Roman"/>
          <w:b/>
          <w:bCs/>
          <w:sz w:val="21"/>
          <w:highlight w:val="yellow"/>
          <w:lang w:eastAsia="zh-CN"/>
        </w:rPr>
        <w:t>(</w:t>
      </w:r>
      <w:r>
        <w:rPr>
          <w:rFonts w:hint="eastAsia" w:ascii="Calibri" w:hAnsi="Calibri" w:cs="Times New Roman"/>
          <w:b/>
          <w:bCs/>
          <w:sz w:val="21"/>
          <w:highlight w:val="yellow"/>
        </w:rPr>
        <w:t>https://edu.zcygov.cn/luban/xxzt-chengdu-gys?utm=a0017.b1347.cl50.5.0917bc90b7bb11eb807c353645758db6</w:t>
      </w:r>
      <w:r>
        <w:rPr>
          <w:rFonts w:hint="eastAsia" w:ascii="Calibri" w:hAnsi="Calibri" w:cs="Times New Roman"/>
          <w:b/>
          <w:bCs/>
          <w:sz w:val="21"/>
          <w:highlight w:val="yellow"/>
          <w:lang w:eastAsia="zh-CN"/>
        </w:rPr>
        <w:t>)</w:t>
      </w:r>
    </w:p>
    <w:p>
      <w:pPr>
        <w:adjustRightInd/>
        <w:snapToGrid/>
        <w:spacing w:after="160" w:line="259" w:lineRule="auto"/>
        <w:ind w:firstLine="0" w:firstLineChars="0"/>
        <w:jc w:val="both"/>
        <w:rPr>
          <w:rFonts w:ascii="Calibri" w:hAnsi="Calibri" w:cs="Times New Roman"/>
          <w:sz w:val="21"/>
          <w:highlight w:val="yellow"/>
        </w:rPr>
      </w:pPr>
      <w:r>
        <w:rPr>
          <w:rFonts w:ascii="Calibri" w:hAnsi="Calibri" w:cs="Times New Roman"/>
          <w:sz w:val="21"/>
          <w:highlight w:val="yellow"/>
        </w:rPr>
        <w:drawing>
          <wp:inline distT="0" distB="0" distL="114300" distR="114300">
            <wp:extent cx="6285230" cy="3128010"/>
            <wp:effectExtent l="0" t="0" r="1270"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stretch>
                      <a:fillRect/>
                    </a:stretch>
                  </pic:blipFill>
                  <pic:spPr>
                    <a:xfrm>
                      <a:off x="0" y="0"/>
                      <a:ext cx="6285230" cy="3128010"/>
                    </a:xfrm>
                    <a:prstGeom prst="rect">
                      <a:avLst/>
                    </a:prstGeom>
                    <a:noFill/>
                    <a:ln>
                      <a:noFill/>
                    </a:ln>
                  </pic:spPr>
                </pic:pic>
              </a:graphicData>
            </a:graphic>
          </wp:inline>
        </w:drawing>
      </w:r>
    </w:p>
    <w:p>
      <w:pPr>
        <w:adjustRightInd/>
        <w:snapToGrid/>
        <w:spacing w:after="160" w:line="259" w:lineRule="auto"/>
        <w:ind w:firstLine="0" w:firstLineChars="0"/>
        <w:jc w:val="both"/>
        <w:rPr>
          <w:rFonts w:ascii="宋体" w:hAnsi="宋体" w:cs="宋体"/>
          <w:b/>
          <w:bCs/>
          <w:sz w:val="24"/>
          <w:szCs w:val="32"/>
          <w:highlight w:val="yellow"/>
        </w:rPr>
      </w:pPr>
      <w:r>
        <w:rPr>
          <w:rFonts w:hint="eastAsia" w:ascii="Calibri" w:hAnsi="Calibri" w:cs="Times New Roman"/>
          <w:sz w:val="21"/>
          <w:highlight w:val="yellow"/>
        </w:rPr>
        <w:br w:type="page"/>
      </w:r>
      <w:r>
        <w:rPr>
          <w:rFonts w:hint="eastAsia" w:ascii="宋体" w:hAnsi="宋体" w:cs="宋体"/>
          <w:b/>
          <w:bCs/>
          <w:sz w:val="24"/>
          <w:szCs w:val="32"/>
          <w:highlight w:val="yellow"/>
        </w:rPr>
        <w:t>5.供应商资讯服务渠道</w:t>
      </w:r>
    </w:p>
    <w:p>
      <w:pPr>
        <w:adjustRightInd/>
        <w:snapToGrid/>
        <w:spacing w:after="160" w:line="259" w:lineRule="auto"/>
        <w:ind w:firstLine="0" w:firstLineChars="0"/>
        <w:jc w:val="both"/>
        <w:rPr>
          <w:rFonts w:ascii="Calibri" w:hAnsi="Calibri" w:cs="Times New Roman"/>
          <w:sz w:val="21"/>
          <w:highlight w:val="yellow"/>
        </w:rPr>
      </w:pPr>
      <w:r>
        <w:rPr>
          <w:rFonts w:ascii="Calibri" w:hAnsi="Calibri" w:cs="Times New Roman"/>
          <w:sz w:val="21"/>
          <w:highlight w:val="yellow"/>
        </w:rPr>
        <w:drawing>
          <wp:inline distT="0" distB="0" distL="114300" distR="114300">
            <wp:extent cx="6577330" cy="2733040"/>
            <wp:effectExtent l="0" t="0" r="1270"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9"/>
                    <a:stretch>
                      <a:fillRect/>
                    </a:stretch>
                  </pic:blipFill>
                  <pic:spPr>
                    <a:xfrm>
                      <a:off x="0" y="0"/>
                      <a:ext cx="6577330" cy="2733040"/>
                    </a:xfrm>
                    <a:prstGeom prst="rect">
                      <a:avLst/>
                    </a:prstGeom>
                    <a:noFill/>
                    <a:ln>
                      <a:noFill/>
                    </a:ln>
                  </pic:spPr>
                </pic:pic>
              </a:graphicData>
            </a:graphic>
          </wp:inline>
        </w:drawing>
      </w:r>
    </w:p>
    <w:p>
      <w:pPr>
        <w:adjustRightInd/>
        <w:snapToGrid/>
        <w:spacing w:after="160" w:line="259" w:lineRule="auto"/>
        <w:ind w:firstLine="0" w:firstLineChars="0"/>
        <w:jc w:val="both"/>
        <w:rPr>
          <w:rFonts w:hint="eastAsia" w:ascii="Calibri" w:hAnsi="Calibri" w:eastAsia="宋体" w:cs="Times New Roman"/>
          <w:sz w:val="21"/>
          <w:highlight w:val="yellow"/>
          <w:lang w:eastAsia="zh-CN"/>
        </w:rPr>
      </w:pPr>
      <w:r>
        <w:rPr>
          <w:rFonts w:ascii="Calibri" w:hAnsi="Calibri" w:cs="Times New Roman"/>
          <w:sz w:val="21"/>
          <w:highlight w:val="yellow"/>
        </w:rPr>
        <w:br w:type="page"/>
      </w:r>
      <w:r>
        <w:rPr>
          <w:rFonts w:hint="eastAsia" w:ascii="宋体" w:hAnsi="宋体" w:cs="宋体"/>
          <w:b/>
          <w:bCs/>
          <w:sz w:val="24"/>
          <w:szCs w:val="32"/>
          <w:highlight w:val="yellow"/>
        </w:rPr>
        <w:t>6.入驻政府采购云平台</w:t>
      </w:r>
      <w:r>
        <w:rPr>
          <w:rFonts w:hint="eastAsia" w:cs="宋体"/>
          <w:b/>
          <w:bCs/>
          <w:sz w:val="24"/>
          <w:szCs w:val="32"/>
          <w:highlight w:val="yellow"/>
          <w:lang w:eastAsia="zh-CN"/>
        </w:rPr>
        <w:t>(</w:t>
      </w:r>
      <w:r>
        <w:rPr>
          <w:rFonts w:hint="eastAsia" w:ascii="宋体" w:hAnsi="宋体" w:cs="宋体"/>
          <w:b/>
          <w:bCs/>
          <w:sz w:val="24"/>
          <w:szCs w:val="32"/>
          <w:highlight w:val="yellow"/>
        </w:rPr>
        <w:t>注册</w:t>
      </w:r>
      <w:r>
        <w:rPr>
          <w:rFonts w:hint="eastAsia" w:cs="宋体"/>
          <w:b/>
          <w:bCs/>
          <w:sz w:val="24"/>
          <w:szCs w:val="32"/>
          <w:highlight w:val="yellow"/>
          <w:lang w:eastAsia="zh-CN"/>
        </w:rPr>
        <w:t>)</w:t>
      </w:r>
    </w:p>
    <w:p>
      <w:pPr>
        <w:adjustRightInd/>
        <w:snapToGrid/>
        <w:spacing w:after="160" w:line="259" w:lineRule="auto"/>
        <w:ind w:firstLine="0" w:firstLineChars="0"/>
        <w:jc w:val="both"/>
        <w:rPr>
          <w:rFonts w:ascii="Calibri" w:hAnsi="Calibri" w:cs="Times New Roman"/>
          <w:sz w:val="21"/>
          <w:highlight w:val="yellow"/>
        </w:rPr>
      </w:pPr>
      <w:r>
        <w:rPr>
          <w:rFonts w:ascii="Calibri" w:hAnsi="Calibri" w:cs="Times New Roman"/>
          <w:sz w:val="21"/>
          <w:highlight w:val="yellow"/>
        </w:rPr>
        <w:drawing>
          <wp:inline distT="0" distB="0" distL="114300" distR="114300">
            <wp:extent cx="6449060" cy="2626360"/>
            <wp:effectExtent l="0" t="0" r="2540" b="254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0"/>
                    <a:stretch>
                      <a:fillRect/>
                    </a:stretch>
                  </pic:blipFill>
                  <pic:spPr>
                    <a:xfrm>
                      <a:off x="0" y="0"/>
                      <a:ext cx="6449060" cy="2626360"/>
                    </a:xfrm>
                    <a:prstGeom prst="rect">
                      <a:avLst/>
                    </a:prstGeom>
                    <a:noFill/>
                    <a:ln>
                      <a:noFill/>
                    </a:ln>
                  </pic:spPr>
                </pic:pic>
              </a:graphicData>
            </a:graphic>
          </wp:inline>
        </w:drawing>
      </w: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hint="eastAsia" w:ascii="宋体" w:hAnsi="宋体" w:cs="宋体"/>
          <w:b/>
          <w:bCs/>
          <w:sz w:val="24"/>
          <w:szCs w:val="32"/>
          <w:highlight w:val="yellow"/>
        </w:rPr>
      </w:pPr>
      <w:r>
        <w:rPr>
          <w:rFonts w:ascii="Calibri" w:hAnsi="Calibri" w:cs="Times New Roman"/>
          <w:sz w:val="21"/>
          <w:highlight w:val="yellow"/>
        </w:rPr>
        <w:br w:type="page"/>
      </w:r>
      <w:r>
        <w:rPr>
          <w:rFonts w:hint="eastAsia" w:ascii="宋体" w:hAnsi="宋体" w:cs="宋体"/>
          <w:b/>
          <w:bCs/>
          <w:sz w:val="24"/>
          <w:szCs w:val="32"/>
          <w:highlight w:val="yellow"/>
        </w:rPr>
        <w:t>7.下载《供应商政府采购项目电子交易操作指南》</w:t>
      </w:r>
    </w:p>
    <w:p>
      <w:pPr>
        <w:adjustRightInd/>
        <w:snapToGrid/>
        <w:spacing w:after="160" w:line="259" w:lineRule="auto"/>
        <w:ind w:firstLine="0" w:firstLineChars="0"/>
        <w:jc w:val="both"/>
        <w:rPr>
          <w:rFonts w:ascii="Calibri" w:hAnsi="Calibri" w:cs="Times New Roman"/>
          <w:sz w:val="21"/>
        </w:rPr>
      </w:pPr>
      <w:r>
        <w:rPr>
          <w:rFonts w:ascii="Calibri" w:hAnsi="Calibri" w:cs="Times New Roman"/>
          <w:sz w:val="21"/>
          <w:highlight w:val="yellow"/>
        </w:rPr>
        <w:drawing>
          <wp:inline distT="0" distB="0" distL="114300" distR="114300">
            <wp:extent cx="6394450" cy="3542665"/>
            <wp:effectExtent l="0" t="0" r="6350" b="63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1"/>
                    <a:stretch>
                      <a:fillRect/>
                    </a:stretch>
                  </pic:blipFill>
                  <pic:spPr>
                    <a:xfrm>
                      <a:off x="0" y="0"/>
                      <a:ext cx="6394450" cy="3542665"/>
                    </a:xfrm>
                    <a:prstGeom prst="rect">
                      <a:avLst/>
                    </a:prstGeom>
                    <a:noFill/>
                    <a:ln>
                      <a:noFill/>
                    </a:ln>
                  </pic:spPr>
                </pic:pic>
              </a:graphicData>
            </a:graphic>
          </wp:inline>
        </w:drawing>
      </w:r>
    </w:p>
    <w:p>
      <w:pPr>
        <w:keepNext/>
        <w:keepLines/>
        <w:pageBreakBefore w:val="0"/>
        <w:widowControl w:val="0"/>
        <w:kinsoku/>
        <w:wordWrap/>
        <w:overflowPunct/>
        <w:topLinePunct w:val="0"/>
        <w:autoSpaceDE/>
        <w:autoSpaceDN/>
        <w:bidi w:val="0"/>
        <w:adjustRightInd w:val="0"/>
        <w:snapToGrid w:val="0"/>
        <w:textAlignment w:val="auto"/>
        <w:outlineLvl w:val="9"/>
      </w:pPr>
    </w:p>
    <w:p>
      <w:pPr>
        <w:pStyle w:val="42"/>
        <w:bidi w:val="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pPr>
        <w:pStyle w:val="42"/>
        <w:bidi w:val="0"/>
        <w:jc w:val="both"/>
        <w:rPr>
          <w:rFonts w:hint="eastAsia"/>
          <w:b/>
          <w:bCs/>
          <w:sz w:val="36"/>
          <w:szCs w:val="36"/>
          <w:lang w:val="en-US" w:eastAsia="zh-CN"/>
        </w:rPr>
      </w:pPr>
      <w:r>
        <w:rPr>
          <w:rFonts w:hint="eastAsia" w:cs="宋体"/>
          <w:b/>
          <w:bCs/>
          <w:sz w:val="24"/>
          <w:szCs w:val="24"/>
          <w:lang w:val="en-US" w:eastAsia="zh-CN"/>
        </w:rPr>
        <w:t>附件二</w:t>
      </w:r>
      <w:r>
        <w:rPr>
          <w:rFonts w:hint="eastAsia" w:ascii="宋体" w:hAnsi="宋体" w:eastAsia="宋体" w:cs="宋体"/>
          <w:b/>
          <w:bCs/>
          <w:sz w:val="24"/>
          <w:szCs w:val="24"/>
          <w:lang w:val="en-US" w:eastAsia="zh-CN"/>
        </w:rPr>
        <w:t>：《20</w:t>
      </w:r>
      <w:r>
        <w:rPr>
          <w:rFonts w:hint="eastAsia" w:cs="宋体"/>
          <w:b/>
          <w:bCs/>
          <w:sz w:val="24"/>
          <w:szCs w:val="24"/>
          <w:lang w:val="en-US" w:eastAsia="zh-CN"/>
        </w:rPr>
        <w:t>21</w:t>
      </w:r>
      <w:r>
        <w:rPr>
          <w:rFonts w:hint="eastAsia" w:ascii="宋体" w:hAnsi="宋体" w:eastAsia="宋体" w:cs="宋体"/>
          <w:b/>
          <w:bCs/>
          <w:sz w:val="24"/>
          <w:szCs w:val="24"/>
          <w:lang w:val="en-US" w:eastAsia="zh-CN"/>
        </w:rPr>
        <w:t>年度信用评价服务效果调查表(供应商)》</w:t>
      </w:r>
    </w:p>
    <w:p>
      <w:pPr>
        <w:pStyle w:val="42"/>
        <w:bidi w:val="0"/>
        <w:jc w:val="center"/>
        <w:rPr>
          <w:rFonts w:hint="eastAsia"/>
          <w:b/>
          <w:bCs/>
          <w:sz w:val="36"/>
          <w:szCs w:val="36"/>
          <w:lang w:val="en-US" w:eastAsia="zh-CN"/>
        </w:rPr>
      </w:pPr>
      <w:r>
        <w:rPr>
          <w:rFonts w:hint="eastAsia"/>
          <w:b/>
          <w:bCs/>
          <w:sz w:val="36"/>
          <w:szCs w:val="36"/>
          <w:lang w:val="en-US" w:eastAsia="zh-CN"/>
        </w:rPr>
        <w:t>2021年度信用评价服务效果调查表(供应商)</w:t>
      </w:r>
    </w:p>
    <w:p>
      <w:pPr>
        <w:pStyle w:val="42"/>
        <w:bidi w:val="0"/>
        <w:rPr>
          <w:rFonts w:hint="eastAsia"/>
          <w:u w:val="single"/>
          <w:lang w:val="en-US" w:eastAsia="zh-CN"/>
        </w:rPr>
      </w:pPr>
      <w:r>
        <w:rPr>
          <w:rFonts w:hint="eastAsia"/>
          <w:lang w:val="en-US" w:eastAsia="zh-CN"/>
        </w:rPr>
        <w:t>项目名称：</w:t>
      </w:r>
      <w:r>
        <w:rPr>
          <w:rFonts w:hint="eastAsia"/>
          <w:u w:val="single"/>
          <w:lang w:val="en-US" w:eastAsia="zh-CN"/>
        </w:rPr>
        <w:t xml:space="preserve">                               </w:t>
      </w:r>
    </w:p>
    <w:p>
      <w:pPr>
        <w:pStyle w:val="42"/>
        <w:bidi w:val="0"/>
        <w:rPr>
          <w:rFonts w:hint="eastAsia"/>
          <w:u w:val="single"/>
          <w:lang w:val="en-US" w:eastAsia="zh-CN"/>
        </w:rPr>
      </w:pPr>
      <w:r>
        <w:rPr>
          <w:rFonts w:hint="eastAsia"/>
          <w:lang w:val="en-US" w:eastAsia="zh-CN"/>
        </w:rPr>
        <w:t>项目编号：</w:t>
      </w:r>
      <w:r>
        <w:rPr>
          <w:rFonts w:hint="eastAsia"/>
          <w:u w:val="single"/>
          <w:lang w:val="en-US" w:eastAsia="zh-CN"/>
        </w:rPr>
        <w:t xml:space="preserve">                               </w:t>
      </w:r>
    </w:p>
    <w:p>
      <w:pPr>
        <w:pStyle w:val="42"/>
        <w:bidi w:val="0"/>
        <w:rPr>
          <w:rFonts w:hint="eastAsia"/>
          <w:lang w:val="en-US" w:eastAsia="zh-CN"/>
        </w:rPr>
      </w:pPr>
      <w:r>
        <w:rPr>
          <w:rFonts w:hint="eastAsia"/>
          <w:lang w:val="en-US" w:eastAsia="zh-CN"/>
        </w:rPr>
        <w:t>被评价代理机构名称：成都公恒信工程项目管理有限公司</w:t>
      </w:r>
    </w:p>
    <w:tbl>
      <w:tblPr>
        <w:tblStyle w:val="21"/>
        <w:tblW w:w="97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219"/>
        <w:gridCol w:w="2430"/>
        <w:gridCol w:w="1530"/>
        <w:gridCol w:w="1530"/>
        <w:gridCol w:w="1530"/>
        <w:gridCol w:w="1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r>
              <w:rPr>
                <w:rFonts w:hint="eastAsia"/>
                <w:b/>
                <w:bCs/>
                <w:lang w:val="en-US" w:eastAsia="zh-CN"/>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r>
              <w:rPr>
                <w:rFonts w:hint="eastAsia"/>
                <w:b/>
                <w:bCs/>
                <w:lang w:val="en-US" w:eastAsia="zh-CN"/>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lang w:val="en-US" w:eastAsia="zh-CN"/>
              </w:rPr>
            </w:pPr>
            <w:r>
              <w:rPr>
                <w:rFonts w:hint="eastAsia"/>
                <w:b/>
                <w:bCs/>
                <w:lang w:val="en-US" w:eastAsia="zh-CN"/>
              </w:rPr>
              <w:t xml:space="preserve">满意 </w:t>
            </w:r>
          </w:p>
          <w:p>
            <w:pPr>
              <w:pStyle w:val="45"/>
              <w:bidi w:val="0"/>
              <w:rPr>
                <w:rFonts w:hint="eastAsia"/>
                <w:b/>
                <w:bCs/>
              </w:rPr>
            </w:pPr>
            <w:r>
              <w:rPr>
                <w:rFonts w:hint="eastAsia"/>
                <w:b/>
                <w:bCs/>
                <w:lang w:val="en-US" w:eastAsia="zh-CN"/>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lang w:val="en-US" w:eastAsia="zh-CN"/>
              </w:rPr>
            </w:pPr>
            <w:r>
              <w:rPr>
                <w:rFonts w:hint="eastAsia"/>
                <w:b/>
                <w:bCs/>
                <w:lang w:val="en-US" w:eastAsia="zh-CN"/>
              </w:rPr>
              <w:t xml:space="preserve">基本满意 </w:t>
            </w:r>
          </w:p>
          <w:p>
            <w:pPr>
              <w:pStyle w:val="45"/>
              <w:bidi w:val="0"/>
              <w:rPr>
                <w:rFonts w:hint="eastAsia"/>
                <w:b/>
                <w:bCs/>
              </w:rPr>
            </w:pPr>
            <w:r>
              <w:rPr>
                <w:rFonts w:hint="eastAsia"/>
                <w:b/>
                <w:bCs/>
                <w:lang w:val="en-US" w:eastAsia="zh-CN"/>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lang w:val="en-US" w:eastAsia="zh-CN"/>
              </w:rPr>
            </w:pPr>
            <w:r>
              <w:rPr>
                <w:rFonts w:hint="eastAsia"/>
                <w:b/>
                <w:bCs/>
                <w:lang w:val="en-US" w:eastAsia="zh-CN"/>
              </w:rPr>
              <w:t xml:space="preserve">一般 </w:t>
            </w:r>
          </w:p>
          <w:p>
            <w:pPr>
              <w:pStyle w:val="45"/>
              <w:bidi w:val="0"/>
              <w:rPr>
                <w:rFonts w:hint="eastAsia"/>
                <w:b/>
                <w:bCs/>
              </w:rPr>
            </w:pPr>
            <w:r>
              <w:rPr>
                <w:rFonts w:hint="eastAsia"/>
                <w:b/>
                <w:bCs/>
                <w:lang w:val="en-US" w:eastAsia="zh-CN"/>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lang w:val="en-US" w:eastAsia="zh-CN"/>
              </w:rPr>
            </w:pPr>
            <w:r>
              <w:rPr>
                <w:rFonts w:hint="eastAsia"/>
                <w:b/>
                <w:bCs/>
                <w:lang w:val="en-US" w:eastAsia="zh-CN"/>
              </w:rPr>
              <w:t>不满意</w:t>
            </w:r>
          </w:p>
          <w:p>
            <w:pPr>
              <w:pStyle w:val="45"/>
              <w:bidi w:val="0"/>
              <w:rPr>
                <w:rFonts w:hint="eastAsia"/>
                <w:b/>
                <w:bCs/>
              </w:rPr>
            </w:pPr>
            <w:r>
              <w:rPr>
                <w:rFonts w:hint="eastAsia"/>
                <w:b/>
                <w:bCs/>
                <w:lang w:val="en-US" w:eastAsia="zh-CN"/>
              </w:rPr>
              <w:t>(0分)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r>
              <w:rPr>
                <w:rFonts w:hint="eastAsia"/>
                <w:b/>
                <w:bCs/>
                <w:lang w:val="en-US" w:eastAsia="zh-CN"/>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r>
              <w:rPr>
                <w:rFonts w:hint="eastAsia"/>
                <w:b/>
                <w:bCs/>
                <w:lang w:val="en-US" w:eastAsia="zh-CN"/>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r>
              <w:rPr>
                <w:rFonts w:hint="eastAsia"/>
                <w:b/>
                <w:bCs/>
                <w:lang w:val="en-US" w:eastAsia="zh-CN"/>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r>
              <w:rPr>
                <w:rFonts w:hint="eastAsia"/>
                <w:b/>
                <w:bCs/>
                <w:lang w:val="en-US" w:eastAsia="zh-CN"/>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r>
              <w:rPr>
                <w:rFonts w:hint="eastAsia"/>
                <w:b/>
                <w:bCs/>
                <w:lang w:val="en-US" w:eastAsia="zh-CN"/>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r>
              <w:rPr>
                <w:rFonts w:hint="eastAsia"/>
                <w:b/>
                <w:bCs/>
                <w:lang w:val="en-US" w:eastAsia="zh-CN"/>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r>
              <w:rPr>
                <w:rFonts w:hint="eastAsia"/>
                <w:b/>
                <w:bCs/>
                <w:lang w:val="en-US" w:eastAsia="zh-CN"/>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r>
              <w:rPr>
                <w:rFonts w:hint="eastAsia"/>
                <w:b/>
                <w:bCs/>
                <w:lang w:val="en-US" w:eastAsia="zh-CN"/>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5"/>
              <w:bidi w:val="0"/>
              <w:rPr>
                <w:rFonts w:hint="eastAsia"/>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1"/>
              <w:bidi w:val="0"/>
              <w:rPr>
                <w:rFonts w:hint="eastAsia"/>
                <w:b/>
                <w:bCs/>
              </w:rPr>
            </w:pPr>
            <w:r>
              <w:rPr>
                <w:rFonts w:hint="eastAsia"/>
                <w:b/>
                <w:bCs/>
                <w:lang w:val="en-US" w:eastAsia="zh-CN"/>
              </w:rPr>
              <w:t>对代理机构工作的其他建议：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06"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1"/>
              <w:bidi w:val="0"/>
              <w:rPr>
                <w:rFonts w:hint="eastAsia"/>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1"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1"/>
              <w:bidi w:val="0"/>
              <w:rPr>
                <w:rFonts w:hint="eastAsia"/>
                <w:b/>
                <w:bCs/>
                <w:lang w:val="en-US" w:eastAsia="zh-CN"/>
              </w:rPr>
            </w:pPr>
            <w:r>
              <w:rPr>
                <w:rFonts w:hint="eastAsia"/>
                <w:b/>
                <w:bCs/>
                <w:lang w:val="en-US" w:eastAsia="zh-CN"/>
              </w:rPr>
              <w:t>供应商名称：</w:t>
            </w:r>
            <w:r>
              <w:rPr>
                <w:rFonts w:hint="eastAsia"/>
                <w:b/>
                <w:bCs/>
                <w:u w:val="single"/>
                <w:lang w:val="en-US" w:eastAsia="zh-CN"/>
              </w:rPr>
              <w:t xml:space="preserve">                     </w:t>
            </w:r>
            <w:r>
              <w:rPr>
                <w:rFonts w:hint="eastAsia"/>
                <w:b/>
                <w:bCs/>
                <w:lang w:val="en-US" w:eastAsia="zh-CN"/>
              </w:rPr>
              <w:t>(加盖鲜章)</w:t>
            </w:r>
          </w:p>
        </w:tc>
      </w:tr>
    </w:tbl>
    <w:p>
      <w:pPr>
        <w:pStyle w:val="47"/>
        <w:bidi w:val="0"/>
        <w:rPr>
          <w:rFonts w:hint="eastAsia"/>
          <w:lang w:val="en-US" w:eastAsia="zh-CN"/>
        </w:rPr>
      </w:pPr>
      <w:r>
        <w:rPr>
          <w:rFonts w:hint="eastAsia"/>
          <w:lang w:val="en-US" w:eastAsia="zh-CN"/>
        </w:rPr>
        <w:t>说明：请贵公司根据政府采购代理机构2021年度政府采购项目的实际情况，在“满意”、“基本满意”、“一般”、“不满意”四个评价档次栏中选取一栏打“√”，并加盖鲜章。</w:t>
      </w:r>
    </w:p>
    <w:p>
      <w:pPr>
        <w:rPr>
          <w:rFonts w:hint="eastAsia"/>
          <w:lang w:val="en-US" w:eastAsia="zh-CN"/>
        </w:rPr>
      </w:pPr>
      <w:r>
        <w:rPr>
          <w:rFonts w:hint="eastAsia"/>
          <w:lang w:val="en-US" w:eastAsia="zh-CN"/>
        </w:rPr>
        <w:br w:type="page"/>
      </w:r>
    </w:p>
    <w:p>
      <w:pPr>
        <w:pStyle w:val="42"/>
        <w:bidi w:val="0"/>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w:t>
      </w:r>
      <w:r>
        <w:rPr>
          <w:rFonts w:hint="eastAsia" w:cs="宋体"/>
          <w:b/>
          <w:bCs/>
          <w:sz w:val="24"/>
          <w:szCs w:val="24"/>
          <w:lang w:val="en-US" w:eastAsia="zh-CN"/>
        </w:rPr>
        <w:t>三：</w:t>
      </w:r>
    </w:p>
    <w:p>
      <w:pPr>
        <w:widowControl/>
        <w:spacing w:line="330" w:lineRule="atLeast"/>
        <w:jc w:val="center"/>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统计上大中小微型企业划分标准</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1445"/>
        <w:gridCol w:w="747"/>
        <w:gridCol w:w="1186"/>
        <w:gridCol w:w="1796"/>
        <w:gridCol w:w="1505"/>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120" w:type="pct"/>
            <w:noWrap w:val="0"/>
            <w:vAlign w:val="center"/>
          </w:tcPr>
          <w:p>
            <w:pPr>
              <w:widowControl/>
              <w:spacing w:line="240" w:lineRule="exact"/>
              <w:jc w:val="center"/>
              <w:rPr>
                <w:rFonts w:ascii="宋体" w:hAnsi="宋体" w:cs="宋体"/>
                <w:b/>
                <w:bCs/>
                <w:color w:val="000000"/>
                <w:kern w:val="0"/>
                <w:sz w:val="15"/>
                <w:szCs w:val="15"/>
              </w:rPr>
            </w:pPr>
            <w:r>
              <w:rPr>
                <w:rFonts w:hint="eastAsia" w:ascii="宋体" w:hAnsi="宋体" w:cs="宋体"/>
                <w:b/>
                <w:bCs/>
                <w:color w:val="000000"/>
                <w:kern w:val="0"/>
                <w:sz w:val="15"/>
                <w:szCs w:val="15"/>
              </w:rPr>
              <w:t>行业名称</w:t>
            </w:r>
          </w:p>
        </w:tc>
        <w:tc>
          <w:tcPr>
            <w:tcW w:w="725" w:type="pct"/>
            <w:noWrap w:val="0"/>
            <w:vAlign w:val="center"/>
          </w:tcPr>
          <w:p>
            <w:pPr>
              <w:widowControl/>
              <w:jc w:val="center"/>
              <w:rPr>
                <w:rFonts w:ascii="宋体" w:hAnsi="宋体" w:cs="宋体"/>
                <w:b/>
                <w:bCs/>
                <w:color w:val="000000"/>
                <w:kern w:val="0"/>
                <w:sz w:val="15"/>
                <w:szCs w:val="15"/>
              </w:rPr>
            </w:pPr>
            <w:r>
              <w:rPr>
                <w:rFonts w:hint="eastAsia" w:ascii="宋体" w:hAnsi="宋体" w:cs="宋体"/>
                <w:b/>
                <w:bCs/>
                <w:color w:val="000000"/>
                <w:kern w:val="0"/>
                <w:sz w:val="15"/>
                <w:szCs w:val="15"/>
              </w:rPr>
              <w:t>指标名称</w:t>
            </w:r>
          </w:p>
        </w:tc>
        <w:tc>
          <w:tcPr>
            <w:tcW w:w="375" w:type="pct"/>
            <w:noWrap w:val="0"/>
            <w:vAlign w:val="center"/>
          </w:tcPr>
          <w:p>
            <w:pPr>
              <w:widowControl/>
              <w:jc w:val="center"/>
              <w:rPr>
                <w:rFonts w:ascii="宋体" w:hAnsi="宋体" w:cs="宋体"/>
                <w:b/>
                <w:bCs/>
                <w:color w:val="000000"/>
                <w:kern w:val="0"/>
                <w:sz w:val="15"/>
                <w:szCs w:val="15"/>
              </w:rPr>
            </w:pPr>
            <w:r>
              <w:rPr>
                <w:rFonts w:hint="eastAsia" w:ascii="宋体" w:hAnsi="宋体" w:cs="宋体"/>
                <w:b/>
                <w:bCs/>
                <w:color w:val="000000"/>
                <w:kern w:val="0"/>
                <w:sz w:val="15"/>
                <w:szCs w:val="15"/>
              </w:rPr>
              <w:t>计量</w:t>
            </w:r>
            <w:r>
              <w:rPr>
                <w:rFonts w:hint="eastAsia" w:ascii="宋体" w:hAnsi="宋体" w:cs="宋体"/>
                <w:b/>
                <w:bCs/>
                <w:color w:val="000000"/>
                <w:kern w:val="0"/>
                <w:sz w:val="15"/>
                <w:szCs w:val="15"/>
              </w:rPr>
              <w:br w:type="textWrapping"/>
            </w:r>
            <w:r>
              <w:rPr>
                <w:rFonts w:hint="eastAsia" w:ascii="宋体" w:hAnsi="宋体" w:cs="宋体"/>
                <w:b/>
                <w:bCs/>
                <w:color w:val="000000"/>
                <w:kern w:val="0"/>
                <w:sz w:val="15"/>
                <w:szCs w:val="15"/>
              </w:rPr>
              <w:t>单位</w:t>
            </w:r>
          </w:p>
        </w:tc>
        <w:tc>
          <w:tcPr>
            <w:tcW w:w="595" w:type="pct"/>
            <w:noWrap w:val="0"/>
            <w:vAlign w:val="center"/>
          </w:tcPr>
          <w:p>
            <w:pPr>
              <w:widowControl/>
              <w:jc w:val="center"/>
              <w:rPr>
                <w:rFonts w:ascii="宋体" w:hAnsi="宋体" w:cs="宋体"/>
                <w:b/>
                <w:bCs/>
                <w:color w:val="000000"/>
                <w:kern w:val="0"/>
                <w:sz w:val="15"/>
                <w:szCs w:val="15"/>
              </w:rPr>
            </w:pPr>
            <w:r>
              <w:rPr>
                <w:rFonts w:hint="eastAsia" w:ascii="宋体" w:hAnsi="宋体" w:cs="宋体"/>
                <w:b/>
                <w:bCs/>
                <w:color w:val="000000"/>
                <w:kern w:val="0"/>
                <w:sz w:val="15"/>
                <w:szCs w:val="15"/>
              </w:rPr>
              <w:t>大型</w:t>
            </w:r>
          </w:p>
        </w:tc>
        <w:tc>
          <w:tcPr>
            <w:tcW w:w="901" w:type="pct"/>
            <w:noWrap w:val="0"/>
            <w:vAlign w:val="center"/>
          </w:tcPr>
          <w:p>
            <w:pPr>
              <w:widowControl/>
              <w:jc w:val="center"/>
              <w:rPr>
                <w:rFonts w:ascii="宋体" w:hAnsi="宋体" w:cs="宋体"/>
                <w:b/>
                <w:bCs/>
                <w:color w:val="000000"/>
                <w:kern w:val="0"/>
                <w:sz w:val="15"/>
                <w:szCs w:val="15"/>
              </w:rPr>
            </w:pPr>
            <w:r>
              <w:rPr>
                <w:rFonts w:hint="eastAsia" w:ascii="宋体" w:hAnsi="宋体" w:cs="宋体"/>
                <w:b/>
                <w:bCs/>
                <w:color w:val="000000"/>
                <w:kern w:val="0"/>
                <w:sz w:val="15"/>
                <w:szCs w:val="15"/>
              </w:rPr>
              <w:t>中型</w:t>
            </w:r>
          </w:p>
        </w:tc>
        <w:tc>
          <w:tcPr>
            <w:tcW w:w="755" w:type="pct"/>
            <w:noWrap w:val="0"/>
            <w:vAlign w:val="center"/>
          </w:tcPr>
          <w:p>
            <w:pPr>
              <w:widowControl/>
              <w:jc w:val="center"/>
              <w:rPr>
                <w:rFonts w:ascii="宋体" w:hAnsi="宋体" w:cs="宋体"/>
                <w:b/>
                <w:bCs/>
                <w:color w:val="000000"/>
                <w:kern w:val="0"/>
                <w:sz w:val="15"/>
                <w:szCs w:val="15"/>
              </w:rPr>
            </w:pPr>
            <w:r>
              <w:rPr>
                <w:rFonts w:hint="eastAsia" w:ascii="宋体" w:hAnsi="宋体" w:cs="宋体"/>
                <w:b/>
                <w:bCs/>
                <w:color w:val="000000"/>
                <w:kern w:val="0"/>
                <w:sz w:val="15"/>
                <w:szCs w:val="15"/>
              </w:rPr>
              <w:t>小型</w:t>
            </w:r>
          </w:p>
        </w:tc>
        <w:tc>
          <w:tcPr>
            <w:tcW w:w="525" w:type="pct"/>
            <w:noWrap w:val="0"/>
            <w:vAlign w:val="center"/>
          </w:tcPr>
          <w:p>
            <w:pPr>
              <w:widowControl/>
              <w:jc w:val="center"/>
              <w:rPr>
                <w:rFonts w:ascii="宋体" w:hAnsi="宋体" w:cs="宋体"/>
                <w:b/>
                <w:bCs/>
                <w:color w:val="000000"/>
                <w:kern w:val="0"/>
                <w:sz w:val="15"/>
                <w:szCs w:val="15"/>
              </w:rPr>
            </w:pPr>
            <w:r>
              <w:rPr>
                <w:rFonts w:hint="eastAsia" w:ascii="宋体" w:hAnsi="宋体" w:cs="宋体"/>
                <w:b/>
                <w:bCs/>
                <w:color w:val="000000"/>
                <w:kern w:val="0"/>
                <w:sz w:val="15"/>
                <w:szCs w:val="15"/>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农、林、牧、渔业</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Y≥20000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500≤Y＜20000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50≤Y＜500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工业 *</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300≤X＜1000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20≤X＜300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Y≥40000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2000≤Y＜40000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300≤Y＜2000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建筑业</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Y≥80000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6000≤Y＜80000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300≤Y＜6000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资产总额(Z)</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Z≥80000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5000≤Z＜80000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300≤Z＜5000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批发业</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X≥200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20≤X＜200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5≤X＜20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Y≥40000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5000≤Y＜40000</w:t>
            </w:r>
          </w:p>
        </w:tc>
        <w:tc>
          <w:tcPr>
            <w:tcW w:w="755" w:type="pct"/>
            <w:noWrap w:val="0"/>
            <w:vAlign w:val="center"/>
          </w:tcPr>
          <w:p>
            <w:pPr>
              <w:widowControl/>
              <w:ind w:left="-1" w:leftChars="-1" w:hanging="1"/>
              <w:jc w:val="center"/>
              <w:rPr>
                <w:rFonts w:ascii="宋体" w:hAnsi="宋体" w:cs="宋体"/>
                <w:color w:val="000000"/>
                <w:kern w:val="0"/>
                <w:sz w:val="15"/>
                <w:szCs w:val="15"/>
              </w:rPr>
            </w:pPr>
            <w:r>
              <w:rPr>
                <w:rFonts w:hint="eastAsia" w:ascii="宋体" w:hAnsi="宋体" w:cs="宋体"/>
                <w:color w:val="000000"/>
                <w:kern w:val="0"/>
                <w:sz w:val="15"/>
                <w:szCs w:val="15"/>
              </w:rPr>
              <w:t>1000≤Y＜5000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零售业</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X≥300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50≤X＜300</w:t>
            </w:r>
          </w:p>
        </w:tc>
        <w:tc>
          <w:tcPr>
            <w:tcW w:w="755" w:type="pct"/>
            <w:noWrap w:val="0"/>
            <w:vAlign w:val="center"/>
          </w:tcPr>
          <w:p>
            <w:pPr>
              <w:widowControl/>
              <w:ind w:left="-1" w:leftChars="-1" w:hanging="1"/>
              <w:jc w:val="center"/>
              <w:rPr>
                <w:rFonts w:ascii="宋体" w:hAnsi="宋体" w:cs="宋体"/>
                <w:color w:val="000000"/>
                <w:kern w:val="0"/>
                <w:sz w:val="15"/>
                <w:szCs w:val="15"/>
              </w:rPr>
            </w:pPr>
            <w:r>
              <w:rPr>
                <w:rFonts w:hint="eastAsia" w:ascii="宋体" w:hAnsi="宋体" w:cs="宋体"/>
                <w:color w:val="000000"/>
                <w:kern w:val="0"/>
                <w:sz w:val="15"/>
                <w:szCs w:val="15"/>
              </w:rPr>
              <w:t xml:space="preserve">10≤X＜50 </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Y≥20000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500≤Y＜20000</w:t>
            </w:r>
          </w:p>
        </w:tc>
        <w:tc>
          <w:tcPr>
            <w:tcW w:w="755" w:type="pct"/>
            <w:noWrap w:val="0"/>
            <w:vAlign w:val="center"/>
          </w:tcPr>
          <w:p>
            <w:pPr>
              <w:widowControl/>
              <w:ind w:left="-1" w:leftChars="-1" w:hanging="1"/>
              <w:jc w:val="center"/>
              <w:rPr>
                <w:rFonts w:ascii="宋体" w:hAnsi="宋体" w:cs="宋体"/>
                <w:color w:val="000000"/>
                <w:kern w:val="0"/>
                <w:sz w:val="15"/>
                <w:szCs w:val="15"/>
              </w:rPr>
            </w:pPr>
            <w:r>
              <w:rPr>
                <w:rFonts w:hint="eastAsia" w:ascii="宋体" w:hAnsi="宋体" w:cs="宋体"/>
                <w:color w:val="000000"/>
                <w:kern w:val="0"/>
                <w:sz w:val="15"/>
                <w:szCs w:val="15"/>
              </w:rPr>
              <w:t xml:space="preserve">100≤Y＜500 </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交通运输业 *</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300≤X＜1000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20≤X＜300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Y≥30000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3000≤Y＜30000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200≤Y＜3000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仓储业*</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X≥200</w:t>
            </w:r>
          </w:p>
        </w:tc>
        <w:tc>
          <w:tcPr>
            <w:tcW w:w="901" w:type="pct"/>
            <w:noWrap w:val="0"/>
            <w:vAlign w:val="center"/>
          </w:tcPr>
          <w:p>
            <w:pPr>
              <w:widowControl/>
              <w:ind w:left="-32" w:leftChars="-51" w:hanging="90" w:hangingChars="60"/>
              <w:jc w:val="center"/>
              <w:rPr>
                <w:rFonts w:ascii="宋体" w:hAnsi="宋体" w:cs="宋体"/>
                <w:color w:val="000000"/>
                <w:kern w:val="0"/>
                <w:sz w:val="15"/>
                <w:szCs w:val="15"/>
              </w:rPr>
            </w:pPr>
            <w:r>
              <w:rPr>
                <w:rFonts w:hint="eastAsia" w:ascii="宋体" w:hAnsi="宋体" w:cs="宋体"/>
                <w:color w:val="000000"/>
                <w:kern w:val="0"/>
                <w:sz w:val="15"/>
                <w:szCs w:val="15"/>
              </w:rPr>
              <w:t>100≤X＜200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20≤X＜100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Y≥30000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1000≤Y＜30000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100≤Y＜1000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邮政业</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300≤X＜1000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20≤X＜300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Y≥30000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2000≤Y＜30000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100≤Y＜2000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住宿业</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X≥300</w:t>
            </w:r>
          </w:p>
        </w:tc>
        <w:tc>
          <w:tcPr>
            <w:tcW w:w="901" w:type="pct"/>
            <w:noWrap w:val="0"/>
            <w:vAlign w:val="center"/>
          </w:tcPr>
          <w:p>
            <w:pPr>
              <w:widowControl/>
              <w:ind w:left="-32" w:leftChars="-51" w:hanging="90" w:hangingChars="60"/>
              <w:jc w:val="center"/>
              <w:rPr>
                <w:rFonts w:ascii="宋体" w:hAnsi="宋体" w:cs="宋体"/>
                <w:color w:val="000000"/>
                <w:kern w:val="0"/>
                <w:sz w:val="15"/>
                <w:szCs w:val="15"/>
              </w:rPr>
            </w:pPr>
            <w:r>
              <w:rPr>
                <w:rFonts w:hint="eastAsia" w:ascii="宋体" w:hAnsi="宋体" w:cs="宋体"/>
                <w:color w:val="000000"/>
                <w:kern w:val="0"/>
                <w:sz w:val="15"/>
                <w:szCs w:val="15"/>
              </w:rPr>
              <w:t xml:space="preserve">100≤X＜300 </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10≤X＜100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2000≤Y＜10000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100≤Y＜2000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餐饮业</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X≥300</w:t>
            </w:r>
          </w:p>
        </w:tc>
        <w:tc>
          <w:tcPr>
            <w:tcW w:w="901" w:type="pct"/>
            <w:noWrap w:val="0"/>
            <w:vAlign w:val="center"/>
          </w:tcPr>
          <w:p>
            <w:pPr>
              <w:widowControl/>
              <w:ind w:left="-32" w:leftChars="-51" w:hanging="90" w:hangingChars="60"/>
              <w:jc w:val="center"/>
              <w:rPr>
                <w:rFonts w:ascii="宋体" w:hAnsi="宋体" w:cs="宋体"/>
                <w:color w:val="000000"/>
                <w:kern w:val="0"/>
                <w:sz w:val="15"/>
                <w:szCs w:val="15"/>
              </w:rPr>
            </w:pPr>
            <w:r>
              <w:rPr>
                <w:rFonts w:hint="eastAsia" w:ascii="宋体" w:hAnsi="宋体" w:cs="宋体"/>
                <w:color w:val="000000"/>
                <w:kern w:val="0"/>
                <w:sz w:val="15"/>
                <w:szCs w:val="15"/>
              </w:rPr>
              <w:t xml:space="preserve">100≤X＜300 </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10≤X＜100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2000≤Y＜10000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100≤Y＜2000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信息传输业 *</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X≥2000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100≤X＜2000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10≤X＜100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1000≤Y＜100000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100≤Y＜1000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exact"/>
          <w:jc w:val="center"/>
        </w:trPr>
        <w:tc>
          <w:tcPr>
            <w:tcW w:w="1120" w:type="pct"/>
            <w:vMerge w:val="restart"/>
            <w:noWrap w:val="0"/>
            <w:vAlign w:val="center"/>
          </w:tcPr>
          <w:p>
            <w:pPr>
              <w:widowControl/>
              <w:spacing w:line="240" w:lineRule="exact"/>
              <w:jc w:val="left"/>
              <w:rPr>
                <w:rFonts w:ascii="宋体" w:hAnsi="宋体" w:cs="宋体"/>
                <w:color w:val="000000"/>
                <w:spacing w:val="-12"/>
                <w:kern w:val="0"/>
                <w:sz w:val="15"/>
                <w:szCs w:val="15"/>
              </w:rPr>
            </w:pPr>
            <w:r>
              <w:rPr>
                <w:rFonts w:hint="eastAsia" w:ascii="宋体" w:hAnsi="宋体" w:cs="宋体"/>
                <w:color w:val="000000"/>
                <w:spacing w:val="-12"/>
                <w:kern w:val="0"/>
                <w:sz w:val="15"/>
                <w:szCs w:val="15"/>
              </w:rPr>
              <w:t>软件和信息技术服</w:t>
            </w:r>
            <w:r>
              <w:rPr>
                <w:rFonts w:hint="eastAsia" w:ascii="宋体" w:hAnsi="宋体" w:cs="宋体"/>
                <w:color w:val="000000"/>
                <w:kern w:val="0"/>
                <w:sz w:val="15"/>
                <w:szCs w:val="15"/>
              </w:rPr>
              <w:t>务业</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X≥300</w:t>
            </w:r>
          </w:p>
        </w:tc>
        <w:tc>
          <w:tcPr>
            <w:tcW w:w="901" w:type="pct"/>
            <w:noWrap w:val="0"/>
            <w:vAlign w:val="center"/>
          </w:tcPr>
          <w:p>
            <w:pPr>
              <w:widowControl/>
              <w:ind w:left="-32" w:leftChars="-51" w:hanging="90" w:hangingChars="60"/>
              <w:jc w:val="center"/>
              <w:rPr>
                <w:rFonts w:ascii="宋体" w:hAnsi="宋体" w:cs="宋体"/>
                <w:color w:val="000000"/>
                <w:kern w:val="0"/>
                <w:sz w:val="15"/>
                <w:szCs w:val="15"/>
              </w:rPr>
            </w:pPr>
            <w:r>
              <w:rPr>
                <w:rFonts w:hint="eastAsia" w:ascii="宋体" w:hAnsi="宋体" w:cs="宋体"/>
                <w:color w:val="000000"/>
                <w:kern w:val="0"/>
                <w:sz w:val="15"/>
                <w:szCs w:val="15"/>
              </w:rPr>
              <w:t xml:space="preserve">100≤X＜300 </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10≤X＜100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120" w:type="pct"/>
            <w:vMerge w:val="continue"/>
            <w:noWrap w:val="0"/>
            <w:vAlign w:val="center"/>
          </w:tcPr>
          <w:p>
            <w:pPr>
              <w:widowControl/>
              <w:jc w:val="left"/>
              <w:rPr>
                <w:rFonts w:ascii="宋体" w:hAnsi="宋体" w:cs="宋体"/>
                <w:color w:val="000000"/>
                <w:spacing w:val="-12"/>
                <w:kern w:val="0"/>
                <w:sz w:val="15"/>
                <w:szCs w:val="15"/>
              </w:rPr>
            </w:pP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1000≤Y＜10000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50≤Y＜1000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房地产开发经营</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Y≥200000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1000≤Y＜200000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100≤Y＜1000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资产总额(Z)</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Z≥10000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5000≤Z＜10000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2000≤Z＜5000   </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物业管理</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300≤X＜1000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100≤X＜300 </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Y≥5000</w:t>
            </w:r>
          </w:p>
        </w:tc>
        <w:tc>
          <w:tcPr>
            <w:tcW w:w="901" w:type="pct"/>
            <w:noWrap w:val="0"/>
            <w:vAlign w:val="center"/>
          </w:tcPr>
          <w:p>
            <w:pPr>
              <w:widowControl/>
              <w:ind w:left="-32" w:leftChars="-51" w:hanging="90" w:hangingChars="60"/>
              <w:jc w:val="center"/>
              <w:rPr>
                <w:rFonts w:ascii="宋体" w:hAnsi="宋体" w:cs="宋体"/>
                <w:color w:val="000000"/>
                <w:kern w:val="0"/>
                <w:sz w:val="15"/>
                <w:szCs w:val="15"/>
              </w:rPr>
            </w:pPr>
            <w:r>
              <w:rPr>
                <w:rFonts w:hint="eastAsia" w:ascii="宋体" w:hAnsi="宋体" w:cs="宋体"/>
                <w:color w:val="000000"/>
                <w:kern w:val="0"/>
                <w:sz w:val="15"/>
                <w:szCs w:val="15"/>
              </w:rPr>
              <w:t xml:space="preserve">1000≤Y＜5000 </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500≤Y＜1000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租赁和商务服务业</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X≥300</w:t>
            </w:r>
          </w:p>
        </w:tc>
        <w:tc>
          <w:tcPr>
            <w:tcW w:w="901" w:type="pct"/>
            <w:noWrap w:val="0"/>
            <w:vAlign w:val="center"/>
          </w:tcPr>
          <w:p>
            <w:pPr>
              <w:widowControl/>
              <w:ind w:left="-32" w:leftChars="-51" w:hanging="90" w:hangingChars="60"/>
              <w:jc w:val="center"/>
              <w:rPr>
                <w:rFonts w:ascii="宋体" w:hAnsi="宋体" w:cs="宋体"/>
                <w:color w:val="000000"/>
                <w:kern w:val="0"/>
                <w:sz w:val="15"/>
                <w:szCs w:val="15"/>
              </w:rPr>
            </w:pPr>
            <w:r>
              <w:rPr>
                <w:rFonts w:hint="eastAsia" w:ascii="宋体" w:hAnsi="宋体" w:cs="宋体"/>
                <w:color w:val="000000"/>
                <w:kern w:val="0"/>
                <w:sz w:val="15"/>
                <w:szCs w:val="15"/>
              </w:rPr>
              <w:t xml:space="preserve">100≤X＜300 </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10≤X＜100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资产总额(Z)</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Z≥120000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8000≤Z＜120000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100≤Z＜8000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其他未列明行业 *</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X≥300</w:t>
            </w:r>
          </w:p>
        </w:tc>
        <w:tc>
          <w:tcPr>
            <w:tcW w:w="901" w:type="pct"/>
            <w:noWrap w:val="0"/>
            <w:vAlign w:val="center"/>
          </w:tcPr>
          <w:p>
            <w:pPr>
              <w:widowControl/>
              <w:ind w:left="-32" w:leftChars="-51" w:hanging="90" w:hangingChars="60"/>
              <w:jc w:val="center"/>
              <w:rPr>
                <w:rFonts w:ascii="宋体" w:hAnsi="宋体" w:cs="宋体"/>
                <w:color w:val="000000"/>
                <w:kern w:val="0"/>
                <w:sz w:val="15"/>
                <w:szCs w:val="15"/>
              </w:rPr>
            </w:pPr>
            <w:r>
              <w:rPr>
                <w:rFonts w:hint="eastAsia" w:ascii="宋体" w:hAnsi="宋体" w:cs="宋体"/>
                <w:color w:val="000000"/>
                <w:kern w:val="0"/>
                <w:sz w:val="15"/>
                <w:szCs w:val="15"/>
              </w:rPr>
              <w:t xml:space="preserve">100≤X＜300 </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10≤X＜100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w:t>
            </w:r>
          </w:p>
        </w:tc>
      </w:tr>
    </w:tbl>
    <w:p>
      <w:pPr>
        <w:keepNext w:val="0"/>
        <w:keepLines w:val="0"/>
        <w:pageBreakBefore w:val="0"/>
        <w:widowControl/>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000000"/>
          <w:spacing w:val="8"/>
          <w:kern w:val="0"/>
          <w:sz w:val="24"/>
          <w:szCs w:val="24"/>
        </w:rPr>
      </w:pPr>
      <w:r>
        <w:rPr>
          <w:rFonts w:hint="eastAsia" w:ascii="宋体" w:hAnsi="宋体" w:eastAsia="宋体" w:cs="宋体"/>
          <w:color w:val="000000"/>
          <w:spacing w:val="8"/>
          <w:kern w:val="0"/>
          <w:sz w:val="24"/>
          <w:szCs w:val="24"/>
        </w:rPr>
        <w:t>说明：</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000000"/>
          <w:spacing w:val="8"/>
          <w:kern w:val="0"/>
          <w:sz w:val="24"/>
          <w:szCs w:val="24"/>
        </w:rPr>
      </w:pPr>
      <w:r>
        <w:rPr>
          <w:rFonts w:hint="eastAsia" w:ascii="宋体" w:hAnsi="宋体" w:eastAsia="宋体" w:cs="宋体"/>
          <w:color w:val="000000"/>
          <w:spacing w:val="8"/>
          <w:kern w:val="0"/>
          <w:sz w:val="24"/>
          <w:szCs w:val="24"/>
        </w:rPr>
        <w:t>1.大型、中型和小型企业须同时满足所列指标的下限，否则下划一档；微型企业只须满足所列指标中的一项即可。</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000000"/>
          <w:spacing w:val="8"/>
          <w:kern w:val="0"/>
          <w:sz w:val="24"/>
          <w:szCs w:val="24"/>
        </w:rPr>
      </w:pPr>
      <w:r>
        <w:rPr>
          <w:rFonts w:hint="eastAsia" w:ascii="宋体" w:hAnsi="宋体" w:eastAsia="宋体" w:cs="宋体"/>
          <w:color w:val="000000"/>
          <w:spacing w:val="8"/>
          <w:kern w:val="0"/>
          <w:sz w:val="24"/>
          <w:szCs w:val="24"/>
        </w:rPr>
        <w:t>2.附表中各行业的范围以《国民经济行业分类》</w:t>
      </w:r>
      <w:r>
        <w:rPr>
          <w:rFonts w:hint="eastAsia" w:cs="宋体"/>
          <w:color w:val="000000"/>
          <w:spacing w:val="8"/>
          <w:kern w:val="0"/>
          <w:sz w:val="24"/>
          <w:szCs w:val="24"/>
          <w:lang w:eastAsia="zh-CN"/>
        </w:rPr>
        <w:t>(</w:t>
      </w:r>
      <w:r>
        <w:rPr>
          <w:rFonts w:hint="eastAsia" w:ascii="宋体" w:hAnsi="宋体" w:eastAsia="宋体" w:cs="宋体"/>
          <w:color w:val="000000"/>
          <w:spacing w:val="8"/>
          <w:kern w:val="0"/>
          <w:sz w:val="24"/>
          <w:szCs w:val="24"/>
        </w:rPr>
        <w:t>GB/T4754-2017</w:t>
      </w:r>
      <w:r>
        <w:rPr>
          <w:rFonts w:hint="eastAsia" w:cs="宋体"/>
          <w:color w:val="000000"/>
          <w:spacing w:val="8"/>
          <w:kern w:val="0"/>
          <w:sz w:val="24"/>
          <w:szCs w:val="24"/>
          <w:lang w:eastAsia="zh-CN"/>
        </w:rPr>
        <w:t>)</w:t>
      </w:r>
      <w:r>
        <w:rPr>
          <w:rFonts w:hint="eastAsia" w:ascii="宋体" w:hAnsi="宋体" w:eastAsia="宋体" w:cs="宋体"/>
          <w:color w:val="000000"/>
          <w:spacing w:val="8"/>
          <w:kern w:val="0"/>
          <w:sz w:val="24"/>
          <w:szCs w:val="24"/>
        </w:rPr>
        <w:t>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keepNext w:val="0"/>
        <w:keepLines w:val="0"/>
        <w:pageBreakBefore w:val="0"/>
        <w:kinsoku/>
        <w:wordWrap/>
        <w:overflowPunct/>
        <w:topLinePunct w:val="0"/>
        <w:autoSpaceDE/>
        <w:autoSpaceDN/>
        <w:bidi w:val="0"/>
        <w:ind w:left="0" w:firstLine="512" w:firstLineChars="200"/>
        <w:textAlignment w:val="auto"/>
        <w:rPr>
          <w:rFonts w:hint="eastAsia" w:ascii="宋体" w:hAnsi="宋体" w:eastAsia="宋体" w:cs="宋体"/>
          <w:b/>
          <w:bCs/>
          <w:sz w:val="24"/>
          <w:szCs w:val="24"/>
          <w:lang w:val="en-US" w:eastAsia="zh-CN"/>
        </w:rPr>
      </w:pPr>
      <w:r>
        <w:rPr>
          <w:rFonts w:hint="eastAsia" w:ascii="宋体" w:hAnsi="宋体" w:eastAsia="宋体" w:cs="宋体"/>
          <w:color w:val="000000"/>
          <w:spacing w:val="8"/>
          <w:kern w:val="0"/>
          <w:sz w:val="24"/>
          <w:szCs w:val="24"/>
        </w:rPr>
        <w:t>3.企业划分指标以现行统计制度为准。</w:t>
      </w:r>
      <w:r>
        <w:rPr>
          <w:rFonts w:hint="eastAsia" w:cs="宋体"/>
          <w:color w:val="000000"/>
          <w:spacing w:val="8"/>
          <w:kern w:val="0"/>
          <w:sz w:val="24"/>
          <w:szCs w:val="24"/>
          <w:lang w:eastAsia="zh-CN"/>
        </w:rPr>
        <w:t>(</w:t>
      </w:r>
      <w:r>
        <w:rPr>
          <w:rFonts w:hint="eastAsia" w:ascii="宋体" w:hAnsi="宋体" w:eastAsia="宋体" w:cs="宋体"/>
          <w:color w:val="000000"/>
          <w:spacing w:val="8"/>
          <w:kern w:val="0"/>
          <w:sz w:val="24"/>
          <w:szCs w:val="24"/>
        </w:rPr>
        <w:t>1</w:t>
      </w:r>
      <w:r>
        <w:rPr>
          <w:rFonts w:hint="eastAsia" w:cs="宋体"/>
          <w:color w:val="000000"/>
          <w:spacing w:val="8"/>
          <w:kern w:val="0"/>
          <w:sz w:val="24"/>
          <w:szCs w:val="24"/>
          <w:lang w:eastAsia="zh-CN"/>
        </w:rPr>
        <w:t>)</w:t>
      </w:r>
      <w:r>
        <w:rPr>
          <w:rFonts w:hint="eastAsia" w:ascii="宋体" w:hAnsi="宋体" w:eastAsia="宋体" w:cs="宋体"/>
          <w:color w:val="000000"/>
          <w:spacing w:val="8"/>
          <w:kern w:val="0"/>
          <w:sz w:val="24"/>
          <w:szCs w:val="24"/>
        </w:rPr>
        <w:t>从业人员，是指期末从业人员数，没有期末从业人员数的，采用全年平均人员数代替。</w:t>
      </w:r>
      <w:r>
        <w:rPr>
          <w:rFonts w:hint="eastAsia" w:cs="宋体"/>
          <w:color w:val="000000"/>
          <w:spacing w:val="8"/>
          <w:kern w:val="0"/>
          <w:sz w:val="24"/>
          <w:szCs w:val="24"/>
          <w:lang w:eastAsia="zh-CN"/>
        </w:rPr>
        <w:t>(</w:t>
      </w:r>
      <w:r>
        <w:rPr>
          <w:rFonts w:hint="eastAsia" w:ascii="宋体" w:hAnsi="宋体" w:eastAsia="宋体" w:cs="宋体"/>
          <w:color w:val="000000"/>
          <w:spacing w:val="8"/>
          <w:kern w:val="0"/>
          <w:sz w:val="24"/>
          <w:szCs w:val="24"/>
        </w:rPr>
        <w:t>2</w:t>
      </w:r>
      <w:r>
        <w:rPr>
          <w:rFonts w:hint="eastAsia" w:cs="宋体"/>
          <w:color w:val="000000"/>
          <w:spacing w:val="8"/>
          <w:kern w:val="0"/>
          <w:sz w:val="24"/>
          <w:szCs w:val="24"/>
          <w:lang w:eastAsia="zh-CN"/>
        </w:rPr>
        <w:t>)</w:t>
      </w:r>
      <w:r>
        <w:rPr>
          <w:rFonts w:hint="eastAsia" w:ascii="宋体" w:hAnsi="宋体" w:eastAsia="宋体" w:cs="宋体"/>
          <w:color w:val="000000"/>
          <w:spacing w:val="8"/>
          <w:kern w:val="0"/>
          <w:sz w:val="24"/>
          <w:szCs w:val="24"/>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cs="宋体"/>
          <w:color w:val="000000"/>
          <w:spacing w:val="8"/>
          <w:kern w:val="0"/>
          <w:sz w:val="24"/>
          <w:szCs w:val="24"/>
          <w:lang w:eastAsia="zh-CN"/>
        </w:rPr>
        <w:t>(</w:t>
      </w:r>
      <w:r>
        <w:rPr>
          <w:rFonts w:hint="eastAsia" w:ascii="宋体" w:hAnsi="宋体" w:eastAsia="宋体" w:cs="宋体"/>
          <w:color w:val="000000"/>
          <w:spacing w:val="8"/>
          <w:kern w:val="0"/>
          <w:sz w:val="24"/>
          <w:szCs w:val="24"/>
        </w:rPr>
        <w:t>3</w:t>
      </w:r>
      <w:r>
        <w:rPr>
          <w:rFonts w:hint="eastAsia" w:cs="宋体"/>
          <w:color w:val="000000"/>
          <w:spacing w:val="8"/>
          <w:kern w:val="0"/>
          <w:sz w:val="24"/>
          <w:szCs w:val="24"/>
          <w:lang w:eastAsia="zh-CN"/>
        </w:rPr>
        <w:t>)</w:t>
      </w:r>
      <w:r>
        <w:rPr>
          <w:rFonts w:hint="eastAsia" w:ascii="宋体" w:hAnsi="宋体" w:eastAsia="宋体" w:cs="宋体"/>
          <w:color w:val="000000"/>
          <w:spacing w:val="8"/>
          <w:kern w:val="0"/>
          <w:sz w:val="24"/>
          <w:szCs w:val="24"/>
        </w:rPr>
        <w:t>资产总额，采用资产总计代替。</w:t>
      </w:r>
      <w:r>
        <w:rPr>
          <w:rFonts w:hint="eastAsia" w:ascii="宋体" w:hAnsi="宋体" w:eastAsia="宋体" w:cs="宋体"/>
          <w:b/>
          <w:bCs/>
          <w:sz w:val="24"/>
          <w:szCs w:val="24"/>
          <w:lang w:val="en-US" w:eastAsia="zh-CN"/>
        </w:rPr>
        <w:br w:type="page"/>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b/>
          <w:bCs/>
          <w:lang w:val="en-US" w:eastAsia="zh-CN"/>
        </w:rPr>
      </w:pPr>
      <w:r>
        <w:rPr>
          <w:rFonts w:hint="eastAsia" w:ascii="宋体" w:hAnsi="宋体" w:eastAsia="宋体" w:cs="宋体"/>
          <w:b/>
          <w:bCs/>
          <w:sz w:val="24"/>
          <w:szCs w:val="24"/>
          <w:lang w:val="en-US" w:eastAsia="zh-CN"/>
        </w:rPr>
        <w:t>附件</w:t>
      </w:r>
      <w:r>
        <w:rPr>
          <w:rFonts w:hint="eastAsia" w:cs="宋体"/>
          <w:b/>
          <w:bCs/>
          <w:sz w:val="24"/>
          <w:szCs w:val="24"/>
          <w:lang w:val="en-US" w:eastAsia="zh-CN"/>
        </w:rPr>
        <w:t>四</w:t>
      </w:r>
      <w:r>
        <w:rPr>
          <w:rFonts w:hint="eastAsia" w:ascii="宋体" w:hAnsi="宋体" w:eastAsia="宋体" w:cs="宋体"/>
          <w:b/>
          <w:bCs/>
          <w:sz w:val="24"/>
          <w:szCs w:val="24"/>
          <w:lang w:val="en-US" w:eastAsia="zh-CN"/>
        </w:rPr>
        <w:t>：</w:t>
      </w:r>
      <w:r>
        <w:rPr>
          <w:rFonts w:hint="eastAsia"/>
          <w:b/>
          <w:bCs/>
          <w:lang w:val="en-US" w:eastAsia="zh-CN"/>
        </w:rPr>
        <w:t>《四川省财政厅关于推进四川省政府采购供应商信用融资工作的通知》(川财采〔2018〕123号文)</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40" w:lineRule="exact"/>
        <w:ind w:right="0"/>
        <w:jc w:val="left"/>
        <w:textAlignment w:val="auto"/>
        <w:rPr>
          <w:rFonts w:hint="default" w:ascii="宋体" w:hAnsi="宋体" w:eastAsia="宋体" w:cs="宋体"/>
          <w:b/>
          <w:bCs/>
          <w:i w:val="0"/>
          <w:caps w:val="0"/>
          <w:color w:val="auto"/>
          <w:spacing w:val="0"/>
          <w:sz w:val="24"/>
          <w:szCs w:val="24"/>
          <w:lang w:val="en-US" w:eastAsia="zh-CN"/>
        </w:rPr>
      </w:pPr>
      <w:r>
        <w:rPr>
          <w:rFonts w:hint="eastAsia"/>
          <w:b/>
          <w:bCs/>
          <w:color w:val="auto"/>
          <w:lang w:val="en-US" w:eastAsia="zh-CN"/>
        </w:rPr>
        <w:t>查询链接：</w:t>
      </w:r>
      <w:r>
        <w:rPr>
          <w:rFonts w:hint="eastAsia" w:ascii="宋体" w:hAnsi="宋体" w:eastAsia="宋体" w:cs="宋体"/>
          <w:b/>
          <w:bCs/>
          <w:i w:val="0"/>
          <w:caps w:val="0"/>
          <w:color w:val="auto"/>
          <w:spacing w:val="0"/>
          <w:sz w:val="24"/>
          <w:szCs w:val="24"/>
          <w:lang w:val="en-US" w:eastAsia="zh-CN"/>
        </w:rPr>
        <w:t>http</w:t>
      </w:r>
      <w:r>
        <w:rPr>
          <w:rFonts w:hint="eastAsia" w:cs="宋体"/>
          <w:b/>
          <w:bCs/>
          <w:i w:val="0"/>
          <w:caps w:val="0"/>
          <w:color w:val="auto"/>
          <w:spacing w:val="0"/>
          <w:sz w:val="24"/>
          <w:szCs w:val="24"/>
          <w:lang w:val="en-US" w:eastAsia="zh-CN"/>
        </w:rPr>
        <w:t>：</w:t>
      </w:r>
      <w:r>
        <w:rPr>
          <w:rFonts w:hint="eastAsia" w:ascii="宋体" w:hAnsi="宋体" w:eastAsia="宋体" w:cs="宋体"/>
          <w:b/>
          <w:bCs/>
          <w:i w:val="0"/>
          <w:caps w:val="0"/>
          <w:color w:val="auto"/>
          <w:spacing w:val="0"/>
          <w:sz w:val="24"/>
          <w:szCs w:val="24"/>
          <w:lang w:val="en-US" w:eastAsia="zh-CN"/>
        </w:rPr>
        <w:t>//www.ccgp-sichuan.gov.cn/view/staticpags/sjzcfg/40288687657ff75501672fd954532414.html</w:t>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302250" cy="1859915"/>
            <wp:effectExtent l="0" t="0" r="635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2"/>
                    <a:stretch>
                      <a:fillRect/>
                    </a:stretch>
                  </pic:blipFill>
                  <pic:spPr>
                    <a:xfrm>
                      <a:off x="0" y="0"/>
                      <a:ext cx="5302250" cy="1859915"/>
                    </a:xfrm>
                    <a:prstGeom prst="rect">
                      <a:avLst/>
                    </a:prstGeom>
                    <a:noFill/>
                    <a:ln w="9525">
                      <a:noFill/>
                    </a:ln>
                  </pic:spPr>
                </pic:pic>
              </a:graphicData>
            </a:graphic>
          </wp:inline>
        </w:drawing>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各市</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州</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、扩权县</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市</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财政局，各省直机关、事业单位、团体组织，各金融机构，各采购代理机构，各政府采购供应商：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为贯彻落实党的十九大精神、国务院“放管服”改革决策部署、省委十一届三次全会“大力推进创新驱动发展战略”精神，助力解决政府采购中标、</w:t>
      </w:r>
      <w:r>
        <w:rPr>
          <w:rFonts w:hint="eastAsia" w:cs="宋体"/>
          <w:b w:val="0"/>
          <w:i w:val="0"/>
          <w:caps w:val="0"/>
          <w:color w:val="auto"/>
          <w:spacing w:val="0"/>
          <w:sz w:val="24"/>
          <w:szCs w:val="24"/>
          <w:lang w:eastAsia="zh-CN"/>
        </w:rPr>
        <w:t>中标人</w:t>
      </w:r>
      <w:r>
        <w:rPr>
          <w:rFonts w:hint="eastAsia" w:ascii="宋体" w:hAnsi="宋体" w:eastAsia="宋体" w:cs="宋体"/>
          <w:b w:val="0"/>
          <w:i w:val="0"/>
          <w:caps w:val="0"/>
          <w:color w:val="auto"/>
          <w:spacing w:val="0"/>
          <w:sz w:val="24"/>
          <w:szCs w:val="24"/>
        </w:rPr>
        <w:t>资金不足、融资难、融资贵的困难，促进供应商依法诚信参加政府采购活动，根据《中华人民共和国政府采购法》、《四川省人民政府关于印发进一步规范政府采购监管和执行若干规定的通知》</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川府发〔2018〕14号</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等有关规定，现就推进四川省政府采购供应商信用融资工作有关事项通知如下。</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一、融资概念</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政府采购供应商信用融资</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以下简称“政采贷”</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，是指银行以政府采购供应商信用审查和政府采购信誉为基础，依托政府采购合同，按优于一般企业的贷款程序和利率，直接向申请贷款的供应商发放无财产抵押贷款的一种融资模式。</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二、基本原则</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一</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财政引导，市场运行</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财政部门推进“政采贷”，银行和供应商按照自愿原则参与。供应商自愿选择是否申请“政采贷”，银行依据其内部审查制度和决策程序决定是否为供应商提供融资，自担风险。</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二</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建立机制，服务银企</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财政部门与银行建立“政采贷”工作机制，推动政府采购政策功能和金融资源的有机结合，拓宽银行的融资业务，助力解决政府采购中标、</w:t>
      </w:r>
      <w:r>
        <w:rPr>
          <w:rFonts w:hint="eastAsia" w:cs="宋体"/>
          <w:b w:val="0"/>
          <w:i w:val="0"/>
          <w:caps w:val="0"/>
          <w:color w:val="auto"/>
          <w:spacing w:val="0"/>
          <w:sz w:val="24"/>
          <w:szCs w:val="24"/>
          <w:lang w:eastAsia="zh-CN"/>
        </w:rPr>
        <w:t>中标人</w:t>
      </w:r>
      <w:r>
        <w:rPr>
          <w:rFonts w:hint="eastAsia" w:ascii="宋体" w:hAnsi="宋体" w:eastAsia="宋体" w:cs="宋体"/>
          <w:b w:val="0"/>
          <w:i w:val="0"/>
          <w:caps w:val="0"/>
          <w:color w:val="auto"/>
          <w:spacing w:val="0"/>
          <w:sz w:val="24"/>
          <w:szCs w:val="24"/>
        </w:rPr>
        <w:t>资金不足、融资难、融资贵的困难，促进企业健康发展。</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三</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优质优惠，加强扶持</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三、基本条件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一</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银行暨“政采贷”金融产品</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1、征集。</w:t>
      </w:r>
      <w:r>
        <w:rPr>
          <w:rFonts w:hint="eastAsia" w:ascii="宋体" w:hAnsi="宋体" w:eastAsia="宋体" w:cs="宋体"/>
          <w:b w:val="0"/>
          <w:i w:val="0"/>
          <w:caps w:val="0"/>
          <w:color w:val="auto"/>
          <w:spacing w:val="0"/>
          <w:sz w:val="24"/>
          <w:szCs w:val="24"/>
        </w:rPr>
        <w:t>在四川省行政区域内，有意向开展“政采贷”工作的银行，可以于2018年12月21日前，直接向四川省财政厅</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政府采购监督管理处</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提交书面申请。四川省财政厅可以根据情况每年征集一次有意向开展“政采贷”工作的银行。</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申请材料应当包括银行基本情况、“政采贷”产品名称、申请贷款条件、申请贷款方式、申请贷款程序、贷款审查流程、贷款额度、发放贷款时间、收款方式及其他优质服务和优惠承诺等。</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银行提供的“政采贷”产品应当满足“无抵押担保、程序简便、利率优惠、放款及时”的基本条件以及本通知其他相关规定。</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银行申请材料中应当载明其自愿提供“政采贷”产品，自担风险，不得要求或者变相要求财政部门和采购人为其提供风险担保、承诺。</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2、公示。</w:t>
      </w:r>
      <w:r>
        <w:rPr>
          <w:rFonts w:hint="eastAsia" w:ascii="宋体" w:hAnsi="宋体" w:eastAsia="宋体" w:cs="宋体"/>
          <w:b w:val="0"/>
          <w:i w:val="0"/>
          <w:caps w:val="0"/>
          <w:color w:val="auto"/>
          <w:spacing w:val="0"/>
          <w:sz w:val="24"/>
          <w:szCs w:val="24"/>
        </w:rPr>
        <w:t>四川省财政厅收到银行提交的书面申请后，对满足本通知要求的银行及其“政采贷”产品具体信息，及时在</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四川政府采购网</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向社会公示。银行申请材料中提供的“政采贷”产品不满足本通知要求的，四川省财政厅将退回申请，并告知理由。</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二</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供应商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政府采购供应商向银行申请“政采贷”，应当满足下列基本条件：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1、</w:t>
      </w:r>
      <w:r>
        <w:rPr>
          <w:rFonts w:hint="eastAsia" w:ascii="宋体" w:hAnsi="宋体" w:eastAsia="宋体" w:cs="宋体"/>
          <w:b w:val="0"/>
          <w:i w:val="0"/>
          <w:caps w:val="0"/>
          <w:color w:val="auto"/>
          <w:spacing w:val="0"/>
          <w:sz w:val="24"/>
          <w:szCs w:val="24"/>
        </w:rPr>
        <w:t>具有依法承担民事责任的能力；</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2、</w:t>
      </w:r>
      <w:r>
        <w:rPr>
          <w:rFonts w:hint="eastAsia" w:ascii="宋体" w:hAnsi="宋体" w:eastAsia="宋体" w:cs="宋体"/>
          <w:b w:val="0"/>
          <w:i w:val="0"/>
          <w:caps w:val="0"/>
          <w:color w:val="auto"/>
          <w:spacing w:val="0"/>
          <w:sz w:val="24"/>
          <w:szCs w:val="24"/>
        </w:rPr>
        <w:t>具有依法履行政府采购合同的能力；</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3、</w:t>
      </w:r>
      <w:r>
        <w:rPr>
          <w:rFonts w:hint="eastAsia" w:ascii="宋体" w:hAnsi="宋体" w:eastAsia="宋体" w:cs="宋体"/>
          <w:b w:val="0"/>
          <w:i w:val="0"/>
          <w:caps w:val="0"/>
          <w:color w:val="auto"/>
          <w:spacing w:val="0"/>
          <w:sz w:val="24"/>
          <w:szCs w:val="24"/>
        </w:rPr>
        <w:t>参加的政府采购活动未被财政部门依法暂停、责令重新开展或者认定中标、成交无效；</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4、</w:t>
      </w:r>
      <w:r>
        <w:rPr>
          <w:rFonts w:hint="eastAsia" w:ascii="宋体" w:hAnsi="宋体" w:eastAsia="宋体" w:cs="宋体"/>
          <w:b w:val="0"/>
          <w:i w:val="0"/>
          <w:caps w:val="0"/>
          <w:color w:val="auto"/>
          <w:spacing w:val="0"/>
          <w:sz w:val="24"/>
          <w:szCs w:val="24"/>
        </w:rPr>
        <w:t>无《政府采购法》第二十二条第一款第</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五</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项所称的重大违法记录；</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5、</w:t>
      </w:r>
      <w:r>
        <w:rPr>
          <w:rFonts w:hint="eastAsia" w:ascii="宋体" w:hAnsi="宋体" w:eastAsia="宋体" w:cs="宋体"/>
          <w:b w:val="0"/>
          <w:i w:val="0"/>
          <w:caps w:val="0"/>
          <w:color w:val="auto"/>
          <w:spacing w:val="0"/>
          <w:sz w:val="24"/>
          <w:szCs w:val="24"/>
        </w:rPr>
        <w:t>未被法院、市场监管、税务、银行等部门单位纳入失信名单且在有效期内；</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6、</w:t>
      </w:r>
      <w:r>
        <w:rPr>
          <w:rFonts w:hint="eastAsia" w:ascii="宋体" w:hAnsi="宋体" w:eastAsia="宋体" w:cs="宋体"/>
          <w:b w:val="0"/>
          <w:i w:val="0"/>
          <w:caps w:val="0"/>
          <w:color w:val="auto"/>
          <w:spacing w:val="0"/>
          <w:sz w:val="24"/>
          <w:szCs w:val="24"/>
        </w:rPr>
        <w:t>在一定期限内的</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银行可以具体确定</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政府采购合同履约过程中或者其他经营活动履约过程中，无不依法履约被有关行政部门行政处罚的或者产生法律纠纷被法院、仲裁机构判决、裁决败诉的；</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7、</w:t>
      </w:r>
      <w:r>
        <w:rPr>
          <w:rFonts w:hint="eastAsia" w:ascii="宋体" w:hAnsi="宋体" w:eastAsia="宋体" w:cs="宋体"/>
          <w:b w:val="0"/>
          <w:i w:val="0"/>
          <w:caps w:val="0"/>
          <w:color w:val="auto"/>
          <w:spacing w:val="0"/>
          <w:sz w:val="24"/>
          <w:szCs w:val="24"/>
        </w:rPr>
        <w:t>其他银行要求的不属于提供财产抵押或第三方担保的条件。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四、构建平台</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四川省财政厅将在</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四川政府采购网</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统一构建四川省“政采贷”信息化服务平台，推进四川省“政采贷”工作信息化建设。</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五、财金互动</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各级财政部门应当按照《四川省政府采购促进中小企业发展的若干规定》</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川财采[2016]35号</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等有关规定，对金融机构向小微企业提供“政采贷”贷款产生的损失，纳入财政金融互动政策范围给予风险补贴。</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六、基本流程</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一</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意向申请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b w:val="0"/>
          <w:i w:val="0"/>
          <w:caps w:val="0"/>
          <w:color w:val="auto"/>
          <w:spacing w:val="0"/>
          <w:sz w:val="24"/>
          <w:szCs w:val="24"/>
        </w:rPr>
      </w:pPr>
      <w:r>
        <w:rPr>
          <w:rFonts w:hint="eastAsia" w:ascii="宋体" w:hAnsi="宋体" w:eastAsia="宋体" w:cs="宋体"/>
          <w:b w:val="0"/>
          <w:i w:val="0"/>
          <w:caps w:val="0"/>
          <w:color w:val="auto"/>
          <w:spacing w:val="0"/>
          <w:sz w:val="24"/>
          <w:szCs w:val="24"/>
        </w:rPr>
        <w:t>有融资需求的供应商可根据</w:t>
      </w:r>
      <w:r>
        <w:rPr>
          <w:rFonts w:hint="eastAsia"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公示的银行及其“政采贷”产品，自行选择符合自身情况的“政采贷”银行及其产品，凭中标</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成交</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通知书向银行提出贷款意向申请。银行应及时按照有关规定完成对供应商的信用审查以及开设账户等相关工作。</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b/>
          <w:i w:val="0"/>
          <w:caps w:val="0"/>
          <w:color w:val="auto"/>
          <w:spacing w:val="0"/>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二</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正式申请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供应商与采购人在法定时间依法签订政府采购合同</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政府采购合同签订后，应当依法在7个工作日内向同级财政部门备案，2个工作日内在</w:t>
      </w:r>
      <w:r>
        <w:rPr>
          <w:rFonts w:hint="eastAsia"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公告</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后，可凭政府采购合同向银行提出“政采贷”正式申请。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w:t>
      </w:r>
      <w:r>
        <w:rPr>
          <w:rFonts w:hint="eastAsia"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公告。</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三</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贷款审查</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w:t>
      </w:r>
      <w:r>
        <w:rPr>
          <w:rFonts w:hint="eastAsia"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公示的“政采贷”产品服务承诺事项及时放款。</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四</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信息报送</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银行完成放款后，应当通过四川省“政采贷”信息化服务平台，填写《四川省“政采贷”信息统计表》</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详见附件</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，每季度终了5个工作日内，向四川省财政厅</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政府采购监督管理处</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报送，以便相关部门及时掌握和分析“政采贷”信息，不断推进“政采贷”工作。</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五</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资金支付</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政府采购资金支付过程中，银行需要查询采购资金支付进程有关信息的，财政部门和采购人应当支持。</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七、职责要求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一</w:t>
      </w:r>
      <w:r>
        <w:rPr>
          <w:rFonts w:hint="eastAsia"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二</w:t>
      </w:r>
      <w:r>
        <w:rPr>
          <w:rFonts w:hint="eastAsia"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三</w:t>
      </w:r>
      <w:r>
        <w:rPr>
          <w:rFonts w:hint="eastAsia"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四</w:t>
      </w:r>
      <w:r>
        <w:rPr>
          <w:rFonts w:hint="eastAsia"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采购代理机构在组织实施政府采购活动中，应当采取有效方式，向供应商宣传“政采贷”政策。银行需要借用采购代理机构的场所直接向供应商介绍其“政采贷”产品的，采购代理机构应当支持。</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五</w:t>
      </w:r>
      <w:r>
        <w:rPr>
          <w:rFonts w:hint="eastAsia"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供应商应当依法参加政府采购活动，公平竞争，诚实守信，严格按照政府采购合同履约，严格按照借款合同偿还债务。</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六</w:t>
      </w:r>
      <w:r>
        <w:rPr>
          <w:rFonts w:hint="eastAsia"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财政部门、采购人、采购代理机构及其他有关单位和个人不得违规干预供应商选择“政采贷”银行及其产品，也不得违规干预银行向供应商进行贷款。</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七</w:t>
      </w:r>
      <w:r>
        <w:rPr>
          <w:rFonts w:hint="eastAsia"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相关单位和个人在开展“政采贷”工作过程中，发现新问题、新情况或者有意见建议的，请及时向四川省财政厅反馈。</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八、违规处理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一</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银行违规处理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银行不按照其在</w:t>
      </w:r>
      <w:r>
        <w:rPr>
          <w:rFonts w:hint="eastAsia"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公示的“政采贷”产品服务承诺事项办理供应商信用融资贷款申请的，由四川省财政厅进行约谈，责令限期整改；拒不整改或者变相拒不整改的，撤销其在</w:t>
      </w:r>
      <w:r>
        <w:rPr>
          <w:rFonts w:hint="eastAsia"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的公示信息，取消其资格，并在1-3年内拒绝接收其再次申请。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二</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供应商违规处理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二</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项规定的具有良好的商业信誉条件”名单，并在</w:t>
      </w:r>
      <w:r>
        <w:rPr>
          <w:rFonts w:hint="eastAsia"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公示。</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三</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其他违规处理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b w:val="0"/>
          <w:i w:val="0"/>
          <w:caps w:val="0"/>
          <w:color w:val="auto"/>
          <w:spacing w:val="0"/>
          <w:sz w:val="24"/>
          <w:szCs w:val="24"/>
        </w:rPr>
      </w:pPr>
      <w:r>
        <w:rPr>
          <w:rFonts w:hint="eastAsia" w:ascii="宋体" w:hAnsi="宋体" w:eastAsia="宋体" w:cs="宋体"/>
          <w:b w:val="0"/>
          <w:i w:val="0"/>
          <w:caps w:val="0"/>
          <w:color w:val="auto"/>
          <w:spacing w:val="0"/>
          <w:sz w:val="24"/>
          <w:szCs w:val="24"/>
        </w:rPr>
        <w:t> </w:t>
      </w:r>
    </w:p>
    <w:p>
      <w:pPr>
        <w:rPr>
          <w:rFonts w:hint="eastAsia" w:ascii="宋体" w:hAnsi="宋体" w:eastAsia="宋体" w:cs="宋体"/>
          <w:sz w:val="24"/>
          <w:szCs w:val="24"/>
          <w:lang w:val="en-US" w:eastAsia="zh-CN"/>
        </w:rPr>
      </w:pPr>
      <w:r>
        <w:rPr>
          <w:rFonts w:hint="eastAsia" w:ascii="宋体" w:hAnsi="宋体" w:eastAsia="宋体" w:cs="宋体"/>
          <w:kern w:val="0"/>
          <w:sz w:val="24"/>
          <w:szCs w:val="24"/>
          <w:lang w:val="en-US" w:eastAsia="zh-CN" w:bidi="ar"/>
        </w:rPr>
        <w:drawing>
          <wp:anchor distT="0" distB="0" distL="114300" distR="114300" simplePos="0" relativeHeight="251661312" behindDoc="0" locked="0" layoutInCell="1" allowOverlap="1">
            <wp:simplePos x="0" y="0"/>
            <wp:positionH relativeFrom="column">
              <wp:posOffset>3808095</wp:posOffset>
            </wp:positionH>
            <wp:positionV relativeFrom="paragraph">
              <wp:posOffset>1694180</wp:posOffset>
            </wp:positionV>
            <wp:extent cx="1771650" cy="1781175"/>
            <wp:effectExtent l="0" t="0" r="635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3"/>
                    <a:stretch>
                      <a:fillRect/>
                    </a:stretch>
                  </pic:blipFill>
                  <pic:spPr>
                    <a:xfrm>
                      <a:off x="0" y="0"/>
                      <a:ext cx="1771650" cy="1781175"/>
                    </a:xfrm>
                    <a:prstGeom prst="rect">
                      <a:avLst/>
                    </a:prstGeom>
                    <a:noFill/>
                    <a:ln w="9525">
                      <a:noFill/>
                    </a:ln>
                  </pic:spPr>
                </pic:pic>
              </a:graphicData>
            </a:graphic>
          </wp:anchor>
        </w:drawing>
      </w:r>
      <w:r>
        <w:rPr>
          <w:rFonts w:hint="eastAsia" w:ascii="宋体" w:hAnsi="宋体" w:eastAsia="宋体" w:cs="宋体"/>
          <w:sz w:val="24"/>
          <w:szCs w:val="24"/>
          <w:lang w:val="en-US" w:eastAsia="zh-CN"/>
        </w:rPr>
        <w:br w:type="page"/>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w:t>
      </w:r>
      <w:r>
        <w:rPr>
          <w:rFonts w:hint="eastAsia" w:cs="宋体"/>
          <w:b/>
          <w:bCs/>
          <w:sz w:val="24"/>
          <w:szCs w:val="24"/>
          <w:lang w:val="en-US" w:eastAsia="zh-CN"/>
        </w:rPr>
        <w:t>五</w:t>
      </w:r>
      <w:r>
        <w:rPr>
          <w:rFonts w:hint="eastAsia" w:ascii="宋体" w:hAnsi="宋体" w:eastAsia="宋体" w:cs="宋体"/>
          <w:b/>
          <w:bCs/>
          <w:sz w:val="24"/>
          <w:szCs w:val="24"/>
          <w:lang w:val="en-US" w:eastAsia="zh-CN"/>
        </w:rPr>
        <w:t>：成都市财政局  中国人民银行成都分行营业管理部关于印发《成都市中小企业政府采购信用融资暂行办法》和《成都市级支持中小企业政府采购信用融资实施方案》的通知</w:t>
      </w:r>
      <w:r>
        <w:rPr>
          <w:rFonts w:hint="eastAsia" w:cs="宋体"/>
          <w:b/>
          <w:bCs/>
          <w:sz w:val="24"/>
          <w:szCs w:val="24"/>
          <w:lang w:val="en-US" w:eastAsia="zh-CN"/>
        </w:rPr>
        <w:t>(</w:t>
      </w:r>
      <w:r>
        <w:rPr>
          <w:rFonts w:hint="eastAsia" w:ascii="宋体" w:hAnsi="宋体" w:eastAsia="宋体" w:cs="宋体"/>
          <w:b/>
          <w:bCs/>
          <w:sz w:val="24"/>
          <w:szCs w:val="24"/>
          <w:lang w:val="en-US" w:eastAsia="zh-CN"/>
        </w:rPr>
        <w:t>成财采〔2019〕17号</w:t>
      </w:r>
      <w:r>
        <w:rPr>
          <w:rFonts w:hint="eastAsia" w:cs="宋体"/>
          <w:b/>
          <w:bCs/>
          <w:sz w:val="24"/>
          <w:szCs w:val="24"/>
          <w:lang w:val="en-US" w:eastAsia="zh-CN"/>
        </w:rPr>
        <w:t>)</w:t>
      </w:r>
    </w:p>
    <w:p>
      <w:pPr>
        <w:keepNext w:val="0"/>
        <w:keepLines w:val="0"/>
        <w:pageBreakBefore w:val="0"/>
        <w:widowControl/>
        <w:kinsoku/>
        <w:wordWrap w:val="0"/>
        <w:overflowPunct/>
        <w:topLinePunct w:val="0"/>
        <w:autoSpaceDE/>
        <w:autoSpaceDN/>
        <w:bidi w:val="0"/>
        <w:adjustRightInd/>
        <w:snapToGrid/>
        <w:spacing w:line="44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查询链接：</w:t>
      </w:r>
      <w:r>
        <w:rPr>
          <w:rFonts w:hint="eastAsia" w:ascii="宋体" w:hAnsi="宋体" w:eastAsia="宋体" w:cs="宋体"/>
          <w:b/>
          <w:bCs/>
          <w:sz w:val="24"/>
          <w:szCs w:val="24"/>
          <w:lang w:val="en-US" w:eastAsia="zh-CN"/>
        </w:rPr>
        <w:fldChar w:fldCharType="begin"/>
      </w:r>
      <w:r>
        <w:rPr>
          <w:rFonts w:hint="eastAsia" w:ascii="宋体" w:hAnsi="宋体" w:eastAsia="宋体" w:cs="宋体"/>
          <w:b/>
          <w:bCs/>
          <w:sz w:val="24"/>
          <w:szCs w:val="24"/>
          <w:lang w:val="en-US" w:eastAsia="zh-CN"/>
        </w:rPr>
        <w:instrText xml:space="preserve"> HYPERLINK "http://cdcz.chengdu.gov.cn/cdsczj/c116726/2019-03/13/content_7d81ae9c2a1e48968c7839a9c5b88ccd.shtml" </w:instrText>
      </w:r>
      <w:r>
        <w:rPr>
          <w:rFonts w:hint="eastAsia" w:ascii="宋体" w:hAnsi="宋体" w:eastAsia="宋体" w:cs="宋体"/>
          <w:b/>
          <w:bCs/>
          <w:sz w:val="24"/>
          <w:szCs w:val="24"/>
          <w:lang w:val="en-US" w:eastAsia="zh-CN"/>
        </w:rPr>
        <w:fldChar w:fldCharType="separate"/>
      </w:r>
      <w:r>
        <w:rPr>
          <w:rStyle w:val="25"/>
          <w:rFonts w:hint="eastAsia" w:ascii="宋体" w:hAnsi="宋体" w:eastAsia="宋体" w:cs="宋体"/>
          <w:b/>
          <w:bCs/>
          <w:sz w:val="24"/>
          <w:szCs w:val="24"/>
          <w:lang w:val="en-US" w:eastAsia="zh-CN"/>
        </w:rPr>
        <w:t>http</w:t>
      </w:r>
      <w:r>
        <w:rPr>
          <w:rStyle w:val="25"/>
          <w:rFonts w:hint="eastAsia" w:cs="宋体"/>
          <w:b/>
          <w:bCs/>
          <w:sz w:val="24"/>
          <w:szCs w:val="24"/>
          <w:lang w:val="en-US" w:eastAsia="zh-CN"/>
        </w:rPr>
        <w:t>：</w:t>
      </w:r>
      <w:r>
        <w:rPr>
          <w:rStyle w:val="25"/>
          <w:rFonts w:hint="eastAsia" w:ascii="宋体" w:hAnsi="宋体" w:eastAsia="宋体" w:cs="宋体"/>
          <w:b/>
          <w:bCs/>
          <w:sz w:val="24"/>
          <w:szCs w:val="24"/>
          <w:lang w:val="en-US" w:eastAsia="zh-CN"/>
        </w:rPr>
        <w:t>//cdcz.chengdu.gov.cn/cdsczj/c116726/2019-03/13/content_7d81ae9c2a1e48968c7839a9c5b88ccd.shtml</w:t>
      </w:r>
      <w:r>
        <w:rPr>
          <w:rFonts w:hint="eastAsia" w:ascii="宋体" w:hAnsi="宋体" w:eastAsia="宋体" w:cs="宋体"/>
          <w:b/>
          <w:bCs/>
          <w:sz w:val="24"/>
          <w:szCs w:val="24"/>
          <w:lang w:val="en-US" w:eastAsia="zh-CN"/>
        </w:rPr>
        <w:fldChar w:fldCharType="end"/>
      </w:r>
    </w:p>
    <w:p>
      <w:pPr>
        <w:keepNext w:val="0"/>
        <w:keepLines w:val="0"/>
        <w:pageBreakBefore w:val="0"/>
        <w:widowControl/>
        <w:kinsoku/>
        <w:wordWrap w:val="0"/>
        <w:overflowPunct/>
        <w:topLinePunct w:val="0"/>
        <w:autoSpaceDE/>
        <w:autoSpaceDN/>
        <w:bidi w:val="0"/>
        <w:adjustRightInd/>
        <w:snapToGrid/>
        <w:spacing w:line="440" w:lineRule="exact"/>
        <w:textAlignment w:val="auto"/>
        <w:rPr>
          <w:rFonts w:hint="eastAsia" w:ascii="宋体" w:hAnsi="宋体" w:eastAsia="宋体" w:cs="宋体"/>
          <w:b/>
          <w:bCs/>
          <w:sz w:val="24"/>
          <w:szCs w:val="24"/>
          <w:lang w:val="en-US" w:eastAsia="zh-CN"/>
        </w:rPr>
      </w:pPr>
    </w:p>
    <w:tbl>
      <w:tblPr>
        <w:tblStyle w:val="21"/>
        <w:tblW w:w="9062" w:type="dxa"/>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eastAsia" w:eastAsia="方正小标宋简体"/>
                <w:color w:val="FF0000"/>
                <w:sz w:val="66"/>
                <w:szCs w:val="66"/>
              </w:rPr>
            </w:pPr>
            <w:r>
              <w:rPr>
                <w:rFonts w:hint="eastAsia" w:eastAsia="方正小标宋简体"/>
                <w:color w:val="FF0000"/>
                <w:sz w:val="66"/>
                <w:szCs w:val="66"/>
              </w:rPr>
              <w:t>成都市财政局</w:t>
            </w:r>
          </w:p>
        </w:tc>
        <w:tc>
          <w:tcPr>
            <w:tcW w:w="158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方正小标宋简体"/>
                <w:color w:val="FF0000"/>
                <w:sz w:val="66"/>
                <w:szCs w:val="66"/>
              </w:rPr>
            </w:pPr>
            <w:r>
              <w:rPr>
                <w:rFonts w:hint="eastAsia" w:eastAsia="方正小标宋简体"/>
                <w:color w:val="FF0000"/>
                <w:sz w:val="66"/>
                <w:szCs w:val="66"/>
              </w:rPr>
              <w:t>文件</w:t>
            </w:r>
          </w:p>
        </w:tc>
      </w:tr>
      <w:tr>
        <w:tblPrEx>
          <w:tblCellMar>
            <w:top w:w="0" w:type="dxa"/>
            <w:left w:w="108" w:type="dxa"/>
            <w:bottom w:w="0" w:type="dxa"/>
            <w:right w:w="108" w:type="dxa"/>
          </w:tblCellMar>
        </w:tblPrEx>
        <w:trPr>
          <w:cantSplit/>
          <w:trHeight w:val="1335" w:hRule="atLeast"/>
          <w:jc w:val="center"/>
        </w:trPr>
        <w:tc>
          <w:tcPr>
            <w:tcW w:w="74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eastAsia" w:eastAsia="方正小标宋简体"/>
                <w:color w:val="FF0000"/>
                <w:spacing w:val="-20"/>
                <w:w w:val="82"/>
                <w:sz w:val="62"/>
                <w:szCs w:val="62"/>
              </w:rPr>
            </w:pPr>
            <w:r>
              <w:rPr>
                <w:rFonts w:hint="eastAsia" w:eastAsia="方正小标宋简体"/>
                <w:color w:val="FF0000"/>
                <w:spacing w:val="-20"/>
                <w:w w:val="82"/>
                <w:sz w:val="62"/>
                <w:szCs w:val="62"/>
              </w:rPr>
              <w:t>中国人民银行成都分行营业管理部</w:t>
            </w:r>
          </w:p>
        </w:tc>
        <w:tc>
          <w:tcPr>
            <w:tcW w:w="15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方正小标宋简体"/>
                <w:color w:val="FF0000"/>
                <w:sz w:val="66"/>
                <w:szCs w:val="66"/>
              </w:rPr>
            </w:pPr>
          </w:p>
        </w:tc>
      </w:tr>
    </w:tbl>
    <w:p>
      <w:pPr>
        <w:snapToGrid w:val="0"/>
        <w:jc w:val="center"/>
        <w:rPr>
          <w:rFonts w:hint="eastAsia" w:eastAsia="方正仿宋_GBK"/>
        </w:rPr>
      </w:pPr>
    </w:p>
    <w:p>
      <w:pPr>
        <w:jc w:val="center"/>
        <w:rPr>
          <w:rFonts w:eastAsia="方正仿宋_GBK"/>
          <w:color w:val="000000"/>
        </w:rPr>
      </w:pPr>
      <w:r>
        <w:rPr>
          <w:rFonts w:eastAsia="方正仿宋_GBK"/>
          <w:color w:val="FF0000"/>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320675</wp:posOffset>
                </wp:positionV>
                <wp:extent cx="5618480" cy="0"/>
                <wp:effectExtent l="0" t="9525" r="7620" b="1587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5.25pt;height:0pt;width:442.4pt;z-index:251662336;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O/uPvWAAAABgEAAA8AAAAAAAAAAQAgAAAAIgAAAGRycy9kb3ducmV2LnhtbFBL&#10;AQIUABQAAAAIAIdO4kD5Dvo0+AEAAOUDAAAOAAAAAAAAAAEAIAAAACUBAABkcnMvZTJvRG9jLnht&#10;bFBLBQYAAAAABgAGAFkBAACPBQAAAAA=&#10;">
                <v:fill on="f" focussize="0,0"/>
                <v:stroke weight="1.5pt" color="#FF0000" joinstyle="round"/>
                <v:imagedata o:title=""/>
                <o:lock v:ext="edit" aspectratio="f"/>
              </v:line>
            </w:pict>
          </mc:Fallback>
        </mc:AlternateContent>
      </w:r>
      <w:r>
        <w:rPr>
          <w:rFonts w:eastAsia="方正仿宋_GBK"/>
        </w:rPr>
        <w:t>成财</w:t>
      </w:r>
      <w:r>
        <w:rPr>
          <w:rFonts w:hint="eastAsia" w:eastAsia="方正仿宋_GBK"/>
        </w:rPr>
        <w:t>采</w:t>
      </w:r>
      <w:r>
        <w:rPr>
          <w:rFonts w:eastAsia="方正仿宋_GBK"/>
        </w:rPr>
        <w:t>〔201</w:t>
      </w:r>
      <w:r>
        <w:rPr>
          <w:rFonts w:hint="eastAsia" w:eastAsia="方正仿宋_GBK"/>
        </w:rPr>
        <w:t>9</w:t>
      </w:r>
      <w:r>
        <w:rPr>
          <w:rFonts w:eastAsia="方正仿宋_GBK"/>
        </w:rPr>
        <w:t>〕</w:t>
      </w:r>
      <w:r>
        <w:rPr>
          <w:rFonts w:hint="eastAsia" w:eastAsia="方正仿宋_GBK"/>
        </w:rPr>
        <w:t>17</w:t>
      </w:r>
      <w:r>
        <w:rPr>
          <w:rFonts w:eastAsia="方正仿宋_GBK"/>
        </w:rPr>
        <w:t>号</w:t>
      </w:r>
    </w:p>
    <w:p>
      <w:pPr>
        <w:topLinePunct/>
        <w:jc w:val="center"/>
        <w:rPr>
          <w:rFonts w:hint="eastAsia" w:ascii="方正小标宋_GBK" w:hAnsi="方正小标宋_GBK" w:eastAsia="方正小标宋_GBK"/>
        </w:rPr>
      </w:pPr>
    </w:p>
    <w:p>
      <w:pPr>
        <w:topLinePunct/>
        <w:snapToGrid w:val="0"/>
        <w:jc w:val="center"/>
        <w:rPr>
          <w:rFonts w:hint="eastAsia" w:ascii="方正小标宋_GBK" w:hAnsi="方正小标宋_GBK" w:eastAsia="方正小标宋_GBK"/>
          <w:spacing w:val="-18"/>
          <w:sz w:val="44"/>
          <w:szCs w:val="44"/>
        </w:rPr>
      </w:pPr>
      <w:r>
        <w:rPr>
          <w:rFonts w:hint="eastAsia" w:ascii="方正小标宋_GBK" w:hAnsi="方正小标宋_GBK" w:eastAsia="方正小标宋_GBK"/>
          <w:spacing w:val="-18"/>
          <w:sz w:val="44"/>
          <w:szCs w:val="44"/>
        </w:rPr>
        <w:t>成都市财政局  中国人民银行成都分行营业管理部</w:t>
      </w:r>
    </w:p>
    <w:p>
      <w:pPr>
        <w:topLinePunct/>
        <w:snapToGrid w:val="0"/>
        <w:jc w:val="center"/>
        <w:rPr>
          <w:rFonts w:hint="eastAsia" w:ascii="方正小标宋_GBK" w:hAnsi="方正小标宋_GBK" w:eastAsia="方正小标宋_GBK"/>
          <w:sz w:val="44"/>
          <w:szCs w:val="44"/>
        </w:rPr>
      </w:pPr>
      <w:r>
        <w:rPr>
          <w:rFonts w:hint="eastAsia" w:ascii="方正小标宋_GBK" w:hAnsi="方正小标宋_GBK" w:eastAsia="方正小标宋_GBK"/>
          <w:sz w:val="44"/>
          <w:szCs w:val="44"/>
        </w:rPr>
        <w:t>关于印发《成都市中小企业政府采购信用融资</w:t>
      </w:r>
    </w:p>
    <w:p>
      <w:pPr>
        <w:topLinePunct/>
        <w:snapToGrid w:val="0"/>
        <w:jc w:val="center"/>
        <w:rPr>
          <w:rFonts w:hint="eastAsia" w:ascii="方正小标宋_GBK" w:hAnsi="方正小标宋_GBK" w:eastAsia="方正小标宋_GBK"/>
          <w:sz w:val="44"/>
          <w:szCs w:val="44"/>
        </w:rPr>
      </w:pPr>
      <w:r>
        <w:rPr>
          <w:rFonts w:hint="eastAsia" w:ascii="方正小标宋_GBK" w:hAnsi="方正小标宋_GBK" w:eastAsia="方正小标宋_GBK"/>
          <w:sz w:val="44"/>
          <w:szCs w:val="44"/>
        </w:rPr>
        <w:t>暂行办法》和《成都市级支持中小企业</w:t>
      </w:r>
    </w:p>
    <w:p>
      <w:pPr>
        <w:topLinePunct/>
        <w:snapToGrid w:val="0"/>
        <w:jc w:val="center"/>
        <w:rPr>
          <w:rFonts w:ascii="方正小标宋_GBK" w:hAnsi="方正小标宋_GBK" w:eastAsia="方正小标宋_GBK"/>
          <w:sz w:val="44"/>
          <w:szCs w:val="44"/>
        </w:rPr>
      </w:pPr>
      <w:r>
        <w:rPr>
          <w:rFonts w:hint="eastAsia" w:ascii="方正小标宋_GBK" w:hAnsi="方正小标宋_GBK" w:eastAsia="方正小标宋_GBK"/>
          <w:sz w:val="44"/>
          <w:szCs w:val="44"/>
        </w:rPr>
        <w:t>政府采购信用融资实施方案》的通知</w:t>
      </w:r>
    </w:p>
    <w:p>
      <w:pPr>
        <w:jc w:val="center"/>
        <w:rPr>
          <w:rFonts w:hint="eastAsia" w:eastAsia="方正仿宋_GBK"/>
        </w:rPr>
      </w:pP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成都天府新区、高新区财政金融局，各区</w:t>
      </w:r>
      <w:r>
        <w:rPr>
          <w:rFonts w:hint="eastAsia" w:cs="宋体"/>
          <w:sz w:val="24"/>
          <w:szCs w:val="24"/>
          <w:lang w:eastAsia="zh-CN"/>
        </w:rPr>
        <w:t>(</w:t>
      </w:r>
      <w:r>
        <w:rPr>
          <w:rFonts w:hint="eastAsia" w:ascii="宋体" w:hAnsi="宋体" w:eastAsia="宋体" w:cs="宋体"/>
          <w:sz w:val="24"/>
          <w:szCs w:val="24"/>
        </w:rPr>
        <w:t>市</w:t>
      </w:r>
      <w:r>
        <w:rPr>
          <w:rFonts w:hint="eastAsia" w:cs="宋体"/>
          <w:sz w:val="24"/>
          <w:szCs w:val="24"/>
          <w:lang w:eastAsia="zh-CN"/>
        </w:rPr>
        <w:t>)</w:t>
      </w:r>
      <w:r>
        <w:rPr>
          <w:rFonts w:hint="eastAsia" w:ascii="宋体" w:hAnsi="宋体" w:eastAsia="宋体" w:cs="宋体"/>
          <w:sz w:val="24"/>
          <w:szCs w:val="24"/>
        </w:rPr>
        <w:t>县财政局，市级各部门、单位，各银行业金融机构：</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w:t>
      </w:r>
      <w:r>
        <w:rPr>
          <w:rFonts w:hint="eastAsia" w:cs="宋体"/>
          <w:sz w:val="24"/>
          <w:szCs w:val="24"/>
          <w:lang w:eastAsia="zh-CN"/>
        </w:rPr>
        <w:t>(</w:t>
      </w:r>
      <w:r>
        <w:rPr>
          <w:rFonts w:hint="eastAsia" w:ascii="宋体" w:hAnsi="宋体" w:eastAsia="宋体" w:cs="宋体"/>
          <w:sz w:val="24"/>
          <w:szCs w:val="24"/>
        </w:rPr>
        <w:t>以下简称《暂行办法》和《实施方案》</w:t>
      </w:r>
      <w:r>
        <w:rPr>
          <w:rFonts w:hint="eastAsia" w:cs="宋体"/>
          <w:sz w:val="24"/>
          <w:szCs w:val="24"/>
          <w:lang w:eastAsia="zh-CN"/>
        </w:rPr>
        <w:t>)</w:t>
      </w:r>
      <w:r>
        <w:rPr>
          <w:rFonts w:hint="eastAsia" w:ascii="宋体" w:hAnsi="宋体" w:eastAsia="宋体" w:cs="宋体"/>
          <w:sz w:val="24"/>
          <w:szCs w:val="24"/>
        </w:rPr>
        <w:t>，现印发给你们，请按要求贯彻执行。</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一、高度重视、迅速行动</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二、明确责任、压茬推进</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市级各部门、单位即日起严格按照《暂行办法》和《实施方案》相关规定和工作要求，结合职能职责认真抓好贯彻执行。各区</w:t>
      </w:r>
      <w:r>
        <w:rPr>
          <w:rFonts w:hint="eastAsia" w:cs="宋体"/>
          <w:sz w:val="24"/>
          <w:szCs w:val="24"/>
          <w:lang w:eastAsia="zh-CN"/>
        </w:rPr>
        <w:t>(</w:t>
      </w:r>
      <w:r>
        <w:rPr>
          <w:rFonts w:hint="eastAsia" w:ascii="宋体" w:hAnsi="宋体" w:eastAsia="宋体" w:cs="宋体"/>
          <w:sz w:val="24"/>
          <w:szCs w:val="24"/>
        </w:rPr>
        <w:t>市</w:t>
      </w:r>
      <w:r>
        <w:rPr>
          <w:rFonts w:hint="eastAsia" w:cs="宋体"/>
          <w:sz w:val="24"/>
          <w:szCs w:val="24"/>
          <w:lang w:eastAsia="zh-CN"/>
        </w:rPr>
        <w:t>)</w:t>
      </w:r>
      <w:r>
        <w:rPr>
          <w:rFonts w:hint="eastAsia" w:ascii="宋体" w:hAnsi="宋体" w:eastAsia="宋体" w:cs="宋体"/>
          <w:sz w:val="24"/>
          <w:szCs w:val="24"/>
        </w:rPr>
        <w:t>县财政部门要根据《暂行办法》，结合本地实际制定具体实施方案，在涵盖市级确定的融资机构基础上明确融资机构名单，并于2019年6月30日前全面推进政府采购信用融资工作。</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三、优化服务、营造氛围</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附件：1．成都市中小企业政府采购信用融资暂行办法 </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2．成都市级支持中小企业政府采购信用融资实施方案</w:t>
      </w:r>
    </w:p>
    <w:p>
      <w:pPr>
        <w:pStyle w:val="12"/>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p>
    <w:p>
      <w:pPr>
        <w:pStyle w:val="12"/>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p>
    <w:p>
      <w:pPr>
        <w:pStyle w:val="12"/>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p>
    <w:p>
      <w:pPr>
        <w:keepNext w:val="0"/>
        <w:keepLines w:val="0"/>
        <w:pageBreakBefore w:val="0"/>
        <w:widowControl/>
        <w:tabs>
          <w:tab w:val="left" w:pos="7584"/>
          <w:tab w:val="clear" w:pos="0"/>
        </w:tabs>
        <w:kinsoku/>
        <w:wordWrap/>
        <w:overflowPunct/>
        <w:topLinePunct/>
        <w:autoSpaceDE/>
        <w:autoSpaceDN/>
        <w:bidi w:val="0"/>
        <w:adjustRightInd/>
        <w:snapToGrid/>
        <w:spacing w:line="440" w:lineRule="exact"/>
        <w:ind w:left="0"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成都市财政局         中国人民银行成都分行营业管理部</w:t>
      </w:r>
    </w:p>
    <w:p>
      <w:pPr>
        <w:keepNext w:val="0"/>
        <w:keepLines w:val="0"/>
        <w:pageBreakBefore w:val="0"/>
        <w:widowControl/>
        <w:tabs>
          <w:tab w:val="left" w:pos="7584"/>
          <w:tab w:val="clear" w:pos="0"/>
        </w:tabs>
        <w:kinsoku/>
        <w:wordWrap/>
        <w:overflowPunct/>
        <w:topLinePunct/>
        <w:autoSpaceDE/>
        <w:autoSpaceDN/>
        <w:bidi w:val="0"/>
        <w:adjustRightInd/>
        <w:snapToGrid/>
        <w:spacing w:line="440" w:lineRule="exact"/>
        <w:ind w:left="0"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2019年2月26日</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keepNext w:val="0"/>
        <w:keepLines w:val="0"/>
        <w:pageBreakBefore w:val="0"/>
        <w:widowControl w:val="0"/>
        <w:kinsoku/>
        <w:wordWrap/>
        <w:overflowPunct/>
        <w:topLinePunct/>
        <w:autoSpaceDE/>
        <w:autoSpaceDN/>
        <w:bidi w:val="0"/>
        <w:adjustRightIn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附件1</w:t>
      </w:r>
    </w:p>
    <w:p>
      <w:pPr>
        <w:keepNext w:val="0"/>
        <w:keepLines w:val="0"/>
        <w:pageBreakBefore w:val="0"/>
        <w:widowControl w:val="0"/>
        <w:kinsoku/>
        <w:wordWrap/>
        <w:overflowPunct/>
        <w:topLinePunct/>
        <w:autoSpaceDE/>
        <w:autoSpaceDN/>
        <w:bidi w:val="0"/>
        <w:adjustRightInd/>
        <w:spacing w:line="440" w:lineRule="exact"/>
        <w:ind w:firstLine="0" w:firstLineChars="0"/>
        <w:textAlignment w:val="auto"/>
        <w:rPr>
          <w:rFonts w:hint="eastAsia" w:ascii="宋体" w:hAnsi="宋体" w:eastAsia="宋体" w:cs="宋体"/>
          <w:sz w:val="24"/>
          <w:szCs w:val="24"/>
        </w:rPr>
      </w:pP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成都市中小企业</w:t>
      </w:r>
      <w:r>
        <w:rPr>
          <w:rFonts w:hint="eastAsia" w:ascii="宋体" w:hAnsi="宋体" w:eastAsia="宋体" w:cs="宋体"/>
          <w:color w:val="000000"/>
          <w:sz w:val="24"/>
          <w:szCs w:val="24"/>
        </w:rPr>
        <w:t>政府采购信用融资暂行</w:t>
      </w:r>
      <w:r>
        <w:rPr>
          <w:rFonts w:hint="eastAsia" w:ascii="宋体" w:hAnsi="宋体" w:eastAsia="宋体" w:cs="宋体"/>
          <w:sz w:val="24"/>
          <w:szCs w:val="24"/>
        </w:rPr>
        <w:t>办法</w:t>
      </w:r>
    </w:p>
    <w:p>
      <w:pPr>
        <w:keepNext w:val="0"/>
        <w:keepLines w:val="0"/>
        <w:pageBreakBefore w:val="0"/>
        <w:widowControl w:val="0"/>
        <w:kinsoku/>
        <w:wordWrap/>
        <w:overflowPunct/>
        <w:topLinePunct/>
        <w:autoSpaceDE/>
        <w:autoSpaceDN/>
        <w:bidi w:val="0"/>
        <w:adjustRightInd/>
        <w:spacing w:line="44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第一章  总  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第一条</w:t>
      </w:r>
      <w:r>
        <w:rPr>
          <w:rFonts w:hint="eastAsia" w:cs="宋体"/>
          <w:sz w:val="24"/>
          <w:szCs w:val="24"/>
          <w:lang w:eastAsia="zh-CN"/>
        </w:rPr>
        <w:t>(</w:t>
      </w:r>
      <w:r>
        <w:rPr>
          <w:rFonts w:hint="eastAsia" w:ascii="宋体" w:hAnsi="宋体" w:eastAsia="宋体" w:cs="宋体"/>
          <w:sz w:val="24"/>
          <w:szCs w:val="24"/>
        </w:rPr>
        <w:t>政策依据</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w:t>
      </w:r>
      <w:r>
        <w:rPr>
          <w:rFonts w:hint="eastAsia" w:cs="宋体"/>
          <w:sz w:val="24"/>
          <w:szCs w:val="24"/>
          <w:lang w:eastAsia="zh-CN"/>
        </w:rPr>
        <w:t>(</w:t>
      </w:r>
      <w:r>
        <w:rPr>
          <w:rFonts w:hint="eastAsia" w:ascii="宋体" w:hAnsi="宋体" w:eastAsia="宋体" w:cs="宋体"/>
          <w:sz w:val="24"/>
          <w:szCs w:val="24"/>
        </w:rPr>
        <w:t>川财采〔2016〕35号</w:t>
      </w:r>
      <w:r>
        <w:rPr>
          <w:rFonts w:hint="eastAsia" w:cs="宋体"/>
          <w:sz w:val="24"/>
          <w:szCs w:val="24"/>
          <w:lang w:eastAsia="zh-CN"/>
        </w:rPr>
        <w:t>)</w:t>
      </w:r>
      <w:r>
        <w:rPr>
          <w:rFonts w:hint="eastAsia" w:ascii="宋体" w:hAnsi="宋体" w:eastAsia="宋体" w:cs="宋体"/>
          <w:sz w:val="24"/>
          <w:szCs w:val="24"/>
        </w:rPr>
        <w:t>和《四川省财政厅关于推进四川省政府采购供应商信用融资工作的通知》</w:t>
      </w:r>
      <w:r>
        <w:rPr>
          <w:rFonts w:hint="eastAsia" w:cs="宋体"/>
          <w:sz w:val="24"/>
          <w:szCs w:val="24"/>
          <w:lang w:eastAsia="zh-CN"/>
        </w:rPr>
        <w:t>(</w:t>
      </w:r>
      <w:r>
        <w:rPr>
          <w:rFonts w:hint="eastAsia" w:ascii="宋体" w:hAnsi="宋体" w:eastAsia="宋体" w:cs="宋体"/>
          <w:sz w:val="24"/>
          <w:szCs w:val="24"/>
        </w:rPr>
        <w:t>川财采〔2018〕123号</w:t>
      </w:r>
      <w:r>
        <w:rPr>
          <w:rFonts w:hint="eastAsia" w:cs="宋体"/>
          <w:sz w:val="24"/>
          <w:szCs w:val="24"/>
          <w:lang w:eastAsia="zh-CN"/>
        </w:rPr>
        <w:t>)</w:t>
      </w:r>
      <w:r>
        <w:rPr>
          <w:rFonts w:hint="eastAsia" w:ascii="宋体" w:hAnsi="宋体" w:eastAsia="宋体" w:cs="宋体"/>
          <w:sz w:val="24"/>
          <w:szCs w:val="24"/>
        </w:rPr>
        <w:t>有关精神，结合我市实际，制定本办法。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第二条</w:t>
      </w:r>
      <w:r>
        <w:rPr>
          <w:rFonts w:hint="eastAsia" w:cs="宋体"/>
          <w:sz w:val="24"/>
          <w:szCs w:val="24"/>
          <w:lang w:eastAsia="zh-CN"/>
        </w:rPr>
        <w:t>(</w:t>
      </w:r>
      <w:r>
        <w:rPr>
          <w:rFonts w:hint="eastAsia" w:ascii="宋体" w:hAnsi="宋体" w:eastAsia="宋体" w:cs="宋体"/>
          <w:sz w:val="24"/>
          <w:szCs w:val="24"/>
        </w:rPr>
        <w:t>适用范围</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成都市行政区域内政府采购信用融资适用本办法。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第三条</w:t>
      </w:r>
      <w:r>
        <w:rPr>
          <w:rFonts w:hint="eastAsia" w:cs="宋体"/>
          <w:sz w:val="24"/>
          <w:szCs w:val="24"/>
          <w:lang w:eastAsia="zh-CN"/>
        </w:rPr>
        <w:t>(</w:t>
      </w:r>
      <w:r>
        <w:rPr>
          <w:rFonts w:hint="eastAsia" w:ascii="宋体" w:hAnsi="宋体" w:eastAsia="宋体" w:cs="宋体"/>
          <w:sz w:val="24"/>
          <w:szCs w:val="24"/>
        </w:rPr>
        <w:t>术语定义</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本办法所称政府采购信用融资，是指融资机构以信用审查为基础，依据政府采购合同，按相应的优惠政策向申请融资的中小企业</w:t>
      </w:r>
      <w:r>
        <w:rPr>
          <w:rFonts w:hint="eastAsia" w:cs="宋体"/>
          <w:sz w:val="24"/>
          <w:szCs w:val="24"/>
          <w:lang w:eastAsia="zh-CN"/>
        </w:rPr>
        <w:t>(</w:t>
      </w:r>
      <w:r>
        <w:rPr>
          <w:rFonts w:hint="eastAsia" w:ascii="宋体" w:hAnsi="宋体" w:eastAsia="宋体" w:cs="宋体"/>
          <w:sz w:val="24"/>
          <w:szCs w:val="24"/>
        </w:rPr>
        <w:t>以下简称供应商</w:t>
      </w:r>
      <w:r>
        <w:rPr>
          <w:rFonts w:hint="eastAsia" w:cs="宋体"/>
          <w:sz w:val="24"/>
          <w:szCs w:val="24"/>
          <w:lang w:eastAsia="zh-CN"/>
        </w:rPr>
        <w:t>)</w:t>
      </w:r>
      <w:r>
        <w:rPr>
          <w:rFonts w:hint="eastAsia" w:ascii="宋体" w:hAnsi="宋体" w:eastAsia="宋体" w:cs="宋体"/>
          <w:sz w:val="24"/>
          <w:szCs w:val="24"/>
        </w:rPr>
        <w:t>提供资金支持的融资模式。</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本办法所称融资机构，是指在成都市属地注册或设立分支机构，有意向按照本办法开展政府采购信用融资业务，经同级财政部门确定的银行机构。</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本办法所称中小企业，包括中型、小型及微型企业，其划型标准按照国家相关规定执行。</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第四条</w:t>
      </w:r>
      <w:r>
        <w:rPr>
          <w:rFonts w:hint="eastAsia" w:cs="宋体"/>
          <w:sz w:val="24"/>
          <w:szCs w:val="24"/>
          <w:lang w:eastAsia="zh-CN"/>
        </w:rPr>
        <w:t>(</w:t>
      </w:r>
      <w:r>
        <w:rPr>
          <w:rFonts w:hint="eastAsia" w:ascii="宋体" w:hAnsi="宋体" w:eastAsia="宋体" w:cs="宋体"/>
          <w:sz w:val="24"/>
          <w:szCs w:val="24"/>
        </w:rPr>
        <w:t>基本原则</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政府采购信用融资工作坚持政府引导、市场主导，自愿选择、自担风险，诚实信用、互惠共赢的原则，切实发挥市场在资源配置中的决定性作用。</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第二章  融资优惠</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第五条</w:t>
      </w:r>
      <w:r>
        <w:rPr>
          <w:rFonts w:hint="eastAsia" w:cs="宋体"/>
          <w:sz w:val="24"/>
          <w:szCs w:val="24"/>
          <w:lang w:eastAsia="zh-CN"/>
        </w:rPr>
        <w:t>(</w:t>
      </w:r>
      <w:r>
        <w:rPr>
          <w:rFonts w:hint="eastAsia" w:ascii="宋体" w:hAnsi="宋体" w:eastAsia="宋体" w:cs="宋体"/>
          <w:sz w:val="24"/>
          <w:szCs w:val="24"/>
        </w:rPr>
        <w:t>融资方式</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供应商无需提供财产抵押或第三方担保，凭借政府采购合同向融资机构申请融资，融资机构根据其授信政策为供应商提供信用贷款。</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第六条</w:t>
      </w:r>
      <w:r>
        <w:rPr>
          <w:rFonts w:hint="eastAsia" w:cs="宋体"/>
          <w:sz w:val="24"/>
          <w:szCs w:val="24"/>
          <w:lang w:eastAsia="zh-CN"/>
        </w:rPr>
        <w:t>(</w:t>
      </w:r>
      <w:r>
        <w:rPr>
          <w:rFonts w:hint="eastAsia" w:ascii="宋体" w:hAnsi="宋体" w:eastAsia="宋体" w:cs="宋体"/>
          <w:sz w:val="24"/>
          <w:szCs w:val="24"/>
        </w:rPr>
        <w:t>融资额度</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融资额度原则上不超过政府采购合同金额。</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第七条</w:t>
      </w:r>
      <w:r>
        <w:rPr>
          <w:rFonts w:hint="eastAsia" w:cs="宋体"/>
          <w:sz w:val="24"/>
          <w:szCs w:val="24"/>
          <w:lang w:eastAsia="zh-CN"/>
        </w:rPr>
        <w:t>(</w:t>
      </w:r>
      <w:r>
        <w:rPr>
          <w:rFonts w:hint="eastAsia" w:ascii="宋体" w:hAnsi="宋体" w:eastAsia="宋体" w:cs="宋体"/>
          <w:sz w:val="24"/>
          <w:szCs w:val="24"/>
        </w:rPr>
        <w:t>融资利率</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融资机构向供应商提供融资的利率应低于同期一般中小企业的贷款利率。融资利率上浮比例原则上不超过中国人民银行公布的同期贷款基准利率的30%。</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第八条</w:t>
      </w:r>
      <w:r>
        <w:rPr>
          <w:rFonts w:hint="eastAsia" w:cs="宋体"/>
          <w:sz w:val="24"/>
          <w:szCs w:val="24"/>
          <w:lang w:eastAsia="zh-CN"/>
        </w:rPr>
        <w:t>(</w:t>
      </w:r>
      <w:r>
        <w:rPr>
          <w:rFonts w:hint="eastAsia" w:ascii="宋体" w:hAnsi="宋体" w:eastAsia="宋体" w:cs="宋体"/>
          <w:sz w:val="24"/>
          <w:szCs w:val="24"/>
        </w:rPr>
        <w:t>融资期限</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融资期限原则上与政府采购合同履行期限一致。</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第九条</w:t>
      </w:r>
      <w:r>
        <w:rPr>
          <w:rFonts w:hint="eastAsia" w:cs="宋体"/>
          <w:sz w:val="24"/>
          <w:szCs w:val="24"/>
          <w:lang w:eastAsia="zh-CN"/>
        </w:rPr>
        <w:t>(</w:t>
      </w:r>
      <w:r>
        <w:rPr>
          <w:rFonts w:hint="eastAsia" w:ascii="宋体" w:hAnsi="宋体" w:eastAsia="宋体" w:cs="宋体"/>
          <w:sz w:val="24"/>
          <w:szCs w:val="24"/>
        </w:rPr>
        <w:t>融资效率</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第十条</w:t>
      </w:r>
      <w:r>
        <w:rPr>
          <w:rFonts w:hint="eastAsia" w:cs="宋体"/>
          <w:sz w:val="24"/>
          <w:szCs w:val="24"/>
          <w:lang w:eastAsia="zh-CN"/>
        </w:rPr>
        <w:t>(</w:t>
      </w:r>
      <w:r>
        <w:rPr>
          <w:rFonts w:hint="eastAsia" w:ascii="宋体" w:hAnsi="宋体" w:eastAsia="宋体" w:cs="宋体"/>
          <w:sz w:val="24"/>
          <w:szCs w:val="24"/>
        </w:rPr>
        <w:t>融资业务升级</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对履约记录良好、诚信资质高的供应商，融资机构应当在授信额度、融资审查、融资利率等方面给予更大支持，促进供应商依法诚信经营。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第十一条</w:t>
      </w:r>
      <w:r>
        <w:rPr>
          <w:rFonts w:hint="eastAsia" w:cs="宋体"/>
          <w:sz w:val="24"/>
          <w:szCs w:val="24"/>
          <w:lang w:eastAsia="zh-CN"/>
        </w:rPr>
        <w:t>(</w:t>
      </w:r>
      <w:r>
        <w:rPr>
          <w:rFonts w:hint="eastAsia" w:ascii="宋体" w:hAnsi="宋体" w:eastAsia="宋体" w:cs="宋体"/>
          <w:sz w:val="24"/>
          <w:szCs w:val="24"/>
        </w:rPr>
        <w:t>贷款风险补贴</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对银行业金融机构向小微企业发放的贷款</w:t>
      </w:r>
      <w:r>
        <w:rPr>
          <w:rFonts w:hint="eastAsia" w:cs="宋体"/>
          <w:sz w:val="24"/>
          <w:szCs w:val="24"/>
          <w:lang w:eastAsia="zh-CN"/>
        </w:rPr>
        <w:t>(</w:t>
      </w:r>
      <w:r>
        <w:rPr>
          <w:rFonts w:hint="eastAsia" w:ascii="宋体" w:hAnsi="宋体" w:eastAsia="宋体" w:cs="宋体"/>
          <w:sz w:val="24"/>
          <w:szCs w:val="24"/>
        </w:rPr>
        <w:t>无需抵押、质押或担保的贷款</w:t>
      </w:r>
      <w:r>
        <w:rPr>
          <w:rFonts w:hint="eastAsia" w:cs="宋体"/>
          <w:sz w:val="24"/>
          <w:szCs w:val="24"/>
          <w:lang w:eastAsia="zh-CN"/>
        </w:rPr>
        <w:t>)</w:t>
      </w:r>
      <w:r>
        <w:rPr>
          <w:rFonts w:hint="eastAsia" w:ascii="宋体" w:hAnsi="宋体" w:eastAsia="宋体" w:cs="宋体"/>
          <w:sz w:val="24"/>
          <w:szCs w:val="24"/>
        </w:rPr>
        <w:t>损失，财政部门按最高不超过年度新增损失类贷款额的60%予以风险补贴，具体分担比例由各地根据金融机构小微企业贷款发放总量、损失情况、财力状况等因素综合确定。</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第三章  融资流程</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第十二条</w:t>
      </w:r>
      <w:r>
        <w:rPr>
          <w:rFonts w:hint="eastAsia" w:cs="宋体"/>
          <w:sz w:val="24"/>
          <w:szCs w:val="24"/>
          <w:lang w:eastAsia="zh-CN"/>
        </w:rPr>
        <w:t>(</w:t>
      </w:r>
      <w:r>
        <w:rPr>
          <w:rFonts w:hint="eastAsia" w:ascii="宋体" w:hAnsi="宋体" w:eastAsia="宋体" w:cs="宋体"/>
          <w:sz w:val="24"/>
          <w:szCs w:val="24"/>
        </w:rPr>
        <w:t>融资流程</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一</w:t>
      </w:r>
      <w:r>
        <w:rPr>
          <w:rFonts w:hint="eastAsia" w:cs="宋体"/>
          <w:sz w:val="24"/>
          <w:szCs w:val="24"/>
          <w:lang w:eastAsia="zh-CN"/>
        </w:rPr>
        <w:t>)</w:t>
      </w:r>
      <w:r>
        <w:rPr>
          <w:rFonts w:hint="eastAsia" w:ascii="宋体" w:hAnsi="宋体" w:eastAsia="宋体" w:cs="宋体"/>
          <w:sz w:val="24"/>
          <w:szCs w:val="24"/>
        </w:rPr>
        <w:t>信息发布。采购人应当在发布的采购公告和采购文件中载明采购项目可提供信用融资的信息。</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二</w:t>
      </w:r>
      <w:r>
        <w:rPr>
          <w:rFonts w:hint="eastAsia" w:cs="宋体"/>
          <w:sz w:val="24"/>
          <w:szCs w:val="24"/>
          <w:lang w:eastAsia="zh-CN"/>
        </w:rPr>
        <w:t>)</w:t>
      </w:r>
      <w:r>
        <w:rPr>
          <w:rFonts w:hint="eastAsia" w:ascii="宋体" w:hAnsi="宋体" w:eastAsia="宋体" w:cs="宋体"/>
          <w:sz w:val="24"/>
          <w:szCs w:val="24"/>
        </w:rPr>
        <w:t>融资申请。有融资需求的供应商自主选择提供政府采购信用融资服务的融资机构及产品，并按要求提供申请资料。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三</w:t>
      </w:r>
      <w:r>
        <w:rPr>
          <w:rFonts w:hint="eastAsia" w:cs="宋体"/>
          <w:sz w:val="24"/>
          <w:szCs w:val="24"/>
          <w:lang w:eastAsia="zh-CN"/>
        </w:rPr>
        <w:t>)</w:t>
      </w:r>
      <w:r>
        <w:rPr>
          <w:rFonts w:hint="eastAsia" w:ascii="宋体" w:hAnsi="宋体" w:eastAsia="宋体" w:cs="宋体"/>
          <w:sz w:val="24"/>
          <w:szCs w:val="24"/>
        </w:rPr>
        <w:t>融资审查。融资机构对供应商的融资申请进行审查，并向供应商反馈审查及融资额度等情况。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四</w:t>
      </w:r>
      <w:r>
        <w:rPr>
          <w:rFonts w:hint="eastAsia" w:cs="宋体"/>
          <w:sz w:val="24"/>
          <w:szCs w:val="24"/>
          <w:lang w:eastAsia="zh-CN"/>
        </w:rPr>
        <w:t>)</w:t>
      </w:r>
      <w:r>
        <w:rPr>
          <w:rFonts w:hint="eastAsia" w:ascii="宋体" w:hAnsi="宋体" w:eastAsia="宋体" w:cs="宋体"/>
          <w:sz w:val="24"/>
          <w:szCs w:val="24"/>
        </w:rPr>
        <w:t>账户确认。供应商须在合作融资机构开立结算账户，并与采购人在政府采购合同中或通过签订补充协议的方式约定唯一收款账户，融资机构对唯一收款账户进行确认和锁定。</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五</w:t>
      </w:r>
      <w:r>
        <w:rPr>
          <w:rFonts w:hint="eastAsia" w:cs="宋体"/>
          <w:sz w:val="24"/>
          <w:szCs w:val="24"/>
          <w:lang w:eastAsia="zh-CN"/>
        </w:rPr>
        <w:t>)</w:t>
      </w:r>
      <w:r>
        <w:rPr>
          <w:rFonts w:hint="eastAsia" w:ascii="宋体" w:hAnsi="宋体" w:eastAsia="宋体" w:cs="宋体"/>
          <w:sz w:val="24"/>
          <w:szCs w:val="24"/>
        </w:rPr>
        <w:t>放款。融资机构对政府采购合同及融资相关信息进行确认，并向供应商提供相应的融资产品。</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六</w:t>
      </w:r>
      <w:r>
        <w:rPr>
          <w:rFonts w:hint="eastAsia" w:cs="宋体"/>
          <w:sz w:val="24"/>
          <w:szCs w:val="24"/>
          <w:lang w:eastAsia="zh-CN"/>
        </w:rPr>
        <w:t>)</w:t>
      </w:r>
      <w:r>
        <w:rPr>
          <w:rFonts w:hint="eastAsia" w:ascii="宋体" w:hAnsi="宋体" w:eastAsia="宋体" w:cs="宋体"/>
          <w:sz w:val="24"/>
          <w:szCs w:val="24"/>
        </w:rPr>
        <w:t>贷款归还。采购人按相关规定和合同约定将合同资金支付至约定的唯一收款账户。</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第四章  职责分工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第十三条</w:t>
      </w:r>
      <w:r>
        <w:rPr>
          <w:rFonts w:hint="eastAsia" w:cs="宋体"/>
          <w:sz w:val="24"/>
          <w:szCs w:val="24"/>
          <w:lang w:eastAsia="zh-CN"/>
        </w:rPr>
        <w:t>(</w:t>
      </w:r>
      <w:r>
        <w:rPr>
          <w:rFonts w:hint="eastAsia" w:ascii="宋体" w:hAnsi="宋体" w:eastAsia="宋体" w:cs="宋体"/>
          <w:sz w:val="24"/>
          <w:szCs w:val="24"/>
        </w:rPr>
        <w:t>财政部门职责</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牵头政府采购信用融资工作，做好政策引导和支持协调，为开展政府采购信用融资提供便利。向融资机构提供相关必要信息，推进政府采购中标</w:t>
      </w:r>
      <w:r>
        <w:rPr>
          <w:rFonts w:hint="eastAsia" w:cs="宋体"/>
          <w:sz w:val="24"/>
          <w:szCs w:val="24"/>
          <w:lang w:eastAsia="zh-CN"/>
        </w:rPr>
        <w:t>(</w:t>
      </w:r>
      <w:r>
        <w:rPr>
          <w:rFonts w:hint="eastAsia" w:ascii="宋体" w:hAnsi="宋体" w:eastAsia="宋体" w:cs="宋体"/>
          <w:sz w:val="24"/>
          <w:szCs w:val="24"/>
        </w:rPr>
        <w:t>成交</w:t>
      </w:r>
      <w:r>
        <w:rPr>
          <w:rFonts w:hint="eastAsia" w:cs="宋体"/>
          <w:sz w:val="24"/>
          <w:szCs w:val="24"/>
          <w:lang w:eastAsia="zh-CN"/>
        </w:rPr>
        <w:t>)</w:t>
      </w:r>
      <w:r>
        <w:rPr>
          <w:rFonts w:hint="eastAsia" w:ascii="宋体" w:hAnsi="宋体" w:eastAsia="宋体" w:cs="宋体"/>
          <w:sz w:val="24"/>
          <w:szCs w:val="24"/>
        </w:rPr>
        <w:t>信息、合同信息、融资信息和信用信息等信息资源共享。适时调整开展政府采购信用融资业务的融资机构名单。但在政府采购信用融资工作中，财政部门不得提供任何形式的担保和承诺。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第十四条</w:t>
      </w:r>
      <w:r>
        <w:rPr>
          <w:rFonts w:hint="eastAsia" w:cs="宋体"/>
          <w:sz w:val="24"/>
          <w:szCs w:val="24"/>
          <w:lang w:eastAsia="zh-CN"/>
        </w:rPr>
        <w:t>(</w:t>
      </w:r>
      <w:r>
        <w:rPr>
          <w:rFonts w:hint="eastAsia" w:ascii="宋体" w:hAnsi="宋体" w:eastAsia="宋体" w:cs="宋体"/>
          <w:sz w:val="24"/>
          <w:szCs w:val="24"/>
        </w:rPr>
        <w:t>融资机构主管部门职责</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引导融资机构依法依规开展政府采购信用融资。推动成都市政府采购监督管理系统与中征应收账款融资服务平台直联，实现政府采购信用融资线上办理，加强与财政部门的信息共享。</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第十五条</w:t>
      </w:r>
      <w:r>
        <w:rPr>
          <w:rFonts w:hint="eastAsia" w:cs="宋体"/>
          <w:sz w:val="24"/>
          <w:szCs w:val="24"/>
          <w:lang w:eastAsia="zh-CN"/>
        </w:rPr>
        <w:t>(</w:t>
      </w:r>
      <w:r>
        <w:rPr>
          <w:rFonts w:hint="eastAsia" w:ascii="宋体" w:hAnsi="宋体" w:eastAsia="宋体" w:cs="宋体"/>
          <w:sz w:val="24"/>
          <w:szCs w:val="24"/>
        </w:rPr>
        <w:t>采购人职责</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第十六条</w:t>
      </w:r>
      <w:r>
        <w:rPr>
          <w:rFonts w:hint="eastAsia" w:cs="宋体"/>
          <w:sz w:val="24"/>
          <w:szCs w:val="24"/>
          <w:lang w:eastAsia="zh-CN"/>
        </w:rPr>
        <w:t>(</w:t>
      </w:r>
      <w:r>
        <w:rPr>
          <w:rFonts w:hint="eastAsia" w:ascii="宋体" w:hAnsi="宋体" w:eastAsia="宋体" w:cs="宋体"/>
          <w:sz w:val="24"/>
          <w:szCs w:val="24"/>
        </w:rPr>
        <w:t>融资机构职责</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第十七条</w:t>
      </w:r>
      <w:r>
        <w:rPr>
          <w:rFonts w:hint="eastAsia" w:cs="宋体"/>
          <w:sz w:val="24"/>
          <w:szCs w:val="24"/>
          <w:lang w:eastAsia="zh-CN"/>
        </w:rPr>
        <w:t>(</w:t>
      </w:r>
      <w:r>
        <w:rPr>
          <w:rFonts w:hint="eastAsia" w:ascii="宋体" w:hAnsi="宋体" w:eastAsia="宋体" w:cs="宋体"/>
          <w:sz w:val="24"/>
          <w:szCs w:val="24"/>
        </w:rPr>
        <w:t>供应商职责</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依法诚信参与政府采购活动，严格遵守国家法律、法规和政府采购合同约定，对投标</w:t>
      </w:r>
      <w:r>
        <w:rPr>
          <w:rFonts w:hint="eastAsia" w:cs="宋体"/>
          <w:sz w:val="24"/>
          <w:szCs w:val="24"/>
          <w:lang w:eastAsia="zh-CN"/>
        </w:rPr>
        <w:t>(</w:t>
      </w:r>
      <w:r>
        <w:rPr>
          <w:rFonts w:hint="eastAsia" w:ascii="宋体" w:hAnsi="宋体" w:eastAsia="宋体" w:cs="宋体"/>
          <w:sz w:val="24"/>
          <w:szCs w:val="24"/>
        </w:rPr>
        <w:t>响应</w:t>
      </w:r>
      <w:r>
        <w:rPr>
          <w:rFonts w:hint="eastAsia" w:cs="宋体"/>
          <w:sz w:val="24"/>
          <w:szCs w:val="24"/>
          <w:lang w:eastAsia="zh-CN"/>
        </w:rPr>
        <w:t>)</w:t>
      </w:r>
      <w:r>
        <w:rPr>
          <w:rFonts w:hint="eastAsia" w:ascii="宋体" w:hAnsi="宋体" w:eastAsia="宋体" w:cs="宋体"/>
          <w:sz w:val="24"/>
          <w:szCs w:val="24"/>
        </w:rPr>
        <w:t>文件的真实性和相关承诺承担法律责任。真实、完整、准确地向融资机构提供信用融资审查所需相关资料。遵照融资约定及时还本付息。</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第五章 监督管理</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第十八条</w:t>
      </w:r>
      <w:r>
        <w:rPr>
          <w:rFonts w:hint="eastAsia" w:cs="宋体"/>
          <w:sz w:val="24"/>
          <w:szCs w:val="24"/>
          <w:lang w:eastAsia="zh-CN"/>
        </w:rPr>
        <w:t>(</w:t>
      </w:r>
      <w:r>
        <w:rPr>
          <w:rFonts w:hint="eastAsia" w:ascii="宋体" w:hAnsi="宋体" w:eastAsia="宋体" w:cs="宋体"/>
          <w:sz w:val="24"/>
          <w:szCs w:val="24"/>
        </w:rPr>
        <w:t>采购人监管</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采购人不执行政府采购信用融资政策，或不正当干预供应商选择合作融资机构，或无故拖延和拒付采购资金的，财政部门视情节进行约谈、通报直至暂停拨付财政资金。</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第十九条</w:t>
      </w:r>
      <w:r>
        <w:rPr>
          <w:rFonts w:hint="eastAsia" w:cs="宋体"/>
          <w:sz w:val="24"/>
          <w:szCs w:val="24"/>
          <w:lang w:eastAsia="zh-CN"/>
        </w:rPr>
        <w:t>(</w:t>
      </w:r>
      <w:r>
        <w:rPr>
          <w:rFonts w:hint="eastAsia" w:ascii="宋体" w:hAnsi="宋体" w:eastAsia="宋体" w:cs="宋体"/>
          <w:sz w:val="24"/>
          <w:szCs w:val="24"/>
        </w:rPr>
        <w:t>融资机构监管</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融资机构违反规定开展政府采购信用融资业务，对政府采购造成负面影响的，财政部门视情节取消其参与政府采购信用融资的业务权限。</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第二十条</w:t>
      </w:r>
      <w:r>
        <w:rPr>
          <w:rFonts w:hint="eastAsia" w:cs="宋体"/>
          <w:sz w:val="24"/>
          <w:szCs w:val="24"/>
          <w:lang w:eastAsia="zh-CN"/>
        </w:rPr>
        <w:t>(</w:t>
      </w:r>
      <w:r>
        <w:rPr>
          <w:rFonts w:hint="eastAsia" w:ascii="宋体" w:hAnsi="宋体" w:eastAsia="宋体" w:cs="宋体"/>
          <w:sz w:val="24"/>
          <w:szCs w:val="24"/>
        </w:rPr>
        <w:t>供应商监管</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供应商弄虚作假或以伪造政府采购合同等方式违规获取政府采购信用融资，或不按约定按时还款付息的，融资机构依法追究相关责任。财政部门将其纳入“不具备《政府采购法》第二十二条第一款第</w:t>
      </w:r>
      <w:r>
        <w:rPr>
          <w:rFonts w:hint="eastAsia" w:cs="宋体"/>
          <w:sz w:val="24"/>
          <w:szCs w:val="24"/>
          <w:lang w:eastAsia="zh-CN"/>
        </w:rPr>
        <w:t>(</w:t>
      </w:r>
      <w:r>
        <w:rPr>
          <w:rFonts w:hint="eastAsia" w:ascii="宋体" w:hAnsi="宋体" w:eastAsia="宋体" w:cs="宋体"/>
          <w:sz w:val="24"/>
          <w:szCs w:val="24"/>
        </w:rPr>
        <w:t>二</w:t>
      </w:r>
      <w:r>
        <w:rPr>
          <w:rFonts w:hint="eastAsia" w:cs="宋体"/>
          <w:sz w:val="24"/>
          <w:szCs w:val="24"/>
          <w:lang w:eastAsia="zh-CN"/>
        </w:rPr>
        <w:t>)</w:t>
      </w:r>
      <w:r>
        <w:rPr>
          <w:rFonts w:hint="eastAsia" w:ascii="宋体" w:hAnsi="宋体" w:eastAsia="宋体" w:cs="宋体"/>
          <w:sz w:val="24"/>
          <w:szCs w:val="24"/>
        </w:rPr>
        <w:t>项规定的具有良好的商业信誉条件”名单并予以公示。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第二十一条</w:t>
      </w:r>
      <w:bookmarkStart w:id="1240" w:name="BM24558847_25425864_3"/>
      <w:bookmarkEnd w:id="1240"/>
      <w:r>
        <w:rPr>
          <w:rFonts w:hint="eastAsia" w:cs="宋体"/>
          <w:sz w:val="24"/>
          <w:szCs w:val="24"/>
          <w:lang w:eastAsia="zh-CN"/>
        </w:rPr>
        <w:t>(</w:t>
      </w:r>
      <w:r>
        <w:rPr>
          <w:rFonts w:hint="eastAsia" w:ascii="宋体" w:hAnsi="宋体" w:eastAsia="宋体" w:cs="宋体"/>
          <w:sz w:val="24"/>
          <w:szCs w:val="24"/>
        </w:rPr>
        <w:t>相关单位及工作人员监管</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各相关单位及其工作人员在履行职责中存在滥用职权、玩忽职守、徇私舞弊等违法违纪行为的，依照有关规定处理，涉嫌犯罪的，移送司法机关处理。</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第六章  附  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第二十二条</w:t>
      </w:r>
      <w:r>
        <w:rPr>
          <w:rFonts w:hint="eastAsia" w:cs="宋体"/>
          <w:sz w:val="24"/>
          <w:szCs w:val="24"/>
          <w:lang w:eastAsia="zh-CN"/>
        </w:rPr>
        <w:t>(</w:t>
      </w:r>
      <w:r>
        <w:rPr>
          <w:rFonts w:hint="eastAsia" w:ascii="宋体" w:hAnsi="宋体" w:eastAsia="宋体" w:cs="宋体"/>
          <w:sz w:val="24"/>
          <w:szCs w:val="24"/>
        </w:rPr>
        <w:t>解释相关</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本办法由市财政局会同中国人民银行成都分行营业管理部负责解释。</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第二十三条</w:t>
      </w:r>
      <w:r>
        <w:rPr>
          <w:rFonts w:hint="eastAsia" w:cs="宋体"/>
          <w:sz w:val="24"/>
          <w:szCs w:val="24"/>
          <w:lang w:eastAsia="zh-CN"/>
        </w:rPr>
        <w:t>(</w:t>
      </w:r>
      <w:r>
        <w:rPr>
          <w:rFonts w:hint="eastAsia" w:ascii="宋体" w:hAnsi="宋体" w:eastAsia="宋体" w:cs="宋体"/>
          <w:sz w:val="24"/>
          <w:szCs w:val="24"/>
        </w:rPr>
        <w:t>施行相关</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本办法自印发之日起施行。市财政局、市金融办2013年12月9日印发的《关于开展中小企业政府采购信用担保及融资试点工作的通知》</w:t>
      </w:r>
      <w:r>
        <w:rPr>
          <w:rFonts w:hint="eastAsia" w:cs="宋体"/>
          <w:sz w:val="24"/>
          <w:szCs w:val="24"/>
          <w:lang w:eastAsia="zh-CN"/>
        </w:rPr>
        <w:t>(</w:t>
      </w:r>
      <w:r>
        <w:rPr>
          <w:rFonts w:hint="eastAsia" w:ascii="宋体" w:hAnsi="宋体" w:eastAsia="宋体" w:cs="宋体"/>
          <w:sz w:val="24"/>
          <w:szCs w:val="24"/>
        </w:rPr>
        <w:t>成财采〔2013〕200号</w:t>
      </w:r>
      <w:r>
        <w:rPr>
          <w:rFonts w:hint="eastAsia" w:cs="宋体"/>
          <w:sz w:val="24"/>
          <w:szCs w:val="24"/>
          <w:lang w:eastAsia="zh-CN"/>
        </w:rPr>
        <w:t>)</w:t>
      </w:r>
      <w:r>
        <w:rPr>
          <w:rFonts w:hint="eastAsia" w:ascii="宋体" w:hAnsi="宋体" w:eastAsia="宋体" w:cs="宋体"/>
          <w:sz w:val="24"/>
          <w:szCs w:val="24"/>
        </w:rPr>
        <w:t>同时废止。</w:t>
      </w:r>
    </w:p>
    <w:p>
      <w:pPr>
        <w:rPr>
          <w:rFonts w:hint="eastAsia" w:ascii="宋体" w:hAnsi="宋体" w:eastAsia="宋体" w:cs="宋体"/>
          <w:sz w:val="24"/>
          <w:szCs w:val="24"/>
        </w:rPr>
      </w:pPr>
      <w:r>
        <w:rPr>
          <w:rFonts w:hint="eastAsia" w:ascii="宋体" w:hAnsi="宋体" w:eastAsia="宋体" w:cs="宋体"/>
          <w:sz w:val="24"/>
          <w:szCs w:val="24"/>
        </w:rPr>
        <w:br w:type="page"/>
      </w:r>
    </w:p>
    <w:p>
      <w:pPr>
        <w:keepNext w:val="0"/>
        <w:keepLines w:val="0"/>
        <w:pageBreakBefore w:val="0"/>
        <w:widowControl w:val="0"/>
        <w:kinsoku/>
        <w:wordWrap/>
        <w:overflowPunct/>
        <w:topLinePunct/>
        <w:autoSpaceDE/>
        <w:autoSpaceDN/>
        <w:bidi w:val="0"/>
        <w:adjustRightIn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附件2</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成都市级支持中小企业政府采购</w:t>
      </w: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信用融资实施方案</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w:t>
      </w:r>
      <w:r>
        <w:rPr>
          <w:rFonts w:hint="eastAsia" w:cs="宋体"/>
          <w:sz w:val="24"/>
          <w:szCs w:val="24"/>
          <w:lang w:eastAsia="zh-CN"/>
        </w:rPr>
        <w:t>(</w:t>
      </w:r>
      <w:r>
        <w:rPr>
          <w:rFonts w:hint="eastAsia" w:ascii="宋体" w:hAnsi="宋体" w:eastAsia="宋体" w:cs="宋体"/>
          <w:sz w:val="24"/>
          <w:szCs w:val="24"/>
        </w:rPr>
        <w:t>以下简称《暂行办法》</w:t>
      </w:r>
      <w:r>
        <w:rPr>
          <w:rFonts w:hint="eastAsia" w:cs="宋体"/>
          <w:sz w:val="24"/>
          <w:szCs w:val="24"/>
          <w:lang w:eastAsia="zh-CN"/>
        </w:rPr>
        <w:t>)</w:t>
      </w:r>
      <w:r>
        <w:rPr>
          <w:rFonts w:hint="eastAsia" w:ascii="宋体" w:hAnsi="宋体" w:eastAsia="宋体" w:cs="宋体"/>
          <w:sz w:val="24"/>
          <w:szCs w:val="24"/>
        </w:rPr>
        <w:t>，制定本实施方案</w:t>
      </w:r>
      <w:r>
        <w:rPr>
          <w:rFonts w:hint="eastAsia" w:cs="宋体"/>
          <w:sz w:val="24"/>
          <w:szCs w:val="24"/>
          <w:lang w:eastAsia="zh-CN"/>
        </w:rPr>
        <w:t>(</w:t>
      </w:r>
      <w:r>
        <w:rPr>
          <w:rFonts w:hint="eastAsia" w:ascii="宋体" w:hAnsi="宋体" w:eastAsia="宋体" w:cs="宋体"/>
          <w:sz w:val="24"/>
          <w:szCs w:val="24"/>
        </w:rPr>
        <w:t>以下简称《实施方案》</w:t>
      </w:r>
      <w:r>
        <w:rPr>
          <w:rFonts w:hint="eastAsia" w:cs="宋体"/>
          <w:sz w:val="24"/>
          <w:szCs w:val="24"/>
          <w:lang w:eastAsia="zh-CN"/>
        </w:rPr>
        <w:t>)</w:t>
      </w:r>
      <w:r>
        <w:rPr>
          <w:rFonts w:hint="eastAsia" w:ascii="宋体" w:hAnsi="宋体" w:eastAsia="宋体" w:cs="宋体"/>
          <w:sz w:val="24"/>
          <w:szCs w:val="24"/>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一、目标任务</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全面贯彻落实国务院、四川省、成都市关于支持中小企业发展精神，充分发挥政府采购扶持中小企业发展的政策功能，持续推进和完善政府采购诚信体系建设，引导融资机构扩大对政府采购中标</w:t>
      </w:r>
      <w:r>
        <w:rPr>
          <w:rFonts w:hint="eastAsia" w:cs="宋体"/>
          <w:sz w:val="24"/>
          <w:szCs w:val="24"/>
          <w:lang w:eastAsia="zh-CN"/>
        </w:rPr>
        <w:t>(</w:t>
      </w:r>
      <w:r>
        <w:rPr>
          <w:rFonts w:hint="eastAsia" w:ascii="宋体" w:hAnsi="宋体" w:eastAsia="宋体" w:cs="宋体"/>
          <w:sz w:val="24"/>
          <w:szCs w:val="24"/>
        </w:rPr>
        <w:t>成交</w:t>
      </w:r>
      <w:r>
        <w:rPr>
          <w:rFonts w:hint="eastAsia" w:cs="宋体"/>
          <w:sz w:val="24"/>
          <w:szCs w:val="24"/>
          <w:lang w:eastAsia="zh-CN"/>
        </w:rPr>
        <w:t>)</w:t>
      </w:r>
      <w:r>
        <w:rPr>
          <w:rFonts w:hint="eastAsia" w:ascii="宋体" w:hAnsi="宋体" w:eastAsia="宋体" w:cs="宋体"/>
          <w:sz w:val="24"/>
          <w:szCs w:val="24"/>
        </w:rPr>
        <w:t>中小企业供应商</w:t>
      </w:r>
      <w:r>
        <w:rPr>
          <w:rFonts w:hint="eastAsia" w:cs="宋体"/>
          <w:sz w:val="24"/>
          <w:szCs w:val="24"/>
          <w:lang w:eastAsia="zh-CN"/>
        </w:rPr>
        <w:t>(</w:t>
      </w:r>
      <w:r>
        <w:rPr>
          <w:rFonts w:hint="eastAsia" w:ascii="宋体" w:hAnsi="宋体" w:eastAsia="宋体" w:cs="宋体"/>
          <w:sz w:val="24"/>
          <w:szCs w:val="24"/>
        </w:rPr>
        <w:t>以下简称供应商</w:t>
      </w:r>
      <w:r>
        <w:rPr>
          <w:rFonts w:hint="eastAsia" w:cs="宋体"/>
          <w:sz w:val="24"/>
          <w:szCs w:val="24"/>
          <w:lang w:eastAsia="zh-CN"/>
        </w:rPr>
        <w:t>)</w:t>
      </w:r>
      <w:r>
        <w:rPr>
          <w:rFonts w:hint="eastAsia" w:ascii="宋体" w:hAnsi="宋体" w:eastAsia="宋体" w:cs="宋体"/>
          <w:sz w:val="24"/>
          <w:szCs w:val="24"/>
        </w:rPr>
        <w:t>的融资规模，积极营造良好的营商环境，促进中小企业高质量发展。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二、适用范围</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本《实施方案》适用于成都市本级政府采购信用融资工作。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三、基本原则 </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一</w:t>
      </w:r>
      <w:r>
        <w:rPr>
          <w:rFonts w:hint="eastAsia" w:cs="宋体"/>
          <w:sz w:val="24"/>
          <w:szCs w:val="24"/>
          <w:lang w:eastAsia="zh-CN"/>
        </w:rPr>
        <w:t>)</w:t>
      </w:r>
      <w:r>
        <w:rPr>
          <w:rFonts w:hint="eastAsia" w:ascii="宋体" w:hAnsi="宋体" w:eastAsia="宋体" w:cs="宋体"/>
          <w:sz w:val="24"/>
          <w:szCs w:val="24"/>
        </w:rPr>
        <w:t>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二</w:t>
      </w:r>
      <w:r>
        <w:rPr>
          <w:rFonts w:hint="eastAsia" w:cs="宋体"/>
          <w:sz w:val="24"/>
          <w:szCs w:val="24"/>
          <w:lang w:eastAsia="zh-CN"/>
        </w:rPr>
        <w:t>)</w:t>
      </w:r>
      <w:r>
        <w:rPr>
          <w:rFonts w:hint="eastAsia" w:ascii="宋体" w:hAnsi="宋体" w:eastAsia="宋体" w:cs="宋体"/>
          <w:sz w:val="24"/>
          <w:szCs w:val="24"/>
        </w:rPr>
        <w:t>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三</w:t>
      </w:r>
      <w:r>
        <w:rPr>
          <w:rFonts w:hint="eastAsia" w:cs="宋体"/>
          <w:sz w:val="24"/>
          <w:szCs w:val="24"/>
          <w:lang w:eastAsia="zh-CN"/>
        </w:rPr>
        <w:t>)</w:t>
      </w:r>
      <w:r>
        <w:rPr>
          <w:rFonts w:hint="eastAsia" w:ascii="宋体" w:hAnsi="宋体" w:eastAsia="宋体" w:cs="宋体"/>
          <w:sz w:val="24"/>
          <w:szCs w:val="24"/>
        </w:rPr>
        <w:t>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四、组织实施</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一</w:t>
      </w:r>
      <w:r>
        <w:rPr>
          <w:rFonts w:hint="eastAsia" w:cs="宋体"/>
          <w:sz w:val="24"/>
          <w:szCs w:val="24"/>
          <w:lang w:eastAsia="zh-CN"/>
        </w:rPr>
        <w:t>)</w:t>
      </w:r>
      <w:r>
        <w:rPr>
          <w:rFonts w:hint="eastAsia" w:ascii="宋体" w:hAnsi="宋体" w:eastAsia="宋体" w:cs="宋体"/>
          <w:sz w:val="24"/>
          <w:szCs w:val="24"/>
        </w:rPr>
        <w:t>宣传动员</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sz w:val="24"/>
          <w:szCs w:val="24"/>
        </w:rPr>
        <w:t>相关部门和单位采取多种方式积极宣传《暂行办法》和《实</w:t>
      </w:r>
      <w:r>
        <w:rPr>
          <w:rFonts w:hint="eastAsia" w:ascii="宋体" w:hAnsi="宋体" w:eastAsia="宋体" w:cs="宋体"/>
          <w:color w:val="000000"/>
          <w:sz w:val="24"/>
          <w:szCs w:val="24"/>
        </w:rPr>
        <w:t>施方案》，落实财政部门、融资机构主管部门、采购人、融资机构等职责任务，明确各项工作目标任务，确保成都市级政府采购信用融资工作有序推进。</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二</w:t>
      </w:r>
      <w:r>
        <w:rPr>
          <w:rFonts w:hint="eastAsia" w:cs="宋体"/>
          <w:sz w:val="24"/>
          <w:szCs w:val="24"/>
          <w:lang w:eastAsia="zh-CN"/>
        </w:rPr>
        <w:t>)</w:t>
      </w:r>
      <w:r>
        <w:rPr>
          <w:rFonts w:hint="eastAsia" w:ascii="宋体" w:hAnsi="宋体" w:eastAsia="宋体" w:cs="宋体"/>
          <w:sz w:val="24"/>
          <w:szCs w:val="24"/>
        </w:rPr>
        <w:t>融资机构选择</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1．报名。有意向按照《暂行办法》和《实施方案》开展政府采购信用融资业务的融资机构，由其在蓉最高机构或在蓉最高机构指定的分支机构在市财政局政府采购监督管理处报名。报名需提供以下材料：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lang w:eastAsia="zh-CN"/>
        </w:rPr>
        <w:t>(</w:t>
      </w:r>
      <w:r>
        <w:rPr>
          <w:rFonts w:hint="eastAsia" w:ascii="宋体" w:hAnsi="宋体" w:eastAsia="宋体" w:cs="宋体"/>
          <w:color w:val="000000"/>
          <w:sz w:val="24"/>
          <w:szCs w:val="24"/>
        </w:rPr>
        <w:t>1</w:t>
      </w:r>
      <w:r>
        <w:rPr>
          <w:rFonts w:hint="eastAsia" w:cs="宋体"/>
          <w:color w:val="000000"/>
          <w:sz w:val="24"/>
          <w:szCs w:val="24"/>
          <w:lang w:eastAsia="zh-CN"/>
        </w:rPr>
        <w:t>)</w:t>
      </w:r>
      <w:r>
        <w:rPr>
          <w:rFonts w:hint="eastAsia" w:ascii="宋体" w:hAnsi="宋体" w:eastAsia="宋体" w:cs="宋体"/>
          <w:color w:val="000000"/>
          <w:sz w:val="24"/>
          <w:szCs w:val="24"/>
        </w:rPr>
        <w:t>融资机构基本情况；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lang w:eastAsia="zh-CN"/>
        </w:rPr>
        <w:t>(</w:t>
      </w:r>
      <w:r>
        <w:rPr>
          <w:rFonts w:hint="eastAsia" w:ascii="宋体" w:hAnsi="宋体" w:eastAsia="宋体" w:cs="宋体"/>
          <w:color w:val="000000"/>
          <w:sz w:val="24"/>
          <w:szCs w:val="24"/>
        </w:rPr>
        <w:t>2</w:t>
      </w:r>
      <w:r>
        <w:rPr>
          <w:rFonts w:hint="eastAsia" w:cs="宋体"/>
          <w:color w:val="000000"/>
          <w:sz w:val="24"/>
          <w:szCs w:val="24"/>
          <w:lang w:eastAsia="zh-CN"/>
        </w:rPr>
        <w:t>)</w:t>
      </w:r>
      <w:r>
        <w:rPr>
          <w:rFonts w:hint="eastAsia" w:ascii="宋体" w:hAnsi="宋体" w:eastAsia="宋体" w:cs="宋体"/>
          <w:color w:val="000000"/>
          <w:sz w:val="24"/>
          <w:szCs w:val="24"/>
        </w:rPr>
        <w:t>政府采购信用融资实施方案</w:t>
      </w:r>
      <w:r>
        <w:rPr>
          <w:rFonts w:hint="eastAsia" w:cs="宋体"/>
          <w:color w:val="000000"/>
          <w:sz w:val="24"/>
          <w:szCs w:val="24"/>
          <w:lang w:eastAsia="zh-CN"/>
        </w:rPr>
        <w:t>(</w:t>
      </w:r>
      <w:r>
        <w:rPr>
          <w:rFonts w:hint="eastAsia" w:ascii="宋体" w:hAnsi="宋体" w:eastAsia="宋体" w:cs="宋体"/>
          <w:color w:val="000000"/>
          <w:sz w:val="24"/>
          <w:szCs w:val="24"/>
        </w:rPr>
        <w:t>包括授信政策、融资产品、贷款利率及其它优惠措施、业务流程及各环节办结时间、联系方式等</w:t>
      </w:r>
      <w:r>
        <w:rPr>
          <w:rFonts w:hint="eastAsia" w:cs="宋体"/>
          <w:color w:val="000000"/>
          <w:sz w:val="24"/>
          <w:szCs w:val="24"/>
          <w:lang w:eastAsia="zh-CN"/>
        </w:rPr>
        <w:t>)</w:t>
      </w:r>
      <w:r>
        <w:rPr>
          <w:rFonts w:hint="eastAsia" w:ascii="宋体" w:hAnsi="宋体" w:eastAsia="宋体" w:cs="宋体"/>
          <w:color w:val="000000"/>
          <w:sz w:val="24"/>
          <w:szCs w:val="24"/>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lang w:eastAsia="zh-CN"/>
        </w:rPr>
        <w:t>(</w:t>
      </w:r>
      <w:r>
        <w:rPr>
          <w:rFonts w:hint="eastAsia" w:ascii="宋体" w:hAnsi="宋体" w:eastAsia="宋体" w:cs="宋体"/>
          <w:color w:val="000000"/>
          <w:sz w:val="24"/>
          <w:szCs w:val="24"/>
        </w:rPr>
        <w:t>3</w:t>
      </w:r>
      <w:r>
        <w:rPr>
          <w:rFonts w:hint="eastAsia" w:cs="宋体"/>
          <w:color w:val="000000"/>
          <w:sz w:val="24"/>
          <w:szCs w:val="24"/>
          <w:lang w:eastAsia="zh-CN"/>
        </w:rPr>
        <w:t>)</w:t>
      </w:r>
      <w:r>
        <w:rPr>
          <w:rFonts w:hint="eastAsia" w:ascii="宋体" w:hAnsi="宋体" w:eastAsia="宋体" w:cs="宋体"/>
          <w:color w:val="000000"/>
          <w:sz w:val="24"/>
          <w:szCs w:val="24"/>
        </w:rPr>
        <w:t>关于遵照《暂行办法》和《实施方案》开展政府采购信用融资业务的承诺；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lang w:eastAsia="zh-CN"/>
        </w:rPr>
        <w:t>(</w:t>
      </w:r>
      <w:r>
        <w:rPr>
          <w:rFonts w:hint="eastAsia" w:ascii="宋体" w:hAnsi="宋体" w:eastAsia="宋体" w:cs="宋体"/>
          <w:color w:val="000000"/>
          <w:sz w:val="24"/>
          <w:szCs w:val="24"/>
        </w:rPr>
        <w:t>4</w:t>
      </w:r>
      <w:r>
        <w:rPr>
          <w:rFonts w:hint="eastAsia" w:cs="宋体"/>
          <w:color w:val="000000"/>
          <w:sz w:val="24"/>
          <w:szCs w:val="24"/>
          <w:lang w:eastAsia="zh-CN"/>
        </w:rPr>
        <w:t>)</w:t>
      </w:r>
      <w:r>
        <w:rPr>
          <w:rFonts w:hint="eastAsia" w:ascii="宋体" w:hAnsi="宋体" w:eastAsia="宋体" w:cs="宋体"/>
          <w:color w:val="000000"/>
          <w:sz w:val="24"/>
          <w:szCs w:val="24"/>
        </w:rPr>
        <w:t>关于政府采购信用融资业务风险及系统对接研发费用自行承担的承诺。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2．系统对接。融资机构成功报名后，须按要求完成政府采购信用融资业务与成都市政府采购监督管理系统的技术对接。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3．确定融资机构。市财政局将完成系统对接的融资机构确定为我市开展政府采购信用融资业务的融资机构，并在成都市政府采购监督管理系统集中展示，为供应商开展融资提供指引。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三</w:t>
      </w:r>
      <w:r>
        <w:rPr>
          <w:rFonts w:hint="eastAsia" w:cs="宋体"/>
          <w:sz w:val="24"/>
          <w:szCs w:val="24"/>
          <w:lang w:eastAsia="zh-CN"/>
        </w:rPr>
        <w:t>)</w:t>
      </w:r>
      <w:r>
        <w:rPr>
          <w:rFonts w:hint="eastAsia" w:ascii="宋体" w:hAnsi="宋体" w:eastAsia="宋体" w:cs="宋体"/>
          <w:sz w:val="24"/>
          <w:szCs w:val="24"/>
        </w:rPr>
        <w:t>其他事项</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五、相关要求</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一</w:t>
      </w:r>
      <w:r>
        <w:rPr>
          <w:rFonts w:hint="eastAsia" w:cs="宋体"/>
          <w:sz w:val="24"/>
          <w:szCs w:val="24"/>
          <w:lang w:eastAsia="zh-CN"/>
        </w:rPr>
        <w:t>)</w:t>
      </w:r>
      <w:r>
        <w:rPr>
          <w:rFonts w:hint="eastAsia" w:ascii="宋体" w:hAnsi="宋体" w:eastAsia="宋体" w:cs="宋体"/>
          <w:sz w:val="24"/>
          <w:szCs w:val="24"/>
        </w:rPr>
        <w:t>加强组织领导。</w:t>
      </w:r>
      <w:r>
        <w:rPr>
          <w:rFonts w:hint="eastAsia" w:ascii="宋体" w:hAnsi="宋体" w:eastAsia="宋体" w:cs="宋体"/>
          <w:color w:val="000000"/>
          <w:kern w:val="0"/>
          <w:sz w:val="24"/>
          <w:szCs w:val="24"/>
        </w:rPr>
        <w:t>政府采购信用融资是缓解中小企业资金短缺压力，优化中小企业发展环境，促进我市经济发展的重要举措。市级各部门、单位要统一思想，充分认识此项工作的重要意义，认真抓好政策落实，</w:t>
      </w:r>
      <w:r>
        <w:rPr>
          <w:rFonts w:hint="eastAsia" w:ascii="宋体" w:hAnsi="宋体" w:eastAsia="宋体" w:cs="宋体"/>
          <w:sz w:val="24"/>
          <w:szCs w:val="24"/>
        </w:rPr>
        <w:t>全面、有序、科学推进政府采购信用融资工作。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二</w:t>
      </w:r>
      <w:r>
        <w:rPr>
          <w:rFonts w:hint="eastAsia" w:cs="宋体"/>
          <w:sz w:val="24"/>
          <w:szCs w:val="24"/>
          <w:lang w:eastAsia="zh-CN"/>
        </w:rPr>
        <w:t>)</w:t>
      </w:r>
      <w:r>
        <w:rPr>
          <w:rFonts w:hint="eastAsia" w:ascii="宋体" w:hAnsi="宋体" w:eastAsia="宋体" w:cs="宋体"/>
          <w:sz w:val="24"/>
          <w:szCs w:val="24"/>
        </w:rPr>
        <w:t>注重协调配合。</w:t>
      </w:r>
      <w:r>
        <w:rPr>
          <w:rFonts w:hint="eastAsia" w:ascii="宋体" w:hAnsi="宋体" w:eastAsia="宋体" w:cs="宋体"/>
          <w:color w:val="000000"/>
          <w:kern w:val="0"/>
          <w:sz w:val="24"/>
          <w:szCs w:val="24"/>
        </w:rPr>
        <w:t>市财政局、中国人民银行成都分行营业管理部及采购人</w:t>
      </w:r>
      <w:r>
        <w:rPr>
          <w:rFonts w:hint="eastAsia" w:ascii="宋体" w:hAnsi="宋体" w:eastAsia="宋体" w:cs="宋体"/>
          <w:sz w:val="24"/>
          <w:szCs w:val="24"/>
        </w:rPr>
        <w:t>等有关单位要根据职责任务，及时协调解决工作中遇到的困难和问题，积极</w:t>
      </w:r>
      <w:r>
        <w:rPr>
          <w:rFonts w:hint="eastAsia" w:ascii="宋体" w:hAnsi="宋体" w:eastAsia="宋体" w:cs="宋体"/>
          <w:color w:val="000000"/>
          <w:kern w:val="0"/>
          <w:sz w:val="24"/>
          <w:szCs w:val="24"/>
        </w:rPr>
        <w:t>创造条件主动服务，帮助有融资需求、符合条件的供应商实现政府采购信用融资，促进中小企业又好又快发展</w:t>
      </w:r>
      <w:r>
        <w:rPr>
          <w:rFonts w:hint="eastAsia" w:ascii="宋体" w:hAnsi="宋体" w:eastAsia="宋体" w:cs="宋体"/>
          <w:sz w:val="24"/>
          <w:szCs w:val="24"/>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lang w:val="en-US" w:eastAsia="zh-CN"/>
        </w:rPr>
      </w:pPr>
      <w:r>
        <w:rPr>
          <w:rFonts w:hint="eastAsia" w:cs="宋体"/>
          <w:sz w:val="24"/>
          <w:szCs w:val="24"/>
          <w:lang w:eastAsia="zh-CN"/>
        </w:rPr>
        <w:t>(</w:t>
      </w:r>
      <w:r>
        <w:rPr>
          <w:rFonts w:hint="eastAsia" w:ascii="宋体" w:hAnsi="宋体" w:eastAsia="宋体" w:cs="宋体"/>
          <w:sz w:val="24"/>
          <w:szCs w:val="24"/>
        </w:rPr>
        <w:t>三</w:t>
      </w:r>
      <w:r>
        <w:rPr>
          <w:rFonts w:hint="eastAsia" w:cs="宋体"/>
          <w:sz w:val="24"/>
          <w:szCs w:val="24"/>
          <w:lang w:eastAsia="zh-CN"/>
        </w:rPr>
        <w:t>)</w:t>
      </w:r>
      <w:r>
        <w:rPr>
          <w:rFonts w:hint="eastAsia" w:ascii="宋体" w:hAnsi="宋体" w:eastAsia="宋体" w:cs="宋体"/>
          <w:sz w:val="24"/>
          <w:szCs w:val="24"/>
        </w:rPr>
        <w:t>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pStyle w:val="47"/>
        <w:bidi w:val="0"/>
      </w:pPr>
    </w:p>
    <w:sectPr>
      <w:headerReference r:id="rId12" w:type="first"/>
      <w:footerReference r:id="rId14" w:type="first"/>
      <w:headerReference r:id="rId11" w:type="default"/>
      <w:footerReference r:id="rId13" w:type="default"/>
      <w:pgSz w:w="11906" w:h="16838"/>
      <w:pgMar w:top="1440" w:right="1080" w:bottom="1440" w:left="1080" w:header="851" w:footer="992" w:gutter="0"/>
      <w:pgNumType w:fmt="decimal"/>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7C79F5C-CED5-42DD-9866-C5AF6059B36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4F9993B-DA45-44CB-8D58-861949570CD4}"/>
  </w:font>
  <w:font w:name="仿宋_GB2312">
    <w:altName w:val="仿宋"/>
    <w:panose1 w:val="02010609030101010101"/>
    <w:charset w:val="86"/>
    <w:family w:val="auto"/>
    <w:pitch w:val="default"/>
    <w:sig w:usb0="00000000" w:usb1="00000000" w:usb2="00000000" w:usb3="00000000" w:csb0="00040000" w:csb1="00000000"/>
    <w:embedRegular r:id="rId3" w:fontKey="{37DE185B-ABDC-47BA-9C5B-98FE9DD6862F}"/>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altName w:val="方正舒体"/>
    <w:panose1 w:val="03000509000000000000"/>
    <w:charset w:val="86"/>
    <w:family w:val="auto"/>
    <w:pitch w:val="default"/>
    <w:sig w:usb0="00000000" w:usb1="00000000" w:usb2="00000000" w:usb3="00000000" w:csb0="00000000" w:csb1="00000000"/>
    <w:embedRegular r:id="rId4" w:fontKey="{F3CF0009-E9FB-46E8-9CC1-51AF279240F5}"/>
  </w:font>
  <w:font w:name="方正舒体">
    <w:panose1 w:val="02010601030101010101"/>
    <w:charset w:val="86"/>
    <w:family w:val="auto"/>
    <w:pitch w:val="default"/>
    <w:sig w:usb0="00000003" w:usb1="080E0000" w:usb2="00000000" w:usb3="00000000" w:csb0="00040000" w:csb1="00000000"/>
  </w:font>
  <w:font w:name="方正仿宋_GBK">
    <w:panose1 w:val="03000509000000000000"/>
    <w:charset w:val="86"/>
    <w:family w:val="script"/>
    <w:pitch w:val="default"/>
    <w:sig w:usb0="00000000" w:usb1="00000000" w:usb2="00000000" w:usb3="00000000" w:csb0="00000000" w:csb1="00000000"/>
    <w:embedRegular r:id="rId5" w:fontKey="{FAFE8CAC-F820-47C6-96A4-B843F1E68AFA}"/>
  </w:font>
  <w:font w:name="方正小标宋_GBK">
    <w:panose1 w:val="02000000000000000000"/>
    <w:charset w:val="86"/>
    <w:family w:val="script"/>
    <w:pitch w:val="default"/>
    <w:sig w:usb0="00000000" w:usb1="00000000" w:usb2="00000000" w:usb3="00000000" w:csb0="00000000" w:csb1="00000000"/>
    <w:embedRegular r:id="rId6" w:fontKey="{8245CDC4-64E9-4B4A-927F-CF93CABBECE8}"/>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ind w:right="360"/>
      <w:rPr>
        <w:sz w:val="15"/>
        <w:szCs w:val="15"/>
      </w:rPr>
    </w:pPr>
    <w:r>
      <w:rPr>
        <w:rFonts w:hAnsi="Calibri" w:cs="黑体"/>
        <w:sz w:val="15"/>
        <w:szCs w:val="20"/>
      </w:rPr>
      <mc:AlternateContent>
        <mc:Choice Requires="wps">
          <w:drawing>
            <wp:anchor distT="0" distB="0" distL="114300" distR="114300" simplePos="0" relativeHeight="251662336" behindDoc="0" locked="0" layoutInCell="1" allowOverlap="1">
              <wp:simplePos x="0" y="0"/>
              <wp:positionH relativeFrom="margin">
                <wp:posOffset>3034665</wp:posOffset>
              </wp:positionH>
              <wp:positionV relativeFrom="paragraph">
                <wp:posOffset>-16510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rPr>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1.3pt;height:11.65pt;width:9.05pt;mso-position-horizontal-relative:margin;mso-wrap-style:none;z-index:251662336;mso-width-relative:page;mso-height-relative:page;" filled="f" stroked="f" coordsize="21600,21600" o:gfxdata="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jz941wAAAAkBAAAPAAAAAAAAAAEAIAAAACIAAABkcnMvZG93bnJl&#10;di54bWxQSwECFAAUAAAACACHTuJAbiP0ZMUBAACKAwAADgAAAAAAAAABACAAAAAmAQAAZHJzL2Uy&#10;b0RvYy54bWxQSwUGAAAAAAYABgBZAQAAXQUAAAAA&#10;">
              <v:fill on="f" focussize="0,0"/>
              <v:stroke on="f"/>
              <v:imagedata o:title=""/>
              <o:lock v:ext="edit" aspectratio="f"/>
              <v:textbox inset="0mm,0mm,0mm,0mm" style="mso-fit-shape-to-text:t;">
                <w:txbxContent>
                  <w:p>
                    <w:pPr>
                      <w:rPr>
                        <w:sz w:val="18"/>
                      </w:rPr>
                    </w:pPr>
                  </w:p>
                </w:txbxContent>
              </v:textbox>
            </v:rect>
          </w:pict>
        </mc:Fallback>
      </mc:AlternateContent>
    </w:r>
    <w:r>
      <w:rPr>
        <w:rFonts w:hint="eastAsia"/>
        <w:sz w:val="15"/>
        <w:szCs w:val="15"/>
      </w:rPr>
      <w:t>地址：成都市武侯区金履一路218号优博广场1栋405室                                                邮政编码：610041</w:t>
    </w:r>
  </w:p>
  <w:p>
    <w:pPr>
      <w:pStyle w:val="15"/>
      <w:tabs>
        <w:tab w:val="center" w:pos="4153"/>
        <w:tab w:val="right" w:pos="8306"/>
        <w:tab w:val="clear" w:pos="0"/>
      </w:tabs>
      <w:ind w:right="360"/>
      <w:rPr>
        <w:rFonts w:hint="eastAsia"/>
        <w:lang w:val="en-US" w:eastAsia="zh-CN"/>
      </w:rPr>
    </w:pPr>
    <w:r>
      <w:rPr>
        <w:rFonts w:hint="eastAsia"/>
        <w:sz w:val="15"/>
        <w:szCs w:val="15"/>
      </w:rPr>
      <w:t>电话(TEL)：86-028-85032683/13808171894                                                            传真(FAX)：028-85032683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5"/>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5"/>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center" w:pos="4153"/>
        <w:tab w:val="right" w:pos="8306"/>
        <w:tab w:val="clear" w:pos="0"/>
      </w:tabs>
      <w:jc w:val="left"/>
      <w:rPr>
        <w:rFonts w:hint="eastAsia"/>
        <w:szCs w:val="18"/>
      </w:rPr>
    </w:pPr>
    <w:r>
      <w:rPr>
        <w:rFonts w:hint="eastAsia"/>
        <w:sz w:val="21"/>
        <w:szCs w:val="21"/>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center" w:pos="4153"/>
        <w:tab w:val="right" w:pos="8306"/>
        <w:tab w:val="clear" w:pos="0"/>
      </w:tabs>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A947B3"/>
    <w:multiLevelType w:val="singleLevel"/>
    <w:tmpl w:val="84A947B3"/>
    <w:lvl w:ilvl="0" w:tentative="0">
      <w:start w:val="1"/>
      <w:numFmt w:val="decimal"/>
      <w:lvlText w:val="%1."/>
      <w:lvlJc w:val="left"/>
      <w:pPr>
        <w:tabs>
          <w:tab w:val="left" w:pos="312"/>
        </w:tabs>
      </w:pPr>
    </w:lvl>
  </w:abstractNum>
  <w:abstractNum w:abstractNumId="1">
    <w:nsid w:val="A80635A9"/>
    <w:multiLevelType w:val="singleLevel"/>
    <w:tmpl w:val="A80635A9"/>
    <w:lvl w:ilvl="0" w:tentative="0">
      <w:start w:val="1"/>
      <w:numFmt w:val="chineseCounting"/>
      <w:pStyle w:val="77"/>
      <w:suff w:val="nothing"/>
      <w:lvlText w:val="第%1条  "/>
      <w:lvlJc w:val="left"/>
      <w:pPr>
        <w:ind w:left="0" w:firstLine="0"/>
      </w:pPr>
      <w:rPr>
        <w:rFonts w:hint="eastAsia"/>
      </w:rPr>
    </w:lvl>
  </w:abstractNum>
  <w:abstractNum w:abstractNumId="2">
    <w:nsid w:val="B04D8E0A"/>
    <w:multiLevelType w:val="multilevel"/>
    <w:tmpl w:val="B04D8E0A"/>
    <w:lvl w:ilvl="0" w:tentative="0">
      <w:start w:val="1"/>
      <w:numFmt w:val="chineseCounting"/>
      <w:pStyle w:val="48"/>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34"/>
      <w:suff w:val="nothing"/>
      <w:lvlText w:val="%2、"/>
      <w:lvlJc w:val="left"/>
      <w:pPr>
        <w:ind w:left="0" w:firstLine="0"/>
      </w:pPr>
      <w:rPr>
        <w:rFonts w:hint="eastAsia" w:ascii="宋体" w:hAnsi="宋体" w:eastAsia="宋体" w:cs="宋体"/>
      </w:rPr>
    </w:lvl>
    <w:lvl w:ilvl="2" w:tentative="0">
      <w:start w:val="1"/>
      <w:numFmt w:val="chineseCounting"/>
      <w:pStyle w:val="49"/>
      <w:suff w:val="nothing"/>
      <w:lvlText w:val="(%3)"/>
      <w:lvlJc w:val="left"/>
      <w:pPr>
        <w:tabs>
          <w:tab w:val="left" w:pos="0"/>
        </w:tabs>
        <w:ind w:left="0" w:firstLine="0"/>
      </w:pPr>
      <w:rPr>
        <w:rFonts w:hint="eastAsia" w:ascii="宋体" w:hAnsi="宋体" w:eastAsia="宋体" w:cs="宋体"/>
      </w:rPr>
    </w:lvl>
    <w:lvl w:ilvl="3" w:tentative="0">
      <w:start w:val="1"/>
      <w:numFmt w:val="decimal"/>
      <w:pStyle w:val="63"/>
      <w:suff w:val="nothing"/>
      <w:lvlText w:val="%4."/>
      <w:lvlJc w:val="left"/>
      <w:pPr>
        <w:tabs>
          <w:tab w:val="left" w:pos="0"/>
        </w:tabs>
        <w:ind w:left="0" w:firstLine="0"/>
      </w:pPr>
      <w:rPr>
        <w:rFonts w:hint="eastAsia" w:ascii="宋体" w:hAnsi="宋体" w:eastAsia="宋体" w:cs="宋体"/>
      </w:rPr>
    </w:lvl>
    <w:lvl w:ilvl="4" w:tentative="0">
      <w:start w:val="1"/>
      <w:numFmt w:val="decimal"/>
      <w:pStyle w:val="64"/>
      <w:suff w:val="nothing"/>
      <w:lvlText w:val="%4.%5"/>
      <w:lvlJc w:val="left"/>
      <w:pPr>
        <w:ind w:left="0" w:firstLine="0"/>
      </w:pPr>
      <w:rPr>
        <w:rFonts w:hint="eastAsia" w:ascii="宋体" w:hAnsi="宋体" w:eastAsia="宋体" w:cs="宋体"/>
      </w:rPr>
    </w:lvl>
    <w:lvl w:ilvl="5" w:tentative="0">
      <w:start w:val="1"/>
      <w:numFmt w:val="decimal"/>
      <w:pStyle w:val="65"/>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C7F53590"/>
    <w:multiLevelType w:val="multilevel"/>
    <w:tmpl w:val="C7F53590"/>
    <w:lvl w:ilvl="0" w:tentative="0">
      <w:start w:val="1"/>
      <w:numFmt w:val="decimal"/>
      <w:pStyle w:val="38"/>
      <w:suff w:val="nothing"/>
      <w:lvlText w:val="%1."/>
      <w:lvlJc w:val="left"/>
      <w:pPr>
        <w:tabs>
          <w:tab w:val="left" w:pos="420"/>
        </w:tabs>
        <w:ind w:left="0" w:leftChars="0" w:firstLine="0" w:firstLineChars="0"/>
      </w:pPr>
      <w:rPr>
        <w:rFonts w:hint="default" w:ascii="宋体" w:hAnsi="宋体" w:eastAsia="宋体" w:cs="宋体"/>
      </w:rPr>
    </w:lvl>
    <w:lvl w:ilvl="1" w:tentative="0">
      <w:start w:val="1"/>
      <w:numFmt w:val="decimal"/>
      <w:pStyle w:val="39"/>
      <w:suff w:val="nothing"/>
      <w:lvlText w:val="%1.%2"/>
      <w:lvlJc w:val="left"/>
      <w:pPr>
        <w:tabs>
          <w:tab w:val="left" w:pos="420"/>
        </w:tabs>
        <w:ind w:left="0" w:leftChars="0" w:firstLine="0" w:firstLineChars="0"/>
      </w:pPr>
      <w:rPr>
        <w:rFonts w:hint="default" w:ascii="宋体" w:hAnsi="宋体" w:eastAsia="宋体" w:cs="宋体"/>
      </w:rPr>
    </w:lvl>
    <w:lvl w:ilvl="2" w:tentative="0">
      <w:start w:val="1"/>
      <w:numFmt w:val="decimal"/>
      <w:pStyle w:val="40"/>
      <w:suff w:val="nothing"/>
      <w:lvlText w:val="%1.%2.%3"/>
      <w:lvlJc w:val="left"/>
      <w:pPr>
        <w:tabs>
          <w:tab w:val="left" w:pos="420"/>
        </w:tabs>
        <w:ind w:left="0" w:leftChars="0" w:firstLine="0" w:firstLineChars="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CA240A61"/>
    <w:multiLevelType w:val="singleLevel"/>
    <w:tmpl w:val="CA240A61"/>
    <w:lvl w:ilvl="0" w:tentative="0">
      <w:start w:val="1"/>
      <w:numFmt w:val="chineseCounting"/>
      <w:pStyle w:val="73"/>
      <w:suff w:val="nothing"/>
      <w:lvlText w:val="(%1)"/>
      <w:lvlJc w:val="left"/>
      <w:pPr>
        <w:ind w:left="0" w:firstLine="0"/>
      </w:pPr>
      <w:rPr>
        <w:rFonts w:hint="eastAsia"/>
      </w:rPr>
    </w:lvl>
  </w:abstractNum>
  <w:abstractNum w:abstractNumId="5">
    <w:nsid w:val="D2F3B81A"/>
    <w:multiLevelType w:val="singleLevel"/>
    <w:tmpl w:val="D2F3B81A"/>
    <w:lvl w:ilvl="0" w:tentative="0">
      <w:start w:val="1"/>
      <w:numFmt w:val="chineseCounting"/>
      <w:pStyle w:val="43"/>
      <w:suff w:val="nothing"/>
      <w:lvlText w:val="%1、"/>
      <w:lvlJc w:val="left"/>
      <w:pPr>
        <w:ind w:left="0" w:firstLine="0"/>
      </w:pPr>
      <w:rPr>
        <w:rFonts w:hint="eastAsia"/>
      </w:rPr>
    </w:lvl>
  </w:abstractNum>
  <w:abstractNum w:abstractNumId="6">
    <w:nsid w:val="DCCDE3B6"/>
    <w:multiLevelType w:val="singleLevel"/>
    <w:tmpl w:val="DCCDE3B6"/>
    <w:lvl w:ilvl="0" w:tentative="0">
      <w:start w:val="1"/>
      <w:numFmt w:val="decimal"/>
      <w:lvlText w:val="%1"/>
      <w:lvlJc w:val="left"/>
      <w:pPr>
        <w:tabs>
          <w:tab w:val="left" w:pos="0"/>
        </w:tabs>
        <w:ind w:left="0" w:leftChars="0" w:firstLine="0" w:firstLineChars="0"/>
      </w:pPr>
      <w:rPr>
        <w:rFonts w:hint="default"/>
      </w:rPr>
    </w:lvl>
  </w:abstractNum>
  <w:abstractNum w:abstractNumId="7">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32"/>
      <w:suff w:val="nothing"/>
      <w:lvlText w:val="(%2)"/>
      <w:lvlJc w:val="left"/>
      <w:pPr>
        <w:ind w:left="0" w:firstLine="0"/>
      </w:pPr>
      <w:rPr>
        <w:rFonts w:hint="eastAsia" w:ascii="宋体" w:hAnsi="宋体" w:eastAsia="宋体" w:cs="宋体"/>
      </w:rPr>
    </w:lvl>
    <w:lvl w:ilvl="2" w:tentative="0">
      <w:start w:val="1"/>
      <w:numFmt w:val="decimal"/>
      <w:pStyle w:val="35"/>
      <w:suff w:val="nothing"/>
      <w:lvlText w:val="%3."/>
      <w:lvlJc w:val="left"/>
      <w:pPr>
        <w:ind w:left="0" w:firstLine="0"/>
      </w:pPr>
      <w:rPr>
        <w:rFonts w:hint="eastAsia" w:ascii="宋体" w:hAnsi="宋体" w:eastAsia="宋体" w:cs="宋体"/>
      </w:rPr>
    </w:lvl>
    <w:lvl w:ilvl="3" w:tentative="0">
      <w:start w:val="1"/>
      <w:numFmt w:val="decimal"/>
      <w:pStyle w:val="36"/>
      <w:suff w:val="nothing"/>
      <w:lvlText w:val="%3.%4"/>
      <w:lvlJc w:val="left"/>
      <w:pPr>
        <w:ind w:left="0" w:firstLine="0"/>
      </w:pPr>
      <w:rPr>
        <w:rFonts w:hint="eastAsia" w:ascii="宋体" w:hAnsi="宋体" w:eastAsia="宋体" w:cs="宋体"/>
      </w:rPr>
    </w:lvl>
    <w:lvl w:ilvl="4" w:tentative="0">
      <w:start w:val="1"/>
      <w:numFmt w:val="decimal"/>
      <w:pStyle w:val="37"/>
      <w:suff w:val="nothing"/>
      <w:lvlText w:val="(%5)"/>
      <w:lvlJc w:val="left"/>
      <w:pPr>
        <w:ind w:left="0" w:firstLine="0"/>
      </w:pPr>
      <w:rPr>
        <w:rFonts w:hint="eastAsia" w:ascii="宋体" w:hAnsi="宋体" w:eastAsia="宋体" w:cs="宋体"/>
      </w:rPr>
    </w:lvl>
    <w:lvl w:ilvl="5" w:tentative="0">
      <w:start w:val="1"/>
      <w:numFmt w:val="decimal"/>
      <w:pStyle w:val="6"/>
      <w:suff w:val="nothing"/>
      <w:lvlText w:val="%6）"/>
      <w:lvlJc w:val="left"/>
      <w:pPr>
        <w:ind w:left="0" w:firstLine="402"/>
      </w:pPr>
      <w:rPr>
        <w:rFonts w:hint="eastAsia"/>
      </w:rPr>
    </w:lvl>
    <w:lvl w:ilvl="6" w:tentative="0">
      <w:start w:val="1"/>
      <w:numFmt w:val="lowerLetter"/>
      <w:pStyle w:val="7"/>
      <w:suff w:val="nothing"/>
      <w:lvlText w:val="%7．"/>
      <w:lvlJc w:val="left"/>
      <w:pPr>
        <w:ind w:left="0" w:firstLine="402"/>
      </w:pPr>
      <w:rPr>
        <w:rFonts w:hint="eastAsia"/>
      </w:rPr>
    </w:lvl>
    <w:lvl w:ilvl="7" w:tentative="0">
      <w:start w:val="1"/>
      <w:numFmt w:val="lowerLetter"/>
      <w:pStyle w:val="8"/>
      <w:suff w:val="nothing"/>
      <w:lvlText w:val="%8）"/>
      <w:lvlJc w:val="left"/>
      <w:pPr>
        <w:ind w:left="0" w:firstLine="402"/>
      </w:pPr>
      <w:rPr>
        <w:rFonts w:hint="eastAsia"/>
      </w:rPr>
    </w:lvl>
    <w:lvl w:ilvl="8" w:tentative="0">
      <w:start w:val="1"/>
      <w:numFmt w:val="lowerRoman"/>
      <w:pStyle w:val="9"/>
      <w:suff w:val="nothing"/>
      <w:lvlText w:val="%9 "/>
      <w:lvlJc w:val="left"/>
      <w:pPr>
        <w:ind w:left="0" w:firstLine="402"/>
      </w:pPr>
      <w:rPr>
        <w:rFonts w:hint="eastAsia"/>
      </w:rPr>
    </w:lvl>
  </w:abstractNum>
  <w:abstractNum w:abstractNumId="8">
    <w:nsid w:val="FABA3C29"/>
    <w:multiLevelType w:val="singleLevel"/>
    <w:tmpl w:val="FABA3C29"/>
    <w:lvl w:ilvl="0" w:tentative="0">
      <w:start w:val="1"/>
      <w:numFmt w:val="chineseCounting"/>
      <w:suff w:val="nothing"/>
      <w:lvlText w:val="%1、"/>
      <w:lvlJc w:val="left"/>
      <w:pPr>
        <w:ind w:left="0" w:firstLine="420"/>
      </w:pPr>
      <w:rPr>
        <w:rFonts w:hint="eastAsia"/>
      </w:rPr>
    </w:lvl>
  </w:abstractNum>
  <w:abstractNum w:abstractNumId="9">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10">
    <w:nsid w:val="0D3DD0CB"/>
    <w:multiLevelType w:val="singleLevel"/>
    <w:tmpl w:val="0D3DD0CB"/>
    <w:lvl w:ilvl="0" w:tentative="0">
      <w:start w:val="1"/>
      <w:numFmt w:val="decimal"/>
      <w:lvlText w:val="%1."/>
      <w:lvlJc w:val="left"/>
      <w:pPr>
        <w:tabs>
          <w:tab w:val="left" w:pos="312"/>
        </w:tabs>
      </w:pPr>
    </w:lvl>
  </w:abstractNum>
  <w:abstractNum w:abstractNumId="11">
    <w:nsid w:val="1517B247"/>
    <w:multiLevelType w:val="singleLevel"/>
    <w:tmpl w:val="1517B247"/>
    <w:lvl w:ilvl="0" w:tentative="0">
      <w:start w:val="3"/>
      <w:numFmt w:val="decimal"/>
      <w:lvlText w:val="%1."/>
      <w:lvlJc w:val="left"/>
      <w:pPr>
        <w:tabs>
          <w:tab w:val="left" w:pos="312"/>
        </w:tabs>
      </w:pPr>
    </w:lvl>
  </w:abstractNum>
  <w:abstractNum w:abstractNumId="12">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7"/>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3">
    <w:nsid w:val="5912557E"/>
    <w:multiLevelType w:val="singleLevel"/>
    <w:tmpl w:val="5912557E"/>
    <w:lvl w:ilvl="0" w:tentative="0">
      <w:start w:val="1"/>
      <w:numFmt w:val="chineseCounting"/>
      <w:suff w:val="nothing"/>
      <w:lvlText w:val="%1、"/>
      <w:lvlJc w:val="left"/>
      <w:rPr>
        <w:rFonts w:hint="eastAsia"/>
      </w:rPr>
    </w:lvl>
  </w:abstractNum>
  <w:abstractNum w:abstractNumId="14">
    <w:nsid w:val="5D053081"/>
    <w:multiLevelType w:val="singleLevel"/>
    <w:tmpl w:val="5D053081"/>
    <w:lvl w:ilvl="0" w:tentative="0">
      <w:start w:val="1"/>
      <w:numFmt w:val="chineseCounting"/>
      <w:suff w:val="nothing"/>
      <w:lvlText w:val="%1、"/>
      <w:lvlJc w:val="left"/>
      <w:pPr>
        <w:ind w:left="0" w:firstLine="420"/>
      </w:pPr>
      <w:rPr>
        <w:rFonts w:hint="eastAsia"/>
      </w:rPr>
    </w:lvl>
  </w:abstractNum>
  <w:abstractNum w:abstractNumId="15">
    <w:nsid w:val="5E5DF5A1"/>
    <w:multiLevelType w:val="singleLevel"/>
    <w:tmpl w:val="5E5DF5A1"/>
    <w:lvl w:ilvl="0" w:tentative="0">
      <w:start w:val="1"/>
      <w:numFmt w:val="chineseCounting"/>
      <w:suff w:val="nothing"/>
      <w:lvlText w:val="%1、"/>
      <w:lvlJc w:val="left"/>
      <w:rPr>
        <w:rFonts w:hint="eastAsia" w:ascii="宋体" w:hAnsi="宋体" w:eastAsia="宋体" w:cs="宋体"/>
      </w:rPr>
    </w:lvl>
  </w:abstractNum>
  <w:num w:numId="1">
    <w:abstractNumId w:val="7"/>
  </w:num>
  <w:num w:numId="2">
    <w:abstractNumId w:val="12"/>
  </w:num>
  <w:num w:numId="3">
    <w:abstractNumId w:val="2"/>
  </w:num>
  <w:num w:numId="4">
    <w:abstractNumId w:val="3"/>
  </w:num>
  <w:num w:numId="5">
    <w:abstractNumId w:val="5"/>
  </w:num>
  <w:num w:numId="6">
    <w:abstractNumId w:val="4"/>
  </w:num>
  <w:num w:numId="7">
    <w:abstractNumId w:val="1"/>
  </w:num>
  <w:num w:numId="8">
    <w:abstractNumId w:val="9"/>
  </w:num>
  <w:num w:numId="9">
    <w:abstractNumId w:val="6"/>
  </w:num>
  <w:num w:numId="10">
    <w:abstractNumId w:val="0"/>
  </w:num>
  <w:num w:numId="11">
    <w:abstractNumId w:val="13"/>
  </w:num>
  <w:num w:numId="12">
    <w:abstractNumId w:val="10"/>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doNotDisplayPageBoundaries w:val="1"/>
  <w:embedTrueTypeFonts/>
  <w:saveSubsetFonts/>
  <w:bordersDoNotSurroundHeader w:val="0"/>
  <w:bordersDoNotSurroundFooter w:val="0"/>
  <w:documentProtection w:enforcement="0"/>
  <w:defaultTabStop w:val="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00A"/>
    <w:rsid w:val="000168D4"/>
    <w:rsid w:val="00037BD4"/>
    <w:rsid w:val="000504D4"/>
    <w:rsid w:val="00050929"/>
    <w:rsid w:val="00064EEB"/>
    <w:rsid w:val="00071F90"/>
    <w:rsid w:val="00080967"/>
    <w:rsid w:val="00083410"/>
    <w:rsid w:val="00083A85"/>
    <w:rsid w:val="000A22EE"/>
    <w:rsid w:val="000D7DD0"/>
    <w:rsid w:val="0010191C"/>
    <w:rsid w:val="001025A9"/>
    <w:rsid w:val="0010309E"/>
    <w:rsid w:val="0012071D"/>
    <w:rsid w:val="00127F82"/>
    <w:rsid w:val="00151C44"/>
    <w:rsid w:val="00152049"/>
    <w:rsid w:val="00157B5B"/>
    <w:rsid w:val="00172A27"/>
    <w:rsid w:val="001747EE"/>
    <w:rsid w:val="001776D1"/>
    <w:rsid w:val="00177915"/>
    <w:rsid w:val="00180AAC"/>
    <w:rsid w:val="00190708"/>
    <w:rsid w:val="001B6050"/>
    <w:rsid w:val="001B7BB6"/>
    <w:rsid w:val="001C42C5"/>
    <w:rsid w:val="001E2AED"/>
    <w:rsid w:val="001E6880"/>
    <w:rsid w:val="001E6888"/>
    <w:rsid w:val="002214E7"/>
    <w:rsid w:val="00225683"/>
    <w:rsid w:val="00234073"/>
    <w:rsid w:val="002435A0"/>
    <w:rsid w:val="00243FF7"/>
    <w:rsid w:val="00247B38"/>
    <w:rsid w:val="0025536B"/>
    <w:rsid w:val="002565E2"/>
    <w:rsid w:val="00267611"/>
    <w:rsid w:val="00274A24"/>
    <w:rsid w:val="00282CD9"/>
    <w:rsid w:val="00290AF1"/>
    <w:rsid w:val="002B5D9A"/>
    <w:rsid w:val="002B6AE7"/>
    <w:rsid w:val="002B79CA"/>
    <w:rsid w:val="002C53EF"/>
    <w:rsid w:val="002D2B0F"/>
    <w:rsid w:val="002E06BF"/>
    <w:rsid w:val="002E1A1C"/>
    <w:rsid w:val="002E5F48"/>
    <w:rsid w:val="002F05A6"/>
    <w:rsid w:val="002F3BB7"/>
    <w:rsid w:val="00315B60"/>
    <w:rsid w:val="003274CB"/>
    <w:rsid w:val="00346B27"/>
    <w:rsid w:val="00347724"/>
    <w:rsid w:val="00350C14"/>
    <w:rsid w:val="00353E82"/>
    <w:rsid w:val="003726D1"/>
    <w:rsid w:val="003750BD"/>
    <w:rsid w:val="00396369"/>
    <w:rsid w:val="003B2228"/>
    <w:rsid w:val="003C13E4"/>
    <w:rsid w:val="003D21F1"/>
    <w:rsid w:val="003E1DCC"/>
    <w:rsid w:val="003F4651"/>
    <w:rsid w:val="00410967"/>
    <w:rsid w:val="00411E40"/>
    <w:rsid w:val="00415E21"/>
    <w:rsid w:val="00445ADF"/>
    <w:rsid w:val="004621F9"/>
    <w:rsid w:val="0046727E"/>
    <w:rsid w:val="00482071"/>
    <w:rsid w:val="00483674"/>
    <w:rsid w:val="004861AE"/>
    <w:rsid w:val="00486D20"/>
    <w:rsid w:val="00495036"/>
    <w:rsid w:val="004A6781"/>
    <w:rsid w:val="004A7D40"/>
    <w:rsid w:val="004B4092"/>
    <w:rsid w:val="004D37D9"/>
    <w:rsid w:val="004E0FDD"/>
    <w:rsid w:val="004F2F95"/>
    <w:rsid w:val="004F4409"/>
    <w:rsid w:val="00506600"/>
    <w:rsid w:val="00526D76"/>
    <w:rsid w:val="00535703"/>
    <w:rsid w:val="00551430"/>
    <w:rsid w:val="00554499"/>
    <w:rsid w:val="00557A19"/>
    <w:rsid w:val="00570E40"/>
    <w:rsid w:val="00573162"/>
    <w:rsid w:val="005B21E3"/>
    <w:rsid w:val="005F0C9C"/>
    <w:rsid w:val="005F3F05"/>
    <w:rsid w:val="0060449E"/>
    <w:rsid w:val="006058A4"/>
    <w:rsid w:val="006109FE"/>
    <w:rsid w:val="00614BF4"/>
    <w:rsid w:val="00616B6E"/>
    <w:rsid w:val="00633858"/>
    <w:rsid w:val="00651388"/>
    <w:rsid w:val="0065581B"/>
    <w:rsid w:val="00670841"/>
    <w:rsid w:val="006708EE"/>
    <w:rsid w:val="006934B4"/>
    <w:rsid w:val="00694C4F"/>
    <w:rsid w:val="006A21E2"/>
    <w:rsid w:val="006A532B"/>
    <w:rsid w:val="006B1D4C"/>
    <w:rsid w:val="006C21DD"/>
    <w:rsid w:val="006E1794"/>
    <w:rsid w:val="006F6EF3"/>
    <w:rsid w:val="00722E70"/>
    <w:rsid w:val="00735F80"/>
    <w:rsid w:val="0074524D"/>
    <w:rsid w:val="00784579"/>
    <w:rsid w:val="00795B4D"/>
    <w:rsid w:val="007B1F36"/>
    <w:rsid w:val="007D09EC"/>
    <w:rsid w:val="007F300C"/>
    <w:rsid w:val="008003F4"/>
    <w:rsid w:val="008016F9"/>
    <w:rsid w:val="008062AE"/>
    <w:rsid w:val="00811328"/>
    <w:rsid w:val="00815C57"/>
    <w:rsid w:val="00815F35"/>
    <w:rsid w:val="0082614F"/>
    <w:rsid w:val="00850B71"/>
    <w:rsid w:val="0085639C"/>
    <w:rsid w:val="0087454D"/>
    <w:rsid w:val="00890D7F"/>
    <w:rsid w:val="008A0EB1"/>
    <w:rsid w:val="008A2076"/>
    <w:rsid w:val="008E659E"/>
    <w:rsid w:val="008F1529"/>
    <w:rsid w:val="008F1CB6"/>
    <w:rsid w:val="008F4AED"/>
    <w:rsid w:val="008F717E"/>
    <w:rsid w:val="008F74EB"/>
    <w:rsid w:val="00902627"/>
    <w:rsid w:val="00931981"/>
    <w:rsid w:val="00932AFD"/>
    <w:rsid w:val="00942ED3"/>
    <w:rsid w:val="00945986"/>
    <w:rsid w:val="00946F94"/>
    <w:rsid w:val="00970E63"/>
    <w:rsid w:val="00990893"/>
    <w:rsid w:val="009C43E6"/>
    <w:rsid w:val="009D01D2"/>
    <w:rsid w:val="009E1E4F"/>
    <w:rsid w:val="009F4A8A"/>
    <w:rsid w:val="009F5992"/>
    <w:rsid w:val="00A23AFB"/>
    <w:rsid w:val="00A3273B"/>
    <w:rsid w:val="00A466E6"/>
    <w:rsid w:val="00A47F1F"/>
    <w:rsid w:val="00A75A1A"/>
    <w:rsid w:val="00A837A5"/>
    <w:rsid w:val="00A95C07"/>
    <w:rsid w:val="00AA51C1"/>
    <w:rsid w:val="00AB65CA"/>
    <w:rsid w:val="00AB67D8"/>
    <w:rsid w:val="00AC2F78"/>
    <w:rsid w:val="00AC5E59"/>
    <w:rsid w:val="00AE67F6"/>
    <w:rsid w:val="00AF3998"/>
    <w:rsid w:val="00B07B2E"/>
    <w:rsid w:val="00B31CC3"/>
    <w:rsid w:val="00B6648B"/>
    <w:rsid w:val="00B72CB9"/>
    <w:rsid w:val="00BA69F4"/>
    <w:rsid w:val="00BA6D13"/>
    <w:rsid w:val="00BB299F"/>
    <w:rsid w:val="00BE1766"/>
    <w:rsid w:val="00BF4E9E"/>
    <w:rsid w:val="00C00F81"/>
    <w:rsid w:val="00C03ED3"/>
    <w:rsid w:val="00C17A63"/>
    <w:rsid w:val="00C35487"/>
    <w:rsid w:val="00C37C9E"/>
    <w:rsid w:val="00C43BC1"/>
    <w:rsid w:val="00C7526C"/>
    <w:rsid w:val="00C9386B"/>
    <w:rsid w:val="00CA0AAA"/>
    <w:rsid w:val="00CC0388"/>
    <w:rsid w:val="00CD401B"/>
    <w:rsid w:val="00CD437E"/>
    <w:rsid w:val="00CD43B3"/>
    <w:rsid w:val="00CD58A7"/>
    <w:rsid w:val="00CE226F"/>
    <w:rsid w:val="00CF53F3"/>
    <w:rsid w:val="00D174EB"/>
    <w:rsid w:val="00D23AEC"/>
    <w:rsid w:val="00D373B2"/>
    <w:rsid w:val="00D37D24"/>
    <w:rsid w:val="00D80201"/>
    <w:rsid w:val="00D827D3"/>
    <w:rsid w:val="00D87B92"/>
    <w:rsid w:val="00D87C93"/>
    <w:rsid w:val="00DA65C9"/>
    <w:rsid w:val="00DB5C76"/>
    <w:rsid w:val="00DC4298"/>
    <w:rsid w:val="00DC68DD"/>
    <w:rsid w:val="00DD654B"/>
    <w:rsid w:val="00DE5C5F"/>
    <w:rsid w:val="00DF10BC"/>
    <w:rsid w:val="00E04823"/>
    <w:rsid w:val="00E057B6"/>
    <w:rsid w:val="00E2173D"/>
    <w:rsid w:val="00E26D0D"/>
    <w:rsid w:val="00E374A6"/>
    <w:rsid w:val="00E419A4"/>
    <w:rsid w:val="00E52593"/>
    <w:rsid w:val="00E53568"/>
    <w:rsid w:val="00E74CE9"/>
    <w:rsid w:val="00E7539A"/>
    <w:rsid w:val="00E83C3F"/>
    <w:rsid w:val="00E86078"/>
    <w:rsid w:val="00E87BB1"/>
    <w:rsid w:val="00E93F48"/>
    <w:rsid w:val="00E965F8"/>
    <w:rsid w:val="00EB31E1"/>
    <w:rsid w:val="00EE2E61"/>
    <w:rsid w:val="00EE2E62"/>
    <w:rsid w:val="00EF4699"/>
    <w:rsid w:val="00F025B2"/>
    <w:rsid w:val="00F0340D"/>
    <w:rsid w:val="00F140D0"/>
    <w:rsid w:val="00F2183F"/>
    <w:rsid w:val="00F22D2F"/>
    <w:rsid w:val="00F23715"/>
    <w:rsid w:val="00F32329"/>
    <w:rsid w:val="00F4295B"/>
    <w:rsid w:val="00F714C7"/>
    <w:rsid w:val="00F9177B"/>
    <w:rsid w:val="00FE3AAB"/>
    <w:rsid w:val="01010150"/>
    <w:rsid w:val="01051DA8"/>
    <w:rsid w:val="010C0096"/>
    <w:rsid w:val="012B7796"/>
    <w:rsid w:val="013D1C8A"/>
    <w:rsid w:val="013F0F7C"/>
    <w:rsid w:val="01464694"/>
    <w:rsid w:val="01504160"/>
    <w:rsid w:val="015258FF"/>
    <w:rsid w:val="015265DB"/>
    <w:rsid w:val="0156446F"/>
    <w:rsid w:val="01665C29"/>
    <w:rsid w:val="016A18CE"/>
    <w:rsid w:val="01782F69"/>
    <w:rsid w:val="0186780C"/>
    <w:rsid w:val="01876A1F"/>
    <w:rsid w:val="018A13E8"/>
    <w:rsid w:val="018C6501"/>
    <w:rsid w:val="018F03FE"/>
    <w:rsid w:val="01934417"/>
    <w:rsid w:val="019377A3"/>
    <w:rsid w:val="01A20663"/>
    <w:rsid w:val="01A252D7"/>
    <w:rsid w:val="01A96BB6"/>
    <w:rsid w:val="01AA6553"/>
    <w:rsid w:val="01B21178"/>
    <w:rsid w:val="01B763DC"/>
    <w:rsid w:val="01BC53AC"/>
    <w:rsid w:val="01C25093"/>
    <w:rsid w:val="01C43DE1"/>
    <w:rsid w:val="01C91C5F"/>
    <w:rsid w:val="01E366FD"/>
    <w:rsid w:val="01F24E0B"/>
    <w:rsid w:val="01FE754D"/>
    <w:rsid w:val="02002A16"/>
    <w:rsid w:val="02132164"/>
    <w:rsid w:val="02151D4A"/>
    <w:rsid w:val="02195753"/>
    <w:rsid w:val="02273FA3"/>
    <w:rsid w:val="02286712"/>
    <w:rsid w:val="0229654E"/>
    <w:rsid w:val="02326A09"/>
    <w:rsid w:val="023372E3"/>
    <w:rsid w:val="02362CC5"/>
    <w:rsid w:val="023E2792"/>
    <w:rsid w:val="0241752C"/>
    <w:rsid w:val="024211F3"/>
    <w:rsid w:val="0243067C"/>
    <w:rsid w:val="024E7B1D"/>
    <w:rsid w:val="02504227"/>
    <w:rsid w:val="02567FAA"/>
    <w:rsid w:val="02612347"/>
    <w:rsid w:val="02676F4A"/>
    <w:rsid w:val="026D704D"/>
    <w:rsid w:val="02735026"/>
    <w:rsid w:val="027655B6"/>
    <w:rsid w:val="02792F82"/>
    <w:rsid w:val="02825F13"/>
    <w:rsid w:val="028430AA"/>
    <w:rsid w:val="02864898"/>
    <w:rsid w:val="028879D9"/>
    <w:rsid w:val="02932615"/>
    <w:rsid w:val="02975CDD"/>
    <w:rsid w:val="02A14D74"/>
    <w:rsid w:val="02A9227A"/>
    <w:rsid w:val="02AA5D42"/>
    <w:rsid w:val="02AB3E64"/>
    <w:rsid w:val="02AD1D16"/>
    <w:rsid w:val="02AE7975"/>
    <w:rsid w:val="02B43DAD"/>
    <w:rsid w:val="02BB62A0"/>
    <w:rsid w:val="02C8779F"/>
    <w:rsid w:val="02D904A0"/>
    <w:rsid w:val="02DC1FED"/>
    <w:rsid w:val="02DD3DF1"/>
    <w:rsid w:val="02E02D5C"/>
    <w:rsid w:val="02E213EC"/>
    <w:rsid w:val="02E247AD"/>
    <w:rsid w:val="02E3266E"/>
    <w:rsid w:val="02F71628"/>
    <w:rsid w:val="03023D5A"/>
    <w:rsid w:val="0302424D"/>
    <w:rsid w:val="030514DF"/>
    <w:rsid w:val="030662A1"/>
    <w:rsid w:val="0307291B"/>
    <w:rsid w:val="03081CDB"/>
    <w:rsid w:val="0312038B"/>
    <w:rsid w:val="03132B33"/>
    <w:rsid w:val="03173D8F"/>
    <w:rsid w:val="031C70D4"/>
    <w:rsid w:val="03200E37"/>
    <w:rsid w:val="0321449C"/>
    <w:rsid w:val="03262BDB"/>
    <w:rsid w:val="03343D8F"/>
    <w:rsid w:val="033D10F3"/>
    <w:rsid w:val="03422841"/>
    <w:rsid w:val="03486A36"/>
    <w:rsid w:val="0350391F"/>
    <w:rsid w:val="03532C0C"/>
    <w:rsid w:val="035B6560"/>
    <w:rsid w:val="036B65D2"/>
    <w:rsid w:val="036E54D5"/>
    <w:rsid w:val="036E7CB0"/>
    <w:rsid w:val="036F45AC"/>
    <w:rsid w:val="03704344"/>
    <w:rsid w:val="03761169"/>
    <w:rsid w:val="03770FAA"/>
    <w:rsid w:val="03780BD6"/>
    <w:rsid w:val="039261BA"/>
    <w:rsid w:val="0399335B"/>
    <w:rsid w:val="039F6658"/>
    <w:rsid w:val="03A1062D"/>
    <w:rsid w:val="03AA4C9A"/>
    <w:rsid w:val="03B25307"/>
    <w:rsid w:val="03C23BAF"/>
    <w:rsid w:val="03C30D13"/>
    <w:rsid w:val="03C40ABE"/>
    <w:rsid w:val="03D3535E"/>
    <w:rsid w:val="03D50437"/>
    <w:rsid w:val="03D60077"/>
    <w:rsid w:val="03D942A6"/>
    <w:rsid w:val="03E3449B"/>
    <w:rsid w:val="03ED7A5F"/>
    <w:rsid w:val="03F050BD"/>
    <w:rsid w:val="03F22B46"/>
    <w:rsid w:val="03F33A48"/>
    <w:rsid w:val="03F7077E"/>
    <w:rsid w:val="03FB00F1"/>
    <w:rsid w:val="03FD5B02"/>
    <w:rsid w:val="03FF78BC"/>
    <w:rsid w:val="04031007"/>
    <w:rsid w:val="04031AEE"/>
    <w:rsid w:val="04053316"/>
    <w:rsid w:val="040A2EB9"/>
    <w:rsid w:val="041E23EC"/>
    <w:rsid w:val="04200D5F"/>
    <w:rsid w:val="04213047"/>
    <w:rsid w:val="04232E7B"/>
    <w:rsid w:val="04237D4F"/>
    <w:rsid w:val="042D2739"/>
    <w:rsid w:val="042E0EC7"/>
    <w:rsid w:val="0431295A"/>
    <w:rsid w:val="04331E2A"/>
    <w:rsid w:val="043C7F61"/>
    <w:rsid w:val="04444056"/>
    <w:rsid w:val="04486833"/>
    <w:rsid w:val="044D771D"/>
    <w:rsid w:val="044F225E"/>
    <w:rsid w:val="0453127A"/>
    <w:rsid w:val="04532E9E"/>
    <w:rsid w:val="045800BE"/>
    <w:rsid w:val="04584CB7"/>
    <w:rsid w:val="045C025A"/>
    <w:rsid w:val="04652152"/>
    <w:rsid w:val="04663310"/>
    <w:rsid w:val="04671AF4"/>
    <w:rsid w:val="0467789F"/>
    <w:rsid w:val="04683FDD"/>
    <w:rsid w:val="046D5C58"/>
    <w:rsid w:val="046F52E9"/>
    <w:rsid w:val="04713B41"/>
    <w:rsid w:val="047212F9"/>
    <w:rsid w:val="047B1E84"/>
    <w:rsid w:val="047E0822"/>
    <w:rsid w:val="04802939"/>
    <w:rsid w:val="04841778"/>
    <w:rsid w:val="04892F7A"/>
    <w:rsid w:val="04926F8F"/>
    <w:rsid w:val="049C59A1"/>
    <w:rsid w:val="049F46AC"/>
    <w:rsid w:val="04A111B3"/>
    <w:rsid w:val="04B830C1"/>
    <w:rsid w:val="04BC54CF"/>
    <w:rsid w:val="04C70C4C"/>
    <w:rsid w:val="04C756B4"/>
    <w:rsid w:val="04C81FF0"/>
    <w:rsid w:val="04CC53B1"/>
    <w:rsid w:val="04D34B26"/>
    <w:rsid w:val="04D56A9B"/>
    <w:rsid w:val="04D74681"/>
    <w:rsid w:val="04DE5CC1"/>
    <w:rsid w:val="04E027CC"/>
    <w:rsid w:val="04E43DBE"/>
    <w:rsid w:val="04F51041"/>
    <w:rsid w:val="04FB1D50"/>
    <w:rsid w:val="04FB6CA5"/>
    <w:rsid w:val="04FD3B9E"/>
    <w:rsid w:val="04FF4175"/>
    <w:rsid w:val="05091CD0"/>
    <w:rsid w:val="05204AF2"/>
    <w:rsid w:val="05232BB3"/>
    <w:rsid w:val="05291A4F"/>
    <w:rsid w:val="052A62FE"/>
    <w:rsid w:val="0534658F"/>
    <w:rsid w:val="05373A82"/>
    <w:rsid w:val="053C2598"/>
    <w:rsid w:val="05416966"/>
    <w:rsid w:val="054A2BA3"/>
    <w:rsid w:val="05533444"/>
    <w:rsid w:val="055C36F3"/>
    <w:rsid w:val="056D77F4"/>
    <w:rsid w:val="056E36D8"/>
    <w:rsid w:val="05763C17"/>
    <w:rsid w:val="057C1154"/>
    <w:rsid w:val="05845294"/>
    <w:rsid w:val="0586026D"/>
    <w:rsid w:val="0591675E"/>
    <w:rsid w:val="059A3579"/>
    <w:rsid w:val="05A74ED3"/>
    <w:rsid w:val="05AA6ECF"/>
    <w:rsid w:val="05AE2116"/>
    <w:rsid w:val="05B55267"/>
    <w:rsid w:val="05C14E93"/>
    <w:rsid w:val="05C47331"/>
    <w:rsid w:val="05D51C25"/>
    <w:rsid w:val="05D65E1E"/>
    <w:rsid w:val="05DD280F"/>
    <w:rsid w:val="05E67F5F"/>
    <w:rsid w:val="05EE7A21"/>
    <w:rsid w:val="05F54774"/>
    <w:rsid w:val="05F74FD6"/>
    <w:rsid w:val="05FA4E29"/>
    <w:rsid w:val="06015BFD"/>
    <w:rsid w:val="060516BF"/>
    <w:rsid w:val="060D7A54"/>
    <w:rsid w:val="06205349"/>
    <w:rsid w:val="06274A2C"/>
    <w:rsid w:val="062B4BFA"/>
    <w:rsid w:val="062E1A31"/>
    <w:rsid w:val="06322E81"/>
    <w:rsid w:val="06341AEA"/>
    <w:rsid w:val="063D7723"/>
    <w:rsid w:val="063E5B1C"/>
    <w:rsid w:val="064411DA"/>
    <w:rsid w:val="0644691C"/>
    <w:rsid w:val="06473E71"/>
    <w:rsid w:val="064C13DA"/>
    <w:rsid w:val="064E2053"/>
    <w:rsid w:val="064E6F75"/>
    <w:rsid w:val="065B2732"/>
    <w:rsid w:val="06607022"/>
    <w:rsid w:val="06621D45"/>
    <w:rsid w:val="06640B64"/>
    <w:rsid w:val="06657762"/>
    <w:rsid w:val="06681512"/>
    <w:rsid w:val="066D09E8"/>
    <w:rsid w:val="066D20E0"/>
    <w:rsid w:val="067418DA"/>
    <w:rsid w:val="06756DF3"/>
    <w:rsid w:val="06791870"/>
    <w:rsid w:val="067A10A3"/>
    <w:rsid w:val="0680083C"/>
    <w:rsid w:val="068B4BC1"/>
    <w:rsid w:val="068E17EB"/>
    <w:rsid w:val="068E4102"/>
    <w:rsid w:val="069B7D6F"/>
    <w:rsid w:val="06AB7088"/>
    <w:rsid w:val="06AF398F"/>
    <w:rsid w:val="06B1202E"/>
    <w:rsid w:val="06C14990"/>
    <w:rsid w:val="06C255FB"/>
    <w:rsid w:val="06C27DB7"/>
    <w:rsid w:val="06C466BB"/>
    <w:rsid w:val="06CC4655"/>
    <w:rsid w:val="06CF005C"/>
    <w:rsid w:val="06D2689F"/>
    <w:rsid w:val="06DC4238"/>
    <w:rsid w:val="06DE266F"/>
    <w:rsid w:val="06E16933"/>
    <w:rsid w:val="06E554EF"/>
    <w:rsid w:val="06E63574"/>
    <w:rsid w:val="06E66FD9"/>
    <w:rsid w:val="06E91B3A"/>
    <w:rsid w:val="06E95FFC"/>
    <w:rsid w:val="06F23D1E"/>
    <w:rsid w:val="06FF392B"/>
    <w:rsid w:val="07057562"/>
    <w:rsid w:val="07065AD5"/>
    <w:rsid w:val="070B2EDA"/>
    <w:rsid w:val="070D1E13"/>
    <w:rsid w:val="070F00B4"/>
    <w:rsid w:val="071119D0"/>
    <w:rsid w:val="07144A09"/>
    <w:rsid w:val="071778D3"/>
    <w:rsid w:val="072209DC"/>
    <w:rsid w:val="07282D9A"/>
    <w:rsid w:val="072A238A"/>
    <w:rsid w:val="072F4D58"/>
    <w:rsid w:val="073561EB"/>
    <w:rsid w:val="07392BD0"/>
    <w:rsid w:val="073B634E"/>
    <w:rsid w:val="073C2D1E"/>
    <w:rsid w:val="07476F00"/>
    <w:rsid w:val="074B7BE8"/>
    <w:rsid w:val="074C58DC"/>
    <w:rsid w:val="075615A8"/>
    <w:rsid w:val="07572B35"/>
    <w:rsid w:val="075F0056"/>
    <w:rsid w:val="07601DA2"/>
    <w:rsid w:val="07641D0D"/>
    <w:rsid w:val="07662674"/>
    <w:rsid w:val="0767483A"/>
    <w:rsid w:val="076B78D7"/>
    <w:rsid w:val="07796593"/>
    <w:rsid w:val="07821D74"/>
    <w:rsid w:val="078A55D3"/>
    <w:rsid w:val="078B4AA2"/>
    <w:rsid w:val="078C436E"/>
    <w:rsid w:val="07997645"/>
    <w:rsid w:val="079E1EE3"/>
    <w:rsid w:val="07A31B05"/>
    <w:rsid w:val="07B70EEF"/>
    <w:rsid w:val="07BC1F7E"/>
    <w:rsid w:val="07C36603"/>
    <w:rsid w:val="07C40FCD"/>
    <w:rsid w:val="07C621AC"/>
    <w:rsid w:val="07C65804"/>
    <w:rsid w:val="07CF1AD1"/>
    <w:rsid w:val="07D7335A"/>
    <w:rsid w:val="07D879E1"/>
    <w:rsid w:val="07E0507A"/>
    <w:rsid w:val="07E72C90"/>
    <w:rsid w:val="07E761B7"/>
    <w:rsid w:val="07EC46E7"/>
    <w:rsid w:val="0808738E"/>
    <w:rsid w:val="080E6C62"/>
    <w:rsid w:val="080F372F"/>
    <w:rsid w:val="081A6BAD"/>
    <w:rsid w:val="08273974"/>
    <w:rsid w:val="082A73B9"/>
    <w:rsid w:val="082F56F4"/>
    <w:rsid w:val="082F787D"/>
    <w:rsid w:val="08372ED5"/>
    <w:rsid w:val="08395E4B"/>
    <w:rsid w:val="08400F85"/>
    <w:rsid w:val="08472010"/>
    <w:rsid w:val="084D1037"/>
    <w:rsid w:val="085049F9"/>
    <w:rsid w:val="08512C09"/>
    <w:rsid w:val="085170BD"/>
    <w:rsid w:val="08541F2D"/>
    <w:rsid w:val="086379DD"/>
    <w:rsid w:val="08701848"/>
    <w:rsid w:val="08705D89"/>
    <w:rsid w:val="08744098"/>
    <w:rsid w:val="087729D7"/>
    <w:rsid w:val="08795873"/>
    <w:rsid w:val="08872D9E"/>
    <w:rsid w:val="08876620"/>
    <w:rsid w:val="08885FE3"/>
    <w:rsid w:val="088F09A7"/>
    <w:rsid w:val="08903BD8"/>
    <w:rsid w:val="0896544A"/>
    <w:rsid w:val="08972CCF"/>
    <w:rsid w:val="089C3924"/>
    <w:rsid w:val="089F19BB"/>
    <w:rsid w:val="08A1451C"/>
    <w:rsid w:val="08A23037"/>
    <w:rsid w:val="08A4283A"/>
    <w:rsid w:val="08AC6D8D"/>
    <w:rsid w:val="08B0513C"/>
    <w:rsid w:val="08BE07C4"/>
    <w:rsid w:val="08C0336E"/>
    <w:rsid w:val="08C11B37"/>
    <w:rsid w:val="08C203AB"/>
    <w:rsid w:val="08C747D4"/>
    <w:rsid w:val="08CA18EB"/>
    <w:rsid w:val="08CC26EA"/>
    <w:rsid w:val="08CC365A"/>
    <w:rsid w:val="08D15D62"/>
    <w:rsid w:val="08D305D4"/>
    <w:rsid w:val="08D539E3"/>
    <w:rsid w:val="08DB73B0"/>
    <w:rsid w:val="08DE1C47"/>
    <w:rsid w:val="08E720D9"/>
    <w:rsid w:val="08E86909"/>
    <w:rsid w:val="08EC3487"/>
    <w:rsid w:val="08EC63BA"/>
    <w:rsid w:val="08EE6DAF"/>
    <w:rsid w:val="08F93267"/>
    <w:rsid w:val="08FD0364"/>
    <w:rsid w:val="08FD58BD"/>
    <w:rsid w:val="08FF075B"/>
    <w:rsid w:val="08FF50B6"/>
    <w:rsid w:val="090C6E58"/>
    <w:rsid w:val="090F7AAC"/>
    <w:rsid w:val="09102109"/>
    <w:rsid w:val="09103516"/>
    <w:rsid w:val="09117007"/>
    <w:rsid w:val="09143183"/>
    <w:rsid w:val="091D71CF"/>
    <w:rsid w:val="0920075C"/>
    <w:rsid w:val="09203EE5"/>
    <w:rsid w:val="09341893"/>
    <w:rsid w:val="093B5F9E"/>
    <w:rsid w:val="094477B4"/>
    <w:rsid w:val="09474FBC"/>
    <w:rsid w:val="09482F14"/>
    <w:rsid w:val="094D4667"/>
    <w:rsid w:val="0953752F"/>
    <w:rsid w:val="09582B36"/>
    <w:rsid w:val="09622569"/>
    <w:rsid w:val="096B0AA9"/>
    <w:rsid w:val="096B20A4"/>
    <w:rsid w:val="09837C82"/>
    <w:rsid w:val="098E57E7"/>
    <w:rsid w:val="09900B66"/>
    <w:rsid w:val="09994596"/>
    <w:rsid w:val="099B0E28"/>
    <w:rsid w:val="09AF0A75"/>
    <w:rsid w:val="09B024F6"/>
    <w:rsid w:val="09B927C7"/>
    <w:rsid w:val="09CB591E"/>
    <w:rsid w:val="09CC3BAD"/>
    <w:rsid w:val="09CC461B"/>
    <w:rsid w:val="09D12789"/>
    <w:rsid w:val="09E05714"/>
    <w:rsid w:val="09E244D3"/>
    <w:rsid w:val="09E44204"/>
    <w:rsid w:val="09E55530"/>
    <w:rsid w:val="09EE22B5"/>
    <w:rsid w:val="09EF6217"/>
    <w:rsid w:val="09F410FD"/>
    <w:rsid w:val="09F568C1"/>
    <w:rsid w:val="0A031C30"/>
    <w:rsid w:val="0A0E02AF"/>
    <w:rsid w:val="0A0F0F43"/>
    <w:rsid w:val="0A141092"/>
    <w:rsid w:val="0A18215B"/>
    <w:rsid w:val="0A197DF4"/>
    <w:rsid w:val="0A1C206E"/>
    <w:rsid w:val="0A1F3AFB"/>
    <w:rsid w:val="0A247DB4"/>
    <w:rsid w:val="0A2763EA"/>
    <w:rsid w:val="0A3D4730"/>
    <w:rsid w:val="0A406793"/>
    <w:rsid w:val="0A4F2112"/>
    <w:rsid w:val="0A562EAD"/>
    <w:rsid w:val="0A5839AB"/>
    <w:rsid w:val="0A5F1943"/>
    <w:rsid w:val="0A633055"/>
    <w:rsid w:val="0A765489"/>
    <w:rsid w:val="0A81733B"/>
    <w:rsid w:val="0A88671B"/>
    <w:rsid w:val="0A8C7940"/>
    <w:rsid w:val="0A941E7B"/>
    <w:rsid w:val="0A9E49D0"/>
    <w:rsid w:val="0ABF45E0"/>
    <w:rsid w:val="0AC2238D"/>
    <w:rsid w:val="0AC55D93"/>
    <w:rsid w:val="0AD029E3"/>
    <w:rsid w:val="0AD20D78"/>
    <w:rsid w:val="0AD30562"/>
    <w:rsid w:val="0AD95FEE"/>
    <w:rsid w:val="0AEB1D55"/>
    <w:rsid w:val="0AEC273E"/>
    <w:rsid w:val="0AED1A7F"/>
    <w:rsid w:val="0AEF28BE"/>
    <w:rsid w:val="0AF237D0"/>
    <w:rsid w:val="0AFB7D33"/>
    <w:rsid w:val="0AFC62D2"/>
    <w:rsid w:val="0AFC7C75"/>
    <w:rsid w:val="0AFD2BCB"/>
    <w:rsid w:val="0B030A0E"/>
    <w:rsid w:val="0B0A3DFD"/>
    <w:rsid w:val="0B165FCB"/>
    <w:rsid w:val="0B180ECD"/>
    <w:rsid w:val="0B1C1A41"/>
    <w:rsid w:val="0B27068D"/>
    <w:rsid w:val="0B27778B"/>
    <w:rsid w:val="0B373A25"/>
    <w:rsid w:val="0B3839BB"/>
    <w:rsid w:val="0B3B4B4B"/>
    <w:rsid w:val="0B490628"/>
    <w:rsid w:val="0B4D084E"/>
    <w:rsid w:val="0B5001FD"/>
    <w:rsid w:val="0B52083E"/>
    <w:rsid w:val="0B52682D"/>
    <w:rsid w:val="0B5D62E7"/>
    <w:rsid w:val="0B5E6C1B"/>
    <w:rsid w:val="0B6F3C3D"/>
    <w:rsid w:val="0B781E3E"/>
    <w:rsid w:val="0B787300"/>
    <w:rsid w:val="0B7C78A1"/>
    <w:rsid w:val="0B8A2E8C"/>
    <w:rsid w:val="0B8D31DB"/>
    <w:rsid w:val="0B94665C"/>
    <w:rsid w:val="0B9B3CCE"/>
    <w:rsid w:val="0B9D46C6"/>
    <w:rsid w:val="0BA26BC5"/>
    <w:rsid w:val="0BA527D4"/>
    <w:rsid w:val="0BA62356"/>
    <w:rsid w:val="0BA81572"/>
    <w:rsid w:val="0BAC7AD9"/>
    <w:rsid w:val="0BAE5439"/>
    <w:rsid w:val="0BBC1588"/>
    <w:rsid w:val="0BBC6AE2"/>
    <w:rsid w:val="0BCC2203"/>
    <w:rsid w:val="0BCF0D6E"/>
    <w:rsid w:val="0BD85517"/>
    <w:rsid w:val="0BDB7F83"/>
    <w:rsid w:val="0BDD0790"/>
    <w:rsid w:val="0BDD4638"/>
    <w:rsid w:val="0BE87530"/>
    <w:rsid w:val="0BF012E6"/>
    <w:rsid w:val="0BF05CF9"/>
    <w:rsid w:val="0BF4355E"/>
    <w:rsid w:val="0BF5093F"/>
    <w:rsid w:val="0BF740B1"/>
    <w:rsid w:val="0C005F9F"/>
    <w:rsid w:val="0C095932"/>
    <w:rsid w:val="0C0A1605"/>
    <w:rsid w:val="0C0A2C10"/>
    <w:rsid w:val="0C0D7E74"/>
    <w:rsid w:val="0C0E3CFD"/>
    <w:rsid w:val="0C154760"/>
    <w:rsid w:val="0C156ACE"/>
    <w:rsid w:val="0C166DCE"/>
    <w:rsid w:val="0C1715EB"/>
    <w:rsid w:val="0C2474B4"/>
    <w:rsid w:val="0C281D81"/>
    <w:rsid w:val="0C283CA3"/>
    <w:rsid w:val="0C3628E9"/>
    <w:rsid w:val="0C372E4D"/>
    <w:rsid w:val="0C3D3005"/>
    <w:rsid w:val="0C403EFC"/>
    <w:rsid w:val="0C41087A"/>
    <w:rsid w:val="0C5815BD"/>
    <w:rsid w:val="0C593A85"/>
    <w:rsid w:val="0C617D18"/>
    <w:rsid w:val="0C653220"/>
    <w:rsid w:val="0C6658D4"/>
    <w:rsid w:val="0C695D30"/>
    <w:rsid w:val="0C6F3B75"/>
    <w:rsid w:val="0C833C3C"/>
    <w:rsid w:val="0C866B45"/>
    <w:rsid w:val="0C8C56BB"/>
    <w:rsid w:val="0C9A6A4C"/>
    <w:rsid w:val="0C9F74EE"/>
    <w:rsid w:val="0CA23648"/>
    <w:rsid w:val="0CA53F3A"/>
    <w:rsid w:val="0CA87886"/>
    <w:rsid w:val="0CAF57CC"/>
    <w:rsid w:val="0CB0086B"/>
    <w:rsid w:val="0CB72517"/>
    <w:rsid w:val="0CC06DC6"/>
    <w:rsid w:val="0CC12374"/>
    <w:rsid w:val="0CC37006"/>
    <w:rsid w:val="0CC5099D"/>
    <w:rsid w:val="0CC5486C"/>
    <w:rsid w:val="0CD057B3"/>
    <w:rsid w:val="0CDC30C8"/>
    <w:rsid w:val="0CE94F94"/>
    <w:rsid w:val="0CED067B"/>
    <w:rsid w:val="0CF73B8F"/>
    <w:rsid w:val="0CFC6488"/>
    <w:rsid w:val="0D0D7437"/>
    <w:rsid w:val="0D1158BC"/>
    <w:rsid w:val="0D1D5BF4"/>
    <w:rsid w:val="0D1E59D9"/>
    <w:rsid w:val="0D216FAC"/>
    <w:rsid w:val="0D237F04"/>
    <w:rsid w:val="0D2474FB"/>
    <w:rsid w:val="0D270F1D"/>
    <w:rsid w:val="0D2B109F"/>
    <w:rsid w:val="0D2E7CDA"/>
    <w:rsid w:val="0D30538D"/>
    <w:rsid w:val="0D344BC9"/>
    <w:rsid w:val="0D440162"/>
    <w:rsid w:val="0D4A61F6"/>
    <w:rsid w:val="0D5A3280"/>
    <w:rsid w:val="0D5A4C9D"/>
    <w:rsid w:val="0D5E127F"/>
    <w:rsid w:val="0D6147B8"/>
    <w:rsid w:val="0D636535"/>
    <w:rsid w:val="0D6C0EAE"/>
    <w:rsid w:val="0D6E0969"/>
    <w:rsid w:val="0D741C11"/>
    <w:rsid w:val="0D742AA6"/>
    <w:rsid w:val="0D755F31"/>
    <w:rsid w:val="0D775043"/>
    <w:rsid w:val="0D790005"/>
    <w:rsid w:val="0D793F75"/>
    <w:rsid w:val="0D7F0B9C"/>
    <w:rsid w:val="0D8243B7"/>
    <w:rsid w:val="0D8323B8"/>
    <w:rsid w:val="0D895568"/>
    <w:rsid w:val="0D8D3FD0"/>
    <w:rsid w:val="0D9174C8"/>
    <w:rsid w:val="0D947DEF"/>
    <w:rsid w:val="0D962F70"/>
    <w:rsid w:val="0D977123"/>
    <w:rsid w:val="0D9960F6"/>
    <w:rsid w:val="0D9B3836"/>
    <w:rsid w:val="0D9D017D"/>
    <w:rsid w:val="0DA02ADC"/>
    <w:rsid w:val="0DA15BB8"/>
    <w:rsid w:val="0DB87064"/>
    <w:rsid w:val="0DBC1C2A"/>
    <w:rsid w:val="0DC220C6"/>
    <w:rsid w:val="0DC952C4"/>
    <w:rsid w:val="0DD1316E"/>
    <w:rsid w:val="0DD37D4F"/>
    <w:rsid w:val="0DD4573A"/>
    <w:rsid w:val="0DDE2D32"/>
    <w:rsid w:val="0DDF0C55"/>
    <w:rsid w:val="0DEF7094"/>
    <w:rsid w:val="0DF01807"/>
    <w:rsid w:val="0DF10AAF"/>
    <w:rsid w:val="0DFB590C"/>
    <w:rsid w:val="0E0D7FD1"/>
    <w:rsid w:val="0E105F97"/>
    <w:rsid w:val="0E195920"/>
    <w:rsid w:val="0E1B160F"/>
    <w:rsid w:val="0E1D4C94"/>
    <w:rsid w:val="0E1E0143"/>
    <w:rsid w:val="0E1E01D2"/>
    <w:rsid w:val="0E237ECF"/>
    <w:rsid w:val="0E2C57A6"/>
    <w:rsid w:val="0E315CB6"/>
    <w:rsid w:val="0E3B4AAC"/>
    <w:rsid w:val="0E3D45E7"/>
    <w:rsid w:val="0E3D63C6"/>
    <w:rsid w:val="0E444E25"/>
    <w:rsid w:val="0E4528EE"/>
    <w:rsid w:val="0E463F6A"/>
    <w:rsid w:val="0E4E095A"/>
    <w:rsid w:val="0E533A22"/>
    <w:rsid w:val="0E5400D2"/>
    <w:rsid w:val="0E5D50FC"/>
    <w:rsid w:val="0E5E0B3E"/>
    <w:rsid w:val="0E6B2F67"/>
    <w:rsid w:val="0E6C2D82"/>
    <w:rsid w:val="0E6D4448"/>
    <w:rsid w:val="0E767DF8"/>
    <w:rsid w:val="0E8D2FCC"/>
    <w:rsid w:val="0E902B4B"/>
    <w:rsid w:val="0E9944EA"/>
    <w:rsid w:val="0E9E7DA9"/>
    <w:rsid w:val="0EA40702"/>
    <w:rsid w:val="0EA9127C"/>
    <w:rsid w:val="0EB11864"/>
    <w:rsid w:val="0EB331E4"/>
    <w:rsid w:val="0EB5186D"/>
    <w:rsid w:val="0EB968BD"/>
    <w:rsid w:val="0EBC0876"/>
    <w:rsid w:val="0EBC1880"/>
    <w:rsid w:val="0EBC72A0"/>
    <w:rsid w:val="0ECF6E99"/>
    <w:rsid w:val="0ED36EE4"/>
    <w:rsid w:val="0ED45063"/>
    <w:rsid w:val="0ED57EB9"/>
    <w:rsid w:val="0ED923CE"/>
    <w:rsid w:val="0EE95301"/>
    <w:rsid w:val="0EED64E5"/>
    <w:rsid w:val="0F060E4D"/>
    <w:rsid w:val="0F090320"/>
    <w:rsid w:val="0F155C7F"/>
    <w:rsid w:val="0F1F7A81"/>
    <w:rsid w:val="0F23174E"/>
    <w:rsid w:val="0F237959"/>
    <w:rsid w:val="0F261433"/>
    <w:rsid w:val="0F3B168C"/>
    <w:rsid w:val="0F3E4FBF"/>
    <w:rsid w:val="0F3F2856"/>
    <w:rsid w:val="0F4449CF"/>
    <w:rsid w:val="0F4527B9"/>
    <w:rsid w:val="0F456F43"/>
    <w:rsid w:val="0F4F7F5C"/>
    <w:rsid w:val="0F523FEC"/>
    <w:rsid w:val="0F552295"/>
    <w:rsid w:val="0F555D3E"/>
    <w:rsid w:val="0F5D5585"/>
    <w:rsid w:val="0F60088C"/>
    <w:rsid w:val="0F6A6084"/>
    <w:rsid w:val="0F7331B1"/>
    <w:rsid w:val="0F7D24A1"/>
    <w:rsid w:val="0F830CF9"/>
    <w:rsid w:val="0F845AA7"/>
    <w:rsid w:val="0F8807D3"/>
    <w:rsid w:val="0F8E5A77"/>
    <w:rsid w:val="0F9170A3"/>
    <w:rsid w:val="0F954A4C"/>
    <w:rsid w:val="0F985025"/>
    <w:rsid w:val="0F9B2701"/>
    <w:rsid w:val="0F9F38A1"/>
    <w:rsid w:val="0FA16B4B"/>
    <w:rsid w:val="0FA355C9"/>
    <w:rsid w:val="0FA715B7"/>
    <w:rsid w:val="0FAA2BE2"/>
    <w:rsid w:val="0FAB0735"/>
    <w:rsid w:val="0FAB73CF"/>
    <w:rsid w:val="0FB02E75"/>
    <w:rsid w:val="0FB23455"/>
    <w:rsid w:val="0FB4731B"/>
    <w:rsid w:val="0FB51BC9"/>
    <w:rsid w:val="0FBA136E"/>
    <w:rsid w:val="0FBD3F9D"/>
    <w:rsid w:val="0FC44457"/>
    <w:rsid w:val="0FC63A81"/>
    <w:rsid w:val="0FC67596"/>
    <w:rsid w:val="0FD23538"/>
    <w:rsid w:val="0FD62A5C"/>
    <w:rsid w:val="0FDE415A"/>
    <w:rsid w:val="0FDF7159"/>
    <w:rsid w:val="0FE01B4D"/>
    <w:rsid w:val="0FE07CE6"/>
    <w:rsid w:val="0FE866A2"/>
    <w:rsid w:val="0FEA7956"/>
    <w:rsid w:val="0FEC20DB"/>
    <w:rsid w:val="0FF2619D"/>
    <w:rsid w:val="0FFC3732"/>
    <w:rsid w:val="0FFF2DDE"/>
    <w:rsid w:val="10002E78"/>
    <w:rsid w:val="10047624"/>
    <w:rsid w:val="100651AB"/>
    <w:rsid w:val="100814AF"/>
    <w:rsid w:val="100A088B"/>
    <w:rsid w:val="1014463D"/>
    <w:rsid w:val="101E557F"/>
    <w:rsid w:val="102029E7"/>
    <w:rsid w:val="10220902"/>
    <w:rsid w:val="10270B22"/>
    <w:rsid w:val="102915EA"/>
    <w:rsid w:val="1029414C"/>
    <w:rsid w:val="1030329B"/>
    <w:rsid w:val="103A1359"/>
    <w:rsid w:val="104501C9"/>
    <w:rsid w:val="10451A6F"/>
    <w:rsid w:val="10464329"/>
    <w:rsid w:val="10505F47"/>
    <w:rsid w:val="105A0ABD"/>
    <w:rsid w:val="105E4D49"/>
    <w:rsid w:val="1074076A"/>
    <w:rsid w:val="107921C2"/>
    <w:rsid w:val="107E07FE"/>
    <w:rsid w:val="10804B06"/>
    <w:rsid w:val="108423F9"/>
    <w:rsid w:val="10862442"/>
    <w:rsid w:val="10897B59"/>
    <w:rsid w:val="108B5C75"/>
    <w:rsid w:val="10927871"/>
    <w:rsid w:val="109A0EBC"/>
    <w:rsid w:val="109B2457"/>
    <w:rsid w:val="10A3168C"/>
    <w:rsid w:val="10A86948"/>
    <w:rsid w:val="10B64B5C"/>
    <w:rsid w:val="10BD4B6E"/>
    <w:rsid w:val="10C11C16"/>
    <w:rsid w:val="10C40F70"/>
    <w:rsid w:val="10C627F7"/>
    <w:rsid w:val="10CB02A5"/>
    <w:rsid w:val="10D11D52"/>
    <w:rsid w:val="10D50942"/>
    <w:rsid w:val="10D8733A"/>
    <w:rsid w:val="10E00E64"/>
    <w:rsid w:val="10E5251C"/>
    <w:rsid w:val="10E55858"/>
    <w:rsid w:val="10E8122E"/>
    <w:rsid w:val="10F16B8E"/>
    <w:rsid w:val="10F371A5"/>
    <w:rsid w:val="10FC1D47"/>
    <w:rsid w:val="10FD57A5"/>
    <w:rsid w:val="11002024"/>
    <w:rsid w:val="1101215E"/>
    <w:rsid w:val="11051170"/>
    <w:rsid w:val="1107086A"/>
    <w:rsid w:val="110944F8"/>
    <w:rsid w:val="111D7A3C"/>
    <w:rsid w:val="112673D2"/>
    <w:rsid w:val="11272A81"/>
    <w:rsid w:val="11343C71"/>
    <w:rsid w:val="1135344F"/>
    <w:rsid w:val="113B7B50"/>
    <w:rsid w:val="113F2FF0"/>
    <w:rsid w:val="1140061F"/>
    <w:rsid w:val="11405189"/>
    <w:rsid w:val="11494402"/>
    <w:rsid w:val="114F2F0F"/>
    <w:rsid w:val="114F3B5D"/>
    <w:rsid w:val="11511756"/>
    <w:rsid w:val="11513703"/>
    <w:rsid w:val="1166278E"/>
    <w:rsid w:val="116D186E"/>
    <w:rsid w:val="116D53E1"/>
    <w:rsid w:val="1170715C"/>
    <w:rsid w:val="11763534"/>
    <w:rsid w:val="118050B1"/>
    <w:rsid w:val="118151C6"/>
    <w:rsid w:val="118260EC"/>
    <w:rsid w:val="11835203"/>
    <w:rsid w:val="119C20C5"/>
    <w:rsid w:val="119C7740"/>
    <w:rsid w:val="11A3453B"/>
    <w:rsid w:val="11AD53AD"/>
    <w:rsid w:val="11B102ED"/>
    <w:rsid w:val="11B13A44"/>
    <w:rsid w:val="11B64B9D"/>
    <w:rsid w:val="11B9527B"/>
    <w:rsid w:val="11C34C5A"/>
    <w:rsid w:val="11C36C64"/>
    <w:rsid w:val="11C62A54"/>
    <w:rsid w:val="11CF686B"/>
    <w:rsid w:val="11D7281B"/>
    <w:rsid w:val="11D93657"/>
    <w:rsid w:val="11D939FA"/>
    <w:rsid w:val="11DE1C3D"/>
    <w:rsid w:val="11E62926"/>
    <w:rsid w:val="11E7019B"/>
    <w:rsid w:val="11FC27FE"/>
    <w:rsid w:val="12041F1C"/>
    <w:rsid w:val="1206148B"/>
    <w:rsid w:val="120B15F0"/>
    <w:rsid w:val="120C2B34"/>
    <w:rsid w:val="120D483D"/>
    <w:rsid w:val="120E3000"/>
    <w:rsid w:val="121D2DB8"/>
    <w:rsid w:val="121F121F"/>
    <w:rsid w:val="122968CD"/>
    <w:rsid w:val="122D65F7"/>
    <w:rsid w:val="12312740"/>
    <w:rsid w:val="12375EE5"/>
    <w:rsid w:val="12445BA6"/>
    <w:rsid w:val="12515369"/>
    <w:rsid w:val="125255DD"/>
    <w:rsid w:val="126A70F2"/>
    <w:rsid w:val="126F5ED9"/>
    <w:rsid w:val="127F673F"/>
    <w:rsid w:val="12913FB2"/>
    <w:rsid w:val="129226C4"/>
    <w:rsid w:val="129455AD"/>
    <w:rsid w:val="12970BC5"/>
    <w:rsid w:val="1299328B"/>
    <w:rsid w:val="12A04B9A"/>
    <w:rsid w:val="12A25B5F"/>
    <w:rsid w:val="12A30DA6"/>
    <w:rsid w:val="12C23A7C"/>
    <w:rsid w:val="12D32824"/>
    <w:rsid w:val="12D37006"/>
    <w:rsid w:val="12D919C1"/>
    <w:rsid w:val="12DB7608"/>
    <w:rsid w:val="12E94BA8"/>
    <w:rsid w:val="12F0221C"/>
    <w:rsid w:val="12F16671"/>
    <w:rsid w:val="12F55F70"/>
    <w:rsid w:val="13053401"/>
    <w:rsid w:val="130A3353"/>
    <w:rsid w:val="13127492"/>
    <w:rsid w:val="1315369C"/>
    <w:rsid w:val="131B0C66"/>
    <w:rsid w:val="13241623"/>
    <w:rsid w:val="1325634E"/>
    <w:rsid w:val="132B0100"/>
    <w:rsid w:val="132B7B61"/>
    <w:rsid w:val="133238A4"/>
    <w:rsid w:val="13380869"/>
    <w:rsid w:val="13434508"/>
    <w:rsid w:val="135E60A9"/>
    <w:rsid w:val="13755EB2"/>
    <w:rsid w:val="138416FB"/>
    <w:rsid w:val="13877DCB"/>
    <w:rsid w:val="13887B1A"/>
    <w:rsid w:val="13895A4A"/>
    <w:rsid w:val="13920730"/>
    <w:rsid w:val="13961258"/>
    <w:rsid w:val="139617FD"/>
    <w:rsid w:val="139E1193"/>
    <w:rsid w:val="139F2E5E"/>
    <w:rsid w:val="13A35911"/>
    <w:rsid w:val="13A47BFE"/>
    <w:rsid w:val="13AE3CCB"/>
    <w:rsid w:val="13B5648C"/>
    <w:rsid w:val="13B575D2"/>
    <w:rsid w:val="13B773EB"/>
    <w:rsid w:val="13C16519"/>
    <w:rsid w:val="13C4002F"/>
    <w:rsid w:val="13DE4977"/>
    <w:rsid w:val="13E438BD"/>
    <w:rsid w:val="13E67824"/>
    <w:rsid w:val="13E73A66"/>
    <w:rsid w:val="13E80120"/>
    <w:rsid w:val="13ED6898"/>
    <w:rsid w:val="13F4552C"/>
    <w:rsid w:val="13F475FD"/>
    <w:rsid w:val="13F75382"/>
    <w:rsid w:val="13FB4175"/>
    <w:rsid w:val="13FB4242"/>
    <w:rsid w:val="1408504F"/>
    <w:rsid w:val="140D2E0C"/>
    <w:rsid w:val="14166484"/>
    <w:rsid w:val="14197E9B"/>
    <w:rsid w:val="141A7296"/>
    <w:rsid w:val="14242A9B"/>
    <w:rsid w:val="14291507"/>
    <w:rsid w:val="14293FDD"/>
    <w:rsid w:val="142B3026"/>
    <w:rsid w:val="142C4E25"/>
    <w:rsid w:val="14335E33"/>
    <w:rsid w:val="14337B18"/>
    <w:rsid w:val="14373AD4"/>
    <w:rsid w:val="14426A68"/>
    <w:rsid w:val="144A10F1"/>
    <w:rsid w:val="145D7218"/>
    <w:rsid w:val="146114A0"/>
    <w:rsid w:val="14663754"/>
    <w:rsid w:val="146863CA"/>
    <w:rsid w:val="14701BEF"/>
    <w:rsid w:val="1470604A"/>
    <w:rsid w:val="147711E1"/>
    <w:rsid w:val="147D3633"/>
    <w:rsid w:val="147E33C2"/>
    <w:rsid w:val="148356A5"/>
    <w:rsid w:val="14857BC8"/>
    <w:rsid w:val="148979C6"/>
    <w:rsid w:val="148A09EC"/>
    <w:rsid w:val="148C6F55"/>
    <w:rsid w:val="14921567"/>
    <w:rsid w:val="149228AB"/>
    <w:rsid w:val="149738C6"/>
    <w:rsid w:val="1497717C"/>
    <w:rsid w:val="14A03AE1"/>
    <w:rsid w:val="14BE3BD0"/>
    <w:rsid w:val="14C106B5"/>
    <w:rsid w:val="14C15D37"/>
    <w:rsid w:val="14C675BD"/>
    <w:rsid w:val="14CF2CA5"/>
    <w:rsid w:val="14D170ED"/>
    <w:rsid w:val="14D234DF"/>
    <w:rsid w:val="14D53920"/>
    <w:rsid w:val="14DE57EB"/>
    <w:rsid w:val="14E36FB1"/>
    <w:rsid w:val="14E4157B"/>
    <w:rsid w:val="14E44A7F"/>
    <w:rsid w:val="14E60E10"/>
    <w:rsid w:val="14EA5ECD"/>
    <w:rsid w:val="14ED5688"/>
    <w:rsid w:val="14F3772D"/>
    <w:rsid w:val="14F62DB0"/>
    <w:rsid w:val="14F71157"/>
    <w:rsid w:val="14F95A36"/>
    <w:rsid w:val="1501476A"/>
    <w:rsid w:val="15072773"/>
    <w:rsid w:val="150B5A9C"/>
    <w:rsid w:val="151C209F"/>
    <w:rsid w:val="151D60E3"/>
    <w:rsid w:val="15225309"/>
    <w:rsid w:val="152A1777"/>
    <w:rsid w:val="1530340C"/>
    <w:rsid w:val="153575B4"/>
    <w:rsid w:val="15376A6C"/>
    <w:rsid w:val="153C7696"/>
    <w:rsid w:val="15427196"/>
    <w:rsid w:val="15443470"/>
    <w:rsid w:val="154D2C83"/>
    <w:rsid w:val="155D44F6"/>
    <w:rsid w:val="1568195A"/>
    <w:rsid w:val="156825AE"/>
    <w:rsid w:val="156A365B"/>
    <w:rsid w:val="157523D3"/>
    <w:rsid w:val="157648A9"/>
    <w:rsid w:val="157D25F1"/>
    <w:rsid w:val="158013B3"/>
    <w:rsid w:val="1580388D"/>
    <w:rsid w:val="15897466"/>
    <w:rsid w:val="158A5050"/>
    <w:rsid w:val="158F6BFA"/>
    <w:rsid w:val="15902E98"/>
    <w:rsid w:val="159D2AA8"/>
    <w:rsid w:val="159E21E6"/>
    <w:rsid w:val="15A703A7"/>
    <w:rsid w:val="15AD12E9"/>
    <w:rsid w:val="15AE3BF2"/>
    <w:rsid w:val="15B113FD"/>
    <w:rsid w:val="15B61C1D"/>
    <w:rsid w:val="15BA20FE"/>
    <w:rsid w:val="15BC3A0F"/>
    <w:rsid w:val="15C35BD2"/>
    <w:rsid w:val="15CE2F37"/>
    <w:rsid w:val="15CF3C06"/>
    <w:rsid w:val="15CF6FF0"/>
    <w:rsid w:val="15D26FFC"/>
    <w:rsid w:val="15D728CB"/>
    <w:rsid w:val="15D9346D"/>
    <w:rsid w:val="15DF1441"/>
    <w:rsid w:val="15E13C31"/>
    <w:rsid w:val="15E40909"/>
    <w:rsid w:val="15E50EF0"/>
    <w:rsid w:val="15E57584"/>
    <w:rsid w:val="15E87505"/>
    <w:rsid w:val="15EA7D2C"/>
    <w:rsid w:val="15F64ECB"/>
    <w:rsid w:val="15F86EC8"/>
    <w:rsid w:val="15F97B47"/>
    <w:rsid w:val="15FD1127"/>
    <w:rsid w:val="16003898"/>
    <w:rsid w:val="16023189"/>
    <w:rsid w:val="16034EBB"/>
    <w:rsid w:val="16071DD9"/>
    <w:rsid w:val="160C5D02"/>
    <w:rsid w:val="16184098"/>
    <w:rsid w:val="1619181D"/>
    <w:rsid w:val="161F7166"/>
    <w:rsid w:val="16290D5F"/>
    <w:rsid w:val="162C4C37"/>
    <w:rsid w:val="162D4AB2"/>
    <w:rsid w:val="16333E74"/>
    <w:rsid w:val="163409FD"/>
    <w:rsid w:val="16477DE9"/>
    <w:rsid w:val="164925E6"/>
    <w:rsid w:val="16564ED8"/>
    <w:rsid w:val="1658280A"/>
    <w:rsid w:val="165A79B8"/>
    <w:rsid w:val="16695F27"/>
    <w:rsid w:val="166B2C03"/>
    <w:rsid w:val="166B2D98"/>
    <w:rsid w:val="1675025D"/>
    <w:rsid w:val="16753E20"/>
    <w:rsid w:val="167A093E"/>
    <w:rsid w:val="167A58F5"/>
    <w:rsid w:val="167E6CA3"/>
    <w:rsid w:val="167F4B95"/>
    <w:rsid w:val="168C1642"/>
    <w:rsid w:val="16980ACF"/>
    <w:rsid w:val="16996BD1"/>
    <w:rsid w:val="169D0E74"/>
    <w:rsid w:val="16A0455F"/>
    <w:rsid w:val="16A45B30"/>
    <w:rsid w:val="16A63B54"/>
    <w:rsid w:val="16A93CB6"/>
    <w:rsid w:val="16B036DB"/>
    <w:rsid w:val="16B0603A"/>
    <w:rsid w:val="16B64F34"/>
    <w:rsid w:val="16C10A6C"/>
    <w:rsid w:val="16C62BFC"/>
    <w:rsid w:val="16C63741"/>
    <w:rsid w:val="16C96046"/>
    <w:rsid w:val="16D4043A"/>
    <w:rsid w:val="16D67B98"/>
    <w:rsid w:val="16DB09CD"/>
    <w:rsid w:val="16E21427"/>
    <w:rsid w:val="16E43C61"/>
    <w:rsid w:val="16F25984"/>
    <w:rsid w:val="16F335D2"/>
    <w:rsid w:val="17017CA0"/>
    <w:rsid w:val="17033117"/>
    <w:rsid w:val="17044C1E"/>
    <w:rsid w:val="1705416A"/>
    <w:rsid w:val="170A0BD6"/>
    <w:rsid w:val="170C751B"/>
    <w:rsid w:val="17156B21"/>
    <w:rsid w:val="17174AB2"/>
    <w:rsid w:val="1718056E"/>
    <w:rsid w:val="171D3139"/>
    <w:rsid w:val="17273AF9"/>
    <w:rsid w:val="172C1D05"/>
    <w:rsid w:val="172F59B8"/>
    <w:rsid w:val="173571E0"/>
    <w:rsid w:val="173A64BB"/>
    <w:rsid w:val="173C043D"/>
    <w:rsid w:val="173C59AC"/>
    <w:rsid w:val="173D2535"/>
    <w:rsid w:val="173F20E2"/>
    <w:rsid w:val="17415F04"/>
    <w:rsid w:val="174237DE"/>
    <w:rsid w:val="17563035"/>
    <w:rsid w:val="175D157B"/>
    <w:rsid w:val="1760681F"/>
    <w:rsid w:val="17740120"/>
    <w:rsid w:val="17792B60"/>
    <w:rsid w:val="177F62FA"/>
    <w:rsid w:val="178147E8"/>
    <w:rsid w:val="178545F9"/>
    <w:rsid w:val="17892E27"/>
    <w:rsid w:val="1789593F"/>
    <w:rsid w:val="178E0BAF"/>
    <w:rsid w:val="17930A3A"/>
    <w:rsid w:val="1794591B"/>
    <w:rsid w:val="17947770"/>
    <w:rsid w:val="17A9168B"/>
    <w:rsid w:val="17AD3309"/>
    <w:rsid w:val="17B8158D"/>
    <w:rsid w:val="17C17130"/>
    <w:rsid w:val="17C271C7"/>
    <w:rsid w:val="17C34644"/>
    <w:rsid w:val="17C42AD9"/>
    <w:rsid w:val="17C641EB"/>
    <w:rsid w:val="17CA7BDA"/>
    <w:rsid w:val="17CD0DCE"/>
    <w:rsid w:val="17CE25E1"/>
    <w:rsid w:val="17D10BF7"/>
    <w:rsid w:val="17E15BCD"/>
    <w:rsid w:val="17E25684"/>
    <w:rsid w:val="17E5505F"/>
    <w:rsid w:val="17F54048"/>
    <w:rsid w:val="17FA253A"/>
    <w:rsid w:val="17FB77A9"/>
    <w:rsid w:val="18071145"/>
    <w:rsid w:val="180C77A3"/>
    <w:rsid w:val="180D097F"/>
    <w:rsid w:val="180D1861"/>
    <w:rsid w:val="180F4F7D"/>
    <w:rsid w:val="181D1D9B"/>
    <w:rsid w:val="1824021D"/>
    <w:rsid w:val="182717D0"/>
    <w:rsid w:val="182727AA"/>
    <w:rsid w:val="18272B7E"/>
    <w:rsid w:val="182B084D"/>
    <w:rsid w:val="182C3C1D"/>
    <w:rsid w:val="183968EB"/>
    <w:rsid w:val="184D5870"/>
    <w:rsid w:val="184E2F03"/>
    <w:rsid w:val="18521DEB"/>
    <w:rsid w:val="185335C0"/>
    <w:rsid w:val="18690252"/>
    <w:rsid w:val="186A253C"/>
    <w:rsid w:val="18710348"/>
    <w:rsid w:val="187602DD"/>
    <w:rsid w:val="18764A71"/>
    <w:rsid w:val="18782953"/>
    <w:rsid w:val="187A35BD"/>
    <w:rsid w:val="188123CF"/>
    <w:rsid w:val="18865DF7"/>
    <w:rsid w:val="18886008"/>
    <w:rsid w:val="18921538"/>
    <w:rsid w:val="18981291"/>
    <w:rsid w:val="189943F9"/>
    <w:rsid w:val="189E12C3"/>
    <w:rsid w:val="189E32A4"/>
    <w:rsid w:val="18A958B2"/>
    <w:rsid w:val="18AB1806"/>
    <w:rsid w:val="18B13286"/>
    <w:rsid w:val="18B261CF"/>
    <w:rsid w:val="18BD055D"/>
    <w:rsid w:val="18C04A46"/>
    <w:rsid w:val="18C4037B"/>
    <w:rsid w:val="18C82853"/>
    <w:rsid w:val="18D764B0"/>
    <w:rsid w:val="18D92B7A"/>
    <w:rsid w:val="18DE71AB"/>
    <w:rsid w:val="18E851E3"/>
    <w:rsid w:val="18F3652A"/>
    <w:rsid w:val="18F71B2C"/>
    <w:rsid w:val="18F73EE2"/>
    <w:rsid w:val="18FB57B4"/>
    <w:rsid w:val="18FF308F"/>
    <w:rsid w:val="19263C11"/>
    <w:rsid w:val="19353F11"/>
    <w:rsid w:val="19364034"/>
    <w:rsid w:val="194931AA"/>
    <w:rsid w:val="194B6D06"/>
    <w:rsid w:val="19560892"/>
    <w:rsid w:val="19580F07"/>
    <w:rsid w:val="195D4702"/>
    <w:rsid w:val="195F6866"/>
    <w:rsid w:val="19635F44"/>
    <w:rsid w:val="19690F79"/>
    <w:rsid w:val="19695ECC"/>
    <w:rsid w:val="196B428C"/>
    <w:rsid w:val="196B751E"/>
    <w:rsid w:val="196C060A"/>
    <w:rsid w:val="197226D6"/>
    <w:rsid w:val="197315F4"/>
    <w:rsid w:val="19744E2D"/>
    <w:rsid w:val="19753411"/>
    <w:rsid w:val="197B045A"/>
    <w:rsid w:val="197F6FC8"/>
    <w:rsid w:val="1982149C"/>
    <w:rsid w:val="198F583E"/>
    <w:rsid w:val="19911370"/>
    <w:rsid w:val="199657AE"/>
    <w:rsid w:val="199E0A5A"/>
    <w:rsid w:val="19A06826"/>
    <w:rsid w:val="19A14097"/>
    <w:rsid w:val="19A341F3"/>
    <w:rsid w:val="19A60597"/>
    <w:rsid w:val="19A659A4"/>
    <w:rsid w:val="19A748CE"/>
    <w:rsid w:val="19AD326C"/>
    <w:rsid w:val="19B53F29"/>
    <w:rsid w:val="19B82733"/>
    <w:rsid w:val="19BB4AC7"/>
    <w:rsid w:val="19BF685B"/>
    <w:rsid w:val="19C91C96"/>
    <w:rsid w:val="19EA5BE7"/>
    <w:rsid w:val="19ED1019"/>
    <w:rsid w:val="19EE7A48"/>
    <w:rsid w:val="19F01E27"/>
    <w:rsid w:val="19F30FD0"/>
    <w:rsid w:val="19FB73D6"/>
    <w:rsid w:val="1A084634"/>
    <w:rsid w:val="1A0931E6"/>
    <w:rsid w:val="1A0B22C7"/>
    <w:rsid w:val="1A132478"/>
    <w:rsid w:val="1A157CBC"/>
    <w:rsid w:val="1A1713E7"/>
    <w:rsid w:val="1A1D39FB"/>
    <w:rsid w:val="1A23582E"/>
    <w:rsid w:val="1A2C6661"/>
    <w:rsid w:val="1A2D7316"/>
    <w:rsid w:val="1A33410B"/>
    <w:rsid w:val="1A38694D"/>
    <w:rsid w:val="1A3D4066"/>
    <w:rsid w:val="1A3D556D"/>
    <w:rsid w:val="1A422421"/>
    <w:rsid w:val="1A4B0B66"/>
    <w:rsid w:val="1A515F76"/>
    <w:rsid w:val="1A522132"/>
    <w:rsid w:val="1A5846A0"/>
    <w:rsid w:val="1A5B4BCF"/>
    <w:rsid w:val="1A5B75BD"/>
    <w:rsid w:val="1A5C1E8C"/>
    <w:rsid w:val="1A5E2541"/>
    <w:rsid w:val="1A684E92"/>
    <w:rsid w:val="1A6D49E1"/>
    <w:rsid w:val="1A70610F"/>
    <w:rsid w:val="1A711866"/>
    <w:rsid w:val="1A73363C"/>
    <w:rsid w:val="1A752AE2"/>
    <w:rsid w:val="1A8A4647"/>
    <w:rsid w:val="1A9723B6"/>
    <w:rsid w:val="1AA04200"/>
    <w:rsid w:val="1AA34AA6"/>
    <w:rsid w:val="1AA93183"/>
    <w:rsid w:val="1AAC781B"/>
    <w:rsid w:val="1AB44A07"/>
    <w:rsid w:val="1AB71515"/>
    <w:rsid w:val="1AC25B4A"/>
    <w:rsid w:val="1AC2619E"/>
    <w:rsid w:val="1AC434F9"/>
    <w:rsid w:val="1AC76906"/>
    <w:rsid w:val="1AD21FDD"/>
    <w:rsid w:val="1AD41623"/>
    <w:rsid w:val="1ADA1B4E"/>
    <w:rsid w:val="1AED05E1"/>
    <w:rsid w:val="1AF00F47"/>
    <w:rsid w:val="1AF046CF"/>
    <w:rsid w:val="1AF74BD4"/>
    <w:rsid w:val="1AFC76B1"/>
    <w:rsid w:val="1B074284"/>
    <w:rsid w:val="1B0A208E"/>
    <w:rsid w:val="1B0B1052"/>
    <w:rsid w:val="1B154EF4"/>
    <w:rsid w:val="1B187690"/>
    <w:rsid w:val="1B1938A7"/>
    <w:rsid w:val="1B24725D"/>
    <w:rsid w:val="1B2B048F"/>
    <w:rsid w:val="1B2D4F2D"/>
    <w:rsid w:val="1B301CAE"/>
    <w:rsid w:val="1B4D4C2F"/>
    <w:rsid w:val="1B524205"/>
    <w:rsid w:val="1B5752AC"/>
    <w:rsid w:val="1B585AB7"/>
    <w:rsid w:val="1B5A646D"/>
    <w:rsid w:val="1B67625B"/>
    <w:rsid w:val="1B6B336B"/>
    <w:rsid w:val="1B720642"/>
    <w:rsid w:val="1B7B1F3D"/>
    <w:rsid w:val="1B7D421C"/>
    <w:rsid w:val="1B7E5759"/>
    <w:rsid w:val="1B83456A"/>
    <w:rsid w:val="1B8D3EF5"/>
    <w:rsid w:val="1B8E2F95"/>
    <w:rsid w:val="1B9369D7"/>
    <w:rsid w:val="1B984111"/>
    <w:rsid w:val="1B9E5564"/>
    <w:rsid w:val="1BA3694B"/>
    <w:rsid w:val="1BAC5CFE"/>
    <w:rsid w:val="1BAF5377"/>
    <w:rsid w:val="1BCB08E9"/>
    <w:rsid w:val="1BCB3B13"/>
    <w:rsid w:val="1BCF190A"/>
    <w:rsid w:val="1BDB57C2"/>
    <w:rsid w:val="1BE83656"/>
    <w:rsid w:val="1BF149CB"/>
    <w:rsid w:val="1BF23A35"/>
    <w:rsid w:val="1C0329EA"/>
    <w:rsid w:val="1C033548"/>
    <w:rsid w:val="1C0B4EE0"/>
    <w:rsid w:val="1C180B6E"/>
    <w:rsid w:val="1C19483C"/>
    <w:rsid w:val="1C213008"/>
    <w:rsid w:val="1C24525B"/>
    <w:rsid w:val="1C25739C"/>
    <w:rsid w:val="1C293DD1"/>
    <w:rsid w:val="1C296D1A"/>
    <w:rsid w:val="1C2C429D"/>
    <w:rsid w:val="1C347AE7"/>
    <w:rsid w:val="1C3709C2"/>
    <w:rsid w:val="1C3F1F91"/>
    <w:rsid w:val="1C553017"/>
    <w:rsid w:val="1C710885"/>
    <w:rsid w:val="1C73352D"/>
    <w:rsid w:val="1C791EF1"/>
    <w:rsid w:val="1C7F0A0D"/>
    <w:rsid w:val="1C883EE2"/>
    <w:rsid w:val="1C8A5704"/>
    <w:rsid w:val="1C954196"/>
    <w:rsid w:val="1C993644"/>
    <w:rsid w:val="1C9D11D2"/>
    <w:rsid w:val="1CA30814"/>
    <w:rsid w:val="1CA411B8"/>
    <w:rsid w:val="1CA91C58"/>
    <w:rsid w:val="1CA92EA7"/>
    <w:rsid w:val="1CAF1665"/>
    <w:rsid w:val="1CBD07A9"/>
    <w:rsid w:val="1CBE1A22"/>
    <w:rsid w:val="1CC86944"/>
    <w:rsid w:val="1CCD1E0D"/>
    <w:rsid w:val="1CD11261"/>
    <w:rsid w:val="1CD60FA3"/>
    <w:rsid w:val="1CD6675B"/>
    <w:rsid w:val="1CD70EA5"/>
    <w:rsid w:val="1CED15B5"/>
    <w:rsid w:val="1CEE7DF7"/>
    <w:rsid w:val="1CF23DFC"/>
    <w:rsid w:val="1CF333E6"/>
    <w:rsid w:val="1D01266C"/>
    <w:rsid w:val="1D0344AF"/>
    <w:rsid w:val="1D0565E2"/>
    <w:rsid w:val="1D060AE3"/>
    <w:rsid w:val="1D094399"/>
    <w:rsid w:val="1D130803"/>
    <w:rsid w:val="1D1C269E"/>
    <w:rsid w:val="1D2122A1"/>
    <w:rsid w:val="1D2357FD"/>
    <w:rsid w:val="1D2D51F1"/>
    <w:rsid w:val="1D2E2C20"/>
    <w:rsid w:val="1D37486F"/>
    <w:rsid w:val="1D42071E"/>
    <w:rsid w:val="1D4856D1"/>
    <w:rsid w:val="1D5A0C54"/>
    <w:rsid w:val="1D6320BA"/>
    <w:rsid w:val="1D66412E"/>
    <w:rsid w:val="1D677324"/>
    <w:rsid w:val="1D681413"/>
    <w:rsid w:val="1D6D7BE9"/>
    <w:rsid w:val="1D6E2D29"/>
    <w:rsid w:val="1D786B27"/>
    <w:rsid w:val="1D7A705C"/>
    <w:rsid w:val="1D7C332C"/>
    <w:rsid w:val="1D812C9D"/>
    <w:rsid w:val="1D8132D6"/>
    <w:rsid w:val="1D843D4E"/>
    <w:rsid w:val="1D8B20E3"/>
    <w:rsid w:val="1D8C6A7E"/>
    <w:rsid w:val="1D8E167F"/>
    <w:rsid w:val="1D9575AF"/>
    <w:rsid w:val="1DA20DA6"/>
    <w:rsid w:val="1DB17AF1"/>
    <w:rsid w:val="1DB95872"/>
    <w:rsid w:val="1DC15568"/>
    <w:rsid w:val="1DC476CF"/>
    <w:rsid w:val="1DC77F7C"/>
    <w:rsid w:val="1DCB6F08"/>
    <w:rsid w:val="1DD0335C"/>
    <w:rsid w:val="1DD57D51"/>
    <w:rsid w:val="1DD71602"/>
    <w:rsid w:val="1DE93E7E"/>
    <w:rsid w:val="1DF34B6C"/>
    <w:rsid w:val="1DFC3B16"/>
    <w:rsid w:val="1E077895"/>
    <w:rsid w:val="1E082974"/>
    <w:rsid w:val="1E096B47"/>
    <w:rsid w:val="1E144418"/>
    <w:rsid w:val="1E1E21E7"/>
    <w:rsid w:val="1E2566DA"/>
    <w:rsid w:val="1E27199E"/>
    <w:rsid w:val="1E2744BB"/>
    <w:rsid w:val="1E2D3F96"/>
    <w:rsid w:val="1E2D48C4"/>
    <w:rsid w:val="1E32366D"/>
    <w:rsid w:val="1E3A413D"/>
    <w:rsid w:val="1E3C1D79"/>
    <w:rsid w:val="1E3F425E"/>
    <w:rsid w:val="1E4B2A17"/>
    <w:rsid w:val="1E510853"/>
    <w:rsid w:val="1E5A7CA4"/>
    <w:rsid w:val="1E616C9F"/>
    <w:rsid w:val="1E635018"/>
    <w:rsid w:val="1E6C643A"/>
    <w:rsid w:val="1E7177FA"/>
    <w:rsid w:val="1E740181"/>
    <w:rsid w:val="1E78479C"/>
    <w:rsid w:val="1E814CED"/>
    <w:rsid w:val="1E820184"/>
    <w:rsid w:val="1E8469F9"/>
    <w:rsid w:val="1E88172A"/>
    <w:rsid w:val="1E934FB1"/>
    <w:rsid w:val="1E9C5BFF"/>
    <w:rsid w:val="1EA072D6"/>
    <w:rsid w:val="1EA420FF"/>
    <w:rsid w:val="1EAC0275"/>
    <w:rsid w:val="1EAD2E47"/>
    <w:rsid w:val="1EAE16ED"/>
    <w:rsid w:val="1EB25317"/>
    <w:rsid w:val="1EB70A28"/>
    <w:rsid w:val="1EB72A7B"/>
    <w:rsid w:val="1EB81AAC"/>
    <w:rsid w:val="1EBA7480"/>
    <w:rsid w:val="1EBA7FDE"/>
    <w:rsid w:val="1EC73A88"/>
    <w:rsid w:val="1ECC3FFD"/>
    <w:rsid w:val="1ED2384F"/>
    <w:rsid w:val="1ED441A2"/>
    <w:rsid w:val="1EDB225F"/>
    <w:rsid w:val="1EDC5F38"/>
    <w:rsid w:val="1EDD43FA"/>
    <w:rsid w:val="1EDF476D"/>
    <w:rsid w:val="1EE05BF9"/>
    <w:rsid w:val="1EE4747D"/>
    <w:rsid w:val="1EEA697A"/>
    <w:rsid w:val="1EEC0C5C"/>
    <w:rsid w:val="1EEE5549"/>
    <w:rsid w:val="1EF27B7B"/>
    <w:rsid w:val="1F0D3297"/>
    <w:rsid w:val="1F147A0F"/>
    <w:rsid w:val="1F154795"/>
    <w:rsid w:val="1F161D81"/>
    <w:rsid w:val="1F176E60"/>
    <w:rsid w:val="1F1B50B8"/>
    <w:rsid w:val="1F231A08"/>
    <w:rsid w:val="1F242F92"/>
    <w:rsid w:val="1F353082"/>
    <w:rsid w:val="1F37018C"/>
    <w:rsid w:val="1F3D037B"/>
    <w:rsid w:val="1F471D58"/>
    <w:rsid w:val="1F504C1A"/>
    <w:rsid w:val="1F51433D"/>
    <w:rsid w:val="1F5500CB"/>
    <w:rsid w:val="1F565BFA"/>
    <w:rsid w:val="1F581604"/>
    <w:rsid w:val="1F62143A"/>
    <w:rsid w:val="1F671651"/>
    <w:rsid w:val="1F6A2F89"/>
    <w:rsid w:val="1F6D044E"/>
    <w:rsid w:val="1F6E7438"/>
    <w:rsid w:val="1F6F2934"/>
    <w:rsid w:val="1F725879"/>
    <w:rsid w:val="1F726313"/>
    <w:rsid w:val="1F786246"/>
    <w:rsid w:val="1F855BFF"/>
    <w:rsid w:val="1F8918C0"/>
    <w:rsid w:val="1F8A437C"/>
    <w:rsid w:val="1F8F27AF"/>
    <w:rsid w:val="1F916BED"/>
    <w:rsid w:val="1F934FA5"/>
    <w:rsid w:val="1F9A340A"/>
    <w:rsid w:val="1F9D46C5"/>
    <w:rsid w:val="1FA15385"/>
    <w:rsid w:val="1FA835BD"/>
    <w:rsid w:val="1FAD19BA"/>
    <w:rsid w:val="1FB06ACB"/>
    <w:rsid w:val="1FB31A5F"/>
    <w:rsid w:val="1FC24AF3"/>
    <w:rsid w:val="1FC83083"/>
    <w:rsid w:val="1FC93095"/>
    <w:rsid w:val="1FC97C87"/>
    <w:rsid w:val="1FCA1C46"/>
    <w:rsid w:val="1FCC023A"/>
    <w:rsid w:val="1FCE7A65"/>
    <w:rsid w:val="1FD57CD6"/>
    <w:rsid w:val="1FD63C88"/>
    <w:rsid w:val="1FD73351"/>
    <w:rsid w:val="1FDA1237"/>
    <w:rsid w:val="1FDA5CF1"/>
    <w:rsid w:val="1FDE3F49"/>
    <w:rsid w:val="1FE715FA"/>
    <w:rsid w:val="1FE933AA"/>
    <w:rsid w:val="1FEF5033"/>
    <w:rsid w:val="1FF468DA"/>
    <w:rsid w:val="1FF92E9C"/>
    <w:rsid w:val="200A6E88"/>
    <w:rsid w:val="201051B9"/>
    <w:rsid w:val="201613EF"/>
    <w:rsid w:val="201A1AFF"/>
    <w:rsid w:val="201D41BE"/>
    <w:rsid w:val="201F726C"/>
    <w:rsid w:val="2021267D"/>
    <w:rsid w:val="20225914"/>
    <w:rsid w:val="20383FF4"/>
    <w:rsid w:val="2040794E"/>
    <w:rsid w:val="204165E1"/>
    <w:rsid w:val="20435A27"/>
    <w:rsid w:val="20451D27"/>
    <w:rsid w:val="20451EFA"/>
    <w:rsid w:val="20460DDC"/>
    <w:rsid w:val="204D6F6C"/>
    <w:rsid w:val="204E719D"/>
    <w:rsid w:val="20506C8E"/>
    <w:rsid w:val="20565149"/>
    <w:rsid w:val="205879D9"/>
    <w:rsid w:val="20650D7F"/>
    <w:rsid w:val="206B3216"/>
    <w:rsid w:val="206C54C7"/>
    <w:rsid w:val="206C678C"/>
    <w:rsid w:val="207A6FC2"/>
    <w:rsid w:val="207F1949"/>
    <w:rsid w:val="207F3ABC"/>
    <w:rsid w:val="207F43D9"/>
    <w:rsid w:val="209128E5"/>
    <w:rsid w:val="209E2236"/>
    <w:rsid w:val="209E3773"/>
    <w:rsid w:val="20A25B42"/>
    <w:rsid w:val="20A84AFD"/>
    <w:rsid w:val="20B336D0"/>
    <w:rsid w:val="20B82F9E"/>
    <w:rsid w:val="20B873F2"/>
    <w:rsid w:val="20CA786F"/>
    <w:rsid w:val="20CE5BC7"/>
    <w:rsid w:val="20D05847"/>
    <w:rsid w:val="20D83102"/>
    <w:rsid w:val="20D878C9"/>
    <w:rsid w:val="20DA452F"/>
    <w:rsid w:val="20DE519E"/>
    <w:rsid w:val="20E11FB3"/>
    <w:rsid w:val="20E326AB"/>
    <w:rsid w:val="20E40D06"/>
    <w:rsid w:val="20E70DDA"/>
    <w:rsid w:val="20EE5292"/>
    <w:rsid w:val="20EE7A98"/>
    <w:rsid w:val="20F012C4"/>
    <w:rsid w:val="20F012DA"/>
    <w:rsid w:val="20F416F6"/>
    <w:rsid w:val="20F91B22"/>
    <w:rsid w:val="20FE6ED0"/>
    <w:rsid w:val="21003017"/>
    <w:rsid w:val="2102118F"/>
    <w:rsid w:val="210643F0"/>
    <w:rsid w:val="2106576D"/>
    <w:rsid w:val="210D33B3"/>
    <w:rsid w:val="21101023"/>
    <w:rsid w:val="21106472"/>
    <w:rsid w:val="21126A1E"/>
    <w:rsid w:val="21150ACD"/>
    <w:rsid w:val="211822BD"/>
    <w:rsid w:val="211A3117"/>
    <w:rsid w:val="211D08DF"/>
    <w:rsid w:val="211D6ED8"/>
    <w:rsid w:val="21365E4F"/>
    <w:rsid w:val="213E402C"/>
    <w:rsid w:val="213E4A5F"/>
    <w:rsid w:val="213F57A3"/>
    <w:rsid w:val="21432762"/>
    <w:rsid w:val="214E2EF1"/>
    <w:rsid w:val="21591E72"/>
    <w:rsid w:val="215B3690"/>
    <w:rsid w:val="215F5D66"/>
    <w:rsid w:val="216A770F"/>
    <w:rsid w:val="216E2D9F"/>
    <w:rsid w:val="217903E4"/>
    <w:rsid w:val="218663E7"/>
    <w:rsid w:val="218A6A50"/>
    <w:rsid w:val="2198147D"/>
    <w:rsid w:val="219B228D"/>
    <w:rsid w:val="219C7087"/>
    <w:rsid w:val="219D2205"/>
    <w:rsid w:val="219F5767"/>
    <w:rsid w:val="21A2770F"/>
    <w:rsid w:val="21A87168"/>
    <w:rsid w:val="21AF4DC3"/>
    <w:rsid w:val="21BA57F8"/>
    <w:rsid w:val="21C06F92"/>
    <w:rsid w:val="21C25568"/>
    <w:rsid w:val="21C8181E"/>
    <w:rsid w:val="21C84E9E"/>
    <w:rsid w:val="21C965E9"/>
    <w:rsid w:val="21CB5CF6"/>
    <w:rsid w:val="21D41C8C"/>
    <w:rsid w:val="21D51AA2"/>
    <w:rsid w:val="21D51B9F"/>
    <w:rsid w:val="21E51A57"/>
    <w:rsid w:val="21E5632B"/>
    <w:rsid w:val="21EC0518"/>
    <w:rsid w:val="21F143E4"/>
    <w:rsid w:val="21F718D2"/>
    <w:rsid w:val="21FC6A30"/>
    <w:rsid w:val="220643AF"/>
    <w:rsid w:val="22077889"/>
    <w:rsid w:val="220C644E"/>
    <w:rsid w:val="220F06E1"/>
    <w:rsid w:val="22104944"/>
    <w:rsid w:val="22121D33"/>
    <w:rsid w:val="2225695B"/>
    <w:rsid w:val="222B4A26"/>
    <w:rsid w:val="22316996"/>
    <w:rsid w:val="224503BF"/>
    <w:rsid w:val="224944DA"/>
    <w:rsid w:val="224C1EE4"/>
    <w:rsid w:val="224E5006"/>
    <w:rsid w:val="225339DB"/>
    <w:rsid w:val="225F71CC"/>
    <w:rsid w:val="22697B84"/>
    <w:rsid w:val="226E0F46"/>
    <w:rsid w:val="2271456C"/>
    <w:rsid w:val="228869BB"/>
    <w:rsid w:val="228B7D1B"/>
    <w:rsid w:val="22956CB2"/>
    <w:rsid w:val="22A063EE"/>
    <w:rsid w:val="22A46BD9"/>
    <w:rsid w:val="22B64E51"/>
    <w:rsid w:val="22BB1853"/>
    <w:rsid w:val="22D51866"/>
    <w:rsid w:val="22E305BB"/>
    <w:rsid w:val="22E70C69"/>
    <w:rsid w:val="22E7193E"/>
    <w:rsid w:val="22EE7034"/>
    <w:rsid w:val="23062C52"/>
    <w:rsid w:val="23165796"/>
    <w:rsid w:val="23167EA3"/>
    <w:rsid w:val="231B17F9"/>
    <w:rsid w:val="231D5346"/>
    <w:rsid w:val="23386498"/>
    <w:rsid w:val="233A304E"/>
    <w:rsid w:val="23491976"/>
    <w:rsid w:val="234D6E93"/>
    <w:rsid w:val="235511EA"/>
    <w:rsid w:val="235A140D"/>
    <w:rsid w:val="23644A96"/>
    <w:rsid w:val="23685D79"/>
    <w:rsid w:val="23690609"/>
    <w:rsid w:val="236C2CF1"/>
    <w:rsid w:val="237A3E4E"/>
    <w:rsid w:val="237E1230"/>
    <w:rsid w:val="238729F7"/>
    <w:rsid w:val="238A29AB"/>
    <w:rsid w:val="238F40D9"/>
    <w:rsid w:val="23933508"/>
    <w:rsid w:val="239504D4"/>
    <w:rsid w:val="23950A3C"/>
    <w:rsid w:val="23A92C60"/>
    <w:rsid w:val="23AE700C"/>
    <w:rsid w:val="23B03FD9"/>
    <w:rsid w:val="23BA7F5A"/>
    <w:rsid w:val="23C13739"/>
    <w:rsid w:val="23D0467D"/>
    <w:rsid w:val="23DE6B3F"/>
    <w:rsid w:val="23E11DA2"/>
    <w:rsid w:val="23E235B0"/>
    <w:rsid w:val="23E7247A"/>
    <w:rsid w:val="23F66BE1"/>
    <w:rsid w:val="23FF3A34"/>
    <w:rsid w:val="24044813"/>
    <w:rsid w:val="24052474"/>
    <w:rsid w:val="240D2E7E"/>
    <w:rsid w:val="2414034D"/>
    <w:rsid w:val="241C508B"/>
    <w:rsid w:val="241F3B4A"/>
    <w:rsid w:val="2428389C"/>
    <w:rsid w:val="242C5780"/>
    <w:rsid w:val="2439617A"/>
    <w:rsid w:val="24400251"/>
    <w:rsid w:val="244A2922"/>
    <w:rsid w:val="245005B3"/>
    <w:rsid w:val="24511959"/>
    <w:rsid w:val="24562B99"/>
    <w:rsid w:val="2463670D"/>
    <w:rsid w:val="24661A7D"/>
    <w:rsid w:val="24726ADD"/>
    <w:rsid w:val="247339F1"/>
    <w:rsid w:val="247D493C"/>
    <w:rsid w:val="248169C6"/>
    <w:rsid w:val="24873676"/>
    <w:rsid w:val="248F4D47"/>
    <w:rsid w:val="24934502"/>
    <w:rsid w:val="24940315"/>
    <w:rsid w:val="249604BE"/>
    <w:rsid w:val="249D7A54"/>
    <w:rsid w:val="24A31E88"/>
    <w:rsid w:val="24BF1A2B"/>
    <w:rsid w:val="24C504EE"/>
    <w:rsid w:val="24D14521"/>
    <w:rsid w:val="24E164AF"/>
    <w:rsid w:val="24E41B08"/>
    <w:rsid w:val="24E65466"/>
    <w:rsid w:val="24E944A8"/>
    <w:rsid w:val="24F54BAD"/>
    <w:rsid w:val="24F61130"/>
    <w:rsid w:val="24F93F96"/>
    <w:rsid w:val="24FC5064"/>
    <w:rsid w:val="24FF66CB"/>
    <w:rsid w:val="250977C1"/>
    <w:rsid w:val="250B6C88"/>
    <w:rsid w:val="250D16FB"/>
    <w:rsid w:val="2518056D"/>
    <w:rsid w:val="25207316"/>
    <w:rsid w:val="25237BAF"/>
    <w:rsid w:val="25244051"/>
    <w:rsid w:val="252F052A"/>
    <w:rsid w:val="252F12D2"/>
    <w:rsid w:val="25373204"/>
    <w:rsid w:val="253A1C68"/>
    <w:rsid w:val="253C7281"/>
    <w:rsid w:val="253F3BFC"/>
    <w:rsid w:val="25416AA5"/>
    <w:rsid w:val="254E3D88"/>
    <w:rsid w:val="25551F1D"/>
    <w:rsid w:val="2557352E"/>
    <w:rsid w:val="255A065A"/>
    <w:rsid w:val="255A4BBE"/>
    <w:rsid w:val="255C0629"/>
    <w:rsid w:val="255E4A9F"/>
    <w:rsid w:val="25627611"/>
    <w:rsid w:val="25636FED"/>
    <w:rsid w:val="25645A54"/>
    <w:rsid w:val="25684A78"/>
    <w:rsid w:val="25770005"/>
    <w:rsid w:val="25772EBB"/>
    <w:rsid w:val="257A05F7"/>
    <w:rsid w:val="257A7A06"/>
    <w:rsid w:val="257F0628"/>
    <w:rsid w:val="257F0BA6"/>
    <w:rsid w:val="25832019"/>
    <w:rsid w:val="259331FE"/>
    <w:rsid w:val="25957FF8"/>
    <w:rsid w:val="25A149AC"/>
    <w:rsid w:val="25AC09C6"/>
    <w:rsid w:val="25AD4D35"/>
    <w:rsid w:val="25AE6649"/>
    <w:rsid w:val="25AF3F32"/>
    <w:rsid w:val="25B22A3B"/>
    <w:rsid w:val="25B236EC"/>
    <w:rsid w:val="25BA2D11"/>
    <w:rsid w:val="25C01763"/>
    <w:rsid w:val="25C449A9"/>
    <w:rsid w:val="25C654B7"/>
    <w:rsid w:val="25C76E87"/>
    <w:rsid w:val="25C80064"/>
    <w:rsid w:val="25CA56AC"/>
    <w:rsid w:val="25CE6C46"/>
    <w:rsid w:val="25D97596"/>
    <w:rsid w:val="25DC5170"/>
    <w:rsid w:val="25E37902"/>
    <w:rsid w:val="25EE7005"/>
    <w:rsid w:val="25F044F9"/>
    <w:rsid w:val="25F531F5"/>
    <w:rsid w:val="25F72E1B"/>
    <w:rsid w:val="25F74971"/>
    <w:rsid w:val="25FD508B"/>
    <w:rsid w:val="26040109"/>
    <w:rsid w:val="26061962"/>
    <w:rsid w:val="260824F0"/>
    <w:rsid w:val="260F672F"/>
    <w:rsid w:val="26175540"/>
    <w:rsid w:val="261B4297"/>
    <w:rsid w:val="26200FD2"/>
    <w:rsid w:val="26236FA3"/>
    <w:rsid w:val="26240A93"/>
    <w:rsid w:val="262C56B0"/>
    <w:rsid w:val="262E6827"/>
    <w:rsid w:val="262F455F"/>
    <w:rsid w:val="262F7D17"/>
    <w:rsid w:val="263A525F"/>
    <w:rsid w:val="263E6C87"/>
    <w:rsid w:val="26405335"/>
    <w:rsid w:val="2642755C"/>
    <w:rsid w:val="264A0CB7"/>
    <w:rsid w:val="26507D69"/>
    <w:rsid w:val="2651011A"/>
    <w:rsid w:val="26556C96"/>
    <w:rsid w:val="26590788"/>
    <w:rsid w:val="265D1B10"/>
    <w:rsid w:val="2662218D"/>
    <w:rsid w:val="26630D77"/>
    <w:rsid w:val="26640280"/>
    <w:rsid w:val="26664CB6"/>
    <w:rsid w:val="266D04E0"/>
    <w:rsid w:val="267D0DD4"/>
    <w:rsid w:val="268C646C"/>
    <w:rsid w:val="26900E65"/>
    <w:rsid w:val="269308F5"/>
    <w:rsid w:val="26A0140A"/>
    <w:rsid w:val="26A05ED5"/>
    <w:rsid w:val="26A31983"/>
    <w:rsid w:val="26A4480F"/>
    <w:rsid w:val="26AB027E"/>
    <w:rsid w:val="26AE73BF"/>
    <w:rsid w:val="26B21017"/>
    <w:rsid w:val="26B32722"/>
    <w:rsid w:val="26B3402C"/>
    <w:rsid w:val="26B94CD4"/>
    <w:rsid w:val="26BC23EF"/>
    <w:rsid w:val="26BD3478"/>
    <w:rsid w:val="26C22FBF"/>
    <w:rsid w:val="26C5427E"/>
    <w:rsid w:val="26C91AA2"/>
    <w:rsid w:val="26C92A6E"/>
    <w:rsid w:val="26CB5BEC"/>
    <w:rsid w:val="26D17EE9"/>
    <w:rsid w:val="26D26B3A"/>
    <w:rsid w:val="26D757DD"/>
    <w:rsid w:val="26E03AA5"/>
    <w:rsid w:val="26E70819"/>
    <w:rsid w:val="26E90389"/>
    <w:rsid w:val="26F614FF"/>
    <w:rsid w:val="27005E36"/>
    <w:rsid w:val="27085698"/>
    <w:rsid w:val="270869CF"/>
    <w:rsid w:val="27167C04"/>
    <w:rsid w:val="271C07F5"/>
    <w:rsid w:val="271D1577"/>
    <w:rsid w:val="2722517B"/>
    <w:rsid w:val="2726309C"/>
    <w:rsid w:val="272A40E2"/>
    <w:rsid w:val="27325E70"/>
    <w:rsid w:val="27341B93"/>
    <w:rsid w:val="273C0408"/>
    <w:rsid w:val="27430D53"/>
    <w:rsid w:val="27437ADB"/>
    <w:rsid w:val="2751391F"/>
    <w:rsid w:val="275263B2"/>
    <w:rsid w:val="27537702"/>
    <w:rsid w:val="27644968"/>
    <w:rsid w:val="276550C2"/>
    <w:rsid w:val="27661057"/>
    <w:rsid w:val="276644A2"/>
    <w:rsid w:val="276A77BD"/>
    <w:rsid w:val="2771766F"/>
    <w:rsid w:val="27752950"/>
    <w:rsid w:val="27784097"/>
    <w:rsid w:val="277C3016"/>
    <w:rsid w:val="278611AA"/>
    <w:rsid w:val="278B23EE"/>
    <w:rsid w:val="27911388"/>
    <w:rsid w:val="27955828"/>
    <w:rsid w:val="279646AA"/>
    <w:rsid w:val="279657AA"/>
    <w:rsid w:val="2798045F"/>
    <w:rsid w:val="279C7ABE"/>
    <w:rsid w:val="27A11A16"/>
    <w:rsid w:val="27A41C70"/>
    <w:rsid w:val="27AE5060"/>
    <w:rsid w:val="27B52D32"/>
    <w:rsid w:val="27B92874"/>
    <w:rsid w:val="27C22234"/>
    <w:rsid w:val="27C817BE"/>
    <w:rsid w:val="27D30046"/>
    <w:rsid w:val="27D4336A"/>
    <w:rsid w:val="27DC04B7"/>
    <w:rsid w:val="27DE5A1F"/>
    <w:rsid w:val="27EC25D5"/>
    <w:rsid w:val="27F60128"/>
    <w:rsid w:val="27F754A4"/>
    <w:rsid w:val="280214E5"/>
    <w:rsid w:val="28090DDE"/>
    <w:rsid w:val="28100970"/>
    <w:rsid w:val="28130FC3"/>
    <w:rsid w:val="281C5C13"/>
    <w:rsid w:val="282365C5"/>
    <w:rsid w:val="28242AFE"/>
    <w:rsid w:val="28251E8D"/>
    <w:rsid w:val="282C1367"/>
    <w:rsid w:val="282D4DA2"/>
    <w:rsid w:val="28416E17"/>
    <w:rsid w:val="284327FC"/>
    <w:rsid w:val="28453EC2"/>
    <w:rsid w:val="284661A2"/>
    <w:rsid w:val="284763CA"/>
    <w:rsid w:val="284C1CF1"/>
    <w:rsid w:val="284D2397"/>
    <w:rsid w:val="285259C3"/>
    <w:rsid w:val="285570E5"/>
    <w:rsid w:val="285E269A"/>
    <w:rsid w:val="286331B3"/>
    <w:rsid w:val="286F0F65"/>
    <w:rsid w:val="287721BE"/>
    <w:rsid w:val="287A2B04"/>
    <w:rsid w:val="28810C2F"/>
    <w:rsid w:val="28832153"/>
    <w:rsid w:val="28876550"/>
    <w:rsid w:val="288C402F"/>
    <w:rsid w:val="288C615D"/>
    <w:rsid w:val="28905410"/>
    <w:rsid w:val="2897247A"/>
    <w:rsid w:val="289A71C9"/>
    <w:rsid w:val="28A83B55"/>
    <w:rsid w:val="28AF28BC"/>
    <w:rsid w:val="28AF56E0"/>
    <w:rsid w:val="28B96086"/>
    <w:rsid w:val="28BF2E88"/>
    <w:rsid w:val="28C30F6D"/>
    <w:rsid w:val="28CE4ABA"/>
    <w:rsid w:val="28D22511"/>
    <w:rsid w:val="28E35480"/>
    <w:rsid w:val="28EE01A4"/>
    <w:rsid w:val="28F364BD"/>
    <w:rsid w:val="28F5415C"/>
    <w:rsid w:val="2902495E"/>
    <w:rsid w:val="29034D8E"/>
    <w:rsid w:val="2903673E"/>
    <w:rsid w:val="290D640A"/>
    <w:rsid w:val="29177E97"/>
    <w:rsid w:val="291A4C7E"/>
    <w:rsid w:val="291F0427"/>
    <w:rsid w:val="292527ED"/>
    <w:rsid w:val="292B2DD6"/>
    <w:rsid w:val="293C79A7"/>
    <w:rsid w:val="29454D6E"/>
    <w:rsid w:val="2947284C"/>
    <w:rsid w:val="294D69AF"/>
    <w:rsid w:val="294F4DA4"/>
    <w:rsid w:val="295449EC"/>
    <w:rsid w:val="29554FB8"/>
    <w:rsid w:val="29580A24"/>
    <w:rsid w:val="29591EF6"/>
    <w:rsid w:val="295D23DB"/>
    <w:rsid w:val="29677AE4"/>
    <w:rsid w:val="2969051B"/>
    <w:rsid w:val="296F263E"/>
    <w:rsid w:val="297172A8"/>
    <w:rsid w:val="2983564B"/>
    <w:rsid w:val="2986365A"/>
    <w:rsid w:val="29897F36"/>
    <w:rsid w:val="298F2D60"/>
    <w:rsid w:val="299A5939"/>
    <w:rsid w:val="299E2EE4"/>
    <w:rsid w:val="29A0654A"/>
    <w:rsid w:val="29AA12A8"/>
    <w:rsid w:val="29B90F1F"/>
    <w:rsid w:val="29BE52CE"/>
    <w:rsid w:val="29C700C8"/>
    <w:rsid w:val="29CD4835"/>
    <w:rsid w:val="29DB2E13"/>
    <w:rsid w:val="29DB795F"/>
    <w:rsid w:val="29DF3FB6"/>
    <w:rsid w:val="29DF50E1"/>
    <w:rsid w:val="29ED414C"/>
    <w:rsid w:val="29EF3D07"/>
    <w:rsid w:val="29F03D86"/>
    <w:rsid w:val="29F43C64"/>
    <w:rsid w:val="29FA25C8"/>
    <w:rsid w:val="29FD19B7"/>
    <w:rsid w:val="2A0A232D"/>
    <w:rsid w:val="2A0F6A82"/>
    <w:rsid w:val="2A112438"/>
    <w:rsid w:val="2A1808B1"/>
    <w:rsid w:val="2A1C72FC"/>
    <w:rsid w:val="2A1E7273"/>
    <w:rsid w:val="2A2A3042"/>
    <w:rsid w:val="2A36279F"/>
    <w:rsid w:val="2A384B1D"/>
    <w:rsid w:val="2A4A5617"/>
    <w:rsid w:val="2A4E0052"/>
    <w:rsid w:val="2A5A55D9"/>
    <w:rsid w:val="2A600C3F"/>
    <w:rsid w:val="2A6021EF"/>
    <w:rsid w:val="2A603070"/>
    <w:rsid w:val="2A68057B"/>
    <w:rsid w:val="2A681EB6"/>
    <w:rsid w:val="2A6D6D04"/>
    <w:rsid w:val="2A7A5040"/>
    <w:rsid w:val="2A7B440F"/>
    <w:rsid w:val="2A7D42B8"/>
    <w:rsid w:val="2A823EF9"/>
    <w:rsid w:val="2A8B4492"/>
    <w:rsid w:val="2A8E3797"/>
    <w:rsid w:val="2A94612D"/>
    <w:rsid w:val="2A9A4051"/>
    <w:rsid w:val="2A9C5B40"/>
    <w:rsid w:val="2A9D1683"/>
    <w:rsid w:val="2AA400F4"/>
    <w:rsid w:val="2AA45E35"/>
    <w:rsid w:val="2AA537EE"/>
    <w:rsid w:val="2AAB4DC0"/>
    <w:rsid w:val="2AAC54BB"/>
    <w:rsid w:val="2AB57FF9"/>
    <w:rsid w:val="2ABA6371"/>
    <w:rsid w:val="2ABB4FE8"/>
    <w:rsid w:val="2AC329D5"/>
    <w:rsid w:val="2ACC28DA"/>
    <w:rsid w:val="2ACC7B98"/>
    <w:rsid w:val="2AD855B7"/>
    <w:rsid w:val="2AE07F71"/>
    <w:rsid w:val="2AE11D66"/>
    <w:rsid w:val="2AEA5E00"/>
    <w:rsid w:val="2AEB102F"/>
    <w:rsid w:val="2AED3378"/>
    <w:rsid w:val="2AF24565"/>
    <w:rsid w:val="2AF35887"/>
    <w:rsid w:val="2AFA470A"/>
    <w:rsid w:val="2AFB2B16"/>
    <w:rsid w:val="2B0C20F7"/>
    <w:rsid w:val="2B0F5533"/>
    <w:rsid w:val="2B104CF4"/>
    <w:rsid w:val="2B125250"/>
    <w:rsid w:val="2B1A4502"/>
    <w:rsid w:val="2B1B65B9"/>
    <w:rsid w:val="2B1C282C"/>
    <w:rsid w:val="2B2706A2"/>
    <w:rsid w:val="2B274543"/>
    <w:rsid w:val="2B28252F"/>
    <w:rsid w:val="2B2C0C53"/>
    <w:rsid w:val="2B341B90"/>
    <w:rsid w:val="2B361E34"/>
    <w:rsid w:val="2B382065"/>
    <w:rsid w:val="2B3C2FC4"/>
    <w:rsid w:val="2B45579C"/>
    <w:rsid w:val="2B461FAE"/>
    <w:rsid w:val="2B4D31F0"/>
    <w:rsid w:val="2B4F71D5"/>
    <w:rsid w:val="2B5240D5"/>
    <w:rsid w:val="2B527EE3"/>
    <w:rsid w:val="2B5433AC"/>
    <w:rsid w:val="2B580D2F"/>
    <w:rsid w:val="2B581625"/>
    <w:rsid w:val="2B5E1A74"/>
    <w:rsid w:val="2B667187"/>
    <w:rsid w:val="2B6B6CC8"/>
    <w:rsid w:val="2B6E73B6"/>
    <w:rsid w:val="2B6F75C5"/>
    <w:rsid w:val="2B7D4228"/>
    <w:rsid w:val="2B7D5456"/>
    <w:rsid w:val="2B8B70C4"/>
    <w:rsid w:val="2B8D5381"/>
    <w:rsid w:val="2B9576E2"/>
    <w:rsid w:val="2B985550"/>
    <w:rsid w:val="2B9A4D5A"/>
    <w:rsid w:val="2B9F7EC3"/>
    <w:rsid w:val="2BA41CAA"/>
    <w:rsid w:val="2BA45400"/>
    <w:rsid w:val="2BAF3974"/>
    <w:rsid w:val="2BBA0680"/>
    <w:rsid w:val="2BBB49CC"/>
    <w:rsid w:val="2BBD2D66"/>
    <w:rsid w:val="2BC0712F"/>
    <w:rsid w:val="2BC2082C"/>
    <w:rsid w:val="2BC3044D"/>
    <w:rsid w:val="2BC6610B"/>
    <w:rsid w:val="2BC93046"/>
    <w:rsid w:val="2BD25B6F"/>
    <w:rsid w:val="2BE6114A"/>
    <w:rsid w:val="2BEC51D8"/>
    <w:rsid w:val="2BEF1A87"/>
    <w:rsid w:val="2BF521A3"/>
    <w:rsid w:val="2BFB4B40"/>
    <w:rsid w:val="2BFD495F"/>
    <w:rsid w:val="2BFF54FD"/>
    <w:rsid w:val="2C01687B"/>
    <w:rsid w:val="2C0368C6"/>
    <w:rsid w:val="2C05500E"/>
    <w:rsid w:val="2C0D67F7"/>
    <w:rsid w:val="2C1134D0"/>
    <w:rsid w:val="2C172BF1"/>
    <w:rsid w:val="2C237B59"/>
    <w:rsid w:val="2C246940"/>
    <w:rsid w:val="2C25692B"/>
    <w:rsid w:val="2C290D81"/>
    <w:rsid w:val="2C2E78B5"/>
    <w:rsid w:val="2C305815"/>
    <w:rsid w:val="2C365376"/>
    <w:rsid w:val="2C387203"/>
    <w:rsid w:val="2C3A30B5"/>
    <w:rsid w:val="2C3C038D"/>
    <w:rsid w:val="2C3C1EC1"/>
    <w:rsid w:val="2C42462B"/>
    <w:rsid w:val="2C4502FF"/>
    <w:rsid w:val="2C4C6460"/>
    <w:rsid w:val="2C4F7878"/>
    <w:rsid w:val="2C5B41CA"/>
    <w:rsid w:val="2C6A4EE5"/>
    <w:rsid w:val="2C704F2D"/>
    <w:rsid w:val="2C795C67"/>
    <w:rsid w:val="2C7F23AB"/>
    <w:rsid w:val="2C815FB7"/>
    <w:rsid w:val="2C894860"/>
    <w:rsid w:val="2C8A6306"/>
    <w:rsid w:val="2C8E231F"/>
    <w:rsid w:val="2C941DCD"/>
    <w:rsid w:val="2C983B37"/>
    <w:rsid w:val="2C994EDE"/>
    <w:rsid w:val="2C9F18A2"/>
    <w:rsid w:val="2CA350BE"/>
    <w:rsid w:val="2CA423D8"/>
    <w:rsid w:val="2CA50223"/>
    <w:rsid w:val="2CA96082"/>
    <w:rsid w:val="2CB73879"/>
    <w:rsid w:val="2CB85977"/>
    <w:rsid w:val="2CBB5644"/>
    <w:rsid w:val="2CBE1462"/>
    <w:rsid w:val="2CC10B94"/>
    <w:rsid w:val="2CC35BC3"/>
    <w:rsid w:val="2CC44205"/>
    <w:rsid w:val="2CC47DED"/>
    <w:rsid w:val="2CC502E6"/>
    <w:rsid w:val="2CC952B7"/>
    <w:rsid w:val="2CC95773"/>
    <w:rsid w:val="2CCF5DDE"/>
    <w:rsid w:val="2CD3710B"/>
    <w:rsid w:val="2CD53246"/>
    <w:rsid w:val="2CD86730"/>
    <w:rsid w:val="2CDB0944"/>
    <w:rsid w:val="2CDD5B43"/>
    <w:rsid w:val="2CE27267"/>
    <w:rsid w:val="2CE74D39"/>
    <w:rsid w:val="2CE8150A"/>
    <w:rsid w:val="2CF20BDC"/>
    <w:rsid w:val="2CF33FD4"/>
    <w:rsid w:val="2CF71377"/>
    <w:rsid w:val="2D016444"/>
    <w:rsid w:val="2D0B00A7"/>
    <w:rsid w:val="2D0B6221"/>
    <w:rsid w:val="2D12077C"/>
    <w:rsid w:val="2D1515C7"/>
    <w:rsid w:val="2D193406"/>
    <w:rsid w:val="2D1A1E27"/>
    <w:rsid w:val="2D270FD0"/>
    <w:rsid w:val="2D277EFB"/>
    <w:rsid w:val="2D3008EE"/>
    <w:rsid w:val="2D31047C"/>
    <w:rsid w:val="2D3178DC"/>
    <w:rsid w:val="2D324DB9"/>
    <w:rsid w:val="2D345AA6"/>
    <w:rsid w:val="2D396E42"/>
    <w:rsid w:val="2D3C1EC9"/>
    <w:rsid w:val="2D48403A"/>
    <w:rsid w:val="2D4E3F0C"/>
    <w:rsid w:val="2D5115F8"/>
    <w:rsid w:val="2D646B9E"/>
    <w:rsid w:val="2D700E9E"/>
    <w:rsid w:val="2D855815"/>
    <w:rsid w:val="2D8C13F0"/>
    <w:rsid w:val="2D903D37"/>
    <w:rsid w:val="2D976683"/>
    <w:rsid w:val="2D977534"/>
    <w:rsid w:val="2D9B7AEB"/>
    <w:rsid w:val="2DA93130"/>
    <w:rsid w:val="2DB13E03"/>
    <w:rsid w:val="2DB27C81"/>
    <w:rsid w:val="2DB70397"/>
    <w:rsid w:val="2DBC6AB9"/>
    <w:rsid w:val="2DCB3D94"/>
    <w:rsid w:val="2DDF7B52"/>
    <w:rsid w:val="2DE33C85"/>
    <w:rsid w:val="2DE35338"/>
    <w:rsid w:val="2DE53689"/>
    <w:rsid w:val="2DF36F84"/>
    <w:rsid w:val="2DF44115"/>
    <w:rsid w:val="2E113FBC"/>
    <w:rsid w:val="2E137ADD"/>
    <w:rsid w:val="2E194F3D"/>
    <w:rsid w:val="2E24698E"/>
    <w:rsid w:val="2E280BBF"/>
    <w:rsid w:val="2E2E5E39"/>
    <w:rsid w:val="2E3E0198"/>
    <w:rsid w:val="2E3F0BEE"/>
    <w:rsid w:val="2E560939"/>
    <w:rsid w:val="2E574D85"/>
    <w:rsid w:val="2E5A7CD6"/>
    <w:rsid w:val="2E5E648E"/>
    <w:rsid w:val="2E654B4E"/>
    <w:rsid w:val="2E6E5ECA"/>
    <w:rsid w:val="2E7222C0"/>
    <w:rsid w:val="2E790DE1"/>
    <w:rsid w:val="2E7A2F47"/>
    <w:rsid w:val="2E7B6BF0"/>
    <w:rsid w:val="2E7D7C1F"/>
    <w:rsid w:val="2E8665B7"/>
    <w:rsid w:val="2E9136EE"/>
    <w:rsid w:val="2E9E342D"/>
    <w:rsid w:val="2EA33F0C"/>
    <w:rsid w:val="2EAA45AD"/>
    <w:rsid w:val="2EB61C7F"/>
    <w:rsid w:val="2EBD37E8"/>
    <w:rsid w:val="2EBE12A6"/>
    <w:rsid w:val="2EBE5F35"/>
    <w:rsid w:val="2EC56BE5"/>
    <w:rsid w:val="2EC7242D"/>
    <w:rsid w:val="2ECC7DA3"/>
    <w:rsid w:val="2ECF5F05"/>
    <w:rsid w:val="2EE20386"/>
    <w:rsid w:val="2EF00893"/>
    <w:rsid w:val="2EF824C0"/>
    <w:rsid w:val="2EF82AEC"/>
    <w:rsid w:val="2EFE3E2D"/>
    <w:rsid w:val="2EFF3E52"/>
    <w:rsid w:val="2F022FA6"/>
    <w:rsid w:val="2F08433B"/>
    <w:rsid w:val="2F0D7AB0"/>
    <w:rsid w:val="2F136646"/>
    <w:rsid w:val="2F16684B"/>
    <w:rsid w:val="2F261314"/>
    <w:rsid w:val="2F34595E"/>
    <w:rsid w:val="2F363704"/>
    <w:rsid w:val="2F431F45"/>
    <w:rsid w:val="2F443BA7"/>
    <w:rsid w:val="2F461921"/>
    <w:rsid w:val="2F502E1A"/>
    <w:rsid w:val="2F5F0E70"/>
    <w:rsid w:val="2F61762B"/>
    <w:rsid w:val="2F690CA0"/>
    <w:rsid w:val="2F6A2071"/>
    <w:rsid w:val="2F7002C7"/>
    <w:rsid w:val="2F730662"/>
    <w:rsid w:val="2F78451E"/>
    <w:rsid w:val="2F800AFA"/>
    <w:rsid w:val="2F846F0C"/>
    <w:rsid w:val="2F8512C8"/>
    <w:rsid w:val="2F853097"/>
    <w:rsid w:val="2F8C03DE"/>
    <w:rsid w:val="2F8F26F5"/>
    <w:rsid w:val="2F941189"/>
    <w:rsid w:val="2F962068"/>
    <w:rsid w:val="2F992A04"/>
    <w:rsid w:val="2F9961DF"/>
    <w:rsid w:val="2F9E5E02"/>
    <w:rsid w:val="2FA2026E"/>
    <w:rsid w:val="2FA87A96"/>
    <w:rsid w:val="2FA92ACB"/>
    <w:rsid w:val="2FB30E01"/>
    <w:rsid w:val="2FBB4532"/>
    <w:rsid w:val="2FBC3413"/>
    <w:rsid w:val="2FBD2618"/>
    <w:rsid w:val="2FC12E0D"/>
    <w:rsid w:val="2FC57321"/>
    <w:rsid w:val="2FCD7466"/>
    <w:rsid w:val="2FD32C7E"/>
    <w:rsid w:val="2FD3657A"/>
    <w:rsid w:val="2FDD2E8E"/>
    <w:rsid w:val="2FDE3125"/>
    <w:rsid w:val="2FE505AF"/>
    <w:rsid w:val="2FE96982"/>
    <w:rsid w:val="2FED2320"/>
    <w:rsid w:val="2FED5BC4"/>
    <w:rsid w:val="2FF3094F"/>
    <w:rsid w:val="2FF954CE"/>
    <w:rsid w:val="2FFD0C0E"/>
    <w:rsid w:val="2FFF2318"/>
    <w:rsid w:val="30085AE1"/>
    <w:rsid w:val="30097F8F"/>
    <w:rsid w:val="300A5ACD"/>
    <w:rsid w:val="300D20E3"/>
    <w:rsid w:val="300D36B9"/>
    <w:rsid w:val="300F3090"/>
    <w:rsid w:val="30117D7C"/>
    <w:rsid w:val="3013125C"/>
    <w:rsid w:val="301B2328"/>
    <w:rsid w:val="301F240A"/>
    <w:rsid w:val="302241FA"/>
    <w:rsid w:val="30225849"/>
    <w:rsid w:val="30253FFF"/>
    <w:rsid w:val="302C31E0"/>
    <w:rsid w:val="30322E5C"/>
    <w:rsid w:val="30346C00"/>
    <w:rsid w:val="30362778"/>
    <w:rsid w:val="30396D27"/>
    <w:rsid w:val="3044003E"/>
    <w:rsid w:val="30455CDD"/>
    <w:rsid w:val="30505F70"/>
    <w:rsid w:val="30547F99"/>
    <w:rsid w:val="305703F6"/>
    <w:rsid w:val="305A4D35"/>
    <w:rsid w:val="305E4539"/>
    <w:rsid w:val="30645CFC"/>
    <w:rsid w:val="30665E9F"/>
    <w:rsid w:val="30675208"/>
    <w:rsid w:val="306A5C04"/>
    <w:rsid w:val="306C7EFE"/>
    <w:rsid w:val="30702694"/>
    <w:rsid w:val="3072328C"/>
    <w:rsid w:val="30787874"/>
    <w:rsid w:val="30790767"/>
    <w:rsid w:val="307D24DF"/>
    <w:rsid w:val="30833D57"/>
    <w:rsid w:val="30882BA5"/>
    <w:rsid w:val="30972E37"/>
    <w:rsid w:val="30A57B99"/>
    <w:rsid w:val="30A81640"/>
    <w:rsid w:val="30AB4B84"/>
    <w:rsid w:val="30AF6877"/>
    <w:rsid w:val="30B141D5"/>
    <w:rsid w:val="30B556A1"/>
    <w:rsid w:val="30B97331"/>
    <w:rsid w:val="30BA6D63"/>
    <w:rsid w:val="30BB7213"/>
    <w:rsid w:val="30BC2BA2"/>
    <w:rsid w:val="30C23A3B"/>
    <w:rsid w:val="30C36DBB"/>
    <w:rsid w:val="30CD18D2"/>
    <w:rsid w:val="30D6503C"/>
    <w:rsid w:val="30D751B9"/>
    <w:rsid w:val="30DE6F2C"/>
    <w:rsid w:val="30E24933"/>
    <w:rsid w:val="30E9446C"/>
    <w:rsid w:val="30EC6A43"/>
    <w:rsid w:val="30ED69B7"/>
    <w:rsid w:val="30F5319F"/>
    <w:rsid w:val="30F859A5"/>
    <w:rsid w:val="30FD7DD0"/>
    <w:rsid w:val="31083396"/>
    <w:rsid w:val="310A3D60"/>
    <w:rsid w:val="310A623F"/>
    <w:rsid w:val="310C35ED"/>
    <w:rsid w:val="310D031B"/>
    <w:rsid w:val="310D2AD3"/>
    <w:rsid w:val="31186793"/>
    <w:rsid w:val="31260EC5"/>
    <w:rsid w:val="312F188E"/>
    <w:rsid w:val="31353564"/>
    <w:rsid w:val="31376AFA"/>
    <w:rsid w:val="313B3958"/>
    <w:rsid w:val="31412730"/>
    <w:rsid w:val="31435D97"/>
    <w:rsid w:val="31496258"/>
    <w:rsid w:val="314B0B14"/>
    <w:rsid w:val="314D376C"/>
    <w:rsid w:val="31594B69"/>
    <w:rsid w:val="315B0515"/>
    <w:rsid w:val="31607AF5"/>
    <w:rsid w:val="316B6CEE"/>
    <w:rsid w:val="31705839"/>
    <w:rsid w:val="3182440D"/>
    <w:rsid w:val="31881438"/>
    <w:rsid w:val="318A4A8B"/>
    <w:rsid w:val="318C3787"/>
    <w:rsid w:val="31913A69"/>
    <w:rsid w:val="31922F44"/>
    <w:rsid w:val="31942A73"/>
    <w:rsid w:val="319B3CAA"/>
    <w:rsid w:val="319C66CB"/>
    <w:rsid w:val="31A474A9"/>
    <w:rsid w:val="31B01187"/>
    <w:rsid w:val="31B36D87"/>
    <w:rsid w:val="31B70966"/>
    <w:rsid w:val="31DA7CEA"/>
    <w:rsid w:val="31E35555"/>
    <w:rsid w:val="31E644E6"/>
    <w:rsid w:val="31ED3136"/>
    <w:rsid w:val="31F103E2"/>
    <w:rsid w:val="31FD406A"/>
    <w:rsid w:val="31FE2FC8"/>
    <w:rsid w:val="31FE62BE"/>
    <w:rsid w:val="3204711A"/>
    <w:rsid w:val="320605AC"/>
    <w:rsid w:val="32066C5B"/>
    <w:rsid w:val="320B703A"/>
    <w:rsid w:val="320E37B8"/>
    <w:rsid w:val="32130A25"/>
    <w:rsid w:val="3214416F"/>
    <w:rsid w:val="3216466A"/>
    <w:rsid w:val="321743EE"/>
    <w:rsid w:val="321C7DE3"/>
    <w:rsid w:val="322A25EB"/>
    <w:rsid w:val="323E36AD"/>
    <w:rsid w:val="32415501"/>
    <w:rsid w:val="324276A3"/>
    <w:rsid w:val="32440A8B"/>
    <w:rsid w:val="324619A8"/>
    <w:rsid w:val="324639D0"/>
    <w:rsid w:val="32472605"/>
    <w:rsid w:val="32484049"/>
    <w:rsid w:val="324E20B8"/>
    <w:rsid w:val="32517337"/>
    <w:rsid w:val="325665C7"/>
    <w:rsid w:val="325719E8"/>
    <w:rsid w:val="325E6DEC"/>
    <w:rsid w:val="326170B4"/>
    <w:rsid w:val="3264531C"/>
    <w:rsid w:val="32665466"/>
    <w:rsid w:val="326B38EB"/>
    <w:rsid w:val="32724D99"/>
    <w:rsid w:val="327D79D8"/>
    <w:rsid w:val="32867F83"/>
    <w:rsid w:val="32892A4B"/>
    <w:rsid w:val="3295163A"/>
    <w:rsid w:val="32AB0069"/>
    <w:rsid w:val="32B736BD"/>
    <w:rsid w:val="32B75AFA"/>
    <w:rsid w:val="32B865A2"/>
    <w:rsid w:val="32B95D84"/>
    <w:rsid w:val="32BE6E92"/>
    <w:rsid w:val="32C22B87"/>
    <w:rsid w:val="32DD079A"/>
    <w:rsid w:val="32DF641E"/>
    <w:rsid w:val="32E70824"/>
    <w:rsid w:val="32F94FBF"/>
    <w:rsid w:val="32FE6CC1"/>
    <w:rsid w:val="330E2F53"/>
    <w:rsid w:val="33114756"/>
    <w:rsid w:val="331F2416"/>
    <w:rsid w:val="332477F8"/>
    <w:rsid w:val="33247CF2"/>
    <w:rsid w:val="33264836"/>
    <w:rsid w:val="33291ECF"/>
    <w:rsid w:val="332F119A"/>
    <w:rsid w:val="333B39A9"/>
    <w:rsid w:val="33422255"/>
    <w:rsid w:val="33435FD9"/>
    <w:rsid w:val="3345063A"/>
    <w:rsid w:val="33461261"/>
    <w:rsid w:val="33482D94"/>
    <w:rsid w:val="334F3488"/>
    <w:rsid w:val="335121B9"/>
    <w:rsid w:val="335305D1"/>
    <w:rsid w:val="33554305"/>
    <w:rsid w:val="335544F7"/>
    <w:rsid w:val="33591171"/>
    <w:rsid w:val="335E7AF0"/>
    <w:rsid w:val="336F309D"/>
    <w:rsid w:val="3371608F"/>
    <w:rsid w:val="337829B0"/>
    <w:rsid w:val="337A0742"/>
    <w:rsid w:val="337C0BAD"/>
    <w:rsid w:val="33835519"/>
    <w:rsid w:val="338F53F3"/>
    <w:rsid w:val="33923816"/>
    <w:rsid w:val="33960E31"/>
    <w:rsid w:val="339766EC"/>
    <w:rsid w:val="33A07FCF"/>
    <w:rsid w:val="33A13F7B"/>
    <w:rsid w:val="33A22E78"/>
    <w:rsid w:val="33A8589B"/>
    <w:rsid w:val="33A932A0"/>
    <w:rsid w:val="33B95F01"/>
    <w:rsid w:val="33B96650"/>
    <w:rsid w:val="33BF1D10"/>
    <w:rsid w:val="33C07D0A"/>
    <w:rsid w:val="33C1017A"/>
    <w:rsid w:val="33D72897"/>
    <w:rsid w:val="33DE0862"/>
    <w:rsid w:val="33E0483A"/>
    <w:rsid w:val="33E170B6"/>
    <w:rsid w:val="33E541A9"/>
    <w:rsid w:val="33E93BB1"/>
    <w:rsid w:val="33F75282"/>
    <w:rsid w:val="33FB6405"/>
    <w:rsid w:val="3402383D"/>
    <w:rsid w:val="34070E80"/>
    <w:rsid w:val="340745CB"/>
    <w:rsid w:val="340A53E6"/>
    <w:rsid w:val="340A5E98"/>
    <w:rsid w:val="34110143"/>
    <w:rsid w:val="3415705D"/>
    <w:rsid w:val="341B0F17"/>
    <w:rsid w:val="341E4881"/>
    <w:rsid w:val="34223F33"/>
    <w:rsid w:val="34296055"/>
    <w:rsid w:val="342E505E"/>
    <w:rsid w:val="343306A6"/>
    <w:rsid w:val="34367751"/>
    <w:rsid w:val="34400E6A"/>
    <w:rsid w:val="34414B42"/>
    <w:rsid w:val="34457A14"/>
    <w:rsid w:val="34476BB2"/>
    <w:rsid w:val="34517714"/>
    <w:rsid w:val="345300C7"/>
    <w:rsid w:val="346E1392"/>
    <w:rsid w:val="347362F2"/>
    <w:rsid w:val="347D1832"/>
    <w:rsid w:val="34843B16"/>
    <w:rsid w:val="34886F7C"/>
    <w:rsid w:val="34890665"/>
    <w:rsid w:val="348A1DB8"/>
    <w:rsid w:val="348C2515"/>
    <w:rsid w:val="34953119"/>
    <w:rsid w:val="34980D1E"/>
    <w:rsid w:val="34A206A2"/>
    <w:rsid w:val="34A56525"/>
    <w:rsid w:val="34B033E7"/>
    <w:rsid w:val="34B31AFF"/>
    <w:rsid w:val="34B759AE"/>
    <w:rsid w:val="34B8312F"/>
    <w:rsid w:val="34B93C91"/>
    <w:rsid w:val="34BD350C"/>
    <w:rsid w:val="34BF74EA"/>
    <w:rsid w:val="34C03C3B"/>
    <w:rsid w:val="34D5581C"/>
    <w:rsid w:val="34D766B0"/>
    <w:rsid w:val="34DB2B4D"/>
    <w:rsid w:val="34DF667A"/>
    <w:rsid w:val="34E16316"/>
    <w:rsid w:val="34E467C1"/>
    <w:rsid w:val="34E75F12"/>
    <w:rsid w:val="34F32500"/>
    <w:rsid w:val="350623F2"/>
    <w:rsid w:val="35084B3F"/>
    <w:rsid w:val="3509715C"/>
    <w:rsid w:val="350A5CF4"/>
    <w:rsid w:val="3514693F"/>
    <w:rsid w:val="351F2F82"/>
    <w:rsid w:val="352C0860"/>
    <w:rsid w:val="352D3D79"/>
    <w:rsid w:val="3535293E"/>
    <w:rsid w:val="3536502B"/>
    <w:rsid w:val="353665BD"/>
    <w:rsid w:val="354F01B7"/>
    <w:rsid w:val="355610B1"/>
    <w:rsid w:val="355B65B2"/>
    <w:rsid w:val="355D4F81"/>
    <w:rsid w:val="35600A6C"/>
    <w:rsid w:val="3567202C"/>
    <w:rsid w:val="35691252"/>
    <w:rsid w:val="356C5594"/>
    <w:rsid w:val="356F67E8"/>
    <w:rsid w:val="356F72BF"/>
    <w:rsid w:val="35705AE4"/>
    <w:rsid w:val="35793904"/>
    <w:rsid w:val="357C3199"/>
    <w:rsid w:val="35824905"/>
    <w:rsid w:val="35843F72"/>
    <w:rsid w:val="3587305A"/>
    <w:rsid w:val="358A2094"/>
    <w:rsid w:val="35970273"/>
    <w:rsid w:val="3597400E"/>
    <w:rsid w:val="35986474"/>
    <w:rsid w:val="35A628BF"/>
    <w:rsid w:val="35A8616F"/>
    <w:rsid w:val="35AC4C37"/>
    <w:rsid w:val="35AD48D5"/>
    <w:rsid w:val="35AE6F40"/>
    <w:rsid w:val="35BB1693"/>
    <w:rsid w:val="35BE7911"/>
    <w:rsid w:val="35C1500F"/>
    <w:rsid w:val="35C74E47"/>
    <w:rsid w:val="35C93FD1"/>
    <w:rsid w:val="35D35F43"/>
    <w:rsid w:val="35E03A85"/>
    <w:rsid w:val="35E24DF5"/>
    <w:rsid w:val="35E33F4C"/>
    <w:rsid w:val="35EB2A94"/>
    <w:rsid w:val="35EE0BFA"/>
    <w:rsid w:val="35FC0320"/>
    <w:rsid w:val="35FC78A0"/>
    <w:rsid w:val="35FF463C"/>
    <w:rsid w:val="36033597"/>
    <w:rsid w:val="360D4DD7"/>
    <w:rsid w:val="361124A4"/>
    <w:rsid w:val="36132896"/>
    <w:rsid w:val="36251930"/>
    <w:rsid w:val="36251E52"/>
    <w:rsid w:val="362639C5"/>
    <w:rsid w:val="36280F4A"/>
    <w:rsid w:val="363407F7"/>
    <w:rsid w:val="363627D3"/>
    <w:rsid w:val="36371816"/>
    <w:rsid w:val="3638445C"/>
    <w:rsid w:val="36400122"/>
    <w:rsid w:val="364A0E13"/>
    <w:rsid w:val="364D39D1"/>
    <w:rsid w:val="364F3CBA"/>
    <w:rsid w:val="365612E8"/>
    <w:rsid w:val="36611770"/>
    <w:rsid w:val="36612B90"/>
    <w:rsid w:val="36631030"/>
    <w:rsid w:val="366513C8"/>
    <w:rsid w:val="36692433"/>
    <w:rsid w:val="367A6999"/>
    <w:rsid w:val="367E6E55"/>
    <w:rsid w:val="36825469"/>
    <w:rsid w:val="3686608C"/>
    <w:rsid w:val="36894783"/>
    <w:rsid w:val="368A7B73"/>
    <w:rsid w:val="369023C3"/>
    <w:rsid w:val="369D01F1"/>
    <w:rsid w:val="36A37803"/>
    <w:rsid w:val="36AD62EF"/>
    <w:rsid w:val="36B55922"/>
    <w:rsid w:val="36B8557E"/>
    <w:rsid w:val="36BD0318"/>
    <w:rsid w:val="36C142BF"/>
    <w:rsid w:val="36CA1F25"/>
    <w:rsid w:val="36CB3E3D"/>
    <w:rsid w:val="36CE0FF3"/>
    <w:rsid w:val="36D74BB3"/>
    <w:rsid w:val="36D87F8B"/>
    <w:rsid w:val="36DD1A7C"/>
    <w:rsid w:val="36DE0951"/>
    <w:rsid w:val="36E1021E"/>
    <w:rsid w:val="36EB0E6D"/>
    <w:rsid w:val="36F210B1"/>
    <w:rsid w:val="36FA6519"/>
    <w:rsid w:val="36FB1BE5"/>
    <w:rsid w:val="36FD5A14"/>
    <w:rsid w:val="37007AC7"/>
    <w:rsid w:val="37021CB0"/>
    <w:rsid w:val="37055A40"/>
    <w:rsid w:val="370E4DC9"/>
    <w:rsid w:val="370F0884"/>
    <w:rsid w:val="3713703C"/>
    <w:rsid w:val="371D1C1E"/>
    <w:rsid w:val="371F5B4E"/>
    <w:rsid w:val="371F6EDC"/>
    <w:rsid w:val="372A09FA"/>
    <w:rsid w:val="37330115"/>
    <w:rsid w:val="373529C0"/>
    <w:rsid w:val="37363185"/>
    <w:rsid w:val="373F75C8"/>
    <w:rsid w:val="374008E5"/>
    <w:rsid w:val="3748408D"/>
    <w:rsid w:val="374C5FA0"/>
    <w:rsid w:val="37512525"/>
    <w:rsid w:val="375A58F4"/>
    <w:rsid w:val="375F2D0C"/>
    <w:rsid w:val="376B4FBE"/>
    <w:rsid w:val="37755F37"/>
    <w:rsid w:val="377A25EF"/>
    <w:rsid w:val="377F2EC8"/>
    <w:rsid w:val="378012AC"/>
    <w:rsid w:val="37807A1C"/>
    <w:rsid w:val="378611A5"/>
    <w:rsid w:val="37866CAA"/>
    <w:rsid w:val="378E3BE4"/>
    <w:rsid w:val="37923A87"/>
    <w:rsid w:val="379837CA"/>
    <w:rsid w:val="37994C24"/>
    <w:rsid w:val="379F2891"/>
    <w:rsid w:val="37A4695E"/>
    <w:rsid w:val="37AA79A3"/>
    <w:rsid w:val="37B253AC"/>
    <w:rsid w:val="37B73B33"/>
    <w:rsid w:val="37B87A96"/>
    <w:rsid w:val="37C87091"/>
    <w:rsid w:val="37CB6CE4"/>
    <w:rsid w:val="37D42B5B"/>
    <w:rsid w:val="37E11252"/>
    <w:rsid w:val="37E8004A"/>
    <w:rsid w:val="37E83093"/>
    <w:rsid w:val="37F048A0"/>
    <w:rsid w:val="37F27E10"/>
    <w:rsid w:val="37FD1CC4"/>
    <w:rsid w:val="380B02DE"/>
    <w:rsid w:val="380D262A"/>
    <w:rsid w:val="38260264"/>
    <w:rsid w:val="38283CA5"/>
    <w:rsid w:val="382932C1"/>
    <w:rsid w:val="382A51FA"/>
    <w:rsid w:val="382F4B08"/>
    <w:rsid w:val="38312A30"/>
    <w:rsid w:val="38354760"/>
    <w:rsid w:val="383B53FE"/>
    <w:rsid w:val="383D58E5"/>
    <w:rsid w:val="38410923"/>
    <w:rsid w:val="38526F11"/>
    <w:rsid w:val="38544E85"/>
    <w:rsid w:val="385C73C3"/>
    <w:rsid w:val="38605BE7"/>
    <w:rsid w:val="386851B9"/>
    <w:rsid w:val="387845AF"/>
    <w:rsid w:val="38A00A0E"/>
    <w:rsid w:val="38A122CA"/>
    <w:rsid w:val="38A23923"/>
    <w:rsid w:val="38A81139"/>
    <w:rsid w:val="38A83ADF"/>
    <w:rsid w:val="38AF58FC"/>
    <w:rsid w:val="38B0422A"/>
    <w:rsid w:val="38B10FD3"/>
    <w:rsid w:val="38BF21DB"/>
    <w:rsid w:val="38CE22B8"/>
    <w:rsid w:val="38CE4F70"/>
    <w:rsid w:val="38CF3FB3"/>
    <w:rsid w:val="38D96BEA"/>
    <w:rsid w:val="38DC7DB9"/>
    <w:rsid w:val="38DF7F36"/>
    <w:rsid w:val="38E12A24"/>
    <w:rsid w:val="38E61A09"/>
    <w:rsid w:val="38E7522B"/>
    <w:rsid w:val="38F03DE8"/>
    <w:rsid w:val="38F172EC"/>
    <w:rsid w:val="38FF3D9D"/>
    <w:rsid w:val="390214DB"/>
    <w:rsid w:val="390D588D"/>
    <w:rsid w:val="391F2C63"/>
    <w:rsid w:val="391F5244"/>
    <w:rsid w:val="392029D3"/>
    <w:rsid w:val="39225CE4"/>
    <w:rsid w:val="392635CF"/>
    <w:rsid w:val="392876F4"/>
    <w:rsid w:val="392A377B"/>
    <w:rsid w:val="393120C7"/>
    <w:rsid w:val="3938596C"/>
    <w:rsid w:val="393E362D"/>
    <w:rsid w:val="394B457C"/>
    <w:rsid w:val="395E6FAD"/>
    <w:rsid w:val="396252C6"/>
    <w:rsid w:val="396C6E6C"/>
    <w:rsid w:val="396D0C84"/>
    <w:rsid w:val="397F27D6"/>
    <w:rsid w:val="39866ED7"/>
    <w:rsid w:val="39882673"/>
    <w:rsid w:val="39980102"/>
    <w:rsid w:val="39993040"/>
    <w:rsid w:val="399C08D7"/>
    <w:rsid w:val="399F0B08"/>
    <w:rsid w:val="39A21AD0"/>
    <w:rsid w:val="39AC5AC7"/>
    <w:rsid w:val="39AE1A04"/>
    <w:rsid w:val="39B54FFE"/>
    <w:rsid w:val="39B7679D"/>
    <w:rsid w:val="39C30488"/>
    <w:rsid w:val="39C550B5"/>
    <w:rsid w:val="39C62DFD"/>
    <w:rsid w:val="39C72D89"/>
    <w:rsid w:val="39CE51AC"/>
    <w:rsid w:val="39D34B2B"/>
    <w:rsid w:val="39DC14C7"/>
    <w:rsid w:val="39DC32CF"/>
    <w:rsid w:val="39DC5B33"/>
    <w:rsid w:val="39E24BF4"/>
    <w:rsid w:val="39E53811"/>
    <w:rsid w:val="39ED3A7F"/>
    <w:rsid w:val="39EF3377"/>
    <w:rsid w:val="39F63CA8"/>
    <w:rsid w:val="39F642B5"/>
    <w:rsid w:val="39F92466"/>
    <w:rsid w:val="3A0C76D7"/>
    <w:rsid w:val="3A127640"/>
    <w:rsid w:val="3A19194C"/>
    <w:rsid w:val="3A1A0D13"/>
    <w:rsid w:val="3A1E479F"/>
    <w:rsid w:val="3A204AEC"/>
    <w:rsid w:val="3A213697"/>
    <w:rsid w:val="3A2200E6"/>
    <w:rsid w:val="3A233648"/>
    <w:rsid w:val="3A26059F"/>
    <w:rsid w:val="3A2D4580"/>
    <w:rsid w:val="3A3271CB"/>
    <w:rsid w:val="3A3B2B84"/>
    <w:rsid w:val="3A3E0D77"/>
    <w:rsid w:val="3A3E36F7"/>
    <w:rsid w:val="3A450D78"/>
    <w:rsid w:val="3A4A0FEA"/>
    <w:rsid w:val="3A4E34CE"/>
    <w:rsid w:val="3A504D64"/>
    <w:rsid w:val="3A525FFA"/>
    <w:rsid w:val="3A5610C1"/>
    <w:rsid w:val="3A570443"/>
    <w:rsid w:val="3A6234A0"/>
    <w:rsid w:val="3A6250C2"/>
    <w:rsid w:val="3A627DF4"/>
    <w:rsid w:val="3A6803DD"/>
    <w:rsid w:val="3A764EB2"/>
    <w:rsid w:val="3A791CD8"/>
    <w:rsid w:val="3A7E250A"/>
    <w:rsid w:val="3A7E4600"/>
    <w:rsid w:val="3A8025FB"/>
    <w:rsid w:val="3A88407C"/>
    <w:rsid w:val="3A895FAF"/>
    <w:rsid w:val="3A925378"/>
    <w:rsid w:val="3A9611FB"/>
    <w:rsid w:val="3A9B4F40"/>
    <w:rsid w:val="3A9E4C98"/>
    <w:rsid w:val="3AA23444"/>
    <w:rsid w:val="3AA47C58"/>
    <w:rsid w:val="3AA9254B"/>
    <w:rsid w:val="3AAF39DD"/>
    <w:rsid w:val="3AB06356"/>
    <w:rsid w:val="3ABA4B23"/>
    <w:rsid w:val="3AC039A5"/>
    <w:rsid w:val="3AC20A9E"/>
    <w:rsid w:val="3ACA5143"/>
    <w:rsid w:val="3ACC7E1E"/>
    <w:rsid w:val="3ADA7411"/>
    <w:rsid w:val="3ADC43DB"/>
    <w:rsid w:val="3AE420C9"/>
    <w:rsid w:val="3AE86776"/>
    <w:rsid w:val="3AEB018A"/>
    <w:rsid w:val="3AF45B1A"/>
    <w:rsid w:val="3B000900"/>
    <w:rsid w:val="3B026FD3"/>
    <w:rsid w:val="3B047A2C"/>
    <w:rsid w:val="3B0D012B"/>
    <w:rsid w:val="3B101F22"/>
    <w:rsid w:val="3B117DD2"/>
    <w:rsid w:val="3B124C1B"/>
    <w:rsid w:val="3B144FE3"/>
    <w:rsid w:val="3B16679D"/>
    <w:rsid w:val="3B1725D5"/>
    <w:rsid w:val="3B1B785B"/>
    <w:rsid w:val="3B2A3136"/>
    <w:rsid w:val="3B2B31E1"/>
    <w:rsid w:val="3B2D004D"/>
    <w:rsid w:val="3B321A53"/>
    <w:rsid w:val="3B3245B6"/>
    <w:rsid w:val="3B3E7BB5"/>
    <w:rsid w:val="3B43293D"/>
    <w:rsid w:val="3B4604BD"/>
    <w:rsid w:val="3B564840"/>
    <w:rsid w:val="3B5F7EA1"/>
    <w:rsid w:val="3B622EBC"/>
    <w:rsid w:val="3B697A40"/>
    <w:rsid w:val="3B6D39E1"/>
    <w:rsid w:val="3B733F3E"/>
    <w:rsid w:val="3B752549"/>
    <w:rsid w:val="3B753CCF"/>
    <w:rsid w:val="3B7B6258"/>
    <w:rsid w:val="3B7C16F1"/>
    <w:rsid w:val="3B7D36E1"/>
    <w:rsid w:val="3B7E0219"/>
    <w:rsid w:val="3B89320E"/>
    <w:rsid w:val="3B8A52AF"/>
    <w:rsid w:val="3B8A6A1F"/>
    <w:rsid w:val="3B8C7EB7"/>
    <w:rsid w:val="3B8F082B"/>
    <w:rsid w:val="3B910482"/>
    <w:rsid w:val="3B9B6F13"/>
    <w:rsid w:val="3BB0575A"/>
    <w:rsid w:val="3BB16615"/>
    <w:rsid w:val="3BB96052"/>
    <w:rsid w:val="3BBA4271"/>
    <w:rsid w:val="3BBD1447"/>
    <w:rsid w:val="3BC05AA5"/>
    <w:rsid w:val="3BC731AB"/>
    <w:rsid w:val="3BCE0130"/>
    <w:rsid w:val="3BDC6833"/>
    <w:rsid w:val="3BE5760A"/>
    <w:rsid w:val="3BE97F3F"/>
    <w:rsid w:val="3BED1959"/>
    <w:rsid w:val="3BED69ED"/>
    <w:rsid w:val="3BF736C7"/>
    <w:rsid w:val="3BF817EA"/>
    <w:rsid w:val="3BF91A21"/>
    <w:rsid w:val="3BFD170B"/>
    <w:rsid w:val="3C04103F"/>
    <w:rsid w:val="3C0A636D"/>
    <w:rsid w:val="3C0D7EBC"/>
    <w:rsid w:val="3C130B57"/>
    <w:rsid w:val="3C176715"/>
    <w:rsid w:val="3C190282"/>
    <w:rsid w:val="3C1E02BB"/>
    <w:rsid w:val="3C20170F"/>
    <w:rsid w:val="3C316428"/>
    <w:rsid w:val="3C35789E"/>
    <w:rsid w:val="3C3A17EA"/>
    <w:rsid w:val="3C3D3D2A"/>
    <w:rsid w:val="3C3E6D60"/>
    <w:rsid w:val="3C441041"/>
    <w:rsid w:val="3C4D4524"/>
    <w:rsid w:val="3C5330D2"/>
    <w:rsid w:val="3C5639DE"/>
    <w:rsid w:val="3C571C05"/>
    <w:rsid w:val="3C5E44B4"/>
    <w:rsid w:val="3C5F2B5B"/>
    <w:rsid w:val="3C6167B0"/>
    <w:rsid w:val="3C64352B"/>
    <w:rsid w:val="3C672E2C"/>
    <w:rsid w:val="3C6A6B8C"/>
    <w:rsid w:val="3C6B0FA1"/>
    <w:rsid w:val="3C707DB8"/>
    <w:rsid w:val="3C727A8A"/>
    <w:rsid w:val="3C731673"/>
    <w:rsid w:val="3C764FC0"/>
    <w:rsid w:val="3C7D7F35"/>
    <w:rsid w:val="3C8B3A72"/>
    <w:rsid w:val="3C8B5507"/>
    <w:rsid w:val="3C8D58BE"/>
    <w:rsid w:val="3C8E45F4"/>
    <w:rsid w:val="3C8E5FED"/>
    <w:rsid w:val="3C8F038A"/>
    <w:rsid w:val="3C913576"/>
    <w:rsid w:val="3C973C0D"/>
    <w:rsid w:val="3C9E20B1"/>
    <w:rsid w:val="3C9F4567"/>
    <w:rsid w:val="3CB53A65"/>
    <w:rsid w:val="3CC102AC"/>
    <w:rsid w:val="3CC41C17"/>
    <w:rsid w:val="3CCF14D9"/>
    <w:rsid w:val="3CE03742"/>
    <w:rsid w:val="3CE360F2"/>
    <w:rsid w:val="3CE543AA"/>
    <w:rsid w:val="3CEE5C15"/>
    <w:rsid w:val="3CF5496B"/>
    <w:rsid w:val="3D01019C"/>
    <w:rsid w:val="3D050A90"/>
    <w:rsid w:val="3D056133"/>
    <w:rsid w:val="3D0E3346"/>
    <w:rsid w:val="3D115586"/>
    <w:rsid w:val="3D197739"/>
    <w:rsid w:val="3D2871B7"/>
    <w:rsid w:val="3D2B2775"/>
    <w:rsid w:val="3D2C2A68"/>
    <w:rsid w:val="3D317F54"/>
    <w:rsid w:val="3D357242"/>
    <w:rsid w:val="3D372F70"/>
    <w:rsid w:val="3D3B5E88"/>
    <w:rsid w:val="3D4274CF"/>
    <w:rsid w:val="3D500385"/>
    <w:rsid w:val="3D574D02"/>
    <w:rsid w:val="3D576CFB"/>
    <w:rsid w:val="3D5A44CB"/>
    <w:rsid w:val="3D5B5A4A"/>
    <w:rsid w:val="3D5D42EF"/>
    <w:rsid w:val="3D6025AF"/>
    <w:rsid w:val="3D6052EA"/>
    <w:rsid w:val="3D636B57"/>
    <w:rsid w:val="3D647CD4"/>
    <w:rsid w:val="3D753B2D"/>
    <w:rsid w:val="3D7B49B3"/>
    <w:rsid w:val="3D8132F5"/>
    <w:rsid w:val="3D84454D"/>
    <w:rsid w:val="3D8720EB"/>
    <w:rsid w:val="3D8C2D13"/>
    <w:rsid w:val="3D8D259B"/>
    <w:rsid w:val="3D8D2E74"/>
    <w:rsid w:val="3D8F2438"/>
    <w:rsid w:val="3D940183"/>
    <w:rsid w:val="3D94569F"/>
    <w:rsid w:val="3D9A4AEF"/>
    <w:rsid w:val="3D9F2809"/>
    <w:rsid w:val="3DA64C20"/>
    <w:rsid w:val="3DB25777"/>
    <w:rsid w:val="3DB328C2"/>
    <w:rsid w:val="3DBD0BED"/>
    <w:rsid w:val="3DBE6EF6"/>
    <w:rsid w:val="3DC14984"/>
    <w:rsid w:val="3DCC12F0"/>
    <w:rsid w:val="3DCE0717"/>
    <w:rsid w:val="3DDE5559"/>
    <w:rsid w:val="3DE142EC"/>
    <w:rsid w:val="3DE41CDC"/>
    <w:rsid w:val="3DE85142"/>
    <w:rsid w:val="3DEB52FD"/>
    <w:rsid w:val="3DFC38E9"/>
    <w:rsid w:val="3E016AE6"/>
    <w:rsid w:val="3E13749E"/>
    <w:rsid w:val="3E187D1F"/>
    <w:rsid w:val="3E1C3525"/>
    <w:rsid w:val="3E200B4B"/>
    <w:rsid w:val="3E225DB0"/>
    <w:rsid w:val="3E2658AC"/>
    <w:rsid w:val="3E2B1230"/>
    <w:rsid w:val="3E3D069E"/>
    <w:rsid w:val="3E3F1102"/>
    <w:rsid w:val="3E483582"/>
    <w:rsid w:val="3E4F50F0"/>
    <w:rsid w:val="3E5337D0"/>
    <w:rsid w:val="3E537DE4"/>
    <w:rsid w:val="3E554154"/>
    <w:rsid w:val="3E5807FD"/>
    <w:rsid w:val="3E5F165E"/>
    <w:rsid w:val="3E650A83"/>
    <w:rsid w:val="3E6547E9"/>
    <w:rsid w:val="3E6A28BE"/>
    <w:rsid w:val="3E6A6BB5"/>
    <w:rsid w:val="3E6B1778"/>
    <w:rsid w:val="3E6D548C"/>
    <w:rsid w:val="3E785E96"/>
    <w:rsid w:val="3E7D4EAA"/>
    <w:rsid w:val="3E8939E2"/>
    <w:rsid w:val="3E8C7718"/>
    <w:rsid w:val="3E8D2247"/>
    <w:rsid w:val="3E9035DD"/>
    <w:rsid w:val="3E904009"/>
    <w:rsid w:val="3E911C59"/>
    <w:rsid w:val="3E93484E"/>
    <w:rsid w:val="3E947135"/>
    <w:rsid w:val="3E9719E0"/>
    <w:rsid w:val="3E996659"/>
    <w:rsid w:val="3E9E1FC0"/>
    <w:rsid w:val="3EA300A7"/>
    <w:rsid w:val="3EA71DD5"/>
    <w:rsid w:val="3EAF1BD3"/>
    <w:rsid w:val="3EBD425F"/>
    <w:rsid w:val="3EC10636"/>
    <w:rsid w:val="3EC3043C"/>
    <w:rsid w:val="3EC8679C"/>
    <w:rsid w:val="3ED21F76"/>
    <w:rsid w:val="3ED56178"/>
    <w:rsid w:val="3EDA729E"/>
    <w:rsid w:val="3EDC3881"/>
    <w:rsid w:val="3EDF478B"/>
    <w:rsid w:val="3EE5288B"/>
    <w:rsid w:val="3EF707E9"/>
    <w:rsid w:val="3EFF58DE"/>
    <w:rsid w:val="3F027DD0"/>
    <w:rsid w:val="3F0D5E04"/>
    <w:rsid w:val="3F175F24"/>
    <w:rsid w:val="3F1E384C"/>
    <w:rsid w:val="3F232D0D"/>
    <w:rsid w:val="3F2725A2"/>
    <w:rsid w:val="3F2E1337"/>
    <w:rsid w:val="3F2E179C"/>
    <w:rsid w:val="3F2E2497"/>
    <w:rsid w:val="3F3303B1"/>
    <w:rsid w:val="3F3607B2"/>
    <w:rsid w:val="3F3635EF"/>
    <w:rsid w:val="3F380D4D"/>
    <w:rsid w:val="3F450C5E"/>
    <w:rsid w:val="3F4A339D"/>
    <w:rsid w:val="3F4A401A"/>
    <w:rsid w:val="3F531930"/>
    <w:rsid w:val="3F5B7933"/>
    <w:rsid w:val="3F5E47EB"/>
    <w:rsid w:val="3F5F2F95"/>
    <w:rsid w:val="3F6351E6"/>
    <w:rsid w:val="3F66563F"/>
    <w:rsid w:val="3F6775AE"/>
    <w:rsid w:val="3F6C5444"/>
    <w:rsid w:val="3F6E7773"/>
    <w:rsid w:val="3F780590"/>
    <w:rsid w:val="3F7D4C65"/>
    <w:rsid w:val="3F824C3E"/>
    <w:rsid w:val="3F8578BC"/>
    <w:rsid w:val="3F8C78AF"/>
    <w:rsid w:val="3F8F5878"/>
    <w:rsid w:val="3F9F1936"/>
    <w:rsid w:val="3FA05939"/>
    <w:rsid w:val="3FA410FB"/>
    <w:rsid w:val="3FAB5086"/>
    <w:rsid w:val="3FBA31D2"/>
    <w:rsid w:val="3FBD2DA4"/>
    <w:rsid w:val="3FBF2FE8"/>
    <w:rsid w:val="3FCB51D3"/>
    <w:rsid w:val="3FCD21AF"/>
    <w:rsid w:val="3FDE02D2"/>
    <w:rsid w:val="3FE672B3"/>
    <w:rsid w:val="3FE8441C"/>
    <w:rsid w:val="3FED00AC"/>
    <w:rsid w:val="3FFB4C57"/>
    <w:rsid w:val="4002562A"/>
    <w:rsid w:val="400A2075"/>
    <w:rsid w:val="400D463C"/>
    <w:rsid w:val="400D69C0"/>
    <w:rsid w:val="40121A4C"/>
    <w:rsid w:val="401E1F88"/>
    <w:rsid w:val="40266EE6"/>
    <w:rsid w:val="402D166A"/>
    <w:rsid w:val="402E2668"/>
    <w:rsid w:val="403E203C"/>
    <w:rsid w:val="40406945"/>
    <w:rsid w:val="405733C5"/>
    <w:rsid w:val="40595063"/>
    <w:rsid w:val="405B2555"/>
    <w:rsid w:val="40644A59"/>
    <w:rsid w:val="40653402"/>
    <w:rsid w:val="40654256"/>
    <w:rsid w:val="406966F6"/>
    <w:rsid w:val="406C1E4C"/>
    <w:rsid w:val="406E2D1C"/>
    <w:rsid w:val="4075475E"/>
    <w:rsid w:val="407A1956"/>
    <w:rsid w:val="407C3AE5"/>
    <w:rsid w:val="407E45ED"/>
    <w:rsid w:val="407F1C79"/>
    <w:rsid w:val="408116A4"/>
    <w:rsid w:val="4083285F"/>
    <w:rsid w:val="4083477A"/>
    <w:rsid w:val="409177AF"/>
    <w:rsid w:val="409223C9"/>
    <w:rsid w:val="409B660A"/>
    <w:rsid w:val="409C2625"/>
    <w:rsid w:val="409E7EBB"/>
    <w:rsid w:val="40A52365"/>
    <w:rsid w:val="40A843C0"/>
    <w:rsid w:val="40A93DFB"/>
    <w:rsid w:val="40A96AA7"/>
    <w:rsid w:val="40AA4478"/>
    <w:rsid w:val="40B04F11"/>
    <w:rsid w:val="40B10BBD"/>
    <w:rsid w:val="40BB4C7D"/>
    <w:rsid w:val="40C04B53"/>
    <w:rsid w:val="40C266AB"/>
    <w:rsid w:val="40C27447"/>
    <w:rsid w:val="40D41A16"/>
    <w:rsid w:val="40D641E4"/>
    <w:rsid w:val="40DD566B"/>
    <w:rsid w:val="40DD7A15"/>
    <w:rsid w:val="40EF3B05"/>
    <w:rsid w:val="40F2406F"/>
    <w:rsid w:val="40F676A4"/>
    <w:rsid w:val="40F82272"/>
    <w:rsid w:val="40F8489B"/>
    <w:rsid w:val="40FF5264"/>
    <w:rsid w:val="4104251E"/>
    <w:rsid w:val="41080CDA"/>
    <w:rsid w:val="410B711D"/>
    <w:rsid w:val="411266A1"/>
    <w:rsid w:val="41162C62"/>
    <w:rsid w:val="411A76F4"/>
    <w:rsid w:val="41256C5A"/>
    <w:rsid w:val="412D7B4F"/>
    <w:rsid w:val="41317BA1"/>
    <w:rsid w:val="413362A7"/>
    <w:rsid w:val="41356368"/>
    <w:rsid w:val="413A07A9"/>
    <w:rsid w:val="413F2EDC"/>
    <w:rsid w:val="41423045"/>
    <w:rsid w:val="414311A9"/>
    <w:rsid w:val="415809BC"/>
    <w:rsid w:val="415E7F1E"/>
    <w:rsid w:val="4163168B"/>
    <w:rsid w:val="4163256C"/>
    <w:rsid w:val="41645CF3"/>
    <w:rsid w:val="41684FED"/>
    <w:rsid w:val="41705CAC"/>
    <w:rsid w:val="41714948"/>
    <w:rsid w:val="417852FE"/>
    <w:rsid w:val="41792489"/>
    <w:rsid w:val="418140CD"/>
    <w:rsid w:val="418718DD"/>
    <w:rsid w:val="41912A19"/>
    <w:rsid w:val="41933D70"/>
    <w:rsid w:val="41975AE6"/>
    <w:rsid w:val="419A0534"/>
    <w:rsid w:val="419B793A"/>
    <w:rsid w:val="41A331B2"/>
    <w:rsid w:val="41A7672E"/>
    <w:rsid w:val="41AB30BD"/>
    <w:rsid w:val="41AF1DBA"/>
    <w:rsid w:val="41B32CA2"/>
    <w:rsid w:val="41B87C5C"/>
    <w:rsid w:val="41C16449"/>
    <w:rsid w:val="41CD42B3"/>
    <w:rsid w:val="41CF1A73"/>
    <w:rsid w:val="41D30EC3"/>
    <w:rsid w:val="41D8442A"/>
    <w:rsid w:val="41E82F0A"/>
    <w:rsid w:val="41EA07BD"/>
    <w:rsid w:val="41F22E27"/>
    <w:rsid w:val="41F45A1C"/>
    <w:rsid w:val="42101E16"/>
    <w:rsid w:val="421337A1"/>
    <w:rsid w:val="421B4732"/>
    <w:rsid w:val="421E0CE5"/>
    <w:rsid w:val="42226E50"/>
    <w:rsid w:val="42280A06"/>
    <w:rsid w:val="422C1E62"/>
    <w:rsid w:val="422D5177"/>
    <w:rsid w:val="422E0294"/>
    <w:rsid w:val="4238215D"/>
    <w:rsid w:val="42387696"/>
    <w:rsid w:val="424F6D9D"/>
    <w:rsid w:val="425D639C"/>
    <w:rsid w:val="42647938"/>
    <w:rsid w:val="42650D88"/>
    <w:rsid w:val="426664F2"/>
    <w:rsid w:val="4267619E"/>
    <w:rsid w:val="426E0E54"/>
    <w:rsid w:val="42746CC9"/>
    <w:rsid w:val="4276315B"/>
    <w:rsid w:val="42770358"/>
    <w:rsid w:val="42782D0E"/>
    <w:rsid w:val="427C3379"/>
    <w:rsid w:val="42812BEB"/>
    <w:rsid w:val="428546DC"/>
    <w:rsid w:val="428759CF"/>
    <w:rsid w:val="42883656"/>
    <w:rsid w:val="42917131"/>
    <w:rsid w:val="42A36014"/>
    <w:rsid w:val="42A823D1"/>
    <w:rsid w:val="42B3225F"/>
    <w:rsid w:val="42B52CAE"/>
    <w:rsid w:val="42BE31F4"/>
    <w:rsid w:val="42C23654"/>
    <w:rsid w:val="42CA6FBD"/>
    <w:rsid w:val="42DD651C"/>
    <w:rsid w:val="42E23496"/>
    <w:rsid w:val="42E64ADF"/>
    <w:rsid w:val="42E87A95"/>
    <w:rsid w:val="42EB6105"/>
    <w:rsid w:val="42EB6FAA"/>
    <w:rsid w:val="42FF18C5"/>
    <w:rsid w:val="43011432"/>
    <w:rsid w:val="43037E1E"/>
    <w:rsid w:val="430C7ADD"/>
    <w:rsid w:val="43141066"/>
    <w:rsid w:val="431567DE"/>
    <w:rsid w:val="431B24E0"/>
    <w:rsid w:val="431F46B8"/>
    <w:rsid w:val="432129E2"/>
    <w:rsid w:val="43224918"/>
    <w:rsid w:val="432A4383"/>
    <w:rsid w:val="432F2DDE"/>
    <w:rsid w:val="4337416F"/>
    <w:rsid w:val="433D431F"/>
    <w:rsid w:val="43441D8D"/>
    <w:rsid w:val="43441DEB"/>
    <w:rsid w:val="4345375F"/>
    <w:rsid w:val="43456F8D"/>
    <w:rsid w:val="434B6E74"/>
    <w:rsid w:val="434D496D"/>
    <w:rsid w:val="435436B7"/>
    <w:rsid w:val="4357300A"/>
    <w:rsid w:val="43654953"/>
    <w:rsid w:val="43675239"/>
    <w:rsid w:val="43683AE3"/>
    <w:rsid w:val="436D6DD8"/>
    <w:rsid w:val="437300B3"/>
    <w:rsid w:val="437D708F"/>
    <w:rsid w:val="438028DB"/>
    <w:rsid w:val="43811301"/>
    <w:rsid w:val="43891425"/>
    <w:rsid w:val="438B1EF4"/>
    <w:rsid w:val="438D25B3"/>
    <w:rsid w:val="43933756"/>
    <w:rsid w:val="439C453E"/>
    <w:rsid w:val="43B001FE"/>
    <w:rsid w:val="43B13CDD"/>
    <w:rsid w:val="43B543AF"/>
    <w:rsid w:val="43BB1566"/>
    <w:rsid w:val="43BD261D"/>
    <w:rsid w:val="43BE6232"/>
    <w:rsid w:val="43BE67A1"/>
    <w:rsid w:val="43C91A5D"/>
    <w:rsid w:val="43CA4D0A"/>
    <w:rsid w:val="43CA7FB9"/>
    <w:rsid w:val="43CC1A85"/>
    <w:rsid w:val="43CC1C20"/>
    <w:rsid w:val="43CF6547"/>
    <w:rsid w:val="43D03A61"/>
    <w:rsid w:val="43D349E2"/>
    <w:rsid w:val="43D34DCA"/>
    <w:rsid w:val="43D951C6"/>
    <w:rsid w:val="43D95633"/>
    <w:rsid w:val="43DA1716"/>
    <w:rsid w:val="43E202FC"/>
    <w:rsid w:val="43E62C52"/>
    <w:rsid w:val="43EB08C7"/>
    <w:rsid w:val="43F97366"/>
    <w:rsid w:val="43FB5DD1"/>
    <w:rsid w:val="44011F00"/>
    <w:rsid w:val="44081F38"/>
    <w:rsid w:val="440D376B"/>
    <w:rsid w:val="441C152A"/>
    <w:rsid w:val="4423052A"/>
    <w:rsid w:val="44320FD1"/>
    <w:rsid w:val="443241B1"/>
    <w:rsid w:val="44385C50"/>
    <w:rsid w:val="44415838"/>
    <w:rsid w:val="44422B74"/>
    <w:rsid w:val="44442356"/>
    <w:rsid w:val="44453B2D"/>
    <w:rsid w:val="4449591C"/>
    <w:rsid w:val="444B0553"/>
    <w:rsid w:val="444F471E"/>
    <w:rsid w:val="445439C0"/>
    <w:rsid w:val="44552845"/>
    <w:rsid w:val="4460423F"/>
    <w:rsid w:val="446924D7"/>
    <w:rsid w:val="446F1124"/>
    <w:rsid w:val="447C700B"/>
    <w:rsid w:val="447F0C72"/>
    <w:rsid w:val="447F27A2"/>
    <w:rsid w:val="448623BD"/>
    <w:rsid w:val="448A692C"/>
    <w:rsid w:val="448B5A75"/>
    <w:rsid w:val="44982F38"/>
    <w:rsid w:val="449A4E8D"/>
    <w:rsid w:val="44A76CF6"/>
    <w:rsid w:val="44AC1EE5"/>
    <w:rsid w:val="44AD1FCC"/>
    <w:rsid w:val="44AF0F0F"/>
    <w:rsid w:val="44B81444"/>
    <w:rsid w:val="44BA1746"/>
    <w:rsid w:val="44BD0353"/>
    <w:rsid w:val="44C462F8"/>
    <w:rsid w:val="44CD31E2"/>
    <w:rsid w:val="44DC7C8E"/>
    <w:rsid w:val="44DD2005"/>
    <w:rsid w:val="44DD62F3"/>
    <w:rsid w:val="44DF60D4"/>
    <w:rsid w:val="44E04549"/>
    <w:rsid w:val="44EF7554"/>
    <w:rsid w:val="44F32FB8"/>
    <w:rsid w:val="44FB468C"/>
    <w:rsid w:val="44FC164A"/>
    <w:rsid w:val="45010547"/>
    <w:rsid w:val="450A37A6"/>
    <w:rsid w:val="451B1444"/>
    <w:rsid w:val="453A3D5A"/>
    <w:rsid w:val="453D3A6E"/>
    <w:rsid w:val="454B22CD"/>
    <w:rsid w:val="454E009D"/>
    <w:rsid w:val="45570263"/>
    <w:rsid w:val="455E543A"/>
    <w:rsid w:val="45605DF9"/>
    <w:rsid w:val="4563425B"/>
    <w:rsid w:val="456526DC"/>
    <w:rsid w:val="456B6252"/>
    <w:rsid w:val="45722531"/>
    <w:rsid w:val="457314F5"/>
    <w:rsid w:val="45733DC0"/>
    <w:rsid w:val="457B1A59"/>
    <w:rsid w:val="458B5065"/>
    <w:rsid w:val="45912560"/>
    <w:rsid w:val="459865CE"/>
    <w:rsid w:val="459C7432"/>
    <w:rsid w:val="45A85223"/>
    <w:rsid w:val="45AE1362"/>
    <w:rsid w:val="45B62421"/>
    <w:rsid w:val="45B71B16"/>
    <w:rsid w:val="45BA2312"/>
    <w:rsid w:val="45BA3A4B"/>
    <w:rsid w:val="45BA6B0D"/>
    <w:rsid w:val="45BC2451"/>
    <w:rsid w:val="45C168FC"/>
    <w:rsid w:val="45C95507"/>
    <w:rsid w:val="45D0102E"/>
    <w:rsid w:val="45D94E71"/>
    <w:rsid w:val="45D976C4"/>
    <w:rsid w:val="45E42AD7"/>
    <w:rsid w:val="45EF47BB"/>
    <w:rsid w:val="45F07F25"/>
    <w:rsid w:val="45F21CCB"/>
    <w:rsid w:val="45FE6567"/>
    <w:rsid w:val="460554D3"/>
    <w:rsid w:val="46166A5E"/>
    <w:rsid w:val="46177320"/>
    <w:rsid w:val="46216760"/>
    <w:rsid w:val="46226875"/>
    <w:rsid w:val="46317741"/>
    <w:rsid w:val="463974F7"/>
    <w:rsid w:val="46423CE6"/>
    <w:rsid w:val="46495DEF"/>
    <w:rsid w:val="464B7691"/>
    <w:rsid w:val="464E4459"/>
    <w:rsid w:val="464F7D9C"/>
    <w:rsid w:val="46510993"/>
    <w:rsid w:val="465175DE"/>
    <w:rsid w:val="46574610"/>
    <w:rsid w:val="46597DAF"/>
    <w:rsid w:val="465C5099"/>
    <w:rsid w:val="465D4024"/>
    <w:rsid w:val="4660270E"/>
    <w:rsid w:val="46607ECE"/>
    <w:rsid w:val="466C2849"/>
    <w:rsid w:val="467A6857"/>
    <w:rsid w:val="46803B85"/>
    <w:rsid w:val="468119D1"/>
    <w:rsid w:val="468A7785"/>
    <w:rsid w:val="468F0CB4"/>
    <w:rsid w:val="469954EC"/>
    <w:rsid w:val="46A714BA"/>
    <w:rsid w:val="46A80D82"/>
    <w:rsid w:val="46AD46D2"/>
    <w:rsid w:val="46B26810"/>
    <w:rsid w:val="46B47575"/>
    <w:rsid w:val="46BA55F9"/>
    <w:rsid w:val="46BB7BAE"/>
    <w:rsid w:val="46BF304B"/>
    <w:rsid w:val="46C05933"/>
    <w:rsid w:val="46C20EBF"/>
    <w:rsid w:val="46CB3B16"/>
    <w:rsid w:val="46D06061"/>
    <w:rsid w:val="46D80AEE"/>
    <w:rsid w:val="46DA25C3"/>
    <w:rsid w:val="46DB4025"/>
    <w:rsid w:val="46E40F07"/>
    <w:rsid w:val="46E44903"/>
    <w:rsid w:val="46E813A4"/>
    <w:rsid w:val="46E94533"/>
    <w:rsid w:val="46E97115"/>
    <w:rsid w:val="46F575B9"/>
    <w:rsid w:val="46F603FE"/>
    <w:rsid w:val="46FF6008"/>
    <w:rsid w:val="470457E6"/>
    <w:rsid w:val="47173C62"/>
    <w:rsid w:val="47183472"/>
    <w:rsid w:val="47185071"/>
    <w:rsid w:val="47210A51"/>
    <w:rsid w:val="47222493"/>
    <w:rsid w:val="472530E4"/>
    <w:rsid w:val="47293E0F"/>
    <w:rsid w:val="47307DD7"/>
    <w:rsid w:val="473C1E11"/>
    <w:rsid w:val="473E2FCD"/>
    <w:rsid w:val="473F409F"/>
    <w:rsid w:val="47402C33"/>
    <w:rsid w:val="4741268A"/>
    <w:rsid w:val="47496A9E"/>
    <w:rsid w:val="474C23A8"/>
    <w:rsid w:val="475029D2"/>
    <w:rsid w:val="475603F6"/>
    <w:rsid w:val="47645447"/>
    <w:rsid w:val="47656DCE"/>
    <w:rsid w:val="476C7B45"/>
    <w:rsid w:val="476D0C9F"/>
    <w:rsid w:val="476D16A7"/>
    <w:rsid w:val="47722A18"/>
    <w:rsid w:val="47741D0C"/>
    <w:rsid w:val="47781B66"/>
    <w:rsid w:val="47794796"/>
    <w:rsid w:val="477C5FA6"/>
    <w:rsid w:val="47805970"/>
    <w:rsid w:val="47876B9F"/>
    <w:rsid w:val="478B55C7"/>
    <w:rsid w:val="478C0EC4"/>
    <w:rsid w:val="479236A7"/>
    <w:rsid w:val="47923CE5"/>
    <w:rsid w:val="47935FB2"/>
    <w:rsid w:val="47953EA1"/>
    <w:rsid w:val="47A213C0"/>
    <w:rsid w:val="47A82978"/>
    <w:rsid w:val="47AD2ABA"/>
    <w:rsid w:val="47B57B67"/>
    <w:rsid w:val="47B57D5F"/>
    <w:rsid w:val="47B70C7A"/>
    <w:rsid w:val="47B76453"/>
    <w:rsid w:val="47C10328"/>
    <w:rsid w:val="47C2640D"/>
    <w:rsid w:val="47D52482"/>
    <w:rsid w:val="47DC4284"/>
    <w:rsid w:val="47DC44AD"/>
    <w:rsid w:val="47DF7B1C"/>
    <w:rsid w:val="47E50EDA"/>
    <w:rsid w:val="47E60318"/>
    <w:rsid w:val="47E8372E"/>
    <w:rsid w:val="47F21EF0"/>
    <w:rsid w:val="47F5197C"/>
    <w:rsid w:val="47F95DB7"/>
    <w:rsid w:val="480F66E3"/>
    <w:rsid w:val="481270AB"/>
    <w:rsid w:val="481D08A3"/>
    <w:rsid w:val="481D120F"/>
    <w:rsid w:val="48203E6E"/>
    <w:rsid w:val="482105C0"/>
    <w:rsid w:val="48211E7E"/>
    <w:rsid w:val="48252B50"/>
    <w:rsid w:val="4832552C"/>
    <w:rsid w:val="48342F88"/>
    <w:rsid w:val="483510C7"/>
    <w:rsid w:val="48372EBB"/>
    <w:rsid w:val="48384196"/>
    <w:rsid w:val="483B42DC"/>
    <w:rsid w:val="484E1371"/>
    <w:rsid w:val="48554F42"/>
    <w:rsid w:val="485C39F4"/>
    <w:rsid w:val="485E7ACC"/>
    <w:rsid w:val="48604BE3"/>
    <w:rsid w:val="4862142D"/>
    <w:rsid w:val="48626E30"/>
    <w:rsid w:val="48636ED0"/>
    <w:rsid w:val="48680479"/>
    <w:rsid w:val="486A4A47"/>
    <w:rsid w:val="486B4FCA"/>
    <w:rsid w:val="48766E5E"/>
    <w:rsid w:val="487835F2"/>
    <w:rsid w:val="487A69DB"/>
    <w:rsid w:val="48801724"/>
    <w:rsid w:val="48811F62"/>
    <w:rsid w:val="4889205F"/>
    <w:rsid w:val="488A476B"/>
    <w:rsid w:val="48914435"/>
    <w:rsid w:val="48952A5D"/>
    <w:rsid w:val="489701E4"/>
    <w:rsid w:val="489711F0"/>
    <w:rsid w:val="4898120E"/>
    <w:rsid w:val="489C5552"/>
    <w:rsid w:val="48A03639"/>
    <w:rsid w:val="48A3334F"/>
    <w:rsid w:val="48AB0568"/>
    <w:rsid w:val="48AB63B2"/>
    <w:rsid w:val="48B23A8E"/>
    <w:rsid w:val="48B267FE"/>
    <w:rsid w:val="48BA110B"/>
    <w:rsid w:val="48BD578E"/>
    <w:rsid w:val="48C170BE"/>
    <w:rsid w:val="48CD0CC0"/>
    <w:rsid w:val="48CD762C"/>
    <w:rsid w:val="48CF57E3"/>
    <w:rsid w:val="48D376B5"/>
    <w:rsid w:val="48D42363"/>
    <w:rsid w:val="48D730D3"/>
    <w:rsid w:val="48D949EA"/>
    <w:rsid w:val="48E1069F"/>
    <w:rsid w:val="48F73D54"/>
    <w:rsid w:val="48FA28F1"/>
    <w:rsid w:val="48FB457E"/>
    <w:rsid w:val="48FE2C68"/>
    <w:rsid w:val="4905290C"/>
    <w:rsid w:val="49063785"/>
    <w:rsid w:val="49171B66"/>
    <w:rsid w:val="491A0D1D"/>
    <w:rsid w:val="491C548A"/>
    <w:rsid w:val="491D1B81"/>
    <w:rsid w:val="492F531F"/>
    <w:rsid w:val="492F6636"/>
    <w:rsid w:val="492F7E36"/>
    <w:rsid w:val="493922E0"/>
    <w:rsid w:val="49405D5E"/>
    <w:rsid w:val="49532DE0"/>
    <w:rsid w:val="49561E92"/>
    <w:rsid w:val="495773A9"/>
    <w:rsid w:val="495E49C0"/>
    <w:rsid w:val="4960114B"/>
    <w:rsid w:val="496735FA"/>
    <w:rsid w:val="496A1DB8"/>
    <w:rsid w:val="497016DD"/>
    <w:rsid w:val="4971045B"/>
    <w:rsid w:val="4979031F"/>
    <w:rsid w:val="497976FA"/>
    <w:rsid w:val="49833A3E"/>
    <w:rsid w:val="49874269"/>
    <w:rsid w:val="49896678"/>
    <w:rsid w:val="49907119"/>
    <w:rsid w:val="49995130"/>
    <w:rsid w:val="49A07153"/>
    <w:rsid w:val="49A42C3A"/>
    <w:rsid w:val="49A63E09"/>
    <w:rsid w:val="49A67E4A"/>
    <w:rsid w:val="49AE68B8"/>
    <w:rsid w:val="49BA40F4"/>
    <w:rsid w:val="49BD0C30"/>
    <w:rsid w:val="49C068FC"/>
    <w:rsid w:val="49C302B6"/>
    <w:rsid w:val="49C60139"/>
    <w:rsid w:val="49C63B01"/>
    <w:rsid w:val="49E6704C"/>
    <w:rsid w:val="49E74780"/>
    <w:rsid w:val="49EE6A1F"/>
    <w:rsid w:val="49EF23AD"/>
    <w:rsid w:val="49F03743"/>
    <w:rsid w:val="49F14CC3"/>
    <w:rsid w:val="49F34B13"/>
    <w:rsid w:val="49FA6E2A"/>
    <w:rsid w:val="49FD6413"/>
    <w:rsid w:val="49FE1236"/>
    <w:rsid w:val="4A0C3144"/>
    <w:rsid w:val="4A192C26"/>
    <w:rsid w:val="4A2A2E23"/>
    <w:rsid w:val="4A3B617B"/>
    <w:rsid w:val="4A3D4FF8"/>
    <w:rsid w:val="4A3F629B"/>
    <w:rsid w:val="4A400106"/>
    <w:rsid w:val="4A416D23"/>
    <w:rsid w:val="4A457547"/>
    <w:rsid w:val="4A4C1621"/>
    <w:rsid w:val="4A546A31"/>
    <w:rsid w:val="4A5F5280"/>
    <w:rsid w:val="4A6129DF"/>
    <w:rsid w:val="4A691BA3"/>
    <w:rsid w:val="4A700869"/>
    <w:rsid w:val="4A75264F"/>
    <w:rsid w:val="4A8622B6"/>
    <w:rsid w:val="4A88661D"/>
    <w:rsid w:val="4A925CA1"/>
    <w:rsid w:val="4AA13962"/>
    <w:rsid w:val="4AB27100"/>
    <w:rsid w:val="4ABD09E3"/>
    <w:rsid w:val="4AC73EF8"/>
    <w:rsid w:val="4AC878DE"/>
    <w:rsid w:val="4AD65B1C"/>
    <w:rsid w:val="4ADB12BE"/>
    <w:rsid w:val="4ADB40EF"/>
    <w:rsid w:val="4ADD4949"/>
    <w:rsid w:val="4ADF3B00"/>
    <w:rsid w:val="4AE44288"/>
    <w:rsid w:val="4AE55EF8"/>
    <w:rsid w:val="4AE56D1E"/>
    <w:rsid w:val="4AE775D1"/>
    <w:rsid w:val="4AE86A3E"/>
    <w:rsid w:val="4AEC088B"/>
    <w:rsid w:val="4AF12ED5"/>
    <w:rsid w:val="4AF37F3C"/>
    <w:rsid w:val="4AF7270C"/>
    <w:rsid w:val="4AFC08D7"/>
    <w:rsid w:val="4AFC315D"/>
    <w:rsid w:val="4B0112E2"/>
    <w:rsid w:val="4B034FF7"/>
    <w:rsid w:val="4B051BFB"/>
    <w:rsid w:val="4B070A8B"/>
    <w:rsid w:val="4B0C10BD"/>
    <w:rsid w:val="4B0C7044"/>
    <w:rsid w:val="4B0E24BA"/>
    <w:rsid w:val="4B16569C"/>
    <w:rsid w:val="4B252E26"/>
    <w:rsid w:val="4B33627A"/>
    <w:rsid w:val="4B356505"/>
    <w:rsid w:val="4B3A331C"/>
    <w:rsid w:val="4B3A4DD8"/>
    <w:rsid w:val="4B3D32A5"/>
    <w:rsid w:val="4B400196"/>
    <w:rsid w:val="4B463FD2"/>
    <w:rsid w:val="4B4B4AFB"/>
    <w:rsid w:val="4B503E7D"/>
    <w:rsid w:val="4B5526A6"/>
    <w:rsid w:val="4B6A6E28"/>
    <w:rsid w:val="4B6A739A"/>
    <w:rsid w:val="4B6B2FC4"/>
    <w:rsid w:val="4B6E666B"/>
    <w:rsid w:val="4B7142BB"/>
    <w:rsid w:val="4B720234"/>
    <w:rsid w:val="4B794712"/>
    <w:rsid w:val="4B816AF3"/>
    <w:rsid w:val="4B8273E2"/>
    <w:rsid w:val="4B84080B"/>
    <w:rsid w:val="4B857AB9"/>
    <w:rsid w:val="4B8D026C"/>
    <w:rsid w:val="4B96268C"/>
    <w:rsid w:val="4B972903"/>
    <w:rsid w:val="4B9F32A8"/>
    <w:rsid w:val="4BBA5C6F"/>
    <w:rsid w:val="4BC3761F"/>
    <w:rsid w:val="4BC45D51"/>
    <w:rsid w:val="4BD26854"/>
    <w:rsid w:val="4BD643C6"/>
    <w:rsid w:val="4BE01CB1"/>
    <w:rsid w:val="4BE4657C"/>
    <w:rsid w:val="4BE75360"/>
    <w:rsid w:val="4BEE2702"/>
    <w:rsid w:val="4BF1539E"/>
    <w:rsid w:val="4BF72B06"/>
    <w:rsid w:val="4BF94856"/>
    <w:rsid w:val="4C007F2A"/>
    <w:rsid w:val="4C0700C6"/>
    <w:rsid w:val="4C09029E"/>
    <w:rsid w:val="4C0D69A5"/>
    <w:rsid w:val="4C114E73"/>
    <w:rsid w:val="4C15308B"/>
    <w:rsid w:val="4C180CB0"/>
    <w:rsid w:val="4C257537"/>
    <w:rsid w:val="4C276414"/>
    <w:rsid w:val="4C2F0BD5"/>
    <w:rsid w:val="4C30348B"/>
    <w:rsid w:val="4C3449C0"/>
    <w:rsid w:val="4C457E06"/>
    <w:rsid w:val="4C482B52"/>
    <w:rsid w:val="4C486022"/>
    <w:rsid w:val="4C4F17E8"/>
    <w:rsid w:val="4C4F57BA"/>
    <w:rsid w:val="4C52210E"/>
    <w:rsid w:val="4C541FE7"/>
    <w:rsid w:val="4C5653EF"/>
    <w:rsid w:val="4C6E490F"/>
    <w:rsid w:val="4C761AE5"/>
    <w:rsid w:val="4C7A3E0A"/>
    <w:rsid w:val="4C7B7FCC"/>
    <w:rsid w:val="4C7D5AE8"/>
    <w:rsid w:val="4C8D2725"/>
    <w:rsid w:val="4C927C67"/>
    <w:rsid w:val="4C992C68"/>
    <w:rsid w:val="4C9A24A5"/>
    <w:rsid w:val="4C9B51D5"/>
    <w:rsid w:val="4CAC2095"/>
    <w:rsid w:val="4CB27F5F"/>
    <w:rsid w:val="4CB4751A"/>
    <w:rsid w:val="4CB64671"/>
    <w:rsid w:val="4CCC4A3D"/>
    <w:rsid w:val="4CCE05D1"/>
    <w:rsid w:val="4CD23B1D"/>
    <w:rsid w:val="4CD715B6"/>
    <w:rsid w:val="4CE12216"/>
    <w:rsid w:val="4CE239C2"/>
    <w:rsid w:val="4CE34671"/>
    <w:rsid w:val="4CF80BDA"/>
    <w:rsid w:val="4CFE58B7"/>
    <w:rsid w:val="4D080446"/>
    <w:rsid w:val="4D0D5045"/>
    <w:rsid w:val="4D142642"/>
    <w:rsid w:val="4D176CED"/>
    <w:rsid w:val="4D183CAF"/>
    <w:rsid w:val="4D19747F"/>
    <w:rsid w:val="4D1D784F"/>
    <w:rsid w:val="4D241DA1"/>
    <w:rsid w:val="4D2A6DE6"/>
    <w:rsid w:val="4D2D4F3D"/>
    <w:rsid w:val="4D3A472C"/>
    <w:rsid w:val="4D3C2FC9"/>
    <w:rsid w:val="4D4E3F3A"/>
    <w:rsid w:val="4D5C35DB"/>
    <w:rsid w:val="4D5F5B99"/>
    <w:rsid w:val="4D603556"/>
    <w:rsid w:val="4D694853"/>
    <w:rsid w:val="4D6A5234"/>
    <w:rsid w:val="4D6B068E"/>
    <w:rsid w:val="4D6E3730"/>
    <w:rsid w:val="4D6E6050"/>
    <w:rsid w:val="4D744A27"/>
    <w:rsid w:val="4D747F19"/>
    <w:rsid w:val="4D7B7388"/>
    <w:rsid w:val="4D7D0B22"/>
    <w:rsid w:val="4D83134C"/>
    <w:rsid w:val="4D933D82"/>
    <w:rsid w:val="4D964BDE"/>
    <w:rsid w:val="4D97331D"/>
    <w:rsid w:val="4DA22F6F"/>
    <w:rsid w:val="4DA366F2"/>
    <w:rsid w:val="4DAA485A"/>
    <w:rsid w:val="4DB320B4"/>
    <w:rsid w:val="4DB378BC"/>
    <w:rsid w:val="4DB74F6F"/>
    <w:rsid w:val="4DBF78FA"/>
    <w:rsid w:val="4DC43E1F"/>
    <w:rsid w:val="4DCA651D"/>
    <w:rsid w:val="4DCE0156"/>
    <w:rsid w:val="4DD41FFC"/>
    <w:rsid w:val="4DD455C4"/>
    <w:rsid w:val="4DD46851"/>
    <w:rsid w:val="4DE75BEC"/>
    <w:rsid w:val="4DED17F1"/>
    <w:rsid w:val="4DEE1BA4"/>
    <w:rsid w:val="4DF22F98"/>
    <w:rsid w:val="4DF67C34"/>
    <w:rsid w:val="4DF85277"/>
    <w:rsid w:val="4DFC5B74"/>
    <w:rsid w:val="4E00643A"/>
    <w:rsid w:val="4E0167FB"/>
    <w:rsid w:val="4E1911BA"/>
    <w:rsid w:val="4E1A5E9B"/>
    <w:rsid w:val="4E1F6FFD"/>
    <w:rsid w:val="4E206385"/>
    <w:rsid w:val="4E214188"/>
    <w:rsid w:val="4E220315"/>
    <w:rsid w:val="4E2B750E"/>
    <w:rsid w:val="4E30293B"/>
    <w:rsid w:val="4E3341D3"/>
    <w:rsid w:val="4E394DF5"/>
    <w:rsid w:val="4E3A7F99"/>
    <w:rsid w:val="4E417460"/>
    <w:rsid w:val="4E525C89"/>
    <w:rsid w:val="4E5912BC"/>
    <w:rsid w:val="4E5C543F"/>
    <w:rsid w:val="4E623E5F"/>
    <w:rsid w:val="4E69351D"/>
    <w:rsid w:val="4E6C7842"/>
    <w:rsid w:val="4E6E1A99"/>
    <w:rsid w:val="4E7146D6"/>
    <w:rsid w:val="4E716DD6"/>
    <w:rsid w:val="4E797619"/>
    <w:rsid w:val="4E7B4B64"/>
    <w:rsid w:val="4E7D41EF"/>
    <w:rsid w:val="4E7D7214"/>
    <w:rsid w:val="4E8371C3"/>
    <w:rsid w:val="4E837B77"/>
    <w:rsid w:val="4E8743CF"/>
    <w:rsid w:val="4E8A19A2"/>
    <w:rsid w:val="4E8B6297"/>
    <w:rsid w:val="4E8C7B7C"/>
    <w:rsid w:val="4E8D2B5B"/>
    <w:rsid w:val="4E8E6079"/>
    <w:rsid w:val="4E90030F"/>
    <w:rsid w:val="4E9E37C4"/>
    <w:rsid w:val="4EA47ED4"/>
    <w:rsid w:val="4EA73499"/>
    <w:rsid w:val="4EAF6660"/>
    <w:rsid w:val="4EB70230"/>
    <w:rsid w:val="4EBA3110"/>
    <w:rsid w:val="4EC112A5"/>
    <w:rsid w:val="4EC16B9B"/>
    <w:rsid w:val="4EC273B5"/>
    <w:rsid w:val="4EC27DC2"/>
    <w:rsid w:val="4EC31609"/>
    <w:rsid w:val="4EC4139F"/>
    <w:rsid w:val="4EC96270"/>
    <w:rsid w:val="4ECB111E"/>
    <w:rsid w:val="4ECD7A91"/>
    <w:rsid w:val="4ED7559C"/>
    <w:rsid w:val="4EDA2711"/>
    <w:rsid w:val="4EE520BF"/>
    <w:rsid w:val="4EEE423D"/>
    <w:rsid w:val="4EF2573B"/>
    <w:rsid w:val="4EF93716"/>
    <w:rsid w:val="4F027730"/>
    <w:rsid w:val="4F043367"/>
    <w:rsid w:val="4F05494C"/>
    <w:rsid w:val="4F0D50A9"/>
    <w:rsid w:val="4F1535E3"/>
    <w:rsid w:val="4F1867DF"/>
    <w:rsid w:val="4F1A62E3"/>
    <w:rsid w:val="4F20737B"/>
    <w:rsid w:val="4F265D17"/>
    <w:rsid w:val="4F274B63"/>
    <w:rsid w:val="4F311C64"/>
    <w:rsid w:val="4F395C2B"/>
    <w:rsid w:val="4F4022BC"/>
    <w:rsid w:val="4F417C61"/>
    <w:rsid w:val="4F460289"/>
    <w:rsid w:val="4F50081E"/>
    <w:rsid w:val="4F510C33"/>
    <w:rsid w:val="4F7223E0"/>
    <w:rsid w:val="4F737BC5"/>
    <w:rsid w:val="4F7A4DA4"/>
    <w:rsid w:val="4F8306AF"/>
    <w:rsid w:val="4F897829"/>
    <w:rsid w:val="4F8E053B"/>
    <w:rsid w:val="4F970DE9"/>
    <w:rsid w:val="4F971FC4"/>
    <w:rsid w:val="4F9B749E"/>
    <w:rsid w:val="4FA1427F"/>
    <w:rsid w:val="4FA5268C"/>
    <w:rsid w:val="4FA84803"/>
    <w:rsid w:val="4FAD3B8D"/>
    <w:rsid w:val="4FB14873"/>
    <w:rsid w:val="4FC804D5"/>
    <w:rsid w:val="4FCC1A25"/>
    <w:rsid w:val="4FD453BC"/>
    <w:rsid w:val="4FD539AF"/>
    <w:rsid w:val="4FE21BA6"/>
    <w:rsid w:val="4FE31A0B"/>
    <w:rsid w:val="4FEB699A"/>
    <w:rsid w:val="4FF03A48"/>
    <w:rsid w:val="4FF22676"/>
    <w:rsid w:val="4FFE1B06"/>
    <w:rsid w:val="50047F66"/>
    <w:rsid w:val="50090729"/>
    <w:rsid w:val="500A40D7"/>
    <w:rsid w:val="501D6A08"/>
    <w:rsid w:val="502138A5"/>
    <w:rsid w:val="50271405"/>
    <w:rsid w:val="502723B7"/>
    <w:rsid w:val="502B0829"/>
    <w:rsid w:val="503113D8"/>
    <w:rsid w:val="50325B26"/>
    <w:rsid w:val="503559EC"/>
    <w:rsid w:val="503A4A45"/>
    <w:rsid w:val="503E36FA"/>
    <w:rsid w:val="50452CF4"/>
    <w:rsid w:val="5048257B"/>
    <w:rsid w:val="505A67EB"/>
    <w:rsid w:val="507106E1"/>
    <w:rsid w:val="507157DD"/>
    <w:rsid w:val="50750658"/>
    <w:rsid w:val="50765757"/>
    <w:rsid w:val="507844C3"/>
    <w:rsid w:val="507B5639"/>
    <w:rsid w:val="508C15FC"/>
    <w:rsid w:val="50A22E9F"/>
    <w:rsid w:val="50A453B0"/>
    <w:rsid w:val="50A54361"/>
    <w:rsid w:val="50A734E7"/>
    <w:rsid w:val="50A76EC8"/>
    <w:rsid w:val="50A94074"/>
    <w:rsid w:val="50B63FD8"/>
    <w:rsid w:val="50BB47E0"/>
    <w:rsid w:val="50BD18A9"/>
    <w:rsid w:val="50C142A9"/>
    <w:rsid w:val="50C4646F"/>
    <w:rsid w:val="50C46BEE"/>
    <w:rsid w:val="50C6603B"/>
    <w:rsid w:val="50C9642E"/>
    <w:rsid w:val="50CA299C"/>
    <w:rsid w:val="50D10B63"/>
    <w:rsid w:val="50E02CFE"/>
    <w:rsid w:val="50E33CEC"/>
    <w:rsid w:val="50EE03FD"/>
    <w:rsid w:val="50FA566D"/>
    <w:rsid w:val="50FC73BD"/>
    <w:rsid w:val="5104794E"/>
    <w:rsid w:val="5107352A"/>
    <w:rsid w:val="510F1A3E"/>
    <w:rsid w:val="5110524E"/>
    <w:rsid w:val="511C56B7"/>
    <w:rsid w:val="511D153D"/>
    <w:rsid w:val="51205FD8"/>
    <w:rsid w:val="51241CE5"/>
    <w:rsid w:val="512A49B6"/>
    <w:rsid w:val="512E371C"/>
    <w:rsid w:val="513B5778"/>
    <w:rsid w:val="513C4376"/>
    <w:rsid w:val="51400930"/>
    <w:rsid w:val="5140480D"/>
    <w:rsid w:val="51435D0C"/>
    <w:rsid w:val="51446169"/>
    <w:rsid w:val="514F5C22"/>
    <w:rsid w:val="5152697A"/>
    <w:rsid w:val="515835D2"/>
    <w:rsid w:val="515E509C"/>
    <w:rsid w:val="515E57B7"/>
    <w:rsid w:val="51662CD2"/>
    <w:rsid w:val="516B6A17"/>
    <w:rsid w:val="516E22FB"/>
    <w:rsid w:val="517765FC"/>
    <w:rsid w:val="517F16F3"/>
    <w:rsid w:val="51883504"/>
    <w:rsid w:val="51893EC7"/>
    <w:rsid w:val="51935212"/>
    <w:rsid w:val="519A032B"/>
    <w:rsid w:val="519D0B3F"/>
    <w:rsid w:val="519E21FD"/>
    <w:rsid w:val="51AA50F9"/>
    <w:rsid w:val="51AC55DB"/>
    <w:rsid w:val="51AE5DFC"/>
    <w:rsid w:val="51B06B92"/>
    <w:rsid w:val="51B07591"/>
    <w:rsid w:val="51B21BF0"/>
    <w:rsid w:val="51B43002"/>
    <w:rsid w:val="51B85441"/>
    <w:rsid w:val="51BA4306"/>
    <w:rsid w:val="51BB1A11"/>
    <w:rsid w:val="51BD6C11"/>
    <w:rsid w:val="51BF6DF9"/>
    <w:rsid w:val="51C770AC"/>
    <w:rsid w:val="51D12A33"/>
    <w:rsid w:val="51D5080E"/>
    <w:rsid w:val="51D60111"/>
    <w:rsid w:val="51DA58AE"/>
    <w:rsid w:val="51E247EE"/>
    <w:rsid w:val="51E5449B"/>
    <w:rsid w:val="51E66508"/>
    <w:rsid w:val="51E847AF"/>
    <w:rsid w:val="51E94EA3"/>
    <w:rsid w:val="51EA7907"/>
    <w:rsid w:val="51EC11BD"/>
    <w:rsid w:val="52017EFE"/>
    <w:rsid w:val="520B7C08"/>
    <w:rsid w:val="520D3A34"/>
    <w:rsid w:val="520E6FF2"/>
    <w:rsid w:val="52174D8F"/>
    <w:rsid w:val="521952B3"/>
    <w:rsid w:val="521B44C0"/>
    <w:rsid w:val="521E5FFD"/>
    <w:rsid w:val="52217DB8"/>
    <w:rsid w:val="52230F41"/>
    <w:rsid w:val="523229AB"/>
    <w:rsid w:val="523F7113"/>
    <w:rsid w:val="524450A3"/>
    <w:rsid w:val="52447FE3"/>
    <w:rsid w:val="52510CC8"/>
    <w:rsid w:val="52583CBA"/>
    <w:rsid w:val="525D3F9D"/>
    <w:rsid w:val="52643FB3"/>
    <w:rsid w:val="5268101F"/>
    <w:rsid w:val="526D7E77"/>
    <w:rsid w:val="5270414C"/>
    <w:rsid w:val="52765CA0"/>
    <w:rsid w:val="528331E0"/>
    <w:rsid w:val="52854BA3"/>
    <w:rsid w:val="52876BB3"/>
    <w:rsid w:val="52884091"/>
    <w:rsid w:val="52A770BB"/>
    <w:rsid w:val="52B224F0"/>
    <w:rsid w:val="52B41F04"/>
    <w:rsid w:val="52C249D3"/>
    <w:rsid w:val="52C54517"/>
    <w:rsid w:val="52C660C9"/>
    <w:rsid w:val="52C93B57"/>
    <w:rsid w:val="52CF29D7"/>
    <w:rsid w:val="52D94139"/>
    <w:rsid w:val="52E249FF"/>
    <w:rsid w:val="52E3567F"/>
    <w:rsid w:val="52E63CFA"/>
    <w:rsid w:val="52ED06D4"/>
    <w:rsid w:val="52F77AA6"/>
    <w:rsid w:val="53001BB3"/>
    <w:rsid w:val="530265E4"/>
    <w:rsid w:val="5303553A"/>
    <w:rsid w:val="530F18BE"/>
    <w:rsid w:val="53143779"/>
    <w:rsid w:val="53170772"/>
    <w:rsid w:val="531A157E"/>
    <w:rsid w:val="531B1336"/>
    <w:rsid w:val="531B3817"/>
    <w:rsid w:val="531B7915"/>
    <w:rsid w:val="53224FD2"/>
    <w:rsid w:val="53264D65"/>
    <w:rsid w:val="532931AC"/>
    <w:rsid w:val="5329727D"/>
    <w:rsid w:val="5333135D"/>
    <w:rsid w:val="5335141B"/>
    <w:rsid w:val="533E5E7B"/>
    <w:rsid w:val="53400B7B"/>
    <w:rsid w:val="534555A6"/>
    <w:rsid w:val="534B0EBC"/>
    <w:rsid w:val="534C24FC"/>
    <w:rsid w:val="53501B3A"/>
    <w:rsid w:val="53551BB1"/>
    <w:rsid w:val="5356472D"/>
    <w:rsid w:val="53565FEE"/>
    <w:rsid w:val="536129FA"/>
    <w:rsid w:val="5361358E"/>
    <w:rsid w:val="53671704"/>
    <w:rsid w:val="5367646B"/>
    <w:rsid w:val="536A2A38"/>
    <w:rsid w:val="536B0CB9"/>
    <w:rsid w:val="537514ED"/>
    <w:rsid w:val="53764081"/>
    <w:rsid w:val="537940BF"/>
    <w:rsid w:val="537E4B8D"/>
    <w:rsid w:val="53812044"/>
    <w:rsid w:val="53815461"/>
    <w:rsid w:val="53946542"/>
    <w:rsid w:val="53976B51"/>
    <w:rsid w:val="53987838"/>
    <w:rsid w:val="53A5420C"/>
    <w:rsid w:val="53AA3B4C"/>
    <w:rsid w:val="53AB168D"/>
    <w:rsid w:val="53AC30B8"/>
    <w:rsid w:val="53AD1FC2"/>
    <w:rsid w:val="53B07B30"/>
    <w:rsid w:val="53B30752"/>
    <w:rsid w:val="53B351F7"/>
    <w:rsid w:val="53CD3590"/>
    <w:rsid w:val="53D32C63"/>
    <w:rsid w:val="53D500A7"/>
    <w:rsid w:val="53D83A0A"/>
    <w:rsid w:val="53DE6F83"/>
    <w:rsid w:val="53E17EA9"/>
    <w:rsid w:val="53E22B2A"/>
    <w:rsid w:val="53EA2B5E"/>
    <w:rsid w:val="53EC58A9"/>
    <w:rsid w:val="53EF3446"/>
    <w:rsid w:val="53F01264"/>
    <w:rsid w:val="53FC0EC4"/>
    <w:rsid w:val="5400395F"/>
    <w:rsid w:val="54055260"/>
    <w:rsid w:val="54062707"/>
    <w:rsid w:val="540968E5"/>
    <w:rsid w:val="541233D7"/>
    <w:rsid w:val="541C389D"/>
    <w:rsid w:val="541F29DD"/>
    <w:rsid w:val="542C779E"/>
    <w:rsid w:val="543F7F1E"/>
    <w:rsid w:val="54452630"/>
    <w:rsid w:val="5448592B"/>
    <w:rsid w:val="544C7BFD"/>
    <w:rsid w:val="544D75B2"/>
    <w:rsid w:val="545029C2"/>
    <w:rsid w:val="5450301F"/>
    <w:rsid w:val="5450471C"/>
    <w:rsid w:val="54572A3D"/>
    <w:rsid w:val="546A3A38"/>
    <w:rsid w:val="546F111E"/>
    <w:rsid w:val="547157E7"/>
    <w:rsid w:val="5474514E"/>
    <w:rsid w:val="547651B8"/>
    <w:rsid w:val="54780EBC"/>
    <w:rsid w:val="547F33FC"/>
    <w:rsid w:val="54800440"/>
    <w:rsid w:val="548379B4"/>
    <w:rsid w:val="54913870"/>
    <w:rsid w:val="54983912"/>
    <w:rsid w:val="549E53F7"/>
    <w:rsid w:val="54A74DB8"/>
    <w:rsid w:val="54AD1553"/>
    <w:rsid w:val="54B409B1"/>
    <w:rsid w:val="54C2646B"/>
    <w:rsid w:val="54C72B03"/>
    <w:rsid w:val="54CA3C9F"/>
    <w:rsid w:val="54CC128A"/>
    <w:rsid w:val="54CC69D9"/>
    <w:rsid w:val="54CD0339"/>
    <w:rsid w:val="54D51A63"/>
    <w:rsid w:val="54D65F23"/>
    <w:rsid w:val="54E55C69"/>
    <w:rsid w:val="54E94703"/>
    <w:rsid w:val="54EA17CF"/>
    <w:rsid w:val="54EF0AAE"/>
    <w:rsid w:val="54F65EB5"/>
    <w:rsid w:val="54F77F3B"/>
    <w:rsid w:val="54F9507D"/>
    <w:rsid w:val="54FE32FB"/>
    <w:rsid w:val="55090AE5"/>
    <w:rsid w:val="550A6C14"/>
    <w:rsid w:val="550E65CB"/>
    <w:rsid w:val="550F6D7E"/>
    <w:rsid w:val="5518442B"/>
    <w:rsid w:val="551A00DD"/>
    <w:rsid w:val="551D1C18"/>
    <w:rsid w:val="55234AAE"/>
    <w:rsid w:val="552611B1"/>
    <w:rsid w:val="552F37C9"/>
    <w:rsid w:val="553271D3"/>
    <w:rsid w:val="55434CE1"/>
    <w:rsid w:val="55455A43"/>
    <w:rsid w:val="554B700A"/>
    <w:rsid w:val="554F2666"/>
    <w:rsid w:val="5551138E"/>
    <w:rsid w:val="55535008"/>
    <w:rsid w:val="5561078A"/>
    <w:rsid w:val="55622A9D"/>
    <w:rsid w:val="556C60B3"/>
    <w:rsid w:val="557408DD"/>
    <w:rsid w:val="55754E2B"/>
    <w:rsid w:val="55945D37"/>
    <w:rsid w:val="55A65786"/>
    <w:rsid w:val="55AA0F8C"/>
    <w:rsid w:val="55B118DC"/>
    <w:rsid w:val="55BD3C85"/>
    <w:rsid w:val="55BE44AC"/>
    <w:rsid w:val="55BE4988"/>
    <w:rsid w:val="55C87E5B"/>
    <w:rsid w:val="55CD5E8D"/>
    <w:rsid w:val="55CF01C3"/>
    <w:rsid w:val="55D50823"/>
    <w:rsid w:val="55DB4561"/>
    <w:rsid w:val="55E01AB6"/>
    <w:rsid w:val="55E115CD"/>
    <w:rsid w:val="55EB1F25"/>
    <w:rsid w:val="55F22B97"/>
    <w:rsid w:val="55FD6816"/>
    <w:rsid w:val="560018F2"/>
    <w:rsid w:val="5602321E"/>
    <w:rsid w:val="56023883"/>
    <w:rsid w:val="5612305A"/>
    <w:rsid w:val="5619343F"/>
    <w:rsid w:val="561A64ED"/>
    <w:rsid w:val="561C5C50"/>
    <w:rsid w:val="562231D6"/>
    <w:rsid w:val="562C292F"/>
    <w:rsid w:val="563E5AB2"/>
    <w:rsid w:val="5641535E"/>
    <w:rsid w:val="56450423"/>
    <w:rsid w:val="564C522B"/>
    <w:rsid w:val="56516667"/>
    <w:rsid w:val="565A245E"/>
    <w:rsid w:val="565D153D"/>
    <w:rsid w:val="565D33A7"/>
    <w:rsid w:val="565E5873"/>
    <w:rsid w:val="566B5B1A"/>
    <w:rsid w:val="566D641D"/>
    <w:rsid w:val="56741001"/>
    <w:rsid w:val="56751F76"/>
    <w:rsid w:val="56752FC4"/>
    <w:rsid w:val="56757BFA"/>
    <w:rsid w:val="567D22FB"/>
    <w:rsid w:val="56974290"/>
    <w:rsid w:val="56987115"/>
    <w:rsid w:val="569E1BFB"/>
    <w:rsid w:val="56A071E8"/>
    <w:rsid w:val="56A140E0"/>
    <w:rsid w:val="56A24E81"/>
    <w:rsid w:val="56A501F8"/>
    <w:rsid w:val="56A61AEA"/>
    <w:rsid w:val="56A86BFD"/>
    <w:rsid w:val="56BB76F4"/>
    <w:rsid w:val="56BE75E9"/>
    <w:rsid w:val="56C055FC"/>
    <w:rsid w:val="56C41E6D"/>
    <w:rsid w:val="56CC638C"/>
    <w:rsid w:val="56D16450"/>
    <w:rsid w:val="56D3410E"/>
    <w:rsid w:val="56D51BC3"/>
    <w:rsid w:val="56D97F19"/>
    <w:rsid w:val="56DB67A7"/>
    <w:rsid w:val="56DE76AA"/>
    <w:rsid w:val="56EE13B2"/>
    <w:rsid w:val="56F22C90"/>
    <w:rsid w:val="56FA4FEE"/>
    <w:rsid w:val="570107F1"/>
    <w:rsid w:val="57034083"/>
    <w:rsid w:val="570573AC"/>
    <w:rsid w:val="57071163"/>
    <w:rsid w:val="570C46B0"/>
    <w:rsid w:val="570D06C3"/>
    <w:rsid w:val="570D273C"/>
    <w:rsid w:val="5713431B"/>
    <w:rsid w:val="57150073"/>
    <w:rsid w:val="571A0B0C"/>
    <w:rsid w:val="571D25DB"/>
    <w:rsid w:val="571F2003"/>
    <w:rsid w:val="572365FA"/>
    <w:rsid w:val="572433C6"/>
    <w:rsid w:val="57255860"/>
    <w:rsid w:val="572C6855"/>
    <w:rsid w:val="573518D3"/>
    <w:rsid w:val="5738404A"/>
    <w:rsid w:val="573D3614"/>
    <w:rsid w:val="57427A11"/>
    <w:rsid w:val="575002B3"/>
    <w:rsid w:val="57501DED"/>
    <w:rsid w:val="57526823"/>
    <w:rsid w:val="575B0AEB"/>
    <w:rsid w:val="57602E4E"/>
    <w:rsid w:val="57634140"/>
    <w:rsid w:val="576524BB"/>
    <w:rsid w:val="5765634A"/>
    <w:rsid w:val="57672312"/>
    <w:rsid w:val="57757D9E"/>
    <w:rsid w:val="577F5FA9"/>
    <w:rsid w:val="577F68C1"/>
    <w:rsid w:val="57812F5F"/>
    <w:rsid w:val="578201E9"/>
    <w:rsid w:val="578D622C"/>
    <w:rsid w:val="57916ECB"/>
    <w:rsid w:val="57A1557A"/>
    <w:rsid w:val="57A50BBD"/>
    <w:rsid w:val="57B62664"/>
    <w:rsid w:val="57BA17D6"/>
    <w:rsid w:val="57BA2E63"/>
    <w:rsid w:val="57C24C91"/>
    <w:rsid w:val="57C6793C"/>
    <w:rsid w:val="57D255B6"/>
    <w:rsid w:val="57DC2F5F"/>
    <w:rsid w:val="57E431F5"/>
    <w:rsid w:val="57E91CD3"/>
    <w:rsid w:val="57EC1DA4"/>
    <w:rsid w:val="57EE6662"/>
    <w:rsid w:val="57FB056D"/>
    <w:rsid w:val="57FC57BD"/>
    <w:rsid w:val="57FF5347"/>
    <w:rsid w:val="57FF6155"/>
    <w:rsid w:val="580140A6"/>
    <w:rsid w:val="580B6E3C"/>
    <w:rsid w:val="580C1C8E"/>
    <w:rsid w:val="580E0C7E"/>
    <w:rsid w:val="58120B37"/>
    <w:rsid w:val="581E5ECA"/>
    <w:rsid w:val="581E62DD"/>
    <w:rsid w:val="582009E7"/>
    <w:rsid w:val="58251AFB"/>
    <w:rsid w:val="58291B84"/>
    <w:rsid w:val="582D49F1"/>
    <w:rsid w:val="58322A63"/>
    <w:rsid w:val="58342026"/>
    <w:rsid w:val="583A4ECC"/>
    <w:rsid w:val="58424556"/>
    <w:rsid w:val="58457294"/>
    <w:rsid w:val="584618FD"/>
    <w:rsid w:val="585230D2"/>
    <w:rsid w:val="58527C59"/>
    <w:rsid w:val="58532CF4"/>
    <w:rsid w:val="585673E9"/>
    <w:rsid w:val="58597459"/>
    <w:rsid w:val="586A36B1"/>
    <w:rsid w:val="586C3CC6"/>
    <w:rsid w:val="58743043"/>
    <w:rsid w:val="58783CFA"/>
    <w:rsid w:val="58894A36"/>
    <w:rsid w:val="588D3EBA"/>
    <w:rsid w:val="58926996"/>
    <w:rsid w:val="589275AB"/>
    <w:rsid w:val="58950814"/>
    <w:rsid w:val="58951088"/>
    <w:rsid w:val="58961A67"/>
    <w:rsid w:val="58990FC0"/>
    <w:rsid w:val="58A14C54"/>
    <w:rsid w:val="58A45EF0"/>
    <w:rsid w:val="58A64233"/>
    <w:rsid w:val="58A75A19"/>
    <w:rsid w:val="58BB3DC0"/>
    <w:rsid w:val="58BB6E11"/>
    <w:rsid w:val="58C579F9"/>
    <w:rsid w:val="58D029D0"/>
    <w:rsid w:val="58D95B4A"/>
    <w:rsid w:val="58DB0A42"/>
    <w:rsid w:val="58E236F3"/>
    <w:rsid w:val="58E55D25"/>
    <w:rsid w:val="58EA38F6"/>
    <w:rsid w:val="58EF26B0"/>
    <w:rsid w:val="58F1068B"/>
    <w:rsid w:val="58F51818"/>
    <w:rsid w:val="58F64893"/>
    <w:rsid w:val="58FC1414"/>
    <w:rsid w:val="5906339C"/>
    <w:rsid w:val="59131292"/>
    <w:rsid w:val="591D3A2C"/>
    <w:rsid w:val="59232A72"/>
    <w:rsid w:val="59307312"/>
    <w:rsid w:val="593F0870"/>
    <w:rsid w:val="59410FBD"/>
    <w:rsid w:val="5942577F"/>
    <w:rsid w:val="594B1241"/>
    <w:rsid w:val="5961177E"/>
    <w:rsid w:val="59693623"/>
    <w:rsid w:val="596A0C5D"/>
    <w:rsid w:val="597236A0"/>
    <w:rsid w:val="5978585C"/>
    <w:rsid w:val="59792E3F"/>
    <w:rsid w:val="598A07E5"/>
    <w:rsid w:val="59903A66"/>
    <w:rsid w:val="59924FF5"/>
    <w:rsid w:val="59A1092E"/>
    <w:rsid w:val="59B56492"/>
    <w:rsid w:val="59BC0857"/>
    <w:rsid w:val="59C2661C"/>
    <w:rsid w:val="59C35ACF"/>
    <w:rsid w:val="59C72B96"/>
    <w:rsid w:val="59D27A3C"/>
    <w:rsid w:val="59E235F0"/>
    <w:rsid w:val="59E66C46"/>
    <w:rsid w:val="59E87613"/>
    <w:rsid w:val="5A02182B"/>
    <w:rsid w:val="5A03666B"/>
    <w:rsid w:val="5A040749"/>
    <w:rsid w:val="5A086181"/>
    <w:rsid w:val="5A090127"/>
    <w:rsid w:val="5A0D509A"/>
    <w:rsid w:val="5A18540C"/>
    <w:rsid w:val="5A2400DF"/>
    <w:rsid w:val="5A2E6F93"/>
    <w:rsid w:val="5A3A3B1E"/>
    <w:rsid w:val="5A3B140A"/>
    <w:rsid w:val="5A3E5DAE"/>
    <w:rsid w:val="5A3F2FA4"/>
    <w:rsid w:val="5A3F6621"/>
    <w:rsid w:val="5A4F4C7B"/>
    <w:rsid w:val="5A550252"/>
    <w:rsid w:val="5A552EDD"/>
    <w:rsid w:val="5A627B80"/>
    <w:rsid w:val="5A64740A"/>
    <w:rsid w:val="5A664CCE"/>
    <w:rsid w:val="5A6C3D65"/>
    <w:rsid w:val="5A6D3FBB"/>
    <w:rsid w:val="5A6E3D3A"/>
    <w:rsid w:val="5A746011"/>
    <w:rsid w:val="5A761C8F"/>
    <w:rsid w:val="5A86267D"/>
    <w:rsid w:val="5A8A5E83"/>
    <w:rsid w:val="5A9027C1"/>
    <w:rsid w:val="5AA20ED6"/>
    <w:rsid w:val="5AA708CA"/>
    <w:rsid w:val="5AAC551A"/>
    <w:rsid w:val="5AB362A3"/>
    <w:rsid w:val="5AB37F0E"/>
    <w:rsid w:val="5AC12B18"/>
    <w:rsid w:val="5AC740A4"/>
    <w:rsid w:val="5ACC5ABE"/>
    <w:rsid w:val="5AD04D28"/>
    <w:rsid w:val="5AE81DA9"/>
    <w:rsid w:val="5AEA3D3A"/>
    <w:rsid w:val="5AF02A5F"/>
    <w:rsid w:val="5AF10899"/>
    <w:rsid w:val="5AF15610"/>
    <w:rsid w:val="5AF17F45"/>
    <w:rsid w:val="5AF26392"/>
    <w:rsid w:val="5AFD5309"/>
    <w:rsid w:val="5B0212D6"/>
    <w:rsid w:val="5B0B350F"/>
    <w:rsid w:val="5B0E1F32"/>
    <w:rsid w:val="5B200AE5"/>
    <w:rsid w:val="5B224E62"/>
    <w:rsid w:val="5B2A28AF"/>
    <w:rsid w:val="5B2D4026"/>
    <w:rsid w:val="5B2E4BDA"/>
    <w:rsid w:val="5B3B4BE1"/>
    <w:rsid w:val="5B415759"/>
    <w:rsid w:val="5B457ACF"/>
    <w:rsid w:val="5B4F2225"/>
    <w:rsid w:val="5B560B49"/>
    <w:rsid w:val="5B5957C1"/>
    <w:rsid w:val="5B5A1B1E"/>
    <w:rsid w:val="5B5E6F93"/>
    <w:rsid w:val="5B6160B4"/>
    <w:rsid w:val="5B691244"/>
    <w:rsid w:val="5B6F014B"/>
    <w:rsid w:val="5B701BC9"/>
    <w:rsid w:val="5B711F5B"/>
    <w:rsid w:val="5B736AF3"/>
    <w:rsid w:val="5B755DF8"/>
    <w:rsid w:val="5B7C1860"/>
    <w:rsid w:val="5B7F50BF"/>
    <w:rsid w:val="5B867F38"/>
    <w:rsid w:val="5B8740CD"/>
    <w:rsid w:val="5B915005"/>
    <w:rsid w:val="5B9207A8"/>
    <w:rsid w:val="5B9F7DAC"/>
    <w:rsid w:val="5BA43A12"/>
    <w:rsid w:val="5BA626B5"/>
    <w:rsid w:val="5BB075A4"/>
    <w:rsid w:val="5BB77E50"/>
    <w:rsid w:val="5BBA7EAC"/>
    <w:rsid w:val="5BBB37E1"/>
    <w:rsid w:val="5BBB3896"/>
    <w:rsid w:val="5BCD6444"/>
    <w:rsid w:val="5BDA7D40"/>
    <w:rsid w:val="5BE83172"/>
    <w:rsid w:val="5BEC326E"/>
    <w:rsid w:val="5BEF700B"/>
    <w:rsid w:val="5BFD5920"/>
    <w:rsid w:val="5C006DD5"/>
    <w:rsid w:val="5C0553DC"/>
    <w:rsid w:val="5C084AA7"/>
    <w:rsid w:val="5C090254"/>
    <w:rsid w:val="5C0D1C3A"/>
    <w:rsid w:val="5C0F14A9"/>
    <w:rsid w:val="5C111495"/>
    <w:rsid w:val="5C165947"/>
    <w:rsid w:val="5C1739FF"/>
    <w:rsid w:val="5C267225"/>
    <w:rsid w:val="5C2B05FE"/>
    <w:rsid w:val="5C3405B2"/>
    <w:rsid w:val="5C374381"/>
    <w:rsid w:val="5C3972A2"/>
    <w:rsid w:val="5C3A1F1B"/>
    <w:rsid w:val="5C3C0EAD"/>
    <w:rsid w:val="5C415FAD"/>
    <w:rsid w:val="5C4228D6"/>
    <w:rsid w:val="5C426718"/>
    <w:rsid w:val="5C4863C1"/>
    <w:rsid w:val="5C61437B"/>
    <w:rsid w:val="5C691EAD"/>
    <w:rsid w:val="5C6A37F3"/>
    <w:rsid w:val="5C6C3BD8"/>
    <w:rsid w:val="5C7A0DFF"/>
    <w:rsid w:val="5C7B0A0E"/>
    <w:rsid w:val="5C813C3F"/>
    <w:rsid w:val="5C817958"/>
    <w:rsid w:val="5C8C06C1"/>
    <w:rsid w:val="5C964412"/>
    <w:rsid w:val="5C992D62"/>
    <w:rsid w:val="5C9A5E31"/>
    <w:rsid w:val="5C9D12CA"/>
    <w:rsid w:val="5CA16127"/>
    <w:rsid w:val="5CA6222B"/>
    <w:rsid w:val="5CAD65A1"/>
    <w:rsid w:val="5CB02287"/>
    <w:rsid w:val="5CB2756A"/>
    <w:rsid w:val="5CBE2888"/>
    <w:rsid w:val="5CC24B59"/>
    <w:rsid w:val="5CC26ECC"/>
    <w:rsid w:val="5CCC5196"/>
    <w:rsid w:val="5CD27406"/>
    <w:rsid w:val="5CD47D66"/>
    <w:rsid w:val="5CD56D30"/>
    <w:rsid w:val="5CDF5473"/>
    <w:rsid w:val="5CEE4F9D"/>
    <w:rsid w:val="5CEF196B"/>
    <w:rsid w:val="5CF71428"/>
    <w:rsid w:val="5CFD082C"/>
    <w:rsid w:val="5D065556"/>
    <w:rsid w:val="5D080A16"/>
    <w:rsid w:val="5D096D14"/>
    <w:rsid w:val="5D0D3CB6"/>
    <w:rsid w:val="5D1715C6"/>
    <w:rsid w:val="5D1773C9"/>
    <w:rsid w:val="5D1C48F7"/>
    <w:rsid w:val="5D230DD4"/>
    <w:rsid w:val="5D26128D"/>
    <w:rsid w:val="5D277AB7"/>
    <w:rsid w:val="5D34149D"/>
    <w:rsid w:val="5D354BA6"/>
    <w:rsid w:val="5D3B5726"/>
    <w:rsid w:val="5D4178A2"/>
    <w:rsid w:val="5D4601B1"/>
    <w:rsid w:val="5D477744"/>
    <w:rsid w:val="5D494DBC"/>
    <w:rsid w:val="5D4A3C14"/>
    <w:rsid w:val="5D5263E5"/>
    <w:rsid w:val="5D55588E"/>
    <w:rsid w:val="5D5A0839"/>
    <w:rsid w:val="5D5B05DA"/>
    <w:rsid w:val="5D645705"/>
    <w:rsid w:val="5D6C6D20"/>
    <w:rsid w:val="5D703A41"/>
    <w:rsid w:val="5D742657"/>
    <w:rsid w:val="5D7863E2"/>
    <w:rsid w:val="5D7A5CAC"/>
    <w:rsid w:val="5D7B0085"/>
    <w:rsid w:val="5D7B50D7"/>
    <w:rsid w:val="5D811B5C"/>
    <w:rsid w:val="5D8A4A6D"/>
    <w:rsid w:val="5D8D2AFE"/>
    <w:rsid w:val="5D900FDD"/>
    <w:rsid w:val="5D932479"/>
    <w:rsid w:val="5D9C0818"/>
    <w:rsid w:val="5DAB27C9"/>
    <w:rsid w:val="5DAE1C08"/>
    <w:rsid w:val="5DB221B9"/>
    <w:rsid w:val="5DB27FC9"/>
    <w:rsid w:val="5DB46EC8"/>
    <w:rsid w:val="5DBE23FD"/>
    <w:rsid w:val="5DCB6A18"/>
    <w:rsid w:val="5DCC2DD3"/>
    <w:rsid w:val="5DCD3483"/>
    <w:rsid w:val="5DCE7F66"/>
    <w:rsid w:val="5DD371C8"/>
    <w:rsid w:val="5DE50DB7"/>
    <w:rsid w:val="5DE5396A"/>
    <w:rsid w:val="5DED14F8"/>
    <w:rsid w:val="5DED633B"/>
    <w:rsid w:val="5DF84E51"/>
    <w:rsid w:val="5DFA5275"/>
    <w:rsid w:val="5E0013E1"/>
    <w:rsid w:val="5E0B4121"/>
    <w:rsid w:val="5E143BBA"/>
    <w:rsid w:val="5E1B308C"/>
    <w:rsid w:val="5E1D4EA1"/>
    <w:rsid w:val="5E217FAA"/>
    <w:rsid w:val="5E280528"/>
    <w:rsid w:val="5E3422D3"/>
    <w:rsid w:val="5E3513DA"/>
    <w:rsid w:val="5E3564A3"/>
    <w:rsid w:val="5E39617D"/>
    <w:rsid w:val="5E401CD4"/>
    <w:rsid w:val="5E43222F"/>
    <w:rsid w:val="5E4A25BB"/>
    <w:rsid w:val="5E4A295D"/>
    <w:rsid w:val="5E4E5BD3"/>
    <w:rsid w:val="5E5A73BB"/>
    <w:rsid w:val="5E632099"/>
    <w:rsid w:val="5E6572A9"/>
    <w:rsid w:val="5E692294"/>
    <w:rsid w:val="5E6F4588"/>
    <w:rsid w:val="5E790CA0"/>
    <w:rsid w:val="5E7945FC"/>
    <w:rsid w:val="5E930082"/>
    <w:rsid w:val="5E9E413C"/>
    <w:rsid w:val="5E9E692E"/>
    <w:rsid w:val="5EB13011"/>
    <w:rsid w:val="5EB351E3"/>
    <w:rsid w:val="5EB6009E"/>
    <w:rsid w:val="5EC063F6"/>
    <w:rsid w:val="5ECB5E0F"/>
    <w:rsid w:val="5ED32946"/>
    <w:rsid w:val="5ED72ADB"/>
    <w:rsid w:val="5ED7520E"/>
    <w:rsid w:val="5EDA08BE"/>
    <w:rsid w:val="5EDD4B67"/>
    <w:rsid w:val="5EDF577F"/>
    <w:rsid w:val="5EE278D0"/>
    <w:rsid w:val="5F0D3ABE"/>
    <w:rsid w:val="5F0E22EC"/>
    <w:rsid w:val="5F1800E8"/>
    <w:rsid w:val="5F1A3C82"/>
    <w:rsid w:val="5F1C0991"/>
    <w:rsid w:val="5F1E10BC"/>
    <w:rsid w:val="5F2842B5"/>
    <w:rsid w:val="5F315EDA"/>
    <w:rsid w:val="5F3529B3"/>
    <w:rsid w:val="5F3838CF"/>
    <w:rsid w:val="5F38595C"/>
    <w:rsid w:val="5F3D6069"/>
    <w:rsid w:val="5F413F0A"/>
    <w:rsid w:val="5F433B04"/>
    <w:rsid w:val="5F4911FC"/>
    <w:rsid w:val="5F4A7918"/>
    <w:rsid w:val="5F4B3934"/>
    <w:rsid w:val="5F4C162A"/>
    <w:rsid w:val="5F4E212F"/>
    <w:rsid w:val="5F6C300C"/>
    <w:rsid w:val="5F6F6111"/>
    <w:rsid w:val="5F701D7B"/>
    <w:rsid w:val="5F712545"/>
    <w:rsid w:val="5F727FC6"/>
    <w:rsid w:val="5F733CFF"/>
    <w:rsid w:val="5F7515B9"/>
    <w:rsid w:val="5F781B5A"/>
    <w:rsid w:val="5F7843B4"/>
    <w:rsid w:val="5F7B0DE0"/>
    <w:rsid w:val="5F7F3F91"/>
    <w:rsid w:val="5F821239"/>
    <w:rsid w:val="5F9A5115"/>
    <w:rsid w:val="5FB459C4"/>
    <w:rsid w:val="5FBE789B"/>
    <w:rsid w:val="5FC469D3"/>
    <w:rsid w:val="5FD47E63"/>
    <w:rsid w:val="5FD862BD"/>
    <w:rsid w:val="5FDA0CA9"/>
    <w:rsid w:val="5FDB4098"/>
    <w:rsid w:val="5FDD0F28"/>
    <w:rsid w:val="5FE16EF1"/>
    <w:rsid w:val="5FEB190B"/>
    <w:rsid w:val="5FF32F14"/>
    <w:rsid w:val="5FF973E1"/>
    <w:rsid w:val="5FFE36F1"/>
    <w:rsid w:val="60085D90"/>
    <w:rsid w:val="6012029D"/>
    <w:rsid w:val="60152C6A"/>
    <w:rsid w:val="60265BCA"/>
    <w:rsid w:val="602B739C"/>
    <w:rsid w:val="602D487E"/>
    <w:rsid w:val="602D5C54"/>
    <w:rsid w:val="603A2B07"/>
    <w:rsid w:val="603B585C"/>
    <w:rsid w:val="603B5DC4"/>
    <w:rsid w:val="60443A82"/>
    <w:rsid w:val="60447295"/>
    <w:rsid w:val="604E3377"/>
    <w:rsid w:val="6054527B"/>
    <w:rsid w:val="605A0E0D"/>
    <w:rsid w:val="60622528"/>
    <w:rsid w:val="60633807"/>
    <w:rsid w:val="60781F5C"/>
    <w:rsid w:val="607D45EE"/>
    <w:rsid w:val="607D47A2"/>
    <w:rsid w:val="607F45F5"/>
    <w:rsid w:val="607F6BA2"/>
    <w:rsid w:val="60811FCD"/>
    <w:rsid w:val="60857C95"/>
    <w:rsid w:val="608D7453"/>
    <w:rsid w:val="608E4E60"/>
    <w:rsid w:val="60A03E13"/>
    <w:rsid w:val="60A210EA"/>
    <w:rsid w:val="60A35595"/>
    <w:rsid w:val="60A62BB8"/>
    <w:rsid w:val="60A652C9"/>
    <w:rsid w:val="60AB1090"/>
    <w:rsid w:val="60AC24A1"/>
    <w:rsid w:val="60B3575F"/>
    <w:rsid w:val="60B96A64"/>
    <w:rsid w:val="60BE3971"/>
    <w:rsid w:val="60C36BAA"/>
    <w:rsid w:val="60D15377"/>
    <w:rsid w:val="60DA02C2"/>
    <w:rsid w:val="60DD13DE"/>
    <w:rsid w:val="60E064E7"/>
    <w:rsid w:val="60E471F1"/>
    <w:rsid w:val="60F600EF"/>
    <w:rsid w:val="60F864F0"/>
    <w:rsid w:val="60FE0649"/>
    <w:rsid w:val="610244AA"/>
    <w:rsid w:val="611304E9"/>
    <w:rsid w:val="611727E7"/>
    <w:rsid w:val="61186287"/>
    <w:rsid w:val="611F5FBC"/>
    <w:rsid w:val="61225BA7"/>
    <w:rsid w:val="612811FE"/>
    <w:rsid w:val="612D2323"/>
    <w:rsid w:val="613045F7"/>
    <w:rsid w:val="613E6D9F"/>
    <w:rsid w:val="614100E3"/>
    <w:rsid w:val="6145645F"/>
    <w:rsid w:val="614B50C1"/>
    <w:rsid w:val="614F3793"/>
    <w:rsid w:val="61517443"/>
    <w:rsid w:val="615F0190"/>
    <w:rsid w:val="616059C4"/>
    <w:rsid w:val="61705025"/>
    <w:rsid w:val="61705093"/>
    <w:rsid w:val="61854BC3"/>
    <w:rsid w:val="618A3CF6"/>
    <w:rsid w:val="618D1D4B"/>
    <w:rsid w:val="618F5E5F"/>
    <w:rsid w:val="61996F91"/>
    <w:rsid w:val="61AA73B3"/>
    <w:rsid w:val="61B00A1E"/>
    <w:rsid w:val="61BE2899"/>
    <w:rsid w:val="61C12928"/>
    <w:rsid w:val="61C35160"/>
    <w:rsid w:val="61C44FB6"/>
    <w:rsid w:val="61CA606C"/>
    <w:rsid w:val="61CC6236"/>
    <w:rsid w:val="61D5069C"/>
    <w:rsid w:val="61DE1513"/>
    <w:rsid w:val="61DE243F"/>
    <w:rsid w:val="61E90426"/>
    <w:rsid w:val="61EC1029"/>
    <w:rsid w:val="61F819C0"/>
    <w:rsid w:val="61FA79CB"/>
    <w:rsid w:val="61FC5DAF"/>
    <w:rsid w:val="62006316"/>
    <w:rsid w:val="620D22EA"/>
    <w:rsid w:val="62143F57"/>
    <w:rsid w:val="621A51B1"/>
    <w:rsid w:val="621B7911"/>
    <w:rsid w:val="62244482"/>
    <w:rsid w:val="622446F8"/>
    <w:rsid w:val="62246796"/>
    <w:rsid w:val="622B7DC9"/>
    <w:rsid w:val="622C2A0D"/>
    <w:rsid w:val="622F4DFD"/>
    <w:rsid w:val="62364403"/>
    <w:rsid w:val="62387CD2"/>
    <w:rsid w:val="623B5647"/>
    <w:rsid w:val="62436960"/>
    <w:rsid w:val="62524272"/>
    <w:rsid w:val="62543E3D"/>
    <w:rsid w:val="625537B5"/>
    <w:rsid w:val="625C6B16"/>
    <w:rsid w:val="625F53CD"/>
    <w:rsid w:val="62601DCF"/>
    <w:rsid w:val="62604FDE"/>
    <w:rsid w:val="62630E5A"/>
    <w:rsid w:val="62686625"/>
    <w:rsid w:val="626D425E"/>
    <w:rsid w:val="6270008C"/>
    <w:rsid w:val="62721912"/>
    <w:rsid w:val="627B5880"/>
    <w:rsid w:val="62864DC9"/>
    <w:rsid w:val="628D0640"/>
    <w:rsid w:val="6294124F"/>
    <w:rsid w:val="62946A3E"/>
    <w:rsid w:val="629F5000"/>
    <w:rsid w:val="62AC6701"/>
    <w:rsid w:val="62B56C09"/>
    <w:rsid w:val="62B806AC"/>
    <w:rsid w:val="62C018A7"/>
    <w:rsid w:val="62C2147C"/>
    <w:rsid w:val="62C535DD"/>
    <w:rsid w:val="62CB0188"/>
    <w:rsid w:val="62D17676"/>
    <w:rsid w:val="62D32BA1"/>
    <w:rsid w:val="62D70D8B"/>
    <w:rsid w:val="62DB75E6"/>
    <w:rsid w:val="62DC7A62"/>
    <w:rsid w:val="62DF3109"/>
    <w:rsid w:val="62F176C2"/>
    <w:rsid w:val="63022A0D"/>
    <w:rsid w:val="63027145"/>
    <w:rsid w:val="63073853"/>
    <w:rsid w:val="63075750"/>
    <w:rsid w:val="630F7DBF"/>
    <w:rsid w:val="63170F7C"/>
    <w:rsid w:val="631E0C3B"/>
    <w:rsid w:val="63217423"/>
    <w:rsid w:val="632400BA"/>
    <w:rsid w:val="63246839"/>
    <w:rsid w:val="6328400C"/>
    <w:rsid w:val="633571CC"/>
    <w:rsid w:val="6337416D"/>
    <w:rsid w:val="633B709F"/>
    <w:rsid w:val="6348512C"/>
    <w:rsid w:val="634C3886"/>
    <w:rsid w:val="634D0FFB"/>
    <w:rsid w:val="634D4E50"/>
    <w:rsid w:val="635A0C87"/>
    <w:rsid w:val="635D7FF5"/>
    <w:rsid w:val="63607B63"/>
    <w:rsid w:val="63626B0F"/>
    <w:rsid w:val="636451F8"/>
    <w:rsid w:val="637720C5"/>
    <w:rsid w:val="637C603C"/>
    <w:rsid w:val="638165FF"/>
    <w:rsid w:val="63861D33"/>
    <w:rsid w:val="63864396"/>
    <w:rsid w:val="638B469B"/>
    <w:rsid w:val="638D54CB"/>
    <w:rsid w:val="63900B3B"/>
    <w:rsid w:val="6391413A"/>
    <w:rsid w:val="63A666E4"/>
    <w:rsid w:val="63A8144B"/>
    <w:rsid w:val="63AC40B1"/>
    <w:rsid w:val="63AC7B01"/>
    <w:rsid w:val="63AF3A37"/>
    <w:rsid w:val="63B069B7"/>
    <w:rsid w:val="63C02AAE"/>
    <w:rsid w:val="63C71CF8"/>
    <w:rsid w:val="63C85E2C"/>
    <w:rsid w:val="63D20D97"/>
    <w:rsid w:val="63D62994"/>
    <w:rsid w:val="63D92960"/>
    <w:rsid w:val="63DB5F77"/>
    <w:rsid w:val="63E16321"/>
    <w:rsid w:val="63E35F3A"/>
    <w:rsid w:val="63EB7700"/>
    <w:rsid w:val="63EC4F0E"/>
    <w:rsid w:val="63F04C3D"/>
    <w:rsid w:val="63FF4C2E"/>
    <w:rsid w:val="6408039E"/>
    <w:rsid w:val="640E5FB2"/>
    <w:rsid w:val="64194B49"/>
    <w:rsid w:val="6419743D"/>
    <w:rsid w:val="641E2FFD"/>
    <w:rsid w:val="642D197F"/>
    <w:rsid w:val="64351649"/>
    <w:rsid w:val="64367418"/>
    <w:rsid w:val="64456823"/>
    <w:rsid w:val="6447337B"/>
    <w:rsid w:val="6448091E"/>
    <w:rsid w:val="64505561"/>
    <w:rsid w:val="6451172E"/>
    <w:rsid w:val="645B218B"/>
    <w:rsid w:val="645C5E10"/>
    <w:rsid w:val="645E7592"/>
    <w:rsid w:val="646949A2"/>
    <w:rsid w:val="64752152"/>
    <w:rsid w:val="64786CCF"/>
    <w:rsid w:val="647B617A"/>
    <w:rsid w:val="64802D6E"/>
    <w:rsid w:val="6481513B"/>
    <w:rsid w:val="6481537F"/>
    <w:rsid w:val="64882347"/>
    <w:rsid w:val="648A1937"/>
    <w:rsid w:val="648D06CB"/>
    <w:rsid w:val="64A37A75"/>
    <w:rsid w:val="64A878AC"/>
    <w:rsid w:val="64AD3929"/>
    <w:rsid w:val="64B76394"/>
    <w:rsid w:val="64B7696A"/>
    <w:rsid w:val="64BB59A1"/>
    <w:rsid w:val="64BF2823"/>
    <w:rsid w:val="64BF41C7"/>
    <w:rsid w:val="64C44259"/>
    <w:rsid w:val="64D2262E"/>
    <w:rsid w:val="64D30230"/>
    <w:rsid w:val="64D75E21"/>
    <w:rsid w:val="64D81ED5"/>
    <w:rsid w:val="64D85ADD"/>
    <w:rsid w:val="64DF719D"/>
    <w:rsid w:val="64E25D83"/>
    <w:rsid w:val="64E45A26"/>
    <w:rsid w:val="64EE1E61"/>
    <w:rsid w:val="64F74413"/>
    <w:rsid w:val="64FA0716"/>
    <w:rsid w:val="64FC08D0"/>
    <w:rsid w:val="650B4776"/>
    <w:rsid w:val="6511271A"/>
    <w:rsid w:val="65163A2B"/>
    <w:rsid w:val="65182A1E"/>
    <w:rsid w:val="65194470"/>
    <w:rsid w:val="65341AB7"/>
    <w:rsid w:val="653863C9"/>
    <w:rsid w:val="653A5CB2"/>
    <w:rsid w:val="653C5CE7"/>
    <w:rsid w:val="653D34A1"/>
    <w:rsid w:val="653F05F7"/>
    <w:rsid w:val="654C0A01"/>
    <w:rsid w:val="654C400E"/>
    <w:rsid w:val="654C4118"/>
    <w:rsid w:val="65510B4D"/>
    <w:rsid w:val="655C6B59"/>
    <w:rsid w:val="65620663"/>
    <w:rsid w:val="656330F6"/>
    <w:rsid w:val="65672507"/>
    <w:rsid w:val="656F497A"/>
    <w:rsid w:val="65752979"/>
    <w:rsid w:val="65783DAD"/>
    <w:rsid w:val="658538FB"/>
    <w:rsid w:val="65891C7A"/>
    <w:rsid w:val="65931D3A"/>
    <w:rsid w:val="659822DD"/>
    <w:rsid w:val="659E0CD8"/>
    <w:rsid w:val="65A3380C"/>
    <w:rsid w:val="65AB663F"/>
    <w:rsid w:val="65B44DD6"/>
    <w:rsid w:val="65C04F34"/>
    <w:rsid w:val="65C51E70"/>
    <w:rsid w:val="65C65A1B"/>
    <w:rsid w:val="65D21F83"/>
    <w:rsid w:val="65D33B65"/>
    <w:rsid w:val="65D36CD9"/>
    <w:rsid w:val="65D55F41"/>
    <w:rsid w:val="65D60201"/>
    <w:rsid w:val="65D95B4E"/>
    <w:rsid w:val="65DC4F6E"/>
    <w:rsid w:val="65DF7A88"/>
    <w:rsid w:val="65E174B2"/>
    <w:rsid w:val="65E413AB"/>
    <w:rsid w:val="65EC2F32"/>
    <w:rsid w:val="65EE03E4"/>
    <w:rsid w:val="65F01AB4"/>
    <w:rsid w:val="65F80F25"/>
    <w:rsid w:val="65FE7F42"/>
    <w:rsid w:val="660A19DA"/>
    <w:rsid w:val="660B3DE6"/>
    <w:rsid w:val="66100967"/>
    <w:rsid w:val="661800B4"/>
    <w:rsid w:val="662720D2"/>
    <w:rsid w:val="66284531"/>
    <w:rsid w:val="662C5B0A"/>
    <w:rsid w:val="663219D1"/>
    <w:rsid w:val="66324EF9"/>
    <w:rsid w:val="6633344D"/>
    <w:rsid w:val="66360823"/>
    <w:rsid w:val="663A5586"/>
    <w:rsid w:val="663D6E00"/>
    <w:rsid w:val="66450C85"/>
    <w:rsid w:val="66521A19"/>
    <w:rsid w:val="66527316"/>
    <w:rsid w:val="6653533F"/>
    <w:rsid w:val="6655292C"/>
    <w:rsid w:val="665B0253"/>
    <w:rsid w:val="66646397"/>
    <w:rsid w:val="666854B4"/>
    <w:rsid w:val="666B183F"/>
    <w:rsid w:val="666D301C"/>
    <w:rsid w:val="66751ADC"/>
    <w:rsid w:val="6682631E"/>
    <w:rsid w:val="66892A30"/>
    <w:rsid w:val="66937355"/>
    <w:rsid w:val="669C06FE"/>
    <w:rsid w:val="669D0FFF"/>
    <w:rsid w:val="669F19F6"/>
    <w:rsid w:val="66A37B86"/>
    <w:rsid w:val="66A57B20"/>
    <w:rsid w:val="66A90234"/>
    <w:rsid w:val="66B622B4"/>
    <w:rsid w:val="66B87247"/>
    <w:rsid w:val="66BA77D5"/>
    <w:rsid w:val="66C1139D"/>
    <w:rsid w:val="66CC53FC"/>
    <w:rsid w:val="66D12486"/>
    <w:rsid w:val="66D4710B"/>
    <w:rsid w:val="66D87459"/>
    <w:rsid w:val="66DC5B3F"/>
    <w:rsid w:val="66DE44BD"/>
    <w:rsid w:val="66E03F2D"/>
    <w:rsid w:val="66E36BE5"/>
    <w:rsid w:val="66E56267"/>
    <w:rsid w:val="66EC59AD"/>
    <w:rsid w:val="66EE480F"/>
    <w:rsid w:val="66F12872"/>
    <w:rsid w:val="66F35B7C"/>
    <w:rsid w:val="67042386"/>
    <w:rsid w:val="67097787"/>
    <w:rsid w:val="670E496E"/>
    <w:rsid w:val="67105321"/>
    <w:rsid w:val="671B41C4"/>
    <w:rsid w:val="671C652D"/>
    <w:rsid w:val="67235EA0"/>
    <w:rsid w:val="67271EEC"/>
    <w:rsid w:val="6732288F"/>
    <w:rsid w:val="67381AD5"/>
    <w:rsid w:val="674711AB"/>
    <w:rsid w:val="675628A1"/>
    <w:rsid w:val="675D15D1"/>
    <w:rsid w:val="675E2286"/>
    <w:rsid w:val="67606959"/>
    <w:rsid w:val="67644C01"/>
    <w:rsid w:val="676A2620"/>
    <w:rsid w:val="676E7F3D"/>
    <w:rsid w:val="67704FAD"/>
    <w:rsid w:val="67740045"/>
    <w:rsid w:val="677D22FC"/>
    <w:rsid w:val="677E0A58"/>
    <w:rsid w:val="677E4332"/>
    <w:rsid w:val="67836156"/>
    <w:rsid w:val="678F7376"/>
    <w:rsid w:val="679119E4"/>
    <w:rsid w:val="67A27CC2"/>
    <w:rsid w:val="67A60B9C"/>
    <w:rsid w:val="67A844C9"/>
    <w:rsid w:val="67AD0F3F"/>
    <w:rsid w:val="67B5198D"/>
    <w:rsid w:val="67C10FDD"/>
    <w:rsid w:val="67C271FD"/>
    <w:rsid w:val="67C666C3"/>
    <w:rsid w:val="67C66748"/>
    <w:rsid w:val="67D30997"/>
    <w:rsid w:val="67D41DA8"/>
    <w:rsid w:val="67D42E71"/>
    <w:rsid w:val="67E2219A"/>
    <w:rsid w:val="67E33455"/>
    <w:rsid w:val="67EF30B3"/>
    <w:rsid w:val="67F711F8"/>
    <w:rsid w:val="68000F49"/>
    <w:rsid w:val="680523D0"/>
    <w:rsid w:val="68061993"/>
    <w:rsid w:val="680B1828"/>
    <w:rsid w:val="680B2E8B"/>
    <w:rsid w:val="680D0939"/>
    <w:rsid w:val="68163CC3"/>
    <w:rsid w:val="6822058E"/>
    <w:rsid w:val="68237FD2"/>
    <w:rsid w:val="68286E52"/>
    <w:rsid w:val="68302308"/>
    <w:rsid w:val="68304D12"/>
    <w:rsid w:val="68375D49"/>
    <w:rsid w:val="68394CF3"/>
    <w:rsid w:val="684557CE"/>
    <w:rsid w:val="68455D9A"/>
    <w:rsid w:val="68466D27"/>
    <w:rsid w:val="685066EB"/>
    <w:rsid w:val="6851197F"/>
    <w:rsid w:val="68642F50"/>
    <w:rsid w:val="6866152A"/>
    <w:rsid w:val="686D127F"/>
    <w:rsid w:val="687067F6"/>
    <w:rsid w:val="68747A3A"/>
    <w:rsid w:val="687F65AF"/>
    <w:rsid w:val="68802A41"/>
    <w:rsid w:val="68864EF9"/>
    <w:rsid w:val="688961EE"/>
    <w:rsid w:val="68901B29"/>
    <w:rsid w:val="689078F6"/>
    <w:rsid w:val="689304A0"/>
    <w:rsid w:val="689E7816"/>
    <w:rsid w:val="68B915C0"/>
    <w:rsid w:val="68B93D81"/>
    <w:rsid w:val="68C04958"/>
    <w:rsid w:val="68C05FB4"/>
    <w:rsid w:val="68C33DD2"/>
    <w:rsid w:val="68CD789A"/>
    <w:rsid w:val="68DE61FF"/>
    <w:rsid w:val="68E027D7"/>
    <w:rsid w:val="68E32D1E"/>
    <w:rsid w:val="68E3352F"/>
    <w:rsid w:val="68E6046D"/>
    <w:rsid w:val="68E65278"/>
    <w:rsid w:val="68EA0D10"/>
    <w:rsid w:val="68EC04DE"/>
    <w:rsid w:val="68FC7FC0"/>
    <w:rsid w:val="69022832"/>
    <w:rsid w:val="690331E8"/>
    <w:rsid w:val="690658B5"/>
    <w:rsid w:val="69093CAF"/>
    <w:rsid w:val="690947E8"/>
    <w:rsid w:val="69094A0A"/>
    <w:rsid w:val="690B7520"/>
    <w:rsid w:val="690C7A3D"/>
    <w:rsid w:val="691200AE"/>
    <w:rsid w:val="69152147"/>
    <w:rsid w:val="6924543E"/>
    <w:rsid w:val="693154EC"/>
    <w:rsid w:val="69317031"/>
    <w:rsid w:val="69413B3B"/>
    <w:rsid w:val="694D1EC2"/>
    <w:rsid w:val="694F1C0F"/>
    <w:rsid w:val="69517DBF"/>
    <w:rsid w:val="69547E70"/>
    <w:rsid w:val="69594552"/>
    <w:rsid w:val="695C7E7A"/>
    <w:rsid w:val="69636B13"/>
    <w:rsid w:val="69647D29"/>
    <w:rsid w:val="697046EC"/>
    <w:rsid w:val="697224D8"/>
    <w:rsid w:val="697E74B0"/>
    <w:rsid w:val="69880A72"/>
    <w:rsid w:val="6992357A"/>
    <w:rsid w:val="69A54114"/>
    <w:rsid w:val="69A70DD4"/>
    <w:rsid w:val="69AB1271"/>
    <w:rsid w:val="69B82F3E"/>
    <w:rsid w:val="69B868E7"/>
    <w:rsid w:val="69C76718"/>
    <w:rsid w:val="69C7697A"/>
    <w:rsid w:val="69C93883"/>
    <w:rsid w:val="69CF00C0"/>
    <w:rsid w:val="69D60658"/>
    <w:rsid w:val="69D85016"/>
    <w:rsid w:val="69DA61FE"/>
    <w:rsid w:val="69E67C99"/>
    <w:rsid w:val="69EE19C0"/>
    <w:rsid w:val="69F36455"/>
    <w:rsid w:val="69FF002A"/>
    <w:rsid w:val="69FF298F"/>
    <w:rsid w:val="6A00196F"/>
    <w:rsid w:val="6A0456C2"/>
    <w:rsid w:val="6A080B86"/>
    <w:rsid w:val="6A0A518E"/>
    <w:rsid w:val="6A0B1654"/>
    <w:rsid w:val="6A220495"/>
    <w:rsid w:val="6A223BC7"/>
    <w:rsid w:val="6A2343C6"/>
    <w:rsid w:val="6A272D1B"/>
    <w:rsid w:val="6A2D657D"/>
    <w:rsid w:val="6A305C56"/>
    <w:rsid w:val="6A396236"/>
    <w:rsid w:val="6A441179"/>
    <w:rsid w:val="6A4B0BF9"/>
    <w:rsid w:val="6A5318E5"/>
    <w:rsid w:val="6A5339AC"/>
    <w:rsid w:val="6A5D6D7D"/>
    <w:rsid w:val="6A623645"/>
    <w:rsid w:val="6A6D40BC"/>
    <w:rsid w:val="6A7E63F7"/>
    <w:rsid w:val="6A817C93"/>
    <w:rsid w:val="6A83685F"/>
    <w:rsid w:val="6A871F0C"/>
    <w:rsid w:val="6A88015D"/>
    <w:rsid w:val="6A90546D"/>
    <w:rsid w:val="6AA03D7A"/>
    <w:rsid w:val="6AA25375"/>
    <w:rsid w:val="6AA320BF"/>
    <w:rsid w:val="6AAF0FDA"/>
    <w:rsid w:val="6AB0283E"/>
    <w:rsid w:val="6AB5211E"/>
    <w:rsid w:val="6ABA0708"/>
    <w:rsid w:val="6ABD3824"/>
    <w:rsid w:val="6ABF0E6A"/>
    <w:rsid w:val="6AD053F6"/>
    <w:rsid w:val="6AD21B25"/>
    <w:rsid w:val="6AD97F5A"/>
    <w:rsid w:val="6ADC7A66"/>
    <w:rsid w:val="6AE61B0C"/>
    <w:rsid w:val="6AF35A96"/>
    <w:rsid w:val="6AF42FD3"/>
    <w:rsid w:val="6AFB7E7A"/>
    <w:rsid w:val="6B05038A"/>
    <w:rsid w:val="6B132584"/>
    <w:rsid w:val="6B146693"/>
    <w:rsid w:val="6B1B74FE"/>
    <w:rsid w:val="6B2B66DF"/>
    <w:rsid w:val="6B2C5B02"/>
    <w:rsid w:val="6B310666"/>
    <w:rsid w:val="6B462208"/>
    <w:rsid w:val="6B4F6174"/>
    <w:rsid w:val="6B54553F"/>
    <w:rsid w:val="6B5D050E"/>
    <w:rsid w:val="6B6533D4"/>
    <w:rsid w:val="6B6F6D82"/>
    <w:rsid w:val="6B705245"/>
    <w:rsid w:val="6B732A18"/>
    <w:rsid w:val="6B776695"/>
    <w:rsid w:val="6B780C01"/>
    <w:rsid w:val="6B8829BB"/>
    <w:rsid w:val="6B8A0EE1"/>
    <w:rsid w:val="6B993209"/>
    <w:rsid w:val="6B9A59AF"/>
    <w:rsid w:val="6BA076F0"/>
    <w:rsid w:val="6BA27C6A"/>
    <w:rsid w:val="6BB045A0"/>
    <w:rsid w:val="6BB22AFA"/>
    <w:rsid w:val="6BB46EEB"/>
    <w:rsid w:val="6BB74503"/>
    <w:rsid w:val="6BC3763E"/>
    <w:rsid w:val="6BC511F3"/>
    <w:rsid w:val="6BC568DE"/>
    <w:rsid w:val="6BCA00F3"/>
    <w:rsid w:val="6BCA4A4A"/>
    <w:rsid w:val="6BCC2F38"/>
    <w:rsid w:val="6BCF78BD"/>
    <w:rsid w:val="6BD064AE"/>
    <w:rsid w:val="6BDA0C2C"/>
    <w:rsid w:val="6BDA756C"/>
    <w:rsid w:val="6BE452B3"/>
    <w:rsid w:val="6BE76664"/>
    <w:rsid w:val="6BE93852"/>
    <w:rsid w:val="6BEA45EB"/>
    <w:rsid w:val="6BEB340B"/>
    <w:rsid w:val="6BF12FBF"/>
    <w:rsid w:val="6BF132EB"/>
    <w:rsid w:val="6BFA18AE"/>
    <w:rsid w:val="6BFC1C27"/>
    <w:rsid w:val="6BFE0F82"/>
    <w:rsid w:val="6BFF36AF"/>
    <w:rsid w:val="6C0D2EA7"/>
    <w:rsid w:val="6C1215B1"/>
    <w:rsid w:val="6C144674"/>
    <w:rsid w:val="6C292952"/>
    <w:rsid w:val="6C2B5857"/>
    <w:rsid w:val="6C2E38EE"/>
    <w:rsid w:val="6C3154B4"/>
    <w:rsid w:val="6C3811AE"/>
    <w:rsid w:val="6C426140"/>
    <w:rsid w:val="6C435274"/>
    <w:rsid w:val="6C4A4F10"/>
    <w:rsid w:val="6C4E0249"/>
    <w:rsid w:val="6C4E21DC"/>
    <w:rsid w:val="6C4E6D95"/>
    <w:rsid w:val="6C5052D8"/>
    <w:rsid w:val="6C515BC7"/>
    <w:rsid w:val="6C5164C2"/>
    <w:rsid w:val="6C576A17"/>
    <w:rsid w:val="6C602F3C"/>
    <w:rsid w:val="6C647BD2"/>
    <w:rsid w:val="6C687F3A"/>
    <w:rsid w:val="6C6D225A"/>
    <w:rsid w:val="6C774EA5"/>
    <w:rsid w:val="6C77611C"/>
    <w:rsid w:val="6C7D1340"/>
    <w:rsid w:val="6C7D698F"/>
    <w:rsid w:val="6C7E59BB"/>
    <w:rsid w:val="6C813B69"/>
    <w:rsid w:val="6C81781A"/>
    <w:rsid w:val="6C8A7F22"/>
    <w:rsid w:val="6C8C6AD0"/>
    <w:rsid w:val="6C8E2466"/>
    <w:rsid w:val="6C987D32"/>
    <w:rsid w:val="6C9D26A9"/>
    <w:rsid w:val="6CAE3BE5"/>
    <w:rsid w:val="6CB561E6"/>
    <w:rsid w:val="6CC02E2E"/>
    <w:rsid w:val="6CCC1137"/>
    <w:rsid w:val="6CD04B41"/>
    <w:rsid w:val="6CD4339A"/>
    <w:rsid w:val="6CD9608A"/>
    <w:rsid w:val="6CD96E67"/>
    <w:rsid w:val="6CE1667B"/>
    <w:rsid w:val="6CE27AF9"/>
    <w:rsid w:val="6CE30221"/>
    <w:rsid w:val="6CE66A55"/>
    <w:rsid w:val="6CE971A7"/>
    <w:rsid w:val="6CF35220"/>
    <w:rsid w:val="6CF83B19"/>
    <w:rsid w:val="6CFD6FF9"/>
    <w:rsid w:val="6D001895"/>
    <w:rsid w:val="6D087E1C"/>
    <w:rsid w:val="6D0A50E5"/>
    <w:rsid w:val="6D0F41B8"/>
    <w:rsid w:val="6D1024B3"/>
    <w:rsid w:val="6D1B06DE"/>
    <w:rsid w:val="6D1B4843"/>
    <w:rsid w:val="6D2422C7"/>
    <w:rsid w:val="6D242CB5"/>
    <w:rsid w:val="6D324CAD"/>
    <w:rsid w:val="6D347EA9"/>
    <w:rsid w:val="6D396037"/>
    <w:rsid w:val="6D3A1767"/>
    <w:rsid w:val="6D3B587B"/>
    <w:rsid w:val="6D4658F8"/>
    <w:rsid w:val="6D470E62"/>
    <w:rsid w:val="6D477D6C"/>
    <w:rsid w:val="6D594AFC"/>
    <w:rsid w:val="6D5B1BDC"/>
    <w:rsid w:val="6D5E2775"/>
    <w:rsid w:val="6D6120F6"/>
    <w:rsid w:val="6D694605"/>
    <w:rsid w:val="6D696D90"/>
    <w:rsid w:val="6D791985"/>
    <w:rsid w:val="6D815288"/>
    <w:rsid w:val="6D860555"/>
    <w:rsid w:val="6D863AFA"/>
    <w:rsid w:val="6D8B4DB4"/>
    <w:rsid w:val="6D8C0E44"/>
    <w:rsid w:val="6D8C6820"/>
    <w:rsid w:val="6D997050"/>
    <w:rsid w:val="6DAD3869"/>
    <w:rsid w:val="6DB21075"/>
    <w:rsid w:val="6DB373AB"/>
    <w:rsid w:val="6DBB120B"/>
    <w:rsid w:val="6DBE1A43"/>
    <w:rsid w:val="6DCF476F"/>
    <w:rsid w:val="6DD2377C"/>
    <w:rsid w:val="6DD67667"/>
    <w:rsid w:val="6DE216EC"/>
    <w:rsid w:val="6DEF121C"/>
    <w:rsid w:val="6DF04651"/>
    <w:rsid w:val="6DF218DD"/>
    <w:rsid w:val="6DF73BD5"/>
    <w:rsid w:val="6DF825E5"/>
    <w:rsid w:val="6DFB4166"/>
    <w:rsid w:val="6E010E59"/>
    <w:rsid w:val="6E097FD1"/>
    <w:rsid w:val="6E0D3650"/>
    <w:rsid w:val="6E127D2E"/>
    <w:rsid w:val="6E133AF0"/>
    <w:rsid w:val="6E19169F"/>
    <w:rsid w:val="6E1E51E1"/>
    <w:rsid w:val="6E257201"/>
    <w:rsid w:val="6E282CF9"/>
    <w:rsid w:val="6E290FBC"/>
    <w:rsid w:val="6E2D2C94"/>
    <w:rsid w:val="6E367A4A"/>
    <w:rsid w:val="6E437CBC"/>
    <w:rsid w:val="6E461B04"/>
    <w:rsid w:val="6E4B0A78"/>
    <w:rsid w:val="6E4C6624"/>
    <w:rsid w:val="6E5209DA"/>
    <w:rsid w:val="6E582A2C"/>
    <w:rsid w:val="6E6011F9"/>
    <w:rsid w:val="6E665243"/>
    <w:rsid w:val="6E6B0CED"/>
    <w:rsid w:val="6E6E1524"/>
    <w:rsid w:val="6E6F6118"/>
    <w:rsid w:val="6E746946"/>
    <w:rsid w:val="6E7E2890"/>
    <w:rsid w:val="6E825693"/>
    <w:rsid w:val="6E987637"/>
    <w:rsid w:val="6EA13BFA"/>
    <w:rsid w:val="6EA5293A"/>
    <w:rsid w:val="6EA66674"/>
    <w:rsid w:val="6EAC2128"/>
    <w:rsid w:val="6EAD4E1A"/>
    <w:rsid w:val="6EB753AA"/>
    <w:rsid w:val="6EB865EB"/>
    <w:rsid w:val="6EBB0EAA"/>
    <w:rsid w:val="6EBC4BB1"/>
    <w:rsid w:val="6EBF13F0"/>
    <w:rsid w:val="6EC15B86"/>
    <w:rsid w:val="6EC312A5"/>
    <w:rsid w:val="6EC33B32"/>
    <w:rsid w:val="6EC4047C"/>
    <w:rsid w:val="6EC45E34"/>
    <w:rsid w:val="6EC543D7"/>
    <w:rsid w:val="6EE1559A"/>
    <w:rsid w:val="6EE54ACA"/>
    <w:rsid w:val="6EE73F93"/>
    <w:rsid w:val="6EE9442B"/>
    <w:rsid w:val="6EEC34F6"/>
    <w:rsid w:val="6EEC7DA0"/>
    <w:rsid w:val="6EFC3FBE"/>
    <w:rsid w:val="6EFF229C"/>
    <w:rsid w:val="6F162C7A"/>
    <w:rsid w:val="6F1A2251"/>
    <w:rsid w:val="6F1B1A49"/>
    <w:rsid w:val="6F2A2CC1"/>
    <w:rsid w:val="6F2A5224"/>
    <w:rsid w:val="6F2A675D"/>
    <w:rsid w:val="6F2A7470"/>
    <w:rsid w:val="6F2F2CD4"/>
    <w:rsid w:val="6F2F50D6"/>
    <w:rsid w:val="6F335839"/>
    <w:rsid w:val="6F3616D1"/>
    <w:rsid w:val="6F3E207C"/>
    <w:rsid w:val="6F4B7167"/>
    <w:rsid w:val="6F4C20F1"/>
    <w:rsid w:val="6F5B539B"/>
    <w:rsid w:val="6F5C6265"/>
    <w:rsid w:val="6F6265B6"/>
    <w:rsid w:val="6F656992"/>
    <w:rsid w:val="6F6A7293"/>
    <w:rsid w:val="6F703475"/>
    <w:rsid w:val="6F714A2A"/>
    <w:rsid w:val="6F7A707A"/>
    <w:rsid w:val="6F7C531C"/>
    <w:rsid w:val="6F8004C0"/>
    <w:rsid w:val="6F844DBC"/>
    <w:rsid w:val="6F8715EB"/>
    <w:rsid w:val="6F8725F7"/>
    <w:rsid w:val="6F8A1396"/>
    <w:rsid w:val="6F8A3070"/>
    <w:rsid w:val="6F8C1686"/>
    <w:rsid w:val="6F8E6F35"/>
    <w:rsid w:val="6F9260E1"/>
    <w:rsid w:val="6F951972"/>
    <w:rsid w:val="6F9E661C"/>
    <w:rsid w:val="6FAB02F7"/>
    <w:rsid w:val="6FAC4288"/>
    <w:rsid w:val="6FB21700"/>
    <w:rsid w:val="6FBD6232"/>
    <w:rsid w:val="6FBE5979"/>
    <w:rsid w:val="6FC01F8F"/>
    <w:rsid w:val="6FC82C63"/>
    <w:rsid w:val="6FDA47D1"/>
    <w:rsid w:val="6FDB027F"/>
    <w:rsid w:val="6FDC1942"/>
    <w:rsid w:val="6FE06C43"/>
    <w:rsid w:val="6FE20202"/>
    <w:rsid w:val="6FE50155"/>
    <w:rsid w:val="6FE64BBA"/>
    <w:rsid w:val="6FEC283D"/>
    <w:rsid w:val="6FF92E76"/>
    <w:rsid w:val="6FF93153"/>
    <w:rsid w:val="6FFA2C08"/>
    <w:rsid w:val="70004D4A"/>
    <w:rsid w:val="70022AEB"/>
    <w:rsid w:val="700B4695"/>
    <w:rsid w:val="700C21C5"/>
    <w:rsid w:val="701557A0"/>
    <w:rsid w:val="701B1E03"/>
    <w:rsid w:val="702A275D"/>
    <w:rsid w:val="70315516"/>
    <w:rsid w:val="70363200"/>
    <w:rsid w:val="703663BA"/>
    <w:rsid w:val="70391A57"/>
    <w:rsid w:val="703D65DA"/>
    <w:rsid w:val="703E0BE8"/>
    <w:rsid w:val="703F5BF3"/>
    <w:rsid w:val="704C260E"/>
    <w:rsid w:val="70543CE2"/>
    <w:rsid w:val="70561F0A"/>
    <w:rsid w:val="705A03F6"/>
    <w:rsid w:val="705C0DF8"/>
    <w:rsid w:val="706458F5"/>
    <w:rsid w:val="7071791F"/>
    <w:rsid w:val="70752D52"/>
    <w:rsid w:val="707675BB"/>
    <w:rsid w:val="70780A97"/>
    <w:rsid w:val="708934E6"/>
    <w:rsid w:val="708E3A6A"/>
    <w:rsid w:val="709D2DEC"/>
    <w:rsid w:val="709F20B3"/>
    <w:rsid w:val="70A01767"/>
    <w:rsid w:val="70AA1CC9"/>
    <w:rsid w:val="70AA46DF"/>
    <w:rsid w:val="70AE6CA6"/>
    <w:rsid w:val="70B11B79"/>
    <w:rsid w:val="70B26FDB"/>
    <w:rsid w:val="70B82C38"/>
    <w:rsid w:val="70B82FD3"/>
    <w:rsid w:val="70B95679"/>
    <w:rsid w:val="70C224AB"/>
    <w:rsid w:val="70C432B4"/>
    <w:rsid w:val="70C5722B"/>
    <w:rsid w:val="70CC28E1"/>
    <w:rsid w:val="70CF4244"/>
    <w:rsid w:val="70D60A97"/>
    <w:rsid w:val="70D6768E"/>
    <w:rsid w:val="70D676F5"/>
    <w:rsid w:val="70D82848"/>
    <w:rsid w:val="70DF7ED0"/>
    <w:rsid w:val="70E471B7"/>
    <w:rsid w:val="70E57CA9"/>
    <w:rsid w:val="70EC65A4"/>
    <w:rsid w:val="70F54CE8"/>
    <w:rsid w:val="70F82D59"/>
    <w:rsid w:val="7100656E"/>
    <w:rsid w:val="710515F9"/>
    <w:rsid w:val="711501FC"/>
    <w:rsid w:val="71152AFE"/>
    <w:rsid w:val="711606F7"/>
    <w:rsid w:val="71190661"/>
    <w:rsid w:val="71275730"/>
    <w:rsid w:val="71276F72"/>
    <w:rsid w:val="713043DC"/>
    <w:rsid w:val="71326221"/>
    <w:rsid w:val="7135076B"/>
    <w:rsid w:val="7136359B"/>
    <w:rsid w:val="713E3127"/>
    <w:rsid w:val="713F69F8"/>
    <w:rsid w:val="7145635C"/>
    <w:rsid w:val="714A4158"/>
    <w:rsid w:val="714C410F"/>
    <w:rsid w:val="714E34E4"/>
    <w:rsid w:val="714F1722"/>
    <w:rsid w:val="71566372"/>
    <w:rsid w:val="71593DA9"/>
    <w:rsid w:val="715A62B6"/>
    <w:rsid w:val="71655EBC"/>
    <w:rsid w:val="7175261E"/>
    <w:rsid w:val="717B6426"/>
    <w:rsid w:val="71922BDE"/>
    <w:rsid w:val="7193246D"/>
    <w:rsid w:val="71972789"/>
    <w:rsid w:val="7198256C"/>
    <w:rsid w:val="719C7B18"/>
    <w:rsid w:val="719E7939"/>
    <w:rsid w:val="71B17055"/>
    <w:rsid w:val="71BA6AE0"/>
    <w:rsid w:val="71BB5741"/>
    <w:rsid w:val="71C30E32"/>
    <w:rsid w:val="71CC6548"/>
    <w:rsid w:val="71CE7B26"/>
    <w:rsid w:val="71D24F5F"/>
    <w:rsid w:val="71D55662"/>
    <w:rsid w:val="71E02D3A"/>
    <w:rsid w:val="71E76F4A"/>
    <w:rsid w:val="71E93A2C"/>
    <w:rsid w:val="71E965DF"/>
    <w:rsid w:val="71EB7849"/>
    <w:rsid w:val="71F059AF"/>
    <w:rsid w:val="71F24FB3"/>
    <w:rsid w:val="71F52906"/>
    <w:rsid w:val="72042107"/>
    <w:rsid w:val="720C49E3"/>
    <w:rsid w:val="720D1F2F"/>
    <w:rsid w:val="72130864"/>
    <w:rsid w:val="72134EA2"/>
    <w:rsid w:val="72256327"/>
    <w:rsid w:val="722F7E0B"/>
    <w:rsid w:val="72381050"/>
    <w:rsid w:val="723F37E3"/>
    <w:rsid w:val="724A2218"/>
    <w:rsid w:val="724E6338"/>
    <w:rsid w:val="7254225E"/>
    <w:rsid w:val="72662564"/>
    <w:rsid w:val="72677AE6"/>
    <w:rsid w:val="726A18B5"/>
    <w:rsid w:val="726D6FD7"/>
    <w:rsid w:val="727D4077"/>
    <w:rsid w:val="727E4742"/>
    <w:rsid w:val="727F0D1C"/>
    <w:rsid w:val="72863AA7"/>
    <w:rsid w:val="728F3DE3"/>
    <w:rsid w:val="728F7ACD"/>
    <w:rsid w:val="729121D5"/>
    <w:rsid w:val="72943159"/>
    <w:rsid w:val="72953A27"/>
    <w:rsid w:val="72953AF1"/>
    <w:rsid w:val="72964E16"/>
    <w:rsid w:val="729C07FE"/>
    <w:rsid w:val="729C1ED0"/>
    <w:rsid w:val="729D10E3"/>
    <w:rsid w:val="72A65B46"/>
    <w:rsid w:val="72AB7053"/>
    <w:rsid w:val="72B05801"/>
    <w:rsid w:val="72B20521"/>
    <w:rsid w:val="72B80B69"/>
    <w:rsid w:val="72BF19FA"/>
    <w:rsid w:val="72C4162D"/>
    <w:rsid w:val="72C9473B"/>
    <w:rsid w:val="72D12258"/>
    <w:rsid w:val="72D17188"/>
    <w:rsid w:val="72D22A9C"/>
    <w:rsid w:val="72DA1241"/>
    <w:rsid w:val="72DC7380"/>
    <w:rsid w:val="72DE30C9"/>
    <w:rsid w:val="72E328D4"/>
    <w:rsid w:val="72E43F2E"/>
    <w:rsid w:val="72E95EF2"/>
    <w:rsid w:val="72EF074C"/>
    <w:rsid w:val="72FD1B9A"/>
    <w:rsid w:val="7303019B"/>
    <w:rsid w:val="73030A46"/>
    <w:rsid w:val="730C0BA1"/>
    <w:rsid w:val="73104599"/>
    <w:rsid w:val="73107D6B"/>
    <w:rsid w:val="731174A4"/>
    <w:rsid w:val="73124218"/>
    <w:rsid w:val="73150018"/>
    <w:rsid w:val="7316313D"/>
    <w:rsid w:val="731B3FD5"/>
    <w:rsid w:val="731F472C"/>
    <w:rsid w:val="73225980"/>
    <w:rsid w:val="732B57ED"/>
    <w:rsid w:val="73321811"/>
    <w:rsid w:val="733351D5"/>
    <w:rsid w:val="734C1455"/>
    <w:rsid w:val="734E3782"/>
    <w:rsid w:val="73520EBA"/>
    <w:rsid w:val="73691C33"/>
    <w:rsid w:val="7373536B"/>
    <w:rsid w:val="73770563"/>
    <w:rsid w:val="737D37CC"/>
    <w:rsid w:val="73821391"/>
    <w:rsid w:val="738C4998"/>
    <w:rsid w:val="73927649"/>
    <w:rsid w:val="739F2A38"/>
    <w:rsid w:val="73A24FAD"/>
    <w:rsid w:val="73A73992"/>
    <w:rsid w:val="73AA47FB"/>
    <w:rsid w:val="73AD7669"/>
    <w:rsid w:val="73B04BCD"/>
    <w:rsid w:val="73B65D64"/>
    <w:rsid w:val="73B84164"/>
    <w:rsid w:val="73BC476F"/>
    <w:rsid w:val="73D14BBF"/>
    <w:rsid w:val="73E05A86"/>
    <w:rsid w:val="73E26FB6"/>
    <w:rsid w:val="73EA3625"/>
    <w:rsid w:val="73EC4687"/>
    <w:rsid w:val="73EF2AA3"/>
    <w:rsid w:val="73FD0584"/>
    <w:rsid w:val="7411406C"/>
    <w:rsid w:val="74126BC0"/>
    <w:rsid w:val="74150779"/>
    <w:rsid w:val="741538C0"/>
    <w:rsid w:val="742722C6"/>
    <w:rsid w:val="74273790"/>
    <w:rsid w:val="742E02D6"/>
    <w:rsid w:val="743720DF"/>
    <w:rsid w:val="743D1E3C"/>
    <w:rsid w:val="74401234"/>
    <w:rsid w:val="74432E49"/>
    <w:rsid w:val="74483CD1"/>
    <w:rsid w:val="744A263B"/>
    <w:rsid w:val="744D309E"/>
    <w:rsid w:val="745227D2"/>
    <w:rsid w:val="745530E9"/>
    <w:rsid w:val="745C1017"/>
    <w:rsid w:val="745C2583"/>
    <w:rsid w:val="745F5A4B"/>
    <w:rsid w:val="746022ED"/>
    <w:rsid w:val="74636492"/>
    <w:rsid w:val="74662ED2"/>
    <w:rsid w:val="747B47C1"/>
    <w:rsid w:val="747B6FB9"/>
    <w:rsid w:val="748568CD"/>
    <w:rsid w:val="748969B2"/>
    <w:rsid w:val="749E4908"/>
    <w:rsid w:val="74A5111B"/>
    <w:rsid w:val="74A75EE2"/>
    <w:rsid w:val="74A76C06"/>
    <w:rsid w:val="74B046B9"/>
    <w:rsid w:val="74B1185B"/>
    <w:rsid w:val="74B570CF"/>
    <w:rsid w:val="74BB4B53"/>
    <w:rsid w:val="74BC09A1"/>
    <w:rsid w:val="74C11875"/>
    <w:rsid w:val="74C16799"/>
    <w:rsid w:val="74C177D1"/>
    <w:rsid w:val="74C24867"/>
    <w:rsid w:val="74C33C4B"/>
    <w:rsid w:val="74C57E09"/>
    <w:rsid w:val="74D329FB"/>
    <w:rsid w:val="74D57736"/>
    <w:rsid w:val="74D76582"/>
    <w:rsid w:val="74D90D86"/>
    <w:rsid w:val="74E30911"/>
    <w:rsid w:val="74E41769"/>
    <w:rsid w:val="74E44BB6"/>
    <w:rsid w:val="74E73B3A"/>
    <w:rsid w:val="74FC0326"/>
    <w:rsid w:val="74FD6AF9"/>
    <w:rsid w:val="750A2236"/>
    <w:rsid w:val="750C6A6D"/>
    <w:rsid w:val="750E049A"/>
    <w:rsid w:val="7511631A"/>
    <w:rsid w:val="75144F77"/>
    <w:rsid w:val="7514582F"/>
    <w:rsid w:val="751477C0"/>
    <w:rsid w:val="751B49C6"/>
    <w:rsid w:val="75207767"/>
    <w:rsid w:val="752A7547"/>
    <w:rsid w:val="75364232"/>
    <w:rsid w:val="753C2CEB"/>
    <w:rsid w:val="75426BFA"/>
    <w:rsid w:val="7544017D"/>
    <w:rsid w:val="754B359F"/>
    <w:rsid w:val="754C0C60"/>
    <w:rsid w:val="755334CE"/>
    <w:rsid w:val="75581162"/>
    <w:rsid w:val="75606271"/>
    <w:rsid w:val="756875BB"/>
    <w:rsid w:val="756C77A6"/>
    <w:rsid w:val="756E671D"/>
    <w:rsid w:val="756F6104"/>
    <w:rsid w:val="757156EB"/>
    <w:rsid w:val="757815C3"/>
    <w:rsid w:val="757D1E86"/>
    <w:rsid w:val="758C5B29"/>
    <w:rsid w:val="75971833"/>
    <w:rsid w:val="759F6F28"/>
    <w:rsid w:val="75A159E4"/>
    <w:rsid w:val="75B05B94"/>
    <w:rsid w:val="75B4034F"/>
    <w:rsid w:val="75C24F30"/>
    <w:rsid w:val="75C37CF1"/>
    <w:rsid w:val="75C97A4F"/>
    <w:rsid w:val="75CA30B3"/>
    <w:rsid w:val="75CA6FC2"/>
    <w:rsid w:val="75CB3753"/>
    <w:rsid w:val="75D0102D"/>
    <w:rsid w:val="75D72FE8"/>
    <w:rsid w:val="75D87F3E"/>
    <w:rsid w:val="75D9071B"/>
    <w:rsid w:val="75DA0B91"/>
    <w:rsid w:val="75DD11C7"/>
    <w:rsid w:val="75E73FF1"/>
    <w:rsid w:val="75E74788"/>
    <w:rsid w:val="75EC3128"/>
    <w:rsid w:val="75ED0E39"/>
    <w:rsid w:val="75EE0DA0"/>
    <w:rsid w:val="75F561C0"/>
    <w:rsid w:val="75FC6C8E"/>
    <w:rsid w:val="75FE1C7F"/>
    <w:rsid w:val="75FE78F7"/>
    <w:rsid w:val="7608238C"/>
    <w:rsid w:val="76094850"/>
    <w:rsid w:val="760A7CF7"/>
    <w:rsid w:val="76292BB5"/>
    <w:rsid w:val="762A6911"/>
    <w:rsid w:val="762B7BC5"/>
    <w:rsid w:val="762E71A9"/>
    <w:rsid w:val="76315B10"/>
    <w:rsid w:val="76332C39"/>
    <w:rsid w:val="76387218"/>
    <w:rsid w:val="763B5742"/>
    <w:rsid w:val="764461FA"/>
    <w:rsid w:val="76484B57"/>
    <w:rsid w:val="764A13AC"/>
    <w:rsid w:val="76504B2A"/>
    <w:rsid w:val="76515480"/>
    <w:rsid w:val="765754AF"/>
    <w:rsid w:val="765A05FE"/>
    <w:rsid w:val="76663C5A"/>
    <w:rsid w:val="76695D8C"/>
    <w:rsid w:val="76742690"/>
    <w:rsid w:val="767A0867"/>
    <w:rsid w:val="767B137A"/>
    <w:rsid w:val="767D65DB"/>
    <w:rsid w:val="767E1416"/>
    <w:rsid w:val="768D6682"/>
    <w:rsid w:val="768E090F"/>
    <w:rsid w:val="76920D72"/>
    <w:rsid w:val="76956FB6"/>
    <w:rsid w:val="76962EF8"/>
    <w:rsid w:val="76A03B34"/>
    <w:rsid w:val="76B51A95"/>
    <w:rsid w:val="76C525A7"/>
    <w:rsid w:val="76C83721"/>
    <w:rsid w:val="76CB270C"/>
    <w:rsid w:val="76D45087"/>
    <w:rsid w:val="76D97BC5"/>
    <w:rsid w:val="76DF4EBD"/>
    <w:rsid w:val="76E00191"/>
    <w:rsid w:val="76E4532B"/>
    <w:rsid w:val="76F15F05"/>
    <w:rsid w:val="76F529B8"/>
    <w:rsid w:val="76FB4AA4"/>
    <w:rsid w:val="76FB6A51"/>
    <w:rsid w:val="76FE3CC2"/>
    <w:rsid w:val="770E298E"/>
    <w:rsid w:val="7719452D"/>
    <w:rsid w:val="77210CB8"/>
    <w:rsid w:val="77233EFD"/>
    <w:rsid w:val="7727603A"/>
    <w:rsid w:val="772817C8"/>
    <w:rsid w:val="772E03EF"/>
    <w:rsid w:val="772E7C91"/>
    <w:rsid w:val="773310E3"/>
    <w:rsid w:val="77362DD1"/>
    <w:rsid w:val="77400600"/>
    <w:rsid w:val="77453C67"/>
    <w:rsid w:val="77511B2F"/>
    <w:rsid w:val="77523C83"/>
    <w:rsid w:val="77546499"/>
    <w:rsid w:val="775C03D9"/>
    <w:rsid w:val="775D7B58"/>
    <w:rsid w:val="776B358A"/>
    <w:rsid w:val="776D1D78"/>
    <w:rsid w:val="77764CA1"/>
    <w:rsid w:val="777F3FCE"/>
    <w:rsid w:val="777F799B"/>
    <w:rsid w:val="778243A7"/>
    <w:rsid w:val="77880CD0"/>
    <w:rsid w:val="77885880"/>
    <w:rsid w:val="779043E2"/>
    <w:rsid w:val="779150B9"/>
    <w:rsid w:val="779D7FD8"/>
    <w:rsid w:val="779E6149"/>
    <w:rsid w:val="77A51D52"/>
    <w:rsid w:val="77A67511"/>
    <w:rsid w:val="77A83023"/>
    <w:rsid w:val="77B203F2"/>
    <w:rsid w:val="77B34168"/>
    <w:rsid w:val="77B73097"/>
    <w:rsid w:val="77B853CE"/>
    <w:rsid w:val="77BE1E71"/>
    <w:rsid w:val="77C36C3C"/>
    <w:rsid w:val="77C6634D"/>
    <w:rsid w:val="77C971E7"/>
    <w:rsid w:val="77CB0788"/>
    <w:rsid w:val="77D721DC"/>
    <w:rsid w:val="77DA5147"/>
    <w:rsid w:val="77DF0EAD"/>
    <w:rsid w:val="77EA3CA6"/>
    <w:rsid w:val="77EC6914"/>
    <w:rsid w:val="77F05E39"/>
    <w:rsid w:val="77FE7636"/>
    <w:rsid w:val="78080C40"/>
    <w:rsid w:val="78102276"/>
    <w:rsid w:val="78164B46"/>
    <w:rsid w:val="78175301"/>
    <w:rsid w:val="78193138"/>
    <w:rsid w:val="781D0825"/>
    <w:rsid w:val="78211169"/>
    <w:rsid w:val="7829620C"/>
    <w:rsid w:val="7837773C"/>
    <w:rsid w:val="783A5958"/>
    <w:rsid w:val="783F3D0C"/>
    <w:rsid w:val="784C5299"/>
    <w:rsid w:val="784D556E"/>
    <w:rsid w:val="784E76DC"/>
    <w:rsid w:val="78515669"/>
    <w:rsid w:val="785E26DD"/>
    <w:rsid w:val="78612919"/>
    <w:rsid w:val="786146A0"/>
    <w:rsid w:val="786A010A"/>
    <w:rsid w:val="78745195"/>
    <w:rsid w:val="787B16A2"/>
    <w:rsid w:val="787C42DD"/>
    <w:rsid w:val="78850396"/>
    <w:rsid w:val="788A5451"/>
    <w:rsid w:val="78951983"/>
    <w:rsid w:val="789D4FA3"/>
    <w:rsid w:val="78A504C8"/>
    <w:rsid w:val="78B13B0E"/>
    <w:rsid w:val="78B8775D"/>
    <w:rsid w:val="78B91416"/>
    <w:rsid w:val="78C13A99"/>
    <w:rsid w:val="78C84750"/>
    <w:rsid w:val="78CE5CDC"/>
    <w:rsid w:val="78D61A4D"/>
    <w:rsid w:val="78DA2088"/>
    <w:rsid w:val="78DE164C"/>
    <w:rsid w:val="78DF5B2B"/>
    <w:rsid w:val="78DF77D5"/>
    <w:rsid w:val="78E656E7"/>
    <w:rsid w:val="78E75646"/>
    <w:rsid w:val="78EB5EFD"/>
    <w:rsid w:val="78EF206F"/>
    <w:rsid w:val="78F8672E"/>
    <w:rsid w:val="79062161"/>
    <w:rsid w:val="790D20C1"/>
    <w:rsid w:val="79162D4D"/>
    <w:rsid w:val="792D38DD"/>
    <w:rsid w:val="792F7115"/>
    <w:rsid w:val="793149BC"/>
    <w:rsid w:val="793C27D0"/>
    <w:rsid w:val="794339C8"/>
    <w:rsid w:val="79481F08"/>
    <w:rsid w:val="79495EC6"/>
    <w:rsid w:val="79496D88"/>
    <w:rsid w:val="794C1DA6"/>
    <w:rsid w:val="794C2C0B"/>
    <w:rsid w:val="794F110E"/>
    <w:rsid w:val="794F5A03"/>
    <w:rsid w:val="795874B4"/>
    <w:rsid w:val="795C05B5"/>
    <w:rsid w:val="79605CAC"/>
    <w:rsid w:val="7961710C"/>
    <w:rsid w:val="796226B7"/>
    <w:rsid w:val="79765DBA"/>
    <w:rsid w:val="797715A4"/>
    <w:rsid w:val="7980428D"/>
    <w:rsid w:val="798736BF"/>
    <w:rsid w:val="798813F5"/>
    <w:rsid w:val="798A482A"/>
    <w:rsid w:val="79905A88"/>
    <w:rsid w:val="79957516"/>
    <w:rsid w:val="799C1CF1"/>
    <w:rsid w:val="799C5797"/>
    <w:rsid w:val="799D70EF"/>
    <w:rsid w:val="79A156EC"/>
    <w:rsid w:val="79A31A75"/>
    <w:rsid w:val="79A402B6"/>
    <w:rsid w:val="79A5271A"/>
    <w:rsid w:val="79AE37F8"/>
    <w:rsid w:val="79AE605B"/>
    <w:rsid w:val="79B44348"/>
    <w:rsid w:val="79B84757"/>
    <w:rsid w:val="79C32FEF"/>
    <w:rsid w:val="79CF720E"/>
    <w:rsid w:val="79D13944"/>
    <w:rsid w:val="79D30053"/>
    <w:rsid w:val="79DC2E27"/>
    <w:rsid w:val="79DE7C8F"/>
    <w:rsid w:val="79E03FC6"/>
    <w:rsid w:val="79E52441"/>
    <w:rsid w:val="79F271EE"/>
    <w:rsid w:val="7A091EB1"/>
    <w:rsid w:val="7A0A209D"/>
    <w:rsid w:val="7A1213EE"/>
    <w:rsid w:val="7A183A02"/>
    <w:rsid w:val="7A1E59A5"/>
    <w:rsid w:val="7A2013FC"/>
    <w:rsid w:val="7A215327"/>
    <w:rsid w:val="7A234546"/>
    <w:rsid w:val="7A293534"/>
    <w:rsid w:val="7A293831"/>
    <w:rsid w:val="7A3132BE"/>
    <w:rsid w:val="7A344CF1"/>
    <w:rsid w:val="7A3643BA"/>
    <w:rsid w:val="7A367845"/>
    <w:rsid w:val="7A380C3F"/>
    <w:rsid w:val="7A3B042E"/>
    <w:rsid w:val="7A4C0DA0"/>
    <w:rsid w:val="7A4E1711"/>
    <w:rsid w:val="7A517D64"/>
    <w:rsid w:val="7A560030"/>
    <w:rsid w:val="7A576A80"/>
    <w:rsid w:val="7A5C7ABE"/>
    <w:rsid w:val="7A6175D3"/>
    <w:rsid w:val="7A6840CE"/>
    <w:rsid w:val="7A74304F"/>
    <w:rsid w:val="7A7D7852"/>
    <w:rsid w:val="7A7F4BEA"/>
    <w:rsid w:val="7A854791"/>
    <w:rsid w:val="7A894151"/>
    <w:rsid w:val="7A8A1944"/>
    <w:rsid w:val="7A9379F9"/>
    <w:rsid w:val="7A975B0F"/>
    <w:rsid w:val="7A9F39E2"/>
    <w:rsid w:val="7A9F5541"/>
    <w:rsid w:val="7AA140F9"/>
    <w:rsid w:val="7AA9318C"/>
    <w:rsid w:val="7AB302F3"/>
    <w:rsid w:val="7ABB45F6"/>
    <w:rsid w:val="7ABD6E5B"/>
    <w:rsid w:val="7AC10096"/>
    <w:rsid w:val="7AC330B7"/>
    <w:rsid w:val="7ACC2256"/>
    <w:rsid w:val="7ACE7B72"/>
    <w:rsid w:val="7AD01BAF"/>
    <w:rsid w:val="7AD67FC9"/>
    <w:rsid w:val="7ADB19DB"/>
    <w:rsid w:val="7ADC193F"/>
    <w:rsid w:val="7AE4238A"/>
    <w:rsid w:val="7AE832A5"/>
    <w:rsid w:val="7AEB0868"/>
    <w:rsid w:val="7AEE21E1"/>
    <w:rsid w:val="7AEE612D"/>
    <w:rsid w:val="7AEE7D5A"/>
    <w:rsid w:val="7AF119DB"/>
    <w:rsid w:val="7B024798"/>
    <w:rsid w:val="7B036EB4"/>
    <w:rsid w:val="7B050498"/>
    <w:rsid w:val="7B0B05F7"/>
    <w:rsid w:val="7B0D2B9B"/>
    <w:rsid w:val="7B0D3C52"/>
    <w:rsid w:val="7B1810CF"/>
    <w:rsid w:val="7B1D5AF2"/>
    <w:rsid w:val="7B1F611D"/>
    <w:rsid w:val="7B204991"/>
    <w:rsid w:val="7B29370B"/>
    <w:rsid w:val="7B2C15CA"/>
    <w:rsid w:val="7B2C61C2"/>
    <w:rsid w:val="7B390BF2"/>
    <w:rsid w:val="7B4162C7"/>
    <w:rsid w:val="7B4C7AD1"/>
    <w:rsid w:val="7B4F3A3B"/>
    <w:rsid w:val="7B534E2D"/>
    <w:rsid w:val="7B5C622D"/>
    <w:rsid w:val="7B683189"/>
    <w:rsid w:val="7B6A2206"/>
    <w:rsid w:val="7B6A3E7D"/>
    <w:rsid w:val="7B6F3D02"/>
    <w:rsid w:val="7B7C62F2"/>
    <w:rsid w:val="7B88567D"/>
    <w:rsid w:val="7B8F0AFD"/>
    <w:rsid w:val="7B91103D"/>
    <w:rsid w:val="7B98535A"/>
    <w:rsid w:val="7B9F317A"/>
    <w:rsid w:val="7BA57FBA"/>
    <w:rsid w:val="7BA821FD"/>
    <w:rsid w:val="7BAE48FC"/>
    <w:rsid w:val="7BAF10A3"/>
    <w:rsid w:val="7BB32376"/>
    <w:rsid w:val="7BB83DF8"/>
    <w:rsid w:val="7BBA2E35"/>
    <w:rsid w:val="7BC76B4E"/>
    <w:rsid w:val="7BC84704"/>
    <w:rsid w:val="7BCC163B"/>
    <w:rsid w:val="7BCC236D"/>
    <w:rsid w:val="7BCC7CAA"/>
    <w:rsid w:val="7BCD7679"/>
    <w:rsid w:val="7BD546EB"/>
    <w:rsid w:val="7BDF1ACF"/>
    <w:rsid w:val="7BE66796"/>
    <w:rsid w:val="7BFF4559"/>
    <w:rsid w:val="7C02162A"/>
    <w:rsid w:val="7C0827FE"/>
    <w:rsid w:val="7C084E85"/>
    <w:rsid w:val="7C0B1471"/>
    <w:rsid w:val="7C1211E6"/>
    <w:rsid w:val="7C1378CC"/>
    <w:rsid w:val="7C164F89"/>
    <w:rsid w:val="7C181F80"/>
    <w:rsid w:val="7C1A756B"/>
    <w:rsid w:val="7C1B1028"/>
    <w:rsid w:val="7C1B3AC7"/>
    <w:rsid w:val="7C226546"/>
    <w:rsid w:val="7C251562"/>
    <w:rsid w:val="7C2B0B13"/>
    <w:rsid w:val="7C2B2034"/>
    <w:rsid w:val="7C2E613C"/>
    <w:rsid w:val="7C3043FE"/>
    <w:rsid w:val="7C3C0747"/>
    <w:rsid w:val="7C424C84"/>
    <w:rsid w:val="7C4569BE"/>
    <w:rsid w:val="7C4F607B"/>
    <w:rsid w:val="7C583982"/>
    <w:rsid w:val="7C61722C"/>
    <w:rsid w:val="7C6972EC"/>
    <w:rsid w:val="7C6B22AE"/>
    <w:rsid w:val="7C777C6F"/>
    <w:rsid w:val="7C7D0B32"/>
    <w:rsid w:val="7C817737"/>
    <w:rsid w:val="7C8B1147"/>
    <w:rsid w:val="7C8C5EFB"/>
    <w:rsid w:val="7C9F1C4C"/>
    <w:rsid w:val="7CA21A0F"/>
    <w:rsid w:val="7CA31AB6"/>
    <w:rsid w:val="7CA4518D"/>
    <w:rsid w:val="7CA50BAD"/>
    <w:rsid w:val="7CB302E8"/>
    <w:rsid w:val="7CB47910"/>
    <w:rsid w:val="7CB708C6"/>
    <w:rsid w:val="7CBE5D37"/>
    <w:rsid w:val="7CC83DDA"/>
    <w:rsid w:val="7CD17149"/>
    <w:rsid w:val="7CD27243"/>
    <w:rsid w:val="7CD730F8"/>
    <w:rsid w:val="7CDF2665"/>
    <w:rsid w:val="7CE52E57"/>
    <w:rsid w:val="7CE95DFB"/>
    <w:rsid w:val="7CEA4595"/>
    <w:rsid w:val="7CEF6F02"/>
    <w:rsid w:val="7CF11D62"/>
    <w:rsid w:val="7CF44239"/>
    <w:rsid w:val="7CFB6A2F"/>
    <w:rsid w:val="7CFC51D6"/>
    <w:rsid w:val="7CFE04F6"/>
    <w:rsid w:val="7CFF149C"/>
    <w:rsid w:val="7D027F2A"/>
    <w:rsid w:val="7D061726"/>
    <w:rsid w:val="7D06619F"/>
    <w:rsid w:val="7D096ED1"/>
    <w:rsid w:val="7D0A1A32"/>
    <w:rsid w:val="7D0C1069"/>
    <w:rsid w:val="7D0E4B5B"/>
    <w:rsid w:val="7D155349"/>
    <w:rsid w:val="7D1B45A9"/>
    <w:rsid w:val="7D2A54A7"/>
    <w:rsid w:val="7D3170D9"/>
    <w:rsid w:val="7D33504E"/>
    <w:rsid w:val="7D362C54"/>
    <w:rsid w:val="7D3B012B"/>
    <w:rsid w:val="7D3C08AA"/>
    <w:rsid w:val="7D3E4F76"/>
    <w:rsid w:val="7D4928DE"/>
    <w:rsid w:val="7D4C641E"/>
    <w:rsid w:val="7D4D2034"/>
    <w:rsid w:val="7D584417"/>
    <w:rsid w:val="7D5C493C"/>
    <w:rsid w:val="7D6E70B9"/>
    <w:rsid w:val="7D7C3D68"/>
    <w:rsid w:val="7D825837"/>
    <w:rsid w:val="7D8833D9"/>
    <w:rsid w:val="7D91396F"/>
    <w:rsid w:val="7D9401DC"/>
    <w:rsid w:val="7D940935"/>
    <w:rsid w:val="7D96044B"/>
    <w:rsid w:val="7D9D5A9F"/>
    <w:rsid w:val="7DA2317D"/>
    <w:rsid w:val="7DA90486"/>
    <w:rsid w:val="7DAE540F"/>
    <w:rsid w:val="7DB07FBB"/>
    <w:rsid w:val="7DBF3526"/>
    <w:rsid w:val="7DC767AB"/>
    <w:rsid w:val="7DD112B2"/>
    <w:rsid w:val="7DD318F4"/>
    <w:rsid w:val="7DDA645E"/>
    <w:rsid w:val="7DDE1BCD"/>
    <w:rsid w:val="7DEA41A0"/>
    <w:rsid w:val="7DF5241B"/>
    <w:rsid w:val="7DF7247F"/>
    <w:rsid w:val="7DFE4288"/>
    <w:rsid w:val="7DFF6985"/>
    <w:rsid w:val="7E0E0DA1"/>
    <w:rsid w:val="7E0E7855"/>
    <w:rsid w:val="7E193EE2"/>
    <w:rsid w:val="7E1F2DD5"/>
    <w:rsid w:val="7E256BD9"/>
    <w:rsid w:val="7E2902F5"/>
    <w:rsid w:val="7E317EAD"/>
    <w:rsid w:val="7E3D2C38"/>
    <w:rsid w:val="7E4030AD"/>
    <w:rsid w:val="7E4147AC"/>
    <w:rsid w:val="7E4313B6"/>
    <w:rsid w:val="7E480690"/>
    <w:rsid w:val="7E574A6E"/>
    <w:rsid w:val="7E61326B"/>
    <w:rsid w:val="7E6C1C25"/>
    <w:rsid w:val="7E701D11"/>
    <w:rsid w:val="7E762791"/>
    <w:rsid w:val="7E772B4E"/>
    <w:rsid w:val="7E77682E"/>
    <w:rsid w:val="7E793A61"/>
    <w:rsid w:val="7E804FCB"/>
    <w:rsid w:val="7E8533A3"/>
    <w:rsid w:val="7E8A0601"/>
    <w:rsid w:val="7E8E42BF"/>
    <w:rsid w:val="7E90165D"/>
    <w:rsid w:val="7E9135E7"/>
    <w:rsid w:val="7E9212CE"/>
    <w:rsid w:val="7E966CE6"/>
    <w:rsid w:val="7E971EEC"/>
    <w:rsid w:val="7E9C5D2B"/>
    <w:rsid w:val="7E9F1646"/>
    <w:rsid w:val="7E9F6584"/>
    <w:rsid w:val="7EA737EF"/>
    <w:rsid w:val="7EAB7716"/>
    <w:rsid w:val="7EAE753B"/>
    <w:rsid w:val="7EB36973"/>
    <w:rsid w:val="7EB439D1"/>
    <w:rsid w:val="7EB819E3"/>
    <w:rsid w:val="7EBD4AEC"/>
    <w:rsid w:val="7EC656C5"/>
    <w:rsid w:val="7ED44F77"/>
    <w:rsid w:val="7ED544B5"/>
    <w:rsid w:val="7EDB49B6"/>
    <w:rsid w:val="7EE6466E"/>
    <w:rsid w:val="7EEE2FBD"/>
    <w:rsid w:val="7EF249D0"/>
    <w:rsid w:val="7EF55C07"/>
    <w:rsid w:val="7F0C4AAB"/>
    <w:rsid w:val="7F0D0F48"/>
    <w:rsid w:val="7F133DD3"/>
    <w:rsid w:val="7F14671E"/>
    <w:rsid w:val="7F1B5E8E"/>
    <w:rsid w:val="7F256B84"/>
    <w:rsid w:val="7F2D77EE"/>
    <w:rsid w:val="7F2E4552"/>
    <w:rsid w:val="7F3A609B"/>
    <w:rsid w:val="7F41045E"/>
    <w:rsid w:val="7F471AC1"/>
    <w:rsid w:val="7F4F1E70"/>
    <w:rsid w:val="7F5117A9"/>
    <w:rsid w:val="7F5412C6"/>
    <w:rsid w:val="7F554F26"/>
    <w:rsid w:val="7F5B3DD1"/>
    <w:rsid w:val="7F621635"/>
    <w:rsid w:val="7F7119F3"/>
    <w:rsid w:val="7F712F9E"/>
    <w:rsid w:val="7F756DF2"/>
    <w:rsid w:val="7F7A61B5"/>
    <w:rsid w:val="7F8029CE"/>
    <w:rsid w:val="7F837B38"/>
    <w:rsid w:val="7F853AB6"/>
    <w:rsid w:val="7F8D4C51"/>
    <w:rsid w:val="7F8E5DD1"/>
    <w:rsid w:val="7F942BE1"/>
    <w:rsid w:val="7FA23687"/>
    <w:rsid w:val="7FA71F3A"/>
    <w:rsid w:val="7FB16B07"/>
    <w:rsid w:val="7FC17D94"/>
    <w:rsid w:val="7FC379A1"/>
    <w:rsid w:val="7FC638A9"/>
    <w:rsid w:val="7FCA1117"/>
    <w:rsid w:val="7FCD4418"/>
    <w:rsid w:val="7FD540F2"/>
    <w:rsid w:val="7FDF5003"/>
    <w:rsid w:val="7FE15B6A"/>
    <w:rsid w:val="7FE44BEF"/>
    <w:rsid w:val="7FE702F1"/>
    <w:rsid w:val="7FEB40E8"/>
    <w:rsid w:val="7FF07C1F"/>
    <w:rsid w:val="7FF221A0"/>
    <w:rsid w:val="7FF55D28"/>
    <w:rsid w:val="7FF67C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ind w:firstLine="0" w:firstLineChars="0"/>
      <w:jc w:val="left"/>
    </w:pPr>
    <w:rPr>
      <w:rFonts w:ascii="宋体" w:hAnsi="宋体" w:eastAsia="宋体" w:cstheme="minorBidi"/>
      <w:kern w:val="2"/>
      <w:sz w:val="24"/>
      <w:szCs w:val="24"/>
      <w:lang w:val="en-US" w:eastAsia="zh-CN" w:bidi="ar-SA"/>
    </w:rPr>
  </w:style>
  <w:style w:type="paragraph" w:styleId="3">
    <w:name w:val="heading 1"/>
    <w:basedOn w:val="1"/>
    <w:next w:val="1"/>
    <w:qFormat/>
    <w:uiPriority w:val="0"/>
    <w:pPr>
      <w:keepNext/>
      <w:keepLines/>
      <w:spacing w:line="440" w:lineRule="exact"/>
      <w:outlineLvl w:val="0"/>
    </w:pPr>
    <w:rPr>
      <w:b/>
      <w:kern w:val="44"/>
      <w:sz w:val="44"/>
    </w:rPr>
  </w:style>
  <w:style w:type="paragraph" w:styleId="4">
    <w:name w:val="heading 2"/>
    <w:basedOn w:val="1"/>
    <w:next w:val="1"/>
    <w:link w:val="31"/>
    <w:unhideWhenUsed/>
    <w:qFormat/>
    <w:uiPriority w:val="0"/>
    <w:pPr>
      <w:keepNext/>
      <w:keepLines/>
      <w:spacing w:line="500" w:lineRule="exact"/>
      <w:outlineLvl w:val="1"/>
    </w:pPr>
    <w:rPr>
      <w:rFonts w:ascii="Arial" w:hAnsi="Arial" w:eastAsia="黑体"/>
      <w:b/>
      <w:sz w:val="28"/>
    </w:rPr>
  </w:style>
  <w:style w:type="paragraph" w:styleId="5">
    <w:name w:val="heading 3"/>
    <w:basedOn w:val="1"/>
    <w:next w:val="1"/>
    <w:unhideWhenUsed/>
    <w:qFormat/>
    <w:uiPriority w:val="0"/>
    <w:pPr>
      <w:jc w:val="left"/>
      <w:outlineLvl w:val="2"/>
    </w:pPr>
    <w:rPr>
      <w:rFonts w:hint="eastAsia" w:ascii="宋体" w:hAnsi="宋体" w:eastAsia="宋体" w:cs="Times New Roman"/>
      <w:b/>
      <w:kern w:val="0"/>
      <w:sz w:val="27"/>
      <w:szCs w:val="27"/>
    </w:rPr>
  </w:style>
  <w:style w:type="paragraph" w:styleId="6">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firstLineChars="0"/>
      <w:outlineLvl w:val="5"/>
    </w:pPr>
    <w:rPr>
      <w:rFonts w:ascii="Arial" w:hAnsi="Arial" w:eastAsia="黑体"/>
      <w:b/>
      <w:sz w:val="24"/>
    </w:rPr>
  </w:style>
  <w:style w:type="paragraph" w:styleId="7">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firstLineChars="0"/>
      <w:outlineLvl w:val="6"/>
    </w:pPr>
    <w:rPr>
      <w:b/>
      <w:sz w:val="24"/>
    </w:rPr>
  </w:style>
  <w:style w:type="paragraph" w:styleId="8">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firstLineChars="0"/>
      <w:outlineLvl w:val="7"/>
    </w:pPr>
    <w:rPr>
      <w:rFonts w:ascii="Arial" w:hAnsi="Arial" w:eastAsia="黑体"/>
      <w:sz w:val="24"/>
    </w:rPr>
  </w:style>
  <w:style w:type="paragraph" w:styleId="9">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firstLineChars="0"/>
      <w:outlineLvl w:val="8"/>
    </w:pPr>
    <w:rPr>
      <w:rFonts w:ascii="Arial" w:hAnsi="Arial" w:eastAsia="黑体"/>
      <w:sz w:val="21"/>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afterLines="0"/>
    </w:pPr>
    <w:rPr>
      <w:rFonts w:ascii="Times New Roman"/>
      <w:sz w:val="24"/>
      <w:szCs w:val="24"/>
    </w:rPr>
  </w:style>
  <w:style w:type="paragraph" w:styleId="10">
    <w:name w:val="Normal Indent"/>
    <w:basedOn w:val="1"/>
    <w:qFormat/>
    <w:uiPriority w:val="0"/>
    <w:pPr>
      <w:ind w:firstLine="420" w:firstLineChars="200"/>
    </w:pPr>
    <w:rPr>
      <w:rFonts w:eastAsia="宋体"/>
    </w:rPr>
  </w:style>
  <w:style w:type="paragraph" w:styleId="11">
    <w:name w:val="annotation text"/>
    <w:basedOn w:val="1"/>
    <w:qFormat/>
    <w:uiPriority w:val="0"/>
    <w:pPr>
      <w:jc w:val="left"/>
    </w:pPr>
  </w:style>
  <w:style w:type="paragraph" w:styleId="12">
    <w:name w:val="Body Text Indent"/>
    <w:basedOn w:val="1"/>
    <w:qFormat/>
    <w:uiPriority w:val="0"/>
    <w:pPr>
      <w:ind w:firstLine="538" w:firstLineChars="168"/>
      <w:jc w:val="left"/>
    </w:pPr>
    <w:rPr>
      <w:rFonts w:ascii="仿宋_GB2312" w:eastAsia="仿宋_GB2312"/>
      <w:sz w:val="32"/>
    </w:rPr>
  </w:style>
  <w:style w:type="paragraph" w:styleId="13">
    <w:name w:val="Block Text"/>
    <w:basedOn w:val="1"/>
    <w:unhideWhenUsed/>
    <w:qFormat/>
    <w:uiPriority w:val="99"/>
    <w:pPr>
      <w:spacing w:after="120"/>
      <w:ind w:left="1440" w:leftChars="700" w:right="1440" w:rightChars="700"/>
    </w:pPr>
  </w:style>
  <w:style w:type="paragraph" w:styleId="14">
    <w:name w:val="toc 3"/>
    <w:basedOn w:val="1"/>
    <w:next w:val="1"/>
    <w:qFormat/>
    <w:uiPriority w:val="0"/>
    <w:pPr>
      <w:wordWrap w:val="0"/>
      <w:topLinePunct/>
      <w:spacing w:line="400" w:lineRule="exact"/>
      <w:ind w:left="840" w:leftChars="400"/>
    </w:pPr>
    <w:rPr>
      <w:rFonts w:ascii="宋体" w:hAnsi="宋体" w:eastAsia="宋体"/>
      <w:sz w:val="21"/>
    </w:rPr>
  </w:style>
  <w:style w:type="paragraph" w:styleId="15">
    <w:name w:val="footer"/>
    <w:basedOn w:val="1"/>
    <w:link w:val="30"/>
    <w:qFormat/>
    <w:uiPriority w:val="0"/>
    <w:pPr>
      <w:snapToGrid w:val="0"/>
      <w:spacing w:line="240" w:lineRule="auto"/>
      <w:ind w:firstLine="0" w:firstLineChars="0"/>
      <w:jc w:val="left"/>
    </w:pPr>
    <w:rPr>
      <w:rFonts w:ascii="宋体" w:hAnsi="宋体" w:eastAsia="宋体"/>
      <w:sz w:val="18"/>
      <w:szCs w:val="18"/>
    </w:rPr>
  </w:style>
  <w:style w:type="paragraph" w:styleId="16">
    <w:name w:val="header"/>
    <w:basedOn w:val="1"/>
    <w:link w:val="29"/>
    <w:qFormat/>
    <w:uiPriority w:val="0"/>
    <w:pPr>
      <w:pBdr>
        <w:bottom w:val="single" w:color="auto" w:sz="6" w:space="1"/>
      </w:pBdr>
      <w:wordWrap w:val="0"/>
      <w:topLinePunct/>
      <w:snapToGrid w:val="0"/>
      <w:spacing w:line="240" w:lineRule="auto"/>
      <w:ind w:firstLine="0" w:firstLineChars="0"/>
      <w:jc w:val="center"/>
    </w:pPr>
    <w:rPr>
      <w:rFonts w:ascii="宋体" w:hAnsi="宋体" w:eastAsia="宋体"/>
      <w:sz w:val="18"/>
      <w:szCs w:val="18"/>
    </w:rPr>
  </w:style>
  <w:style w:type="paragraph" w:styleId="17">
    <w:name w:val="toc 1"/>
    <w:basedOn w:val="1"/>
    <w:next w:val="1"/>
    <w:qFormat/>
    <w:uiPriority w:val="0"/>
    <w:pPr>
      <w:tabs>
        <w:tab w:val="right" w:leader="dot" w:pos="0"/>
        <w:tab w:val="right" w:leader="dot" w:pos="9746"/>
      </w:tabs>
      <w:wordWrap w:val="0"/>
      <w:topLinePunct/>
      <w:adjustRightInd w:val="0"/>
      <w:snapToGrid w:val="0"/>
      <w:spacing w:line="400" w:lineRule="exact"/>
    </w:pPr>
    <w:rPr>
      <w:rFonts w:ascii="宋体" w:hAnsi="宋体" w:eastAsia="宋体"/>
      <w:sz w:val="21"/>
    </w:rPr>
  </w:style>
  <w:style w:type="paragraph" w:styleId="18">
    <w:name w:val="toc 2"/>
    <w:basedOn w:val="1"/>
    <w:next w:val="1"/>
    <w:qFormat/>
    <w:uiPriority w:val="0"/>
    <w:pPr>
      <w:wordWrap w:val="0"/>
      <w:topLinePunct/>
      <w:spacing w:line="400" w:lineRule="exact"/>
      <w:ind w:left="420" w:leftChars="200"/>
    </w:pPr>
    <w:rPr>
      <w:rFonts w:ascii="宋体" w:hAnsi="宋体" w:eastAsia="宋体"/>
      <w:sz w:val="21"/>
    </w:r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0">
    <w:name w:val="Title"/>
    <w:basedOn w:val="1"/>
    <w:next w:val="1"/>
    <w:qFormat/>
    <w:uiPriority w:val="0"/>
    <w:pPr>
      <w:spacing w:before="240" w:after="60"/>
      <w:jc w:val="center"/>
      <w:outlineLvl w:val="0"/>
    </w:pPr>
    <w:rPr>
      <w:rFonts w:eastAsia="宋体" w:asciiTheme="majorHAnsi" w:hAnsiTheme="majorHAnsi" w:cstheme="majorBidi"/>
      <w:b/>
      <w:bCs/>
      <w:sz w:val="32"/>
      <w:szCs w:val="32"/>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basedOn w:val="23"/>
    <w:qFormat/>
    <w:uiPriority w:val="0"/>
    <w:rPr>
      <w:rFonts w:hint="eastAsia" w:ascii="微软雅黑" w:hAnsi="微软雅黑" w:eastAsia="微软雅黑" w:cs="微软雅黑"/>
      <w:color w:val="02396F"/>
      <w:u w:val="single"/>
    </w:rPr>
  </w:style>
  <w:style w:type="character" w:styleId="25">
    <w:name w:val="Hyperlink"/>
    <w:basedOn w:val="23"/>
    <w:qFormat/>
    <w:uiPriority w:val="0"/>
    <w:rPr>
      <w:color w:val="0000FF"/>
      <w:u w:val="single"/>
    </w:rPr>
  </w:style>
  <w:style w:type="paragraph" w:customStyle="1" w:styleId="26">
    <w:name w:val="首行缩进"/>
    <w:basedOn w:val="1"/>
    <w:qFormat/>
    <w:uiPriority w:val="0"/>
    <w:pPr>
      <w:ind w:firstLine="480" w:firstLineChars="200"/>
    </w:pPr>
    <w:rPr>
      <w:rFonts w:eastAsia="Calibri" w:cs="宋体"/>
      <w:kern w:val="0"/>
      <w:sz w:val="20"/>
      <w:szCs w:val="20"/>
      <w:lang w:val="zh-CN"/>
    </w:rPr>
  </w:style>
  <w:style w:type="paragraph" w:customStyle="1" w:styleId="27">
    <w:name w:val="标题 5（有编号）（绿盟科技）"/>
    <w:basedOn w:val="1"/>
    <w:next w:val="28"/>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28">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29">
    <w:name w:val="页眉 Char"/>
    <w:basedOn w:val="23"/>
    <w:link w:val="16"/>
    <w:qFormat/>
    <w:uiPriority w:val="0"/>
    <w:rPr>
      <w:rFonts w:ascii="宋体" w:hAnsi="宋体" w:eastAsia="宋体" w:cstheme="minorBidi"/>
      <w:kern w:val="2"/>
      <w:sz w:val="18"/>
      <w:szCs w:val="18"/>
    </w:rPr>
  </w:style>
  <w:style w:type="character" w:customStyle="1" w:styleId="30">
    <w:name w:val="页脚 Char"/>
    <w:basedOn w:val="23"/>
    <w:link w:val="15"/>
    <w:qFormat/>
    <w:uiPriority w:val="0"/>
    <w:rPr>
      <w:rFonts w:ascii="宋体" w:hAnsi="宋体" w:eastAsia="宋体" w:cstheme="minorBidi"/>
      <w:kern w:val="2"/>
      <w:sz w:val="18"/>
      <w:szCs w:val="18"/>
    </w:rPr>
  </w:style>
  <w:style w:type="character" w:customStyle="1" w:styleId="31">
    <w:name w:val="标题 2 Char"/>
    <w:basedOn w:val="23"/>
    <w:link w:val="4"/>
    <w:qFormat/>
    <w:uiPriority w:val="0"/>
    <w:rPr>
      <w:rFonts w:ascii="Arial" w:hAnsi="Arial" w:eastAsia="黑体"/>
      <w:b/>
      <w:sz w:val="28"/>
    </w:rPr>
  </w:style>
  <w:style w:type="paragraph" w:customStyle="1" w:styleId="32">
    <w:name w:val="05、“(一)”正文三级标题"/>
    <w:basedOn w:val="1"/>
    <w:link w:val="58"/>
    <w:qFormat/>
    <w:uiPriority w:val="0"/>
    <w:pPr>
      <w:numPr>
        <w:ilvl w:val="1"/>
        <w:numId w:val="1"/>
      </w:numPr>
      <w:wordWrap w:val="0"/>
      <w:topLinePunct/>
      <w:ind w:firstLine="803" w:firstLineChars="200"/>
    </w:pPr>
    <w:rPr>
      <w:rFonts w:ascii="宋体" w:hAnsi="宋体" w:eastAsia="宋体"/>
    </w:rPr>
  </w:style>
  <w:style w:type="paragraph" w:customStyle="1" w:styleId="33">
    <w:name w:val="00、封面正文(与其他内容无关的格式)"/>
    <w:basedOn w:val="1"/>
    <w:qFormat/>
    <w:uiPriority w:val="0"/>
    <w:rPr>
      <w:rFonts w:ascii="宋体" w:hAnsi="宋体" w:eastAsia="宋体"/>
    </w:rPr>
  </w:style>
  <w:style w:type="paragraph" w:customStyle="1" w:styleId="34">
    <w:name w:val="15、“一、”二级标题"/>
    <w:basedOn w:val="1"/>
    <w:qFormat/>
    <w:uiPriority w:val="0"/>
    <w:pPr>
      <w:numPr>
        <w:ilvl w:val="1"/>
        <w:numId w:val="3"/>
      </w:numPr>
      <w:wordWrap w:val="0"/>
      <w:topLinePunct/>
      <w:ind w:firstLine="803" w:firstLineChars="200"/>
      <w:outlineLvl w:val="1"/>
    </w:pPr>
    <w:rPr>
      <w:rFonts w:ascii="宋体" w:hAnsi="宋体" w:eastAsia="宋体"/>
      <w:b/>
    </w:rPr>
  </w:style>
  <w:style w:type="paragraph" w:customStyle="1" w:styleId="35">
    <w:name w:val="06、“1.”正文四级标题"/>
    <w:basedOn w:val="1"/>
    <w:link w:val="60"/>
    <w:qFormat/>
    <w:uiPriority w:val="0"/>
    <w:pPr>
      <w:numPr>
        <w:ilvl w:val="2"/>
        <w:numId w:val="1"/>
      </w:numPr>
      <w:wordWrap w:val="0"/>
      <w:topLinePunct/>
      <w:ind w:firstLine="803" w:firstLineChars="200"/>
    </w:pPr>
    <w:rPr>
      <w:rFonts w:ascii="宋体" w:hAnsi="宋体" w:eastAsia="宋体"/>
      <w:snapToGrid w:val="0"/>
    </w:rPr>
  </w:style>
  <w:style w:type="paragraph" w:customStyle="1" w:styleId="36">
    <w:name w:val="07、“1.1”正文五级标题"/>
    <w:basedOn w:val="1"/>
    <w:link w:val="52"/>
    <w:qFormat/>
    <w:uiPriority w:val="0"/>
    <w:pPr>
      <w:numPr>
        <w:ilvl w:val="3"/>
        <w:numId w:val="1"/>
      </w:numPr>
      <w:ind w:firstLine="803" w:firstLineChars="200"/>
    </w:pPr>
    <w:rPr>
      <w:rFonts w:ascii="宋体" w:hAnsi="宋体" w:eastAsia="宋体"/>
    </w:rPr>
  </w:style>
  <w:style w:type="paragraph" w:customStyle="1" w:styleId="37">
    <w:name w:val="08、“(1)”正文六级标题"/>
    <w:basedOn w:val="1"/>
    <w:link w:val="61"/>
    <w:qFormat/>
    <w:uiPriority w:val="0"/>
    <w:pPr>
      <w:numPr>
        <w:ilvl w:val="4"/>
        <w:numId w:val="1"/>
      </w:numPr>
      <w:ind w:firstLine="803" w:firstLineChars="200"/>
    </w:pPr>
    <w:rPr>
      <w:rFonts w:ascii="宋体" w:hAnsi="宋体" w:eastAsia="宋体"/>
      <w:snapToGrid w:val="0"/>
    </w:rPr>
  </w:style>
  <w:style w:type="paragraph" w:customStyle="1" w:styleId="38">
    <w:name w:val="09、“1.”表格内一级标题"/>
    <w:basedOn w:val="1"/>
    <w:qFormat/>
    <w:uiPriority w:val="0"/>
    <w:pPr>
      <w:numPr>
        <w:ilvl w:val="0"/>
        <w:numId w:val="4"/>
      </w:numPr>
      <w:wordWrap w:val="0"/>
      <w:topLinePunct/>
      <w:spacing w:line="360" w:lineRule="exact"/>
      <w:ind w:left="48" w:leftChars="20"/>
    </w:pPr>
    <w:rPr>
      <w:rFonts w:ascii="宋体" w:hAnsi="宋体" w:eastAsia="宋体"/>
      <w:snapToGrid w:val="0"/>
      <w:sz w:val="21"/>
    </w:rPr>
  </w:style>
  <w:style w:type="paragraph" w:customStyle="1" w:styleId="39">
    <w:name w:val="10、“1.1”表格内二级标题"/>
    <w:basedOn w:val="1"/>
    <w:link w:val="51"/>
    <w:qFormat/>
    <w:uiPriority w:val="0"/>
    <w:pPr>
      <w:numPr>
        <w:ilvl w:val="1"/>
        <w:numId w:val="4"/>
      </w:numPr>
      <w:wordWrap w:val="0"/>
      <w:topLinePunct/>
      <w:spacing w:line="360" w:lineRule="exact"/>
      <w:ind w:left="48" w:leftChars="20" w:firstLine="0" w:firstLineChars="0"/>
    </w:pPr>
    <w:rPr>
      <w:rFonts w:ascii="宋体" w:hAnsi="宋体" w:eastAsia="宋体"/>
      <w:snapToGrid w:val="0"/>
      <w:sz w:val="21"/>
    </w:rPr>
  </w:style>
  <w:style w:type="paragraph" w:customStyle="1" w:styleId="40">
    <w:name w:val="11、“1.1.1”表格内三级标题"/>
    <w:basedOn w:val="1"/>
    <w:qFormat/>
    <w:uiPriority w:val="0"/>
    <w:pPr>
      <w:numPr>
        <w:ilvl w:val="2"/>
        <w:numId w:val="4"/>
      </w:numPr>
      <w:wordWrap w:val="0"/>
      <w:topLinePunct/>
      <w:spacing w:line="360" w:lineRule="exact"/>
      <w:ind w:left="48" w:leftChars="20" w:firstLine="0" w:firstLineChars="0"/>
    </w:pPr>
    <w:rPr>
      <w:rFonts w:ascii="宋体" w:hAnsi="宋体" w:eastAsia="宋体"/>
      <w:snapToGrid w:val="0"/>
      <w:sz w:val="21"/>
    </w:rPr>
  </w:style>
  <w:style w:type="paragraph" w:customStyle="1" w:styleId="41">
    <w:name w:val="12、表格内左对齐正文"/>
    <w:basedOn w:val="1"/>
    <w:link w:val="62"/>
    <w:qFormat/>
    <w:uiPriority w:val="0"/>
    <w:pPr>
      <w:wordWrap w:val="0"/>
      <w:topLinePunct/>
      <w:spacing w:line="360" w:lineRule="exact"/>
      <w:ind w:left="48" w:leftChars="20" w:firstLine="0" w:firstLineChars="0"/>
    </w:pPr>
    <w:rPr>
      <w:rFonts w:ascii="宋体" w:hAnsi="宋体" w:eastAsia="宋体"/>
      <w:snapToGrid w:val="0"/>
      <w:sz w:val="21"/>
    </w:rPr>
  </w:style>
  <w:style w:type="paragraph" w:customStyle="1" w:styleId="42">
    <w:name w:val="01、普通正文"/>
    <w:basedOn w:val="1"/>
    <w:link w:val="56"/>
    <w:qFormat/>
    <w:uiPriority w:val="0"/>
    <w:pPr>
      <w:wordWrap w:val="0"/>
      <w:topLinePunct/>
      <w:ind w:firstLine="0" w:firstLineChars="0"/>
    </w:pPr>
    <w:rPr>
      <w:rFonts w:ascii="宋体" w:hAnsi="宋体" w:eastAsia="宋体"/>
      <w:snapToGrid w:val="0"/>
    </w:rPr>
  </w:style>
  <w:style w:type="paragraph" w:customStyle="1" w:styleId="43">
    <w:name w:val="20、第二章“一、”二级标题"/>
    <w:basedOn w:val="42"/>
    <w:qFormat/>
    <w:uiPriority w:val="0"/>
    <w:pPr>
      <w:numPr>
        <w:ilvl w:val="0"/>
        <w:numId w:val="5"/>
      </w:numPr>
      <w:spacing w:before="50" w:beforeLines="50" w:after="50" w:afterLines="50"/>
      <w:jc w:val="center"/>
      <w:outlineLvl w:val="1"/>
    </w:pPr>
    <w:rPr>
      <w:rFonts w:ascii="宋体" w:hAnsi="宋体" w:eastAsia="宋体"/>
      <w:b/>
      <w:sz w:val="32"/>
    </w:rPr>
  </w:style>
  <w:style w:type="paragraph" w:customStyle="1" w:styleId="44">
    <w:name w:val="21、第三章“(一)”三级标题"/>
    <w:basedOn w:val="42"/>
    <w:link w:val="53"/>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customStyle="1" w:styleId="45">
    <w:name w:val="13、表格内居中正文"/>
    <w:basedOn w:val="1"/>
    <w:qFormat/>
    <w:uiPriority w:val="0"/>
    <w:pPr>
      <w:wordWrap w:val="0"/>
      <w:topLinePunct/>
      <w:spacing w:line="360" w:lineRule="exact"/>
      <w:jc w:val="center"/>
    </w:pPr>
    <w:rPr>
      <w:rFonts w:ascii="宋体" w:hAnsi="宋体" w:eastAsia="宋体"/>
      <w:sz w:val="21"/>
    </w:rPr>
  </w:style>
  <w:style w:type="paragraph" w:customStyle="1" w:styleId="46">
    <w:name w:val="02、首行缩进2字符正文"/>
    <w:basedOn w:val="1"/>
    <w:link w:val="55"/>
    <w:qFormat/>
    <w:uiPriority w:val="0"/>
    <w:pPr>
      <w:wordWrap w:val="0"/>
      <w:topLinePunct/>
      <w:ind w:firstLine="480" w:firstLineChars="200"/>
    </w:pPr>
    <w:rPr>
      <w:rFonts w:ascii="宋体" w:hAnsi="宋体" w:eastAsia="宋体"/>
    </w:rPr>
  </w:style>
  <w:style w:type="paragraph" w:customStyle="1" w:styleId="47">
    <w:name w:val="03、“注：”正文(加粗，首行缩进2字符)"/>
    <w:basedOn w:val="42"/>
    <w:link w:val="57"/>
    <w:qFormat/>
    <w:uiPriority w:val="0"/>
    <w:pPr>
      <w:ind w:firstLine="480" w:firstLineChars="200"/>
    </w:pPr>
    <w:rPr>
      <w:b/>
    </w:rPr>
  </w:style>
  <w:style w:type="paragraph" w:customStyle="1" w:styleId="48">
    <w:name w:val="14、“第一章”一级标题"/>
    <w:basedOn w:val="42"/>
    <w:qFormat/>
    <w:uiPriority w:val="0"/>
    <w:pPr>
      <w:numPr>
        <w:ilvl w:val="0"/>
        <w:numId w:val="3"/>
      </w:numPr>
      <w:spacing w:before="50" w:beforeLines="50" w:after="50" w:afterLines="50" w:line="240" w:lineRule="auto"/>
      <w:jc w:val="center"/>
      <w:outlineLvl w:val="0"/>
    </w:pPr>
    <w:rPr>
      <w:b/>
      <w:sz w:val="36"/>
    </w:rPr>
  </w:style>
  <w:style w:type="paragraph" w:customStyle="1" w:styleId="49">
    <w:name w:val="16、“(一)”三级标题"/>
    <w:basedOn w:val="42"/>
    <w:link w:val="54"/>
    <w:qFormat/>
    <w:uiPriority w:val="0"/>
    <w:pPr>
      <w:numPr>
        <w:ilvl w:val="2"/>
        <w:numId w:val="3"/>
      </w:numPr>
      <w:ind w:firstLine="803" w:firstLineChars="200"/>
      <w:outlineLvl w:val="2"/>
    </w:pPr>
    <w:rPr>
      <w:rFonts w:ascii="宋体" w:hAnsi="宋体" w:eastAsia="宋体"/>
      <w:b/>
    </w:rPr>
  </w:style>
  <w:style w:type="paragraph" w:customStyle="1" w:styleId="50">
    <w:name w:val="04“一、”正文二级标题"/>
    <w:basedOn w:val="42"/>
    <w:link w:val="59"/>
    <w:qFormat/>
    <w:uiPriority w:val="0"/>
    <w:pPr>
      <w:ind w:firstLine="803" w:firstLineChars="200"/>
    </w:pPr>
  </w:style>
  <w:style w:type="character" w:customStyle="1" w:styleId="51">
    <w:name w:val="10、“1.1”表格内二级标题 Char"/>
    <w:link w:val="39"/>
    <w:qFormat/>
    <w:uiPriority w:val="0"/>
    <w:rPr>
      <w:rFonts w:ascii="宋体" w:hAnsi="宋体" w:eastAsia="宋体"/>
      <w:snapToGrid w:val="0"/>
      <w:sz w:val="21"/>
    </w:rPr>
  </w:style>
  <w:style w:type="character" w:customStyle="1" w:styleId="52">
    <w:name w:val="07、“1.1”正文五级标题 Char"/>
    <w:link w:val="36"/>
    <w:qFormat/>
    <w:uiPriority w:val="0"/>
    <w:rPr>
      <w:rFonts w:ascii="宋体" w:hAnsi="宋体" w:eastAsia="宋体"/>
    </w:rPr>
  </w:style>
  <w:style w:type="character" w:customStyle="1" w:styleId="53">
    <w:name w:val="18、第三章“(一)”三级标题 Char"/>
    <w:link w:val="44"/>
    <w:qFormat/>
    <w:uiPriority w:val="0"/>
    <w:rPr>
      <w:rFonts w:ascii="宋体" w:hAnsi="宋体" w:eastAsia="宋体"/>
      <w:b/>
      <w:sz w:val="28"/>
    </w:rPr>
  </w:style>
  <w:style w:type="character" w:customStyle="1" w:styleId="54">
    <w:name w:val="16、“(一)”三级标题 Char"/>
    <w:link w:val="49"/>
    <w:qFormat/>
    <w:uiPriority w:val="0"/>
    <w:rPr>
      <w:rFonts w:ascii="宋体" w:hAnsi="宋体" w:eastAsia="宋体"/>
      <w:b/>
    </w:rPr>
  </w:style>
  <w:style w:type="character" w:customStyle="1" w:styleId="55">
    <w:name w:val="02、首行缩进2字符正文 Char"/>
    <w:link w:val="46"/>
    <w:qFormat/>
    <w:uiPriority w:val="0"/>
    <w:rPr>
      <w:rFonts w:ascii="宋体" w:hAnsi="宋体" w:eastAsia="宋体"/>
    </w:rPr>
  </w:style>
  <w:style w:type="character" w:customStyle="1" w:styleId="56">
    <w:name w:val="01、普通正文 Char"/>
    <w:link w:val="42"/>
    <w:qFormat/>
    <w:uiPriority w:val="0"/>
    <w:rPr>
      <w:rFonts w:ascii="宋体" w:hAnsi="宋体" w:eastAsia="宋体"/>
      <w:snapToGrid w:val="0"/>
    </w:rPr>
  </w:style>
  <w:style w:type="character" w:customStyle="1" w:styleId="57">
    <w:name w:val="03、“注：”正文(加粗，首行缩进2字符) Char"/>
    <w:link w:val="47"/>
    <w:qFormat/>
    <w:uiPriority w:val="0"/>
    <w:rPr>
      <w:b/>
    </w:rPr>
  </w:style>
  <w:style w:type="character" w:customStyle="1" w:styleId="58">
    <w:name w:val="05、“(一)”正文三级标题 Char"/>
    <w:link w:val="32"/>
    <w:qFormat/>
    <w:uiPriority w:val="0"/>
    <w:rPr>
      <w:rFonts w:ascii="宋体" w:hAnsi="宋体" w:eastAsia="宋体"/>
    </w:rPr>
  </w:style>
  <w:style w:type="character" w:customStyle="1" w:styleId="59">
    <w:name w:val="04“一、”正文二级标题 Char"/>
    <w:link w:val="50"/>
    <w:qFormat/>
    <w:uiPriority w:val="0"/>
  </w:style>
  <w:style w:type="character" w:customStyle="1" w:styleId="60">
    <w:name w:val="06、“1.”正文四级标题 Char"/>
    <w:link w:val="35"/>
    <w:qFormat/>
    <w:uiPriority w:val="0"/>
    <w:rPr>
      <w:rFonts w:ascii="宋体" w:hAnsi="宋体" w:eastAsia="宋体"/>
      <w:snapToGrid w:val="0"/>
    </w:rPr>
  </w:style>
  <w:style w:type="character" w:customStyle="1" w:styleId="61">
    <w:name w:val="08、“(1)”正文六级标题 Char"/>
    <w:link w:val="37"/>
    <w:qFormat/>
    <w:uiPriority w:val="0"/>
    <w:rPr>
      <w:rFonts w:ascii="宋体" w:hAnsi="宋体" w:eastAsia="宋体"/>
      <w:snapToGrid w:val="0"/>
    </w:rPr>
  </w:style>
  <w:style w:type="character" w:customStyle="1" w:styleId="62">
    <w:name w:val="12、表格内左对齐正文 Char"/>
    <w:link w:val="41"/>
    <w:qFormat/>
    <w:uiPriority w:val="0"/>
    <w:rPr>
      <w:rFonts w:ascii="宋体" w:hAnsi="宋体" w:eastAsia="宋体"/>
      <w:snapToGrid w:val="0"/>
      <w:sz w:val="21"/>
    </w:rPr>
  </w:style>
  <w:style w:type="paragraph" w:customStyle="1" w:styleId="63">
    <w:name w:val="17“1.”四级标题"/>
    <w:basedOn w:val="46"/>
    <w:qFormat/>
    <w:uiPriority w:val="0"/>
    <w:pPr>
      <w:numPr>
        <w:ilvl w:val="3"/>
        <w:numId w:val="3"/>
      </w:numPr>
      <w:ind w:firstLine="803" w:firstLineChars="200"/>
    </w:pPr>
    <w:rPr>
      <w:rFonts w:ascii="宋体" w:hAnsi="宋体" w:eastAsia="宋体"/>
    </w:rPr>
  </w:style>
  <w:style w:type="paragraph" w:customStyle="1" w:styleId="64">
    <w:name w:val="18、“1.1”五级标题"/>
    <w:basedOn w:val="63"/>
    <w:qFormat/>
    <w:uiPriority w:val="0"/>
    <w:pPr>
      <w:numPr>
        <w:ilvl w:val="4"/>
        <w:numId w:val="3"/>
      </w:numPr>
      <w:ind w:firstLine="803" w:firstLineChars="200"/>
    </w:pPr>
  </w:style>
  <w:style w:type="paragraph" w:customStyle="1" w:styleId="65">
    <w:name w:val="19、“(1)”六级标题"/>
    <w:basedOn w:val="63"/>
    <w:qFormat/>
    <w:uiPriority w:val="0"/>
    <w:pPr>
      <w:numPr>
        <w:ilvl w:val="5"/>
        <w:numId w:val="3"/>
      </w:numPr>
      <w:ind w:firstLine="803" w:firstLineChars="200"/>
    </w:pPr>
  </w:style>
  <w:style w:type="paragraph" w:customStyle="1" w:styleId="66">
    <w:name w:val="样式 首行缩进:  2 字符"/>
    <w:basedOn w:val="1"/>
    <w:qFormat/>
    <w:uiPriority w:val="0"/>
    <w:pPr>
      <w:spacing w:line="400" w:lineRule="exact"/>
      <w:ind w:firstLine="200" w:firstLineChars="200"/>
    </w:pPr>
    <w:rPr>
      <w:rFonts w:cs="宋体"/>
      <w:sz w:val="24"/>
    </w:rPr>
  </w:style>
  <w:style w:type="character" w:customStyle="1" w:styleId="67">
    <w:name w:val="redfilefwwh"/>
    <w:basedOn w:val="23"/>
    <w:qFormat/>
    <w:uiPriority w:val="0"/>
    <w:rPr>
      <w:color w:val="BA2636"/>
      <w:sz w:val="12"/>
      <w:szCs w:val="12"/>
    </w:rPr>
  </w:style>
  <w:style w:type="character" w:customStyle="1" w:styleId="68">
    <w:name w:val="qxdate"/>
    <w:basedOn w:val="23"/>
    <w:qFormat/>
    <w:uiPriority w:val="0"/>
    <w:rPr>
      <w:color w:val="333333"/>
      <w:sz w:val="12"/>
      <w:szCs w:val="12"/>
    </w:rPr>
  </w:style>
  <w:style w:type="character" w:customStyle="1" w:styleId="69">
    <w:name w:val="cfdate"/>
    <w:basedOn w:val="23"/>
    <w:qFormat/>
    <w:uiPriority w:val="0"/>
    <w:rPr>
      <w:color w:val="333333"/>
      <w:sz w:val="12"/>
      <w:szCs w:val="12"/>
    </w:rPr>
  </w:style>
  <w:style w:type="character" w:customStyle="1" w:styleId="70">
    <w:name w:val="gjfg"/>
    <w:basedOn w:val="23"/>
    <w:qFormat/>
    <w:uiPriority w:val="0"/>
  </w:style>
  <w:style w:type="character" w:customStyle="1" w:styleId="71">
    <w:name w:val="displayarti"/>
    <w:basedOn w:val="23"/>
    <w:qFormat/>
    <w:uiPriority w:val="0"/>
    <w:rPr>
      <w:color w:val="FFFFFF"/>
      <w:shd w:val="clear" w:fill="A00000"/>
    </w:rPr>
  </w:style>
  <w:style w:type="character" w:customStyle="1" w:styleId="72">
    <w:name w:val="redfilenumber"/>
    <w:basedOn w:val="23"/>
    <w:qFormat/>
    <w:uiPriority w:val="0"/>
    <w:rPr>
      <w:color w:val="BA2636"/>
      <w:sz w:val="12"/>
      <w:szCs w:val="12"/>
    </w:rPr>
  </w:style>
  <w:style w:type="paragraph" w:customStyle="1" w:styleId="73">
    <w:name w:val="20、第五章“(一)”三级标题"/>
    <w:basedOn w:val="42"/>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styleId="74">
    <w:name w:val="List Paragraph"/>
    <w:basedOn w:val="1"/>
    <w:qFormat/>
    <w:uiPriority w:val="1"/>
    <w:pPr>
      <w:ind w:left="205" w:right="169" w:firstLine="655"/>
    </w:pPr>
    <w:rPr>
      <w:rFonts w:ascii="仿宋" w:hAnsi="仿宋" w:eastAsia="仿宋" w:cs="仿宋"/>
      <w:u w:val="single" w:color="000000"/>
      <w:lang w:val="zh-CN" w:eastAsia="zh-CN" w:bidi="zh-CN"/>
    </w:rPr>
  </w:style>
  <w:style w:type="paragraph" w:customStyle="1" w:styleId="75">
    <w:name w:val="图表文字"/>
    <w:basedOn w:val="1"/>
    <w:qFormat/>
    <w:uiPriority w:val="99"/>
    <w:pPr>
      <w:spacing w:line="360" w:lineRule="auto"/>
      <w:jc w:val="left"/>
    </w:pPr>
    <w:rPr>
      <w:rFonts w:ascii="仿宋_GB2312" w:hAnsi="Calibri" w:eastAsia="仿宋_GB2312" w:cs="仿宋_GB2312"/>
      <w:sz w:val="24"/>
      <w:szCs w:val="24"/>
    </w:rPr>
  </w:style>
  <w:style w:type="paragraph" w:customStyle="1" w:styleId="76">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77">
    <w:name w:val="21、合同二级标题序号"/>
    <w:basedOn w:val="42"/>
    <w:qFormat/>
    <w:uiPriority w:val="0"/>
    <w:pPr>
      <w:numPr>
        <w:ilvl w:val="0"/>
        <w:numId w:val="7"/>
      </w:numPr>
      <w:ind w:firstLine="803" w:firstLineChars="200"/>
      <w:outlineLvl w:val="1"/>
    </w:pPr>
    <w:rPr>
      <w:rFonts w:ascii="宋体" w:hAnsi="宋体" w:eastAsia="宋体"/>
      <w:b/>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8.GIF"/><Relationship Id="rId22" Type="http://schemas.openxmlformats.org/officeDocument/2006/relationships/image" Target="media/image7.GIF"/><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99</Pages>
  <Words>51061</Words>
  <Characters>53233</Characters>
  <Lines>310</Lines>
  <Paragraphs>87</Paragraphs>
  <TotalTime>0</TotalTime>
  <ScaleCrop>false</ScaleCrop>
  <LinksUpToDate>false</LinksUpToDate>
  <CharactersWithSpaces>58015</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2018-12-21T06:31:00Z</dcterms:created>
  <dc:creator>qxzb</dc:creator>
  <cp:lastModifiedBy>欧阳雪Monster</cp:lastModifiedBy>
  <cp:lastPrinted>2021-05-19T07:01:00Z</cp:lastPrinted>
  <dcterms:modified xsi:type="dcterms:W3CDTF">2021-09-03T08:19:44Z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1BF2AD8B2AAB4149BB623DFB7104030F</vt:lpwstr>
  </property>
</Properties>
</file>