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2" w:lineRule="auto"/>
        <w:ind w:left="1520" w:right="1517"/>
        <w:rPr>
          <w:rFonts w:hint="eastAsia" w:ascii="仿宋" w:hAnsi="仿宋" w:eastAsia="仿宋" w:cs="仿宋"/>
          <w:color w:val="auto"/>
        </w:rPr>
      </w:pPr>
      <w:r>
        <w:rPr>
          <w:rFonts w:hint="eastAsia" w:ascii="仿宋" w:hAnsi="仿宋" w:eastAsia="仿宋" w:cs="仿宋"/>
          <w:color w:val="auto"/>
          <w:w w:val="95"/>
        </w:rPr>
        <w:t xml:space="preserve">项目技术、服务、政府采购合同内容条款 </w:t>
      </w:r>
      <w:r>
        <w:rPr>
          <w:rFonts w:hint="eastAsia" w:ascii="仿宋" w:hAnsi="仿宋" w:eastAsia="仿宋" w:cs="仿宋"/>
          <w:color w:val="auto"/>
        </w:rPr>
        <w:t>及其他商务要求</w:t>
      </w:r>
    </w:p>
    <w:p>
      <w:pPr>
        <w:pStyle w:val="2"/>
        <w:spacing w:before="12"/>
        <w:rPr>
          <w:rFonts w:hint="eastAsia" w:ascii="仿宋" w:hAnsi="仿宋" w:eastAsia="仿宋" w:cs="仿宋"/>
          <w:b/>
          <w:color w:val="auto"/>
          <w:sz w:val="25"/>
        </w:rPr>
      </w:pPr>
    </w:p>
    <w:p>
      <w:pPr>
        <w:widowControl w:val="0"/>
        <w:adjustRightInd/>
        <w:snapToGrid/>
        <w:spacing w:after="0" w:line="460" w:lineRule="exact"/>
        <w:jc w:val="both"/>
        <w:rPr>
          <w:rFonts w:hint="eastAsia" w:ascii="仿宋" w:hAnsi="仿宋" w:eastAsia="仿宋" w:cs="仿宋"/>
          <w:color w:val="auto"/>
          <w:sz w:val="24"/>
          <w:szCs w:val="24"/>
          <w:lang w:val="zh-CN" w:eastAsia="zh-CN" w:bidi="zh-CN"/>
        </w:rPr>
      </w:pPr>
      <w:bookmarkStart w:id="0" w:name="一、项目概述"/>
      <w:bookmarkEnd w:id="0"/>
      <w:bookmarkStart w:id="1" w:name="_Toc217446094"/>
      <w:r>
        <w:rPr>
          <w:rFonts w:hint="eastAsia" w:ascii="仿宋" w:hAnsi="仿宋" w:eastAsia="仿宋" w:cs="仿宋"/>
          <w:color w:val="auto"/>
          <w:sz w:val="24"/>
          <w:szCs w:val="24"/>
          <w:lang w:val="zh-CN" w:eastAsia="zh-CN" w:bidi="zh-CN"/>
        </w:rPr>
        <w:t>前提：本章中标注“*”的条款为本项目的实质性条款，供应商不满足的，将按照无效响应处理。</w:t>
      </w:r>
    </w:p>
    <w:p>
      <w:pPr>
        <w:widowControl w:val="0"/>
        <w:adjustRightInd/>
        <w:snapToGrid/>
        <w:spacing w:after="0" w:line="460" w:lineRule="exact"/>
        <w:jc w:val="both"/>
        <w:rPr>
          <w:rFonts w:hint="eastAsia" w:ascii="仿宋" w:hAnsi="仿宋" w:eastAsia="仿宋" w:cs="仿宋"/>
          <w:b/>
          <w:bCs/>
          <w:color w:val="auto"/>
          <w:sz w:val="24"/>
          <w:szCs w:val="24"/>
          <w:lang w:val="zh-CN" w:eastAsia="zh-CN" w:bidi="zh-CN"/>
        </w:rPr>
      </w:pPr>
      <w:r>
        <w:rPr>
          <w:rFonts w:hint="eastAsia" w:ascii="仿宋" w:hAnsi="仿宋" w:eastAsia="仿宋" w:cs="仿宋"/>
          <w:b/>
          <w:bCs/>
          <w:color w:val="auto"/>
          <w:sz w:val="24"/>
          <w:szCs w:val="24"/>
          <w:lang w:val="zh-CN" w:eastAsia="zh-CN" w:bidi="zh-CN"/>
        </w:rPr>
        <w:t>一、项目概述</w:t>
      </w:r>
      <w:bookmarkEnd w:id="1"/>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bookmarkStart w:id="2" w:name="_Toc217446095"/>
      <w:r>
        <w:rPr>
          <w:rFonts w:hint="eastAsia" w:ascii="仿宋" w:hAnsi="仿宋" w:eastAsia="仿宋" w:cs="仿宋"/>
          <w:color w:val="auto"/>
          <w:sz w:val="24"/>
          <w:szCs w:val="24"/>
          <w:lang w:val="zh-CN" w:eastAsia="zh-CN" w:bidi="zh-CN"/>
        </w:rPr>
        <w:t>本项目</w:t>
      </w:r>
      <w:r>
        <w:rPr>
          <w:rFonts w:hint="eastAsia" w:ascii="仿宋" w:hAnsi="仿宋" w:eastAsia="仿宋" w:cs="仿宋"/>
          <w:color w:val="auto"/>
          <w:sz w:val="24"/>
          <w:szCs w:val="24"/>
          <w:lang w:val="en-US" w:eastAsia="zh-CN" w:bidi="zh-CN"/>
        </w:rPr>
        <w:t>1</w:t>
      </w:r>
      <w:r>
        <w:rPr>
          <w:rFonts w:hint="eastAsia" w:ascii="仿宋" w:hAnsi="仿宋" w:eastAsia="仿宋" w:cs="仿宋"/>
          <w:color w:val="auto"/>
          <w:sz w:val="24"/>
          <w:szCs w:val="24"/>
          <w:lang w:val="zh-CN" w:eastAsia="zh-CN" w:bidi="zh-CN"/>
        </w:rPr>
        <w:t>个包，采购具备项目标的检测能力的服务商</w:t>
      </w:r>
      <w:r>
        <w:rPr>
          <w:rFonts w:hint="eastAsia" w:ascii="仿宋" w:hAnsi="仿宋" w:eastAsia="仿宋" w:cs="仿宋"/>
          <w:color w:val="auto"/>
          <w:sz w:val="24"/>
          <w:szCs w:val="24"/>
          <w:lang w:val="en-US" w:eastAsia="zh-CN" w:bidi="zh-CN"/>
        </w:rPr>
        <w:t>1名</w:t>
      </w:r>
      <w:r>
        <w:rPr>
          <w:rFonts w:hint="eastAsia" w:ascii="仿宋" w:hAnsi="仿宋" w:eastAsia="仿宋" w:cs="仿宋"/>
          <w:color w:val="auto"/>
          <w:sz w:val="24"/>
          <w:szCs w:val="24"/>
          <w:lang w:val="zh-CN" w:eastAsia="zh-CN" w:bidi="zh-CN"/>
        </w:rPr>
        <w:t>。</w:t>
      </w:r>
    </w:p>
    <w:p>
      <w:pPr>
        <w:widowControl w:val="0"/>
        <w:adjustRightInd/>
        <w:snapToGrid/>
        <w:spacing w:after="0" w:line="460" w:lineRule="exact"/>
        <w:jc w:val="both"/>
        <w:rPr>
          <w:rFonts w:hint="eastAsia" w:ascii="仿宋" w:hAnsi="仿宋" w:eastAsia="仿宋" w:cs="仿宋"/>
          <w:b/>
          <w:bCs/>
          <w:color w:val="auto"/>
          <w:sz w:val="24"/>
          <w:szCs w:val="24"/>
          <w:lang w:val="zh-CN" w:eastAsia="zh-CN" w:bidi="zh-CN"/>
        </w:rPr>
      </w:pPr>
      <w:r>
        <w:rPr>
          <w:rFonts w:hint="eastAsia" w:ascii="仿宋" w:hAnsi="仿宋" w:eastAsia="仿宋" w:cs="仿宋"/>
          <w:b/>
          <w:bCs/>
          <w:color w:val="auto"/>
          <w:sz w:val="24"/>
          <w:szCs w:val="24"/>
          <w:lang w:val="zh-CN" w:eastAsia="zh-CN" w:bidi="zh-CN"/>
        </w:rPr>
        <w:t>二、商务要求</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*1.服务期限：自政府采购合同签订生效后至2021年12月31日。</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注：以上时限包括提供检测报告时间，但不包括检测报告的重新修改及复审时间。若采购人对出具检测报告时限有新要求的，按照新要求执行。</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2.付款方式</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项目款项分两次支付，供应商根据采购人的任务指派单进行检测，检测完成工程量的</w:t>
      </w:r>
      <w:r>
        <w:rPr>
          <w:rFonts w:hint="eastAsia" w:ascii="仿宋" w:hAnsi="仿宋" w:eastAsia="仿宋" w:cs="仿宋"/>
          <w:color w:val="auto"/>
          <w:sz w:val="24"/>
          <w:szCs w:val="24"/>
          <w:lang w:val="en-US" w:eastAsia="zh-CN" w:bidi="zh-CN"/>
        </w:rPr>
        <w:t>50%并提交检测报告</w:t>
      </w:r>
      <w:r>
        <w:rPr>
          <w:rFonts w:hint="eastAsia" w:ascii="仿宋" w:hAnsi="仿宋" w:eastAsia="仿宋" w:cs="仿宋"/>
          <w:color w:val="auto"/>
          <w:sz w:val="24"/>
          <w:szCs w:val="24"/>
          <w:lang w:val="zh-CN" w:eastAsia="zh-CN" w:bidi="zh-CN"/>
        </w:rPr>
        <w:t>后采购人支付项目款的</w:t>
      </w:r>
      <w:r>
        <w:rPr>
          <w:rFonts w:hint="eastAsia" w:ascii="仿宋" w:hAnsi="仿宋" w:eastAsia="仿宋" w:cs="仿宋"/>
          <w:color w:val="auto"/>
          <w:sz w:val="24"/>
          <w:szCs w:val="24"/>
          <w:lang w:val="en-US" w:eastAsia="zh-CN" w:bidi="zh-CN"/>
        </w:rPr>
        <w:t>50%，成交供应商完成所有项目工程量并提供检测报告后支付项目剩余款项，成交供应商应</w:t>
      </w:r>
      <w:r>
        <w:rPr>
          <w:rFonts w:hint="eastAsia" w:ascii="仿宋" w:hAnsi="仿宋" w:eastAsia="仿宋" w:cs="仿宋"/>
          <w:color w:val="auto"/>
          <w:sz w:val="24"/>
          <w:szCs w:val="24"/>
          <w:lang w:val="zh-CN" w:eastAsia="zh-CN" w:bidi="zh-CN"/>
        </w:rPr>
        <w:t>向采购人报请付款申请，付款申请以采购人确认额为准，并按采购人确认额全额支付供应商。供应商应提供与项目款相应的增值税发票。</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*3.报价方式：本次采购采用总价报价方式进行报价。</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*4.服务地点：成都市青白江区域内</w:t>
      </w:r>
    </w:p>
    <w:p>
      <w:pPr>
        <w:widowControl w:val="0"/>
        <w:adjustRightInd/>
        <w:snapToGrid/>
        <w:spacing w:after="0" w:line="460" w:lineRule="exact"/>
        <w:jc w:val="both"/>
        <w:rPr>
          <w:rFonts w:hint="eastAsia" w:ascii="仿宋" w:hAnsi="仿宋" w:eastAsia="仿宋" w:cs="仿宋"/>
          <w:b/>
          <w:bCs/>
          <w:color w:val="auto"/>
          <w:sz w:val="24"/>
          <w:szCs w:val="24"/>
          <w:lang w:val="zh-CN" w:eastAsia="zh-CN" w:bidi="zh-CN"/>
        </w:rPr>
      </w:pPr>
      <w:r>
        <w:rPr>
          <w:rFonts w:hint="eastAsia" w:ascii="仿宋" w:hAnsi="仿宋" w:eastAsia="仿宋" w:cs="仿宋"/>
          <w:b/>
          <w:bCs/>
          <w:color w:val="auto"/>
          <w:sz w:val="24"/>
          <w:szCs w:val="24"/>
          <w:lang w:val="zh-CN" w:eastAsia="zh-CN" w:bidi="zh-CN"/>
        </w:rPr>
        <w:t>三、技术、服务要求</w:t>
      </w:r>
      <w:bookmarkEnd w:id="2"/>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（一）服务工作内容</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*1.检测清单：</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4381"/>
        <w:gridCol w:w="351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序号</w:t>
            </w:r>
          </w:p>
        </w:tc>
        <w:tc>
          <w:tcPr>
            <w:tcW w:w="205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检测项目</w:t>
            </w:r>
          </w:p>
        </w:tc>
        <w:tc>
          <w:tcPr>
            <w:tcW w:w="1652"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数量</w:t>
            </w:r>
          </w:p>
        </w:tc>
        <w:tc>
          <w:tcPr>
            <w:tcW w:w="73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1</w:t>
            </w:r>
          </w:p>
        </w:tc>
        <w:tc>
          <w:tcPr>
            <w:tcW w:w="205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建筑起重机械类</w:t>
            </w:r>
          </w:p>
        </w:tc>
        <w:tc>
          <w:tcPr>
            <w:tcW w:w="1652"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400台</w:t>
            </w:r>
          </w:p>
        </w:tc>
        <w:tc>
          <w:tcPr>
            <w:tcW w:w="73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2</w:t>
            </w:r>
          </w:p>
        </w:tc>
        <w:tc>
          <w:tcPr>
            <w:tcW w:w="205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吊篮</w:t>
            </w:r>
          </w:p>
        </w:tc>
        <w:tc>
          <w:tcPr>
            <w:tcW w:w="1652"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400台</w:t>
            </w:r>
          </w:p>
        </w:tc>
        <w:tc>
          <w:tcPr>
            <w:tcW w:w="73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3</w:t>
            </w:r>
          </w:p>
        </w:tc>
        <w:tc>
          <w:tcPr>
            <w:tcW w:w="205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附着升降式脚手架</w:t>
            </w:r>
          </w:p>
        </w:tc>
        <w:tc>
          <w:tcPr>
            <w:tcW w:w="1652"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100个</w:t>
            </w:r>
            <w:r>
              <w:rPr>
                <w:rFonts w:hint="eastAsia" w:cs="仿宋"/>
                <w:color w:val="auto"/>
                <w:sz w:val="24"/>
                <w:szCs w:val="24"/>
                <w:lang w:val="en-US" w:eastAsia="zh-CN" w:bidi="zh-CN"/>
              </w:rPr>
              <w:t>机位</w:t>
            </w:r>
          </w:p>
        </w:tc>
        <w:tc>
          <w:tcPr>
            <w:tcW w:w="738" w:type="pct"/>
            <w:noWrap w:val="0"/>
            <w:vAlign w:val="center"/>
          </w:tcPr>
          <w:p>
            <w:pPr>
              <w:widowControl w:val="0"/>
              <w:adjustRightInd/>
              <w:snapToGrid/>
              <w:spacing w:after="0" w:line="460" w:lineRule="exact"/>
              <w:jc w:val="both"/>
              <w:rPr>
                <w:rFonts w:hint="eastAsia" w:ascii="仿宋" w:hAnsi="仿宋" w:eastAsia="仿宋" w:cs="仿宋"/>
                <w:color w:val="auto"/>
                <w:sz w:val="24"/>
                <w:szCs w:val="24"/>
                <w:lang w:val="en-US" w:eastAsia="zh-CN" w:bidi="zh-CN"/>
              </w:rPr>
            </w:pPr>
          </w:p>
        </w:tc>
      </w:tr>
    </w:tbl>
    <w:p>
      <w:pPr>
        <w:widowControl w:val="0"/>
        <w:adjustRightInd/>
        <w:snapToGrid/>
        <w:spacing w:after="0" w:line="460" w:lineRule="exact"/>
        <w:ind w:firstLine="480" w:firstLineChars="200"/>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（二）服务要求</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*1.检测结果报告应包含上述三类中的全部所检测的内容；</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*2.严格按照《建筑施工升降设备设施检验标准》（JGJ305-2013）、《起重机械安装改造重大修理监督检验规则》（TSG Q7016-2016)、《起重机械定期检验规则》（TSG Q7015-2016）、《起重机械定期检验规则》（TSG Q7015-2016)文件及其他相关管理办法和规定的要求开展检测工作；</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3.供应商必须确保经检测后的设备无危害安全、公众利益及安全等方面的问题；</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4.成果文件要求：按照国家现行相关标准、规范及文件要求，对设备进行检测，出具完善的检测成果资料。</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（三）其他要求</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1.供应商配备的人员及仪器、设备需满足现行法律法规要求；</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2.检测工作完成后必须保证后续服务工作；</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*3.检测报告必须体现检验、审核、批准人员的签字和检验机构的核准证号、检验专用章或公章。</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*4.成果文件份数要求不低于纸质文件3套，电子文件1套。</w:t>
      </w:r>
    </w:p>
    <w:p>
      <w:pPr>
        <w:widowControl w:val="0"/>
        <w:adjustRightInd/>
        <w:snapToGrid/>
        <w:spacing w:after="0" w:line="460" w:lineRule="exact"/>
        <w:ind w:firstLine="480" w:firstLineChars="200"/>
        <w:jc w:val="both"/>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5.</w:t>
      </w:r>
      <w:bookmarkStart w:id="3" w:name="_Toc7375"/>
      <w:r>
        <w:rPr>
          <w:rFonts w:hint="eastAsia" w:ascii="仿宋" w:hAnsi="仿宋" w:eastAsia="仿宋" w:cs="仿宋"/>
          <w:color w:val="auto"/>
          <w:sz w:val="24"/>
          <w:szCs w:val="24"/>
          <w:lang w:val="zh-CN" w:eastAsia="zh-CN" w:bidi="zh-CN"/>
        </w:rPr>
        <w:t>采购人按照财库[2016]205号《财政部关于进一步加强政府采购需求和履约验收管理的指导意见》的相关规定和本项目政府采购合同的约定对项目验收。</w:t>
      </w:r>
      <w:bookmarkEnd w:id="3"/>
    </w:p>
    <w:p>
      <w:pPr>
        <w:widowControl w:val="0"/>
        <w:adjustRightInd/>
        <w:snapToGrid/>
        <w:spacing w:after="0" w:line="460" w:lineRule="exact"/>
        <w:jc w:val="both"/>
        <w:rPr>
          <w:rFonts w:hint="eastAsia" w:ascii="仿宋" w:hAnsi="仿宋" w:eastAsia="仿宋" w:cs="仿宋"/>
          <w:color w:val="auto"/>
          <w:sz w:val="24"/>
          <w:szCs w:val="24"/>
          <w:lang w:val="zh-CN" w:eastAsia="zh-CN" w:bidi="zh-CN"/>
        </w:rPr>
      </w:pPr>
    </w:p>
    <w:p>
      <w:pPr>
        <w:jc w:val="center"/>
        <w:rPr>
          <w:rFonts w:hint="eastAsia" w:ascii="仿宋" w:hAnsi="仿宋" w:eastAsia="仿宋" w:cs="仿宋"/>
          <w:color w:val="auto"/>
          <w:sz w:val="24"/>
          <w:szCs w:val="24"/>
          <w:lang w:val="zh-CN" w:eastAsia="zh-CN" w:bidi="zh-CN"/>
        </w:rPr>
        <w:sectPr>
          <w:pgSz w:w="11910" w:h="16840"/>
          <w:pgMar w:top="1400" w:right="740" w:bottom="1340" w:left="740" w:header="0" w:footer="1149" w:gutter="0"/>
          <w:cols w:space="720" w:num="1"/>
        </w:sect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D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42"/>
      <w:ind w:left="1251"/>
      <w:jc w:val="center"/>
      <w:outlineLvl w:val="0"/>
    </w:pPr>
    <w:rPr>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坚持到底</cp:lastModifiedBy>
  <dcterms:modified xsi:type="dcterms:W3CDTF">2021-06-16T08:00:26Z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8B3B22BE332F4CA2885C7AB670D68DBF</vt:lpwstr>
  </property>
</Properties>
</file>