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0" w:name="_Toc3589"/>
      <w:bookmarkStart w:id="1" w:name="_Toc217446094"/>
      <w:r>
        <w:rPr>
          <w:rFonts w:hint="eastAsia" w:ascii="宋体" w:hAnsi="宋体" w:cs="宋体"/>
          <w:b w:val="0"/>
          <w:bCs w:val="0"/>
          <w:sz w:val="24"/>
          <w:szCs w:val="22"/>
        </w:rPr>
        <w:t>前提：本章中标注标记的条款为本项目的实质性条款，投标人不满足的，将按照无效投标处理。</w:t>
      </w:r>
      <w:bookmarkEnd w:id="0"/>
    </w:p>
    <w:bookmarkEnd w:id="1"/>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 w:name="_Toc5436"/>
      <w:r>
        <w:rPr>
          <w:rFonts w:hint="eastAsia" w:ascii="宋体" w:hAnsi="宋体" w:cs="宋体"/>
          <w:b w:val="0"/>
          <w:bCs w:val="0"/>
          <w:sz w:val="24"/>
          <w:szCs w:val="22"/>
        </w:rPr>
        <w:t>★（一）技术参数</w:t>
      </w:r>
      <w:bookmarkEnd w:id="2"/>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5029"/>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3" w:name="_Toc7349"/>
            <w:r>
              <w:rPr>
                <w:rFonts w:hint="eastAsia" w:ascii="宋体" w:hAnsi="宋体" w:cs="宋体"/>
                <w:b w:val="0"/>
                <w:bCs w:val="0"/>
                <w:sz w:val="24"/>
                <w:szCs w:val="22"/>
              </w:rPr>
              <w:t>货物名称</w:t>
            </w:r>
            <w:bookmarkEnd w:id="3"/>
          </w:p>
        </w:tc>
        <w:tc>
          <w:tcPr>
            <w:tcW w:w="2950" w:type="pct"/>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4" w:name="_Toc11296"/>
            <w:r>
              <w:rPr>
                <w:rFonts w:hint="eastAsia" w:ascii="宋体" w:hAnsi="宋体" w:cs="宋体"/>
                <w:b w:val="0"/>
                <w:bCs w:val="0"/>
                <w:sz w:val="24"/>
                <w:szCs w:val="22"/>
              </w:rPr>
              <w:t>技术参数</w:t>
            </w:r>
            <w:bookmarkEnd w:id="4"/>
          </w:p>
        </w:tc>
        <w:tc>
          <w:tcPr>
            <w:tcW w:w="976" w:type="pct"/>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5" w:name="_Toc21705"/>
            <w:r>
              <w:rPr>
                <w:rFonts w:hint="eastAsia" w:ascii="宋体" w:hAnsi="宋体" w:cs="宋体"/>
                <w:b w:val="0"/>
                <w:bCs w:val="0"/>
                <w:sz w:val="24"/>
                <w:szCs w:val="22"/>
              </w:rPr>
              <w:t>数量（吨）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72" w:type="pct"/>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right="-395" w:rightChars="-188"/>
              <w:jc w:val="left"/>
              <w:rPr>
                <w:rFonts w:hint="eastAsia" w:ascii="宋体" w:hAnsi="宋体" w:cs="宋体"/>
                <w:b w:val="0"/>
                <w:bCs w:val="0"/>
                <w:sz w:val="24"/>
                <w:szCs w:val="22"/>
              </w:rPr>
            </w:pPr>
            <w:bookmarkStart w:id="6" w:name="_Toc15552"/>
            <w:r>
              <w:rPr>
                <w:rFonts w:hint="eastAsia" w:ascii="宋体" w:hAnsi="宋体" w:cs="宋体"/>
                <w:b w:val="0"/>
                <w:bCs w:val="0"/>
                <w:sz w:val="24"/>
                <w:szCs w:val="22"/>
              </w:rPr>
              <w:t>吡虫啉悬浮剂</w:t>
            </w:r>
            <w:bookmarkEnd w:id="6"/>
          </w:p>
        </w:tc>
        <w:tc>
          <w:tcPr>
            <w:tcW w:w="2950" w:type="pct"/>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7" w:name="_Toc27380"/>
            <w:r>
              <w:rPr>
                <w:rFonts w:hint="eastAsia" w:ascii="宋体" w:hAnsi="宋体" w:cs="宋体"/>
                <w:b w:val="0"/>
                <w:bCs w:val="0"/>
                <w:sz w:val="24"/>
                <w:szCs w:val="22"/>
              </w:rPr>
              <w:t>1.质量浓度（g/L)：350±17；</w:t>
            </w:r>
            <w:bookmarkEnd w:id="7"/>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8" w:name="_Toc19005"/>
            <w:r>
              <w:rPr>
                <w:rFonts w:hint="eastAsia" w:ascii="宋体" w:hAnsi="宋体" w:cs="宋体"/>
                <w:b w:val="0"/>
                <w:bCs w:val="0"/>
                <w:sz w:val="24"/>
                <w:szCs w:val="22"/>
              </w:rPr>
              <w:t>2.剂型：悬浮剂；</w:t>
            </w:r>
            <w:bookmarkEnd w:id="8"/>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9" w:name="_Toc23077"/>
            <w:r>
              <w:rPr>
                <w:rFonts w:hint="eastAsia" w:ascii="宋体" w:hAnsi="宋体" w:cs="宋体"/>
                <w:b w:val="0"/>
                <w:bCs w:val="0"/>
                <w:sz w:val="24"/>
                <w:szCs w:val="22"/>
              </w:rPr>
              <w:t>3.PH值范围：6—9；</w:t>
            </w:r>
            <w:bookmarkEnd w:id="9"/>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0" w:name="_Toc7891"/>
            <w:r>
              <w:rPr>
                <w:rFonts w:hint="eastAsia" w:ascii="宋体" w:hAnsi="宋体" w:cs="宋体"/>
                <w:b w:val="0"/>
                <w:bCs w:val="0"/>
                <w:sz w:val="24"/>
                <w:szCs w:val="22"/>
              </w:rPr>
              <w:t>4.悬浮率：≥95%；</w:t>
            </w:r>
            <w:bookmarkEnd w:id="10"/>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1" w:name="_Toc14985"/>
            <w:r>
              <w:rPr>
                <w:rFonts w:hint="eastAsia" w:ascii="宋体" w:hAnsi="宋体" w:cs="宋体"/>
                <w:b w:val="0"/>
                <w:bCs w:val="0"/>
                <w:sz w:val="24"/>
                <w:szCs w:val="22"/>
              </w:rPr>
              <w:t>5.毒性：低毒；</w:t>
            </w:r>
            <w:bookmarkEnd w:id="11"/>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2" w:name="_Toc5461"/>
            <w:r>
              <w:rPr>
                <w:rFonts w:hint="eastAsia" w:ascii="宋体" w:hAnsi="宋体" w:cs="宋体"/>
                <w:b w:val="0"/>
                <w:bCs w:val="0"/>
                <w:sz w:val="24"/>
                <w:szCs w:val="22"/>
              </w:rPr>
              <w:t>6.外观：可流动、易测量体积的乳白色液体；</w:t>
            </w:r>
            <w:bookmarkEnd w:id="12"/>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3" w:name="_Toc31129"/>
            <w:r>
              <w:rPr>
                <w:rFonts w:hint="eastAsia" w:ascii="宋体" w:hAnsi="宋体" w:cs="宋体"/>
                <w:b w:val="0"/>
                <w:bCs w:val="0"/>
                <w:sz w:val="24"/>
                <w:szCs w:val="22"/>
              </w:rPr>
              <w:t>7.包装：≤20公斤/桶（塑料桶）。</w:t>
            </w:r>
            <w:bookmarkEnd w:id="13"/>
          </w:p>
        </w:tc>
        <w:tc>
          <w:tcPr>
            <w:tcW w:w="976" w:type="pct"/>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4" w:name="_Toc13184"/>
            <w:r>
              <w:rPr>
                <w:rFonts w:hint="eastAsia" w:ascii="宋体" w:hAnsi="宋体" w:cs="宋体"/>
                <w:b w:val="0"/>
                <w:bCs w:val="0"/>
                <w:sz w:val="24"/>
                <w:szCs w:val="22"/>
              </w:rPr>
              <w:t>5吨</w:t>
            </w:r>
            <w:bookmarkEnd w:id="14"/>
          </w:p>
          <w:p>
            <w:pPr>
              <w:pStyle w:val="4"/>
              <w:spacing w:line="360" w:lineRule="auto"/>
              <w:ind w:left="61" w:leftChars="29" w:right="-395" w:rightChars="-188" w:firstLine="420" w:firstLineChars="175"/>
              <w:jc w:val="left"/>
              <w:outlineLvl w:val="9"/>
              <w:rPr>
                <w:rFonts w:hint="eastAsia" w:ascii="宋体" w:hAnsi="宋体" w:cs="宋体"/>
                <w:b w:val="0"/>
                <w:bCs w:val="0"/>
                <w:sz w:val="24"/>
                <w:szCs w:val="22"/>
              </w:rPr>
            </w:pPr>
          </w:p>
        </w:tc>
      </w:tr>
    </w:tbl>
    <w:p>
      <w:pPr>
        <w:pStyle w:val="4"/>
        <w:spacing w:line="360" w:lineRule="auto"/>
        <w:ind w:left="61" w:leftChars="29" w:right="-395" w:rightChars="-188" w:firstLine="422" w:firstLineChars="175"/>
        <w:jc w:val="left"/>
        <w:rPr>
          <w:rFonts w:hint="eastAsia" w:ascii="宋体" w:hAnsi="宋体" w:cs="宋体"/>
          <w:b w:val="0"/>
          <w:bCs w:val="0"/>
          <w:sz w:val="24"/>
          <w:szCs w:val="22"/>
        </w:rPr>
      </w:pPr>
      <w:bookmarkStart w:id="15" w:name="_Toc17312"/>
      <w:r>
        <w:rPr>
          <w:rFonts w:hint="eastAsia" w:ascii="宋体" w:hAnsi="宋体" w:cs="宋体"/>
          <w:b/>
          <w:bCs/>
          <w:color w:val="0000FF"/>
          <w:sz w:val="24"/>
          <w:szCs w:val="22"/>
        </w:rPr>
        <w:t>★</w:t>
      </w:r>
      <w:r>
        <w:rPr>
          <w:rFonts w:hint="eastAsia" w:ascii="宋体" w:hAnsi="宋体" w:cs="宋体"/>
          <w:b w:val="0"/>
          <w:bCs w:val="0"/>
          <w:color w:val="0000FF"/>
          <w:sz w:val="24"/>
          <w:szCs w:val="22"/>
          <w:lang w:eastAsia="zh-CN"/>
        </w:rPr>
        <w:t>其他要求：投标的白蚁防治药物应符合《农药管理条例》和国家现行有关产品标准的规定，应具有农药登记证、农药生产许可证或农药生产批准文件，且防治对象为“白蚁”的卫生杀虫剂。（投标时提供相关复印件加盖鲜章）</w:t>
      </w:r>
      <w:bookmarkStart w:id="28" w:name="_GoBack"/>
      <w:bookmarkEnd w:id="28"/>
    </w:p>
    <w:p>
      <w:pPr>
        <w:pStyle w:val="4"/>
        <w:spacing w:line="360" w:lineRule="auto"/>
        <w:ind w:left="61" w:leftChars="29" w:right="-395" w:rightChars="-188" w:firstLine="420" w:firstLineChars="175"/>
        <w:jc w:val="left"/>
        <w:rPr>
          <w:rFonts w:hint="eastAsia" w:ascii="宋体" w:hAnsi="宋体" w:cs="宋体"/>
          <w:b w:val="0"/>
          <w:bCs w:val="0"/>
          <w:sz w:val="24"/>
          <w:szCs w:val="22"/>
        </w:rPr>
      </w:pPr>
      <w:r>
        <w:rPr>
          <w:rFonts w:hint="eastAsia" w:ascii="宋体" w:hAnsi="宋体" w:cs="宋体"/>
          <w:b w:val="0"/>
          <w:bCs w:val="0"/>
          <w:sz w:val="24"/>
          <w:szCs w:val="22"/>
        </w:rPr>
        <w:t>（二）服务要求</w:t>
      </w:r>
      <w:bookmarkEnd w:id="15"/>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6" w:name="_Toc17394"/>
      <w:r>
        <w:rPr>
          <w:rFonts w:hint="eastAsia" w:ascii="宋体" w:hAnsi="宋体" w:cs="宋体"/>
          <w:b w:val="0"/>
          <w:bCs w:val="0"/>
          <w:sz w:val="24"/>
          <w:szCs w:val="22"/>
        </w:rPr>
        <w:t>1.产品质保期：从每次运送到采购人仓库之日起起算，产品距有效期不短于24个月。</w:t>
      </w:r>
      <w:bookmarkEnd w:id="16"/>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7" w:name="_Toc12888"/>
      <w:r>
        <w:rPr>
          <w:rFonts w:hint="eastAsia" w:ascii="宋体" w:hAnsi="宋体" w:cs="宋体"/>
          <w:b w:val="0"/>
          <w:bCs w:val="0"/>
          <w:sz w:val="24"/>
          <w:szCs w:val="22"/>
        </w:rPr>
        <w:t>2.按照《农药包装废弃物回收处理管理办法》供应商需负责回收处理使用过后的农药包装废弃物（空桶）。</w:t>
      </w:r>
      <w:bookmarkEnd w:id="17"/>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8" w:name="_Toc21702"/>
      <w:r>
        <w:rPr>
          <w:rFonts w:hint="eastAsia" w:ascii="宋体" w:hAnsi="宋体" w:cs="宋体"/>
          <w:b w:val="0"/>
          <w:bCs w:val="0"/>
          <w:sz w:val="24"/>
          <w:szCs w:val="22"/>
        </w:rPr>
        <w:t>（三）商务要求</w:t>
      </w:r>
      <w:bookmarkEnd w:id="18"/>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19" w:name="_Toc12688"/>
      <w:r>
        <w:rPr>
          <w:rFonts w:hint="eastAsia" w:ascii="宋体" w:hAnsi="宋体" w:cs="宋体"/>
          <w:b w:val="0"/>
          <w:bCs w:val="0"/>
          <w:sz w:val="24"/>
          <w:szCs w:val="22"/>
        </w:rPr>
        <w:t>1.项目实施地点:成都市青白江区凤凰大道一段2698号</w:t>
      </w:r>
      <w:bookmarkEnd w:id="19"/>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0" w:name="_Toc26659"/>
      <w:r>
        <w:rPr>
          <w:rFonts w:hint="eastAsia" w:ascii="宋体" w:hAnsi="宋体" w:cs="宋体"/>
          <w:b w:val="0"/>
          <w:bCs w:val="0"/>
          <w:sz w:val="24"/>
          <w:szCs w:val="22"/>
        </w:rPr>
        <w:t>2.履行期限及方式：</w:t>
      </w:r>
      <w:bookmarkEnd w:id="20"/>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1" w:name="_Toc20995"/>
      <w:r>
        <w:rPr>
          <w:rFonts w:hint="eastAsia" w:ascii="宋体" w:hAnsi="宋体" w:cs="宋体"/>
          <w:b w:val="0"/>
          <w:bCs w:val="0"/>
          <w:sz w:val="24"/>
          <w:szCs w:val="22"/>
        </w:rPr>
        <w:t>履行期限：供应商接到采购人通知后，应迅速组织货物并在10个工作日内将货物运送到采购人仓库。</w:t>
      </w:r>
      <w:bookmarkEnd w:id="21"/>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2" w:name="_Toc20040"/>
      <w:r>
        <w:rPr>
          <w:rFonts w:hint="eastAsia" w:ascii="宋体" w:hAnsi="宋体" w:cs="宋体"/>
          <w:b w:val="0"/>
          <w:bCs w:val="0"/>
          <w:sz w:val="24"/>
          <w:szCs w:val="22"/>
        </w:rPr>
        <w:t>履行方式：免费送货上门，供应商按采购人要求分批量送货上门，运输、装卸费由供应商负担。本合同执行期间乙方按照甲方要求分批次向甲方供货的方式，供货的货物总量应不超过5吨，采购人依据供应商分批次供货量据实结算支付款项。</w:t>
      </w:r>
      <w:bookmarkEnd w:id="22"/>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3" w:name="_Toc17339"/>
      <w:r>
        <w:rPr>
          <w:rFonts w:hint="eastAsia" w:ascii="宋体" w:hAnsi="宋体" w:cs="宋体"/>
          <w:b w:val="0"/>
          <w:bCs w:val="0"/>
          <w:sz w:val="24"/>
          <w:szCs w:val="22"/>
        </w:rPr>
        <w:t>3.付款方式和条件：货到经采购人验收合格并收到供应商出具的等额有效的增值税发票后采购人通过银行电汇支付该批量货款。</w:t>
      </w:r>
      <w:bookmarkEnd w:id="23"/>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4" w:name="_Toc7375"/>
      <w:r>
        <w:rPr>
          <w:rFonts w:hint="eastAsia" w:ascii="宋体" w:hAnsi="宋体" w:cs="宋体"/>
          <w:b w:val="0"/>
          <w:bCs w:val="0"/>
          <w:sz w:val="24"/>
          <w:szCs w:val="22"/>
        </w:rPr>
        <w:t>4.验收标准和方法：采购人按照财库[2016]205号《财政部关于进一步加强政府采购需求和履约验收管理的指导意见》的相关规定和本项目政府采购合同的约定对每批次产品进行抽检检测并验收。</w:t>
      </w:r>
      <w:bookmarkEnd w:id="24"/>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5" w:name="_Toc15544"/>
      <w:r>
        <w:rPr>
          <w:rFonts w:hint="eastAsia" w:ascii="宋体" w:hAnsi="宋体" w:cs="宋体"/>
          <w:b w:val="0"/>
          <w:bCs w:val="0"/>
          <w:sz w:val="24"/>
          <w:szCs w:val="22"/>
        </w:rPr>
        <w:t>（四）其他要求</w:t>
      </w:r>
      <w:bookmarkEnd w:id="25"/>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6" w:name="_Toc5444"/>
      <w:r>
        <w:rPr>
          <w:rFonts w:hint="eastAsia" w:ascii="宋体" w:hAnsi="宋体" w:cs="宋体"/>
          <w:b w:val="0"/>
          <w:bCs w:val="0"/>
          <w:sz w:val="24"/>
          <w:szCs w:val="22"/>
        </w:rPr>
        <w:t>1.供应商提供的产品未达到检测要求的，采购人不予接收，供应商应无条件更换合格产品。在合同履行期间供应商提供产品累计两次未达到检测要求的，采购人有权单方面解除合同，相关损失由供应商自行承担，并赔偿采购人相应损失。</w:t>
      </w:r>
      <w:bookmarkEnd w:id="26"/>
    </w:p>
    <w:p>
      <w:pPr>
        <w:ind w:firstLine="480" w:firstLineChars="200"/>
        <w:rPr>
          <w:rFonts w:hint="eastAsia" w:ascii="宋体" w:hAnsi="宋体" w:cs="宋体"/>
        </w:rPr>
      </w:pPr>
      <w:r>
        <w:rPr>
          <w:rFonts w:hint="eastAsia" w:ascii="宋体" w:hAnsi="宋体" w:cs="宋体"/>
          <w:sz w:val="24"/>
          <w:szCs w:val="22"/>
        </w:rPr>
        <w:t>2.售后服务供应商应在采购人的要求下对发生破损的货物进行置换，同时采购人要求供应商提供药品使用方式时供应商应无偿培训。</w:t>
      </w:r>
    </w:p>
    <w:p>
      <w:pPr>
        <w:pStyle w:val="4"/>
        <w:spacing w:line="360" w:lineRule="auto"/>
        <w:ind w:left="61" w:leftChars="29" w:right="-395" w:rightChars="-188" w:firstLine="420" w:firstLineChars="175"/>
        <w:jc w:val="left"/>
        <w:rPr>
          <w:rFonts w:hint="eastAsia" w:ascii="宋体" w:hAnsi="宋体" w:cs="宋体"/>
          <w:b w:val="0"/>
          <w:bCs w:val="0"/>
          <w:sz w:val="24"/>
          <w:szCs w:val="22"/>
        </w:rPr>
      </w:pPr>
      <w:bookmarkStart w:id="27" w:name="_Toc30134"/>
      <w:r>
        <w:rPr>
          <w:rFonts w:hint="eastAsia" w:ascii="宋体" w:hAnsi="宋体" w:cs="宋体"/>
          <w:b w:val="0"/>
          <w:bCs w:val="0"/>
          <w:sz w:val="24"/>
          <w:szCs w:val="22"/>
        </w:rPr>
        <w:t>注意：以上打★号的为本次招标项目的实质性要求，不允许有负偏离。</w:t>
      </w:r>
      <w:bookmarkEnd w:id="27"/>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664F9"/>
    <w:rsid w:val="38C9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坚持到底</cp:lastModifiedBy>
  <dcterms:modified xsi:type="dcterms:W3CDTF">2021-04-28T08:06:37Z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ECDE26555C6D48AA947E9BF792817633</vt:lpwstr>
  </property>
</Properties>
</file>