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2" w:leftChars="-95" w:right="-218" w:rightChars="-104" w:hanging="167" w:hangingChars="38"/>
        <w:jc w:val="center"/>
        <w:rPr>
          <w:rFonts w:ascii="宋体" w:hAnsi="宋体" w:cs="宋体"/>
          <w:b/>
          <w:bCs/>
          <w:color w:val="auto"/>
          <w:sz w:val="44"/>
          <w:szCs w:val="44"/>
          <w:highlight w:val="none"/>
        </w:rPr>
      </w:pPr>
      <w:r>
        <w:rPr>
          <w:rFonts w:hint="eastAsia" w:ascii="宋体" w:hAnsi="宋体" w:cs="宋体"/>
          <w:color w:val="auto"/>
          <w:sz w:val="44"/>
          <w:szCs w:val="44"/>
          <w:highlight w:val="none"/>
        </w:rPr>
        <w:t>老城区桂湖中路、桂湖东路（钟楼至东环路段）城市品质提升项目设计服务采购项目</w:t>
      </w:r>
    </w:p>
    <w:p>
      <w:pPr>
        <w:ind w:left="416" w:leftChars="198" w:right="-666" w:rightChars="-317" w:firstLine="2409" w:firstLineChars="800"/>
        <w:rPr>
          <w:rFonts w:ascii="宋体" w:hAnsi="宋体" w:cs="宋体"/>
          <w:b/>
          <w:bCs/>
          <w:color w:val="auto"/>
          <w:sz w:val="30"/>
          <w:szCs w:val="30"/>
          <w:highlight w:val="none"/>
        </w:rPr>
      </w:pPr>
    </w:p>
    <w:p>
      <w:pPr>
        <w:ind w:firstLine="2711" w:firstLineChars="900"/>
        <w:rPr>
          <w:rFonts w:ascii="宋体" w:hAnsi="宋体" w:cs="宋体"/>
          <w:b/>
          <w:bCs/>
          <w:color w:val="auto"/>
          <w:sz w:val="30"/>
          <w:szCs w:val="30"/>
          <w:highlight w:val="none"/>
        </w:rPr>
      </w:pPr>
      <w:r>
        <w:rPr>
          <w:rFonts w:hint="eastAsia" w:ascii="宋体" w:hAnsi="宋体" w:cs="宋体"/>
          <w:b/>
          <w:bCs/>
          <w:color w:val="auto"/>
          <w:sz w:val="30"/>
          <w:szCs w:val="30"/>
          <w:highlight w:val="none"/>
        </w:rPr>
        <w:t>采购编号：510114202100373</w:t>
      </w:r>
    </w:p>
    <w:p>
      <w:pPr>
        <w:jc w:val="center"/>
        <w:rPr>
          <w:rFonts w:hint="eastAsia" w:ascii="宋体" w:hAnsi="宋体" w:cs="宋体"/>
          <w:b/>
          <w:bCs/>
          <w:color w:val="auto"/>
          <w:sz w:val="52"/>
          <w:szCs w:val="52"/>
          <w:highlight w:val="none"/>
        </w:rPr>
      </w:pPr>
    </w:p>
    <w:p>
      <w:pPr>
        <w:pStyle w:val="8"/>
        <w:rPr>
          <w:rFonts w:hint="eastAsia"/>
          <w:color w:val="auto"/>
          <w:highlight w:val="none"/>
        </w:rPr>
      </w:pP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竞</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争</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性</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磋</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商</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文</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件</w:t>
      </w:r>
    </w:p>
    <w:p>
      <w:pPr>
        <w:wordWrap w:val="0"/>
        <w:topLinePunct/>
        <w:spacing w:line="360" w:lineRule="auto"/>
        <w:ind w:firstLine="1044"/>
        <w:rPr>
          <w:rFonts w:ascii="宋体" w:hAnsi="宋体" w:cs="宋体"/>
          <w:b/>
          <w:bCs/>
          <w:color w:val="auto"/>
          <w:sz w:val="52"/>
          <w:szCs w:val="52"/>
          <w:highlight w:val="none"/>
        </w:rPr>
      </w:pPr>
    </w:p>
    <w:p>
      <w:pPr>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中国·四川·成都</w:t>
      </w:r>
    </w:p>
    <w:p>
      <w:pPr>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成都文瀚建设工程咨询有限公司</w:t>
      </w:r>
    </w:p>
    <w:p>
      <w:pPr>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成都市新都区城市精细管理运维中心</w:t>
      </w:r>
    </w:p>
    <w:p>
      <w:pPr>
        <w:spacing w:line="44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共同编制</w:t>
      </w:r>
    </w:p>
    <w:p>
      <w:pPr>
        <w:spacing w:line="440" w:lineRule="exact"/>
        <w:jc w:val="center"/>
        <w:rPr>
          <w:rFonts w:ascii="宋体" w:hAnsi="宋体" w:cs="宋体"/>
          <w:b/>
          <w:bCs/>
          <w:color w:val="auto"/>
          <w:sz w:val="36"/>
          <w:szCs w:val="36"/>
          <w:highlight w:val="none"/>
          <w:lang w:val="zh-CN"/>
        </w:rPr>
      </w:pPr>
      <w:r>
        <w:rPr>
          <w:rFonts w:hint="eastAsia" w:ascii="宋体" w:hAnsi="宋体" w:cs="宋体"/>
          <w:b/>
          <w:bCs/>
          <w:color w:val="auto"/>
          <w:sz w:val="36"/>
          <w:szCs w:val="36"/>
          <w:highlight w:val="none"/>
        </w:rPr>
        <w:t>2021</w:t>
      </w:r>
      <w:r>
        <w:rPr>
          <w:rFonts w:hint="eastAsia" w:ascii="宋体" w:hAnsi="宋体" w:cs="宋体"/>
          <w:b/>
          <w:bCs/>
          <w:color w:val="auto"/>
          <w:sz w:val="36"/>
          <w:szCs w:val="36"/>
          <w:highlight w:val="none"/>
          <w:lang w:val="zh-CN"/>
        </w:rPr>
        <w:t>年</w:t>
      </w:r>
      <w:r>
        <w:rPr>
          <w:rFonts w:hint="eastAsia" w:ascii="宋体" w:hAnsi="宋体" w:cs="宋体"/>
          <w:b/>
          <w:bCs/>
          <w:color w:val="auto"/>
          <w:sz w:val="36"/>
          <w:szCs w:val="36"/>
          <w:highlight w:val="none"/>
        </w:rPr>
        <w:t>1</w:t>
      </w:r>
      <w:r>
        <w:rPr>
          <w:rFonts w:hint="eastAsia" w:ascii="宋体" w:hAnsi="宋体" w:cs="宋体"/>
          <w:b/>
          <w:bCs/>
          <w:color w:val="auto"/>
          <w:sz w:val="36"/>
          <w:szCs w:val="36"/>
          <w:highlight w:val="none"/>
          <w:lang w:val="en-US" w:eastAsia="zh-CN"/>
        </w:rPr>
        <w:t>1</w:t>
      </w:r>
      <w:r>
        <w:rPr>
          <w:rFonts w:hint="eastAsia" w:ascii="宋体" w:hAnsi="宋体" w:cs="宋体"/>
          <w:b/>
          <w:bCs/>
          <w:color w:val="auto"/>
          <w:sz w:val="36"/>
          <w:szCs w:val="36"/>
          <w:highlight w:val="none"/>
          <w:lang w:val="zh-CN"/>
        </w:rPr>
        <w:t>月</w:t>
      </w:r>
    </w:p>
    <w:p>
      <w:pPr>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br w:type="page"/>
      </w:r>
    </w:p>
    <w:p>
      <w:pPr>
        <w:jc w:val="center"/>
        <w:rPr>
          <w:color w:val="auto"/>
          <w:sz w:val="32"/>
          <w:szCs w:val="40"/>
          <w:highlight w:val="none"/>
        </w:rPr>
      </w:pPr>
      <w:r>
        <w:rPr>
          <w:rFonts w:ascii="宋体" w:hAnsi="宋体"/>
          <w:color w:val="auto"/>
          <w:sz w:val="32"/>
          <w:szCs w:val="40"/>
          <w:highlight w:val="none"/>
        </w:rPr>
        <w:t>目录</w:t>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"_Toc21055_WPSOffice_Level1" </w:instrText>
      </w:r>
      <w:r>
        <w:rPr>
          <w:color w:val="auto"/>
          <w:highlight w:val="none"/>
        </w:rPr>
        <w:fldChar w:fldCharType="separate"/>
      </w:r>
      <w:r>
        <w:rPr>
          <w:rFonts w:hint="eastAsia" w:ascii="宋体" w:hAnsi="宋体" w:cs="宋体"/>
          <w:color w:val="auto"/>
          <w:sz w:val="21"/>
          <w:szCs w:val="22"/>
          <w:highlight w:val="none"/>
        </w:rPr>
        <w:t>第一章  磋商邀请</w:t>
      </w:r>
      <w:r>
        <w:rPr>
          <w:rFonts w:hint="eastAsia" w:ascii="宋体" w:hAnsi="宋体" w:cs="宋体"/>
          <w:color w:val="auto"/>
          <w:sz w:val="21"/>
          <w:szCs w:val="22"/>
          <w:highlight w:val="none"/>
        </w:rPr>
        <w:tab/>
      </w:r>
      <w:bookmarkStart w:id="0" w:name="_Toc21055_WPSOffice_Level1Page"/>
      <w:r>
        <w:rPr>
          <w:rFonts w:hint="eastAsia" w:ascii="宋体" w:hAnsi="宋体" w:cs="宋体"/>
          <w:color w:val="auto"/>
          <w:sz w:val="21"/>
          <w:szCs w:val="22"/>
          <w:highlight w:val="none"/>
        </w:rPr>
        <w:t>3</w:t>
      </w:r>
      <w:bookmarkEnd w:id="0"/>
      <w:r>
        <w:rPr>
          <w:rFonts w:hint="eastAsia" w:ascii="宋体" w:hAnsi="宋体" w:cs="宋体"/>
          <w:color w:val="auto"/>
          <w:sz w:val="21"/>
          <w:szCs w:val="22"/>
          <w:highlight w:val="none"/>
        </w:rPr>
        <w:fldChar w:fldCharType="end"/>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"_Toc18262_WPSOffice_Level1" </w:instrText>
      </w:r>
      <w:r>
        <w:rPr>
          <w:color w:val="auto"/>
          <w:highlight w:val="none"/>
        </w:rPr>
        <w:fldChar w:fldCharType="separate"/>
      </w:r>
      <w:r>
        <w:rPr>
          <w:rFonts w:hint="eastAsia" w:ascii="宋体" w:hAnsi="宋体" w:cs="宋体"/>
          <w:color w:val="auto"/>
          <w:sz w:val="21"/>
          <w:szCs w:val="22"/>
          <w:highlight w:val="none"/>
        </w:rPr>
        <w:t>第二章  磋商须知</w:t>
      </w:r>
      <w:r>
        <w:rPr>
          <w:rFonts w:hint="eastAsia" w:ascii="宋体" w:hAnsi="宋体" w:cs="宋体"/>
          <w:color w:val="auto"/>
          <w:sz w:val="21"/>
          <w:szCs w:val="22"/>
          <w:highlight w:val="none"/>
        </w:rPr>
        <w:tab/>
      </w:r>
      <w:bookmarkStart w:id="1" w:name="_Toc18262_WPSOffice_Level1Page"/>
      <w:r>
        <w:rPr>
          <w:rFonts w:hint="eastAsia" w:ascii="宋体" w:hAnsi="宋体" w:cs="宋体"/>
          <w:color w:val="auto"/>
          <w:sz w:val="21"/>
          <w:szCs w:val="22"/>
          <w:highlight w:val="none"/>
        </w:rPr>
        <w:t>6</w:t>
      </w:r>
      <w:bookmarkEnd w:id="1"/>
      <w:r>
        <w:rPr>
          <w:rFonts w:hint="eastAsia" w:ascii="宋体" w:hAnsi="宋体" w:cs="宋体"/>
          <w:color w:val="auto"/>
          <w:sz w:val="21"/>
          <w:szCs w:val="22"/>
          <w:highlight w:val="none"/>
        </w:rPr>
        <w:fldChar w:fldCharType="end"/>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"_Toc7450_WPSOffice_Level1" </w:instrText>
      </w:r>
      <w:r>
        <w:rPr>
          <w:color w:val="auto"/>
          <w:highlight w:val="none"/>
        </w:rPr>
        <w:fldChar w:fldCharType="separate"/>
      </w:r>
      <w:r>
        <w:rPr>
          <w:rFonts w:hint="eastAsia" w:ascii="宋体" w:hAnsi="宋体" w:cs="宋体"/>
          <w:color w:val="auto"/>
          <w:sz w:val="21"/>
          <w:szCs w:val="22"/>
          <w:highlight w:val="none"/>
        </w:rPr>
        <w:t>第三章  供应商和报价产品的资格、资质性及其他类似效力要求</w:t>
      </w:r>
      <w:r>
        <w:rPr>
          <w:rFonts w:hint="eastAsia" w:ascii="宋体" w:hAnsi="宋体" w:cs="宋体"/>
          <w:color w:val="auto"/>
          <w:sz w:val="21"/>
          <w:szCs w:val="22"/>
          <w:highlight w:val="none"/>
        </w:rPr>
        <w:tab/>
      </w:r>
      <w:bookmarkStart w:id="2" w:name="_Toc7450_WPSOffice_Level1Page"/>
      <w:r>
        <w:rPr>
          <w:rFonts w:hint="eastAsia" w:ascii="宋体" w:hAnsi="宋体" w:cs="宋体"/>
          <w:color w:val="auto"/>
          <w:sz w:val="21"/>
          <w:szCs w:val="22"/>
          <w:highlight w:val="none"/>
        </w:rPr>
        <w:t>2</w:t>
      </w:r>
      <w:bookmarkEnd w:id="2"/>
      <w:r>
        <w:rPr>
          <w:rFonts w:hint="eastAsia" w:ascii="宋体" w:hAnsi="宋体" w:cs="宋体"/>
          <w:color w:val="auto"/>
          <w:sz w:val="21"/>
          <w:szCs w:val="22"/>
          <w:highlight w:val="none"/>
        </w:rPr>
        <w:t>3</w:t>
      </w:r>
      <w:r>
        <w:rPr>
          <w:rFonts w:hint="eastAsia" w:ascii="宋体" w:hAnsi="宋体" w:cs="宋体"/>
          <w:color w:val="auto"/>
          <w:sz w:val="21"/>
          <w:szCs w:val="22"/>
          <w:highlight w:val="none"/>
        </w:rPr>
        <w:fldChar w:fldCharType="end"/>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"_Toc28070_WPSOffice_Level1" </w:instrText>
      </w:r>
      <w:r>
        <w:rPr>
          <w:color w:val="auto"/>
          <w:highlight w:val="none"/>
        </w:rPr>
        <w:fldChar w:fldCharType="separate"/>
      </w:r>
      <w:r>
        <w:rPr>
          <w:rFonts w:hint="eastAsia" w:ascii="宋体" w:hAnsi="宋体" w:cs="宋体"/>
          <w:color w:val="auto"/>
          <w:sz w:val="21"/>
          <w:szCs w:val="22"/>
          <w:highlight w:val="none"/>
        </w:rPr>
        <w:t>第四章  供应商应当提供的资格、资质性及其他类似效力要求的相关证明材料</w:t>
      </w:r>
      <w:r>
        <w:rPr>
          <w:rFonts w:hint="eastAsia" w:ascii="宋体" w:hAnsi="宋体" w:cs="宋体"/>
          <w:color w:val="auto"/>
          <w:sz w:val="21"/>
          <w:szCs w:val="22"/>
          <w:highlight w:val="none"/>
        </w:rPr>
        <w:tab/>
      </w:r>
      <w:bookmarkStart w:id="3" w:name="_Toc28070_WPSOffice_Level1Page"/>
      <w:r>
        <w:rPr>
          <w:rFonts w:hint="eastAsia" w:ascii="宋体" w:hAnsi="宋体" w:cs="宋体"/>
          <w:color w:val="auto"/>
          <w:sz w:val="21"/>
          <w:szCs w:val="22"/>
          <w:highlight w:val="none"/>
        </w:rPr>
        <w:t>2</w:t>
      </w:r>
      <w:bookmarkEnd w:id="3"/>
      <w:r>
        <w:rPr>
          <w:rFonts w:hint="eastAsia" w:ascii="宋体" w:hAnsi="宋体" w:cs="宋体"/>
          <w:color w:val="auto"/>
          <w:sz w:val="21"/>
          <w:szCs w:val="22"/>
          <w:highlight w:val="none"/>
        </w:rPr>
        <w:t>4</w:t>
      </w:r>
      <w:r>
        <w:rPr>
          <w:rFonts w:hint="eastAsia" w:ascii="宋体" w:hAnsi="宋体" w:cs="宋体"/>
          <w:color w:val="auto"/>
          <w:sz w:val="21"/>
          <w:szCs w:val="22"/>
          <w:highlight w:val="none"/>
        </w:rPr>
        <w:fldChar w:fldCharType="end"/>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"_Toc29607_WPSOffice_Level1" </w:instrText>
      </w:r>
      <w:r>
        <w:rPr>
          <w:color w:val="auto"/>
          <w:highlight w:val="none"/>
        </w:rPr>
        <w:fldChar w:fldCharType="separate"/>
      </w:r>
      <w:r>
        <w:rPr>
          <w:rFonts w:hint="eastAsia" w:ascii="宋体" w:hAnsi="宋体" w:cs="宋体"/>
          <w:color w:val="auto"/>
          <w:sz w:val="21"/>
          <w:szCs w:val="22"/>
          <w:highlight w:val="none"/>
        </w:rPr>
        <w:t>第五章  采购项目技术、服务、政府采购合同内容条款及其他商务要求</w:t>
      </w:r>
      <w:r>
        <w:rPr>
          <w:rFonts w:hint="eastAsia" w:ascii="宋体" w:hAnsi="宋体" w:cs="宋体"/>
          <w:color w:val="auto"/>
          <w:sz w:val="21"/>
          <w:szCs w:val="22"/>
          <w:highlight w:val="none"/>
        </w:rPr>
        <w:tab/>
      </w:r>
      <w:bookmarkStart w:id="4" w:name="_Toc29607_WPSOffice_Level1Page"/>
      <w:r>
        <w:rPr>
          <w:rFonts w:hint="eastAsia" w:ascii="宋体" w:hAnsi="宋体" w:cs="宋体"/>
          <w:color w:val="auto"/>
          <w:sz w:val="21"/>
          <w:szCs w:val="22"/>
          <w:highlight w:val="none"/>
        </w:rPr>
        <w:t>2</w:t>
      </w:r>
      <w:bookmarkEnd w:id="4"/>
      <w:r>
        <w:rPr>
          <w:rFonts w:hint="eastAsia" w:ascii="宋体" w:hAnsi="宋体" w:cs="宋体"/>
          <w:color w:val="auto"/>
          <w:sz w:val="21"/>
          <w:szCs w:val="22"/>
          <w:highlight w:val="none"/>
        </w:rPr>
        <w:t>6</w:t>
      </w:r>
      <w:r>
        <w:rPr>
          <w:rFonts w:hint="eastAsia" w:ascii="宋体" w:hAnsi="宋体" w:cs="宋体"/>
          <w:color w:val="auto"/>
          <w:sz w:val="21"/>
          <w:szCs w:val="22"/>
          <w:highlight w:val="none"/>
        </w:rPr>
        <w:fldChar w:fldCharType="end"/>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"_Toc29482_WPSOffice_Level1" </w:instrText>
      </w:r>
      <w:r>
        <w:rPr>
          <w:color w:val="auto"/>
          <w:highlight w:val="none"/>
        </w:rPr>
        <w:fldChar w:fldCharType="separate"/>
      </w:r>
      <w:r>
        <w:rPr>
          <w:rFonts w:hint="eastAsia" w:ascii="宋体" w:hAnsi="宋体" w:cs="宋体"/>
          <w:color w:val="auto"/>
          <w:sz w:val="21"/>
          <w:szCs w:val="22"/>
          <w:highlight w:val="none"/>
        </w:rPr>
        <w:t>第六章  采购项目实质性要求</w:t>
      </w:r>
      <w:r>
        <w:rPr>
          <w:rFonts w:hint="eastAsia" w:ascii="宋体" w:hAnsi="宋体" w:cs="宋体"/>
          <w:color w:val="auto"/>
          <w:sz w:val="21"/>
          <w:szCs w:val="22"/>
          <w:highlight w:val="none"/>
        </w:rPr>
        <w:tab/>
      </w:r>
      <w:r>
        <w:rPr>
          <w:rFonts w:hint="eastAsia" w:ascii="宋体" w:hAnsi="宋体" w:cs="宋体"/>
          <w:color w:val="auto"/>
          <w:sz w:val="21"/>
          <w:szCs w:val="22"/>
          <w:highlight w:val="none"/>
        </w:rPr>
        <w:t>3</w:t>
      </w:r>
      <w:r>
        <w:rPr>
          <w:rFonts w:hint="eastAsia" w:ascii="宋体" w:hAnsi="宋体" w:cs="宋体"/>
          <w:color w:val="auto"/>
          <w:sz w:val="21"/>
          <w:szCs w:val="22"/>
          <w:highlight w:val="none"/>
        </w:rPr>
        <w:fldChar w:fldCharType="end"/>
      </w:r>
      <w:r>
        <w:rPr>
          <w:rFonts w:hint="eastAsia" w:ascii="宋体" w:hAnsi="宋体" w:cs="宋体"/>
          <w:color w:val="auto"/>
          <w:sz w:val="21"/>
          <w:szCs w:val="22"/>
          <w:highlight w:val="none"/>
        </w:rPr>
        <w:t>2</w:t>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"_Toc5823_WPSOffice_Level1" </w:instrText>
      </w:r>
      <w:r>
        <w:rPr>
          <w:color w:val="auto"/>
          <w:highlight w:val="none"/>
        </w:rPr>
        <w:fldChar w:fldCharType="separate"/>
      </w:r>
      <w:r>
        <w:rPr>
          <w:rFonts w:hint="eastAsia" w:ascii="宋体" w:hAnsi="宋体" w:cs="宋体"/>
          <w:color w:val="auto"/>
          <w:sz w:val="21"/>
          <w:szCs w:val="22"/>
          <w:highlight w:val="none"/>
        </w:rPr>
        <w:t>第七章  磋商内容、磋商过程中可实质性变动的内容</w:t>
      </w:r>
      <w:r>
        <w:rPr>
          <w:rFonts w:hint="eastAsia" w:ascii="宋体" w:hAnsi="宋体" w:cs="宋体"/>
          <w:color w:val="auto"/>
          <w:sz w:val="21"/>
          <w:szCs w:val="22"/>
          <w:highlight w:val="none"/>
        </w:rPr>
        <w:tab/>
      </w:r>
      <w:r>
        <w:rPr>
          <w:rFonts w:hint="eastAsia" w:ascii="宋体" w:hAnsi="宋体" w:cs="宋体"/>
          <w:color w:val="auto"/>
          <w:sz w:val="21"/>
          <w:szCs w:val="22"/>
          <w:highlight w:val="none"/>
        </w:rPr>
        <w:t>3</w:t>
      </w:r>
      <w:r>
        <w:rPr>
          <w:rFonts w:hint="eastAsia" w:ascii="宋体" w:hAnsi="宋体" w:cs="宋体"/>
          <w:color w:val="auto"/>
          <w:sz w:val="21"/>
          <w:szCs w:val="22"/>
          <w:highlight w:val="none"/>
        </w:rPr>
        <w:fldChar w:fldCharType="end"/>
      </w:r>
      <w:r>
        <w:rPr>
          <w:rFonts w:hint="eastAsia" w:ascii="宋体" w:hAnsi="宋体" w:cs="宋体"/>
          <w:color w:val="auto"/>
          <w:sz w:val="21"/>
          <w:szCs w:val="22"/>
          <w:highlight w:val="none"/>
        </w:rPr>
        <w:t>3</w:t>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"_Toc405_WPSOffice_Level1" </w:instrText>
      </w:r>
      <w:r>
        <w:rPr>
          <w:color w:val="auto"/>
          <w:highlight w:val="none"/>
        </w:rPr>
        <w:fldChar w:fldCharType="separate"/>
      </w:r>
      <w:r>
        <w:rPr>
          <w:rFonts w:hint="eastAsia" w:ascii="宋体" w:hAnsi="宋体" w:cs="宋体"/>
          <w:color w:val="auto"/>
          <w:sz w:val="21"/>
          <w:szCs w:val="22"/>
          <w:highlight w:val="none"/>
        </w:rPr>
        <w:t>第八章  响应文件格式</w:t>
      </w:r>
      <w:r>
        <w:rPr>
          <w:rFonts w:hint="eastAsia" w:ascii="宋体" w:hAnsi="宋体" w:cs="宋体"/>
          <w:color w:val="auto"/>
          <w:sz w:val="21"/>
          <w:szCs w:val="22"/>
          <w:highlight w:val="none"/>
        </w:rPr>
        <w:tab/>
      </w:r>
      <w:r>
        <w:rPr>
          <w:rFonts w:hint="eastAsia" w:ascii="宋体" w:hAnsi="宋体" w:cs="宋体"/>
          <w:color w:val="auto"/>
          <w:sz w:val="21"/>
          <w:szCs w:val="22"/>
          <w:highlight w:val="none"/>
        </w:rPr>
        <w:t>3</w:t>
      </w:r>
      <w:r>
        <w:rPr>
          <w:rFonts w:hint="eastAsia" w:ascii="宋体" w:hAnsi="宋体" w:cs="宋体"/>
          <w:color w:val="auto"/>
          <w:sz w:val="21"/>
          <w:szCs w:val="22"/>
          <w:highlight w:val="none"/>
        </w:rPr>
        <w:fldChar w:fldCharType="end"/>
      </w:r>
      <w:r>
        <w:rPr>
          <w:rFonts w:hint="eastAsia" w:ascii="宋体" w:hAnsi="宋体" w:cs="宋体"/>
          <w:color w:val="auto"/>
          <w:sz w:val="21"/>
          <w:szCs w:val="22"/>
          <w:highlight w:val="none"/>
        </w:rPr>
        <w:t>4</w:t>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"_Toc19586_WPSOffice_Level1" </w:instrText>
      </w:r>
      <w:r>
        <w:rPr>
          <w:color w:val="auto"/>
          <w:highlight w:val="none"/>
        </w:rPr>
        <w:fldChar w:fldCharType="separate"/>
      </w:r>
      <w:r>
        <w:rPr>
          <w:rFonts w:hint="eastAsia" w:ascii="宋体" w:hAnsi="宋体" w:cs="宋体"/>
          <w:color w:val="auto"/>
          <w:sz w:val="21"/>
          <w:szCs w:val="22"/>
          <w:highlight w:val="none"/>
        </w:rPr>
        <w:t>第九章  评审方法</w:t>
      </w:r>
      <w:r>
        <w:rPr>
          <w:rFonts w:hint="eastAsia" w:ascii="宋体" w:hAnsi="宋体" w:cs="宋体"/>
          <w:color w:val="auto"/>
          <w:sz w:val="21"/>
          <w:szCs w:val="22"/>
          <w:highlight w:val="none"/>
        </w:rPr>
        <w:tab/>
      </w:r>
      <w:r>
        <w:rPr>
          <w:rFonts w:hint="eastAsia" w:ascii="宋体" w:hAnsi="宋体" w:cs="宋体"/>
          <w:color w:val="auto"/>
          <w:sz w:val="21"/>
          <w:szCs w:val="22"/>
          <w:highlight w:val="none"/>
        </w:rPr>
        <w:t>5</w:t>
      </w:r>
      <w:r>
        <w:rPr>
          <w:rFonts w:hint="eastAsia" w:ascii="宋体" w:hAnsi="宋体" w:cs="宋体"/>
          <w:color w:val="auto"/>
          <w:sz w:val="21"/>
          <w:szCs w:val="22"/>
          <w:highlight w:val="none"/>
        </w:rPr>
        <w:fldChar w:fldCharType="end"/>
      </w:r>
      <w:r>
        <w:rPr>
          <w:rFonts w:hint="eastAsia" w:ascii="宋体" w:hAnsi="宋体" w:cs="宋体"/>
          <w:color w:val="auto"/>
          <w:sz w:val="21"/>
          <w:szCs w:val="22"/>
          <w:highlight w:val="none"/>
        </w:rPr>
        <w:t>8</w:t>
      </w:r>
    </w:p>
    <w:p>
      <w:pPr>
        <w:pStyle w:val="78"/>
        <w:tabs>
          <w:tab w:val="right" w:leader="dot" w:pos="9184"/>
        </w:tabs>
        <w:rPr>
          <w:rFonts w:ascii="宋体" w:hAnsi="宋体" w:cs="宋体"/>
          <w:color w:val="auto"/>
          <w:sz w:val="21"/>
          <w:szCs w:val="22"/>
          <w:highlight w:val="none"/>
        </w:rPr>
      </w:pPr>
      <w:r>
        <w:rPr>
          <w:color w:val="auto"/>
          <w:highlight w:val="none"/>
        </w:rPr>
        <w:fldChar w:fldCharType="begin"/>
      </w:r>
      <w:r>
        <w:rPr>
          <w:color w:val="auto"/>
          <w:highlight w:val="none"/>
        </w:rPr>
        <w:instrText xml:space="preserve"> HYPERLINK \l "_Toc19586_WPSOffice_Level1" </w:instrText>
      </w:r>
      <w:r>
        <w:rPr>
          <w:color w:val="auto"/>
          <w:highlight w:val="none"/>
        </w:rPr>
        <w:fldChar w:fldCharType="separate"/>
      </w:r>
      <w:r>
        <w:rPr>
          <w:rFonts w:hint="eastAsia" w:ascii="宋体" w:hAnsi="宋体" w:cs="宋体"/>
          <w:color w:val="auto"/>
          <w:sz w:val="21"/>
          <w:szCs w:val="22"/>
          <w:highlight w:val="none"/>
        </w:rPr>
        <w:t>第十章  政府采购合同（草案）</w:t>
      </w:r>
      <w:r>
        <w:rPr>
          <w:rFonts w:hint="eastAsia" w:ascii="宋体" w:hAnsi="宋体" w:cs="宋体"/>
          <w:color w:val="auto"/>
          <w:sz w:val="21"/>
          <w:szCs w:val="22"/>
          <w:highlight w:val="none"/>
        </w:rPr>
        <w:tab/>
      </w:r>
      <w:r>
        <w:rPr>
          <w:rFonts w:hint="eastAsia" w:ascii="宋体" w:hAnsi="宋体" w:cs="宋体"/>
          <w:color w:val="auto"/>
          <w:sz w:val="21"/>
          <w:szCs w:val="22"/>
          <w:highlight w:val="none"/>
        </w:rPr>
        <w:fldChar w:fldCharType="end"/>
      </w:r>
      <w:r>
        <w:rPr>
          <w:rFonts w:hint="eastAsia" w:ascii="宋体" w:hAnsi="宋体" w:cs="宋体"/>
          <w:color w:val="auto"/>
          <w:sz w:val="21"/>
          <w:szCs w:val="22"/>
          <w:highlight w:val="none"/>
        </w:rPr>
        <w:t>67</w:t>
      </w:r>
    </w:p>
    <w:p>
      <w:pPr>
        <w:pStyle w:val="78"/>
        <w:tabs>
          <w:tab w:val="right" w:leader="dot" w:pos="9184"/>
        </w:tabs>
        <w:rPr>
          <w:rFonts w:ascii="宋体" w:hAnsi="宋体" w:cs="宋体"/>
          <w:color w:val="auto"/>
          <w:sz w:val="21"/>
          <w:szCs w:val="22"/>
          <w:highlight w:val="none"/>
        </w:rPr>
      </w:pPr>
      <w:r>
        <w:rPr>
          <w:rFonts w:hint="eastAsia" w:ascii="宋体" w:hAnsi="宋体" w:cs="宋体"/>
          <w:color w:val="auto"/>
          <w:sz w:val="21"/>
          <w:szCs w:val="22"/>
          <w:highlight w:val="none"/>
        </w:rPr>
        <w:t>附件：</w:t>
      </w:r>
      <w:r>
        <w:rPr>
          <w:rFonts w:hint="eastAsia" w:ascii="宋体" w:hAnsi="宋体" w:cs="宋体"/>
          <w:color w:val="auto"/>
          <w:sz w:val="21"/>
          <w:szCs w:val="22"/>
          <w:highlight w:val="none"/>
        </w:rPr>
        <w:tab/>
      </w:r>
      <w:r>
        <w:rPr>
          <w:rFonts w:hint="eastAsia" w:ascii="宋体" w:hAnsi="宋体" w:cs="宋体"/>
          <w:color w:val="auto"/>
          <w:sz w:val="21"/>
          <w:szCs w:val="22"/>
          <w:highlight w:val="none"/>
        </w:rPr>
        <w:t>71</w:t>
      </w:r>
    </w:p>
    <w:p>
      <w:pPr>
        <w:pStyle w:val="78"/>
        <w:tabs>
          <w:tab w:val="right" w:leader="dot" w:pos="9184"/>
        </w:tabs>
        <w:rPr>
          <w:rFonts w:ascii="宋体" w:hAnsi="宋体" w:cs="宋体"/>
          <w:color w:val="auto"/>
          <w:sz w:val="21"/>
          <w:szCs w:val="22"/>
          <w:highlight w:val="none"/>
        </w:rPr>
      </w:pPr>
    </w:p>
    <w:p>
      <w:pPr>
        <w:pStyle w:val="78"/>
        <w:tabs>
          <w:tab w:val="right" w:leader="dot" w:pos="9184"/>
        </w:tabs>
        <w:rPr>
          <w:rFonts w:ascii="宋体" w:hAnsi="宋体" w:cs="宋体"/>
          <w:color w:val="auto"/>
          <w:sz w:val="21"/>
          <w:szCs w:val="22"/>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color w:val="auto"/>
          <w:highlight w:val="none"/>
        </w:rPr>
      </w:pPr>
    </w:p>
    <w:p>
      <w:pPr>
        <w:pStyle w:val="29"/>
        <w:outlineLvl w:val="9"/>
        <w:rPr>
          <w:rFonts w:ascii="宋体" w:hAnsi="宋体" w:cs="宋体"/>
          <w:color w:val="auto"/>
          <w:highlight w:val="none"/>
        </w:rPr>
      </w:pPr>
    </w:p>
    <w:p>
      <w:pPr>
        <w:rPr>
          <w:rFonts w:ascii="宋体" w:hAnsi="宋体" w:cs="宋体"/>
          <w:color w:val="auto"/>
          <w:highlight w:val="none"/>
        </w:rPr>
      </w:pPr>
    </w:p>
    <w:p>
      <w:pPr>
        <w:pStyle w:val="29"/>
        <w:rPr>
          <w:rFonts w:ascii="宋体" w:hAnsi="宋体" w:cs="宋体"/>
          <w:color w:val="auto"/>
          <w:highlight w:val="none"/>
        </w:rPr>
      </w:pPr>
      <w:bookmarkStart w:id="5" w:name="_Toc23838"/>
      <w:r>
        <w:rPr>
          <w:rFonts w:hint="eastAsia" w:ascii="宋体" w:hAnsi="宋体" w:cs="宋体"/>
          <w:color w:val="auto"/>
          <w:highlight w:val="none"/>
        </w:rPr>
        <w:t>第一章  磋商邀请</w:t>
      </w:r>
      <w:bookmarkEnd w:id="5"/>
    </w:p>
    <w:p>
      <w:pPr>
        <w:pStyle w:val="9"/>
        <w:spacing w:line="440" w:lineRule="exact"/>
        <w:rPr>
          <w:rFonts w:ascii="宋体" w:hAnsi="宋体" w:cs="宋体"/>
          <w:color w:val="auto"/>
          <w:highlight w:val="none"/>
        </w:rPr>
      </w:pPr>
    </w:p>
    <w:p>
      <w:pPr>
        <w:spacing w:line="360" w:lineRule="auto"/>
        <w:ind w:firstLine="480" w:firstLineChars="200"/>
        <w:jc w:val="left"/>
        <w:rPr>
          <w:rFonts w:ascii="宋体" w:hAnsi="宋体" w:cs="宋体"/>
          <w:color w:val="auto"/>
          <w:sz w:val="24"/>
          <w:szCs w:val="28"/>
          <w:highlight w:val="none"/>
        </w:rPr>
      </w:pPr>
      <w:r>
        <w:rPr>
          <w:rFonts w:hint="eastAsia" w:ascii="宋体" w:hAnsi="宋体" w:cs="宋体"/>
          <w:color w:val="auto"/>
          <w:sz w:val="24"/>
          <w:highlight w:val="none"/>
          <w:u w:val="single"/>
        </w:rPr>
        <w:t>成都文瀚建设工程咨询有限公司</w:t>
      </w:r>
      <w:r>
        <w:rPr>
          <w:rFonts w:hint="eastAsia" w:ascii="宋体" w:hAnsi="宋体" w:cs="宋体"/>
          <w:color w:val="auto"/>
          <w:sz w:val="24"/>
          <w:highlight w:val="none"/>
        </w:rPr>
        <w:t>受</w:t>
      </w:r>
      <w:r>
        <w:rPr>
          <w:rFonts w:hint="eastAsia" w:ascii="宋体" w:hAnsi="宋体" w:cs="宋体"/>
          <w:color w:val="auto"/>
          <w:sz w:val="24"/>
          <w:highlight w:val="none"/>
          <w:u w:val="single"/>
        </w:rPr>
        <w:t>成都市新都区城市精细管理运维中心</w:t>
      </w:r>
      <w:r>
        <w:rPr>
          <w:rFonts w:hint="eastAsia" w:ascii="宋体" w:hAnsi="宋体" w:cs="宋体"/>
          <w:color w:val="auto"/>
          <w:sz w:val="24"/>
          <w:highlight w:val="none"/>
        </w:rPr>
        <w:t>委托，拟对</w:t>
      </w:r>
      <w:bookmarkStart w:id="6" w:name="PO_默认文件内容_1"/>
      <w:r>
        <w:rPr>
          <w:rFonts w:hint="eastAsia" w:ascii="宋体" w:hAnsi="宋体" w:cs="宋体"/>
          <w:color w:val="auto"/>
          <w:sz w:val="24"/>
          <w:highlight w:val="none"/>
          <w:u w:val="single"/>
        </w:rPr>
        <w:t>老城区桂湖中路、桂湖东路（钟楼至东环路段）城市品质提升项目设计服务采购项目</w:t>
      </w:r>
      <w:r>
        <w:rPr>
          <w:rFonts w:hint="eastAsia" w:ascii="宋体" w:hAnsi="宋体" w:cs="宋体"/>
          <w:color w:val="auto"/>
          <w:sz w:val="24"/>
          <w:szCs w:val="32"/>
          <w:highlight w:val="none"/>
        </w:rPr>
        <w:t>采用竞争性磋商方式</w:t>
      </w:r>
      <w:r>
        <w:rPr>
          <w:rFonts w:hint="eastAsia" w:ascii="宋体" w:hAnsi="宋体" w:cs="宋体"/>
          <w:color w:val="auto"/>
          <w:sz w:val="24"/>
          <w:highlight w:val="none"/>
        </w:rPr>
        <w:t>进行采购，特</w:t>
      </w:r>
      <w:r>
        <w:rPr>
          <w:rFonts w:hint="eastAsia" w:ascii="宋体" w:hAnsi="宋体" w:cs="宋体"/>
          <w:color w:val="auto"/>
          <w:sz w:val="24"/>
          <w:szCs w:val="28"/>
          <w:highlight w:val="none"/>
        </w:rPr>
        <w:t>邀请符合本次采购要求的供应商参加</w:t>
      </w:r>
      <w:r>
        <w:rPr>
          <w:rFonts w:hint="eastAsia" w:ascii="宋体" w:hAnsi="宋体" w:cs="宋体"/>
          <w:color w:val="auto"/>
          <w:sz w:val="24"/>
          <w:highlight w:val="none"/>
        </w:rPr>
        <w:t>本项目的竞争性磋商</w:t>
      </w:r>
      <w:r>
        <w:rPr>
          <w:rFonts w:hint="eastAsia" w:ascii="宋体" w:hAnsi="宋体" w:cs="宋体"/>
          <w:color w:val="auto"/>
          <w:sz w:val="24"/>
          <w:szCs w:val="28"/>
          <w:highlight w:val="none"/>
        </w:rPr>
        <w:t>。</w:t>
      </w:r>
      <w:bookmarkEnd w:id="6"/>
    </w:p>
    <w:p>
      <w:pPr>
        <w:spacing w:after="12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一、采购项目基本情况</w:t>
      </w:r>
    </w:p>
    <w:p>
      <w:pPr>
        <w:spacing w:line="360" w:lineRule="auto"/>
        <w:ind w:firstLine="480" w:firstLineChars="200"/>
        <w:rPr>
          <w:rFonts w:ascii="宋体" w:hAnsi="宋体" w:cs="宋体"/>
          <w:color w:val="auto"/>
          <w:sz w:val="24"/>
          <w:szCs w:val="28"/>
          <w:highlight w:val="none"/>
        </w:rPr>
      </w:pPr>
      <w:r>
        <w:rPr>
          <w:rFonts w:hint="eastAsia" w:ascii="宋体" w:hAnsi="宋体" w:cs="宋体"/>
          <w:color w:val="auto"/>
          <w:sz w:val="24"/>
          <w:highlight w:val="none"/>
        </w:rPr>
        <w:t>1.项目编号：510114202100373</w:t>
      </w:r>
    </w:p>
    <w:p>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 xml:space="preserve">2.采购项目名称：老城区桂湖中路、桂湖东路（钟楼至东环路段）城市品质提升项目设计服务采购项目        </w:t>
      </w:r>
    </w:p>
    <w:p>
      <w:pPr>
        <w:spacing w:after="12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二、资金情况</w:t>
      </w:r>
    </w:p>
    <w:p>
      <w:pPr>
        <w:spacing w:line="360" w:lineRule="auto"/>
        <w:ind w:right="31" w:rightChars="15" w:firstLine="480" w:firstLineChars="200"/>
        <w:rPr>
          <w:rFonts w:ascii="宋体" w:hAnsi="宋体" w:cs="宋体"/>
          <w:b/>
          <w:bCs/>
          <w:color w:val="auto"/>
          <w:sz w:val="24"/>
          <w:highlight w:val="none"/>
        </w:rPr>
      </w:pPr>
      <w:r>
        <w:rPr>
          <w:rFonts w:hint="eastAsia" w:ascii="宋体" w:hAnsi="宋体" w:cs="宋体"/>
          <w:color w:val="auto"/>
          <w:sz w:val="24"/>
          <w:highlight w:val="none"/>
        </w:rPr>
        <w:t>资金来源：财政性资金</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三</w:t>
      </w:r>
      <w:r>
        <w:rPr>
          <w:rFonts w:hint="eastAsia" w:ascii="宋体" w:hAnsi="宋体" w:cs="宋体"/>
          <w:b/>
          <w:bCs/>
          <w:color w:val="auto"/>
          <w:sz w:val="24"/>
          <w:highlight w:val="none"/>
        </w:rPr>
        <w:t>、</w:t>
      </w:r>
      <w:r>
        <w:rPr>
          <w:rFonts w:hint="eastAsia" w:ascii="宋体" w:hAnsi="宋体" w:cs="宋体"/>
          <w:b/>
          <w:color w:val="auto"/>
          <w:sz w:val="24"/>
          <w:highlight w:val="none"/>
        </w:rPr>
        <w:t>采购项目简介：</w:t>
      </w:r>
    </w:p>
    <w:p>
      <w:pPr>
        <w:spacing w:line="360" w:lineRule="auto"/>
        <w:ind w:left="59" w:leftChars="28" w:firstLine="464" w:firstLineChars="200"/>
        <w:rPr>
          <w:rFonts w:ascii="宋体" w:hAnsi="宋体" w:cs="宋体"/>
          <w:color w:val="auto"/>
          <w:sz w:val="24"/>
          <w:szCs w:val="28"/>
          <w:highlight w:val="none"/>
        </w:rPr>
      </w:pPr>
      <w:bookmarkStart w:id="7" w:name="PO_默认文件内容_2"/>
      <w:r>
        <w:rPr>
          <w:rFonts w:hint="eastAsia" w:ascii="宋体" w:hAnsi="宋体" w:cs="宋体"/>
          <w:color w:val="auto"/>
          <w:spacing w:val="-4"/>
          <w:sz w:val="24"/>
          <w:highlight w:val="none"/>
        </w:rPr>
        <w:t>本项目一个包，</w:t>
      </w:r>
      <w:r>
        <w:rPr>
          <w:rFonts w:hint="eastAsia" w:ascii="宋体" w:hAnsi="宋体" w:cs="宋体"/>
          <w:color w:val="auto"/>
          <w:sz w:val="24"/>
          <w:szCs w:val="28"/>
          <w:highlight w:val="none"/>
        </w:rPr>
        <w:t>（详</w:t>
      </w:r>
      <w:r>
        <w:rPr>
          <w:rFonts w:hint="eastAsia" w:ascii="宋体" w:hAnsi="宋体" w:cs="宋体"/>
          <w:color w:val="auto"/>
          <w:spacing w:val="-4"/>
          <w:sz w:val="24"/>
          <w:highlight w:val="none"/>
        </w:rPr>
        <w:t>见磋商文件第五章）</w:t>
      </w:r>
      <w:r>
        <w:rPr>
          <w:rFonts w:hint="eastAsia" w:ascii="宋体" w:hAnsi="宋体" w:cs="宋体"/>
          <w:color w:val="auto"/>
          <w:sz w:val="24"/>
          <w:szCs w:val="28"/>
          <w:highlight w:val="none"/>
        </w:rPr>
        <w:t>。</w:t>
      </w:r>
      <w:bookmarkEnd w:id="7"/>
    </w:p>
    <w:p>
      <w:pPr>
        <w:spacing w:after="12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四、供应商邀请方式</w:t>
      </w:r>
    </w:p>
    <w:p>
      <w:pPr>
        <w:spacing w:after="120" w:line="360" w:lineRule="auto"/>
        <w:ind w:firstLine="480" w:firstLineChars="200"/>
        <w:rPr>
          <w:rFonts w:ascii="宋体" w:hAnsi="宋体" w:cs="宋体"/>
          <w:bCs/>
          <w:color w:val="auto"/>
          <w:sz w:val="24"/>
          <w:highlight w:val="none"/>
        </w:rPr>
      </w:pPr>
      <w:bookmarkStart w:id="8" w:name="PO_默认文件内容_3"/>
      <w:r>
        <w:rPr>
          <w:rFonts w:hint="eastAsia" w:ascii="宋体" w:hAnsi="宋体" w:cs="宋体"/>
          <w:bCs/>
          <w:color w:val="auto"/>
          <w:sz w:val="24"/>
          <w:highlight w:val="none"/>
        </w:rPr>
        <w:t>本次采购采取方式1邀请参加磋商的供应商。</w:t>
      </w:r>
    </w:p>
    <w:p>
      <w:pPr>
        <w:spacing w:after="12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方式1（公告方式）：本次竞争性磋商邀请在四川政府采购网上以公告形式发布；</w:t>
      </w:r>
    </w:p>
    <w:p>
      <w:pPr>
        <w:spacing w:after="12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方式2（书面推荐）：通过采购人和评审专家各自出具书面推荐意见，推荐符合相应资格条件的供应商参与本次采购活动；</w:t>
      </w:r>
    </w:p>
    <w:p>
      <w:pPr>
        <w:spacing w:after="12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方式3（供应商库随机抽取）：通过省级以上财政部门建立的供应商库中随机抽取供应商。</w:t>
      </w:r>
      <w:bookmarkEnd w:id="8"/>
    </w:p>
    <w:p>
      <w:pPr>
        <w:spacing w:after="12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五、供应商参加本次政府采购活动应具备下列条件</w:t>
      </w:r>
    </w:p>
    <w:p>
      <w:pPr>
        <w:pStyle w:val="50"/>
        <w:ind w:firstLine="600" w:firstLineChars="250"/>
        <w:rPr>
          <w:rFonts w:ascii="宋体" w:hAnsi="宋体" w:cs="宋体"/>
          <w:color w:val="auto"/>
          <w:sz w:val="24"/>
          <w:highlight w:val="none"/>
        </w:rPr>
      </w:pPr>
      <w:bookmarkStart w:id="9" w:name="PO_供应商资格条件_1"/>
      <w:r>
        <w:rPr>
          <w:rFonts w:hint="eastAsia" w:ascii="宋体" w:hAnsi="宋体" w:cs="宋体"/>
          <w:color w:val="auto"/>
          <w:sz w:val="24"/>
          <w:highlight w:val="none"/>
        </w:rPr>
        <w:t>1.具有独立承担民事责任的能力；</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3.具有履行合同所必须的设备和专业技术能力；</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5.参加本次政府采购活动前三年内，在经营活动中没有重大违法记录；</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7、根据采购项目提出的特殊条件：</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7.1供应商单位及现任法定代表人、主要负责人不得具有行贿犯罪记录；</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7.2.具备建设行政主管部门颁发的建筑行业（建筑工程）设计乙级及以上资质；</w:t>
      </w:r>
    </w:p>
    <w:p>
      <w:pPr>
        <w:spacing w:after="120" w:line="440" w:lineRule="exact"/>
        <w:ind w:firstLine="480" w:firstLineChars="200"/>
        <w:rPr>
          <w:color w:val="auto"/>
          <w:highlight w:val="none"/>
        </w:rPr>
      </w:pPr>
      <w:r>
        <w:rPr>
          <w:rFonts w:hint="eastAsia" w:ascii="宋体" w:hAnsi="宋体" w:cs="宋体"/>
          <w:bCs/>
          <w:color w:val="auto"/>
          <w:sz w:val="24"/>
          <w:highlight w:val="none"/>
        </w:rPr>
        <w:t>8.</w:t>
      </w:r>
      <w:r>
        <w:rPr>
          <w:rFonts w:hint="eastAsia" w:ascii="宋体" w:hAnsi="宋体" w:cs="宋体"/>
          <w:bCs/>
          <w:color w:val="auto"/>
          <w:sz w:val="24"/>
          <w:highlight w:val="none"/>
          <w:lang w:val="zh-CN"/>
        </w:rPr>
        <w:t>本项目为专门面向中小企业（含中型、小型、微型企业，监狱、残疾人福利企业视同为小微企业）采购项目，非中小企业不得参加本项目投标。</w:t>
      </w:r>
    </w:p>
    <w:p>
      <w:pPr>
        <w:tabs>
          <w:tab w:val="left" w:pos="7665"/>
        </w:tabs>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注：</w:t>
      </w:r>
      <w:bookmarkEnd w:id="9"/>
      <w:r>
        <w:rPr>
          <w:rFonts w:hint="eastAsia" w:ascii="宋体" w:hAnsi="宋体" w:cs="宋体"/>
          <w:color w:val="auto"/>
          <w:sz w:val="24"/>
          <w:highlight w:val="none"/>
        </w:rPr>
        <w:t>本次政府采购活动不接受联合体投标。</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六、禁止参加本次采购活动的供应商</w:t>
      </w:r>
    </w:p>
    <w:p>
      <w:pPr>
        <w:spacing w:line="360" w:lineRule="auto"/>
        <w:ind w:firstLine="480" w:firstLineChars="200"/>
        <w:rPr>
          <w:rFonts w:ascii="宋体" w:hAnsi="宋体" w:cs="宋体"/>
          <w:color w:val="auto"/>
          <w:sz w:val="24"/>
          <w:highlight w:val="none"/>
        </w:rPr>
      </w:pPr>
      <w:bookmarkStart w:id="10" w:name="PO_默认文件内容_4"/>
      <w:r>
        <w:rPr>
          <w:rFonts w:hint="eastAsia" w:ascii="宋体" w:hAnsi="宋体" w:cs="宋体"/>
          <w:color w:val="auto"/>
          <w:sz w:val="24"/>
          <w:highlight w:val="none"/>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2、单位负责人为同一人或者存在直接控股、管理关系的不同供应商禁止参 加同一合同项下的政府采购活动。 </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 xml:space="preserve">、为采购项目提供整体设计、规范编制或者项目管理、监理、检测等服务的供应商禁止参加本次采购项目。 </w:t>
      </w:r>
    </w:p>
    <w:p>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 xml:space="preserve">、供应商实际控制人或者中高级管理人员，同时是采购代理机构工作人员的，禁止参加本次采购项目。 </w:t>
      </w:r>
    </w:p>
    <w:p>
      <w:pPr>
        <w:spacing w:line="360" w:lineRule="auto"/>
        <w:ind w:firstLine="480" w:firstLineChars="200"/>
        <w:rPr>
          <w:color w:val="auto"/>
          <w:highlight w:val="none"/>
        </w:rPr>
      </w:pPr>
      <w:r>
        <w:rPr>
          <w:rFonts w:ascii="宋体" w:hAnsi="宋体" w:cs="宋体"/>
          <w:color w:val="auto"/>
          <w:sz w:val="24"/>
          <w:highlight w:val="none"/>
        </w:rPr>
        <w:t>5</w:t>
      </w:r>
      <w:r>
        <w:rPr>
          <w:rFonts w:hint="eastAsia" w:ascii="宋体" w:hAnsi="宋体" w:cs="宋体"/>
          <w:color w:val="auto"/>
          <w:sz w:val="24"/>
          <w:highlight w:val="none"/>
        </w:rPr>
        <w:t>、供应商与采购代理机构存在关联关系，或者是采购代理机构的母公司或子公司，禁止参加本次采购项目。</w:t>
      </w:r>
    </w:p>
    <w:bookmarkEnd w:id="10"/>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七、磋商文件获取方式、时间、地点：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磋商文件自</w:t>
      </w:r>
      <w:bookmarkStart w:id="11" w:name="PO_默认文件内容_32"/>
      <w:r>
        <w:rPr>
          <w:rFonts w:hint="eastAsia" w:ascii="宋体" w:hAnsi="宋体" w:cs="宋体"/>
          <w:color w:val="auto"/>
          <w:sz w:val="24"/>
          <w:highlight w:val="none"/>
        </w:rPr>
        <w:t>2021年</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04</w:t>
      </w:r>
      <w:r>
        <w:rPr>
          <w:rFonts w:hint="eastAsia" w:ascii="宋体" w:hAnsi="宋体" w:cs="宋体"/>
          <w:color w:val="auto"/>
          <w:sz w:val="24"/>
          <w:highlight w:val="none"/>
        </w:rPr>
        <w:t>日到2021年11月</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日北京时间每天上午9：00—12：00时、下午14：00—17：00时（节假日除外）。</w:t>
      </w:r>
    </w:p>
    <w:bookmarkEnd w:id="11"/>
    <w:p>
      <w:pPr>
        <w:spacing w:after="12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磋商文件获取方式：供应商从“政府采购云平台”获取采购文件（网址：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宋体" w:hAnsi="宋体" w:cs="宋体"/>
          <w:color w:val="auto"/>
          <w:sz w:val="24"/>
          <w:highlight w:val="none"/>
        </w:rPr>
        <w:t>https://www.zcygov.cn）。登录政府采购云平台—项目采购—获取采购文件—申请获取采购文件</w:t>
      </w:r>
      <w:r>
        <w:rPr>
          <w:rFonts w:hint="eastAsia" w:ascii="宋体" w:hAnsi="宋体" w:cs="宋体"/>
          <w:color w:val="auto"/>
          <w:sz w:val="24"/>
          <w:highlight w:val="none"/>
        </w:rPr>
        <w:fldChar w:fldCharType="end"/>
      </w:r>
    </w:p>
    <w:p>
      <w:pPr>
        <w:spacing w:after="120" w:line="360" w:lineRule="auto"/>
        <w:ind w:firstLine="482" w:firstLineChars="200"/>
        <w:rPr>
          <w:rFonts w:ascii="宋体" w:hAnsi="宋体" w:cs="宋体"/>
          <w:color w:val="auto"/>
          <w:sz w:val="24"/>
          <w:szCs w:val="28"/>
          <w:highlight w:val="none"/>
        </w:rPr>
      </w:pPr>
      <w:r>
        <w:rPr>
          <w:rFonts w:hint="eastAsia" w:ascii="宋体" w:hAnsi="宋体" w:cs="宋体"/>
          <w:b/>
          <w:color w:val="auto"/>
          <w:sz w:val="24"/>
          <w:szCs w:val="28"/>
          <w:highlight w:val="none"/>
        </w:rPr>
        <w:t>八、递交响应文件</w:t>
      </w:r>
      <w:r>
        <w:rPr>
          <w:rFonts w:hint="eastAsia" w:ascii="宋体" w:hAnsi="宋体" w:cs="宋体"/>
          <w:b/>
          <w:color w:val="auto"/>
          <w:sz w:val="24"/>
          <w:highlight w:val="none"/>
        </w:rPr>
        <w:t>截止时间(参加磋商的时间)：</w:t>
      </w:r>
      <w:r>
        <w:rPr>
          <w:rFonts w:hint="eastAsia" w:ascii="宋体" w:hAnsi="宋体" w:cs="宋体"/>
          <w:color w:val="auto"/>
          <w:sz w:val="24"/>
          <w:szCs w:val="28"/>
          <w:highlight w:val="none"/>
        </w:rPr>
        <w:t>2021年11月</w:t>
      </w:r>
      <w:r>
        <w:rPr>
          <w:rFonts w:hint="eastAsia" w:ascii="宋体" w:hAnsi="宋体" w:cs="宋体"/>
          <w:color w:val="auto"/>
          <w:sz w:val="24"/>
          <w:szCs w:val="28"/>
          <w:highlight w:val="none"/>
          <w:lang w:val="en-US" w:eastAsia="zh-CN"/>
        </w:rPr>
        <w:t>15</w:t>
      </w:r>
      <w:r>
        <w:rPr>
          <w:rFonts w:hint="eastAsia" w:ascii="宋体" w:hAnsi="宋体" w:cs="宋体"/>
          <w:color w:val="auto"/>
          <w:sz w:val="24"/>
          <w:szCs w:val="28"/>
          <w:highlight w:val="none"/>
        </w:rPr>
        <w:t xml:space="preserve">日10：30（北京时间）。 </w:t>
      </w:r>
    </w:p>
    <w:p>
      <w:pPr>
        <w:spacing w:after="120" w:line="360" w:lineRule="auto"/>
        <w:ind w:firstLine="482" w:firstLineChars="200"/>
        <w:rPr>
          <w:rFonts w:ascii="宋体" w:hAnsi="宋体" w:cs="宋体"/>
          <w:color w:val="auto"/>
          <w:sz w:val="24"/>
          <w:szCs w:val="28"/>
          <w:highlight w:val="none"/>
        </w:rPr>
      </w:pPr>
      <w:r>
        <w:rPr>
          <w:rFonts w:hint="eastAsia" w:ascii="宋体" w:hAnsi="宋体" w:cs="宋体"/>
          <w:b/>
          <w:color w:val="auto"/>
          <w:sz w:val="24"/>
          <w:szCs w:val="28"/>
          <w:highlight w:val="none"/>
        </w:rPr>
        <w:t>九</w:t>
      </w:r>
      <w:r>
        <w:rPr>
          <w:rFonts w:hint="eastAsia" w:ascii="宋体" w:hAnsi="宋体" w:cs="宋体"/>
          <w:b/>
          <w:color w:val="auto"/>
          <w:sz w:val="24"/>
          <w:highlight w:val="none"/>
        </w:rPr>
        <w:t>、递交响应文件地点：</w:t>
      </w:r>
      <w:bookmarkStart w:id="12" w:name="PO_默认文件内容_7"/>
      <w:r>
        <w:rPr>
          <w:rFonts w:hint="eastAsia" w:ascii="宋体" w:hAnsi="宋体" w:cs="宋体"/>
          <w:color w:val="auto"/>
          <w:sz w:val="24"/>
          <w:highlight w:val="none"/>
        </w:rPr>
        <w:t>响应文件必须在递交响应文件截止时间前送达磋商地点。逾期送达或没有密封的响应文件恕不接收。本次采购不接收邮寄的响应文件。</w:t>
      </w:r>
      <w:bookmarkEnd w:id="12"/>
      <w:r>
        <w:rPr>
          <w:rFonts w:hint="eastAsia" w:ascii="宋体" w:hAnsi="宋体" w:cs="宋体"/>
          <w:color w:val="auto"/>
          <w:sz w:val="24"/>
          <w:highlight w:val="none"/>
        </w:rPr>
        <w:t>（</w:t>
      </w:r>
      <w:r>
        <w:rPr>
          <w:rFonts w:hint="eastAsia" w:ascii="宋体" w:hAnsi="宋体" w:cs="宋体"/>
          <w:b/>
          <w:bCs/>
          <w:color w:val="auto"/>
          <w:sz w:val="24"/>
          <w:highlight w:val="none"/>
        </w:rPr>
        <w:t>文件接收时间：2021年11月</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rPr>
        <w:t>日10：00-2021年11月</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rPr>
        <w:t>日10：30）</w:t>
      </w:r>
    </w:p>
    <w:p>
      <w:pPr>
        <w:spacing w:after="120" w:line="360" w:lineRule="auto"/>
        <w:ind w:firstLine="482" w:firstLineChars="200"/>
        <w:rPr>
          <w:rFonts w:ascii="宋体" w:hAnsi="宋体" w:cs="宋体"/>
          <w:color w:val="auto"/>
          <w:sz w:val="24"/>
          <w:szCs w:val="28"/>
          <w:highlight w:val="none"/>
        </w:rPr>
      </w:pPr>
      <w:r>
        <w:rPr>
          <w:rFonts w:hint="eastAsia" w:ascii="宋体" w:hAnsi="宋体" w:cs="宋体"/>
          <w:b/>
          <w:color w:val="auto"/>
          <w:sz w:val="24"/>
          <w:szCs w:val="28"/>
          <w:highlight w:val="none"/>
        </w:rPr>
        <w:t>十、响应文件开启时间：</w:t>
      </w:r>
      <w:r>
        <w:rPr>
          <w:rFonts w:hint="eastAsia" w:ascii="宋体" w:hAnsi="宋体" w:cs="宋体"/>
          <w:color w:val="auto"/>
          <w:sz w:val="24"/>
          <w:szCs w:val="28"/>
          <w:highlight w:val="none"/>
        </w:rPr>
        <w:t>2021年11月</w:t>
      </w:r>
      <w:r>
        <w:rPr>
          <w:rFonts w:hint="eastAsia" w:ascii="宋体" w:hAnsi="宋体" w:cs="宋体"/>
          <w:color w:val="auto"/>
          <w:sz w:val="24"/>
          <w:szCs w:val="28"/>
          <w:highlight w:val="none"/>
          <w:lang w:val="en-US" w:eastAsia="zh-CN"/>
        </w:rPr>
        <w:t>15</w:t>
      </w:r>
      <w:r>
        <w:rPr>
          <w:rFonts w:hint="eastAsia" w:ascii="宋体" w:hAnsi="宋体" w:cs="宋体"/>
          <w:color w:val="auto"/>
          <w:sz w:val="24"/>
          <w:szCs w:val="28"/>
          <w:highlight w:val="none"/>
        </w:rPr>
        <w:t>日10：30（北京时间）在磋商地点开启。</w:t>
      </w:r>
    </w:p>
    <w:p>
      <w:pPr>
        <w:spacing w:line="360" w:lineRule="auto"/>
        <w:ind w:firstLine="482"/>
        <w:jc w:val="left"/>
        <w:rPr>
          <w:rFonts w:ascii="宋体" w:hAnsi="宋体" w:cs="宋体"/>
          <w:color w:val="auto"/>
          <w:sz w:val="24"/>
          <w:szCs w:val="28"/>
          <w:highlight w:val="none"/>
        </w:rPr>
      </w:pPr>
      <w:r>
        <w:rPr>
          <w:rFonts w:hint="eastAsia" w:ascii="宋体" w:hAnsi="宋体" w:cs="宋体"/>
          <w:b/>
          <w:color w:val="auto"/>
          <w:sz w:val="24"/>
          <w:szCs w:val="28"/>
          <w:highlight w:val="none"/>
        </w:rPr>
        <w:t>十一、磋商地点：</w:t>
      </w:r>
      <w:r>
        <w:rPr>
          <w:rFonts w:hint="eastAsia" w:ascii="宋体" w:hAnsi="宋体" w:cs="宋体"/>
          <w:color w:val="auto"/>
          <w:sz w:val="24"/>
          <w:highlight w:val="none"/>
        </w:rPr>
        <w:t>成都市新都区新都街道鑫盛路366号友盛上都3栋24楼2401号(成都文瀚建设工程咨询有限公司)</w:t>
      </w:r>
      <w:r>
        <w:rPr>
          <w:rFonts w:hint="eastAsia" w:ascii="宋体" w:hAnsi="宋体" w:cs="宋体"/>
          <w:color w:val="auto"/>
          <w:sz w:val="24"/>
          <w:szCs w:val="28"/>
          <w:highlight w:val="none"/>
        </w:rPr>
        <w:t>。</w:t>
      </w:r>
    </w:p>
    <w:p>
      <w:pPr>
        <w:pStyle w:val="50"/>
        <w:ind w:firstLine="482"/>
        <w:rPr>
          <w:rFonts w:ascii="宋体" w:hAnsi="宋体" w:cs="宋体"/>
          <w:b/>
          <w:color w:val="auto"/>
          <w:sz w:val="24"/>
          <w:highlight w:val="none"/>
        </w:rPr>
      </w:pPr>
      <w:r>
        <w:rPr>
          <w:rFonts w:hint="eastAsia" w:ascii="宋体" w:hAnsi="宋体" w:cs="宋体"/>
          <w:b/>
          <w:color w:val="auto"/>
          <w:sz w:val="24"/>
          <w:highlight w:val="none"/>
        </w:rPr>
        <w:t>十二、联系方式</w:t>
      </w:r>
    </w:p>
    <w:p>
      <w:pPr>
        <w:spacing w:line="360" w:lineRule="auto"/>
        <w:ind w:firstLine="482"/>
        <w:jc w:val="left"/>
        <w:rPr>
          <w:rFonts w:ascii="宋体" w:hAnsi="宋体" w:cs="宋体"/>
          <w:color w:val="auto"/>
          <w:sz w:val="24"/>
          <w:highlight w:val="none"/>
        </w:rPr>
      </w:pPr>
      <w:bookmarkStart w:id="13" w:name="_Toc511206476"/>
      <w:bookmarkStart w:id="14" w:name="_Toc213397009"/>
      <w:bookmarkStart w:id="15" w:name="_Toc217446031"/>
      <w:bookmarkStart w:id="16" w:name="_Toc213496267"/>
      <w:bookmarkStart w:id="17" w:name="_Toc213396945"/>
      <w:bookmarkStart w:id="18" w:name="_Toc213396759"/>
      <w:r>
        <w:rPr>
          <w:rFonts w:hint="eastAsia" w:ascii="宋体" w:hAnsi="宋体" w:cs="宋体"/>
          <w:color w:val="auto"/>
          <w:sz w:val="24"/>
          <w:highlight w:val="none"/>
        </w:rPr>
        <w:t>采购人：成都市新都区城市精细管理运维中心</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lang w:val="zh-CN"/>
        </w:rPr>
        <w:t>联 系 人：</w:t>
      </w:r>
      <w:r>
        <w:rPr>
          <w:rFonts w:hint="eastAsia" w:ascii="宋体" w:hAnsi="宋体" w:cs="宋体"/>
          <w:color w:val="auto"/>
          <w:sz w:val="24"/>
          <w:highlight w:val="none"/>
        </w:rPr>
        <w:t>叶女士</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lang w:val="zh-CN"/>
        </w:rPr>
        <w:t>联系电话：028-83950377</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lang w:val="zh-CN"/>
        </w:rPr>
        <w:t>地    址：</w:t>
      </w:r>
      <w:r>
        <w:rPr>
          <w:rFonts w:hint="eastAsia" w:ascii="宋体" w:hAnsi="宋体" w:cs="宋体"/>
          <w:color w:val="auto"/>
          <w:sz w:val="24"/>
          <w:highlight w:val="none"/>
        </w:rPr>
        <w:t>新都区学院东路1498号万和广场</w:t>
      </w:r>
    </w:p>
    <w:p>
      <w:pPr>
        <w:pStyle w:val="2"/>
        <w:rPr>
          <w:color w:val="auto"/>
          <w:highlight w:val="none"/>
        </w:rPr>
      </w:pP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rPr>
        <w:t>采购代理机构：成都文瀚建设工程咨询有限公司</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rPr>
        <w:t>地    址：成都市新都区新都街道鑫盛路366号友盛上都3栋24楼2401号</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rPr>
        <w:t>联 系 人：尹女士</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rPr>
        <w:t>联系电话：028-89399925</w:t>
      </w:r>
    </w:p>
    <w:p>
      <w:pPr>
        <w:spacing w:line="360" w:lineRule="auto"/>
        <w:ind w:firstLine="482"/>
        <w:jc w:val="left"/>
        <w:rPr>
          <w:rFonts w:ascii="宋体" w:hAnsi="宋体" w:cs="宋体"/>
          <w:color w:val="auto"/>
          <w:sz w:val="24"/>
          <w:highlight w:val="none"/>
        </w:rPr>
      </w:pPr>
      <w:r>
        <w:rPr>
          <w:rFonts w:hint="eastAsia" w:ascii="宋体" w:hAnsi="宋体" w:cs="宋体"/>
          <w:color w:val="auto"/>
          <w:sz w:val="24"/>
          <w:highlight w:val="none"/>
        </w:rPr>
        <w:br w:type="page"/>
      </w:r>
    </w:p>
    <w:p>
      <w:pPr>
        <w:pStyle w:val="29"/>
        <w:rPr>
          <w:rFonts w:ascii="宋体" w:hAnsi="宋体" w:cs="宋体"/>
          <w:color w:val="auto"/>
          <w:highlight w:val="none"/>
        </w:rPr>
      </w:pPr>
      <w:bookmarkStart w:id="19" w:name="_Toc1495"/>
      <w:bookmarkStart w:id="20" w:name="_Toc8229"/>
      <w:r>
        <w:rPr>
          <w:rFonts w:hint="eastAsia" w:ascii="宋体" w:hAnsi="宋体" w:cs="宋体"/>
          <w:color w:val="auto"/>
          <w:highlight w:val="none"/>
        </w:rPr>
        <w:t>第二章  磋商须知</w:t>
      </w:r>
      <w:bookmarkEnd w:id="13"/>
      <w:bookmarkEnd w:id="14"/>
      <w:bookmarkEnd w:id="15"/>
      <w:bookmarkEnd w:id="16"/>
      <w:bookmarkEnd w:id="17"/>
      <w:bookmarkEnd w:id="18"/>
      <w:bookmarkEnd w:id="19"/>
      <w:bookmarkEnd w:id="20"/>
    </w:p>
    <w:p>
      <w:pPr>
        <w:pStyle w:val="4"/>
        <w:keepNext w:val="0"/>
        <w:keepLines w:val="0"/>
        <w:spacing w:line="240" w:lineRule="atLeast"/>
        <w:jc w:val="center"/>
        <w:rPr>
          <w:rFonts w:ascii="宋体" w:hAnsi="宋体" w:eastAsia="宋体" w:cs="宋体"/>
          <w:color w:val="auto"/>
          <w:highlight w:val="none"/>
        </w:rPr>
      </w:pPr>
      <w:bookmarkStart w:id="21" w:name="_Toc6732"/>
      <w:bookmarkStart w:id="22" w:name="_Toc988"/>
      <w:r>
        <w:rPr>
          <w:rFonts w:hint="eastAsia" w:ascii="宋体" w:hAnsi="宋体" w:eastAsia="宋体" w:cs="宋体"/>
          <w:color w:val="auto"/>
          <w:highlight w:val="none"/>
        </w:rPr>
        <w:t>一、供应商须知附表</w:t>
      </w:r>
      <w:bookmarkEnd w:id="21"/>
      <w:bookmarkEnd w:id="22"/>
    </w:p>
    <w:tbl>
      <w:tblPr>
        <w:tblStyle w:val="32"/>
        <w:tblW w:w="930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0"/>
        <w:gridCol w:w="2123"/>
        <w:gridCol w:w="648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序号</w:t>
            </w:r>
          </w:p>
        </w:tc>
        <w:tc>
          <w:tcPr>
            <w:tcW w:w="2123"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条款名称</w:t>
            </w:r>
          </w:p>
        </w:tc>
        <w:tc>
          <w:tcPr>
            <w:tcW w:w="6487" w:type="dxa"/>
            <w:tcBorders>
              <w:tl2br w:val="nil"/>
              <w:tr2bl w:val="nil"/>
            </w:tcBorders>
            <w:vAlign w:val="center"/>
          </w:tcPr>
          <w:p>
            <w:pPr>
              <w:pStyle w:val="54"/>
              <w:spacing w:line="460" w:lineRule="exact"/>
              <w:ind w:right="214" w:rightChars="102"/>
              <w:jc w:val="center"/>
              <w:rPr>
                <w:color w:val="auto"/>
                <w:kern w:val="2"/>
                <w:highlight w:val="none"/>
              </w:rPr>
            </w:pPr>
            <w:r>
              <w:rPr>
                <w:rFonts w:hint="eastAsia"/>
                <w:color w:val="auto"/>
                <w:kern w:val="2"/>
                <w:highlight w:val="none"/>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98"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1</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采购预算</w:t>
            </w:r>
          </w:p>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（实质性要求）</w:t>
            </w:r>
          </w:p>
        </w:tc>
        <w:tc>
          <w:tcPr>
            <w:tcW w:w="6487" w:type="dxa"/>
            <w:tcBorders>
              <w:tl2br w:val="nil"/>
              <w:tr2bl w:val="nil"/>
            </w:tcBorders>
          </w:tcPr>
          <w:p>
            <w:pPr>
              <w:spacing w:line="360" w:lineRule="auto"/>
              <w:ind w:firstLine="240" w:firstLineChars="100"/>
              <w:jc w:val="left"/>
              <w:rPr>
                <w:color w:val="auto"/>
                <w:sz w:val="24"/>
                <w:highlight w:val="none"/>
                <w:lang w:val="zh-CN"/>
              </w:rPr>
            </w:pPr>
            <w:r>
              <w:rPr>
                <w:rFonts w:hint="eastAsia"/>
                <w:color w:val="auto"/>
                <w:sz w:val="24"/>
                <w:highlight w:val="none"/>
                <w:lang w:val="zh-CN"/>
              </w:rPr>
              <w:t>采购预算：</w:t>
            </w:r>
            <w:r>
              <w:rPr>
                <w:rFonts w:hint="eastAsia"/>
                <w:color w:val="auto"/>
                <w:sz w:val="24"/>
                <w:highlight w:val="none"/>
              </w:rPr>
              <w:t>662700.00元</w:t>
            </w:r>
          </w:p>
          <w:p>
            <w:pPr>
              <w:pStyle w:val="54"/>
              <w:ind w:firstLine="240" w:firstLineChars="100"/>
              <w:jc w:val="both"/>
              <w:rPr>
                <w:color w:val="auto"/>
                <w:highlight w:val="none"/>
              </w:rPr>
            </w:pPr>
            <w:r>
              <w:rPr>
                <w:rFonts w:hint="eastAsia"/>
                <w:color w:val="auto"/>
                <w:highlight w:val="none"/>
              </w:rPr>
              <w:t>超过采购预算的投标为无效投标</w:t>
            </w:r>
            <w:r>
              <w:rPr>
                <w:rFonts w:hint="eastAsia"/>
                <w:color w:val="auto"/>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2</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最高限价</w:t>
            </w:r>
          </w:p>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（实质性要求）</w:t>
            </w:r>
          </w:p>
        </w:tc>
        <w:tc>
          <w:tcPr>
            <w:tcW w:w="6487" w:type="dxa"/>
            <w:tcBorders>
              <w:tl2br w:val="nil"/>
              <w:tr2bl w:val="nil"/>
            </w:tcBorders>
            <w:vAlign w:val="center"/>
          </w:tcPr>
          <w:p>
            <w:pPr>
              <w:spacing w:line="360" w:lineRule="auto"/>
              <w:ind w:firstLine="240" w:firstLineChars="100"/>
              <w:jc w:val="left"/>
              <w:rPr>
                <w:color w:val="auto"/>
                <w:sz w:val="24"/>
                <w:highlight w:val="none"/>
                <w:lang w:val="zh-CN"/>
              </w:rPr>
            </w:pPr>
            <w:r>
              <w:rPr>
                <w:rFonts w:hint="eastAsia"/>
                <w:color w:val="auto"/>
                <w:sz w:val="24"/>
                <w:highlight w:val="none"/>
                <w:lang w:val="zh-CN"/>
              </w:rPr>
              <w:t>最高限价</w:t>
            </w:r>
            <w:r>
              <w:rPr>
                <w:rFonts w:hint="eastAsia"/>
                <w:color w:val="auto"/>
                <w:sz w:val="24"/>
                <w:highlight w:val="none"/>
              </w:rPr>
              <w:t>：6</w:t>
            </w:r>
            <w:r>
              <w:rPr>
                <w:rFonts w:hint="eastAsia"/>
                <w:color w:val="auto"/>
                <w:sz w:val="24"/>
                <w:highlight w:val="none"/>
                <w:lang w:val="en-US" w:eastAsia="zh-CN"/>
              </w:rPr>
              <w:t>400</w:t>
            </w:r>
            <w:r>
              <w:rPr>
                <w:rFonts w:hint="eastAsia"/>
                <w:color w:val="auto"/>
                <w:sz w:val="24"/>
                <w:highlight w:val="none"/>
              </w:rPr>
              <w:t>00.00元</w:t>
            </w:r>
          </w:p>
          <w:p>
            <w:pPr>
              <w:spacing w:line="360" w:lineRule="auto"/>
              <w:ind w:firstLine="240" w:firstLineChars="100"/>
              <w:jc w:val="left"/>
              <w:rPr>
                <w:rFonts w:ascii="宋体" w:hAnsi="宋体" w:cs="宋体"/>
                <w:color w:val="auto"/>
                <w:sz w:val="24"/>
                <w:highlight w:val="none"/>
              </w:rPr>
            </w:pPr>
            <w:r>
              <w:rPr>
                <w:rFonts w:hint="eastAsia"/>
                <w:color w:val="auto"/>
                <w:sz w:val="24"/>
                <w:highlight w:val="none"/>
              </w:rPr>
              <w:t>超过最高限价的报价为无效投标</w:t>
            </w:r>
            <w:r>
              <w:rPr>
                <w:rFonts w:hint="eastAsia"/>
                <w:color w:val="auto"/>
                <w:sz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6430"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3</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低于成本价</w:t>
            </w:r>
          </w:p>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不正当竞争预防措施（实质性要求）</w:t>
            </w:r>
          </w:p>
        </w:tc>
        <w:tc>
          <w:tcPr>
            <w:tcW w:w="6487" w:type="dxa"/>
            <w:tcBorders>
              <w:tl2br w:val="nil"/>
              <w:tr2bl w:val="nil"/>
            </w:tcBorders>
            <w:vAlign w:val="center"/>
          </w:tcPr>
          <w:p>
            <w:pPr>
              <w:widowControl/>
              <w:spacing w:line="460" w:lineRule="exact"/>
              <w:ind w:right="214" w:rightChars="102"/>
              <w:rPr>
                <w:rFonts w:ascii="宋体" w:hAnsi="宋体" w:cs="宋体"/>
                <w:color w:val="auto"/>
                <w:kern w:val="0"/>
                <w:sz w:val="24"/>
                <w:highlight w:val="none"/>
              </w:rPr>
            </w:pPr>
            <w:r>
              <w:rPr>
                <w:rFonts w:hint="eastAsia" w:ascii="宋体" w:hAnsi="宋体" w:cs="宋体"/>
                <w:color w:val="auto"/>
                <w:kern w:val="0"/>
                <w:sz w:val="24"/>
                <w:highlight w:val="none"/>
              </w:rPr>
              <w:t>1.在评审过程中，磋商小组认为投标人的报价明显低于其他通过符合性审查投标人的报价，有可能影响产品质量或者不能诚信履约的，磋商小组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widowControl/>
              <w:spacing w:line="460" w:lineRule="exact"/>
              <w:ind w:right="214" w:rightChars="10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2. 供应商书面说明应当签字确认或者加盖公章，否则无效。书面说明的签字确认，由其法定代表人或者其授权代表签字确认。 </w:t>
            </w:r>
          </w:p>
          <w:p>
            <w:pPr>
              <w:widowControl/>
              <w:spacing w:line="460" w:lineRule="exact"/>
              <w:ind w:right="214" w:rightChars="102"/>
              <w:rPr>
                <w:rFonts w:ascii="宋体" w:hAnsi="宋体" w:cs="宋体"/>
                <w:color w:val="auto"/>
                <w:kern w:val="0"/>
                <w:sz w:val="24"/>
                <w:highlight w:val="none"/>
              </w:rPr>
            </w:pPr>
            <w:r>
              <w:rPr>
                <w:rFonts w:hint="eastAsia" w:ascii="宋体" w:hAnsi="宋体" w:cs="宋体"/>
                <w:color w:val="auto"/>
                <w:kern w:val="0"/>
                <w:sz w:val="24"/>
                <w:highlight w:val="none"/>
                <w:lang w:val="zh-CN"/>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973"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4</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失信企业扣分</w:t>
            </w:r>
          </w:p>
          <w:p>
            <w:pPr>
              <w:spacing w:line="360" w:lineRule="auto"/>
              <w:jc w:val="center"/>
              <w:rPr>
                <w:rFonts w:ascii="宋体" w:hAnsi="宋体" w:cs="宋体"/>
                <w:color w:val="auto"/>
                <w:sz w:val="24"/>
                <w:highlight w:val="none"/>
                <w:lang w:val="zh-CN"/>
              </w:rPr>
            </w:pPr>
          </w:p>
        </w:tc>
        <w:tc>
          <w:tcPr>
            <w:tcW w:w="6487" w:type="dxa"/>
            <w:tcBorders>
              <w:tl2br w:val="nil"/>
              <w:tr2bl w:val="nil"/>
            </w:tcBorders>
            <w:vAlign w:val="center"/>
          </w:tcPr>
          <w:p>
            <w:pPr>
              <w:widowControl/>
              <w:spacing w:line="460" w:lineRule="exact"/>
              <w:ind w:right="214" w:rightChars="102"/>
              <w:rPr>
                <w:rFonts w:ascii="宋体" w:hAnsi="宋体" w:cs="宋体"/>
                <w:color w:val="auto"/>
                <w:kern w:val="0"/>
                <w:sz w:val="24"/>
                <w:highlight w:val="none"/>
              </w:rPr>
            </w:pPr>
            <w:r>
              <w:rPr>
                <w:rFonts w:hint="eastAsia" w:ascii="宋体" w:hAnsi="宋体" w:cs="宋体"/>
                <w:color w:val="auto"/>
                <w:kern w:val="0"/>
                <w:sz w:val="24"/>
                <w:highlight w:val="none"/>
              </w:rPr>
              <w:t>1、对按照《四川省政府采购当事人诚信管理办法》（川财采[2015]33号）记入诚信档案的且在有效期内的失信供应商，在参加政府采购活动中实行直接从总分中扣除5分/次，且供应商失信行为惩戒实行无限制累加制，直至总分扣完为止。</w:t>
            </w:r>
          </w:p>
          <w:p>
            <w:pPr>
              <w:widowControl/>
              <w:spacing w:line="460" w:lineRule="exact"/>
              <w:ind w:right="214" w:rightChars="102"/>
              <w:rPr>
                <w:rFonts w:ascii="宋体" w:hAnsi="宋体" w:cs="宋体"/>
                <w:color w:val="auto"/>
                <w:kern w:val="0"/>
                <w:sz w:val="24"/>
                <w:highlight w:val="none"/>
              </w:rPr>
            </w:pPr>
            <w:r>
              <w:rPr>
                <w:rFonts w:hint="eastAsia" w:ascii="宋体" w:hAnsi="宋体" w:cs="宋体"/>
                <w:color w:val="auto"/>
                <w:kern w:val="0"/>
                <w:sz w:val="24"/>
                <w:highlight w:val="none"/>
              </w:rPr>
              <w:t>2、供应商参加政府采购活动时，应当就自己的诚信情况在投标文件中进行声明。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5</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磋商情况公告</w:t>
            </w:r>
          </w:p>
        </w:tc>
        <w:tc>
          <w:tcPr>
            <w:tcW w:w="6487" w:type="dxa"/>
            <w:tcBorders>
              <w:tl2br w:val="nil"/>
              <w:tr2bl w:val="nil"/>
            </w:tcBorders>
            <w:vAlign w:val="center"/>
          </w:tcPr>
          <w:p>
            <w:pPr>
              <w:pStyle w:val="54"/>
              <w:spacing w:line="460" w:lineRule="exact"/>
              <w:ind w:right="214" w:rightChars="102"/>
              <w:jc w:val="both"/>
              <w:rPr>
                <w:color w:val="auto"/>
                <w:highlight w:val="none"/>
              </w:rPr>
            </w:pPr>
            <w:r>
              <w:rPr>
                <w:rFonts w:hint="eastAsia"/>
                <w:color w:val="auto"/>
                <w:highlight w:val="none"/>
                <w:lang w:val="zh-CN"/>
              </w:rPr>
              <w:t>供应商资格审查情况、磋商情况、报价情况、磋商结果等在四川政府采购网上采购结果公告栏中予以公告。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6</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磋商</w:t>
            </w:r>
            <w:r>
              <w:rPr>
                <w:rFonts w:hint="eastAsia" w:ascii="宋体" w:hAnsi="宋体" w:cs="宋体"/>
                <w:color w:val="auto"/>
                <w:sz w:val="24"/>
                <w:highlight w:val="none"/>
                <w:lang w:val="zh-CN"/>
              </w:rPr>
              <w:t>保证金</w:t>
            </w:r>
          </w:p>
        </w:tc>
        <w:tc>
          <w:tcPr>
            <w:tcW w:w="6487" w:type="dxa"/>
            <w:tcBorders>
              <w:tl2br w:val="nil"/>
              <w:tr2bl w:val="nil"/>
            </w:tcBorders>
            <w:vAlign w:val="center"/>
          </w:tcPr>
          <w:p>
            <w:pPr>
              <w:pStyle w:val="54"/>
              <w:spacing w:line="460" w:lineRule="exact"/>
              <w:ind w:right="214" w:rightChars="102"/>
              <w:jc w:val="center"/>
              <w:rPr>
                <w:color w:val="auto"/>
                <w:highlight w:val="none"/>
                <w:lang w:val="zh-CN"/>
              </w:rPr>
            </w:pPr>
            <w:r>
              <w:rPr>
                <w:rFonts w:hint="eastAsia"/>
                <w:color w:val="auto"/>
                <w:highlight w:val="none"/>
              </w:rPr>
              <w:t>本项目不需要缴纳</w:t>
            </w:r>
            <w:r>
              <w:rPr>
                <w:rFonts w:hint="eastAsia"/>
                <w:color w:val="auto"/>
                <w:highlight w:val="none"/>
                <w:lang w:val="zh-CN"/>
              </w:rPr>
              <w:t>磋商保证金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7</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履约保证金</w:t>
            </w:r>
          </w:p>
        </w:tc>
        <w:tc>
          <w:tcPr>
            <w:tcW w:w="6487" w:type="dxa"/>
            <w:tcBorders>
              <w:tl2br w:val="nil"/>
              <w:tr2bl w:val="nil"/>
            </w:tcBorders>
            <w:vAlign w:val="center"/>
          </w:tcPr>
          <w:p>
            <w:pPr>
              <w:pStyle w:val="54"/>
              <w:spacing w:line="460" w:lineRule="exact"/>
              <w:jc w:val="center"/>
              <w:rPr>
                <w:color w:val="auto"/>
                <w:highlight w:val="none"/>
              </w:rPr>
            </w:pPr>
            <w:r>
              <w:rPr>
                <w:rFonts w:hint="eastAsia"/>
                <w:color w:val="auto"/>
                <w:highlight w:val="none"/>
              </w:rPr>
              <w:t>本项目无履约保证金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8</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磋商</w:t>
            </w:r>
            <w:r>
              <w:rPr>
                <w:rFonts w:hint="eastAsia" w:ascii="宋体" w:hAnsi="宋体" w:cs="宋体"/>
                <w:color w:val="auto"/>
                <w:sz w:val="24"/>
                <w:highlight w:val="none"/>
                <w:lang w:val="zh-CN"/>
              </w:rPr>
              <w:t>文件咨询</w:t>
            </w:r>
          </w:p>
        </w:tc>
        <w:tc>
          <w:tcPr>
            <w:tcW w:w="6487" w:type="dxa"/>
            <w:tcBorders>
              <w:tl2br w:val="nil"/>
              <w:tr2bl w:val="nil"/>
            </w:tcBorders>
            <w:vAlign w:val="center"/>
          </w:tcPr>
          <w:p>
            <w:pPr>
              <w:pStyle w:val="54"/>
              <w:spacing w:line="460" w:lineRule="exact"/>
              <w:ind w:right="214" w:rightChars="102"/>
              <w:jc w:val="both"/>
              <w:rPr>
                <w:color w:val="auto"/>
                <w:highlight w:val="none"/>
                <w:lang w:val="zh-CN"/>
              </w:rPr>
            </w:pPr>
            <w:r>
              <w:rPr>
                <w:rFonts w:hint="eastAsia"/>
                <w:color w:val="auto"/>
                <w:highlight w:val="none"/>
                <w:lang w:val="zh-CN"/>
              </w:rPr>
              <w:t>联系人：</w:t>
            </w:r>
            <w:r>
              <w:rPr>
                <w:rFonts w:hint="eastAsia"/>
                <w:color w:val="auto"/>
                <w:highlight w:val="none"/>
              </w:rPr>
              <w:t>尹女士</w:t>
            </w:r>
            <w:r>
              <w:rPr>
                <w:rFonts w:hint="eastAsia"/>
                <w:color w:val="auto"/>
                <w:highlight w:val="none"/>
                <w:lang w:val="zh-CN"/>
              </w:rPr>
              <w:t>，联系电话：028-89399925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9</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开标、评标工作咨询</w:t>
            </w:r>
          </w:p>
        </w:tc>
        <w:tc>
          <w:tcPr>
            <w:tcW w:w="6487" w:type="dxa"/>
            <w:tcBorders>
              <w:tl2br w:val="nil"/>
              <w:tr2bl w:val="nil"/>
            </w:tcBorders>
            <w:vAlign w:val="center"/>
          </w:tcPr>
          <w:p>
            <w:pPr>
              <w:pStyle w:val="54"/>
              <w:spacing w:line="460" w:lineRule="exact"/>
              <w:ind w:right="214" w:rightChars="102"/>
              <w:jc w:val="both"/>
              <w:rPr>
                <w:color w:val="auto"/>
                <w:highlight w:val="none"/>
                <w:lang w:val="zh-CN"/>
              </w:rPr>
            </w:pPr>
            <w:r>
              <w:rPr>
                <w:rFonts w:hint="eastAsia"/>
                <w:color w:val="auto"/>
                <w:highlight w:val="none"/>
                <w:lang w:val="zh-CN"/>
              </w:rPr>
              <w:t>联系人：</w:t>
            </w:r>
            <w:r>
              <w:rPr>
                <w:rFonts w:hint="eastAsia"/>
                <w:color w:val="auto"/>
                <w:highlight w:val="none"/>
              </w:rPr>
              <w:t>尹女士</w:t>
            </w:r>
            <w:r>
              <w:rPr>
                <w:rFonts w:hint="eastAsia"/>
                <w:color w:val="auto"/>
                <w:highlight w:val="none"/>
                <w:lang w:val="zh-CN"/>
              </w:rPr>
              <w:t>，联系电话：028-89399925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628"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10</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成交</w:t>
            </w:r>
            <w:r>
              <w:rPr>
                <w:rFonts w:hint="eastAsia" w:ascii="宋体" w:hAnsi="宋体" w:cs="宋体"/>
                <w:color w:val="auto"/>
                <w:sz w:val="24"/>
                <w:highlight w:val="none"/>
                <w:lang w:val="zh-CN"/>
              </w:rPr>
              <w:t>通知书发放</w:t>
            </w:r>
          </w:p>
        </w:tc>
        <w:tc>
          <w:tcPr>
            <w:tcW w:w="6487" w:type="dxa"/>
            <w:tcBorders>
              <w:tl2br w:val="nil"/>
              <w:tr2bl w:val="nil"/>
            </w:tcBorders>
            <w:vAlign w:val="center"/>
          </w:tcPr>
          <w:p>
            <w:pPr>
              <w:tabs>
                <w:tab w:val="left" w:pos="7665"/>
              </w:tabs>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rPr>
              <w:t>成交公告在四川政府采购网上公告，同时</w:t>
            </w:r>
            <w:r>
              <w:rPr>
                <w:rFonts w:hint="eastAsia" w:ascii="宋体" w:hAnsi="宋体" w:cs="宋体"/>
                <w:color w:val="auto"/>
                <w:sz w:val="24"/>
                <w:highlight w:val="none"/>
                <w:lang w:val="zh-CN"/>
              </w:rPr>
              <w:t>成都文瀚建设工程咨询有限公司</w:t>
            </w:r>
            <w:r>
              <w:rPr>
                <w:rFonts w:hint="eastAsia" w:ascii="宋体" w:hAnsi="宋体" w:cs="宋体"/>
                <w:color w:val="auto"/>
                <w:sz w:val="24"/>
                <w:highlight w:val="none"/>
              </w:rPr>
              <w:t>发放成交</w:t>
            </w:r>
            <w:r>
              <w:rPr>
                <w:rFonts w:hint="eastAsia" w:ascii="宋体" w:hAnsi="宋体" w:cs="宋体"/>
                <w:color w:val="auto"/>
                <w:sz w:val="24"/>
                <w:highlight w:val="none"/>
                <w:lang w:val="zh-CN"/>
              </w:rPr>
              <w:t>通知书。</w:t>
            </w:r>
          </w:p>
          <w:p>
            <w:pPr>
              <w:tabs>
                <w:tab w:val="left" w:pos="7665"/>
              </w:tabs>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rPr>
              <w:t>成交</w:t>
            </w:r>
            <w:r>
              <w:rPr>
                <w:rFonts w:hint="eastAsia" w:ascii="宋体" w:hAnsi="宋体" w:cs="宋体"/>
                <w:color w:val="auto"/>
                <w:sz w:val="24"/>
                <w:highlight w:val="none"/>
                <w:lang w:val="zh-CN"/>
              </w:rPr>
              <w:t>通知书发放地址：成都市新都区新都街道鑫盛路366号友盛上都3栋24楼2401号。</w:t>
            </w:r>
          </w:p>
          <w:p>
            <w:pPr>
              <w:tabs>
                <w:tab w:val="left" w:pos="7665"/>
              </w:tabs>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联系电话：028-89399925。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3367"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11</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供应商询问</w:t>
            </w:r>
          </w:p>
        </w:tc>
        <w:tc>
          <w:tcPr>
            <w:tcW w:w="6487" w:type="dxa"/>
            <w:tcBorders>
              <w:tl2br w:val="nil"/>
              <w:tr2bl w:val="nil"/>
            </w:tcBorders>
            <w:vAlign w:val="center"/>
          </w:tcPr>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rPr>
              <w:t>根据委托代理协议约定，关于采购需求方面的询问由采购人负责答复，其他方面的询问由</w:t>
            </w:r>
            <w:r>
              <w:rPr>
                <w:rFonts w:hint="eastAsia" w:ascii="宋体" w:hAnsi="宋体" w:cs="宋体"/>
                <w:color w:val="auto"/>
                <w:sz w:val="24"/>
                <w:highlight w:val="none"/>
                <w:lang w:val="zh-CN"/>
              </w:rPr>
              <w:t>成都文瀚建设工程咨询有限公司</w:t>
            </w:r>
            <w:r>
              <w:rPr>
                <w:rFonts w:hint="eastAsia" w:ascii="宋体" w:hAnsi="宋体" w:cs="宋体"/>
                <w:color w:val="auto"/>
                <w:sz w:val="24"/>
                <w:highlight w:val="none"/>
              </w:rPr>
              <w:t>负责接收和处理</w:t>
            </w:r>
            <w:r>
              <w:rPr>
                <w:rFonts w:hint="eastAsia" w:ascii="宋体" w:hAnsi="宋体" w:cs="宋体"/>
                <w:color w:val="auto"/>
                <w:sz w:val="24"/>
                <w:highlight w:val="none"/>
                <w:lang w:val="zh-CN"/>
              </w:rPr>
              <w:t>。</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联系人：</w:t>
            </w:r>
            <w:r>
              <w:rPr>
                <w:rFonts w:hint="eastAsia" w:cs="宋体"/>
                <w:color w:val="auto"/>
                <w:sz w:val="24"/>
                <w:highlight w:val="none"/>
              </w:rPr>
              <w:t>尹女士</w:t>
            </w:r>
            <w:r>
              <w:rPr>
                <w:rFonts w:hint="eastAsia" w:ascii="宋体" w:hAnsi="宋体" w:cs="宋体"/>
                <w:color w:val="auto"/>
                <w:sz w:val="24"/>
                <w:highlight w:val="none"/>
                <w:lang w:val="zh-CN"/>
              </w:rPr>
              <w:t>。</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联系电话：028-89399925。</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地址：成都市新都区新都街道鑫盛路366号友盛上都3栋24楼2401号。</w:t>
            </w:r>
          </w:p>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邮编：</w:t>
            </w:r>
            <w:r>
              <w:rPr>
                <w:rFonts w:hint="eastAsia" w:ascii="宋体" w:hAnsi="宋体" w:cs="宋体"/>
                <w:color w:val="auto"/>
                <w:sz w:val="24"/>
                <w:highlight w:val="none"/>
                <w:lang w:val="zh-CN"/>
              </w:rPr>
              <w:t>610</w:t>
            </w:r>
            <w:r>
              <w:rPr>
                <w:rFonts w:hint="eastAsia" w:ascii="宋体" w:hAnsi="宋体" w:cs="宋体"/>
                <w:color w:val="auto"/>
                <w:sz w:val="24"/>
                <w:highlight w:val="none"/>
              </w:rPr>
              <w:t>500</w:t>
            </w:r>
            <w:r>
              <w:rPr>
                <w:rFonts w:hint="eastAsia" w:ascii="宋体" w:hAnsi="宋体" w:cs="宋体"/>
                <w:color w:val="auto"/>
                <w:sz w:val="24"/>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12</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供应商质疑</w:t>
            </w:r>
          </w:p>
        </w:tc>
        <w:tc>
          <w:tcPr>
            <w:tcW w:w="6487" w:type="dxa"/>
            <w:tcBorders>
              <w:tl2br w:val="nil"/>
              <w:tr2bl w:val="nil"/>
            </w:tcBorders>
            <w:vAlign w:val="center"/>
          </w:tcPr>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根据委托代理协议约定，关于采购需求方面的质疑由采购人负责答复，对于采购文件其他方面的质疑、</w:t>
            </w:r>
            <w:r>
              <w:rPr>
                <w:rFonts w:hint="eastAsia" w:ascii="宋体" w:hAnsi="宋体" w:cs="宋体"/>
                <w:color w:val="auto"/>
                <w:sz w:val="24"/>
                <w:highlight w:val="none"/>
                <w:lang w:val="zh-CN"/>
              </w:rPr>
              <w:t>采购过程</w:t>
            </w:r>
            <w:r>
              <w:rPr>
                <w:rFonts w:hint="eastAsia" w:ascii="宋体" w:hAnsi="宋体" w:cs="宋体"/>
                <w:color w:val="auto"/>
                <w:sz w:val="24"/>
                <w:highlight w:val="none"/>
              </w:rPr>
              <w:t>的质疑、</w:t>
            </w:r>
            <w:r>
              <w:rPr>
                <w:rFonts w:hint="eastAsia" w:ascii="宋体" w:hAnsi="宋体" w:cs="宋体"/>
                <w:color w:val="auto"/>
                <w:sz w:val="24"/>
                <w:highlight w:val="none"/>
                <w:lang w:val="zh-CN"/>
              </w:rPr>
              <w:t>采购结果的质疑均</w:t>
            </w:r>
            <w:r>
              <w:rPr>
                <w:rFonts w:hint="eastAsia" w:ascii="宋体" w:hAnsi="宋体" w:cs="宋体"/>
                <w:color w:val="auto"/>
                <w:sz w:val="24"/>
                <w:highlight w:val="none"/>
              </w:rPr>
              <w:t>由</w:t>
            </w:r>
            <w:r>
              <w:rPr>
                <w:rFonts w:hint="eastAsia" w:ascii="宋体" w:hAnsi="宋体" w:cs="宋体"/>
                <w:color w:val="auto"/>
                <w:sz w:val="24"/>
                <w:highlight w:val="none"/>
                <w:lang w:val="zh-CN"/>
              </w:rPr>
              <w:t>成都文瀚建设工程咨询有限公司负责答复</w:t>
            </w:r>
            <w:r>
              <w:rPr>
                <w:rFonts w:hint="eastAsia" w:ascii="宋体" w:hAnsi="宋体" w:cs="宋体"/>
                <w:color w:val="auto"/>
                <w:sz w:val="24"/>
                <w:highlight w:val="none"/>
              </w:rPr>
              <w:t>。</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联系人：</w:t>
            </w:r>
            <w:r>
              <w:rPr>
                <w:rFonts w:hint="eastAsia" w:ascii="宋体" w:hAnsi="宋体" w:cs="宋体"/>
                <w:color w:val="auto"/>
                <w:sz w:val="24"/>
                <w:highlight w:val="none"/>
              </w:rPr>
              <w:t>尹女士</w:t>
            </w:r>
            <w:r>
              <w:rPr>
                <w:rFonts w:hint="eastAsia" w:ascii="宋体" w:hAnsi="宋体" w:cs="宋体"/>
                <w:color w:val="auto"/>
                <w:sz w:val="24"/>
                <w:highlight w:val="none"/>
                <w:lang w:val="zh-CN"/>
              </w:rPr>
              <w:t>。</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联系电话：028-89399925。</w:t>
            </w:r>
          </w:p>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lang w:val="zh-CN"/>
              </w:rPr>
              <w:t>地址：成都市新都区新都街道鑫盛路366号友盛上都3栋24楼2401号。</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注：</w:t>
            </w:r>
            <w:r>
              <w:rPr>
                <w:rFonts w:hint="eastAsia" w:ascii="宋体" w:hAnsi="宋体" w:cs="宋体"/>
                <w:color w:val="auto"/>
                <w:sz w:val="24"/>
                <w:highlight w:val="none"/>
              </w:rPr>
              <w:t>1、</w:t>
            </w:r>
            <w:r>
              <w:rPr>
                <w:rFonts w:hint="eastAsia" w:ascii="宋体" w:hAnsi="宋体" w:cs="宋体"/>
                <w:color w:val="auto"/>
                <w:sz w:val="24"/>
                <w:highlight w:val="none"/>
                <w:lang w:val="zh-CN"/>
              </w:rPr>
              <w:t>根据《中华人民共和国政府采购法》的规定，供应商质疑不得超出磋商文件、磋商过程、磋商结果的范围。</w:t>
            </w:r>
          </w:p>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2、供应商针对同一采购程序环节的质疑应当在法定质疑期内一次性提出。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13</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供应商投诉</w:t>
            </w:r>
          </w:p>
        </w:tc>
        <w:tc>
          <w:tcPr>
            <w:tcW w:w="6487" w:type="dxa"/>
            <w:tcBorders>
              <w:tl2br w:val="nil"/>
              <w:tr2bl w:val="nil"/>
            </w:tcBorders>
            <w:vAlign w:val="center"/>
          </w:tcPr>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 xml:space="preserve">1、质疑供应商对采购人或采购代理机构的答复不满意，或者 </w:t>
            </w:r>
          </w:p>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 xml:space="preserve">采购人、采购代理机构未在规定时间内作出答复的，可以在 </w:t>
            </w:r>
          </w:p>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 xml:space="preserve">答复期满后 15 个工作日内向财政部门提起投诉。 </w:t>
            </w:r>
          </w:p>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2、投诉受理单位：本采购项目同级财政部门。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492" w:hRule="atLeast"/>
          <w:jc w:val="center"/>
        </w:trPr>
        <w:tc>
          <w:tcPr>
            <w:tcW w:w="690" w:type="dxa"/>
            <w:tcBorders>
              <w:tl2br w:val="nil"/>
              <w:tr2bl w:val="nil"/>
            </w:tcBorders>
            <w:vAlign w:val="center"/>
          </w:tcPr>
          <w:p>
            <w:pPr>
              <w:pStyle w:val="54"/>
              <w:spacing w:line="460" w:lineRule="exact"/>
              <w:jc w:val="center"/>
              <w:rPr>
                <w:color w:val="auto"/>
                <w:kern w:val="2"/>
                <w:highlight w:val="none"/>
              </w:rPr>
            </w:pPr>
            <w:r>
              <w:rPr>
                <w:rFonts w:hint="eastAsia"/>
                <w:color w:val="auto"/>
                <w:kern w:val="2"/>
                <w:highlight w:val="none"/>
              </w:rPr>
              <w:t>14</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p>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政府采购合同公告备案</w:t>
            </w:r>
          </w:p>
        </w:tc>
        <w:tc>
          <w:tcPr>
            <w:tcW w:w="6487" w:type="dxa"/>
            <w:tcBorders>
              <w:tl2br w:val="nil"/>
              <w:tr2bl w:val="nil"/>
            </w:tcBorders>
            <w:vAlign w:val="center"/>
          </w:tcPr>
          <w:p>
            <w:pPr>
              <w:spacing w:line="460" w:lineRule="exact"/>
              <w:ind w:right="214" w:rightChars="102"/>
              <w:rPr>
                <w:rFonts w:ascii="宋体" w:hAnsi="宋体" w:cs="宋体"/>
                <w:color w:val="auto"/>
                <w:sz w:val="24"/>
                <w:highlight w:val="none"/>
              </w:rPr>
            </w:pPr>
            <w:r>
              <w:rPr>
                <w:rFonts w:hint="eastAsia" w:ascii="宋体" w:hAnsi="宋体" w:cs="宋体"/>
                <w:color w:val="auto"/>
                <w:sz w:val="24"/>
                <w:highlight w:val="none"/>
              </w:rPr>
              <w:t>政府采购合同签订之日起2个工作日内，政府采购合同将在四川政府采购网公告；政府采购合同签订之日起七个工作日内，政府采购合同将向本采购项目同级财政部门</w:t>
            </w:r>
            <w:r>
              <w:rPr>
                <w:rFonts w:hint="eastAsia" w:ascii="宋体" w:hAnsi="宋体" w:cs="宋体"/>
                <w:color w:val="auto"/>
                <w:sz w:val="24"/>
                <w:highlight w:val="none"/>
                <w:lang w:val="zh-CN"/>
              </w:rPr>
              <w:t>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998" w:hRule="atLeast"/>
          <w:jc w:val="center"/>
        </w:trPr>
        <w:tc>
          <w:tcPr>
            <w:tcW w:w="690" w:type="dxa"/>
            <w:tcBorders>
              <w:tl2br w:val="nil"/>
              <w:tr2bl w:val="nil"/>
            </w:tcBorders>
            <w:vAlign w:val="center"/>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16</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节能和环保、无线局域 网产品政策（如适用）（实质性要求）</w:t>
            </w:r>
          </w:p>
        </w:tc>
        <w:tc>
          <w:tcPr>
            <w:tcW w:w="6487" w:type="dxa"/>
            <w:tcBorders>
              <w:tl2br w:val="nil"/>
              <w:tr2bl w:val="nil"/>
            </w:tcBorders>
            <w:vAlign w:val="center"/>
          </w:tcPr>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一、节能、环保产品政府采购政策：</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根据《关于调整优化节能产品、环境标志产品政府采购执行机制的通知》（财库〔2019〕9号）等文件规定和要求，落实 推行节能产品、环境标志产品政府采购执行政策：</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 xml:space="preserve"> 1、供应商拟提供产品中属于《关于印发节能产品政府采购品目清单的通知》（财库〔2019〕19 号）品目清单范围的， 依据国家确定的认证机构（见《市场监管总局关于发布参与 实施政府采购节能产品、环境标志产品认证机构名录的公告》 〔2019 年第 16 号〕）对该产品出具的、处于有效期之内的 节能产品认证证书，实施政府优先采购或强制采购，提供认证证书复印件（须加盖单位公章），否则不予认定。</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 xml:space="preserve">2、供应商拟提供产品中属于《关于印发环境标志产品政 府采购品目清单的通知》（财库〔2019〕18号）品目清单范 围的，依据国家确定的认证机构（见《市场监管总局关于发 布参与实施政府采购节能产品、环境标志产品认证机构名录 的公告》〔2019年第16号〕）出具的、处于有效期之内的环 境标志产品认证证书，实施政府优先采购，提供认证证书复 印件（须加盖单位公章），否则不予认定。【注：环境标志 产品认证应依据相关标准的最新版本】 </w:t>
            </w:r>
          </w:p>
          <w:p>
            <w:pPr>
              <w:spacing w:line="460" w:lineRule="exact"/>
              <w:ind w:right="214" w:rightChars="102"/>
              <w:rPr>
                <w:rFonts w:ascii="宋体" w:hAnsi="宋体" w:cs="宋体"/>
                <w:color w:val="auto"/>
                <w:sz w:val="24"/>
                <w:highlight w:val="none"/>
                <w:lang w:val="zh-CN"/>
              </w:rPr>
            </w:pPr>
            <w:r>
              <w:rPr>
                <w:rFonts w:hint="eastAsia" w:ascii="宋体" w:hAnsi="宋体" w:cs="宋体"/>
                <w:color w:val="auto"/>
                <w:sz w:val="24"/>
                <w:highlight w:val="none"/>
                <w:lang w:val="zh-CN"/>
              </w:rPr>
              <w:t>3、根据财政部、国家发展与改革委员会、信息产业部《关 于印发无线局域网产品政府采购实施意见的通知》（财库 〔2005〕366号）规定，落实推行无线局域网产品政府采购政 策。供应商拟提供产品中为或其中包含财政部、国家发展与改革委员会、信息产业部公布的“无线局域网认证产品政府 采购清单”（以最新公布清单为准）内产品的，提供该报价 产品在清单页对应的截图，否则不予认定（清单在本</w:t>
            </w:r>
            <w:r>
              <w:rPr>
                <w:rFonts w:hint="eastAsia" w:ascii="宋体" w:hAnsi="宋体" w:cs="宋体"/>
                <w:color w:val="auto"/>
                <w:sz w:val="24"/>
                <w:highlight w:val="none"/>
              </w:rPr>
              <w:t>磋商</w:t>
            </w:r>
            <w:r>
              <w:rPr>
                <w:rFonts w:hint="eastAsia" w:ascii="宋体" w:hAnsi="宋体" w:cs="宋体"/>
                <w:color w:val="auto"/>
                <w:sz w:val="24"/>
                <w:highlight w:val="none"/>
                <w:lang w:val="zh-CN"/>
              </w:rPr>
              <w:t>文件发出之日后公布的，同时执行上期和本期清单均可）。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vAlign w:val="center"/>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17</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政府采购供应商信用融资</w:t>
            </w:r>
          </w:p>
        </w:tc>
        <w:tc>
          <w:tcPr>
            <w:tcW w:w="6487" w:type="dxa"/>
            <w:tcBorders>
              <w:tl2br w:val="nil"/>
              <w:tr2bl w:val="nil"/>
            </w:tcBorders>
            <w:vAlign w:val="center"/>
          </w:tcPr>
          <w:p>
            <w:pPr>
              <w:pStyle w:val="54"/>
              <w:spacing w:line="460" w:lineRule="exact"/>
              <w:ind w:right="214" w:rightChars="102"/>
              <w:jc w:val="both"/>
              <w:rPr>
                <w:color w:val="auto"/>
                <w:highlight w:val="none"/>
                <w:lang w:val="zh-CN"/>
              </w:rPr>
            </w:pPr>
            <w:r>
              <w:rPr>
                <w:rFonts w:hint="eastAsia"/>
                <w:color w:val="auto"/>
                <w:highlight w:val="none"/>
              </w:rPr>
              <w:t>1、</w:t>
            </w:r>
            <w:r>
              <w:rPr>
                <w:rFonts w:hint="eastAsia"/>
                <w:color w:val="auto"/>
                <w:highlight w:val="none"/>
                <w:lang w:val="zh-CN"/>
              </w:rPr>
              <w:t>四川省正在推进政府采购供应商信用融资工作，成交供应商为中小微企业的，可依据政府采购合同申请政府采购信用融资，本项目接受中标的中小微企业以信用融资方式履约。</w:t>
            </w:r>
          </w:p>
          <w:p>
            <w:pPr>
              <w:spacing w:line="460" w:lineRule="exact"/>
              <w:ind w:right="214" w:rightChars="102"/>
              <w:rPr>
                <w:rFonts w:ascii="宋体" w:hAnsi="宋体" w:cs="宋体"/>
                <w:color w:val="auto"/>
                <w:sz w:val="24"/>
                <w:highlight w:val="none"/>
                <w:lang w:val="zh-CN"/>
              </w:rPr>
            </w:pPr>
            <w:r>
              <w:rPr>
                <w:rFonts w:hint="eastAsia" w:cs="宋体"/>
                <w:color w:val="auto"/>
                <w:highlight w:val="none"/>
              </w:rPr>
              <w:t>2、</w:t>
            </w:r>
            <w:r>
              <w:rPr>
                <w:rFonts w:hint="eastAsia" w:ascii="宋体" w:hAnsi="宋体" w:cs="宋体"/>
                <w:color w:val="auto"/>
                <w:highlight w:val="none"/>
                <w:lang w:val="zh-CN"/>
              </w:rPr>
              <w:t>参与政府采购信用融资的成交供应商自主选择信用融资金融合作机构。政府采购信用融资按《四川省财政厅关于推进四川省政府采购供应商信用融资工作的通知》（川财采</w:t>
            </w:r>
            <w:r>
              <w:rPr>
                <w:rFonts w:hint="eastAsia" w:ascii="宋体" w:hAnsi="宋体" w:cs="宋体"/>
                <w:color w:val="auto"/>
                <w:sz w:val="24"/>
                <w:highlight w:val="none"/>
                <w:lang w:val="zh-CN"/>
              </w:rPr>
              <w:t>〔2</w:t>
            </w:r>
            <w:r>
              <w:rPr>
                <w:rFonts w:hint="eastAsia" w:cs="宋体"/>
                <w:color w:val="auto"/>
                <w:sz w:val="24"/>
                <w:highlight w:val="none"/>
              </w:rPr>
              <w:t>018</w:t>
            </w:r>
            <w:r>
              <w:rPr>
                <w:rFonts w:hint="eastAsia" w:ascii="宋体" w:hAnsi="宋体" w:cs="宋体"/>
                <w:color w:val="auto"/>
                <w:sz w:val="24"/>
                <w:highlight w:val="none"/>
                <w:lang w:val="zh-CN"/>
              </w:rPr>
              <w:t>〕</w:t>
            </w:r>
            <w:r>
              <w:rPr>
                <w:rFonts w:hint="eastAsia" w:ascii="宋体" w:hAnsi="宋体" w:cs="宋体"/>
                <w:color w:val="auto"/>
                <w:highlight w:val="none"/>
                <w:lang w:val="zh-CN"/>
              </w:rPr>
              <w:t>123号）、《成都市中小企政府采购信用融资暂行办法》（成财采</w:t>
            </w:r>
            <w:r>
              <w:rPr>
                <w:rFonts w:hint="eastAsia" w:ascii="宋体" w:hAnsi="宋体" w:cs="宋体"/>
                <w:color w:val="auto"/>
                <w:sz w:val="24"/>
                <w:highlight w:val="none"/>
                <w:lang w:val="zh-CN"/>
              </w:rPr>
              <w:t>〔20</w:t>
            </w:r>
            <w:r>
              <w:rPr>
                <w:rFonts w:hint="eastAsia" w:cs="宋体"/>
                <w:color w:val="auto"/>
                <w:sz w:val="24"/>
                <w:highlight w:val="none"/>
              </w:rPr>
              <w:t>19</w:t>
            </w:r>
            <w:r>
              <w:rPr>
                <w:rFonts w:hint="eastAsia" w:ascii="宋体" w:hAnsi="宋体" w:cs="宋体"/>
                <w:color w:val="auto"/>
                <w:sz w:val="24"/>
                <w:highlight w:val="none"/>
                <w:lang w:val="zh-CN"/>
              </w:rPr>
              <w:t>〕</w:t>
            </w:r>
            <w:r>
              <w:rPr>
                <w:rFonts w:hint="eastAsia" w:ascii="宋体" w:hAnsi="宋体" w:cs="宋体"/>
                <w:color w:val="auto"/>
                <w:highlight w:val="none"/>
                <w:lang w:val="zh-CN"/>
              </w:rPr>
              <w:t>17号）和《成都市新都区财政局关于公布新都区开展政府采购信用融资业务金融机构名单的通知》（新都财采〔2021〕160号）等文件规定。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18</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联合体投标</w:t>
            </w:r>
          </w:p>
        </w:tc>
        <w:tc>
          <w:tcPr>
            <w:tcW w:w="6487" w:type="dxa"/>
            <w:tcBorders>
              <w:tl2br w:val="nil"/>
              <w:tr2bl w:val="nil"/>
            </w:tcBorders>
            <w:vAlign w:val="center"/>
          </w:tcPr>
          <w:p>
            <w:pPr>
              <w:pStyle w:val="54"/>
              <w:spacing w:line="460" w:lineRule="exact"/>
              <w:ind w:right="214" w:rightChars="102"/>
              <w:jc w:val="both"/>
              <w:rPr>
                <w:color w:val="auto"/>
                <w:highlight w:val="none"/>
                <w:lang w:val="zh-CN"/>
              </w:rPr>
            </w:pPr>
            <w:r>
              <w:rPr>
                <w:rFonts w:hint="eastAsia"/>
                <w:color w:val="auto"/>
                <w:highlight w:val="none"/>
                <w:lang w:val="zh-CN"/>
              </w:rPr>
              <w:t>本次政府采购活动不接受联合体投标。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690" w:type="dxa"/>
            <w:tcBorders>
              <w:tl2br w:val="nil"/>
              <w:tr2bl w:val="nil"/>
            </w:tcBorders>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响应文件</w:t>
            </w:r>
          </w:p>
        </w:tc>
        <w:tc>
          <w:tcPr>
            <w:tcW w:w="6487" w:type="dxa"/>
            <w:tcBorders>
              <w:tl2br w:val="nil"/>
              <w:tr2bl w:val="nil"/>
            </w:tcBorders>
            <w:vAlign w:val="center"/>
          </w:tcPr>
          <w:p>
            <w:pPr>
              <w:spacing w:line="460" w:lineRule="exact"/>
              <w:ind w:right="214" w:rightChars="102"/>
              <w:rPr>
                <w:rFonts w:ascii="宋体" w:hAnsi="宋体" w:cs="宋体"/>
                <w:color w:val="auto"/>
                <w:highlight w:val="none"/>
                <w:lang w:val="zh-CN"/>
              </w:rPr>
            </w:pPr>
            <w:r>
              <w:rPr>
                <w:rFonts w:hint="eastAsia" w:ascii="宋体" w:hAnsi="宋体" w:cs="宋体"/>
                <w:color w:val="auto"/>
                <w:highlight w:val="none"/>
                <w:lang w:val="zh-CN"/>
              </w:rPr>
              <w:t>本项目响应文件有效期为递交磋商响应文件截止之日起90天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742" w:hRule="atLeast"/>
          <w:jc w:val="center"/>
        </w:trPr>
        <w:tc>
          <w:tcPr>
            <w:tcW w:w="690" w:type="dxa"/>
            <w:tcBorders>
              <w:tl2br w:val="nil"/>
              <w:tr2bl w:val="nil"/>
            </w:tcBorders>
            <w:vAlign w:val="center"/>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2123"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招标代理服务费</w:t>
            </w:r>
          </w:p>
        </w:tc>
        <w:tc>
          <w:tcPr>
            <w:tcW w:w="6487" w:type="dxa"/>
            <w:tcBorders>
              <w:tl2br w:val="nil"/>
              <w:tr2bl w:val="nil"/>
            </w:tcBorders>
            <w:vAlign w:val="center"/>
          </w:tcPr>
          <w:p>
            <w:pPr>
              <w:rPr>
                <w:b/>
                <w:bCs/>
                <w:color w:val="auto"/>
                <w:highlight w:val="none"/>
              </w:rPr>
            </w:pPr>
          </w:p>
          <w:p>
            <w:pPr>
              <w:spacing w:line="460" w:lineRule="exact"/>
              <w:ind w:right="214" w:rightChars="102"/>
              <w:rPr>
                <w:rFonts w:ascii="宋体" w:hAnsi="宋体" w:cs="宋体"/>
                <w:color w:val="auto"/>
                <w:highlight w:val="none"/>
                <w:lang w:val="zh-CN"/>
              </w:rPr>
            </w:pPr>
            <w:r>
              <w:rPr>
                <w:rFonts w:hint="eastAsia"/>
                <w:b w:val="0"/>
                <w:bCs w:val="0"/>
                <w:color w:val="auto"/>
                <w:highlight w:val="none"/>
              </w:rPr>
              <w:t>依照《政府采购代理机构管理暂行办法》财库（2018）2号的规定，本项目代理服务费人民币10000.00元（大写：壹万元整），由成交供应商向</w:t>
            </w:r>
            <w:r>
              <w:rPr>
                <w:rFonts w:hint="eastAsia" w:ascii="宋体" w:hAnsi="宋体" w:cs="宋体"/>
                <w:b w:val="0"/>
                <w:bCs w:val="0"/>
                <w:color w:val="auto"/>
                <w:highlight w:val="none"/>
                <w:lang w:val="zh-CN"/>
              </w:rPr>
              <w:t>采购代理机构</w:t>
            </w:r>
            <w:r>
              <w:rPr>
                <w:rFonts w:hint="eastAsia"/>
                <w:b w:val="0"/>
                <w:bCs w:val="0"/>
                <w:color w:val="auto"/>
                <w:highlight w:val="none"/>
              </w:rPr>
              <w:t>支付。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690" w:type="dxa"/>
            <w:tcBorders>
              <w:tl2br w:val="nil"/>
              <w:tr2bl w:val="nil"/>
            </w:tcBorders>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21</w:t>
            </w:r>
          </w:p>
        </w:tc>
        <w:tc>
          <w:tcPr>
            <w:tcW w:w="2123" w:type="dxa"/>
            <w:tcBorders>
              <w:tl2br w:val="nil"/>
              <w:tr2bl w:val="nil"/>
            </w:tcBorders>
            <w:vAlign w:val="center"/>
          </w:tcPr>
          <w:p>
            <w:pPr>
              <w:jc w:val="center"/>
              <w:rPr>
                <w:rFonts w:ascii="宋体" w:hAnsi="宋体" w:cs="宋体"/>
                <w:color w:val="auto"/>
                <w:sz w:val="24"/>
                <w:highlight w:val="none"/>
              </w:rPr>
            </w:pPr>
            <w:r>
              <w:rPr>
                <w:rFonts w:hint="eastAsia" w:ascii="宋体" w:hAnsi="宋体" w:cs="宋体"/>
                <w:color w:val="auto"/>
                <w:sz w:val="24"/>
                <w:highlight w:val="none"/>
              </w:rPr>
              <w:t>其他</w:t>
            </w:r>
          </w:p>
        </w:tc>
        <w:tc>
          <w:tcPr>
            <w:tcW w:w="6487" w:type="dxa"/>
            <w:tcBorders>
              <w:tl2br w:val="nil"/>
              <w:tr2bl w:val="nil"/>
            </w:tcBorders>
            <w:vAlign w:val="center"/>
          </w:tcPr>
          <w:p>
            <w:pPr>
              <w:pStyle w:val="54"/>
              <w:spacing w:line="460" w:lineRule="exact"/>
              <w:ind w:right="214" w:rightChars="102"/>
              <w:jc w:val="both"/>
              <w:rPr>
                <w:color w:val="auto"/>
                <w:highlight w:val="none"/>
              </w:rPr>
            </w:pPr>
            <w:r>
              <w:rPr>
                <w:rFonts w:hint="eastAsia"/>
                <w:color w:val="auto"/>
                <w:highlight w:val="none"/>
              </w:rPr>
              <w:t>本项目为专门面向中小企业的政府采购活动。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690" w:type="dxa"/>
            <w:tcBorders>
              <w:tl2br w:val="nil"/>
              <w:tr2bl w:val="nil"/>
            </w:tcBorders>
          </w:tcPr>
          <w:p>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22</w:t>
            </w:r>
          </w:p>
        </w:tc>
        <w:tc>
          <w:tcPr>
            <w:tcW w:w="2123"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项目所属行业</w:t>
            </w:r>
          </w:p>
        </w:tc>
        <w:tc>
          <w:tcPr>
            <w:tcW w:w="6487" w:type="dxa"/>
            <w:tcBorders>
              <w:tl2br w:val="nil"/>
              <w:tr2bl w:val="nil"/>
            </w:tcBorders>
            <w:vAlign w:val="center"/>
          </w:tcPr>
          <w:p>
            <w:pPr>
              <w:widowControl/>
              <w:jc w:val="left"/>
              <w:rPr>
                <w:rFonts w:ascii="宋体" w:hAnsi="宋体" w:cs="宋体"/>
                <w:color w:val="auto"/>
                <w:sz w:val="24"/>
                <w:highlight w:val="none"/>
              </w:rPr>
            </w:pPr>
            <w:r>
              <w:rPr>
                <w:rFonts w:hint="eastAsia" w:ascii="宋体" w:hAnsi="宋体" w:cs="宋体"/>
                <w:color w:val="auto"/>
                <w:kern w:val="0"/>
                <w:sz w:val="24"/>
                <w:highlight w:val="none"/>
                <w:lang w:bidi="ar"/>
              </w:rPr>
              <w:t>本项目采购标的所属行业划分如下：其他未列明行业</w:t>
            </w:r>
          </w:p>
        </w:tc>
      </w:tr>
    </w:tbl>
    <w:p>
      <w:pPr>
        <w:pStyle w:val="12"/>
        <w:rPr>
          <w:rFonts w:ascii="宋体" w:hAnsi="宋体" w:cs="宋体"/>
          <w:color w:val="auto"/>
          <w:highlight w:val="none"/>
        </w:rPr>
      </w:pPr>
    </w:p>
    <w:p>
      <w:pPr>
        <w:rPr>
          <w:rFonts w:ascii="宋体" w:hAnsi="宋体" w:cs="宋体"/>
          <w:color w:val="auto"/>
          <w:highlight w:val="none"/>
        </w:rPr>
      </w:pPr>
    </w:p>
    <w:p>
      <w:pPr>
        <w:pStyle w:val="2"/>
        <w:rPr>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3"/>
        <w:rPr>
          <w:rFonts w:ascii="宋体" w:hAnsi="宋体" w:cs="宋体"/>
          <w:color w:val="auto"/>
          <w:highlight w:val="none"/>
        </w:rPr>
      </w:pPr>
    </w:p>
    <w:p>
      <w:pPr>
        <w:pStyle w:val="4"/>
        <w:keepNext w:val="0"/>
        <w:keepLines w:val="0"/>
        <w:spacing w:before="0" w:after="0" w:line="400" w:lineRule="exact"/>
        <w:jc w:val="center"/>
        <w:rPr>
          <w:rFonts w:ascii="宋体" w:hAnsi="宋体" w:eastAsia="宋体" w:cs="宋体"/>
          <w:bCs w:val="0"/>
          <w:color w:val="auto"/>
          <w:highlight w:val="none"/>
        </w:rPr>
      </w:pPr>
      <w:bookmarkStart w:id="23" w:name="_Toc2497"/>
      <w:bookmarkStart w:id="24" w:name="_Toc4308"/>
      <w:r>
        <w:rPr>
          <w:rFonts w:hint="eastAsia" w:ascii="宋体" w:hAnsi="宋体" w:eastAsia="宋体" w:cs="宋体"/>
          <w:bCs w:val="0"/>
          <w:color w:val="auto"/>
          <w:highlight w:val="none"/>
        </w:rPr>
        <w:t>二、总  则</w:t>
      </w:r>
      <w:bookmarkEnd w:id="23"/>
      <w:bookmarkEnd w:id="24"/>
    </w:p>
    <w:p>
      <w:pPr>
        <w:pStyle w:val="5"/>
        <w:keepNext w:val="0"/>
        <w:keepLines w:val="0"/>
        <w:spacing w:before="0" w:after="0" w:line="400" w:lineRule="exact"/>
        <w:ind w:firstLine="482" w:firstLineChars="200"/>
        <w:rPr>
          <w:rFonts w:ascii="宋体" w:hAnsi="宋体" w:cs="宋体"/>
          <w:color w:val="auto"/>
          <w:sz w:val="24"/>
          <w:highlight w:val="none"/>
        </w:rPr>
      </w:pPr>
      <w:bookmarkStart w:id="25" w:name="_Toc183582205"/>
      <w:bookmarkStart w:id="26" w:name="_Toc183682342"/>
      <w:bookmarkStart w:id="27" w:name="_Toc217446034"/>
    </w:p>
    <w:p>
      <w:pPr>
        <w:pStyle w:val="5"/>
        <w:keepNext w:val="0"/>
        <w:keepLines w:val="0"/>
        <w:spacing w:before="0" w:after="0" w:line="400" w:lineRule="exact"/>
        <w:ind w:firstLine="482" w:firstLineChars="200"/>
        <w:rPr>
          <w:rFonts w:ascii="宋体" w:hAnsi="宋体" w:cs="宋体"/>
          <w:color w:val="auto"/>
          <w:sz w:val="24"/>
          <w:highlight w:val="none"/>
        </w:rPr>
      </w:pPr>
      <w:bookmarkStart w:id="28" w:name="_Toc704"/>
      <w:bookmarkStart w:id="29" w:name="PO_默认文件内容_20"/>
      <w:r>
        <w:rPr>
          <w:rFonts w:hint="eastAsia" w:ascii="宋体" w:hAnsi="宋体" w:cs="宋体"/>
          <w:color w:val="auto"/>
          <w:sz w:val="24"/>
          <w:highlight w:val="none"/>
        </w:rPr>
        <w:t>1.</w:t>
      </w:r>
      <w:bookmarkEnd w:id="25"/>
      <w:bookmarkEnd w:id="26"/>
      <w:r>
        <w:rPr>
          <w:rFonts w:hint="eastAsia" w:ascii="宋体" w:hAnsi="宋体" w:cs="宋体"/>
          <w:color w:val="auto"/>
          <w:sz w:val="24"/>
          <w:szCs w:val="24"/>
          <w:highlight w:val="none"/>
        </w:rPr>
        <w:t>适用范围</w:t>
      </w:r>
      <w:bookmarkEnd w:id="27"/>
      <w:bookmarkEnd w:id="28"/>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 本磋商文件仅适用于本次磋商采购项目。</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 本磋商文件的解释权归采购人和采购代理机构所有。</w:t>
      </w:r>
      <w:bookmarkEnd w:id="29"/>
    </w:p>
    <w:p>
      <w:pPr>
        <w:tabs>
          <w:tab w:val="left" w:pos="7665"/>
        </w:tabs>
        <w:spacing w:line="400" w:lineRule="exact"/>
        <w:ind w:firstLine="480" w:firstLineChars="200"/>
        <w:rPr>
          <w:rFonts w:ascii="宋体" w:hAnsi="宋体" w:cs="宋体"/>
          <w:color w:val="auto"/>
          <w:sz w:val="24"/>
          <w:highlight w:val="none"/>
        </w:rPr>
      </w:pPr>
    </w:p>
    <w:p>
      <w:pPr>
        <w:pStyle w:val="5"/>
        <w:keepNext w:val="0"/>
        <w:keepLines w:val="0"/>
        <w:spacing w:before="0" w:after="0" w:line="400" w:lineRule="exact"/>
        <w:ind w:firstLine="482" w:firstLineChars="200"/>
        <w:rPr>
          <w:rFonts w:ascii="宋体" w:hAnsi="宋体" w:cs="宋体"/>
          <w:color w:val="auto"/>
          <w:sz w:val="24"/>
          <w:highlight w:val="none"/>
        </w:rPr>
      </w:pPr>
      <w:bookmarkStart w:id="30" w:name="_Toc183682343"/>
      <w:bookmarkStart w:id="31" w:name="_Toc183582206"/>
      <w:bookmarkStart w:id="32" w:name="_Toc217446035"/>
      <w:bookmarkStart w:id="33" w:name="_Toc24303"/>
      <w:r>
        <w:rPr>
          <w:rFonts w:hint="eastAsia" w:ascii="宋体" w:hAnsi="宋体" w:cs="宋体"/>
          <w:color w:val="auto"/>
          <w:sz w:val="24"/>
          <w:highlight w:val="none"/>
        </w:rPr>
        <w:t>2.</w:t>
      </w:r>
      <w:bookmarkEnd w:id="30"/>
      <w:bookmarkEnd w:id="31"/>
      <w:bookmarkEnd w:id="32"/>
      <w:r>
        <w:rPr>
          <w:rFonts w:hint="eastAsia" w:ascii="宋体" w:hAnsi="宋体" w:cs="宋体"/>
          <w:color w:val="auto"/>
          <w:sz w:val="24"/>
          <w:highlight w:val="none"/>
        </w:rPr>
        <w:t>采购主体</w:t>
      </w:r>
      <w:bookmarkEnd w:id="33"/>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2.1本次磋商的采购人是</w:t>
      </w:r>
      <w:r>
        <w:rPr>
          <w:rFonts w:hint="eastAsia" w:ascii="宋体" w:hAnsi="宋体" w:cs="宋体"/>
          <w:color w:val="auto"/>
          <w:sz w:val="24"/>
          <w:highlight w:val="none"/>
          <w:u w:val="single"/>
        </w:rPr>
        <w:t>成都市新都区城市精细管理运维中心</w:t>
      </w:r>
      <w:r>
        <w:rPr>
          <w:rFonts w:hint="eastAsia" w:ascii="宋体" w:hAnsi="宋体" w:cs="宋体"/>
          <w:color w:val="auto"/>
          <w:sz w:val="24"/>
          <w:highlight w:val="none"/>
        </w:rPr>
        <w:t>。</w:t>
      </w:r>
    </w:p>
    <w:p>
      <w:pPr>
        <w:tabs>
          <w:tab w:val="left" w:pos="7665"/>
        </w:tabs>
        <w:spacing w:line="400" w:lineRule="exact"/>
        <w:ind w:firstLine="480" w:firstLineChars="200"/>
        <w:rPr>
          <w:rFonts w:ascii="宋体" w:hAnsi="宋体" w:cs="宋体"/>
          <w:color w:val="auto"/>
          <w:sz w:val="24"/>
          <w:highlight w:val="none"/>
        </w:rPr>
      </w:pPr>
      <w:bookmarkStart w:id="34" w:name="PO_默认文件内容_23"/>
      <w:r>
        <w:rPr>
          <w:rFonts w:hint="eastAsia" w:ascii="宋体" w:hAnsi="宋体" w:cs="宋体"/>
          <w:color w:val="auto"/>
          <w:sz w:val="24"/>
          <w:highlight w:val="none"/>
        </w:rPr>
        <w:t>2.2本次磋商的采购代理机构是</w:t>
      </w:r>
      <w:r>
        <w:rPr>
          <w:rFonts w:hint="eastAsia" w:ascii="宋体" w:hAnsi="宋体" w:cs="宋体"/>
          <w:color w:val="auto"/>
          <w:sz w:val="24"/>
          <w:highlight w:val="none"/>
          <w:u w:val="single"/>
        </w:rPr>
        <w:t>成都文瀚建设工程咨询有限公司</w:t>
      </w:r>
      <w:r>
        <w:rPr>
          <w:rFonts w:hint="eastAsia" w:ascii="宋体" w:hAnsi="宋体" w:cs="宋体"/>
          <w:color w:val="auto"/>
          <w:sz w:val="24"/>
          <w:highlight w:val="none"/>
        </w:rPr>
        <w:t>。</w:t>
      </w:r>
    </w:p>
    <w:p>
      <w:pPr>
        <w:tabs>
          <w:tab w:val="left" w:pos="7665"/>
        </w:tabs>
        <w:spacing w:line="400" w:lineRule="exact"/>
        <w:ind w:firstLine="480" w:firstLineChars="200"/>
        <w:rPr>
          <w:rFonts w:ascii="宋体" w:hAnsi="宋体" w:cs="宋体"/>
          <w:color w:val="auto"/>
          <w:sz w:val="24"/>
          <w:highlight w:val="none"/>
        </w:rPr>
      </w:pPr>
    </w:p>
    <w:p>
      <w:pPr>
        <w:pStyle w:val="5"/>
        <w:keepNext w:val="0"/>
        <w:keepLines w:val="0"/>
        <w:spacing w:before="0" w:after="0" w:line="400" w:lineRule="exact"/>
        <w:ind w:firstLine="482" w:firstLineChars="200"/>
        <w:rPr>
          <w:rFonts w:ascii="宋体" w:hAnsi="宋体" w:cs="宋体"/>
          <w:color w:val="auto"/>
          <w:sz w:val="24"/>
          <w:highlight w:val="none"/>
        </w:rPr>
      </w:pPr>
      <w:bookmarkStart w:id="35" w:name="_Toc183582207"/>
      <w:bookmarkStart w:id="36" w:name="_Toc183682344"/>
      <w:bookmarkStart w:id="37" w:name="_Toc217390843"/>
      <w:bookmarkStart w:id="38" w:name="_Toc217446036"/>
      <w:bookmarkStart w:id="39" w:name="_Toc32571"/>
      <w:r>
        <w:rPr>
          <w:rFonts w:hint="eastAsia" w:ascii="宋体" w:hAnsi="宋体" w:cs="宋体"/>
          <w:color w:val="auto"/>
          <w:sz w:val="24"/>
          <w:highlight w:val="none"/>
        </w:rPr>
        <w:t>3. 合格</w:t>
      </w:r>
      <w:bookmarkEnd w:id="35"/>
      <w:bookmarkEnd w:id="36"/>
      <w:bookmarkEnd w:id="37"/>
      <w:bookmarkEnd w:id="38"/>
      <w:r>
        <w:rPr>
          <w:rFonts w:hint="eastAsia" w:ascii="宋体" w:hAnsi="宋体" w:cs="宋体"/>
          <w:color w:val="auto"/>
          <w:sz w:val="24"/>
          <w:highlight w:val="none"/>
        </w:rPr>
        <w:t>供应商</w:t>
      </w:r>
      <w:bookmarkEnd w:id="39"/>
    </w:p>
    <w:p>
      <w:pPr>
        <w:tabs>
          <w:tab w:val="left" w:pos="7665"/>
        </w:tabs>
        <w:spacing w:line="4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 xml:space="preserve">    合格供应商应具备以下条件：</w:t>
      </w:r>
    </w:p>
    <w:p>
      <w:pPr>
        <w:tabs>
          <w:tab w:val="left" w:pos="7665"/>
        </w:tabs>
        <w:spacing w:line="400" w:lineRule="exact"/>
        <w:ind w:firstLine="480" w:firstLineChars="200"/>
        <w:rPr>
          <w:rFonts w:ascii="宋体" w:hAnsi="宋体" w:cs="宋体"/>
          <w:color w:val="auto"/>
          <w:spacing w:val="-4"/>
          <w:sz w:val="24"/>
          <w:highlight w:val="none"/>
        </w:rPr>
      </w:pPr>
      <w:r>
        <w:rPr>
          <w:rFonts w:hint="eastAsia" w:ascii="宋体" w:hAnsi="宋体" w:cs="宋体"/>
          <w:color w:val="auto"/>
          <w:sz w:val="24"/>
          <w:highlight w:val="none"/>
        </w:rPr>
        <w:t>3.1 具备法律法规和本采购文件规定的资格条件</w:t>
      </w:r>
      <w:r>
        <w:rPr>
          <w:rFonts w:hint="eastAsia" w:ascii="宋体" w:hAnsi="宋体" w:cs="宋体"/>
          <w:color w:val="auto"/>
          <w:spacing w:val="-4"/>
          <w:sz w:val="24"/>
          <w:highlight w:val="none"/>
        </w:rPr>
        <w:t>；</w:t>
      </w:r>
    </w:p>
    <w:p>
      <w:pPr>
        <w:tabs>
          <w:tab w:val="left" w:pos="7665"/>
        </w:tabs>
        <w:spacing w:line="400" w:lineRule="exact"/>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3.2 不属于禁止参加本项目采购活动的供应商；</w:t>
      </w:r>
    </w:p>
    <w:p>
      <w:pPr>
        <w:tabs>
          <w:tab w:val="left" w:pos="7665"/>
        </w:tabs>
        <w:spacing w:line="400" w:lineRule="exact"/>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3.3</w:t>
      </w:r>
      <w:r>
        <w:rPr>
          <w:rFonts w:hint="eastAsia" w:ascii="宋体" w:hAnsi="宋体" w:cs="宋体"/>
          <w:b/>
          <w:color w:val="auto"/>
          <w:kern w:val="0"/>
          <w:sz w:val="24"/>
          <w:szCs w:val="20"/>
          <w:highlight w:val="none"/>
        </w:rPr>
        <w:t>（实质性要求）</w:t>
      </w:r>
      <w:r>
        <w:rPr>
          <w:rFonts w:hint="eastAsia" w:ascii="宋体" w:hAnsi="宋体" w:cs="宋体"/>
          <w:color w:val="auto"/>
          <w:spacing w:val="-4"/>
          <w:sz w:val="24"/>
          <w:highlight w:val="none"/>
        </w:rPr>
        <w:t>按照规定购买了磋商文件。</w:t>
      </w:r>
    </w:p>
    <w:p>
      <w:pPr>
        <w:pStyle w:val="5"/>
        <w:keepNext w:val="0"/>
        <w:keepLines w:val="0"/>
        <w:spacing w:before="0" w:after="0" w:line="400" w:lineRule="exact"/>
        <w:ind w:firstLine="482" w:firstLineChars="200"/>
        <w:rPr>
          <w:rFonts w:ascii="宋体" w:hAnsi="宋体" w:cs="宋体"/>
          <w:color w:val="auto"/>
          <w:sz w:val="24"/>
          <w:highlight w:val="none"/>
        </w:rPr>
      </w:pPr>
      <w:bookmarkStart w:id="40" w:name="_Toc183582208"/>
      <w:bookmarkStart w:id="41" w:name="_Toc217446037"/>
      <w:bookmarkStart w:id="42" w:name="_Toc183682345"/>
    </w:p>
    <w:p>
      <w:pPr>
        <w:pStyle w:val="5"/>
        <w:keepNext w:val="0"/>
        <w:keepLines w:val="0"/>
        <w:spacing w:before="0" w:after="0" w:line="400" w:lineRule="exact"/>
        <w:ind w:firstLine="482" w:firstLineChars="200"/>
        <w:rPr>
          <w:rFonts w:ascii="宋体" w:hAnsi="宋体" w:cs="宋体"/>
          <w:color w:val="auto"/>
          <w:sz w:val="24"/>
          <w:highlight w:val="none"/>
        </w:rPr>
      </w:pPr>
      <w:bookmarkStart w:id="43" w:name="_Toc24513"/>
      <w:r>
        <w:rPr>
          <w:rFonts w:hint="eastAsia" w:ascii="宋体" w:hAnsi="宋体" w:cs="宋体"/>
          <w:color w:val="auto"/>
          <w:sz w:val="24"/>
          <w:highlight w:val="none"/>
        </w:rPr>
        <w:t>4. 磋商费用</w:t>
      </w:r>
      <w:bookmarkEnd w:id="40"/>
      <w:bookmarkEnd w:id="41"/>
      <w:bookmarkEnd w:id="42"/>
      <w:r>
        <w:rPr>
          <w:rFonts w:hint="eastAsia" w:ascii="宋体" w:hAnsi="宋体" w:cs="宋体"/>
          <w:color w:val="auto"/>
          <w:sz w:val="24"/>
          <w:highlight w:val="none"/>
        </w:rPr>
        <w:t>（实质性要求）</w:t>
      </w:r>
      <w:bookmarkEnd w:id="43"/>
    </w:p>
    <w:p>
      <w:pPr>
        <w:tabs>
          <w:tab w:val="left" w:pos="7665"/>
        </w:tabs>
        <w:spacing w:line="400" w:lineRule="exact"/>
        <w:ind w:firstLine="480"/>
        <w:rPr>
          <w:rFonts w:ascii="宋体" w:hAnsi="宋体" w:cs="宋体"/>
          <w:color w:val="auto"/>
          <w:sz w:val="24"/>
          <w:highlight w:val="none"/>
        </w:rPr>
      </w:pPr>
      <w:r>
        <w:rPr>
          <w:rFonts w:hint="eastAsia" w:ascii="宋体" w:hAnsi="宋体" w:cs="宋体"/>
          <w:color w:val="auto"/>
          <w:sz w:val="24"/>
          <w:highlight w:val="none"/>
        </w:rPr>
        <w:t>供应商应自行承担参加磋商活动的全部费用。</w:t>
      </w:r>
    </w:p>
    <w:p>
      <w:pPr>
        <w:rPr>
          <w:rFonts w:ascii="宋体" w:hAnsi="宋体" w:cs="宋体"/>
          <w:color w:val="auto"/>
          <w:highlight w:val="none"/>
        </w:rPr>
      </w:pPr>
    </w:p>
    <w:p>
      <w:pPr>
        <w:pStyle w:val="51"/>
        <w:spacing w:line="400" w:lineRule="exact"/>
        <w:ind w:left="1" w:firstLine="482" w:firstLineChars="200"/>
        <w:rPr>
          <w:rFonts w:hAnsi="宋体" w:cs="宋体"/>
          <w:b/>
          <w:color w:val="auto"/>
          <w:sz w:val="24"/>
          <w:highlight w:val="none"/>
        </w:rPr>
      </w:pPr>
      <w:r>
        <w:rPr>
          <w:rFonts w:hint="eastAsia" w:hAnsi="宋体" w:cs="宋体"/>
          <w:b/>
          <w:color w:val="auto"/>
          <w:sz w:val="24"/>
          <w:highlight w:val="none"/>
        </w:rPr>
        <w:t>5.充分、公平竞争保障措施（实质性要求）</w:t>
      </w:r>
    </w:p>
    <w:p>
      <w:pPr>
        <w:pStyle w:val="51"/>
        <w:spacing w:line="400" w:lineRule="exact"/>
        <w:ind w:left="1" w:firstLine="480" w:firstLineChars="200"/>
        <w:rPr>
          <w:rFonts w:hAnsi="宋体" w:cs="宋体"/>
          <w:color w:val="auto"/>
          <w:sz w:val="28"/>
          <w:szCs w:val="28"/>
          <w:highlight w:val="none"/>
        </w:rPr>
      </w:pPr>
      <w:r>
        <w:rPr>
          <w:rFonts w:hint="eastAsia" w:hAnsi="宋体" w:cs="宋体"/>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5.2利害关系授权代表处理。两家以上的供应商不得在同一合同项下的采购项目中，委托同一个自然人、同一家庭的人员、同一单位的人员作为其授权代表，否则，其响应文件作为无效处理。</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5.4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非单一产品采购项目中，多家供应商提供的部分或所有核心产品品牌相同的，视为提供相同品牌产品。</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5.5供应商实际控制人或者中高级管理人员，同时是采购代理机构工作人员，不得参与本项目政府采购活动。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5.7供应商与采购代理机构存在关联关系，或者是采购代理机构的母公司或子公司，不得参加本项目政府采购活动。</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5.8回避。政府采购活动中，采购人员及相关人员与供应商有下列利害关系之一的，应当回避：</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（1）参加采购活动前3年内与供应商存在劳动关系；</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（2）参加采购活动前3年内担任供应商的董事、监事；</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（3）参加采购活动前3年内是供应商的控股股东或者实际控制人；</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（4）与供应商的法定代表人或者负责人有夫妻、直系血亲、三代以内旁系血亲或者近姻亲关系；</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（5）与供应商有其他可能影响政府采购活动公平、公正进行的关系。</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1"/>
        <w:spacing w:line="400" w:lineRule="exact"/>
        <w:ind w:left="1" w:firstLine="480" w:firstLineChars="200"/>
        <w:rPr>
          <w:rFonts w:hAnsi="宋体" w:cs="宋体"/>
          <w:color w:val="auto"/>
          <w:sz w:val="24"/>
          <w:highlight w:val="none"/>
        </w:rPr>
      </w:pPr>
    </w:p>
    <w:p>
      <w:pPr>
        <w:pStyle w:val="51"/>
        <w:spacing w:line="400" w:lineRule="exact"/>
        <w:ind w:left="1" w:firstLine="482" w:firstLineChars="200"/>
        <w:rPr>
          <w:rFonts w:hAnsi="宋体" w:cs="宋体"/>
          <w:b/>
          <w:color w:val="auto"/>
          <w:sz w:val="24"/>
          <w:highlight w:val="none"/>
        </w:rPr>
      </w:pPr>
      <w:r>
        <w:rPr>
          <w:rFonts w:hint="eastAsia" w:hAnsi="宋体" w:cs="宋体"/>
          <w:b/>
          <w:color w:val="auto"/>
          <w:sz w:val="24"/>
          <w:highlight w:val="none"/>
        </w:rPr>
        <w:t>6.联合体竞争性磋商（仅适用于允许联合体参与的项目）</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两个以上供应商可以组成一个联合体投标，以一个投标人的身份投标。以联合体形式参加投标的，联合体各方均应当符合本项目对供应商的资格条件要求。</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联合体各方之间应当签订联合体投标协议，明确约定联合体各方承担的工作和相应的责任，并将共同联合体投标协议连同投标文件一并提交招标采购单位。</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联合体应当确定其中一个单位为投标的全权代表，负责参加投标的一切事务，并承担投标及履约中应承担的全部责任与义务。</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联合体各方应当共同与采购人签订采购合同，就采购合同约定的事项对采购人承担连带责任。</w:t>
      </w:r>
      <w:r>
        <w:rPr>
          <w:rFonts w:hint="eastAsia" w:hAnsi="宋体" w:cs="宋体"/>
          <w:color w:val="auto"/>
          <w:sz w:val="24"/>
          <w:highlight w:val="none"/>
        </w:rPr>
        <w:br w:type="textWrapping"/>
      </w:r>
      <w:r>
        <w:rPr>
          <w:rFonts w:hint="eastAsia" w:hAnsi="宋体" w:cs="宋体"/>
          <w:color w:val="auto"/>
          <w:sz w:val="24"/>
          <w:highlight w:val="none"/>
        </w:rPr>
        <w:t>　　以联合体形式参加政府采购活动的，联合体各方不得再单独参加或者与其他供应商另外组成联合体参加同一合同项下的政府采购活动。</w:t>
      </w:r>
    </w:p>
    <w:p>
      <w:pPr>
        <w:pStyle w:val="51"/>
        <w:spacing w:line="400" w:lineRule="exact"/>
        <w:ind w:left="1" w:firstLine="480" w:firstLineChars="200"/>
        <w:rPr>
          <w:rFonts w:hAnsi="宋体" w:cs="宋体"/>
          <w:color w:val="auto"/>
          <w:sz w:val="24"/>
          <w:highlight w:val="none"/>
        </w:rPr>
      </w:pPr>
      <w:r>
        <w:rPr>
          <w:rFonts w:hint="eastAsia" w:hAnsi="宋体" w:cs="宋体"/>
          <w:color w:val="auto"/>
          <w:sz w:val="24"/>
          <w:highlight w:val="none"/>
        </w:rPr>
        <w:t>本次政府采购活动不接受联合体投标.</w:t>
      </w:r>
    </w:p>
    <w:p>
      <w:pPr>
        <w:pStyle w:val="51"/>
        <w:spacing w:line="400" w:lineRule="exact"/>
        <w:ind w:left="1" w:firstLine="482" w:firstLineChars="200"/>
        <w:rPr>
          <w:rFonts w:hAnsi="宋体" w:cs="宋体"/>
          <w:b/>
          <w:color w:val="auto"/>
          <w:sz w:val="24"/>
          <w:highlight w:val="none"/>
        </w:rPr>
      </w:pPr>
      <w:r>
        <w:rPr>
          <w:rFonts w:hint="eastAsia" w:hAnsi="宋体" w:cs="宋体"/>
          <w:b/>
          <w:color w:val="auto"/>
          <w:sz w:val="24"/>
          <w:highlight w:val="none"/>
        </w:rPr>
        <w:t>7.磋商保证金</w:t>
      </w:r>
    </w:p>
    <w:p>
      <w:pPr>
        <w:spacing w:line="40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本项目无磋商保证金。</w:t>
      </w:r>
    </w:p>
    <w:p>
      <w:pPr>
        <w:spacing w:line="40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8.响应文件有效期（实质性要求）</w:t>
      </w:r>
    </w:p>
    <w:p>
      <w:pPr>
        <w:spacing w:line="40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line="400" w:lineRule="exact"/>
        <w:ind w:firstLine="470" w:firstLineChars="196"/>
        <w:rPr>
          <w:rFonts w:ascii="宋体" w:hAnsi="宋体" w:cs="宋体"/>
          <w:color w:val="auto"/>
          <w:sz w:val="24"/>
          <w:highlight w:val="none"/>
        </w:rPr>
      </w:pPr>
    </w:p>
    <w:p>
      <w:pPr>
        <w:pStyle w:val="13"/>
        <w:spacing w:line="400" w:lineRule="exact"/>
        <w:ind w:firstLine="482" w:firstLineChars="200"/>
        <w:rPr>
          <w:rFonts w:ascii="宋体" w:hAnsi="宋体" w:cs="宋体"/>
          <w:b/>
          <w:bCs/>
          <w:color w:val="auto"/>
          <w:sz w:val="24"/>
          <w:szCs w:val="24"/>
          <w:highlight w:val="none"/>
        </w:rPr>
      </w:pPr>
      <w:r>
        <w:rPr>
          <w:rFonts w:hint="eastAsia" w:ascii="宋体" w:hAnsi="宋体" w:cs="宋体"/>
          <w:b/>
          <w:color w:val="auto"/>
          <w:sz w:val="24"/>
          <w:highlight w:val="none"/>
        </w:rPr>
        <w:t>9.</w:t>
      </w:r>
      <w:r>
        <w:rPr>
          <w:rFonts w:hint="eastAsia" w:ascii="宋体" w:hAnsi="宋体" w:cs="宋体"/>
          <w:b/>
          <w:bCs/>
          <w:color w:val="auto"/>
          <w:sz w:val="24"/>
          <w:szCs w:val="24"/>
          <w:highlight w:val="none"/>
        </w:rPr>
        <w:t>知识产权（实质性要求）（如本项目涉及）</w:t>
      </w:r>
    </w:p>
    <w:p>
      <w:pPr>
        <w:pStyle w:val="13"/>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w:t>
      </w:r>
      <w:r>
        <w:rPr>
          <w:rFonts w:hint="eastAsia" w:ascii="宋体" w:hAnsi="宋体" w:cs="宋体"/>
          <w:color w:val="auto"/>
          <w:sz w:val="24"/>
          <w:highlight w:val="none"/>
        </w:rPr>
        <w:t>供应商</w:t>
      </w:r>
      <w:r>
        <w:rPr>
          <w:rFonts w:hint="eastAsia" w:ascii="宋体" w:hAnsi="宋体" w:cs="宋体"/>
          <w:color w:val="auto"/>
          <w:sz w:val="24"/>
          <w:szCs w:val="24"/>
          <w:highlight w:val="none"/>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cs="宋体"/>
          <w:color w:val="auto"/>
          <w:sz w:val="24"/>
          <w:highlight w:val="none"/>
        </w:rPr>
        <w:t>供应商</w:t>
      </w:r>
      <w:r>
        <w:rPr>
          <w:rFonts w:hint="eastAsia" w:ascii="宋体" w:hAnsi="宋体" w:cs="宋体"/>
          <w:color w:val="auto"/>
          <w:sz w:val="24"/>
          <w:szCs w:val="24"/>
          <w:highlight w:val="none"/>
        </w:rPr>
        <w:t>承担所有相关责任。</w:t>
      </w:r>
    </w:p>
    <w:p>
      <w:pPr>
        <w:pStyle w:val="13"/>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 除非磋商文件特别规定，采购人享有本项目实施过程中产生的知识成果及知识产权。</w:t>
      </w:r>
    </w:p>
    <w:p>
      <w:pPr>
        <w:spacing w:line="400" w:lineRule="exact"/>
        <w:ind w:firstLine="480" w:firstLineChars="200"/>
        <w:rPr>
          <w:rFonts w:ascii="宋体" w:hAnsi="宋体" w:cs="宋体"/>
          <w:color w:val="auto"/>
          <w:sz w:val="32"/>
          <w:szCs w:val="32"/>
          <w:highlight w:val="none"/>
        </w:rPr>
      </w:pPr>
      <w:r>
        <w:rPr>
          <w:rFonts w:hint="eastAsia" w:ascii="宋体" w:hAnsi="宋体" w:cs="宋体"/>
          <w:color w:val="auto"/>
          <w:sz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9.4 如采用供应商所不拥有的知识产权，则在报价中必须包括合法获取该知识产权的相关费用。 </w:t>
      </w:r>
    </w:p>
    <w:bookmarkEnd w:id="34"/>
    <w:p>
      <w:pPr>
        <w:pStyle w:val="4"/>
        <w:keepNext w:val="0"/>
        <w:keepLines w:val="0"/>
        <w:spacing w:before="0" w:after="0" w:line="400" w:lineRule="exact"/>
        <w:jc w:val="center"/>
        <w:rPr>
          <w:rFonts w:ascii="宋体" w:hAnsi="宋体" w:eastAsia="宋体" w:cs="宋体"/>
          <w:bCs w:val="0"/>
          <w:color w:val="auto"/>
          <w:highlight w:val="none"/>
        </w:rPr>
      </w:pPr>
      <w:bookmarkStart w:id="44" w:name="_Toc183682346"/>
      <w:bookmarkStart w:id="45" w:name="_Toc183582209"/>
      <w:bookmarkStart w:id="46" w:name="_Toc217446038"/>
      <w:bookmarkStart w:id="47" w:name="_Toc89075875"/>
      <w:bookmarkStart w:id="48" w:name="_Toc77400779"/>
    </w:p>
    <w:p>
      <w:pPr>
        <w:pStyle w:val="4"/>
        <w:keepNext w:val="0"/>
        <w:keepLines w:val="0"/>
        <w:spacing w:before="0" w:after="0" w:line="400" w:lineRule="exact"/>
        <w:jc w:val="center"/>
        <w:rPr>
          <w:rFonts w:ascii="宋体" w:hAnsi="宋体" w:eastAsia="宋体" w:cs="宋体"/>
          <w:bCs w:val="0"/>
          <w:color w:val="auto"/>
          <w:highlight w:val="none"/>
        </w:rPr>
      </w:pPr>
      <w:bookmarkStart w:id="49" w:name="_Toc6686"/>
      <w:bookmarkStart w:id="50" w:name="_Toc27349"/>
      <w:bookmarkStart w:id="51" w:name="PO_默认文件内容_24"/>
      <w:r>
        <w:rPr>
          <w:rFonts w:hint="eastAsia" w:ascii="宋体" w:hAnsi="宋体" w:eastAsia="宋体" w:cs="宋体"/>
          <w:bCs w:val="0"/>
          <w:color w:val="auto"/>
          <w:highlight w:val="none"/>
        </w:rPr>
        <w:t>三、磋商文件</w:t>
      </w:r>
      <w:bookmarkEnd w:id="44"/>
      <w:bookmarkEnd w:id="45"/>
      <w:bookmarkEnd w:id="46"/>
      <w:bookmarkEnd w:id="47"/>
      <w:bookmarkEnd w:id="48"/>
      <w:bookmarkEnd w:id="49"/>
      <w:bookmarkEnd w:id="50"/>
    </w:p>
    <w:p>
      <w:pPr>
        <w:pStyle w:val="5"/>
        <w:keepNext w:val="0"/>
        <w:keepLines w:val="0"/>
        <w:spacing w:before="0" w:after="0" w:line="400" w:lineRule="exact"/>
        <w:ind w:firstLine="482" w:firstLineChars="200"/>
        <w:rPr>
          <w:rFonts w:ascii="宋体" w:hAnsi="宋体" w:cs="宋体"/>
          <w:color w:val="auto"/>
          <w:sz w:val="24"/>
          <w:highlight w:val="none"/>
        </w:rPr>
      </w:pPr>
      <w:bookmarkStart w:id="52" w:name="_Toc183682347"/>
      <w:bookmarkStart w:id="53" w:name="_Toc183582210"/>
      <w:bookmarkStart w:id="54" w:name="_Toc217446039"/>
    </w:p>
    <w:p>
      <w:pPr>
        <w:pStyle w:val="5"/>
        <w:keepNext w:val="0"/>
        <w:keepLines w:val="0"/>
        <w:spacing w:before="0" w:after="0" w:line="400" w:lineRule="exact"/>
        <w:ind w:firstLine="482" w:firstLineChars="200"/>
        <w:rPr>
          <w:rFonts w:ascii="宋体" w:hAnsi="宋体" w:cs="宋体"/>
          <w:color w:val="auto"/>
          <w:sz w:val="24"/>
          <w:highlight w:val="none"/>
        </w:rPr>
      </w:pPr>
      <w:bookmarkStart w:id="55" w:name="_Toc13988"/>
      <w:r>
        <w:rPr>
          <w:rFonts w:hint="eastAsia" w:ascii="宋体" w:hAnsi="宋体" w:cs="宋体"/>
          <w:color w:val="auto"/>
          <w:sz w:val="24"/>
          <w:highlight w:val="none"/>
        </w:rPr>
        <w:t>10．磋商文件的构成</w:t>
      </w:r>
      <w:bookmarkEnd w:id="52"/>
      <w:bookmarkEnd w:id="53"/>
      <w:bookmarkEnd w:id="54"/>
      <w:r>
        <w:rPr>
          <w:rFonts w:hint="eastAsia" w:ascii="宋体" w:hAnsi="宋体" w:cs="宋体"/>
          <w:color w:val="auto"/>
          <w:sz w:val="24"/>
          <w:highlight w:val="none"/>
        </w:rPr>
        <w:t>（实质性要求）</w:t>
      </w:r>
      <w:bookmarkEnd w:id="55"/>
    </w:p>
    <w:p>
      <w:pPr>
        <w:tabs>
          <w:tab w:val="left" w:pos="720"/>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w:t>
      </w:r>
      <w:r>
        <w:rPr>
          <w:rFonts w:hint="eastAsia" w:ascii="宋体" w:hAnsi="宋体" w:cs="宋体"/>
          <w:b/>
          <w:bCs/>
          <w:color w:val="auto"/>
          <w:sz w:val="24"/>
          <w:highlight w:val="none"/>
        </w:rPr>
        <w:t>.</w:t>
      </w:r>
      <w:r>
        <w:rPr>
          <w:rFonts w:hint="eastAsia" w:ascii="宋体" w:hAnsi="宋体" w:cs="宋体"/>
          <w:color w:val="auto"/>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w:t>
      </w:r>
      <w:r>
        <w:rPr>
          <w:rFonts w:hint="eastAsia" w:ascii="宋体" w:hAnsi="宋体" w:cs="宋体"/>
          <w:b/>
          <w:bCs/>
          <w:color w:val="auto"/>
          <w:sz w:val="24"/>
          <w:highlight w:val="none"/>
        </w:rPr>
        <w:t>.</w:t>
      </w:r>
      <w:r>
        <w:rPr>
          <w:rFonts w:hint="eastAsia" w:ascii="宋体" w:hAnsi="宋体" w:cs="宋体"/>
          <w:color w:val="auto"/>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before="0" w:after="0" w:line="400" w:lineRule="exact"/>
        <w:ind w:firstLine="482" w:firstLineChars="200"/>
        <w:rPr>
          <w:rFonts w:ascii="宋体" w:hAnsi="宋体" w:cs="宋体"/>
          <w:color w:val="auto"/>
          <w:sz w:val="24"/>
          <w:highlight w:val="none"/>
        </w:rPr>
      </w:pPr>
      <w:bookmarkStart w:id="56" w:name="_Toc183682348"/>
      <w:bookmarkStart w:id="57" w:name="_Toc183582211"/>
      <w:bookmarkStart w:id="58" w:name="_Toc217446040"/>
    </w:p>
    <w:p>
      <w:pPr>
        <w:pStyle w:val="5"/>
        <w:keepNext w:val="0"/>
        <w:keepLines w:val="0"/>
        <w:spacing w:before="0" w:after="0" w:line="400" w:lineRule="exact"/>
        <w:ind w:firstLine="482" w:firstLineChars="200"/>
        <w:rPr>
          <w:rFonts w:ascii="宋体" w:hAnsi="宋体" w:cs="宋体"/>
          <w:color w:val="auto"/>
          <w:sz w:val="24"/>
          <w:highlight w:val="none"/>
        </w:rPr>
      </w:pPr>
      <w:bookmarkStart w:id="59" w:name="_Toc8173"/>
      <w:r>
        <w:rPr>
          <w:rFonts w:hint="eastAsia" w:ascii="宋体" w:hAnsi="宋体" w:cs="宋体"/>
          <w:color w:val="auto"/>
          <w:sz w:val="24"/>
          <w:highlight w:val="none"/>
        </w:rPr>
        <w:t>11. 磋商文件的澄清</w:t>
      </w:r>
      <w:bookmarkEnd w:id="56"/>
      <w:bookmarkEnd w:id="57"/>
      <w:r>
        <w:rPr>
          <w:rFonts w:hint="eastAsia" w:ascii="宋体" w:hAnsi="宋体" w:cs="宋体"/>
          <w:color w:val="auto"/>
          <w:sz w:val="24"/>
          <w:highlight w:val="none"/>
        </w:rPr>
        <w:t>和修改</w:t>
      </w:r>
      <w:bookmarkEnd w:id="58"/>
      <w:bookmarkEnd w:id="59"/>
    </w:p>
    <w:p>
      <w:pPr>
        <w:tabs>
          <w:tab w:val="left" w:pos="720"/>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在递交响应文件截止时间前，采购人、采购代理机构可以对磋商文件进行澄清或者修改。</w:t>
      </w:r>
    </w:p>
    <w:p>
      <w:pPr>
        <w:tabs>
          <w:tab w:val="left" w:pos="720"/>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2" w:firstLineChars="200"/>
        <w:rPr>
          <w:rFonts w:ascii="宋体" w:hAnsi="宋体" w:cs="宋体"/>
          <w:color w:val="auto"/>
          <w:sz w:val="24"/>
          <w:highlight w:val="none"/>
        </w:rPr>
      </w:pPr>
    </w:p>
    <w:p>
      <w:pPr>
        <w:pStyle w:val="5"/>
        <w:keepNext w:val="0"/>
        <w:keepLines w:val="0"/>
        <w:spacing w:before="0" w:after="0" w:line="400" w:lineRule="exact"/>
        <w:ind w:firstLine="482" w:firstLineChars="200"/>
        <w:rPr>
          <w:rFonts w:ascii="宋体" w:hAnsi="宋体" w:cs="宋体"/>
          <w:color w:val="auto"/>
          <w:sz w:val="24"/>
          <w:highlight w:val="none"/>
        </w:rPr>
      </w:pPr>
      <w:bookmarkStart w:id="60" w:name="_Toc208848971"/>
      <w:bookmarkStart w:id="61" w:name="_Toc628"/>
      <w:bookmarkStart w:id="62" w:name="_Toc217446041"/>
      <w:r>
        <w:rPr>
          <w:rFonts w:hint="eastAsia" w:ascii="宋体" w:hAnsi="宋体" w:cs="宋体"/>
          <w:color w:val="auto"/>
          <w:sz w:val="24"/>
          <w:highlight w:val="none"/>
        </w:rPr>
        <w:t>12. 答疑会和现场考察</w:t>
      </w:r>
      <w:bookmarkEnd w:id="60"/>
      <w:bookmarkEnd w:id="61"/>
      <w:bookmarkEnd w:id="62"/>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宋体" w:hAnsi="宋体" w:cs="宋体"/>
          <w:color w:val="auto"/>
          <w:sz w:val="24"/>
          <w:highlight w:val="none"/>
        </w:rPr>
      </w:pPr>
      <w:r>
        <w:rPr>
          <w:rFonts w:hint="eastAsia" w:ascii="宋体" w:hAnsi="宋体" w:cs="宋体"/>
          <w:color w:val="auto"/>
          <w:sz w:val="24"/>
          <w:highlight w:val="none"/>
        </w:rPr>
        <w:t>12.3 供应商考察现场或者参加答疑会所发生的一切费用由供应商自己承担。</w:t>
      </w:r>
    </w:p>
    <w:p>
      <w:pPr>
        <w:pStyle w:val="4"/>
        <w:keepNext w:val="0"/>
        <w:keepLines w:val="0"/>
        <w:spacing w:before="0" w:after="0" w:line="400" w:lineRule="exact"/>
        <w:jc w:val="center"/>
        <w:rPr>
          <w:rFonts w:ascii="宋体" w:hAnsi="宋体" w:eastAsia="宋体" w:cs="宋体"/>
          <w:bCs w:val="0"/>
          <w:color w:val="auto"/>
          <w:highlight w:val="none"/>
        </w:rPr>
      </w:pPr>
      <w:bookmarkStart w:id="63" w:name="_Toc89075876"/>
      <w:bookmarkStart w:id="64" w:name="_Toc183682351"/>
      <w:bookmarkStart w:id="65" w:name="_Toc77400780"/>
      <w:bookmarkStart w:id="66" w:name="_Toc217446042"/>
      <w:bookmarkStart w:id="67" w:name="_Toc183582214"/>
    </w:p>
    <w:p>
      <w:pPr>
        <w:pStyle w:val="4"/>
        <w:keepNext w:val="0"/>
        <w:keepLines w:val="0"/>
        <w:spacing w:before="0" w:after="0" w:line="400" w:lineRule="exact"/>
        <w:jc w:val="center"/>
        <w:rPr>
          <w:rFonts w:ascii="宋体" w:hAnsi="宋体" w:eastAsia="宋体" w:cs="宋体"/>
          <w:bCs w:val="0"/>
          <w:color w:val="auto"/>
          <w:highlight w:val="none"/>
        </w:rPr>
      </w:pPr>
      <w:bookmarkStart w:id="68" w:name="_Toc22388"/>
      <w:bookmarkStart w:id="69" w:name="_Toc12010"/>
      <w:r>
        <w:rPr>
          <w:rFonts w:hint="eastAsia" w:ascii="宋体" w:hAnsi="宋体" w:eastAsia="宋体" w:cs="宋体"/>
          <w:bCs w:val="0"/>
          <w:color w:val="auto"/>
          <w:highlight w:val="none"/>
        </w:rPr>
        <w:t>四、响应文件</w:t>
      </w:r>
      <w:bookmarkEnd w:id="63"/>
      <w:bookmarkEnd w:id="64"/>
      <w:bookmarkEnd w:id="65"/>
      <w:bookmarkEnd w:id="66"/>
      <w:bookmarkEnd w:id="67"/>
      <w:bookmarkEnd w:id="68"/>
      <w:bookmarkEnd w:id="69"/>
    </w:p>
    <w:p>
      <w:pPr>
        <w:rPr>
          <w:rFonts w:ascii="宋体" w:hAnsi="宋体" w:cs="宋体"/>
          <w:color w:val="auto"/>
          <w:highlight w:val="none"/>
        </w:rPr>
      </w:pPr>
    </w:p>
    <w:p>
      <w:pPr>
        <w:pStyle w:val="5"/>
        <w:keepNext w:val="0"/>
        <w:keepLines w:val="0"/>
        <w:spacing w:before="0" w:after="0" w:line="400" w:lineRule="exact"/>
        <w:ind w:firstLine="482" w:firstLineChars="200"/>
        <w:rPr>
          <w:rFonts w:ascii="宋体" w:hAnsi="宋体" w:cs="宋体"/>
          <w:color w:val="auto"/>
          <w:sz w:val="24"/>
          <w:highlight w:val="none"/>
        </w:rPr>
      </w:pPr>
      <w:bookmarkStart w:id="70" w:name="_Toc24537"/>
      <w:bookmarkStart w:id="71" w:name="_Toc217446043"/>
      <w:bookmarkStart w:id="72" w:name="_Toc183582215"/>
      <w:bookmarkStart w:id="73" w:name="_Toc183682352"/>
      <w:r>
        <w:rPr>
          <w:rFonts w:hint="eastAsia" w:ascii="宋体" w:hAnsi="宋体" w:cs="宋体"/>
          <w:color w:val="auto"/>
          <w:sz w:val="24"/>
          <w:highlight w:val="none"/>
        </w:rPr>
        <w:t>13.响应文件的组成</w:t>
      </w:r>
      <w:bookmarkEnd w:id="70"/>
    </w:p>
    <w:p>
      <w:pPr>
        <w:spacing w:line="4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13.1供应商应按照磋商文件的规定和要求编制响应文件。供应商在成交后将成交项目的非主体、非关键性工作分包他人完成的，应当在响应文件中载明。</w:t>
      </w:r>
      <w:r>
        <w:rPr>
          <w:rFonts w:hint="eastAsia" w:ascii="宋体" w:hAnsi="宋体" w:cs="宋体"/>
          <w:b/>
          <w:color w:val="auto"/>
          <w:sz w:val="24"/>
          <w:highlight w:val="none"/>
        </w:rPr>
        <w:t>（实质性要求）</w:t>
      </w:r>
    </w:p>
    <w:p>
      <w:pPr>
        <w:spacing w:line="4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13.2供应商编写的响应文件应包括资格性响应文件和其他响应文件两部分，分册装订。</w:t>
      </w:r>
    </w:p>
    <w:p>
      <w:pPr>
        <w:pStyle w:val="5"/>
        <w:keepNext w:val="0"/>
        <w:keepLines w:val="0"/>
        <w:spacing w:before="0" w:after="0" w:line="400" w:lineRule="exact"/>
        <w:ind w:firstLine="482" w:firstLineChars="200"/>
        <w:rPr>
          <w:rFonts w:ascii="宋体" w:hAnsi="宋体" w:cs="宋体"/>
          <w:color w:val="auto"/>
          <w:sz w:val="24"/>
          <w:highlight w:val="none"/>
        </w:rPr>
      </w:pPr>
    </w:p>
    <w:p>
      <w:pPr>
        <w:pStyle w:val="5"/>
        <w:keepNext w:val="0"/>
        <w:keepLines w:val="0"/>
        <w:spacing w:before="0" w:after="0" w:line="400" w:lineRule="exact"/>
        <w:ind w:firstLine="482" w:firstLineChars="200"/>
        <w:rPr>
          <w:rFonts w:ascii="宋体" w:hAnsi="宋体" w:cs="宋体"/>
          <w:bCs w:val="0"/>
          <w:color w:val="auto"/>
          <w:sz w:val="24"/>
          <w:highlight w:val="none"/>
        </w:rPr>
      </w:pPr>
      <w:bookmarkStart w:id="74" w:name="_Toc21191"/>
      <w:r>
        <w:rPr>
          <w:rFonts w:hint="eastAsia" w:ascii="宋体" w:hAnsi="宋体" w:cs="宋体"/>
          <w:bCs w:val="0"/>
          <w:color w:val="auto"/>
          <w:sz w:val="24"/>
          <w:highlight w:val="none"/>
        </w:rPr>
        <w:t>14.响应文件的语言</w:t>
      </w:r>
      <w:bookmarkEnd w:id="71"/>
      <w:bookmarkEnd w:id="72"/>
      <w:bookmarkEnd w:id="73"/>
      <w:r>
        <w:rPr>
          <w:rFonts w:hint="eastAsia" w:ascii="宋体" w:hAnsi="宋体" w:cs="宋体"/>
          <w:bCs w:val="0"/>
          <w:color w:val="auto"/>
          <w:sz w:val="24"/>
          <w:highlight w:val="none"/>
        </w:rPr>
        <w:t>（实质性要求）</w:t>
      </w:r>
      <w:bookmarkEnd w:id="74"/>
    </w:p>
    <w:p>
      <w:pPr>
        <w:tabs>
          <w:tab w:val="left" w:pos="1134"/>
        </w:tabs>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14.2 翻译的中文资料与外文资料如果出现差异和矛盾时，以中文为准。涉嫌虚假响应的按照相关法律法规处理。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14.3 如因未翻译而造成的响应文件无效风险，由供应商承担。</w:t>
      </w:r>
    </w:p>
    <w:p>
      <w:pPr>
        <w:pStyle w:val="5"/>
        <w:keepNext w:val="0"/>
        <w:keepLines w:val="0"/>
        <w:spacing w:before="0" w:after="0" w:line="400" w:lineRule="exact"/>
        <w:ind w:firstLine="482" w:firstLineChars="200"/>
        <w:rPr>
          <w:rFonts w:ascii="宋体" w:hAnsi="宋体" w:cs="宋体"/>
          <w:color w:val="auto"/>
          <w:sz w:val="24"/>
          <w:highlight w:val="none"/>
        </w:rPr>
      </w:pPr>
      <w:bookmarkStart w:id="75" w:name="_Toc183582216"/>
      <w:bookmarkStart w:id="76" w:name="_Toc217446044"/>
      <w:bookmarkStart w:id="77" w:name="_Toc183682353"/>
      <w:bookmarkStart w:id="78" w:name="_Toc11970"/>
      <w:r>
        <w:rPr>
          <w:rFonts w:hint="eastAsia" w:ascii="宋体" w:hAnsi="宋体" w:cs="宋体"/>
          <w:color w:val="auto"/>
          <w:sz w:val="24"/>
          <w:highlight w:val="none"/>
        </w:rPr>
        <w:t>15．计量单位</w:t>
      </w:r>
      <w:bookmarkEnd w:id="75"/>
      <w:bookmarkEnd w:id="76"/>
      <w:bookmarkEnd w:id="77"/>
      <w:r>
        <w:rPr>
          <w:rFonts w:hint="eastAsia" w:ascii="宋体" w:hAnsi="宋体" w:cs="宋体"/>
          <w:color w:val="auto"/>
          <w:sz w:val="24"/>
          <w:highlight w:val="none"/>
        </w:rPr>
        <w:t>（实质性要求）</w:t>
      </w:r>
      <w:bookmarkEnd w:id="78"/>
    </w:p>
    <w:p>
      <w:pPr>
        <w:spacing w:line="40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除磋商文件中另有规定外，本次采购项目所有合同项下的报价均采用国家法定的计量单位。</w:t>
      </w:r>
    </w:p>
    <w:p>
      <w:pPr>
        <w:spacing w:line="400" w:lineRule="exact"/>
        <w:ind w:firstLine="470" w:firstLineChars="195"/>
        <w:rPr>
          <w:rFonts w:ascii="宋体" w:hAnsi="宋体" w:cs="宋体"/>
          <w:b/>
          <w:bCs/>
          <w:color w:val="auto"/>
          <w:sz w:val="24"/>
          <w:highlight w:val="none"/>
        </w:rPr>
      </w:pPr>
      <w:bookmarkStart w:id="79" w:name="_Toc217446045"/>
    </w:p>
    <w:p>
      <w:pPr>
        <w:spacing w:line="400" w:lineRule="exact"/>
        <w:ind w:firstLine="470" w:firstLineChars="195"/>
        <w:rPr>
          <w:rFonts w:ascii="宋体" w:hAnsi="宋体" w:cs="宋体"/>
          <w:b/>
          <w:bCs/>
          <w:color w:val="auto"/>
          <w:sz w:val="24"/>
          <w:highlight w:val="none"/>
        </w:rPr>
      </w:pPr>
      <w:r>
        <w:rPr>
          <w:rFonts w:hint="eastAsia" w:ascii="宋体" w:hAnsi="宋体" w:cs="宋体"/>
          <w:b/>
          <w:bCs/>
          <w:color w:val="auto"/>
          <w:sz w:val="24"/>
          <w:highlight w:val="none"/>
        </w:rPr>
        <w:t xml:space="preserve">16. </w:t>
      </w:r>
      <w:r>
        <w:rPr>
          <w:rFonts w:hint="eastAsia" w:ascii="宋体" w:hAnsi="宋体" w:cs="宋体"/>
          <w:b/>
          <w:color w:val="auto"/>
          <w:sz w:val="24"/>
          <w:highlight w:val="none"/>
        </w:rPr>
        <w:t>报价</w:t>
      </w:r>
    </w:p>
    <w:p>
      <w:pPr>
        <w:spacing w:line="400" w:lineRule="exact"/>
        <w:ind w:firstLine="468" w:firstLineChars="195"/>
        <w:rPr>
          <w:rFonts w:ascii="宋体" w:hAnsi="宋体" w:cs="宋体"/>
          <w:bCs/>
          <w:color w:val="auto"/>
          <w:sz w:val="24"/>
          <w:highlight w:val="none"/>
        </w:rPr>
      </w:pPr>
      <w:r>
        <w:rPr>
          <w:rFonts w:hint="eastAsia" w:ascii="宋体" w:hAnsi="宋体" w:cs="宋体"/>
          <w:bCs/>
          <w:color w:val="auto"/>
          <w:sz w:val="24"/>
          <w:highlight w:val="none"/>
        </w:rPr>
        <w:t>16.1本次磋商项目的</w:t>
      </w:r>
      <w:r>
        <w:rPr>
          <w:rFonts w:hint="eastAsia" w:ascii="宋体" w:hAnsi="宋体" w:cs="宋体"/>
          <w:color w:val="auto"/>
          <w:sz w:val="24"/>
          <w:highlight w:val="none"/>
        </w:rPr>
        <w:t>报价货币为</w:t>
      </w:r>
      <w:r>
        <w:rPr>
          <w:rFonts w:hint="eastAsia" w:ascii="宋体" w:hAnsi="宋体" w:cs="宋体"/>
          <w:bCs/>
          <w:color w:val="auto"/>
          <w:sz w:val="24"/>
          <w:highlight w:val="none"/>
        </w:rPr>
        <w:t>人民币，报价以磋商文件规定为准。</w:t>
      </w:r>
      <w:r>
        <w:rPr>
          <w:rFonts w:hint="eastAsia" w:ascii="宋体" w:hAnsi="宋体" w:cs="宋体"/>
          <w:b/>
          <w:bCs/>
          <w:color w:val="auto"/>
          <w:sz w:val="24"/>
          <w:highlight w:val="none"/>
        </w:rPr>
        <w:t>（实质性要求）</w:t>
      </w:r>
    </w:p>
    <w:bookmarkEnd w:id="79"/>
    <w:p>
      <w:pPr>
        <w:spacing w:line="4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17.响应文件格式</w:t>
      </w:r>
    </w:p>
    <w:p>
      <w:pPr>
        <w:spacing w:line="400" w:lineRule="exact"/>
        <w:ind w:left="2" w:leftChars="1" w:firstLine="480" w:firstLineChars="200"/>
        <w:rPr>
          <w:rFonts w:ascii="宋体" w:hAnsi="宋体" w:cs="宋体"/>
          <w:bCs/>
          <w:color w:val="auto"/>
          <w:sz w:val="24"/>
          <w:highlight w:val="none"/>
        </w:rPr>
      </w:pPr>
      <w:r>
        <w:rPr>
          <w:rFonts w:hint="eastAsia" w:ascii="宋体" w:hAnsi="宋体" w:cs="宋体"/>
          <w:bCs/>
          <w:color w:val="auto"/>
          <w:sz w:val="24"/>
          <w:highlight w:val="none"/>
        </w:rPr>
        <w:t>17.1 供应商应执行磋商文件第八章的规定要求。</w:t>
      </w:r>
    </w:p>
    <w:p>
      <w:pPr>
        <w:spacing w:line="4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17.2 对于没有格式要求的磋商文件由供应商自行编写。</w:t>
      </w:r>
    </w:p>
    <w:p>
      <w:pPr>
        <w:spacing w:line="400" w:lineRule="exact"/>
        <w:ind w:firstLine="470" w:firstLineChars="196"/>
        <w:rPr>
          <w:rFonts w:ascii="宋体" w:hAnsi="宋体" w:cs="宋体"/>
          <w:color w:val="auto"/>
          <w:sz w:val="24"/>
          <w:highlight w:val="none"/>
        </w:rPr>
      </w:pPr>
      <w:bookmarkStart w:id="80" w:name="_Toc217446051"/>
      <w:bookmarkStart w:id="81" w:name="_Toc183582224"/>
      <w:bookmarkStart w:id="82" w:name="_Toc183682361"/>
    </w:p>
    <w:p>
      <w:pPr>
        <w:spacing w:line="40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18.响应文件的编制和签署</w:t>
      </w:r>
    </w:p>
    <w:p>
      <w:pPr>
        <w:spacing w:line="400" w:lineRule="exact"/>
        <w:ind w:firstLine="468" w:firstLineChars="195"/>
        <w:rPr>
          <w:rFonts w:ascii="宋体" w:hAnsi="宋体" w:cs="宋体"/>
          <w:bCs/>
          <w:color w:val="auto"/>
          <w:sz w:val="24"/>
          <w:highlight w:val="none"/>
        </w:rPr>
      </w:pPr>
      <w:r>
        <w:rPr>
          <w:rFonts w:hint="eastAsia" w:ascii="宋体" w:hAnsi="宋体" w:cs="宋体"/>
          <w:color w:val="auto"/>
          <w:sz w:val="24"/>
          <w:highlight w:val="none"/>
        </w:rPr>
        <w:t>18.1 资格性响应文件正本1份、副本2份</w:t>
      </w:r>
      <w:r>
        <w:rPr>
          <w:rFonts w:hint="eastAsia" w:ascii="宋体" w:hAnsi="宋体" w:cs="宋体"/>
          <w:bCs/>
          <w:color w:val="auto"/>
          <w:sz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宋体" w:hAnsi="宋体" w:cs="宋体"/>
          <w:bCs/>
          <w:color w:val="auto"/>
          <w:sz w:val="24"/>
          <w:highlight w:val="none"/>
        </w:rPr>
      </w:pPr>
      <w:r>
        <w:rPr>
          <w:rFonts w:hint="eastAsia" w:ascii="宋体" w:hAnsi="宋体" w:cs="宋体"/>
          <w:bCs/>
          <w:color w:val="auto"/>
          <w:sz w:val="24"/>
          <w:highlight w:val="none"/>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80"/>
    <w:bookmarkEnd w:id="81"/>
    <w:bookmarkEnd w:id="82"/>
    <w:p>
      <w:pPr>
        <w:spacing w:line="400" w:lineRule="exact"/>
        <w:ind w:firstLine="468" w:firstLineChars="195"/>
        <w:rPr>
          <w:rFonts w:ascii="宋体" w:hAnsi="宋体" w:cs="宋体"/>
          <w:bCs/>
          <w:color w:val="auto"/>
          <w:sz w:val="24"/>
          <w:highlight w:val="none"/>
        </w:rPr>
      </w:pPr>
      <w:r>
        <w:rPr>
          <w:rFonts w:hint="eastAsia" w:ascii="宋体" w:hAnsi="宋体" w:cs="宋体"/>
          <w:bCs/>
          <w:color w:val="auto"/>
          <w:sz w:val="24"/>
          <w:highlight w:val="none"/>
        </w:rPr>
        <w:t>18.3 响应文件正本和副本均需在规定签章处签字和盖章。响应文件副本可采用正本的复印件，提供电子文档1份采用光盘或U盘制作。</w:t>
      </w:r>
    </w:p>
    <w:p>
      <w:pPr>
        <w:spacing w:line="400" w:lineRule="exact"/>
        <w:ind w:firstLine="468" w:firstLineChars="195"/>
        <w:rPr>
          <w:rFonts w:ascii="宋体" w:hAnsi="宋体" w:cs="宋体"/>
          <w:bCs/>
          <w:color w:val="auto"/>
          <w:sz w:val="24"/>
          <w:highlight w:val="none"/>
        </w:rPr>
      </w:pPr>
      <w:r>
        <w:rPr>
          <w:rFonts w:hint="eastAsia" w:ascii="宋体" w:hAnsi="宋体" w:cs="宋体"/>
          <w:bCs/>
          <w:color w:val="auto"/>
          <w:sz w:val="24"/>
          <w:highlight w:val="none"/>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宋体" w:hAnsi="宋体" w:cs="宋体"/>
          <w:bCs/>
          <w:color w:val="auto"/>
          <w:sz w:val="24"/>
          <w:highlight w:val="none"/>
        </w:rPr>
      </w:pPr>
      <w:r>
        <w:rPr>
          <w:rFonts w:hint="eastAsia" w:ascii="宋体" w:hAnsi="宋体" w:cs="宋体"/>
          <w:bCs/>
          <w:color w:val="auto"/>
          <w:sz w:val="24"/>
          <w:highlight w:val="none"/>
        </w:rPr>
        <w:t>18.5响应文件应由供应商法定代表人/主要负责人/本人或其授权代表在响应文件要求的地方签字（注：</w:t>
      </w:r>
      <w:r>
        <w:rPr>
          <w:rFonts w:hint="eastAsia" w:ascii="宋体" w:hAnsi="宋体" w:cs="宋体"/>
          <w:color w:val="auto"/>
          <w:sz w:val="24"/>
          <w:highlight w:val="none"/>
        </w:rPr>
        <w:t>供应商为法人的，应当由其法定代表人或者</w:t>
      </w:r>
      <w:r>
        <w:rPr>
          <w:rFonts w:hint="eastAsia" w:ascii="宋体" w:hAnsi="宋体" w:cs="宋体"/>
          <w:bCs/>
          <w:color w:val="auto"/>
          <w:sz w:val="24"/>
          <w:highlight w:val="none"/>
        </w:rPr>
        <w:t>授权代表</w:t>
      </w:r>
      <w:r>
        <w:rPr>
          <w:rFonts w:hint="eastAsia" w:ascii="宋体" w:hAnsi="宋体" w:cs="宋体"/>
          <w:color w:val="auto"/>
          <w:sz w:val="24"/>
          <w:highlight w:val="none"/>
        </w:rPr>
        <w:t>签字确认；供应商为其他组织的，应当由其主要负责人或者</w:t>
      </w:r>
      <w:r>
        <w:rPr>
          <w:rFonts w:hint="eastAsia" w:ascii="宋体" w:hAnsi="宋体" w:cs="宋体"/>
          <w:bCs/>
          <w:color w:val="auto"/>
          <w:sz w:val="24"/>
          <w:highlight w:val="none"/>
        </w:rPr>
        <w:t>授权代表</w:t>
      </w:r>
      <w:r>
        <w:rPr>
          <w:rFonts w:hint="eastAsia" w:ascii="宋体" w:hAnsi="宋体" w:cs="宋体"/>
          <w:color w:val="auto"/>
          <w:sz w:val="24"/>
          <w:highlight w:val="none"/>
        </w:rPr>
        <w:t>签字确认；供应商为自然人的，应当由其本人或者</w:t>
      </w:r>
      <w:r>
        <w:rPr>
          <w:rFonts w:hint="eastAsia" w:ascii="宋体" w:hAnsi="宋体" w:cs="宋体"/>
          <w:bCs/>
          <w:color w:val="auto"/>
          <w:sz w:val="24"/>
          <w:highlight w:val="none"/>
        </w:rPr>
        <w:t>授权代表</w:t>
      </w:r>
      <w:r>
        <w:rPr>
          <w:rFonts w:hint="eastAsia" w:ascii="宋体" w:hAnsi="宋体" w:cs="宋体"/>
          <w:color w:val="auto"/>
          <w:sz w:val="24"/>
          <w:highlight w:val="none"/>
        </w:rPr>
        <w:t>签字确认</w:t>
      </w:r>
      <w:r>
        <w:rPr>
          <w:rFonts w:hint="eastAsia" w:ascii="宋体" w:hAnsi="宋体" w:cs="宋体"/>
          <w:bCs/>
          <w:color w:val="auto"/>
          <w:sz w:val="24"/>
          <w:highlight w:val="none"/>
        </w:rPr>
        <w:t>）或加盖私人印章，要求加盖公章的地方加盖单位公章，不得使用专用章（如经济合同章、投标专用章等）或下属单位印章代替。</w:t>
      </w:r>
    </w:p>
    <w:p>
      <w:pPr>
        <w:spacing w:line="400" w:lineRule="exact"/>
        <w:ind w:firstLine="468" w:firstLineChars="195"/>
        <w:rPr>
          <w:rFonts w:ascii="宋体" w:hAnsi="宋体" w:cs="宋体"/>
          <w:bCs/>
          <w:color w:val="auto"/>
          <w:sz w:val="24"/>
          <w:highlight w:val="none"/>
        </w:rPr>
      </w:pPr>
      <w:r>
        <w:rPr>
          <w:rFonts w:hint="eastAsia" w:ascii="宋体" w:hAnsi="宋体" w:cs="宋体"/>
          <w:bCs/>
          <w:color w:val="auto"/>
          <w:sz w:val="24"/>
          <w:highlight w:val="none"/>
        </w:rPr>
        <w:t>18.6响应文件正本和副本需要逐页编目编码。</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18.7响应文件正本和副本应当采用胶装方式装订成册，不得散装或者合页装订。</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18.8</w:t>
      </w:r>
      <w:r>
        <w:rPr>
          <w:rFonts w:hint="eastAsia" w:ascii="宋体" w:hAnsi="宋体" w:cs="宋体"/>
          <w:b/>
          <w:color w:val="auto"/>
          <w:sz w:val="24"/>
          <w:highlight w:val="none"/>
        </w:rPr>
        <w:t>（实质性要求）</w:t>
      </w:r>
      <w:r>
        <w:rPr>
          <w:rFonts w:hint="eastAsia" w:ascii="宋体" w:hAnsi="宋体" w:cs="宋体"/>
          <w:color w:val="auto"/>
          <w:sz w:val="24"/>
          <w:highlight w:val="none"/>
        </w:rPr>
        <w:t>响应文件应按磋商文件的要求签署、盖章（第九章2.4.6规定的例外情形除外）。</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18.9响应文件统一用A4幅面纸印制，除另有规定外。</w:t>
      </w:r>
    </w:p>
    <w:p>
      <w:pPr>
        <w:tabs>
          <w:tab w:val="left" w:pos="1080"/>
        </w:tabs>
        <w:spacing w:line="400" w:lineRule="exact"/>
        <w:ind w:firstLine="463" w:firstLineChars="192"/>
        <w:rPr>
          <w:rFonts w:ascii="宋体" w:hAnsi="宋体" w:cs="宋体"/>
          <w:b/>
          <w:color w:val="auto"/>
          <w:sz w:val="24"/>
          <w:highlight w:val="none"/>
        </w:rPr>
      </w:pPr>
      <w:bookmarkStart w:id="83" w:name="_Toc183582226"/>
      <w:bookmarkStart w:id="84" w:name="_Toc89075877"/>
      <w:bookmarkStart w:id="85" w:name="_Toc217446053"/>
      <w:bookmarkStart w:id="86" w:name="_Toc77400781"/>
      <w:bookmarkStart w:id="87" w:name="_Toc183682363"/>
    </w:p>
    <w:p>
      <w:pPr>
        <w:tabs>
          <w:tab w:val="left" w:pos="1080"/>
        </w:tabs>
        <w:spacing w:line="400" w:lineRule="exact"/>
        <w:ind w:firstLine="463" w:firstLineChars="192"/>
        <w:rPr>
          <w:rFonts w:ascii="宋体" w:hAnsi="宋体" w:cs="宋体"/>
          <w:b/>
          <w:color w:val="auto"/>
          <w:sz w:val="24"/>
          <w:highlight w:val="none"/>
        </w:rPr>
      </w:pPr>
      <w:r>
        <w:rPr>
          <w:rFonts w:hint="eastAsia" w:ascii="宋体" w:hAnsi="宋体" w:cs="宋体"/>
          <w:b/>
          <w:color w:val="auto"/>
          <w:sz w:val="24"/>
          <w:highlight w:val="none"/>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19.1 响应文件可以单独密封包装，也可以所有响应文件密封包装在一个密封袋内。</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19.3 所有外层密封袋的封口处应粘贴牢固。</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19.4 未密封的响应文件，采购人、采购代理机构将拒收或者在时间允许的范围内，要求修改完善后接收。</w:t>
      </w:r>
    </w:p>
    <w:p>
      <w:pPr>
        <w:tabs>
          <w:tab w:val="left" w:pos="1080"/>
        </w:tabs>
        <w:spacing w:line="400" w:lineRule="exact"/>
        <w:ind w:firstLine="460" w:firstLineChars="192"/>
        <w:rPr>
          <w:rFonts w:ascii="宋体" w:hAnsi="宋体" w:cs="宋体"/>
          <w:color w:val="auto"/>
          <w:sz w:val="24"/>
          <w:highlight w:val="none"/>
        </w:rPr>
      </w:pPr>
    </w:p>
    <w:p>
      <w:pPr>
        <w:tabs>
          <w:tab w:val="left" w:pos="1080"/>
        </w:tabs>
        <w:spacing w:line="400" w:lineRule="exact"/>
        <w:ind w:firstLine="463" w:firstLineChars="192"/>
        <w:rPr>
          <w:rFonts w:ascii="宋体" w:hAnsi="宋体" w:cs="宋体"/>
          <w:b/>
          <w:color w:val="auto"/>
          <w:sz w:val="24"/>
          <w:highlight w:val="none"/>
        </w:rPr>
      </w:pPr>
      <w:r>
        <w:rPr>
          <w:rFonts w:hint="eastAsia" w:ascii="宋体" w:hAnsi="宋体" w:cs="宋体"/>
          <w:b/>
          <w:color w:val="auto"/>
          <w:sz w:val="24"/>
          <w:highlight w:val="none"/>
        </w:rPr>
        <w:t>20.响应文件的递交</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20.1 资格性响应文件和其他响应文件应于递交响应文件截止时间前送达指定地点，采购代理机构拒绝接收截止时间后送达的响应文件。</w:t>
      </w:r>
    </w:p>
    <w:p>
      <w:pPr>
        <w:tabs>
          <w:tab w:val="left" w:pos="1080"/>
        </w:tabs>
        <w:spacing w:line="400" w:lineRule="exact"/>
        <w:ind w:firstLine="460" w:firstLineChars="192"/>
        <w:rPr>
          <w:rFonts w:ascii="宋体" w:hAnsi="宋体" w:cs="宋体"/>
          <w:color w:val="auto"/>
          <w:sz w:val="24"/>
          <w:highlight w:val="none"/>
          <w:lang w:val="zh-CN"/>
        </w:rPr>
      </w:pPr>
      <w:r>
        <w:rPr>
          <w:rFonts w:hint="eastAsia" w:ascii="宋体" w:hAnsi="宋体" w:cs="宋体"/>
          <w:color w:val="auto"/>
          <w:sz w:val="24"/>
          <w:highlight w:val="none"/>
        </w:rPr>
        <w:t>20</w:t>
      </w:r>
      <w:r>
        <w:rPr>
          <w:rFonts w:hint="eastAsia" w:ascii="宋体" w:hAnsi="宋体" w:cs="宋体"/>
          <w:color w:val="auto"/>
          <w:sz w:val="24"/>
          <w:highlight w:val="none"/>
          <w:lang w:val="zh-CN"/>
        </w:rPr>
        <w:t>.2 投标人在递交响应文件时，应另准备法定代表人身份证明复印件、法定代表人授权书复印件加盖企业鲜章一份同时递交。未按此要求提供响应文件将被拒绝。</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20</w:t>
      </w:r>
      <w:r>
        <w:rPr>
          <w:rFonts w:hint="eastAsia" w:ascii="宋体" w:hAnsi="宋体" w:cs="宋体"/>
          <w:color w:val="auto"/>
          <w:sz w:val="24"/>
          <w:highlight w:val="none"/>
          <w:lang w:val="zh-CN"/>
        </w:rPr>
        <w:t xml:space="preserve">.3非法定代表人投标时，递交响应文件的同时需单独提供一份法定代表人授权委托书（含法定代表人及授权代表身份证复印件），否则不予接受响应文件。 </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20.4 采购代理机构将向通过资格审查的供应商发出磋商邀请；告知未通过资格审查的供应商未通过的原因。</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20.5 报价表在磋商后，磋商小组要求供应商进行报价时递交。</w:t>
      </w:r>
    </w:p>
    <w:p>
      <w:pPr>
        <w:tabs>
          <w:tab w:val="left" w:pos="1080"/>
        </w:tabs>
        <w:spacing w:line="400" w:lineRule="exact"/>
        <w:ind w:firstLine="460" w:firstLineChars="192"/>
        <w:rPr>
          <w:rFonts w:ascii="宋体" w:hAnsi="宋体" w:cs="宋体"/>
          <w:color w:val="auto"/>
          <w:sz w:val="24"/>
          <w:highlight w:val="none"/>
        </w:rPr>
      </w:pPr>
      <w:r>
        <w:rPr>
          <w:rFonts w:hint="eastAsia" w:ascii="宋体" w:hAnsi="宋体" w:cs="宋体"/>
          <w:color w:val="auto"/>
          <w:sz w:val="24"/>
          <w:highlight w:val="none"/>
        </w:rPr>
        <w:t>20.6 本次采购不接收邮寄的响应文件。</w:t>
      </w:r>
    </w:p>
    <w:p>
      <w:pPr>
        <w:tabs>
          <w:tab w:val="left" w:pos="1080"/>
        </w:tabs>
        <w:spacing w:line="400" w:lineRule="exact"/>
        <w:ind w:firstLine="460" w:firstLineChars="192"/>
        <w:rPr>
          <w:rFonts w:ascii="宋体" w:hAnsi="宋体" w:cs="宋体"/>
          <w:color w:val="auto"/>
          <w:sz w:val="24"/>
          <w:highlight w:val="none"/>
        </w:rPr>
      </w:pPr>
    </w:p>
    <w:bookmarkEnd w:id="83"/>
    <w:bookmarkEnd w:id="84"/>
    <w:bookmarkEnd w:id="85"/>
    <w:bookmarkEnd w:id="86"/>
    <w:bookmarkEnd w:id="87"/>
    <w:p>
      <w:pPr>
        <w:tabs>
          <w:tab w:val="left" w:pos="1080"/>
        </w:tabs>
        <w:spacing w:line="400" w:lineRule="exact"/>
        <w:ind w:firstLine="463" w:firstLineChars="192"/>
        <w:rPr>
          <w:rFonts w:ascii="宋体" w:hAnsi="宋体" w:cs="宋体"/>
          <w:b/>
          <w:color w:val="auto"/>
          <w:sz w:val="24"/>
          <w:highlight w:val="none"/>
        </w:rPr>
      </w:pPr>
      <w:bookmarkStart w:id="88" w:name="_Toc183682365"/>
      <w:bookmarkStart w:id="89" w:name="_Toc183582228"/>
      <w:bookmarkStart w:id="90" w:name="_Toc217446055"/>
      <w:r>
        <w:rPr>
          <w:rFonts w:hint="eastAsia" w:ascii="宋体" w:hAnsi="宋体" w:cs="宋体"/>
          <w:b/>
          <w:color w:val="auto"/>
          <w:sz w:val="24"/>
          <w:highlight w:val="none"/>
        </w:rPr>
        <w:t>21.响应文件的修改和撤回（补充、修改响应文件的密封和标注按照本章“19.响应文件的密封和标注”规定处理）</w:t>
      </w:r>
    </w:p>
    <w:p>
      <w:pPr>
        <w:pStyle w:val="9"/>
        <w:spacing w:line="400" w:lineRule="exact"/>
        <w:ind w:firstLine="480"/>
        <w:rPr>
          <w:rFonts w:ascii="宋体" w:hAnsi="宋体" w:cs="宋体"/>
          <w:color w:val="auto"/>
          <w:sz w:val="24"/>
          <w:highlight w:val="none"/>
        </w:rPr>
      </w:pPr>
      <w:r>
        <w:rPr>
          <w:rFonts w:hint="eastAsia" w:ascii="宋体" w:hAnsi="宋体" w:cs="宋体"/>
          <w:color w:val="auto"/>
          <w:sz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21.3供应商不得在递交截止时间起至响应文件有效期期满前撤销其响应文件。否则其磋商保证金将按相关规定不予退还。</w:t>
      </w:r>
    </w:p>
    <w:p>
      <w:pPr>
        <w:spacing w:line="400" w:lineRule="exact"/>
        <w:ind w:firstLine="480"/>
        <w:rPr>
          <w:rFonts w:ascii="宋体" w:hAnsi="宋体" w:cs="宋体"/>
          <w:color w:val="auto"/>
          <w:sz w:val="24"/>
          <w:highlight w:val="none"/>
        </w:rPr>
      </w:pPr>
      <w:r>
        <w:rPr>
          <w:rFonts w:hint="eastAsia" w:ascii="宋体" w:hAnsi="宋体" w:cs="宋体"/>
          <w:color w:val="auto"/>
          <w:sz w:val="24"/>
          <w:highlight w:val="none"/>
        </w:rPr>
        <w:t>21.4供应商对其提交的响应文件的真实性、合法性承担法律责任。</w:t>
      </w:r>
      <w:bookmarkEnd w:id="88"/>
      <w:bookmarkEnd w:id="89"/>
      <w:bookmarkEnd w:id="90"/>
    </w:p>
    <w:p>
      <w:pPr>
        <w:pStyle w:val="4"/>
        <w:keepNext w:val="0"/>
        <w:keepLines w:val="0"/>
        <w:spacing w:line="400" w:lineRule="exact"/>
        <w:jc w:val="center"/>
        <w:rPr>
          <w:rFonts w:ascii="宋体" w:hAnsi="宋体" w:eastAsia="宋体" w:cs="宋体"/>
          <w:color w:val="auto"/>
          <w:highlight w:val="none"/>
        </w:rPr>
      </w:pPr>
      <w:bookmarkStart w:id="91" w:name="_Toc18293"/>
      <w:bookmarkStart w:id="92" w:name="_Toc27310"/>
      <w:bookmarkStart w:id="93" w:name="_Toc217446056"/>
      <w:bookmarkStart w:id="94" w:name="_Toc183582231"/>
      <w:bookmarkStart w:id="95" w:name="_Toc183682368"/>
      <w:bookmarkStart w:id="96" w:name="_Toc77400782"/>
      <w:bookmarkStart w:id="97" w:name="_Toc89075878"/>
      <w:r>
        <w:rPr>
          <w:rFonts w:hint="eastAsia" w:ascii="宋体" w:hAnsi="宋体" w:eastAsia="宋体" w:cs="宋体"/>
          <w:color w:val="auto"/>
          <w:highlight w:val="none"/>
        </w:rPr>
        <w:t>五、评审</w:t>
      </w:r>
      <w:bookmarkEnd w:id="91"/>
      <w:bookmarkEnd w:id="92"/>
    </w:p>
    <w:p>
      <w:pPr>
        <w:rPr>
          <w:rFonts w:ascii="宋体" w:hAnsi="宋体" w:cs="宋体"/>
          <w:color w:val="auto"/>
          <w:highlight w:val="none"/>
        </w:rPr>
      </w:pPr>
    </w:p>
    <w:p>
      <w:pPr>
        <w:pStyle w:val="4"/>
        <w:keepNext w:val="0"/>
        <w:keepLines w:val="0"/>
        <w:spacing w:line="400" w:lineRule="exact"/>
        <w:ind w:firstLine="482" w:firstLineChars="200"/>
        <w:rPr>
          <w:rFonts w:ascii="宋体" w:hAnsi="宋体" w:eastAsia="宋体" w:cs="宋体"/>
          <w:b w:val="0"/>
          <w:color w:val="auto"/>
          <w:sz w:val="24"/>
          <w:szCs w:val="24"/>
          <w:highlight w:val="none"/>
        </w:rPr>
      </w:pPr>
      <w:bookmarkStart w:id="98" w:name="_Toc15552"/>
      <w:bookmarkStart w:id="99" w:name="_Toc25986"/>
      <w:r>
        <w:rPr>
          <w:rFonts w:hint="eastAsia" w:ascii="宋体" w:hAnsi="宋体" w:eastAsia="宋体" w:cs="宋体"/>
          <w:color w:val="auto"/>
          <w:sz w:val="24"/>
          <w:szCs w:val="24"/>
          <w:highlight w:val="none"/>
        </w:rPr>
        <w:t>22.</w:t>
      </w:r>
      <w:r>
        <w:rPr>
          <w:rFonts w:hint="eastAsia" w:ascii="宋体" w:hAnsi="宋体" w:eastAsia="宋体" w:cs="宋体"/>
          <w:b w:val="0"/>
          <w:color w:val="auto"/>
          <w:sz w:val="24"/>
          <w:szCs w:val="24"/>
          <w:highlight w:val="none"/>
        </w:rPr>
        <w:t>磋商小组的组建及其评审工作按照有关法律制度和本文件第九章的规定进行。</w:t>
      </w:r>
      <w:bookmarkEnd w:id="98"/>
      <w:bookmarkEnd w:id="99"/>
    </w:p>
    <w:p>
      <w:pPr>
        <w:pStyle w:val="4"/>
        <w:keepNext w:val="0"/>
        <w:keepLines w:val="0"/>
        <w:spacing w:line="400" w:lineRule="exact"/>
        <w:jc w:val="center"/>
        <w:rPr>
          <w:rFonts w:ascii="宋体" w:hAnsi="宋体" w:eastAsia="宋体" w:cs="宋体"/>
          <w:color w:val="auto"/>
          <w:highlight w:val="none"/>
        </w:rPr>
      </w:pPr>
      <w:bookmarkStart w:id="100" w:name="_Toc5308"/>
      <w:bookmarkStart w:id="101" w:name="_Toc21021"/>
      <w:r>
        <w:rPr>
          <w:rFonts w:hint="eastAsia" w:ascii="宋体" w:hAnsi="宋体" w:eastAsia="宋体" w:cs="宋体"/>
          <w:color w:val="auto"/>
          <w:highlight w:val="none"/>
        </w:rPr>
        <w:t>六、成交事项</w:t>
      </w:r>
      <w:bookmarkEnd w:id="100"/>
      <w:bookmarkEnd w:id="101"/>
    </w:p>
    <w:p>
      <w:pPr>
        <w:rPr>
          <w:rFonts w:ascii="宋体" w:hAnsi="宋体" w:cs="宋体"/>
          <w:color w:val="auto"/>
          <w:highlight w:val="none"/>
        </w:rPr>
      </w:pPr>
    </w:p>
    <w:p>
      <w:pPr>
        <w:pStyle w:val="4"/>
        <w:keepNext w:val="0"/>
        <w:keepLines w:val="0"/>
        <w:spacing w:after="0" w:line="400" w:lineRule="exact"/>
        <w:ind w:firstLine="482" w:firstLineChars="200"/>
        <w:rPr>
          <w:rFonts w:ascii="宋体" w:hAnsi="宋体" w:eastAsia="宋体" w:cs="宋体"/>
          <w:color w:val="auto"/>
          <w:sz w:val="24"/>
          <w:szCs w:val="24"/>
          <w:highlight w:val="none"/>
        </w:rPr>
      </w:pPr>
      <w:bookmarkStart w:id="102" w:name="_Toc17719"/>
      <w:bookmarkStart w:id="103" w:name="_Toc17182"/>
      <w:r>
        <w:rPr>
          <w:rFonts w:hint="eastAsia" w:ascii="宋体" w:hAnsi="宋体" w:eastAsia="宋体" w:cs="宋体"/>
          <w:color w:val="auto"/>
          <w:sz w:val="24"/>
          <w:szCs w:val="24"/>
          <w:highlight w:val="none"/>
        </w:rPr>
        <w:t>23.确定成交供应商</w:t>
      </w:r>
      <w:bookmarkEnd w:id="102"/>
      <w:bookmarkEnd w:id="103"/>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04" w:name="_Toc29222"/>
      <w:bookmarkStart w:id="105" w:name="_Toc22935"/>
      <w:r>
        <w:rPr>
          <w:rFonts w:hint="eastAsia" w:ascii="宋体" w:hAnsi="宋体" w:eastAsia="宋体" w:cs="宋体"/>
          <w:b w:val="0"/>
          <w:color w:val="auto"/>
          <w:sz w:val="24"/>
          <w:szCs w:val="24"/>
          <w:highlight w:val="none"/>
        </w:rPr>
        <w:t>方式一：采购人将按磋商小组推荐的成交候选供应商顺序确定成交供应商。</w:t>
      </w:r>
      <w:bookmarkEnd w:id="104"/>
      <w:bookmarkEnd w:id="105"/>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06" w:name="_Toc24306"/>
      <w:bookmarkStart w:id="107" w:name="_Toc18972"/>
      <w:r>
        <w:rPr>
          <w:rFonts w:hint="eastAsia" w:ascii="宋体" w:hAnsi="宋体" w:eastAsia="宋体" w:cs="宋体"/>
          <w:b w:val="0"/>
          <w:color w:val="auto"/>
          <w:sz w:val="24"/>
          <w:szCs w:val="24"/>
          <w:highlight w:val="none"/>
        </w:rPr>
        <w:t>方式二：采购人授权磋商小组根据综合评分排名直接确定成交供应商。</w:t>
      </w:r>
      <w:bookmarkEnd w:id="106"/>
      <w:bookmarkEnd w:id="107"/>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08" w:name="_Toc19338"/>
      <w:bookmarkStart w:id="109" w:name="_Toc29080"/>
      <w:r>
        <w:rPr>
          <w:rFonts w:hint="eastAsia" w:ascii="宋体" w:hAnsi="宋体" w:eastAsia="宋体" w:cs="宋体"/>
          <w:b w:val="0"/>
          <w:color w:val="auto"/>
          <w:sz w:val="24"/>
          <w:szCs w:val="24"/>
          <w:highlight w:val="none"/>
        </w:rPr>
        <w:t>本项目采用方式一确定成交供应商。</w:t>
      </w:r>
      <w:bookmarkEnd w:id="108"/>
      <w:bookmarkEnd w:id="109"/>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10" w:name="_Toc6774"/>
      <w:bookmarkStart w:id="111" w:name="_Toc31353"/>
      <w:r>
        <w:rPr>
          <w:rFonts w:hint="eastAsia" w:ascii="宋体" w:hAnsi="宋体" w:eastAsia="宋体" w:cs="宋体"/>
          <w:b w:val="0"/>
          <w:color w:val="auto"/>
          <w:sz w:val="24"/>
          <w:szCs w:val="24"/>
          <w:highlight w:val="none"/>
        </w:rPr>
        <w:t>23.1采购代理机构自评审结束后2个工作日内将磋商报告及有关资料送交采购人确定成交供应商。</w:t>
      </w:r>
      <w:bookmarkEnd w:id="110"/>
      <w:bookmarkEnd w:id="111"/>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12" w:name="_Toc3957"/>
      <w:bookmarkStart w:id="113" w:name="_Toc31129"/>
      <w:r>
        <w:rPr>
          <w:rFonts w:hint="eastAsia" w:ascii="宋体" w:hAnsi="宋体" w:eastAsia="宋体" w:cs="宋体"/>
          <w:b w:val="0"/>
          <w:color w:val="auto"/>
          <w:sz w:val="24"/>
          <w:szCs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bookmarkEnd w:id="112"/>
      <w:bookmarkEnd w:id="113"/>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14" w:name="_Toc30938"/>
      <w:bookmarkStart w:id="115" w:name="_Toc6763"/>
      <w:r>
        <w:rPr>
          <w:rFonts w:hint="eastAsia" w:ascii="宋体" w:hAnsi="宋体" w:eastAsia="宋体" w:cs="宋体"/>
          <w:b w:val="0"/>
          <w:color w:val="auto"/>
          <w:sz w:val="24"/>
          <w:szCs w:val="24"/>
          <w:highlight w:val="none"/>
        </w:rPr>
        <w:t>23.3采购人确定成交供应商过程中，发现成交候选供应商有下列情形之一的，应当不予确定其为成交供应商：</w:t>
      </w:r>
      <w:bookmarkEnd w:id="114"/>
      <w:bookmarkEnd w:id="115"/>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16" w:name="_Toc23282"/>
      <w:bookmarkStart w:id="117" w:name="_Toc23183"/>
      <w:r>
        <w:rPr>
          <w:rFonts w:hint="eastAsia" w:ascii="宋体" w:hAnsi="宋体" w:eastAsia="宋体" w:cs="宋体"/>
          <w:b w:val="0"/>
          <w:color w:val="auto"/>
          <w:sz w:val="24"/>
          <w:szCs w:val="24"/>
          <w:highlight w:val="none"/>
        </w:rPr>
        <w:t>（1）发现成交候选供应商存在禁止参加本项目采购活动的违法行为的；</w:t>
      </w:r>
      <w:bookmarkEnd w:id="116"/>
      <w:bookmarkEnd w:id="117"/>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18" w:name="_Toc22256"/>
      <w:bookmarkStart w:id="119" w:name="_Toc22360"/>
      <w:r>
        <w:rPr>
          <w:rFonts w:hint="eastAsia" w:ascii="宋体" w:hAnsi="宋体" w:eastAsia="宋体" w:cs="宋体"/>
          <w:b w:val="0"/>
          <w:color w:val="auto"/>
          <w:sz w:val="24"/>
          <w:szCs w:val="24"/>
          <w:highlight w:val="none"/>
        </w:rPr>
        <w:t>（2）成交候选供应商因不可抗力，不能继续参加政府采购活动；</w:t>
      </w:r>
      <w:bookmarkEnd w:id="118"/>
      <w:bookmarkEnd w:id="119"/>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20" w:name="_Toc29545"/>
      <w:bookmarkStart w:id="121" w:name="_Toc19387"/>
      <w:r>
        <w:rPr>
          <w:rFonts w:hint="eastAsia" w:ascii="宋体" w:hAnsi="宋体" w:eastAsia="宋体" w:cs="宋体"/>
          <w:b w:val="0"/>
          <w:color w:val="auto"/>
          <w:sz w:val="24"/>
          <w:szCs w:val="24"/>
          <w:highlight w:val="none"/>
        </w:rPr>
        <w:t>（3）成交候选供应商无偿赠与或者低于成本价竞争；</w:t>
      </w:r>
      <w:bookmarkEnd w:id="120"/>
      <w:bookmarkEnd w:id="121"/>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22" w:name="_Toc18902"/>
      <w:bookmarkStart w:id="123" w:name="_Toc1091"/>
      <w:r>
        <w:rPr>
          <w:rFonts w:hint="eastAsia" w:ascii="宋体" w:hAnsi="宋体" w:eastAsia="宋体" w:cs="宋体"/>
          <w:b w:val="0"/>
          <w:color w:val="auto"/>
          <w:sz w:val="24"/>
          <w:szCs w:val="24"/>
          <w:highlight w:val="none"/>
        </w:rPr>
        <w:t>（4）成交候选供应商提供虚假材料；</w:t>
      </w:r>
      <w:bookmarkEnd w:id="122"/>
      <w:bookmarkEnd w:id="123"/>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24" w:name="_Toc22501"/>
      <w:bookmarkStart w:id="125" w:name="_Toc27483"/>
      <w:r>
        <w:rPr>
          <w:rFonts w:hint="eastAsia" w:ascii="宋体" w:hAnsi="宋体" w:eastAsia="宋体" w:cs="宋体"/>
          <w:b w:val="0"/>
          <w:color w:val="auto"/>
          <w:sz w:val="24"/>
          <w:szCs w:val="24"/>
          <w:highlight w:val="none"/>
        </w:rPr>
        <w:t>（5）成交候选供应商恶意串通。</w:t>
      </w:r>
      <w:bookmarkEnd w:id="124"/>
      <w:bookmarkEnd w:id="125"/>
    </w:p>
    <w:p>
      <w:pPr>
        <w:rPr>
          <w:rFonts w:ascii="宋体" w:hAnsi="宋体" w:cs="宋体"/>
          <w:color w:val="auto"/>
          <w:highlight w:val="none"/>
        </w:rPr>
      </w:pPr>
    </w:p>
    <w:p>
      <w:pPr>
        <w:rPr>
          <w:rFonts w:ascii="宋体" w:hAnsi="宋体" w:cs="宋体"/>
          <w:color w:val="auto"/>
          <w:highlight w:val="none"/>
        </w:rPr>
      </w:pPr>
    </w:p>
    <w:p>
      <w:pPr>
        <w:pStyle w:val="4"/>
        <w:keepNext w:val="0"/>
        <w:keepLines w:val="0"/>
        <w:spacing w:before="0" w:after="0" w:line="400" w:lineRule="exact"/>
        <w:ind w:firstLine="482" w:firstLineChars="200"/>
        <w:rPr>
          <w:rFonts w:ascii="宋体" w:hAnsi="宋体" w:eastAsia="宋体" w:cs="宋体"/>
          <w:color w:val="auto"/>
          <w:sz w:val="24"/>
          <w:szCs w:val="24"/>
          <w:highlight w:val="none"/>
        </w:rPr>
      </w:pPr>
      <w:bookmarkStart w:id="126" w:name="_Toc24452"/>
      <w:bookmarkStart w:id="127" w:name="_Toc27225"/>
      <w:r>
        <w:rPr>
          <w:rFonts w:hint="eastAsia" w:ascii="宋体" w:hAnsi="宋体" w:eastAsia="宋体" w:cs="宋体"/>
          <w:color w:val="auto"/>
          <w:sz w:val="24"/>
          <w:szCs w:val="24"/>
          <w:highlight w:val="none"/>
        </w:rPr>
        <w:t>24.成交结果</w:t>
      </w:r>
      <w:bookmarkEnd w:id="126"/>
      <w:bookmarkEnd w:id="127"/>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28" w:name="_Toc3306"/>
      <w:bookmarkStart w:id="129" w:name="_Toc4743"/>
      <w:r>
        <w:rPr>
          <w:rFonts w:hint="eastAsia" w:ascii="宋体" w:hAnsi="宋体" w:eastAsia="宋体" w:cs="宋体"/>
          <w:b w:val="0"/>
          <w:color w:val="auto"/>
          <w:sz w:val="24"/>
          <w:szCs w:val="24"/>
          <w:highlight w:val="none"/>
        </w:rPr>
        <w:t>24.1采购人确定成交供应商后，将及时书面通知采购代理机构，发出成交通知书并发布成交结果公告。</w:t>
      </w:r>
      <w:bookmarkEnd w:id="128"/>
      <w:bookmarkEnd w:id="129"/>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30" w:name="_Toc26512"/>
      <w:r>
        <w:rPr>
          <w:rFonts w:hint="eastAsia" w:ascii="宋体" w:hAnsi="宋体" w:eastAsia="宋体" w:cs="宋体"/>
          <w:b w:val="0"/>
          <w:color w:val="auto"/>
          <w:sz w:val="24"/>
          <w:szCs w:val="24"/>
          <w:highlight w:val="none"/>
        </w:rPr>
        <w:t>24.2成交供应商应当及时领取成交通知书。本项目需要交纳履约保证金的，成交供应商应当及时向采购人交纳。</w:t>
      </w:r>
      <w:bookmarkEnd w:id="130"/>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31" w:name="_Toc31532"/>
      <w:r>
        <w:rPr>
          <w:rFonts w:hint="eastAsia" w:ascii="宋体" w:hAnsi="宋体" w:eastAsia="宋体" w:cs="宋体"/>
          <w:b w:val="0"/>
          <w:color w:val="auto"/>
          <w:sz w:val="24"/>
          <w:szCs w:val="24"/>
          <w:highlight w:val="none"/>
        </w:rPr>
        <w:t>24.3成交供应商不能及时领取成交通知书，采购人或者采购代理机应当通过邮寄、快递等方式将项目成交通知书送达成交供应商。</w:t>
      </w:r>
      <w:bookmarkEnd w:id="131"/>
    </w:p>
    <w:p>
      <w:pPr>
        <w:ind w:firstLine="465"/>
        <w:rPr>
          <w:rFonts w:ascii="宋体" w:hAnsi="宋体" w:cs="宋体"/>
          <w:bCs/>
          <w:color w:val="auto"/>
          <w:sz w:val="24"/>
          <w:highlight w:val="none"/>
        </w:rPr>
      </w:pPr>
    </w:p>
    <w:p>
      <w:pPr>
        <w:pStyle w:val="4"/>
        <w:keepNext w:val="0"/>
        <w:keepLines w:val="0"/>
        <w:spacing w:before="0" w:after="0" w:line="400" w:lineRule="exact"/>
        <w:ind w:firstLine="482" w:firstLineChars="200"/>
        <w:rPr>
          <w:rFonts w:ascii="宋体" w:hAnsi="宋体" w:eastAsia="宋体" w:cs="宋体"/>
          <w:color w:val="auto"/>
          <w:sz w:val="24"/>
          <w:szCs w:val="24"/>
          <w:highlight w:val="none"/>
        </w:rPr>
      </w:pPr>
      <w:bookmarkStart w:id="132" w:name="_Toc10252"/>
      <w:bookmarkStart w:id="133" w:name="_Toc12637"/>
      <w:r>
        <w:rPr>
          <w:rFonts w:hint="eastAsia" w:ascii="宋体" w:hAnsi="宋体" w:eastAsia="宋体" w:cs="宋体"/>
          <w:color w:val="auto"/>
          <w:sz w:val="24"/>
          <w:szCs w:val="24"/>
          <w:highlight w:val="none"/>
        </w:rPr>
        <w:t>25.成交通知书</w:t>
      </w:r>
      <w:bookmarkEnd w:id="132"/>
      <w:bookmarkEnd w:id="133"/>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34" w:name="_Toc39"/>
      <w:bookmarkStart w:id="135" w:name="_Toc27100"/>
      <w:r>
        <w:rPr>
          <w:rFonts w:hint="eastAsia" w:ascii="宋体" w:hAnsi="宋体" w:eastAsia="宋体" w:cs="宋体"/>
          <w:b w:val="0"/>
          <w:color w:val="auto"/>
          <w:sz w:val="24"/>
          <w:szCs w:val="24"/>
          <w:highlight w:val="none"/>
        </w:rPr>
        <w:t>25.1成交通知书为签订政府采购合同的依据之一，是合同的有效组成部分。</w:t>
      </w:r>
      <w:bookmarkEnd w:id="134"/>
      <w:bookmarkEnd w:id="135"/>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36" w:name="_Toc22455"/>
      <w:bookmarkStart w:id="137" w:name="_Toc12899"/>
      <w:r>
        <w:rPr>
          <w:rFonts w:hint="eastAsia" w:ascii="宋体" w:hAnsi="宋体" w:eastAsia="宋体" w:cs="宋体"/>
          <w:b w:val="0"/>
          <w:color w:val="auto"/>
          <w:sz w:val="24"/>
          <w:szCs w:val="24"/>
          <w:highlight w:val="none"/>
        </w:rPr>
        <w:t>25.2成交通知书对采购人和成交供应商均具有法律效力。成交通知书发出后，采购人无正当理由改变成交结果，或者成交供应商无正当理由放弃成交的，将承担相应的法律责任。</w:t>
      </w:r>
      <w:bookmarkEnd w:id="136"/>
      <w:bookmarkEnd w:id="137"/>
    </w:p>
    <w:p>
      <w:pPr>
        <w:pStyle w:val="4"/>
        <w:keepNext w:val="0"/>
        <w:keepLines w:val="0"/>
        <w:spacing w:before="0" w:after="0" w:line="400" w:lineRule="exact"/>
        <w:ind w:firstLine="480" w:firstLineChars="200"/>
        <w:rPr>
          <w:rFonts w:ascii="宋体" w:hAnsi="宋体" w:eastAsia="宋体" w:cs="宋体"/>
          <w:b w:val="0"/>
          <w:color w:val="auto"/>
          <w:sz w:val="24"/>
          <w:szCs w:val="24"/>
          <w:highlight w:val="none"/>
        </w:rPr>
      </w:pPr>
      <w:bookmarkStart w:id="138" w:name="_Toc28016"/>
      <w:bookmarkStart w:id="139" w:name="_Toc10197"/>
      <w:r>
        <w:rPr>
          <w:rFonts w:hint="eastAsia" w:ascii="宋体" w:hAnsi="宋体" w:eastAsia="宋体" w:cs="宋体"/>
          <w:b w:val="0"/>
          <w:color w:val="auto"/>
          <w:sz w:val="24"/>
          <w:szCs w:val="24"/>
          <w:highlight w:val="none"/>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bookmarkEnd w:id="138"/>
      <w:bookmarkEnd w:id="139"/>
    </w:p>
    <w:p>
      <w:pPr>
        <w:rPr>
          <w:rFonts w:ascii="宋体" w:hAnsi="宋体" w:cs="宋体"/>
          <w:color w:val="auto"/>
          <w:highlight w:val="none"/>
        </w:rPr>
      </w:pPr>
    </w:p>
    <w:p>
      <w:pPr>
        <w:pStyle w:val="4"/>
        <w:keepNext w:val="0"/>
        <w:keepLines w:val="0"/>
        <w:spacing w:line="400" w:lineRule="exact"/>
        <w:jc w:val="center"/>
        <w:rPr>
          <w:rFonts w:ascii="宋体" w:hAnsi="宋体" w:eastAsia="宋体" w:cs="宋体"/>
          <w:color w:val="auto"/>
          <w:highlight w:val="none"/>
        </w:rPr>
      </w:pPr>
      <w:bookmarkStart w:id="140" w:name="_Toc25303"/>
      <w:bookmarkStart w:id="141" w:name="_Toc11073"/>
      <w:r>
        <w:rPr>
          <w:rFonts w:hint="eastAsia" w:ascii="宋体" w:hAnsi="宋体" w:eastAsia="宋体" w:cs="宋体"/>
          <w:color w:val="auto"/>
          <w:highlight w:val="none"/>
        </w:rPr>
        <w:t>七、合同事项</w:t>
      </w:r>
      <w:bookmarkEnd w:id="140"/>
      <w:bookmarkEnd w:id="141"/>
    </w:p>
    <w:p>
      <w:pPr>
        <w:pStyle w:val="4"/>
        <w:keepNext w:val="0"/>
        <w:keepLines w:val="0"/>
        <w:spacing w:before="0" w:after="0" w:line="400" w:lineRule="exact"/>
        <w:ind w:firstLine="472" w:firstLineChars="196"/>
        <w:rPr>
          <w:rFonts w:ascii="宋体" w:hAnsi="宋体" w:eastAsia="宋体" w:cs="宋体"/>
          <w:color w:val="auto"/>
          <w:sz w:val="24"/>
          <w:szCs w:val="24"/>
          <w:highlight w:val="none"/>
        </w:rPr>
      </w:pPr>
    </w:p>
    <w:p>
      <w:pPr>
        <w:pStyle w:val="4"/>
        <w:keepNext w:val="0"/>
        <w:keepLines w:val="0"/>
        <w:spacing w:before="0" w:after="0" w:line="400" w:lineRule="exact"/>
        <w:ind w:firstLine="472" w:firstLineChars="196"/>
        <w:rPr>
          <w:rFonts w:ascii="宋体" w:hAnsi="宋体" w:eastAsia="宋体" w:cs="宋体"/>
          <w:color w:val="auto"/>
          <w:sz w:val="24"/>
          <w:szCs w:val="24"/>
          <w:highlight w:val="none"/>
        </w:rPr>
      </w:pPr>
      <w:bookmarkStart w:id="142" w:name="_Toc101174151"/>
      <w:bookmarkStart w:id="143" w:name="_Toc8608"/>
      <w:bookmarkStart w:id="144" w:name="_Toc101338364"/>
      <w:bookmarkStart w:id="145" w:name="_Toc101250646"/>
      <w:bookmarkStart w:id="146" w:name="_Toc7461"/>
      <w:bookmarkStart w:id="147" w:name="_Toc430773927"/>
      <w:bookmarkStart w:id="148" w:name="_Toc209847069"/>
      <w:r>
        <w:rPr>
          <w:rFonts w:hint="eastAsia" w:ascii="宋体" w:hAnsi="宋体" w:eastAsia="宋体" w:cs="宋体"/>
          <w:color w:val="auto"/>
          <w:sz w:val="24"/>
          <w:szCs w:val="24"/>
          <w:highlight w:val="none"/>
        </w:rPr>
        <w:t>26.签订合同</w:t>
      </w:r>
      <w:bookmarkEnd w:id="142"/>
      <w:bookmarkEnd w:id="143"/>
      <w:bookmarkEnd w:id="144"/>
      <w:bookmarkEnd w:id="145"/>
      <w:bookmarkEnd w:id="146"/>
      <w:bookmarkEnd w:id="147"/>
      <w:bookmarkEnd w:id="148"/>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磋商文件、成交供应商的响应文件及双方确认的澄清文件等，均为有法律约束力的合同组成部分。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26.5竞争性磋商文件、成交供应商提交的响应文件、磋商中的最后报价、成交供应商承诺书、成交通知书等均称为有法律约束力的合同组成内容。</w:t>
      </w:r>
    </w:p>
    <w:p>
      <w:pPr>
        <w:spacing w:line="400" w:lineRule="exact"/>
        <w:ind w:firstLine="480" w:firstLineChars="200"/>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27.合同分包（实质性要求）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分包履行合同的部分应当为采购项目的非主体、非关键性工作，不属于成交供应商的主要合同义务。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采购合同实行分包履行的，成交供应商就采购项目和分包项目向采购人负责，分包供应商就分包项目承担责任。</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27.3 中小企业依据《政府采购促进中小企业发展暂行办法》（财库[2011]181号）规定的政策获取政府采购合同后，小型、微型企业不得分包或转包给大型、中型企业，中型企业不得分包或转包给大型企业。</w:t>
      </w:r>
    </w:p>
    <w:p>
      <w:pPr>
        <w:spacing w:line="400" w:lineRule="exact"/>
        <w:ind w:firstLine="480" w:firstLineChars="200"/>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28.合同转包（实质性要求）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成交供应商转包的，视同拒绝履行政府采购合同义务，将依法追究法律责任。</w:t>
      </w:r>
    </w:p>
    <w:p>
      <w:pPr>
        <w:spacing w:line="400" w:lineRule="exact"/>
        <w:ind w:firstLine="480" w:firstLineChars="200"/>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29.补充合同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line="400" w:lineRule="exact"/>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30.履约保证金（实质性要求）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本项目无履约保证金。</w:t>
      </w:r>
    </w:p>
    <w:p>
      <w:pPr>
        <w:spacing w:line="400" w:lineRule="exact"/>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31.合同公告</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32.合同备案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采购人应当将政府采购合同副本自签订（双方当事人均已签字盖章）之日起七个工作日内通过四川政府采购网报同级财政部门备案。</w:t>
      </w:r>
    </w:p>
    <w:p>
      <w:pPr>
        <w:spacing w:line="400" w:lineRule="exact"/>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33.履行合同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33.1 成交供应商与采购人签订合同后，合同双方应严格执行合同条款，履行合同规定的义务，保证合同的顺利完成。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33.2 在合同履行过程中，如发生合同纠纷，合同双方应按照《民法典》的有关规定进行处理。</w:t>
      </w:r>
    </w:p>
    <w:p>
      <w:pPr>
        <w:spacing w:line="400" w:lineRule="exact"/>
        <w:ind w:firstLine="480" w:firstLineChars="200"/>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34.验收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34.1本项目采购人及其委托的采购代理机构将严格按照政府采购相关法律法规以及</w:t>
      </w:r>
      <w:r>
        <w:rPr>
          <w:rFonts w:hint="eastAsia" w:ascii="仿宋" w:hAnsi="仿宋"/>
          <w:color w:val="auto"/>
          <w:sz w:val="24"/>
          <w:highlight w:val="none"/>
        </w:rPr>
        <w:t>《财政部关于进一步加强政府采购需求和履约验收管理的指导意见》（财库〔2016〕205号）</w:t>
      </w:r>
      <w:r>
        <w:rPr>
          <w:rFonts w:hint="eastAsia" w:ascii="宋体" w:hAnsi="宋体" w:cs="宋体"/>
          <w:color w:val="auto"/>
          <w:sz w:val="24"/>
          <w:highlight w:val="none"/>
        </w:rPr>
        <w:t>的要求进行验收。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34.2 验收结果合格的，成交供应商凭验收报告办理相关手续；验收结果不合格的，履约保证金将不予退还，也将不予支付采购资金，还可能会报本项目同级财政部门按照政府采购法律法规及《四川省政府采购当事人诚信管理办法》（川财采〔2015〕33号）等有关规定给予行政处罚或者以失信行为记入诚信档案。</w:t>
      </w:r>
    </w:p>
    <w:p>
      <w:pPr>
        <w:spacing w:line="400" w:lineRule="exact"/>
        <w:rPr>
          <w:rFonts w:ascii="宋体" w:hAnsi="宋体" w:cs="宋体"/>
          <w:color w:val="auto"/>
          <w:sz w:val="24"/>
          <w:highlight w:val="none"/>
        </w:rPr>
      </w:pP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35.资金支付</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采购人将按照政府采购合同规定，及时向成交供应商支付采购资金。本项目采购资金付款详见第五章规定的 付款方式。</w:t>
      </w:r>
      <w:bookmarkEnd w:id="51"/>
    </w:p>
    <w:p>
      <w:pPr>
        <w:pStyle w:val="12"/>
        <w:rPr>
          <w:rFonts w:ascii="宋体" w:hAnsi="宋体" w:cs="宋体"/>
          <w:color w:val="auto"/>
          <w:highlight w:val="none"/>
        </w:rPr>
      </w:pPr>
    </w:p>
    <w:p>
      <w:pPr>
        <w:pStyle w:val="4"/>
        <w:keepNext w:val="0"/>
        <w:keepLines w:val="0"/>
        <w:spacing w:before="0" w:after="0" w:line="400" w:lineRule="exact"/>
        <w:jc w:val="center"/>
        <w:rPr>
          <w:rFonts w:ascii="宋体" w:hAnsi="宋体" w:eastAsia="宋体" w:cs="宋体"/>
          <w:color w:val="auto"/>
          <w:highlight w:val="none"/>
        </w:rPr>
      </w:pPr>
      <w:bookmarkStart w:id="149" w:name="_Toc7349"/>
      <w:bookmarkStart w:id="150" w:name="_Toc61"/>
      <w:bookmarkStart w:id="151" w:name="PO_默认文件内容_25"/>
      <w:r>
        <w:rPr>
          <w:rFonts w:hint="eastAsia" w:ascii="宋体" w:hAnsi="宋体" w:eastAsia="宋体" w:cs="宋体"/>
          <w:color w:val="auto"/>
          <w:highlight w:val="none"/>
        </w:rPr>
        <w:t>八、磋商纪律要求</w:t>
      </w:r>
      <w:bookmarkEnd w:id="149"/>
      <w:bookmarkEnd w:id="150"/>
    </w:p>
    <w:p>
      <w:pPr>
        <w:tabs>
          <w:tab w:val="left" w:pos="851"/>
        </w:tabs>
        <w:spacing w:line="360" w:lineRule="auto"/>
        <w:jc w:val="center"/>
        <w:rPr>
          <w:rFonts w:ascii="宋体" w:hAnsi="宋体" w:cs="宋体"/>
          <w:color w:val="auto"/>
          <w:sz w:val="24"/>
          <w:highlight w:val="none"/>
        </w:rPr>
      </w:pPr>
    </w:p>
    <w:p>
      <w:pPr>
        <w:tabs>
          <w:tab w:val="left" w:pos="851"/>
        </w:tabs>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36.供应商不得具有的情形</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供应商参加本项目磋商不得有下列情形：</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（1）提供虚假材料谋取成交；</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（2）采取不正当手段诋毁、排挤其他供应商；</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（3）与采购人、采购代理机构、或其他供应商恶意串通；</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（4）向采购人、采购代理机构、磋商小组成员行贿或者提供其他不正当利益；</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（5）在磋商过程中与采购人、采购代理机构进行协商；</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（6）成交后无正当理由拒不与采购人签订政府采购合同；</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（7）未按照磋商文件确定的事项签订政府采购合同；</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（8）将政府采购合同转包或者违规分包；</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（9）提供假冒伪劣产品；</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（10）擅自变更、中止或者终止政府采购合同；</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（11）拒绝有关部门的监督检查或者向监督检查部门提供虚假情况；</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（12）法律法规规定的其他情形。</w:t>
      </w:r>
    </w:p>
    <w:p>
      <w:pPr>
        <w:tabs>
          <w:tab w:val="left" w:pos="851"/>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宋体" w:hAnsi="宋体" w:cs="宋体"/>
          <w:color w:val="auto"/>
          <w:sz w:val="24"/>
          <w:highlight w:val="none"/>
        </w:rPr>
      </w:pPr>
    </w:p>
    <w:p>
      <w:pPr>
        <w:tabs>
          <w:tab w:val="left" w:pos="851"/>
        </w:tabs>
        <w:spacing w:line="360" w:lineRule="auto"/>
        <w:ind w:firstLine="480" w:firstLineChars="200"/>
        <w:rPr>
          <w:rFonts w:ascii="宋体" w:hAnsi="宋体" w:cs="宋体"/>
          <w:color w:val="auto"/>
          <w:sz w:val="24"/>
          <w:highlight w:val="none"/>
        </w:rPr>
      </w:pPr>
    </w:p>
    <w:p>
      <w:pPr>
        <w:tabs>
          <w:tab w:val="left" w:pos="851"/>
        </w:tabs>
        <w:spacing w:line="360" w:lineRule="auto"/>
        <w:jc w:val="center"/>
        <w:outlineLvl w:val="1"/>
        <w:rPr>
          <w:rFonts w:ascii="宋体" w:hAnsi="宋体" w:cs="宋体"/>
          <w:b/>
          <w:color w:val="auto"/>
          <w:sz w:val="32"/>
          <w:szCs w:val="32"/>
          <w:highlight w:val="none"/>
        </w:rPr>
      </w:pPr>
      <w:bookmarkStart w:id="152" w:name="_Toc319"/>
      <w:r>
        <w:rPr>
          <w:rFonts w:hint="eastAsia" w:ascii="宋体" w:hAnsi="宋体" w:cs="宋体"/>
          <w:b/>
          <w:color w:val="auto"/>
          <w:sz w:val="32"/>
          <w:szCs w:val="32"/>
          <w:highlight w:val="none"/>
        </w:rPr>
        <w:t>九、询问、质疑和投诉</w:t>
      </w:r>
      <w:bookmarkEnd w:id="152"/>
    </w:p>
    <w:p>
      <w:pPr>
        <w:tabs>
          <w:tab w:val="left" w:pos="851"/>
        </w:tabs>
        <w:spacing w:line="360" w:lineRule="auto"/>
        <w:jc w:val="center"/>
        <w:rPr>
          <w:rFonts w:ascii="宋体" w:hAnsi="宋体" w:cs="宋体"/>
          <w:color w:val="auto"/>
          <w:sz w:val="24"/>
          <w:highlight w:val="none"/>
        </w:rPr>
      </w:pPr>
    </w:p>
    <w:p>
      <w:pPr>
        <w:tabs>
          <w:tab w:val="left" w:pos="851"/>
        </w:tabs>
        <w:spacing w:line="360" w:lineRule="auto"/>
        <w:ind w:firstLine="495"/>
        <w:rPr>
          <w:rFonts w:ascii="宋体" w:hAnsi="宋体" w:cs="宋体"/>
          <w:color w:val="auto"/>
          <w:sz w:val="24"/>
          <w:highlight w:val="none"/>
        </w:rPr>
      </w:pPr>
      <w:r>
        <w:rPr>
          <w:rFonts w:hint="eastAsia" w:ascii="宋体" w:hAnsi="宋体" w:cs="宋体"/>
          <w:color w:val="auto"/>
          <w:sz w:val="24"/>
          <w:highlight w:val="none"/>
        </w:rPr>
        <w:t>37.询问、质疑、投诉的接收和处理严格按照《中华人民共和国政府采购法》、《中华人民共和国政府采购法实施条例》、《财政部关于加强政府采购供应商投诉受理审查工作的通知》、《</w:t>
      </w:r>
      <w:r>
        <w:rPr>
          <w:rFonts w:hint="eastAsia" w:ascii="宋体" w:hAnsi="宋体" w:cs="宋体"/>
          <w:bCs/>
          <w:color w:val="auto"/>
          <w:sz w:val="24"/>
          <w:highlight w:val="none"/>
        </w:rPr>
        <w:t>政府采购质疑和投诉办法</w:t>
      </w:r>
      <w:r>
        <w:rPr>
          <w:rFonts w:hint="eastAsia" w:ascii="宋体" w:hAnsi="宋体" w:cs="宋体"/>
          <w:color w:val="auto"/>
          <w:sz w:val="24"/>
          <w:highlight w:val="none"/>
        </w:rPr>
        <w:t>》和四川省的有关规定办理（详细规定请在四川政府采购网政策法规模块查询）。</w:t>
      </w:r>
    </w:p>
    <w:p>
      <w:pPr>
        <w:tabs>
          <w:tab w:val="left" w:pos="851"/>
        </w:tabs>
        <w:spacing w:line="360" w:lineRule="auto"/>
        <w:jc w:val="center"/>
        <w:rPr>
          <w:rFonts w:ascii="宋体" w:hAnsi="宋体" w:cs="宋体"/>
          <w:color w:val="auto"/>
          <w:sz w:val="24"/>
          <w:highlight w:val="none"/>
        </w:rPr>
      </w:pPr>
    </w:p>
    <w:p>
      <w:pPr>
        <w:tabs>
          <w:tab w:val="left" w:pos="851"/>
        </w:tabs>
        <w:spacing w:line="360" w:lineRule="auto"/>
        <w:jc w:val="center"/>
        <w:outlineLvl w:val="1"/>
        <w:rPr>
          <w:rFonts w:ascii="宋体" w:hAnsi="宋体" w:cs="宋体"/>
          <w:b/>
          <w:color w:val="auto"/>
          <w:sz w:val="32"/>
          <w:szCs w:val="32"/>
          <w:highlight w:val="none"/>
        </w:rPr>
      </w:pPr>
      <w:bookmarkStart w:id="153" w:name="_Toc16669"/>
      <w:r>
        <w:rPr>
          <w:rFonts w:hint="eastAsia" w:ascii="宋体" w:hAnsi="宋体" w:cs="宋体"/>
          <w:b/>
          <w:color w:val="auto"/>
          <w:sz w:val="32"/>
          <w:szCs w:val="32"/>
          <w:highlight w:val="none"/>
        </w:rPr>
        <w:t>十、其  他</w:t>
      </w:r>
      <w:bookmarkEnd w:id="153"/>
    </w:p>
    <w:p>
      <w:pPr>
        <w:tabs>
          <w:tab w:val="left" w:pos="851"/>
        </w:tabs>
        <w:spacing w:line="360" w:lineRule="auto"/>
        <w:jc w:val="center"/>
        <w:rPr>
          <w:rFonts w:ascii="宋体" w:hAnsi="宋体" w:cs="宋体"/>
          <w:color w:val="auto"/>
          <w:sz w:val="24"/>
          <w:highlight w:val="none"/>
        </w:rPr>
      </w:pPr>
    </w:p>
    <w:p>
      <w:pPr>
        <w:tabs>
          <w:tab w:val="left" w:pos="851"/>
        </w:tabs>
        <w:spacing w:line="360" w:lineRule="auto"/>
        <w:rPr>
          <w:rFonts w:ascii="宋体" w:hAnsi="宋体" w:cs="宋体"/>
          <w:color w:val="auto"/>
          <w:sz w:val="24"/>
          <w:highlight w:val="none"/>
        </w:rPr>
      </w:pPr>
      <w:r>
        <w:rPr>
          <w:rFonts w:hint="eastAsia" w:ascii="宋体" w:hAnsi="宋体" w:cs="宋体"/>
          <w:color w:val="auto"/>
          <w:sz w:val="24"/>
          <w:highlight w:val="none"/>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39.</w:t>
      </w:r>
      <w:r>
        <w:rPr>
          <w:rFonts w:hint="eastAsia" w:ascii="宋体" w:hAnsi="宋体" w:cs="宋体"/>
          <w:b/>
          <w:color w:val="auto"/>
          <w:sz w:val="24"/>
          <w:highlight w:val="none"/>
        </w:rPr>
        <w:t>（实质性要求）</w:t>
      </w:r>
      <w:r>
        <w:rPr>
          <w:rFonts w:hint="eastAsia" w:ascii="宋体" w:hAnsi="宋体" w:cs="宋体"/>
          <w:color w:val="auto"/>
          <w:sz w:val="24"/>
          <w:highlight w:val="none"/>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40.</w:t>
      </w:r>
      <w:r>
        <w:rPr>
          <w:rFonts w:hint="eastAsia" w:ascii="宋体" w:hAnsi="宋体" w:cs="宋体"/>
          <w:b/>
          <w:color w:val="auto"/>
          <w:sz w:val="24"/>
          <w:highlight w:val="none"/>
        </w:rPr>
        <w:t>（实质性要求）</w:t>
      </w:r>
      <w:r>
        <w:rPr>
          <w:rFonts w:hint="eastAsia" w:ascii="宋体" w:hAnsi="宋体" w:cs="宋体"/>
          <w:color w:val="auto"/>
          <w:sz w:val="24"/>
          <w:highlight w:val="none"/>
        </w:rPr>
        <w:t>国家或行业主管部门对采购产品的技术标准、质量标准和资格资质条件等有强制性规定的，必须符合其要求。</w:t>
      </w:r>
      <w:bookmarkEnd w:id="151"/>
    </w:p>
    <w:p>
      <w:pPr>
        <w:pStyle w:val="29"/>
        <w:rPr>
          <w:rFonts w:ascii="宋体" w:hAnsi="宋体" w:cs="宋体"/>
          <w:color w:val="auto"/>
          <w:highlight w:val="none"/>
        </w:rPr>
      </w:pPr>
      <w:r>
        <w:rPr>
          <w:rFonts w:hint="eastAsia" w:ascii="宋体" w:hAnsi="宋体" w:cs="宋体"/>
          <w:color w:val="auto"/>
          <w:highlight w:val="none"/>
        </w:rPr>
        <w:br w:type="page"/>
      </w:r>
      <w:bookmarkStart w:id="154" w:name="_Toc13184"/>
      <w:bookmarkStart w:id="155" w:name="_Toc27564"/>
      <w:bookmarkStart w:id="156" w:name="_Toc511206477"/>
      <w:bookmarkStart w:id="157" w:name="PO_默认文件内容_26"/>
      <w:r>
        <w:rPr>
          <w:rFonts w:hint="eastAsia" w:ascii="宋体" w:hAnsi="宋体" w:cs="宋体"/>
          <w:color w:val="auto"/>
          <w:highlight w:val="none"/>
        </w:rPr>
        <w:t>第三章  供应商和报价产品的资格、资质性及其他类似效力要求</w:t>
      </w:r>
      <w:bookmarkEnd w:id="154"/>
      <w:bookmarkEnd w:id="155"/>
      <w:bookmarkEnd w:id="156"/>
    </w:p>
    <w:p>
      <w:pPr>
        <w:spacing w:line="360" w:lineRule="auto"/>
        <w:ind w:firstLine="542" w:firstLineChars="225"/>
        <w:outlineLvl w:val="1"/>
        <w:rPr>
          <w:rFonts w:ascii="宋体" w:hAnsi="宋体" w:cs="宋体"/>
          <w:b/>
          <w:bCs/>
          <w:color w:val="auto"/>
          <w:sz w:val="24"/>
          <w:highlight w:val="none"/>
        </w:rPr>
      </w:pPr>
      <w:bookmarkStart w:id="158" w:name="_Toc5904"/>
      <w:r>
        <w:rPr>
          <w:rFonts w:hint="eastAsia" w:ascii="宋体" w:hAnsi="宋体" w:cs="宋体"/>
          <w:b/>
          <w:bCs/>
          <w:color w:val="auto"/>
          <w:sz w:val="24"/>
          <w:highlight w:val="none"/>
        </w:rPr>
        <w:t>一、参加磋商的供应商应具备下列资格条件：</w:t>
      </w:r>
      <w:bookmarkEnd w:id="158"/>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（一）《中华人民共和国政府采购法》第二十二条第一款第1项至第6项规定的条件：</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3.具有履行合同所必须的设备和专业技术能力；</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5.参加本次政府采购活动前三年内，在经营活动中没有重大违法记录；</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6.符合法律、行政法规规定的其他条件；</w:t>
      </w:r>
    </w:p>
    <w:p>
      <w:pPr>
        <w:pStyle w:val="12"/>
        <w:ind w:firstLine="480" w:firstLineChars="200"/>
        <w:rPr>
          <w:rFonts w:ascii="宋体" w:hAnsi="宋体" w:cs="宋体"/>
          <w:color w:val="auto"/>
          <w:sz w:val="24"/>
          <w:highlight w:val="none"/>
        </w:rPr>
      </w:pPr>
      <w:r>
        <w:rPr>
          <w:rFonts w:hint="eastAsia" w:ascii="宋体" w:hAnsi="宋体" w:cs="宋体"/>
          <w:color w:val="auto"/>
          <w:sz w:val="24"/>
          <w:highlight w:val="none"/>
        </w:rPr>
        <w:t>7.供应商及其现任法定代表人、主要负责人不得具有行贿犯罪记录；</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8.具备建设行政主管部门颁发的建筑行业（建筑工程）设计乙级及以上资质；</w:t>
      </w:r>
    </w:p>
    <w:p>
      <w:pPr>
        <w:spacing w:after="120"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9.</w:t>
      </w:r>
      <w:r>
        <w:rPr>
          <w:rFonts w:hint="eastAsia" w:ascii="宋体" w:hAnsi="宋体" w:cs="宋体"/>
          <w:bCs/>
          <w:color w:val="auto"/>
          <w:sz w:val="24"/>
          <w:highlight w:val="none"/>
          <w:lang w:val="zh-CN"/>
        </w:rPr>
        <w:t>本项目为专门面向中小企业（含中型、小型、微型企业，监狱、残疾人福利企业视同为小微企业）采购项目，非中小企业不得参加本项目投标。</w:t>
      </w:r>
    </w:p>
    <w:p>
      <w:pPr>
        <w:pStyle w:val="12"/>
        <w:rPr>
          <w:color w:val="auto"/>
          <w:highlight w:val="none"/>
        </w:rPr>
      </w:pP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注：本项目不允许联合体参加。</w:t>
      </w:r>
    </w:p>
    <w:p>
      <w:pPr>
        <w:spacing w:line="360" w:lineRule="auto"/>
        <w:ind w:firstLine="542" w:firstLineChars="225"/>
        <w:rPr>
          <w:rFonts w:ascii="宋体" w:hAnsi="宋体" w:cs="宋体"/>
          <w:b/>
          <w:bCs/>
          <w:color w:val="auto"/>
          <w:sz w:val="24"/>
          <w:highlight w:val="none"/>
        </w:rPr>
      </w:pPr>
      <w:r>
        <w:rPr>
          <w:rFonts w:hint="eastAsia" w:ascii="宋体" w:hAnsi="宋体" w:cs="宋体"/>
          <w:b/>
          <w:bCs/>
          <w:color w:val="auto"/>
          <w:sz w:val="24"/>
          <w:highlight w:val="none"/>
        </w:rPr>
        <w:t>（二）其他类似效力要求：</w:t>
      </w:r>
    </w:p>
    <w:p>
      <w:pPr>
        <w:spacing w:line="360" w:lineRule="auto"/>
        <w:ind w:firstLine="540" w:firstLineChars="225"/>
        <w:rPr>
          <w:color w:val="auto"/>
          <w:highlight w:val="none"/>
        </w:rPr>
      </w:pPr>
      <w:r>
        <w:rPr>
          <w:rFonts w:hint="eastAsia" w:ascii="宋体" w:hAnsi="宋体" w:cs="宋体"/>
          <w:color w:val="auto"/>
          <w:sz w:val="24"/>
          <w:highlight w:val="none"/>
        </w:rPr>
        <w:t>1.授权参加本次采购活动的供应商代表证明材料。</w:t>
      </w:r>
    </w:p>
    <w:p>
      <w:pPr>
        <w:spacing w:line="360" w:lineRule="auto"/>
        <w:ind w:firstLine="540" w:firstLineChars="225"/>
        <w:outlineLvl w:val="1"/>
        <w:rPr>
          <w:rFonts w:ascii="宋体" w:hAnsi="宋体" w:cs="宋体"/>
          <w:color w:val="auto"/>
          <w:sz w:val="24"/>
          <w:highlight w:val="none"/>
        </w:rPr>
      </w:pPr>
      <w:bookmarkStart w:id="159" w:name="_Toc2592"/>
      <w:r>
        <w:rPr>
          <w:rFonts w:hint="eastAsia" w:ascii="宋体" w:hAnsi="宋体" w:cs="宋体"/>
          <w:color w:val="auto"/>
          <w:sz w:val="24"/>
          <w:highlight w:val="none"/>
        </w:rPr>
        <w:t>二、报价产品的资格、资质性及其他类似效力要求</w:t>
      </w:r>
      <w:bookmarkEnd w:id="159"/>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无。</w:t>
      </w:r>
    </w:p>
    <w:p>
      <w:pPr>
        <w:spacing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360" w:lineRule="auto"/>
        <w:ind w:firstLine="1020" w:firstLineChars="425"/>
        <w:rPr>
          <w:rFonts w:ascii="宋体" w:hAnsi="宋体" w:cs="宋体"/>
          <w:color w:val="auto"/>
          <w:sz w:val="24"/>
          <w:highlight w:val="none"/>
        </w:rPr>
      </w:pPr>
      <w:r>
        <w:rPr>
          <w:rFonts w:hint="eastAsia" w:ascii="宋体" w:hAnsi="宋体" w:cs="宋体"/>
          <w:color w:val="auto"/>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br w:type="page"/>
      </w:r>
    </w:p>
    <w:p>
      <w:pPr>
        <w:pStyle w:val="29"/>
        <w:spacing w:line="360" w:lineRule="auto"/>
        <w:rPr>
          <w:rFonts w:ascii="宋体" w:hAnsi="宋体" w:cs="宋体"/>
          <w:color w:val="auto"/>
          <w:sz w:val="28"/>
          <w:szCs w:val="28"/>
          <w:highlight w:val="none"/>
        </w:rPr>
      </w:pPr>
      <w:bookmarkStart w:id="160" w:name="_Toc19195"/>
      <w:bookmarkStart w:id="161" w:name="_Toc511206478"/>
      <w:bookmarkStart w:id="162" w:name="_Toc11745"/>
      <w:r>
        <w:rPr>
          <w:rFonts w:hint="eastAsia" w:ascii="宋体" w:hAnsi="宋体" w:cs="宋体"/>
          <w:color w:val="auto"/>
          <w:highlight w:val="none"/>
        </w:rPr>
        <w:t>第四章  供应商应当提供的资格、资质性及其他类似效力要求的相关证明材料</w:t>
      </w:r>
      <w:bookmarkEnd w:id="160"/>
      <w:bookmarkEnd w:id="161"/>
      <w:bookmarkEnd w:id="162"/>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一、应当提供的供应商资格、资质性及其他类似效力要求的相关证明材料</w:t>
      </w:r>
    </w:p>
    <w:p>
      <w:pPr>
        <w:spacing w:line="360" w:lineRule="auto"/>
        <w:ind w:firstLine="236" w:firstLineChars="98"/>
        <w:outlineLvl w:val="1"/>
        <w:rPr>
          <w:rFonts w:ascii="宋体" w:hAnsi="宋体" w:cs="宋体"/>
          <w:b/>
          <w:bCs/>
          <w:color w:val="auto"/>
          <w:sz w:val="24"/>
          <w:highlight w:val="none"/>
        </w:rPr>
      </w:pPr>
      <w:bookmarkStart w:id="163" w:name="_Toc2365"/>
      <w:r>
        <w:rPr>
          <w:rFonts w:hint="eastAsia" w:ascii="宋体" w:hAnsi="宋体" w:cs="宋体"/>
          <w:b/>
          <w:bCs/>
          <w:color w:val="auto"/>
          <w:sz w:val="24"/>
          <w:highlight w:val="none"/>
        </w:rPr>
        <w:t>（一）资格要求相关证明材料：</w:t>
      </w:r>
      <w:bookmarkEnd w:id="163"/>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2、具备良好商业信誉的证明材料（提供承诺函）；</w:t>
      </w:r>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3、具备健全的财务会计制度的证明材料。｛注：①可提供2019或2020年度资产负债表复印件，②也可提供截至响应文件递交截止日一年内银行出具的资信证明（复印件），③供应商注册时间截至响应文件递交截止日不足一年的，也可提供在工商备案的公司章程或任意一个月的资产负债表（复印件），</w:t>
      </w:r>
      <w:r>
        <w:rPr>
          <w:rFonts w:hint="eastAsia" w:cs="宋体"/>
          <w:color w:val="auto"/>
          <w:sz w:val="24"/>
          <w:highlight w:val="none"/>
        </w:rPr>
        <w:t>④如果供应商为事业单位，根据实际情况提供证明材料</w:t>
      </w:r>
      <w:r>
        <w:rPr>
          <w:rFonts w:hint="eastAsia" w:ascii="宋体" w:hAnsi="宋体" w:cs="宋体"/>
          <w:color w:val="auto"/>
          <w:sz w:val="24"/>
          <w:highlight w:val="none"/>
        </w:rPr>
        <w:t>。｝</w:t>
      </w:r>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①提供2020年以来任意一个月缴纳税收和社保资金的证明材料复印件。税收提供税务部门开具的收据或网银转帐回执单等有效证明材料；社保资金提供社保部门开具的收据或网银转帐回执单或社保部门出具的已缴费证明等有效证明材料。②</w:t>
      </w:r>
      <w:r>
        <w:rPr>
          <w:rFonts w:hint="eastAsia" w:ascii="宋体" w:hAnsi="宋体" w:cs="宋体"/>
          <w:color w:val="auto"/>
          <w:sz w:val="24"/>
          <w:highlight w:val="none"/>
          <w:lang w:val="zh-CN"/>
        </w:rPr>
        <w:t>依法免税或不需要缴纳社会保障资金的供应商，应提供相应文件证明其依法免税或不需要缴纳社会保障资金</w:t>
      </w:r>
      <w:r>
        <w:rPr>
          <w:rFonts w:hint="eastAsia" w:ascii="宋体" w:hAnsi="宋体" w:cs="宋体"/>
          <w:color w:val="auto"/>
          <w:sz w:val="24"/>
          <w:highlight w:val="none"/>
        </w:rPr>
        <w:t>。）；</w:t>
      </w:r>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5、具备履行合同所必需的设备和专业技术能力的证明材料（提供承诺函）；</w:t>
      </w:r>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6、参加政府采购活动前3年内在经营活动中没有重大违法记录（提供承诺函）；</w:t>
      </w:r>
    </w:p>
    <w:p>
      <w:pPr>
        <w:spacing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7、具备法律、行政法规规定的其他条件的证明材料（本项目对此项无规定，提供有效的营业执照复印件即可）；</w:t>
      </w:r>
    </w:p>
    <w:p>
      <w:pPr>
        <w:spacing w:line="360" w:lineRule="auto"/>
        <w:ind w:left="488" w:leftChars="228" w:hanging="9" w:hangingChars="4"/>
        <w:rPr>
          <w:rFonts w:ascii="宋体" w:hAnsi="宋体" w:cs="宋体"/>
          <w:color w:val="auto"/>
          <w:sz w:val="24"/>
          <w:highlight w:val="none"/>
        </w:rPr>
      </w:pPr>
      <w:r>
        <w:rPr>
          <w:rFonts w:hint="eastAsia" w:ascii="宋体" w:hAnsi="宋体" w:cs="宋体"/>
          <w:color w:val="auto"/>
          <w:sz w:val="24"/>
          <w:highlight w:val="none"/>
        </w:rPr>
        <w:t>8、供应商及其现任法定代表人、主要负责人不得具有行贿犯罪记录（提供承诺函）。</w:t>
      </w:r>
    </w:p>
    <w:p>
      <w:pPr>
        <w:spacing w:after="50" w:line="360" w:lineRule="auto"/>
        <w:ind w:firstLine="480"/>
        <w:outlineLvl w:val="1"/>
        <w:rPr>
          <w:rFonts w:ascii="宋体" w:hAnsi="宋体" w:cs="宋体"/>
          <w:color w:val="auto"/>
          <w:sz w:val="24"/>
          <w:highlight w:val="none"/>
        </w:rPr>
      </w:pPr>
      <w:bookmarkStart w:id="164" w:name="_Toc11007"/>
      <w:r>
        <w:rPr>
          <w:rFonts w:hint="eastAsia" w:ascii="宋体" w:hAnsi="宋体" w:cs="宋体"/>
          <w:color w:val="auto"/>
          <w:sz w:val="24"/>
          <w:highlight w:val="none"/>
        </w:rPr>
        <w:t xml:space="preserve">9、提供具备建设行政主管部门颁发的建筑行业（建筑工程）设计乙级及以上资质。   </w:t>
      </w:r>
    </w:p>
    <w:p>
      <w:pPr>
        <w:spacing w:after="120" w:line="440" w:lineRule="exact"/>
        <w:ind w:firstLine="480" w:firstLineChars="200"/>
        <w:rPr>
          <w:b/>
          <w:bCs/>
          <w:color w:val="auto"/>
          <w:highlight w:val="none"/>
        </w:rPr>
      </w:pPr>
      <w:r>
        <w:rPr>
          <w:rFonts w:hint="eastAsia" w:ascii="宋体" w:hAnsi="宋体" w:cs="宋体"/>
          <w:color w:val="auto"/>
          <w:sz w:val="24"/>
          <w:highlight w:val="none"/>
        </w:rPr>
        <w:t>10、</w:t>
      </w:r>
      <w:r>
        <w:rPr>
          <w:rFonts w:hint="eastAsia" w:ascii="宋体" w:hAnsi="宋体" w:cs="宋体"/>
          <w:color w:val="auto"/>
          <w:sz w:val="24"/>
          <w:highlight w:val="none"/>
          <w:lang w:val="zh-CN"/>
        </w:rPr>
        <w:t>本项目为专门面向中小企业（含中型、小型、微型企业，监狱、残疾人福利企业视同为小微企业）采购项目，非中小企业不得参加本项目投标（提供中小企业声明函或残疾人福利性单位声明函，格式见</w:t>
      </w:r>
      <w:r>
        <w:rPr>
          <w:rFonts w:hint="eastAsia" w:ascii="宋体" w:hAnsi="宋体" w:cs="宋体"/>
          <w:color w:val="auto"/>
          <w:sz w:val="24"/>
          <w:highlight w:val="none"/>
        </w:rPr>
        <w:t>磋商文件</w:t>
      </w:r>
      <w:r>
        <w:rPr>
          <w:rFonts w:hint="eastAsia" w:ascii="宋体" w:hAnsi="宋体" w:cs="宋体"/>
          <w:color w:val="auto"/>
          <w:sz w:val="24"/>
          <w:highlight w:val="none"/>
          <w:lang w:val="zh-CN"/>
        </w:rPr>
        <w:t>第</w:t>
      </w:r>
      <w:r>
        <w:rPr>
          <w:rFonts w:hint="eastAsia" w:ascii="宋体" w:hAnsi="宋体" w:cs="宋体"/>
          <w:color w:val="auto"/>
          <w:sz w:val="24"/>
          <w:highlight w:val="none"/>
        </w:rPr>
        <w:t>八</w:t>
      </w:r>
      <w:r>
        <w:rPr>
          <w:rFonts w:hint="eastAsia" w:ascii="宋体" w:hAnsi="宋体" w:cs="宋体"/>
          <w:color w:val="auto"/>
          <w:sz w:val="24"/>
          <w:highlight w:val="none"/>
          <w:lang w:val="zh-CN"/>
        </w:rPr>
        <w:t>章）</w:t>
      </w:r>
      <w:r>
        <w:rPr>
          <w:rFonts w:hint="eastAsia" w:ascii="宋体" w:hAnsi="宋体" w:cs="宋体"/>
          <w:bCs/>
          <w:color w:val="auto"/>
          <w:sz w:val="24"/>
          <w:highlight w:val="none"/>
          <w:lang w:val="zh-CN"/>
        </w:rPr>
        <w:t>。</w:t>
      </w:r>
    </w:p>
    <w:p>
      <w:pPr>
        <w:spacing w:after="50" w:line="360" w:lineRule="auto"/>
        <w:ind w:firstLine="480"/>
        <w:outlineLvl w:val="1"/>
        <w:rPr>
          <w:rFonts w:ascii="宋体" w:hAnsi="宋体" w:cs="宋体"/>
          <w:b/>
          <w:bCs/>
          <w:color w:val="auto"/>
          <w:sz w:val="24"/>
          <w:highlight w:val="none"/>
        </w:rPr>
      </w:pPr>
      <w:r>
        <w:rPr>
          <w:rFonts w:hint="eastAsia" w:ascii="宋体" w:hAnsi="宋体" w:cs="宋体"/>
          <w:b/>
          <w:bCs/>
          <w:color w:val="auto"/>
          <w:sz w:val="24"/>
          <w:highlight w:val="none"/>
        </w:rPr>
        <w:t>（二）其他类似效力要求相关证明材料：</w:t>
      </w:r>
      <w:bookmarkEnd w:id="164"/>
    </w:p>
    <w:p>
      <w:pPr>
        <w:spacing w:after="50" w:line="360" w:lineRule="auto"/>
        <w:ind w:firstLine="480"/>
        <w:rPr>
          <w:rFonts w:ascii="宋体" w:hAnsi="宋体" w:cs="宋体"/>
          <w:color w:val="auto"/>
          <w:sz w:val="24"/>
          <w:highlight w:val="none"/>
        </w:rPr>
      </w:pPr>
      <w:r>
        <w:rPr>
          <w:rFonts w:hint="eastAsia" w:ascii="宋体" w:hAnsi="宋体" w:cs="宋体"/>
          <w:color w:val="auto"/>
          <w:sz w:val="24"/>
          <w:highlight w:val="none"/>
        </w:rPr>
        <w:t>（1）法定代表人/单位负责人身份证明材料复印件。</w:t>
      </w:r>
    </w:p>
    <w:p>
      <w:pPr>
        <w:spacing w:after="50" w:line="360" w:lineRule="auto"/>
        <w:ind w:firstLine="480"/>
        <w:rPr>
          <w:rFonts w:ascii="宋体" w:hAnsi="宋体" w:cs="宋体"/>
          <w:color w:val="auto"/>
          <w:sz w:val="24"/>
          <w:highlight w:val="none"/>
        </w:rPr>
      </w:pPr>
      <w:r>
        <w:rPr>
          <w:rFonts w:hint="eastAsia" w:ascii="宋体" w:hAnsi="宋体" w:cs="宋体"/>
          <w:color w:val="auto"/>
          <w:sz w:val="24"/>
          <w:highlight w:val="none"/>
        </w:rPr>
        <w:t>（2）法定代表人/单位负责人授权代理书原件及代理人身份证明材料复印件（注：①法定代表人/单位负责人授权代理书原件需加盖公章；②如响应文件均由供应商法定代表人/单位负责人签字的且法定代表人/单位负责人本人参与磋商的，则可不提供。）</w:t>
      </w:r>
    </w:p>
    <w:p>
      <w:pPr>
        <w:spacing w:after="50" w:line="420" w:lineRule="exact"/>
        <w:ind w:firstLine="480"/>
        <w:rPr>
          <w:rFonts w:ascii="宋体" w:hAnsi="宋体" w:cs="宋体"/>
          <w:color w:val="auto"/>
          <w:sz w:val="24"/>
          <w:highlight w:val="none"/>
        </w:rPr>
      </w:pPr>
      <w:r>
        <w:rPr>
          <w:rFonts w:hint="eastAsia" w:ascii="宋体" w:hAnsi="宋体" w:cs="宋体"/>
          <w:color w:val="auto"/>
          <w:sz w:val="24"/>
          <w:highlight w:val="none"/>
        </w:rPr>
        <w:t>二、供应商应提供的报价产品的资格、资质性及其他类似效力要求的相关证明材料：无。</w:t>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注：1、以上要求的资料复印件（身份证明材料除外）均须加盖供应商单位的公章（鲜章）。</w:t>
      </w:r>
    </w:p>
    <w:p>
      <w:pPr>
        <w:spacing w:line="360" w:lineRule="auto"/>
        <w:ind w:firstLine="463" w:firstLineChars="192"/>
        <w:rPr>
          <w:rFonts w:ascii="宋体" w:hAnsi="宋体" w:cs="宋体"/>
          <w:color w:val="auto"/>
          <w:highlight w:val="none"/>
        </w:rPr>
      </w:pPr>
      <w:r>
        <w:rPr>
          <w:rFonts w:hint="eastAsia" w:ascii="宋体" w:hAnsi="宋体" w:cs="宋体"/>
          <w:b/>
          <w:color w:val="auto"/>
          <w:kern w:val="0"/>
          <w:sz w:val="24"/>
          <w:highlight w:val="none"/>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w:t>
      </w:r>
      <w:bookmarkEnd w:id="157"/>
    </w:p>
    <w:p>
      <w:pPr>
        <w:spacing w:after="50" w:line="420" w:lineRule="exact"/>
        <w:rPr>
          <w:rFonts w:ascii="宋体" w:hAnsi="宋体" w:cs="宋体"/>
          <w:color w:val="auto"/>
          <w:sz w:val="24"/>
          <w:highlight w:val="none"/>
        </w:rPr>
      </w:pPr>
      <w:r>
        <w:rPr>
          <w:rFonts w:hint="eastAsia" w:ascii="宋体" w:hAnsi="宋体" w:cs="宋体"/>
          <w:color w:val="auto"/>
          <w:sz w:val="24"/>
          <w:highlight w:val="none"/>
        </w:rPr>
        <w:br w:type="page"/>
      </w:r>
    </w:p>
    <w:p>
      <w:pPr>
        <w:pStyle w:val="29"/>
        <w:rPr>
          <w:rFonts w:ascii="宋体" w:hAnsi="宋体" w:cs="宋体"/>
          <w:color w:val="auto"/>
          <w:highlight w:val="none"/>
        </w:rPr>
      </w:pPr>
      <w:bookmarkStart w:id="165" w:name="_Toc21287"/>
      <w:bookmarkStart w:id="166" w:name="_Toc25069"/>
      <w:bookmarkStart w:id="167" w:name="_Toc511206479"/>
      <w:r>
        <w:rPr>
          <w:rFonts w:hint="eastAsia" w:ascii="宋体" w:hAnsi="宋体" w:cs="宋体"/>
          <w:color w:val="auto"/>
          <w:highlight w:val="none"/>
        </w:rPr>
        <w:t>第五章  采购项目技术、服务、政府采购合同内容条款及其他商务要求</w:t>
      </w:r>
      <w:bookmarkEnd w:id="165"/>
      <w:bookmarkEnd w:id="166"/>
      <w:bookmarkEnd w:id="167"/>
    </w:p>
    <w:p>
      <w:pPr>
        <w:pStyle w:val="4"/>
        <w:keepNext w:val="0"/>
        <w:keepLines w:val="0"/>
        <w:spacing w:before="0" w:after="0" w:line="400" w:lineRule="exact"/>
        <w:ind w:firstLine="118" w:firstLineChars="49"/>
        <w:jc w:val="left"/>
        <w:rPr>
          <w:rFonts w:ascii="宋体" w:hAnsi="宋体" w:eastAsia="宋体" w:cs="宋体"/>
          <w:color w:val="auto"/>
          <w:sz w:val="24"/>
          <w:szCs w:val="24"/>
          <w:highlight w:val="none"/>
        </w:rPr>
      </w:pPr>
    </w:p>
    <w:p>
      <w:pPr>
        <w:pStyle w:val="4"/>
        <w:keepNext w:val="0"/>
        <w:keepLines w:val="0"/>
        <w:spacing w:before="0" w:after="0" w:line="360" w:lineRule="auto"/>
        <w:ind w:firstLine="118" w:firstLineChars="49"/>
        <w:jc w:val="left"/>
        <w:rPr>
          <w:rFonts w:ascii="宋体" w:hAnsi="宋体"/>
          <w:b w:val="0"/>
          <w:bCs w:val="0"/>
          <w:color w:val="auto"/>
          <w:kern w:val="0"/>
          <w:sz w:val="24"/>
          <w:szCs w:val="20"/>
          <w:highlight w:val="none"/>
        </w:rPr>
      </w:pPr>
      <w:bookmarkStart w:id="168" w:name="_Toc29031"/>
      <w:bookmarkStart w:id="169" w:name="_Toc30609"/>
      <w:bookmarkStart w:id="170" w:name="_Toc427147463"/>
      <w:bookmarkStart w:id="171" w:name="_Toc10128"/>
      <w:bookmarkStart w:id="172" w:name="_Toc28411"/>
      <w:bookmarkStart w:id="173" w:name="PO_默认文件内容_27"/>
      <w:r>
        <w:rPr>
          <w:rFonts w:hint="eastAsia" w:ascii="宋体" w:hAnsi="宋体" w:eastAsia="宋体" w:cs="宋体"/>
          <w:color w:val="auto"/>
          <w:sz w:val="24"/>
          <w:szCs w:val="24"/>
          <w:highlight w:val="none"/>
        </w:rPr>
        <w:t>前提：本章采购需求中标注“*”号的条款为本次磋商采购项目的实质性要求，供应商应全部满足。</w:t>
      </w:r>
      <w:bookmarkEnd w:id="168"/>
      <w:bookmarkEnd w:id="169"/>
    </w:p>
    <w:p>
      <w:pPr>
        <w:spacing w:line="360" w:lineRule="auto"/>
        <w:rPr>
          <w:color w:val="auto"/>
          <w:highlight w:val="none"/>
        </w:rPr>
      </w:pPr>
    </w:p>
    <w:bookmarkEnd w:id="170"/>
    <w:bookmarkEnd w:id="171"/>
    <w:bookmarkEnd w:id="172"/>
    <w:p>
      <w:pPr>
        <w:spacing w:line="500" w:lineRule="exact"/>
        <w:ind w:firstLine="482"/>
        <w:rPr>
          <w:rFonts w:cs="宋体"/>
          <w:color w:val="auto"/>
          <w:highlight w:val="none"/>
        </w:rPr>
      </w:pPr>
      <w:r>
        <w:rPr>
          <w:rFonts w:hint="eastAsia" w:cs="宋体"/>
          <w:b/>
          <w:bCs/>
          <w:color w:val="auto"/>
          <w:highlight w:val="none"/>
        </w:rPr>
        <w:t>一、 项目概况</w:t>
      </w:r>
      <w:r>
        <w:rPr>
          <w:rFonts w:hint="eastAsia" w:cs="宋体"/>
          <w:color w:val="auto"/>
          <w:highlight w:val="none"/>
        </w:rPr>
        <w:t xml:space="preserve"> </w:t>
      </w:r>
    </w:p>
    <w:p>
      <w:pPr>
        <w:spacing w:line="500" w:lineRule="exact"/>
        <w:ind w:firstLine="482"/>
        <w:rPr>
          <w:rFonts w:cs="宋体"/>
          <w:color w:val="auto"/>
          <w:highlight w:val="none"/>
        </w:rPr>
      </w:pPr>
      <w:r>
        <w:rPr>
          <w:rFonts w:hint="eastAsia" w:cs="宋体"/>
          <w:color w:val="auto"/>
          <w:highlight w:val="none"/>
        </w:rPr>
        <w:t>本项目主要涉及桂湖中路、桂湖东路（钟楼至东环路段）两侧建筑物外立面品质提升及街道空间品质提升两部分。建筑物外立面品质提升共计23栋建筑，其中综合整治类18栋，提升类2栋，现状保留类3栋，主要包含店面店招整治、新增夜景灯光以及外立面提升等；街道空间品质提升主要包含沿线地面绿化约1142.55㎡、非机动车道翻新约2043.83㎡、新增人行道组合车档等。</w:t>
      </w:r>
    </w:p>
    <w:p>
      <w:pPr>
        <w:spacing w:line="500" w:lineRule="exact"/>
        <w:ind w:firstLine="482"/>
        <w:rPr>
          <w:rFonts w:cs="宋体"/>
          <w:b/>
          <w:bCs/>
          <w:color w:val="auto"/>
          <w:highlight w:val="none"/>
        </w:rPr>
      </w:pPr>
      <w:r>
        <w:rPr>
          <w:rFonts w:hint="eastAsia" w:cs="宋体"/>
          <w:b/>
          <w:bCs/>
          <w:color w:val="auto"/>
          <w:highlight w:val="none"/>
        </w:rPr>
        <w:t xml:space="preserve">★二、 服务的内容及要求 </w:t>
      </w:r>
    </w:p>
    <w:p>
      <w:pPr>
        <w:tabs>
          <w:tab w:val="left" w:pos="5000"/>
        </w:tabs>
        <w:spacing w:line="276" w:lineRule="auto"/>
        <w:ind w:firstLine="560"/>
        <w:rPr>
          <w:rFonts w:cs="宋体"/>
          <w:color w:val="auto"/>
          <w:highlight w:val="none"/>
        </w:rPr>
      </w:pPr>
      <w:r>
        <w:rPr>
          <w:rFonts w:hint="eastAsia" w:cs="宋体"/>
          <w:color w:val="auto"/>
          <w:highlight w:val="none"/>
        </w:rPr>
        <w:t xml:space="preserve"> 1、服务内容：</w:t>
      </w:r>
      <w:r>
        <w:rPr>
          <w:rFonts w:hint="eastAsia" w:cs="宋体"/>
          <w:color w:val="auto"/>
          <w:highlight w:val="none"/>
          <w:lang w:val="zh-CN" w:eastAsia="zh-CN"/>
        </w:rPr>
        <w:t>深化</w:t>
      </w:r>
      <w:r>
        <w:rPr>
          <w:rFonts w:hint="eastAsia" w:cs="宋体"/>
          <w:color w:val="auto"/>
          <w:highlight w:val="none"/>
          <w:lang w:val="zh-CN"/>
        </w:rPr>
        <w:t>方案设计、初步设计及施工图设计，完成设计全套成果资料制作以及施工过程中的全过程设计服务及协调工作，设计后期的跟踪服务，具体设计服务范围以合同签订为准。</w:t>
      </w:r>
    </w:p>
    <w:p>
      <w:pPr>
        <w:spacing w:line="500" w:lineRule="exact"/>
        <w:ind w:firstLine="480"/>
        <w:rPr>
          <w:rFonts w:cs="宋体"/>
          <w:color w:val="auto"/>
          <w:highlight w:val="none"/>
        </w:rPr>
      </w:pPr>
      <w:r>
        <w:rPr>
          <w:rFonts w:hint="eastAsia" w:cs="宋体"/>
          <w:color w:val="auto"/>
          <w:highlight w:val="none"/>
        </w:rPr>
        <w:t>2、技术、服务要求</w:t>
      </w:r>
    </w:p>
    <w:p>
      <w:pPr>
        <w:spacing w:line="500" w:lineRule="exact"/>
        <w:ind w:firstLine="480"/>
        <w:rPr>
          <w:rFonts w:cs="宋体"/>
          <w:color w:val="auto"/>
          <w:highlight w:val="none"/>
        </w:rPr>
      </w:pPr>
      <w:r>
        <w:rPr>
          <w:rFonts w:hint="eastAsia" w:cs="宋体"/>
          <w:color w:val="auto"/>
          <w:highlight w:val="none"/>
        </w:rPr>
        <w:t>1）设计必须执行国家最新的强制标准和国家或行业的最新的规范。</w:t>
      </w:r>
    </w:p>
    <w:p>
      <w:pPr>
        <w:spacing w:line="500" w:lineRule="exact"/>
        <w:ind w:firstLine="480"/>
        <w:rPr>
          <w:rFonts w:cs="宋体"/>
          <w:color w:val="auto"/>
          <w:highlight w:val="none"/>
        </w:rPr>
      </w:pPr>
      <w:r>
        <w:rPr>
          <w:rFonts w:hint="eastAsia" w:cs="宋体"/>
          <w:color w:val="auto"/>
          <w:highlight w:val="none"/>
        </w:rPr>
        <w:t>2）最终设计成果需经过审图机构审图，并通过审批。</w:t>
      </w:r>
    </w:p>
    <w:p>
      <w:pPr>
        <w:spacing w:line="500" w:lineRule="exact"/>
        <w:ind w:firstLine="480"/>
        <w:rPr>
          <w:rFonts w:cs="宋体"/>
          <w:color w:val="auto"/>
          <w:highlight w:val="none"/>
        </w:rPr>
      </w:pPr>
      <w:r>
        <w:rPr>
          <w:rFonts w:hint="eastAsia" w:cs="宋体"/>
          <w:color w:val="auto"/>
          <w:highlight w:val="none"/>
        </w:rPr>
        <w:t>3、成果要求：</w:t>
      </w:r>
      <w:r>
        <w:rPr>
          <w:rFonts w:hint="eastAsia"/>
          <w:b w:val="0"/>
          <w:bCs w:val="0"/>
          <w:color w:val="auto"/>
          <w:highlight w:val="none"/>
          <w:lang w:val="zh-CN"/>
        </w:rPr>
        <w:t>深化方案设计（含电子版）4份、初步设计（含电子版）4份、施工图设计（含电子版）8份，其他资料另行协商以发包人具体要求为准。</w:t>
      </w:r>
    </w:p>
    <w:p>
      <w:pPr>
        <w:spacing w:line="500" w:lineRule="exact"/>
        <w:ind w:firstLine="482"/>
        <w:rPr>
          <w:color w:val="auto"/>
          <w:highlight w:val="none"/>
        </w:rPr>
      </w:pPr>
      <w:r>
        <w:rPr>
          <w:rFonts w:hint="eastAsia" w:cs="宋体"/>
          <w:b/>
          <w:bCs/>
          <w:color w:val="auto"/>
          <w:highlight w:val="none"/>
        </w:rPr>
        <w:t xml:space="preserve">★三、 </w:t>
      </w:r>
      <w:r>
        <w:rPr>
          <w:rFonts w:hint="eastAsia" w:cs="宋体"/>
          <w:b/>
          <w:bCs/>
          <w:color w:val="auto"/>
          <w:szCs w:val="22"/>
          <w:highlight w:val="none"/>
        </w:rPr>
        <w:t>服务周期</w:t>
      </w:r>
      <w:r>
        <w:rPr>
          <w:rFonts w:hint="eastAsia" w:cs="宋体"/>
          <w:color w:val="auto"/>
          <w:highlight w:val="none"/>
        </w:rPr>
        <w:t>：</w:t>
      </w:r>
      <w:r>
        <w:rPr>
          <w:rFonts w:hint="eastAsia" w:cs="宋体"/>
          <w:color w:val="auto"/>
          <w:highlight w:val="none"/>
          <w:lang w:val="en-US" w:eastAsia="zh-CN"/>
        </w:rPr>
        <w:t>15</w:t>
      </w:r>
      <w:r>
        <w:rPr>
          <w:rFonts w:hint="eastAsia" w:cs="宋体"/>
          <w:color w:val="auto"/>
          <w:highlight w:val="none"/>
        </w:rPr>
        <w:t>日历天</w:t>
      </w:r>
    </w:p>
    <w:p>
      <w:pPr>
        <w:tabs>
          <w:tab w:val="left" w:pos="1440"/>
        </w:tabs>
        <w:spacing w:line="360" w:lineRule="auto"/>
        <w:ind w:firstLine="480"/>
        <w:rPr>
          <w:rFonts w:cs="宋体"/>
          <w:b/>
          <w:bCs/>
          <w:color w:val="auto"/>
          <w:highlight w:val="none"/>
          <w:lang w:val="zh-TW" w:eastAsia="zh-TW"/>
        </w:rPr>
      </w:pPr>
      <w:r>
        <w:rPr>
          <w:rFonts w:hint="eastAsia" w:cs="宋体"/>
          <w:color w:val="auto"/>
          <w:highlight w:val="none"/>
        </w:rPr>
        <w:t xml:space="preserve"> </w:t>
      </w:r>
      <w:bookmarkStart w:id="174" w:name="_Toc11587"/>
      <w:bookmarkStart w:id="175" w:name="_Toc518545927"/>
      <w:bookmarkStart w:id="176" w:name="_Toc24"/>
      <w:bookmarkStart w:id="177" w:name="_Toc3965583"/>
      <w:bookmarkStart w:id="178" w:name="_Toc4775527"/>
      <w:bookmarkStart w:id="179" w:name="_Toc15686"/>
      <w:r>
        <w:rPr>
          <w:rFonts w:hint="eastAsia" w:cs="宋体"/>
          <w:b/>
          <w:bCs/>
          <w:color w:val="auto"/>
          <w:highlight w:val="none"/>
        </w:rPr>
        <w:t>四</w:t>
      </w:r>
      <w:r>
        <w:rPr>
          <w:rFonts w:hint="eastAsia" w:cs="宋体"/>
          <w:b/>
          <w:bCs/>
          <w:color w:val="auto"/>
          <w:highlight w:val="none"/>
          <w:lang w:val="zh-TW" w:eastAsia="zh-TW"/>
        </w:rPr>
        <w:t>、商务要求</w:t>
      </w:r>
      <w:bookmarkEnd w:id="174"/>
      <w:bookmarkEnd w:id="175"/>
      <w:bookmarkEnd w:id="176"/>
      <w:bookmarkEnd w:id="177"/>
      <w:bookmarkEnd w:id="178"/>
      <w:bookmarkEnd w:id="179"/>
    </w:p>
    <w:p>
      <w:pPr>
        <w:tabs>
          <w:tab w:val="left" w:pos="1440"/>
        </w:tabs>
        <w:spacing w:line="360" w:lineRule="auto"/>
        <w:ind w:firstLine="480"/>
        <w:rPr>
          <w:color w:val="auto"/>
          <w:highlight w:val="none"/>
        </w:rPr>
      </w:pPr>
      <w:r>
        <w:rPr>
          <w:rFonts w:hint="eastAsia"/>
          <w:color w:val="auto"/>
          <w:highlight w:val="none"/>
        </w:rPr>
        <w:t>1．服务地点： 成都市新都区</w:t>
      </w:r>
    </w:p>
    <w:p>
      <w:pPr>
        <w:numPr>
          <w:ilvl w:val="0"/>
          <w:numId w:val="2"/>
        </w:numPr>
        <w:tabs>
          <w:tab w:val="left" w:pos="1440"/>
        </w:tabs>
        <w:spacing w:line="360" w:lineRule="auto"/>
        <w:ind w:firstLine="480"/>
        <w:rPr>
          <w:color w:val="auto"/>
          <w:highlight w:val="none"/>
        </w:rPr>
      </w:pPr>
      <w:r>
        <w:rPr>
          <w:rFonts w:hint="eastAsia"/>
          <w:color w:val="auto"/>
          <w:highlight w:val="none"/>
        </w:rPr>
        <w:t xml:space="preserve">付款方法和条件： </w:t>
      </w:r>
      <w:r>
        <w:rPr>
          <w:rFonts w:hint="eastAsia"/>
          <w:color w:val="auto"/>
          <w:highlight w:val="none"/>
          <w:lang w:val="zh-CN"/>
        </w:rPr>
        <w:t>合同签订生效后，采购人向成交供应商支付合同金额的30%；成交供应商提供的施工图成果取得采购人及有关部门评审通过后，采购人向成交供应商支付至合同金额的70%；项目整体验收合格后支付至结算金额的100%。</w:t>
      </w:r>
    </w:p>
    <w:p>
      <w:pPr>
        <w:numPr>
          <w:ilvl w:val="0"/>
          <w:numId w:val="2"/>
        </w:numPr>
        <w:tabs>
          <w:tab w:val="left" w:pos="1440"/>
        </w:tabs>
        <w:ind w:firstLine="420" w:firstLineChars="200"/>
        <w:rPr>
          <w:color w:val="auto"/>
          <w:highlight w:val="none"/>
        </w:rPr>
      </w:pPr>
      <w:r>
        <w:rPr>
          <w:rFonts w:hint="eastAsia"/>
          <w:color w:val="auto"/>
          <w:highlight w:val="none"/>
        </w:rPr>
        <w:t>其他要求</w:t>
      </w:r>
    </w:p>
    <w:p>
      <w:pPr>
        <w:tabs>
          <w:tab w:val="left" w:pos="1440"/>
        </w:tabs>
        <w:ind w:left="420" w:leftChars="200"/>
        <w:rPr>
          <w:color w:val="auto"/>
          <w:highlight w:val="none"/>
        </w:rPr>
      </w:pPr>
      <w:r>
        <w:rPr>
          <w:rFonts w:hint="eastAsia"/>
          <w:color w:val="auto"/>
          <w:highlight w:val="none"/>
        </w:rPr>
        <w:t xml:space="preserve">1）配合采购人做好施工招标工作； </w:t>
      </w:r>
    </w:p>
    <w:p>
      <w:pPr>
        <w:ind w:firstLine="570"/>
        <w:rPr>
          <w:color w:val="auto"/>
          <w:highlight w:val="none"/>
        </w:rPr>
      </w:pPr>
      <w:r>
        <w:rPr>
          <w:rFonts w:hint="eastAsia"/>
          <w:color w:val="auto"/>
          <w:highlight w:val="none"/>
        </w:rPr>
        <w:t xml:space="preserve">2）配合采购人做好技术交底和图纸会审工作； </w:t>
      </w:r>
    </w:p>
    <w:p>
      <w:pPr>
        <w:ind w:firstLine="570"/>
        <w:rPr>
          <w:color w:val="auto"/>
          <w:highlight w:val="none"/>
        </w:rPr>
      </w:pPr>
      <w:r>
        <w:rPr>
          <w:rFonts w:hint="eastAsia"/>
          <w:color w:val="auto"/>
          <w:highlight w:val="none"/>
        </w:rPr>
        <w:t xml:space="preserve">3）配合采购人做好现场验收工作； </w:t>
      </w:r>
    </w:p>
    <w:p>
      <w:pPr>
        <w:ind w:firstLine="570"/>
        <w:rPr>
          <w:color w:val="auto"/>
          <w:highlight w:val="none"/>
        </w:rPr>
      </w:pPr>
      <w:r>
        <w:rPr>
          <w:rFonts w:hint="eastAsia"/>
          <w:color w:val="auto"/>
          <w:highlight w:val="none"/>
        </w:rPr>
        <w:t xml:space="preserve">4）配合采购人做好整个工程建设的设计变更以及必要的签证工作； </w:t>
      </w:r>
    </w:p>
    <w:p>
      <w:pPr>
        <w:ind w:firstLine="570"/>
        <w:rPr>
          <w:color w:val="auto"/>
          <w:highlight w:val="none"/>
        </w:rPr>
      </w:pPr>
      <w:r>
        <w:rPr>
          <w:rFonts w:hint="eastAsia"/>
          <w:color w:val="auto"/>
          <w:highlight w:val="none"/>
        </w:rPr>
        <w:t xml:space="preserve">5）参加建设工程的竣工验收工作； </w:t>
      </w:r>
    </w:p>
    <w:p>
      <w:pPr>
        <w:ind w:firstLine="570"/>
        <w:rPr>
          <w:color w:val="auto"/>
          <w:highlight w:val="none"/>
        </w:rPr>
      </w:pPr>
      <w:r>
        <w:rPr>
          <w:rFonts w:hint="eastAsia"/>
          <w:color w:val="auto"/>
          <w:highlight w:val="none"/>
        </w:rPr>
        <w:t>6）参加整个工程建设过程中需由设计单位参加的相关工程会议。</w:t>
      </w:r>
    </w:p>
    <w:p>
      <w:pPr>
        <w:spacing w:line="500" w:lineRule="exact"/>
        <w:ind w:firstLine="570"/>
        <w:rPr>
          <w:color w:val="auto"/>
          <w:highlight w:val="none"/>
        </w:rPr>
      </w:pPr>
      <w:r>
        <w:rPr>
          <w:rFonts w:hint="eastAsia" w:cs="宋体"/>
          <w:b/>
          <w:color w:val="auto"/>
          <w:spacing w:val="22"/>
          <w:highlight w:val="none"/>
        </w:rPr>
        <w:t>★</w:t>
      </w:r>
      <w:r>
        <w:rPr>
          <w:rFonts w:hint="eastAsia" w:cs="宋体"/>
          <w:b/>
          <w:bCs/>
          <w:color w:val="auto"/>
          <w:highlight w:val="none"/>
        </w:rPr>
        <w:t>五</w:t>
      </w:r>
      <w:r>
        <w:rPr>
          <w:rFonts w:hint="eastAsia" w:cs="宋体"/>
          <w:b/>
          <w:bCs/>
          <w:color w:val="auto"/>
          <w:highlight w:val="none"/>
          <w:lang w:val="zh-TW" w:eastAsia="zh-TW"/>
        </w:rPr>
        <w:t>、</w:t>
      </w:r>
      <w:r>
        <w:rPr>
          <w:rFonts w:hint="eastAsia" w:cs="宋体"/>
          <w:b/>
          <w:bCs/>
          <w:color w:val="auto"/>
          <w:highlight w:val="none"/>
          <w:lang w:val="zh-TW"/>
        </w:rPr>
        <w:t>验收标准</w:t>
      </w:r>
    </w:p>
    <w:p>
      <w:pPr>
        <w:snapToGrid w:val="0"/>
        <w:spacing w:line="560" w:lineRule="exact"/>
        <w:ind w:firstLine="480"/>
        <w:textAlignment w:val="baseline"/>
        <w:rPr>
          <w:rFonts w:ascii="宋体" w:hAnsi="宋体" w:cs="宋体"/>
          <w:b/>
          <w:color w:val="auto"/>
          <w:sz w:val="24"/>
          <w:highlight w:val="none"/>
        </w:rPr>
      </w:pPr>
      <w:r>
        <w:rPr>
          <w:rFonts w:hint="eastAsia"/>
          <w:color w:val="auto"/>
          <w:highlight w:val="none"/>
        </w:rPr>
        <w:t>验收标准：满足国家相关法律法规，成果文件通过相关主管部门审查通过。</w:t>
      </w:r>
    </w:p>
    <w:p>
      <w:pPr>
        <w:pStyle w:val="9"/>
        <w:spacing w:line="400" w:lineRule="exact"/>
        <w:ind w:firstLine="0" w:firstLineChars="0"/>
        <w:rPr>
          <w:rFonts w:ascii="宋体" w:hAnsi="宋体" w:cs="宋体"/>
          <w:b/>
          <w:color w:val="auto"/>
          <w:sz w:val="24"/>
          <w:highlight w:val="none"/>
        </w:rPr>
      </w:pPr>
    </w:p>
    <w:p>
      <w:pPr>
        <w:pStyle w:val="9"/>
        <w:spacing w:line="400" w:lineRule="exact"/>
        <w:ind w:firstLine="0" w:firstLineChars="0"/>
        <w:rPr>
          <w:rFonts w:ascii="宋体" w:hAnsi="宋体" w:cs="宋体"/>
          <w:b/>
          <w:color w:val="auto"/>
          <w:sz w:val="24"/>
          <w:highlight w:val="none"/>
        </w:rPr>
      </w:pPr>
    </w:p>
    <w:p>
      <w:pPr>
        <w:pStyle w:val="9"/>
        <w:spacing w:line="400" w:lineRule="exact"/>
        <w:ind w:firstLine="0" w:firstLineChars="0"/>
        <w:rPr>
          <w:rFonts w:ascii="宋体" w:hAnsi="宋体" w:cs="宋体"/>
          <w:b/>
          <w:color w:val="auto"/>
          <w:sz w:val="24"/>
          <w:highlight w:val="none"/>
        </w:rPr>
      </w:pPr>
    </w:p>
    <w:p>
      <w:pPr>
        <w:pStyle w:val="9"/>
        <w:spacing w:line="400" w:lineRule="exact"/>
        <w:ind w:firstLine="0" w:firstLineChars="0"/>
        <w:rPr>
          <w:rFonts w:ascii="宋体" w:hAnsi="宋体" w:cs="宋体"/>
          <w:b/>
          <w:color w:val="auto"/>
          <w:sz w:val="24"/>
          <w:highlight w:val="none"/>
        </w:rPr>
      </w:pPr>
    </w:p>
    <w:p>
      <w:pPr>
        <w:pStyle w:val="9"/>
        <w:spacing w:line="400" w:lineRule="exact"/>
        <w:ind w:firstLine="0" w:firstLineChars="0"/>
        <w:rPr>
          <w:rFonts w:ascii="宋体" w:hAnsi="宋体" w:cs="宋体"/>
          <w:b/>
          <w:color w:val="auto"/>
          <w:sz w:val="24"/>
          <w:highlight w:val="none"/>
        </w:rPr>
      </w:pPr>
    </w:p>
    <w:bookmarkEnd w:id="93"/>
    <w:bookmarkEnd w:id="94"/>
    <w:bookmarkEnd w:id="95"/>
    <w:bookmarkEnd w:id="96"/>
    <w:bookmarkEnd w:id="97"/>
    <w:bookmarkEnd w:id="173"/>
    <w:p>
      <w:pPr>
        <w:rPr>
          <w:rFonts w:ascii="宋体" w:hAnsi="宋体" w:cs="宋体"/>
          <w:color w:val="auto"/>
          <w:highlight w:val="none"/>
        </w:rPr>
      </w:pPr>
      <w:bookmarkStart w:id="180" w:name="_Toc16324"/>
      <w:bookmarkStart w:id="181" w:name="_Toc17783"/>
      <w:bookmarkStart w:id="182" w:name="_Toc183682369"/>
      <w:bookmarkStart w:id="183" w:name="_Toc217446057"/>
      <w:bookmarkStart w:id="184" w:name="_Toc183582232"/>
      <w:r>
        <w:rPr>
          <w:rFonts w:hint="eastAsia" w:ascii="宋体" w:hAnsi="宋体" w:cs="宋体"/>
          <w:color w:val="auto"/>
          <w:highlight w:val="none"/>
        </w:rPr>
        <w:br w:type="page"/>
      </w:r>
    </w:p>
    <w:p>
      <w:pPr>
        <w:pStyle w:val="29"/>
        <w:rPr>
          <w:rFonts w:ascii="宋体" w:hAnsi="宋体" w:cs="宋体"/>
          <w:color w:val="auto"/>
          <w:highlight w:val="none"/>
        </w:rPr>
      </w:pPr>
      <w:r>
        <w:rPr>
          <w:rFonts w:hint="eastAsia" w:ascii="宋体" w:hAnsi="宋体" w:cs="宋体"/>
          <w:color w:val="auto"/>
          <w:highlight w:val="none"/>
        </w:rPr>
        <w:t>第六章  采购项目实质性要求</w:t>
      </w:r>
      <w:bookmarkEnd w:id="180"/>
      <w:bookmarkEnd w:id="181"/>
    </w:p>
    <w:p>
      <w:pPr>
        <w:pStyle w:val="29"/>
        <w:outlineLvl w:val="9"/>
        <w:rPr>
          <w:rFonts w:ascii="宋体" w:hAnsi="宋体" w:cs="宋体"/>
          <w:color w:val="auto"/>
          <w:sz w:val="24"/>
          <w:highlight w:val="none"/>
        </w:rPr>
      </w:pPr>
    </w:p>
    <w:p>
      <w:pPr>
        <w:jc w:val="center"/>
        <w:rPr>
          <w:rFonts w:ascii="宋体" w:hAnsi="宋体" w:cs="宋体"/>
          <w:bCs/>
          <w:color w:val="auto"/>
          <w:sz w:val="24"/>
          <w:highlight w:val="none"/>
        </w:rPr>
      </w:pPr>
      <w:r>
        <w:rPr>
          <w:rFonts w:hint="eastAsia" w:ascii="宋体" w:hAnsi="宋体" w:cs="宋体"/>
          <w:bCs/>
          <w:color w:val="auto"/>
          <w:sz w:val="24"/>
          <w:highlight w:val="none"/>
        </w:rPr>
        <w:t>带“</w:t>
      </w:r>
      <w:r>
        <w:rPr>
          <w:rFonts w:hint="eastAsia" w:ascii="宋体" w:hAnsi="宋体" w:cs="宋体"/>
          <w:color w:val="auto"/>
          <w:sz w:val="24"/>
          <w:highlight w:val="none"/>
        </w:rPr>
        <w:t>*</w:t>
      </w:r>
      <w:r>
        <w:rPr>
          <w:rFonts w:hint="eastAsia" w:ascii="宋体" w:hAnsi="宋体" w:cs="宋体"/>
          <w:bCs/>
          <w:color w:val="auto"/>
          <w:sz w:val="24"/>
          <w:highlight w:val="none"/>
        </w:rPr>
        <w:t>”条款为本项目实质性要求不允许负偏离，否则作为无效响应处理。</w:t>
      </w: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pStyle w:val="31"/>
        <w:ind w:firstLine="240"/>
        <w:rPr>
          <w:rFonts w:ascii="宋体" w:hAnsi="宋体" w:cs="宋体"/>
          <w:bCs/>
          <w:color w:val="auto"/>
          <w:sz w:val="24"/>
          <w:highlight w:val="none"/>
        </w:rPr>
      </w:pPr>
    </w:p>
    <w:p>
      <w:pPr>
        <w:jc w:val="center"/>
        <w:rPr>
          <w:rFonts w:ascii="宋体" w:hAnsi="宋体" w:cs="宋体"/>
          <w:bCs/>
          <w:color w:val="auto"/>
          <w:sz w:val="24"/>
          <w:highlight w:val="none"/>
        </w:rPr>
      </w:pPr>
    </w:p>
    <w:p>
      <w:pPr>
        <w:rPr>
          <w:rFonts w:ascii="宋体" w:hAnsi="宋体" w:cs="宋体"/>
          <w:bCs/>
          <w:color w:val="auto"/>
          <w:sz w:val="24"/>
          <w:highlight w:val="none"/>
        </w:rPr>
      </w:pPr>
    </w:p>
    <w:p>
      <w:pPr>
        <w:jc w:val="center"/>
        <w:rPr>
          <w:rFonts w:ascii="宋体" w:hAnsi="宋体" w:cs="宋体"/>
          <w:bCs/>
          <w:color w:val="auto"/>
          <w:sz w:val="24"/>
          <w:highlight w:val="none"/>
        </w:rPr>
      </w:pPr>
    </w:p>
    <w:p>
      <w:pPr>
        <w:rPr>
          <w:rFonts w:ascii="宋体" w:hAnsi="宋体" w:cs="宋体"/>
          <w:bCs/>
          <w:color w:val="auto"/>
          <w:sz w:val="24"/>
          <w:highlight w:val="none"/>
        </w:rPr>
      </w:pPr>
    </w:p>
    <w:p>
      <w:pPr>
        <w:pStyle w:val="29"/>
        <w:rPr>
          <w:rFonts w:ascii="宋体" w:hAnsi="宋体" w:cs="宋体"/>
          <w:color w:val="auto"/>
          <w:sz w:val="24"/>
          <w:highlight w:val="none"/>
        </w:rPr>
      </w:pPr>
      <w:bookmarkStart w:id="185" w:name="_Toc31968"/>
      <w:bookmarkStart w:id="186" w:name="_Toc511206480"/>
      <w:r>
        <w:rPr>
          <w:rFonts w:hint="eastAsia" w:ascii="宋体" w:hAnsi="宋体" w:cs="宋体"/>
          <w:color w:val="auto"/>
          <w:highlight w:val="none"/>
        </w:rPr>
        <w:t>第七章  磋商内容、磋商过程中可实质性变动的内容</w:t>
      </w:r>
      <w:bookmarkEnd w:id="185"/>
      <w:bookmarkEnd w:id="186"/>
    </w:p>
    <w:p>
      <w:pPr>
        <w:pStyle w:val="29"/>
        <w:spacing w:line="360" w:lineRule="auto"/>
        <w:ind w:firstLine="482" w:firstLineChars="200"/>
        <w:jc w:val="left"/>
        <w:rPr>
          <w:rFonts w:ascii="宋体" w:hAnsi="宋体" w:cs="宋体"/>
          <w:bCs w:val="0"/>
          <w:color w:val="auto"/>
          <w:sz w:val="24"/>
          <w:szCs w:val="24"/>
          <w:highlight w:val="none"/>
        </w:rPr>
      </w:pPr>
      <w:bookmarkStart w:id="187" w:name="_Toc199"/>
      <w:bookmarkStart w:id="188" w:name="_Toc5209"/>
      <w:bookmarkStart w:id="189" w:name="_Toc31410"/>
      <w:bookmarkStart w:id="190" w:name="_Toc12593"/>
      <w:r>
        <w:rPr>
          <w:rFonts w:hint="eastAsia" w:ascii="宋体" w:hAnsi="宋体" w:cs="宋体"/>
          <w:bCs w:val="0"/>
          <w:color w:val="auto"/>
          <w:sz w:val="24"/>
          <w:szCs w:val="24"/>
          <w:highlight w:val="none"/>
        </w:rPr>
        <w:t>一、磋商内容</w:t>
      </w:r>
      <w:bookmarkEnd w:id="187"/>
      <w:bookmarkEnd w:id="188"/>
      <w:bookmarkEnd w:id="189"/>
      <w:bookmarkEnd w:id="190"/>
    </w:p>
    <w:p>
      <w:pPr>
        <w:pStyle w:val="29"/>
        <w:spacing w:line="360" w:lineRule="auto"/>
        <w:ind w:firstLine="480" w:firstLineChars="200"/>
        <w:jc w:val="left"/>
        <w:rPr>
          <w:rFonts w:ascii="宋体" w:hAnsi="宋体" w:cs="宋体"/>
          <w:b w:val="0"/>
          <w:color w:val="auto"/>
          <w:sz w:val="24"/>
          <w:szCs w:val="24"/>
          <w:highlight w:val="none"/>
        </w:rPr>
      </w:pPr>
      <w:bookmarkStart w:id="191" w:name="_Toc25712"/>
      <w:bookmarkStart w:id="192" w:name="_Toc5960"/>
      <w:r>
        <w:rPr>
          <w:rFonts w:hint="eastAsia" w:ascii="宋体" w:hAnsi="宋体" w:cs="宋体"/>
          <w:b w:val="0"/>
          <w:color w:val="auto"/>
          <w:sz w:val="24"/>
          <w:szCs w:val="24"/>
          <w:highlight w:val="none"/>
        </w:rPr>
        <w:t>采购需求中的技术、服务要求以及合同草案条款。</w:t>
      </w:r>
      <w:bookmarkEnd w:id="191"/>
      <w:bookmarkEnd w:id="192"/>
    </w:p>
    <w:p>
      <w:pPr>
        <w:pStyle w:val="29"/>
        <w:spacing w:line="360" w:lineRule="auto"/>
        <w:ind w:firstLine="482" w:firstLineChars="200"/>
        <w:jc w:val="left"/>
        <w:rPr>
          <w:rFonts w:ascii="宋体" w:hAnsi="宋体" w:cs="宋体"/>
          <w:bCs w:val="0"/>
          <w:color w:val="auto"/>
          <w:sz w:val="24"/>
          <w:szCs w:val="24"/>
          <w:highlight w:val="none"/>
        </w:rPr>
      </w:pPr>
      <w:bookmarkStart w:id="193" w:name="_TOC_250031"/>
      <w:bookmarkEnd w:id="193"/>
      <w:bookmarkStart w:id="194" w:name="_Toc2700"/>
      <w:bookmarkStart w:id="195" w:name="_Toc25096"/>
      <w:bookmarkStart w:id="196" w:name="_Toc4311"/>
      <w:bookmarkStart w:id="197" w:name="_Toc14074"/>
      <w:r>
        <w:rPr>
          <w:rFonts w:hint="eastAsia" w:ascii="宋体" w:hAnsi="宋体" w:cs="宋体"/>
          <w:bCs w:val="0"/>
          <w:color w:val="auto"/>
          <w:sz w:val="24"/>
          <w:szCs w:val="24"/>
          <w:highlight w:val="none"/>
        </w:rPr>
        <w:t>二、磋商过程中可实质性变动的内容</w:t>
      </w:r>
      <w:bookmarkEnd w:id="194"/>
      <w:bookmarkEnd w:id="195"/>
      <w:bookmarkEnd w:id="196"/>
      <w:bookmarkEnd w:id="197"/>
    </w:p>
    <w:p>
      <w:pPr>
        <w:pStyle w:val="29"/>
        <w:spacing w:line="360" w:lineRule="auto"/>
        <w:ind w:firstLine="480" w:firstLineChars="200"/>
        <w:jc w:val="left"/>
        <w:rPr>
          <w:rFonts w:ascii="宋体" w:hAnsi="宋体" w:cs="宋体"/>
          <w:b w:val="0"/>
          <w:color w:val="auto"/>
          <w:sz w:val="24"/>
          <w:szCs w:val="24"/>
          <w:highlight w:val="none"/>
        </w:rPr>
      </w:pPr>
      <w:bookmarkStart w:id="198" w:name="_Toc26978"/>
      <w:bookmarkStart w:id="199" w:name="_Toc18234"/>
      <w:r>
        <w:rPr>
          <w:rFonts w:hint="eastAsia" w:ascii="宋体" w:hAnsi="宋体" w:cs="宋体"/>
          <w:b w:val="0"/>
          <w:color w:val="auto"/>
          <w:sz w:val="24"/>
          <w:szCs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bookmarkEnd w:id="198"/>
      <w:bookmarkEnd w:id="199"/>
    </w:p>
    <w:p>
      <w:pPr>
        <w:pStyle w:val="29"/>
        <w:spacing w:line="360" w:lineRule="auto"/>
        <w:ind w:firstLine="480" w:firstLineChars="200"/>
        <w:jc w:val="left"/>
        <w:rPr>
          <w:rFonts w:ascii="宋体" w:hAnsi="宋体" w:cs="宋体"/>
          <w:b w:val="0"/>
          <w:color w:val="auto"/>
          <w:sz w:val="24"/>
          <w:szCs w:val="24"/>
          <w:highlight w:val="none"/>
        </w:rPr>
      </w:pPr>
      <w:bookmarkStart w:id="200" w:name="_Toc13966"/>
      <w:bookmarkStart w:id="201" w:name="_Toc13991"/>
      <w:r>
        <w:rPr>
          <w:rFonts w:hint="eastAsia" w:ascii="宋体" w:hAnsi="宋体" w:cs="宋体"/>
          <w:b w:val="0"/>
          <w:color w:val="auto"/>
          <w:sz w:val="24"/>
          <w:szCs w:val="24"/>
          <w:highlight w:val="none"/>
        </w:rPr>
        <w:t>对磋商文件作出的实质性变动是磋商文件的有效组成部分，磋商小组应当及时以书面形式同时通知所有参加磋商的供应商。</w:t>
      </w:r>
      <w:bookmarkEnd w:id="200"/>
      <w:bookmarkEnd w:id="201"/>
    </w:p>
    <w:p>
      <w:pPr>
        <w:pStyle w:val="29"/>
        <w:spacing w:line="360" w:lineRule="auto"/>
        <w:ind w:firstLine="480" w:firstLineChars="200"/>
        <w:jc w:val="left"/>
        <w:rPr>
          <w:rFonts w:ascii="宋体" w:hAnsi="宋体" w:cs="宋体"/>
          <w:b w:val="0"/>
          <w:color w:val="auto"/>
          <w:sz w:val="24"/>
          <w:szCs w:val="24"/>
          <w:highlight w:val="none"/>
        </w:rPr>
      </w:pPr>
      <w:bookmarkStart w:id="202" w:name="_Toc5976"/>
      <w:bookmarkStart w:id="203" w:name="_Toc8324"/>
      <w:r>
        <w:rPr>
          <w:rFonts w:hint="eastAsia" w:ascii="宋体" w:hAnsi="宋体" w:cs="宋体"/>
          <w:b w:val="0"/>
          <w:color w:val="auto"/>
          <w:sz w:val="24"/>
          <w:szCs w:val="24"/>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bookmarkEnd w:id="202"/>
      <w:bookmarkEnd w:id="203"/>
    </w:p>
    <w:p>
      <w:pPr>
        <w:jc w:val="cente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color w:val="auto"/>
          <w:highlight w:val="none"/>
        </w:rPr>
      </w:pPr>
    </w:p>
    <w:p>
      <w:pPr>
        <w:rPr>
          <w:rFonts w:ascii="宋体" w:hAnsi="宋体" w:cs="宋体"/>
          <w:bCs/>
          <w:color w:val="auto"/>
          <w:sz w:val="24"/>
          <w:highlight w:val="none"/>
        </w:rPr>
      </w:pPr>
    </w:p>
    <w:p>
      <w:pPr>
        <w:pStyle w:val="29"/>
        <w:rPr>
          <w:rFonts w:ascii="宋体" w:hAnsi="宋体" w:cs="宋体"/>
          <w:color w:val="auto"/>
          <w:highlight w:val="none"/>
        </w:rPr>
      </w:pPr>
      <w:bookmarkStart w:id="204" w:name="_Toc15087"/>
      <w:bookmarkStart w:id="205" w:name="_Toc30208"/>
      <w:r>
        <w:rPr>
          <w:rFonts w:hint="eastAsia" w:ascii="宋体" w:hAnsi="宋体" w:cs="宋体"/>
          <w:color w:val="auto"/>
          <w:highlight w:val="none"/>
        </w:rPr>
        <w:t>第八章  响应文件格式</w:t>
      </w:r>
      <w:bookmarkEnd w:id="204"/>
      <w:bookmarkEnd w:id="205"/>
    </w:p>
    <w:p>
      <w:pPr>
        <w:tabs>
          <w:tab w:val="left" w:pos="7665"/>
        </w:tabs>
        <w:spacing w:line="400" w:lineRule="exact"/>
        <w:ind w:firstLine="480"/>
        <w:rPr>
          <w:rFonts w:ascii="宋体" w:hAnsi="宋体" w:cs="宋体"/>
          <w:bCs/>
          <w:color w:val="auto"/>
          <w:sz w:val="24"/>
          <w:highlight w:val="none"/>
        </w:rPr>
      </w:pPr>
    </w:p>
    <w:p>
      <w:pPr>
        <w:pStyle w:val="29"/>
        <w:spacing w:line="360" w:lineRule="auto"/>
        <w:ind w:firstLine="480" w:firstLineChars="200"/>
        <w:jc w:val="left"/>
        <w:rPr>
          <w:rFonts w:ascii="宋体" w:hAnsi="宋体" w:cs="宋体"/>
          <w:b w:val="0"/>
          <w:color w:val="auto"/>
          <w:sz w:val="24"/>
          <w:szCs w:val="24"/>
          <w:highlight w:val="none"/>
        </w:rPr>
      </w:pPr>
      <w:bookmarkStart w:id="206" w:name="_Toc8798"/>
      <w:bookmarkStart w:id="207" w:name="_Toc2338"/>
      <w:r>
        <w:rPr>
          <w:rFonts w:hint="eastAsia" w:ascii="宋体" w:hAnsi="宋体" w:cs="宋体"/>
          <w:b w:val="0"/>
          <w:color w:val="auto"/>
          <w:sz w:val="24"/>
          <w:szCs w:val="24"/>
          <w:highlight w:val="none"/>
        </w:rPr>
        <w:t>一、本章所制响应文件格式，除格式中明确将该格式作为实质性要求的，一律不具有强制性，但是，供应商响应文件相关资料和本章所制格式不一致的，磋商小组将在评分时以响应文件不规范予以扣分处理。</w:t>
      </w:r>
      <w:bookmarkEnd w:id="206"/>
      <w:bookmarkEnd w:id="207"/>
    </w:p>
    <w:p>
      <w:pPr>
        <w:pStyle w:val="29"/>
        <w:spacing w:line="360" w:lineRule="auto"/>
        <w:ind w:firstLine="480" w:firstLineChars="200"/>
        <w:jc w:val="left"/>
        <w:rPr>
          <w:rFonts w:ascii="宋体" w:hAnsi="宋体" w:cs="宋体"/>
          <w:b w:val="0"/>
          <w:color w:val="auto"/>
          <w:sz w:val="24"/>
          <w:szCs w:val="24"/>
          <w:highlight w:val="none"/>
        </w:rPr>
      </w:pPr>
      <w:bookmarkStart w:id="208" w:name="_Toc27609"/>
      <w:bookmarkStart w:id="209" w:name="_Toc19440"/>
      <w:r>
        <w:rPr>
          <w:rFonts w:hint="eastAsia" w:ascii="宋体" w:hAnsi="宋体" w:cs="宋体"/>
          <w:b w:val="0"/>
          <w:color w:val="auto"/>
          <w:sz w:val="24"/>
          <w:szCs w:val="24"/>
          <w:highlight w:val="none"/>
        </w:rPr>
        <w:t>二、本章所制响应文件格式有关表格中的备注栏，由供应商根据自身响应情况作解释性说明，不作为必填项。</w:t>
      </w:r>
      <w:bookmarkEnd w:id="208"/>
      <w:bookmarkEnd w:id="209"/>
    </w:p>
    <w:p>
      <w:pPr>
        <w:pStyle w:val="29"/>
        <w:spacing w:line="360" w:lineRule="auto"/>
        <w:ind w:firstLine="480" w:firstLineChars="200"/>
        <w:jc w:val="left"/>
        <w:rPr>
          <w:rFonts w:ascii="宋体" w:hAnsi="宋体" w:cs="宋体"/>
          <w:b w:val="0"/>
          <w:color w:val="auto"/>
          <w:sz w:val="24"/>
          <w:szCs w:val="24"/>
          <w:highlight w:val="none"/>
        </w:rPr>
      </w:pPr>
      <w:bookmarkStart w:id="210" w:name="_Toc25547"/>
      <w:bookmarkStart w:id="211" w:name="_Toc13069"/>
      <w:r>
        <w:rPr>
          <w:rFonts w:hint="eastAsia" w:ascii="宋体" w:hAnsi="宋体" w:cs="宋体"/>
          <w:b w:val="0"/>
          <w:color w:val="auto"/>
          <w:sz w:val="24"/>
          <w:szCs w:val="24"/>
          <w:highlight w:val="none"/>
        </w:rPr>
        <w:t>三、本章所制响应文件格式中需要填写的相关内容事项，可能会与本采购项目无关，在不改变响应文件原义、不影响本项目采购需求的情况下，供应商可以不予填写，但应当注明。</w:t>
      </w:r>
      <w:bookmarkEnd w:id="210"/>
      <w:bookmarkEnd w:id="211"/>
    </w:p>
    <w:p>
      <w:pPr>
        <w:pStyle w:val="12"/>
        <w:spacing w:line="360" w:lineRule="auto"/>
        <w:rPr>
          <w:rFonts w:ascii="宋体" w:hAnsi="宋体" w:cs="宋体"/>
          <w:bCs/>
          <w:color w:val="auto"/>
          <w:sz w:val="24"/>
          <w:highlight w:val="none"/>
        </w:rPr>
      </w:pPr>
    </w:p>
    <w:p>
      <w:pPr>
        <w:spacing w:line="360" w:lineRule="auto"/>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bCs/>
          <w:color w:val="auto"/>
          <w:sz w:val="24"/>
          <w:highlight w:val="none"/>
        </w:rPr>
      </w:pPr>
    </w:p>
    <w:p>
      <w:pPr>
        <w:rPr>
          <w:rFonts w:ascii="宋体" w:hAnsi="宋体" w:cs="宋体"/>
          <w:bCs/>
          <w:color w:val="auto"/>
          <w:sz w:val="24"/>
          <w:highlight w:val="none"/>
        </w:rPr>
      </w:pPr>
    </w:p>
    <w:p>
      <w:pPr>
        <w:pStyle w:val="12"/>
        <w:rPr>
          <w:rFonts w:ascii="宋体" w:hAnsi="宋体" w:cs="宋体"/>
          <w:color w:val="auto"/>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jc w:val="center"/>
        <w:rPr>
          <w:rFonts w:ascii="宋体" w:hAnsi="宋体" w:cs="宋体"/>
          <w:bCs/>
          <w:color w:val="auto"/>
          <w:sz w:val="24"/>
          <w:highlight w:val="none"/>
        </w:rPr>
      </w:pPr>
    </w:p>
    <w:p>
      <w:pPr>
        <w:pStyle w:val="3"/>
        <w:jc w:val="center"/>
        <w:rPr>
          <w:rFonts w:ascii="宋体" w:hAnsi="宋体" w:cs="宋体"/>
          <w:color w:val="auto"/>
          <w:kern w:val="2"/>
          <w:sz w:val="32"/>
          <w:szCs w:val="32"/>
          <w:highlight w:val="none"/>
          <w:lang w:val="zh-CN"/>
        </w:rPr>
      </w:pPr>
      <w:bookmarkStart w:id="212" w:name="_Toc2013"/>
      <w:bookmarkStart w:id="213" w:name="_Toc448558695"/>
      <w:bookmarkStart w:id="214" w:name="_Toc1110"/>
      <w:r>
        <w:rPr>
          <w:rFonts w:hint="eastAsia" w:ascii="宋体" w:hAnsi="宋体" w:cs="宋体"/>
          <w:color w:val="auto"/>
          <w:kern w:val="2"/>
          <w:sz w:val="32"/>
          <w:szCs w:val="32"/>
          <w:highlight w:val="none"/>
          <w:lang w:val="zh-CN"/>
        </w:rPr>
        <w:t>一、资格性响应文件格式</w:t>
      </w:r>
      <w:bookmarkEnd w:id="212"/>
      <w:bookmarkEnd w:id="213"/>
      <w:bookmarkEnd w:id="214"/>
    </w:p>
    <w:p>
      <w:pPr>
        <w:pStyle w:val="3"/>
        <w:jc w:val="center"/>
        <w:rPr>
          <w:rFonts w:ascii="宋体" w:hAnsi="宋体" w:cs="宋体"/>
          <w:color w:val="auto"/>
          <w:kern w:val="2"/>
          <w:sz w:val="32"/>
          <w:szCs w:val="32"/>
          <w:highlight w:val="none"/>
          <w:lang w:val="zh-CN"/>
        </w:rPr>
      </w:pPr>
      <w:bookmarkStart w:id="215" w:name="_Toc27150"/>
      <w:r>
        <w:rPr>
          <w:rFonts w:hint="eastAsia" w:ascii="宋体" w:hAnsi="宋体" w:cs="宋体"/>
          <w:color w:val="auto"/>
          <w:kern w:val="2"/>
          <w:sz w:val="32"/>
          <w:szCs w:val="32"/>
          <w:highlight w:val="none"/>
        </w:rPr>
        <w:t>1、</w:t>
      </w:r>
      <w:r>
        <w:rPr>
          <w:rFonts w:hint="eastAsia" w:ascii="宋体" w:hAnsi="宋体" w:cs="宋体"/>
          <w:color w:val="auto"/>
          <w:kern w:val="2"/>
          <w:sz w:val="32"/>
          <w:szCs w:val="32"/>
          <w:highlight w:val="none"/>
          <w:lang w:val="zh-CN"/>
        </w:rPr>
        <w:t>资格性响应文件</w:t>
      </w:r>
      <w:r>
        <w:rPr>
          <w:rFonts w:hint="eastAsia" w:ascii="宋体" w:hAnsi="宋体" w:cs="宋体"/>
          <w:color w:val="auto"/>
          <w:kern w:val="2"/>
          <w:sz w:val="32"/>
          <w:szCs w:val="32"/>
          <w:highlight w:val="none"/>
        </w:rPr>
        <w:t>封面</w:t>
      </w:r>
      <w:r>
        <w:rPr>
          <w:rFonts w:hint="eastAsia" w:ascii="宋体" w:hAnsi="宋体" w:cs="宋体"/>
          <w:color w:val="auto"/>
          <w:kern w:val="2"/>
          <w:sz w:val="32"/>
          <w:szCs w:val="32"/>
          <w:highlight w:val="none"/>
          <w:lang w:val="zh-CN"/>
        </w:rPr>
        <w:t>格式</w:t>
      </w:r>
      <w:bookmarkEnd w:id="215"/>
    </w:p>
    <w:p>
      <w:pPr>
        <w:rPr>
          <w:rFonts w:ascii="宋体" w:hAnsi="宋体" w:cs="宋体"/>
          <w:color w:val="auto"/>
          <w:highlight w:val="none"/>
        </w:rPr>
      </w:pPr>
    </w:p>
    <w:p>
      <w:pPr>
        <w:ind w:right="140" w:firstLine="562"/>
        <w:jc w:val="right"/>
        <w:rPr>
          <w:rFonts w:ascii="宋体" w:hAnsi="宋体" w:cs="宋体"/>
          <w:b/>
          <w:color w:val="auto"/>
          <w:sz w:val="28"/>
          <w:highlight w:val="none"/>
          <w:bdr w:val="single" w:color="auto" w:sz="4" w:space="0"/>
        </w:rPr>
      </w:pPr>
      <w:r>
        <w:rPr>
          <w:rFonts w:hint="eastAsia" w:ascii="宋体" w:hAnsi="宋体" w:cs="宋体"/>
          <w:b/>
          <w:color w:val="auto"/>
          <w:sz w:val="28"/>
          <w:highlight w:val="none"/>
          <w:bdr w:val="single" w:color="auto" w:sz="4" w:space="0"/>
        </w:rPr>
        <w:t>正本或副本</w:t>
      </w:r>
    </w:p>
    <w:p>
      <w:pPr>
        <w:pStyle w:val="12"/>
        <w:rPr>
          <w:rFonts w:ascii="宋体" w:hAnsi="宋体" w:cs="宋体"/>
          <w:b/>
          <w:color w:val="auto"/>
          <w:sz w:val="84"/>
          <w:highlight w:val="none"/>
        </w:rPr>
      </w:pPr>
    </w:p>
    <w:p>
      <w:pPr>
        <w:rPr>
          <w:rFonts w:ascii="宋体" w:hAnsi="宋体" w:cs="宋体"/>
          <w:color w:val="auto"/>
          <w:highlight w:val="none"/>
        </w:rPr>
      </w:pPr>
    </w:p>
    <w:p>
      <w:pPr>
        <w:jc w:val="center"/>
        <w:rPr>
          <w:rFonts w:ascii="宋体" w:hAnsi="宋体" w:cs="宋体"/>
          <w:b/>
          <w:color w:val="auto"/>
          <w:sz w:val="84"/>
          <w:highlight w:val="none"/>
        </w:rPr>
      </w:pPr>
      <w:r>
        <w:rPr>
          <w:rFonts w:hint="eastAsia" w:ascii="宋体" w:hAnsi="宋体" w:cs="宋体"/>
          <w:b/>
          <w:color w:val="auto"/>
          <w:sz w:val="84"/>
          <w:highlight w:val="none"/>
        </w:rPr>
        <w:t>响 应 文 件</w:t>
      </w:r>
    </w:p>
    <w:p>
      <w:pPr>
        <w:spacing w:line="360" w:lineRule="auto"/>
        <w:ind w:firstLine="562"/>
        <w:jc w:val="center"/>
        <w:rPr>
          <w:rFonts w:ascii="宋体" w:hAnsi="宋体" w:cs="宋体"/>
          <w:b/>
          <w:color w:val="auto"/>
          <w:sz w:val="28"/>
          <w:highlight w:val="none"/>
        </w:rPr>
      </w:pPr>
    </w:p>
    <w:p>
      <w:pPr>
        <w:spacing w:line="360" w:lineRule="auto"/>
        <w:ind w:firstLine="562"/>
        <w:jc w:val="center"/>
        <w:rPr>
          <w:rFonts w:ascii="宋体" w:hAnsi="宋体" w:cs="宋体"/>
          <w:b/>
          <w:color w:val="auto"/>
          <w:sz w:val="84"/>
          <w:highlight w:val="none"/>
        </w:rPr>
      </w:pPr>
      <w:r>
        <w:rPr>
          <w:rFonts w:hint="eastAsia" w:ascii="宋体" w:hAnsi="宋体" w:cs="宋体"/>
          <w:b/>
          <w:color w:val="auto"/>
          <w:sz w:val="28"/>
          <w:highlight w:val="none"/>
        </w:rPr>
        <w:t>（资格性）</w:t>
      </w:r>
    </w:p>
    <w:p>
      <w:pPr>
        <w:spacing w:line="360" w:lineRule="auto"/>
        <w:ind w:firstLine="1687"/>
        <w:jc w:val="center"/>
        <w:rPr>
          <w:rFonts w:ascii="宋体" w:hAnsi="宋体" w:cs="宋体"/>
          <w:b/>
          <w:color w:val="auto"/>
          <w:sz w:val="84"/>
          <w:highlight w:val="none"/>
        </w:rPr>
      </w:pPr>
    </w:p>
    <w:p>
      <w:pPr>
        <w:spacing w:line="360" w:lineRule="auto"/>
        <w:ind w:firstLine="551" w:firstLineChars="196"/>
        <w:rPr>
          <w:rFonts w:ascii="宋体" w:hAnsi="宋体" w:cs="宋体"/>
          <w:b/>
          <w:color w:val="auto"/>
          <w:sz w:val="28"/>
          <w:highlight w:val="none"/>
        </w:rPr>
      </w:pPr>
      <w:r>
        <w:rPr>
          <w:rFonts w:hint="eastAsia" w:ascii="宋体" w:hAnsi="宋体" w:cs="宋体"/>
          <w:b/>
          <w:color w:val="auto"/>
          <w:sz w:val="28"/>
          <w:highlight w:val="none"/>
        </w:rPr>
        <w:t>采购编号：</w:t>
      </w:r>
      <w:r>
        <w:rPr>
          <w:rFonts w:hint="eastAsia" w:ascii="宋体" w:hAnsi="宋体" w:cs="宋体"/>
          <w:b/>
          <w:color w:val="auto"/>
          <w:sz w:val="28"/>
          <w:highlight w:val="none"/>
          <w:u w:val="single"/>
        </w:rPr>
        <w:t xml:space="preserve">                                </w:t>
      </w:r>
    </w:p>
    <w:p>
      <w:pPr>
        <w:spacing w:line="360" w:lineRule="auto"/>
        <w:ind w:firstLine="551" w:firstLineChars="196"/>
        <w:rPr>
          <w:rFonts w:ascii="宋体" w:hAnsi="宋体" w:cs="宋体"/>
          <w:b/>
          <w:color w:val="auto"/>
          <w:sz w:val="28"/>
          <w:highlight w:val="none"/>
        </w:rPr>
      </w:pPr>
      <w:r>
        <w:rPr>
          <w:rFonts w:hint="eastAsia" w:ascii="宋体" w:hAnsi="宋体" w:cs="宋体"/>
          <w:b/>
          <w:color w:val="auto"/>
          <w:sz w:val="28"/>
          <w:highlight w:val="none"/>
        </w:rPr>
        <w:t>项目名称：</w:t>
      </w:r>
      <w:r>
        <w:rPr>
          <w:rFonts w:hint="eastAsia" w:ascii="宋体" w:hAnsi="宋体" w:cs="宋体"/>
          <w:b/>
          <w:color w:val="auto"/>
          <w:sz w:val="28"/>
          <w:highlight w:val="none"/>
          <w:u w:val="single"/>
        </w:rPr>
        <w:t xml:space="preserve">                                </w:t>
      </w:r>
    </w:p>
    <w:p>
      <w:pPr>
        <w:spacing w:line="360" w:lineRule="auto"/>
        <w:ind w:firstLine="551" w:firstLineChars="196"/>
        <w:rPr>
          <w:rFonts w:ascii="宋体" w:hAnsi="宋体" w:cs="宋体"/>
          <w:b/>
          <w:color w:val="auto"/>
          <w:sz w:val="28"/>
          <w:highlight w:val="none"/>
        </w:rPr>
      </w:pPr>
      <w:r>
        <w:rPr>
          <w:rFonts w:hint="eastAsia" w:ascii="宋体" w:hAnsi="宋体" w:cs="宋体"/>
          <w:b/>
          <w:color w:val="auto"/>
          <w:sz w:val="28"/>
          <w:highlight w:val="none"/>
        </w:rPr>
        <w:t>响应人名称（全称加盖公章）：</w:t>
      </w:r>
      <w:r>
        <w:rPr>
          <w:rFonts w:hint="eastAsia" w:ascii="宋体" w:hAnsi="宋体" w:cs="宋体"/>
          <w:b/>
          <w:color w:val="auto"/>
          <w:sz w:val="28"/>
          <w:highlight w:val="none"/>
          <w:u w:val="single"/>
        </w:rPr>
        <w:t xml:space="preserve">              </w:t>
      </w:r>
    </w:p>
    <w:p>
      <w:pPr>
        <w:spacing w:line="360" w:lineRule="auto"/>
        <w:ind w:firstLine="548" w:firstLineChars="195"/>
        <w:rPr>
          <w:rFonts w:ascii="宋体" w:hAnsi="宋体" w:cs="宋体"/>
          <w:b/>
          <w:color w:val="auto"/>
          <w:sz w:val="28"/>
          <w:highlight w:val="none"/>
        </w:rPr>
      </w:pPr>
    </w:p>
    <w:p>
      <w:pPr>
        <w:spacing w:line="360" w:lineRule="auto"/>
        <w:ind w:firstLine="562"/>
        <w:jc w:val="center"/>
        <w:rPr>
          <w:rFonts w:ascii="宋体" w:hAnsi="宋体" w:cs="宋体"/>
          <w:b/>
          <w:color w:val="auto"/>
          <w:sz w:val="28"/>
          <w:highlight w:val="none"/>
        </w:rPr>
      </w:pPr>
    </w:p>
    <w:p>
      <w:pPr>
        <w:spacing w:line="360" w:lineRule="auto"/>
        <w:ind w:firstLine="562"/>
        <w:jc w:val="center"/>
        <w:rPr>
          <w:rFonts w:ascii="宋体" w:hAnsi="宋体" w:cs="宋体"/>
          <w:b/>
          <w:color w:val="auto"/>
          <w:sz w:val="28"/>
          <w:highlight w:val="none"/>
        </w:rPr>
      </w:pPr>
      <w:r>
        <w:rPr>
          <w:rFonts w:hint="eastAsia" w:ascii="宋体" w:hAnsi="宋体" w:cs="宋体"/>
          <w:b/>
          <w:color w:val="auto"/>
          <w:sz w:val="28"/>
          <w:highlight w:val="none"/>
        </w:rPr>
        <w:t>日期：        年    月    日</w:t>
      </w:r>
    </w:p>
    <w:p>
      <w:pPr>
        <w:numPr>
          <w:ins w:id="0" w:author="Administrator" w:date="1901-01-01T00:00:00Z"/>
        </w:numPr>
        <w:wordWrap w:val="0"/>
        <w:topLinePunct/>
        <w:spacing w:line="360" w:lineRule="auto"/>
        <w:rPr>
          <w:rFonts w:ascii="宋体" w:hAnsi="宋体" w:cs="宋体"/>
          <w:color w:val="auto"/>
          <w:highlight w:val="none"/>
          <w:lang w:val="zh-CN"/>
        </w:rPr>
      </w:pPr>
    </w:p>
    <w:p>
      <w:pPr>
        <w:pStyle w:val="8"/>
        <w:rPr>
          <w:rFonts w:ascii="宋体" w:hAnsi="宋体" w:cs="宋体"/>
          <w:color w:val="auto"/>
          <w:highlight w:val="none"/>
          <w:lang w:val="zh-CN"/>
        </w:rPr>
      </w:pPr>
    </w:p>
    <w:p>
      <w:pPr>
        <w:rPr>
          <w:lang w:val="zh-CN"/>
        </w:rPr>
      </w:pPr>
    </w:p>
    <w:p>
      <w:pPr>
        <w:pStyle w:val="8"/>
        <w:spacing w:line="360" w:lineRule="auto"/>
        <w:ind w:firstLine="480"/>
        <w:rPr>
          <w:rFonts w:cs="宋体"/>
          <w:color w:val="auto"/>
          <w:highlight w:val="none"/>
          <w:lang w:val="zh-CN"/>
        </w:rPr>
      </w:pPr>
    </w:p>
    <w:p>
      <w:pPr>
        <w:pStyle w:val="6"/>
        <w:wordWrap w:val="0"/>
        <w:topLinePunct/>
        <w:spacing w:before="0" w:after="0" w:line="360" w:lineRule="auto"/>
        <w:ind w:firstLine="643"/>
        <w:jc w:val="center"/>
        <w:rPr>
          <w:rFonts w:ascii="宋体" w:hAnsi="宋体" w:cs="宋体"/>
          <w:color w:val="auto"/>
          <w:sz w:val="32"/>
          <w:szCs w:val="32"/>
          <w:highlight w:val="none"/>
          <w:lang w:val="zh-CN"/>
        </w:rPr>
      </w:pPr>
      <w:r>
        <w:rPr>
          <w:rFonts w:hint="eastAsia" w:ascii="宋体" w:hAnsi="宋体" w:cs="宋体"/>
          <w:color w:val="auto"/>
          <w:sz w:val="32"/>
          <w:szCs w:val="32"/>
          <w:highlight w:val="none"/>
        </w:rPr>
        <w:t>2</w:t>
      </w:r>
      <w:r>
        <w:rPr>
          <w:rFonts w:hint="eastAsia" w:ascii="宋体" w:hAnsi="宋体" w:cs="宋体"/>
          <w:color w:val="auto"/>
          <w:sz w:val="32"/>
          <w:szCs w:val="32"/>
          <w:highlight w:val="none"/>
          <w:lang w:val="zh-CN"/>
        </w:rPr>
        <w:t>、关于供应商资格申明的函</w:t>
      </w:r>
    </w:p>
    <w:p>
      <w:pPr>
        <w:wordWrap w:val="0"/>
        <w:topLinePunct/>
        <w:adjustRightInd w:val="0"/>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致：成都文瀚建设工程咨询有限公司</w:t>
      </w:r>
    </w:p>
    <w:p>
      <w:pPr>
        <w:wordWrap w:val="0"/>
        <w:topLinePunct/>
        <w:adjustRightInd w:val="0"/>
        <w:spacing w:line="360" w:lineRule="auto"/>
        <w:ind w:firstLine="480"/>
        <w:jc w:val="left"/>
        <w:rPr>
          <w:rFonts w:ascii="宋体" w:hAnsi="宋体" w:cs="宋体"/>
          <w:color w:val="auto"/>
          <w:sz w:val="24"/>
          <w:highlight w:val="none"/>
          <w:lang w:val="zh-CN"/>
        </w:rPr>
      </w:pPr>
      <w:r>
        <w:rPr>
          <w:rFonts w:hint="eastAsia" w:ascii="宋体" w:hAnsi="宋体" w:cs="宋体"/>
          <w:color w:val="auto"/>
          <w:sz w:val="24"/>
          <w:highlight w:val="none"/>
          <w:lang w:val="zh-CN"/>
        </w:rPr>
        <w:t>关于我方对“</w:t>
      </w:r>
      <w:r>
        <w:rPr>
          <w:rFonts w:hint="eastAsia" w:ascii="宋体" w:hAnsi="宋体" w:cs="宋体"/>
          <w:color w:val="auto"/>
          <w:sz w:val="24"/>
          <w:highlight w:val="none"/>
          <w:u w:val="single"/>
        </w:rPr>
        <w:t>　　　　　　</w:t>
      </w:r>
      <w:r>
        <w:rPr>
          <w:rFonts w:hint="eastAsia" w:ascii="宋体" w:hAnsi="宋体" w:cs="宋体"/>
          <w:color w:val="auto"/>
          <w:sz w:val="24"/>
          <w:highlight w:val="none"/>
        </w:rPr>
        <w:t>项目</w:t>
      </w:r>
      <w:r>
        <w:rPr>
          <w:rFonts w:hint="eastAsia" w:ascii="宋体" w:hAnsi="宋体" w:cs="宋体"/>
          <w:color w:val="auto"/>
          <w:sz w:val="24"/>
          <w:highlight w:val="none"/>
          <w:lang w:val="zh-CN"/>
        </w:rPr>
        <w:t>”（采购编号：</w:t>
      </w:r>
      <w:r>
        <w:rPr>
          <w:rFonts w:hint="eastAsia" w:ascii="宋体" w:hAnsi="宋体" w:cs="宋体"/>
          <w:color w:val="auto"/>
          <w:sz w:val="24"/>
          <w:highlight w:val="none"/>
          <w:u w:val="single"/>
          <w:lang w:val="zh-CN"/>
        </w:rPr>
        <w:t>　　　　</w:t>
      </w:r>
      <w:r>
        <w:rPr>
          <w:rFonts w:hint="eastAsia" w:ascii="宋体" w:hAnsi="宋体" w:cs="宋体"/>
          <w:color w:val="auto"/>
          <w:sz w:val="24"/>
          <w:highlight w:val="none"/>
          <w:lang w:val="zh-CN"/>
        </w:rPr>
        <w:t>）的竞争性磋商，本签字人愿意参加磋商，</w:t>
      </w:r>
      <w:r>
        <w:rPr>
          <w:rFonts w:hint="eastAsia" w:ascii="宋体" w:hAnsi="宋体" w:cs="宋体"/>
          <w:color w:val="auto"/>
          <w:sz w:val="24"/>
          <w:highlight w:val="none"/>
        </w:rPr>
        <w:t>根据磋商文件要求，现郑重承诺如下：</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一、具备《中华人民共和国政府采购法》第二十二条第一款和本项目规定的条件：</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（四）具有依法缴纳税收和社会保障资金的良好记录；</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（五）参加政府采购活动前三年内，在经营活动中没有重大违法记录；</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（七）我公司及其现任法定代表人、主要负责人不得具有行贿犯罪记录。</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三、参加本次竞争性磋商采购活动，不存在与单位负责人为同一人或者存在直接控股、管理关系的其他供应商参与同一合同项下的政府采购活动的行为。</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四、参加本次竞争性磋商采购活动，不存在和其他供应商在同一合同项下的采购项目中，同时委托同一个自然人、同一家庭的人员、同一单位的人员作为代理人的行为。</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五、如果有《四川省政府采购当事人诚信管理办法》（川财采[2015]33号）规定的记入诚信档案的失信行为，将在响应文件中全面如实反映。</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六、响应文件中提供的能够给予我单位带来优惠、好处的任何材料资料和技术、服务、商务等响应承诺情况都是真实的、有效的、合法的。</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七、我单位不属于国家相关法律法规及制度规定的禁止参加本次政府采购活动的供应商。</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rPr>
        <w:t>八、</w:t>
      </w:r>
      <w:r>
        <w:rPr>
          <w:rFonts w:hint="eastAsia" w:ascii="宋体" w:hAnsi="宋体" w:cs="宋体"/>
          <w:color w:val="auto"/>
          <w:sz w:val="24"/>
          <w:highlight w:val="none"/>
          <w:lang w:val="zh-CN"/>
        </w:rPr>
        <w:t>我</w:t>
      </w:r>
      <w:r>
        <w:rPr>
          <w:rFonts w:hint="eastAsia" w:ascii="宋体" w:hAnsi="宋体" w:cs="宋体"/>
          <w:color w:val="auto"/>
          <w:sz w:val="24"/>
          <w:highlight w:val="none"/>
        </w:rPr>
        <w:t>单位保证按照磋商文件要求提供的文件和说明是</w:t>
      </w:r>
      <w:r>
        <w:rPr>
          <w:rFonts w:hint="eastAsia" w:ascii="宋体" w:hAnsi="宋体" w:cs="宋体"/>
          <w:color w:val="auto"/>
          <w:sz w:val="24"/>
          <w:highlight w:val="none"/>
          <w:lang w:val="zh-CN"/>
        </w:rPr>
        <w:t>真实、准确的</w:t>
      </w:r>
      <w:r>
        <w:rPr>
          <w:rFonts w:hint="eastAsia" w:ascii="宋体" w:hAnsi="宋体" w:cs="宋体"/>
          <w:color w:val="auto"/>
          <w:sz w:val="24"/>
          <w:highlight w:val="none"/>
        </w:rPr>
        <w:t>，并</w:t>
      </w:r>
      <w:r>
        <w:rPr>
          <w:rFonts w:hint="eastAsia" w:ascii="宋体" w:hAnsi="宋体" w:cs="宋体"/>
          <w:color w:val="auto"/>
          <w:sz w:val="24"/>
          <w:highlight w:val="none"/>
          <w:lang w:val="zh-CN"/>
        </w:rPr>
        <w:t>愿意提供贵公司可能另外要求的，与竞争性磋商有关的文件资料，并保证</w:t>
      </w:r>
      <w:r>
        <w:rPr>
          <w:rFonts w:hint="eastAsia" w:ascii="宋体" w:hAnsi="宋体" w:cs="宋体"/>
          <w:color w:val="auto"/>
          <w:sz w:val="24"/>
          <w:highlight w:val="none"/>
        </w:rPr>
        <w:t>其</w:t>
      </w:r>
      <w:r>
        <w:rPr>
          <w:rFonts w:hint="eastAsia" w:ascii="宋体" w:hAnsi="宋体" w:cs="宋体"/>
          <w:color w:val="auto"/>
          <w:sz w:val="24"/>
          <w:highlight w:val="none"/>
          <w:lang w:val="zh-CN"/>
        </w:rPr>
        <w:t>真实、准确。</w:t>
      </w:r>
    </w:p>
    <w:p>
      <w:pPr>
        <w:widowControl/>
        <w:spacing w:line="360" w:lineRule="auto"/>
        <w:ind w:firstLine="470" w:firstLineChars="196"/>
        <w:jc w:val="left"/>
        <w:outlineLvl w:val="1"/>
        <w:rPr>
          <w:rFonts w:ascii="宋体" w:hAnsi="宋体" w:cs="宋体"/>
          <w:color w:val="auto"/>
          <w:sz w:val="24"/>
          <w:highlight w:val="none"/>
        </w:rPr>
      </w:pPr>
      <w:bookmarkStart w:id="216" w:name="_Toc2188"/>
      <w:r>
        <w:rPr>
          <w:rFonts w:hint="eastAsia" w:ascii="宋体" w:hAnsi="宋体" w:cs="宋体"/>
          <w:color w:val="auto"/>
          <w:sz w:val="24"/>
          <w:highlight w:val="none"/>
        </w:rPr>
        <w:t>供应商名称：XXXX（单位盖章）。</w:t>
      </w:r>
      <w:bookmarkEnd w:id="216"/>
    </w:p>
    <w:p>
      <w:pPr>
        <w:widowControl/>
        <w:spacing w:line="360" w:lineRule="auto"/>
        <w:ind w:firstLine="470" w:firstLineChars="196"/>
        <w:jc w:val="left"/>
        <w:outlineLvl w:val="1"/>
        <w:rPr>
          <w:rFonts w:ascii="宋体" w:hAnsi="宋体" w:cs="宋体"/>
          <w:color w:val="auto"/>
          <w:sz w:val="24"/>
          <w:highlight w:val="none"/>
        </w:rPr>
      </w:pPr>
      <w:bookmarkStart w:id="217" w:name="_Toc31683"/>
      <w:r>
        <w:rPr>
          <w:rFonts w:hint="eastAsia" w:ascii="宋体" w:hAnsi="宋体" w:cs="宋体"/>
          <w:color w:val="auto"/>
          <w:sz w:val="24"/>
          <w:highlight w:val="none"/>
        </w:rPr>
        <w:t>法定代表人/单位负责人或授权代表（签字或加盖个人印章）：XXXX。</w:t>
      </w:r>
      <w:bookmarkEnd w:id="217"/>
    </w:p>
    <w:p>
      <w:pPr>
        <w:widowControl/>
        <w:spacing w:line="360" w:lineRule="auto"/>
        <w:ind w:firstLine="470" w:firstLineChars="196"/>
        <w:jc w:val="left"/>
        <w:outlineLvl w:val="1"/>
        <w:rPr>
          <w:rFonts w:ascii="宋体" w:hAnsi="宋体" w:cs="宋体"/>
          <w:color w:val="auto"/>
          <w:sz w:val="24"/>
          <w:highlight w:val="none"/>
        </w:rPr>
      </w:pPr>
      <w:bookmarkStart w:id="218" w:name="_Toc30264"/>
      <w:r>
        <w:rPr>
          <w:rFonts w:hint="eastAsia" w:ascii="宋体" w:hAnsi="宋体" w:cs="宋体"/>
          <w:bCs/>
          <w:color w:val="auto"/>
          <w:sz w:val="24"/>
          <w:highlight w:val="none"/>
        </w:rPr>
        <w:t>递交响应文件截止</w:t>
      </w:r>
      <w:r>
        <w:rPr>
          <w:rFonts w:hint="eastAsia" w:ascii="宋体" w:hAnsi="宋体" w:cs="宋体"/>
          <w:color w:val="auto"/>
          <w:sz w:val="24"/>
          <w:highlight w:val="none"/>
        </w:rPr>
        <w:t>日期: XXXX。</w:t>
      </w:r>
      <w:bookmarkEnd w:id="218"/>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1、供应商在参加政府采购活动前，被纳入法院、工商行政管理部门、税务部门、银行认定的失信人名单且在有效期内，或者在前三年政府采购合同履约过程中及其他经营活动履约过程中未依法履约被有关部门处理的，不能认定为具有良好的商业信誉；</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2、供应商在参加政府采购活动前3年内因违法经营被禁止在一定期限内参加政府采购活动，期限届满的，可以参加政府采购活动，但供应商应提供相关证明材料复印件并加盖供应商公章；</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3、如供应商单位及现任法定代表人、主要负责人经查实具有行贿犯罪记录的，则按提供虚假材料进行处理，将取消其报价或成交资格。</w:t>
      </w:r>
    </w:p>
    <w:p>
      <w:pPr>
        <w:wordWrap w:val="0"/>
        <w:topLinePunct/>
        <w:adjustRightInd w:val="0"/>
        <w:ind w:firstLine="480"/>
        <w:jc w:val="left"/>
        <w:rPr>
          <w:rFonts w:ascii="宋体" w:hAnsi="宋体" w:cs="宋体"/>
          <w:color w:val="auto"/>
          <w:sz w:val="24"/>
          <w:highlight w:val="none"/>
          <w:lang w:val="zh-CN"/>
        </w:rPr>
      </w:pPr>
      <w:r>
        <w:rPr>
          <w:rFonts w:hint="eastAsia" w:ascii="宋体" w:hAnsi="宋体" w:cs="宋体"/>
          <w:color w:val="auto"/>
          <w:sz w:val="24"/>
          <w:highlight w:val="none"/>
          <w:lang w:val="zh-CN"/>
        </w:rPr>
        <w:br w:type="page"/>
      </w:r>
    </w:p>
    <w:p>
      <w:pPr>
        <w:pStyle w:val="6"/>
        <w:wordWrap w:val="0"/>
        <w:topLinePunct/>
        <w:spacing w:before="0" w:after="0"/>
        <w:ind w:firstLine="643"/>
        <w:jc w:val="center"/>
        <w:rPr>
          <w:rFonts w:ascii="宋体" w:hAnsi="宋体" w:cs="宋体"/>
          <w:color w:val="auto"/>
          <w:highlight w:val="none"/>
          <w:lang w:val="zh-CN"/>
        </w:rPr>
      </w:pPr>
      <w:r>
        <w:rPr>
          <w:rFonts w:hint="eastAsia" w:ascii="宋体" w:hAnsi="宋体" w:cs="宋体"/>
          <w:color w:val="auto"/>
          <w:sz w:val="32"/>
          <w:szCs w:val="32"/>
          <w:highlight w:val="none"/>
        </w:rPr>
        <w:t>3</w:t>
      </w:r>
      <w:r>
        <w:rPr>
          <w:rFonts w:hint="eastAsia" w:ascii="宋体" w:hAnsi="宋体" w:cs="宋体"/>
          <w:color w:val="auto"/>
          <w:sz w:val="32"/>
          <w:szCs w:val="32"/>
          <w:highlight w:val="none"/>
          <w:lang w:val="zh-CN"/>
        </w:rPr>
        <w:t>、法定代表人身份证明书</w:t>
      </w:r>
    </w:p>
    <w:p>
      <w:pPr>
        <w:ind w:firstLine="480"/>
        <w:rPr>
          <w:rFonts w:ascii="宋体" w:hAnsi="宋体" w:cs="宋体"/>
          <w:color w:val="auto"/>
          <w:highlight w:val="none"/>
          <w:lang w:val="zh-CN"/>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单位性质：</w:t>
      </w:r>
      <w:r>
        <w:rPr>
          <w:rFonts w:hint="eastAsia" w:ascii="宋体" w:hAnsi="宋体" w:cs="宋体"/>
          <w:color w:val="auto"/>
          <w:sz w:val="24"/>
          <w:highlight w:val="none"/>
          <w:u w:val="single"/>
        </w:rPr>
        <w:t xml:space="preserve">                            </w:t>
      </w:r>
    </w:p>
    <w:p>
      <w:pPr>
        <w:spacing w:line="360" w:lineRule="auto"/>
        <w:ind w:firstLine="480"/>
        <w:rPr>
          <w:rFonts w:ascii="宋体" w:hAnsi="宋体" w:cs="宋体"/>
          <w:b/>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rPr>
        <w:t xml:space="preserve">                                </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成立时间：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经营期限：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（供应商名称）的法定代表人。</w:t>
      </w:r>
    </w:p>
    <w:p>
      <w:pPr>
        <w:spacing w:line="360" w:lineRule="auto"/>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特此证明。</w:t>
      </w:r>
    </w:p>
    <w:p>
      <w:pPr>
        <w:spacing w:line="360" w:lineRule="auto"/>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 盖单位章）</w:t>
      </w:r>
    </w:p>
    <w:p>
      <w:pPr>
        <w:spacing w:line="360" w:lineRule="auto"/>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日</w:t>
      </w:r>
    </w:p>
    <w:p>
      <w:pPr>
        <w:tabs>
          <w:tab w:val="left" w:pos="6300"/>
        </w:tabs>
        <w:wordWrap w:val="0"/>
        <w:topLinePunct/>
        <w:adjustRightInd w:val="0"/>
        <w:spacing w:line="360" w:lineRule="auto"/>
        <w:ind w:firstLine="480"/>
        <w:jc w:val="left"/>
        <w:rPr>
          <w:rFonts w:ascii="宋体" w:hAnsi="宋体" w:cs="宋体"/>
          <w:color w:val="auto"/>
          <w:sz w:val="24"/>
          <w:highlight w:val="none"/>
          <w:lang w:val="zh-CN"/>
        </w:rPr>
      </w:pPr>
    </w:p>
    <w:p>
      <w:pPr>
        <w:spacing w:line="360" w:lineRule="auto"/>
        <w:ind w:firstLine="480"/>
        <w:rPr>
          <w:rFonts w:ascii="宋体" w:hAnsi="宋体" w:cs="宋体"/>
          <w:color w:val="auto"/>
          <w:sz w:val="24"/>
          <w:highlight w:val="none"/>
          <w:lang w:val="zh-CN"/>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注：1.法定代表人/单位负责人亲自参加投标时适用本证明书。</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2.应附法定代表人/单位负责人身份证明材料复印件。</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3.身份证明材料包括居民身份证或户口本或军官证或护照等。</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4.身份证明材料应同时提供其在有效期的材料，如居民身份证正、反面复印件。</w:t>
      </w:r>
    </w:p>
    <w:p>
      <w:pPr>
        <w:wordWrap w:val="0"/>
        <w:topLinePunct/>
        <w:spacing w:line="360" w:lineRule="auto"/>
        <w:ind w:firstLine="480"/>
        <w:rPr>
          <w:rFonts w:ascii="宋体" w:hAnsi="宋体" w:cs="宋体"/>
          <w:color w:val="auto"/>
          <w:sz w:val="24"/>
          <w:highlight w:val="none"/>
          <w:lang w:val="zh-CN"/>
        </w:rPr>
      </w:pPr>
    </w:p>
    <w:p>
      <w:pPr>
        <w:wordWrap w:val="0"/>
        <w:topLinePunct/>
        <w:spacing w:line="360" w:lineRule="auto"/>
        <w:ind w:firstLine="480"/>
        <w:rPr>
          <w:rFonts w:ascii="宋体" w:hAnsi="宋体" w:cs="宋体"/>
          <w:color w:val="auto"/>
          <w:sz w:val="24"/>
          <w:highlight w:val="none"/>
          <w:lang w:val="zh-CN"/>
        </w:rPr>
      </w:pPr>
    </w:p>
    <w:p>
      <w:pPr>
        <w:wordWrap w:val="0"/>
        <w:topLinePunct/>
        <w:spacing w:line="360" w:lineRule="auto"/>
        <w:ind w:firstLine="480"/>
        <w:rPr>
          <w:rFonts w:ascii="宋体" w:hAnsi="宋体" w:cs="宋体"/>
          <w:color w:val="auto"/>
          <w:highlight w:val="none"/>
          <w:lang w:val="zh-CN"/>
        </w:rPr>
      </w:pPr>
    </w:p>
    <w:p>
      <w:pPr>
        <w:wordWrap w:val="0"/>
        <w:topLinePunct/>
        <w:spacing w:line="360" w:lineRule="auto"/>
        <w:ind w:firstLine="480"/>
        <w:rPr>
          <w:rFonts w:ascii="宋体" w:hAnsi="宋体" w:cs="宋体"/>
          <w:color w:val="auto"/>
          <w:highlight w:val="none"/>
          <w:lang w:val="zh-CN"/>
        </w:rPr>
      </w:pPr>
    </w:p>
    <w:p>
      <w:pPr>
        <w:pStyle w:val="6"/>
        <w:wordWrap w:val="0"/>
        <w:topLinePunct/>
        <w:spacing w:before="0" w:after="0"/>
        <w:jc w:val="center"/>
        <w:rPr>
          <w:rFonts w:ascii="宋体" w:hAnsi="宋体" w:cs="宋体"/>
          <w:color w:val="auto"/>
          <w:sz w:val="32"/>
          <w:szCs w:val="32"/>
          <w:highlight w:val="none"/>
          <w:lang w:val="zh-CN"/>
        </w:rPr>
      </w:pPr>
      <w:r>
        <w:rPr>
          <w:rFonts w:hint="eastAsia" w:ascii="宋体" w:hAnsi="宋体" w:cs="宋体"/>
          <w:b w:val="0"/>
          <w:bCs w:val="0"/>
          <w:color w:val="auto"/>
          <w:szCs w:val="24"/>
          <w:highlight w:val="none"/>
          <w:lang w:val="zh-CN"/>
        </w:rPr>
        <w:br w:type="page"/>
      </w:r>
      <w:r>
        <w:rPr>
          <w:rFonts w:hint="eastAsia" w:ascii="宋体" w:hAnsi="宋体" w:cs="宋体"/>
          <w:color w:val="auto"/>
          <w:sz w:val="32"/>
          <w:szCs w:val="32"/>
          <w:highlight w:val="none"/>
        </w:rPr>
        <w:t>4</w:t>
      </w:r>
      <w:r>
        <w:rPr>
          <w:rFonts w:hint="eastAsia" w:ascii="宋体" w:hAnsi="宋体" w:cs="宋体"/>
          <w:color w:val="auto"/>
          <w:sz w:val="32"/>
          <w:szCs w:val="32"/>
          <w:highlight w:val="none"/>
          <w:lang w:val="zh-CN"/>
        </w:rPr>
        <w:t>、法定代表人授权委托书</w:t>
      </w:r>
    </w:p>
    <w:p>
      <w:pPr>
        <w:ind w:firstLine="643"/>
        <w:rPr>
          <w:rFonts w:ascii="宋体" w:hAnsi="宋体" w:cs="宋体"/>
          <w:b/>
          <w:bCs/>
          <w:color w:val="auto"/>
          <w:sz w:val="32"/>
          <w:szCs w:val="32"/>
          <w:highlight w:val="none"/>
          <w:lang w:val="zh-CN"/>
        </w:rPr>
      </w:pPr>
    </w:p>
    <w:p>
      <w:pPr>
        <w:spacing w:line="360" w:lineRule="auto"/>
        <w:ind w:firstLine="643"/>
        <w:rPr>
          <w:rFonts w:ascii="宋体" w:hAnsi="宋体" w:cs="宋体"/>
          <w:b/>
          <w:bCs/>
          <w:color w:val="auto"/>
          <w:sz w:val="32"/>
          <w:szCs w:val="32"/>
          <w:highlight w:val="none"/>
          <w:lang w:val="zh-CN"/>
        </w:rPr>
      </w:pP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lang w:val="zh-CN"/>
        </w:rPr>
        <w:t>成都文瀚建设工程咨询有限公司</w:t>
      </w:r>
      <w:r>
        <w:rPr>
          <w:rFonts w:hint="eastAsia" w:ascii="宋体" w:hAnsi="宋体" w:cs="宋体"/>
          <w:color w:val="auto"/>
          <w:sz w:val="24"/>
          <w:highlight w:val="none"/>
        </w:rPr>
        <w:t>：</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本授权声明：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（法定代表人姓名）授权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（被授权人姓名）为我方 “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项目（采购编号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）采购活动的合法代表，以我方名义全权处理该项目有关投标、签订合同以及执行合同等一切事宜。</w:t>
      </w:r>
    </w:p>
    <w:p>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特此声明。</w:t>
      </w:r>
    </w:p>
    <w:p>
      <w:pPr>
        <w:spacing w:line="360" w:lineRule="auto"/>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19" w:name="_Toc2557"/>
      <w:r>
        <w:rPr>
          <w:rFonts w:hint="eastAsia" w:ascii="宋体" w:hAnsi="宋体" w:cs="宋体"/>
          <w:color w:val="auto"/>
          <w:sz w:val="24"/>
          <w:highlight w:val="none"/>
        </w:rPr>
        <w:t>法定代表人/单位负责人（委托人）签字或加盖个人印章：XXXX。</w:t>
      </w:r>
      <w:bookmarkEnd w:id="219"/>
    </w:p>
    <w:p>
      <w:pPr>
        <w:widowControl/>
        <w:spacing w:line="360" w:lineRule="auto"/>
        <w:ind w:firstLine="470" w:firstLineChars="196"/>
        <w:jc w:val="left"/>
        <w:rPr>
          <w:rFonts w:ascii="宋体" w:hAnsi="宋体" w:cs="宋体"/>
          <w:color w:val="auto"/>
          <w:sz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20" w:name="_Toc1776"/>
      <w:r>
        <w:rPr>
          <w:rFonts w:hint="eastAsia" w:ascii="宋体" w:hAnsi="宋体" w:cs="宋体"/>
          <w:color w:val="auto"/>
          <w:sz w:val="24"/>
          <w:highlight w:val="none"/>
        </w:rPr>
        <w:t>授权代表（被授权人）签字或加盖个人印章：XXXX。</w:t>
      </w:r>
      <w:bookmarkEnd w:id="220"/>
    </w:p>
    <w:p>
      <w:pPr>
        <w:widowControl/>
        <w:spacing w:line="360" w:lineRule="auto"/>
        <w:ind w:firstLine="470" w:firstLineChars="196"/>
        <w:jc w:val="left"/>
        <w:rPr>
          <w:rFonts w:ascii="宋体" w:hAnsi="宋体" w:cs="宋体"/>
          <w:color w:val="auto"/>
          <w:sz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21" w:name="_Toc25152"/>
      <w:r>
        <w:rPr>
          <w:rFonts w:hint="eastAsia" w:ascii="宋体" w:hAnsi="宋体" w:cs="宋体"/>
          <w:color w:val="auto"/>
          <w:sz w:val="24"/>
          <w:highlight w:val="none"/>
        </w:rPr>
        <w:t>供应商名称：XXXX（单位盖章）。</w:t>
      </w:r>
      <w:bookmarkEnd w:id="221"/>
    </w:p>
    <w:p>
      <w:pPr>
        <w:widowControl/>
        <w:spacing w:line="360" w:lineRule="auto"/>
        <w:ind w:firstLine="470" w:firstLineChars="196"/>
        <w:jc w:val="left"/>
        <w:outlineLvl w:val="1"/>
        <w:rPr>
          <w:rFonts w:ascii="宋体" w:hAnsi="宋体" w:cs="宋体"/>
          <w:color w:val="auto"/>
          <w:sz w:val="24"/>
          <w:highlight w:val="none"/>
        </w:rPr>
      </w:pPr>
      <w:bookmarkStart w:id="222" w:name="_Toc10500"/>
      <w:r>
        <w:rPr>
          <w:rFonts w:hint="eastAsia" w:ascii="宋体" w:hAnsi="宋体" w:cs="宋体"/>
          <w:color w:val="auto"/>
          <w:sz w:val="24"/>
          <w:highlight w:val="none"/>
        </w:rPr>
        <w:t>日    期：XXXX。</w:t>
      </w:r>
      <w:bookmarkEnd w:id="222"/>
    </w:p>
    <w:p>
      <w:pPr>
        <w:wordWrap w:val="0"/>
        <w:topLinePunct/>
        <w:adjustRightInd w:val="0"/>
        <w:spacing w:line="360" w:lineRule="auto"/>
        <w:jc w:val="left"/>
        <w:rPr>
          <w:rFonts w:ascii="宋体" w:hAnsi="宋体" w:cs="宋体"/>
          <w:color w:val="auto"/>
          <w:sz w:val="24"/>
          <w:highlight w:val="none"/>
          <w:lang w:val="zh-CN"/>
        </w:rPr>
      </w:pPr>
    </w:p>
    <w:p>
      <w:pPr>
        <w:wordWrap w:val="0"/>
        <w:topLinePunct/>
        <w:adjustRightInd w:val="0"/>
        <w:spacing w:line="360" w:lineRule="auto"/>
        <w:ind w:firstLine="480"/>
        <w:jc w:val="left"/>
        <w:rPr>
          <w:rFonts w:ascii="宋体" w:hAnsi="宋体" w:cs="宋体"/>
          <w:color w:val="auto"/>
          <w:sz w:val="24"/>
          <w:highlight w:val="none"/>
          <w:lang w:val="zh-CN"/>
        </w:rPr>
      </w:pPr>
    </w:p>
    <w:p>
      <w:pPr>
        <w:widowControl/>
        <w:spacing w:line="360" w:lineRule="auto"/>
        <w:ind w:firstLine="470" w:firstLineChars="196"/>
        <w:jc w:val="left"/>
        <w:outlineLvl w:val="1"/>
        <w:rPr>
          <w:rFonts w:ascii="宋体" w:hAnsi="宋体" w:cs="宋体"/>
          <w:color w:val="auto"/>
          <w:sz w:val="24"/>
          <w:highlight w:val="none"/>
          <w:lang w:val="zh-CN"/>
        </w:rPr>
      </w:pP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lang w:val="zh-CN"/>
        </w:rPr>
        <w:t>说明：</w:t>
      </w:r>
      <w:r>
        <w:rPr>
          <w:rFonts w:hint="eastAsia" w:ascii="宋体" w:hAnsi="宋体" w:cs="宋体"/>
          <w:color w:val="auto"/>
          <w:sz w:val="24"/>
          <w:highlight w:val="none"/>
        </w:rPr>
        <w:t>1.法定代表人/单位负责人不亲自参加投标，而授权代表参加投标的适用。</w:t>
      </w: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2.供应商为法人单位时提供“法定代表人授权书”，供应商为其他组织时提供“负责人授权书”，供应商为自然人时提供“自然人身份证明材料”。</w:t>
      </w: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3.应附法定代表人/单位负责人身份证明材料复印件和授权代表身份证明材料复印件。</w:t>
      </w: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4.身份证明材料包括居民身份证或户口本或军官证或护照等。</w:t>
      </w: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5.身份证明材料应同时提供其在有效期的材料，如居民身份证正、反面复印件。</w:t>
      </w:r>
    </w:p>
    <w:p>
      <w:pPr>
        <w:widowControl/>
        <w:spacing w:line="360" w:lineRule="auto"/>
        <w:ind w:firstLine="470" w:firstLineChars="196"/>
        <w:jc w:val="left"/>
        <w:outlineLvl w:val="1"/>
        <w:rPr>
          <w:rFonts w:ascii="宋体" w:hAnsi="宋体" w:cs="宋体"/>
          <w:color w:val="auto"/>
          <w:sz w:val="24"/>
          <w:highlight w:val="none"/>
          <w:lang w:val="zh-CN"/>
        </w:rPr>
      </w:pPr>
    </w:p>
    <w:p>
      <w:pPr>
        <w:pStyle w:val="6"/>
        <w:wordWrap w:val="0"/>
        <w:topLinePunct/>
        <w:spacing w:before="0" w:after="0" w:line="360" w:lineRule="auto"/>
        <w:rPr>
          <w:rFonts w:ascii="宋体" w:hAnsi="宋体" w:cs="宋体"/>
          <w:color w:val="auto"/>
          <w:highlight w:val="none"/>
          <w:lang w:val="zh-CN"/>
        </w:rPr>
      </w:pPr>
      <w:r>
        <w:rPr>
          <w:rFonts w:hint="eastAsia" w:ascii="宋体" w:hAnsi="宋体" w:cs="宋体"/>
          <w:color w:val="auto"/>
          <w:highlight w:val="none"/>
        </w:rPr>
        <w:br w:type="page"/>
      </w:r>
      <w:r>
        <w:rPr>
          <w:rFonts w:hint="eastAsia" w:ascii="宋体" w:hAnsi="宋体" w:cs="宋体"/>
          <w:color w:val="auto"/>
          <w:sz w:val="32"/>
          <w:szCs w:val="32"/>
          <w:highlight w:val="none"/>
        </w:rPr>
        <w:t>5</w:t>
      </w:r>
      <w:r>
        <w:rPr>
          <w:rFonts w:hint="eastAsia" w:ascii="宋体" w:hAnsi="宋体" w:cs="宋体"/>
          <w:color w:val="auto"/>
          <w:sz w:val="32"/>
          <w:szCs w:val="32"/>
          <w:highlight w:val="none"/>
          <w:lang w:val="zh-CN"/>
        </w:rPr>
        <w:t>、声明函</w:t>
      </w:r>
    </w:p>
    <w:p>
      <w:pPr>
        <w:wordWrap w:val="0"/>
        <w:topLinePunct/>
        <w:spacing w:line="360" w:lineRule="auto"/>
        <w:rPr>
          <w:rFonts w:ascii="宋体" w:hAnsi="宋体" w:cs="宋体"/>
          <w:color w:val="auto"/>
          <w:sz w:val="24"/>
          <w:highlight w:val="none"/>
        </w:rPr>
      </w:pPr>
      <w:r>
        <w:rPr>
          <w:rFonts w:hint="eastAsia" w:ascii="宋体" w:hAnsi="宋体" w:cs="宋体"/>
          <w:color w:val="auto"/>
          <w:sz w:val="24"/>
          <w:highlight w:val="none"/>
        </w:rPr>
        <w:t>成都文瀚建设工程咨询有限公司：</w:t>
      </w:r>
    </w:p>
    <w:p>
      <w:pPr>
        <w:wordWrap w:val="0"/>
        <w:topLinePunct/>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作为</w:t>
      </w:r>
      <w:r>
        <w:rPr>
          <w:rFonts w:hint="eastAsia" w:ascii="宋体" w:hAnsi="宋体" w:cs="宋体"/>
          <w:color w:val="auto"/>
          <w:sz w:val="24"/>
          <w:highlight w:val="none"/>
        </w:rPr>
        <w:t xml:space="preserve">老城区桂湖中路、桂湖东路（钟楼至东环路段）城市品质提升项目设计服务采购项目        </w:t>
      </w:r>
      <w:r>
        <w:rPr>
          <w:rFonts w:hint="eastAsia" w:ascii="宋体" w:hAnsi="宋体" w:cs="宋体"/>
          <w:color w:val="auto"/>
          <w:sz w:val="24"/>
          <w:highlight w:val="none"/>
          <w:lang w:val="zh-CN"/>
        </w:rPr>
        <w:t>的供应商，我方声明如下：</w:t>
      </w:r>
    </w:p>
    <w:p>
      <w:pPr>
        <w:wordWrap w:val="0"/>
        <w:topLinePunct/>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我单位在参加本次政府采购活动前一年内，</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(填写“有”或“</w:t>
      </w:r>
      <w:r>
        <w:rPr>
          <w:rFonts w:hint="eastAsia" w:ascii="宋体" w:hAnsi="宋体" w:cs="宋体"/>
          <w:color w:val="auto"/>
          <w:sz w:val="24"/>
          <w:highlight w:val="none"/>
        </w:rPr>
        <w:t>没</w:t>
      </w:r>
      <w:r>
        <w:rPr>
          <w:rFonts w:hint="eastAsia" w:ascii="宋体" w:hAnsi="宋体" w:cs="宋体"/>
          <w:color w:val="auto"/>
          <w:sz w:val="24"/>
          <w:highlight w:val="none"/>
          <w:lang w:val="zh-CN"/>
        </w:rPr>
        <w:t>有’)</w:t>
      </w:r>
    </w:p>
    <w:p>
      <w:pPr>
        <w:wordWrap w:val="0"/>
        <w:topLinePunct/>
        <w:spacing w:line="360" w:lineRule="auto"/>
        <w:rPr>
          <w:rFonts w:ascii="宋体" w:hAnsi="宋体" w:cs="宋体"/>
          <w:color w:val="auto"/>
          <w:sz w:val="24"/>
          <w:highlight w:val="none"/>
        </w:rPr>
      </w:pPr>
      <w:r>
        <w:rPr>
          <w:rFonts w:hint="eastAsia" w:ascii="宋体" w:hAnsi="宋体" w:cs="宋体"/>
          <w:color w:val="auto"/>
          <w:sz w:val="24"/>
          <w:highlight w:val="none"/>
          <w:lang w:val="zh-CN"/>
        </w:rPr>
        <w:t>因失信行为记入诚信档案.共</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次计入诚信档案。</w:t>
      </w:r>
    </w:p>
    <w:p>
      <w:pPr>
        <w:wordWrap w:val="0"/>
        <w:topLinePunct/>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特此声明。</w:t>
      </w:r>
    </w:p>
    <w:p>
      <w:pPr>
        <w:wordWrap w:val="0"/>
        <w:topLinePunct/>
        <w:spacing w:line="360" w:lineRule="auto"/>
        <w:ind w:firstLine="480"/>
        <w:rPr>
          <w:rFonts w:ascii="宋体" w:hAnsi="宋体" w:cs="宋体"/>
          <w:color w:val="auto"/>
          <w:sz w:val="24"/>
          <w:highlight w:val="none"/>
        </w:rPr>
      </w:pPr>
    </w:p>
    <w:p>
      <w:pPr>
        <w:wordWrap w:val="0"/>
        <w:topLinePunct/>
        <w:spacing w:line="360" w:lineRule="auto"/>
        <w:rPr>
          <w:rFonts w:ascii="宋体" w:hAnsi="宋体" w:cs="宋体"/>
          <w:color w:val="auto"/>
          <w:sz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23" w:name="_Toc7443"/>
      <w:r>
        <w:rPr>
          <w:rFonts w:hint="eastAsia" w:ascii="宋体" w:hAnsi="宋体" w:cs="宋体"/>
          <w:color w:val="auto"/>
          <w:sz w:val="24"/>
          <w:highlight w:val="none"/>
        </w:rPr>
        <w:t>供应商名称：XXXX（单位公章）。</w:t>
      </w:r>
      <w:bookmarkEnd w:id="223"/>
    </w:p>
    <w:p>
      <w:pPr>
        <w:widowControl/>
        <w:spacing w:line="360" w:lineRule="auto"/>
        <w:ind w:firstLine="470" w:firstLineChars="196"/>
        <w:jc w:val="left"/>
        <w:outlineLvl w:val="1"/>
        <w:rPr>
          <w:rFonts w:ascii="宋体" w:hAnsi="宋体" w:cs="宋体"/>
          <w:color w:val="auto"/>
          <w:sz w:val="24"/>
          <w:highlight w:val="none"/>
        </w:rPr>
      </w:pPr>
      <w:bookmarkStart w:id="224" w:name="_Toc12421"/>
      <w:r>
        <w:rPr>
          <w:rFonts w:hint="eastAsia" w:ascii="宋体" w:hAnsi="宋体" w:cs="宋体"/>
          <w:color w:val="auto"/>
          <w:sz w:val="24"/>
          <w:highlight w:val="none"/>
        </w:rPr>
        <w:t>法定代表人/单位负责人或授权代表（签字或加盖个人印章）：XXXX。</w:t>
      </w:r>
      <w:bookmarkEnd w:id="224"/>
    </w:p>
    <w:p>
      <w:pPr>
        <w:widowControl/>
        <w:spacing w:line="360" w:lineRule="auto"/>
        <w:ind w:firstLine="470" w:firstLineChars="196"/>
        <w:jc w:val="left"/>
        <w:outlineLvl w:val="1"/>
        <w:rPr>
          <w:rFonts w:ascii="宋体" w:hAnsi="宋体" w:cs="宋体"/>
          <w:color w:val="auto"/>
          <w:sz w:val="24"/>
          <w:highlight w:val="none"/>
        </w:rPr>
      </w:pPr>
      <w:bookmarkStart w:id="225" w:name="_Toc3389"/>
      <w:r>
        <w:rPr>
          <w:rFonts w:hint="eastAsia" w:ascii="宋体" w:hAnsi="宋体" w:cs="宋体"/>
          <w:color w:val="auto"/>
          <w:sz w:val="24"/>
          <w:highlight w:val="none"/>
        </w:rPr>
        <w:t>日    期：XXXX。</w:t>
      </w:r>
      <w:bookmarkEnd w:id="225"/>
    </w:p>
    <w:p>
      <w:pPr>
        <w:wordWrap w:val="0"/>
        <w:topLinePunct/>
        <w:spacing w:line="360" w:lineRule="auto"/>
        <w:ind w:firstLine="480"/>
        <w:rPr>
          <w:rFonts w:ascii="宋体" w:hAnsi="宋体" w:cs="宋体"/>
          <w:color w:val="auto"/>
          <w:sz w:val="24"/>
          <w:highlight w:val="none"/>
        </w:rPr>
      </w:pPr>
    </w:p>
    <w:p>
      <w:pPr>
        <w:wordWrap w:val="0"/>
        <w:topLinePunct/>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注：为采购项目提供整体设计、规划编制或者项目管理、监理、检测等服务的供应商，不得再参加本次采购活动。</w:t>
      </w:r>
    </w:p>
    <w:p>
      <w:pPr>
        <w:wordWrap w:val="0"/>
        <w:topLinePunct/>
        <w:spacing w:line="360" w:lineRule="auto"/>
        <w:ind w:firstLine="480"/>
        <w:rPr>
          <w:rFonts w:ascii="宋体" w:hAnsi="宋体" w:cs="宋体"/>
          <w:bCs/>
          <w:color w:val="auto"/>
          <w:sz w:val="24"/>
          <w:highlight w:val="none"/>
        </w:rPr>
      </w:pPr>
      <w:r>
        <w:rPr>
          <w:rFonts w:hint="eastAsia" w:ascii="宋体" w:hAnsi="宋体" w:cs="宋体"/>
          <w:color w:val="auto"/>
          <w:sz w:val="24"/>
          <w:highlight w:val="none"/>
        </w:rPr>
        <w:t xml:space="preserve">    </w:t>
      </w:r>
    </w:p>
    <w:p>
      <w:pPr>
        <w:wordWrap w:val="0"/>
        <w:topLinePunct/>
        <w:spacing w:line="360" w:lineRule="auto"/>
        <w:ind w:firstLine="480"/>
        <w:rPr>
          <w:rFonts w:ascii="宋体" w:hAnsi="宋体" w:cs="宋体"/>
          <w:bCs/>
          <w:color w:val="auto"/>
          <w:highlight w:val="none"/>
        </w:rPr>
      </w:pPr>
    </w:p>
    <w:p>
      <w:pPr>
        <w:wordWrap w:val="0"/>
        <w:topLinePunct/>
        <w:spacing w:line="360" w:lineRule="auto"/>
        <w:ind w:firstLine="480"/>
        <w:rPr>
          <w:rFonts w:ascii="宋体" w:hAnsi="宋体" w:cs="宋体"/>
          <w:bCs/>
          <w:color w:val="auto"/>
          <w:highlight w:val="none"/>
        </w:rPr>
        <w:sectPr>
          <w:headerReference r:id="rId3" w:type="default"/>
          <w:footerReference r:id="rId4" w:type="default"/>
          <w:footerReference r:id="rId5" w:type="even"/>
          <w:pgSz w:w="11907" w:h="16840"/>
          <w:pgMar w:top="1440" w:right="1393" w:bottom="1440" w:left="1474" w:header="851" w:footer="992" w:gutter="0"/>
          <w:pgNumType w:start="1"/>
          <w:cols w:space="425" w:num="1"/>
          <w:docGrid w:linePitch="312" w:charSpace="0"/>
        </w:sectPr>
      </w:pPr>
    </w:p>
    <w:p>
      <w:pPr>
        <w:pStyle w:val="8"/>
        <w:spacing w:line="360" w:lineRule="auto"/>
        <w:rPr>
          <w:rFonts w:cs="宋体"/>
          <w:bCs/>
          <w:color w:val="auto"/>
          <w:szCs w:val="24"/>
          <w:highlight w:val="none"/>
        </w:rPr>
      </w:pPr>
    </w:p>
    <w:p>
      <w:pPr>
        <w:widowControl/>
        <w:jc w:val="center"/>
        <w:outlineLvl w:val="1"/>
        <w:rPr>
          <w:rFonts w:ascii="宋体" w:hAnsi="宋体" w:cs="宋体"/>
          <w:b/>
          <w:color w:val="auto"/>
          <w:sz w:val="32"/>
          <w:szCs w:val="32"/>
          <w:highlight w:val="none"/>
        </w:rPr>
      </w:pPr>
      <w:bookmarkStart w:id="226" w:name="_Toc500"/>
      <w:bookmarkStart w:id="227" w:name="_Toc8834"/>
      <w:r>
        <w:rPr>
          <w:rFonts w:hint="eastAsia" w:ascii="宋体" w:hAnsi="宋体" w:cs="宋体"/>
          <w:b/>
          <w:color w:val="auto"/>
          <w:sz w:val="32"/>
          <w:szCs w:val="32"/>
          <w:highlight w:val="none"/>
        </w:rPr>
        <w:t>6、中小企业声明函</w:t>
      </w:r>
      <w:bookmarkEnd w:id="226"/>
      <w:bookmarkEnd w:id="227"/>
    </w:p>
    <w:p>
      <w:pPr>
        <w:widowControl/>
        <w:spacing w:line="360" w:lineRule="auto"/>
        <w:jc w:val="center"/>
        <w:rPr>
          <w:rFonts w:ascii="宋体" w:hAnsi="宋体" w:cs="宋体"/>
          <w:b/>
          <w:color w:val="auto"/>
          <w:sz w:val="24"/>
          <w:highlight w:val="none"/>
        </w:rPr>
      </w:pPr>
    </w:p>
    <w:p>
      <w:pPr>
        <w:pStyle w:val="28"/>
        <w:spacing w:before="0" w:beforeAutospacing="0" w:after="0" w:afterAutospacing="0" w:line="360" w:lineRule="auto"/>
        <w:ind w:firstLine="480" w:firstLineChars="200"/>
        <w:rPr>
          <w:color w:val="auto"/>
          <w:sz w:val="24"/>
          <w:szCs w:val="24"/>
          <w:highlight w:val="none"/>
        </w:rPr>
      </w:pPr>
      <w:r>
        <w:rPr>
          <w:color w:val="auto"/>
          <w:sz w:val="24"/>
          <w:szCs w:val="24"/>
          <w:highlight w:val="none"/>
        </w:rPr>
        <w:t>本公司郑重声明，根据《政府采购促进中小企业发展管理办法》（财库（2020）46号）的规定，本公司参加（</w:t>
      </w:r>
      <w:r>
        <w:rPr>
          <w:color w:val="auto"/>
          <w:sz w:val="24"/>
          <w:szCs w:val="24"/>
          <w:highlight w:val="none"/>
          <w:u w:val="single"/>
        </w:rPr>
        <w:t>单位名称</w:t>
      </w:r>
      <w:r>
        <w:rPr>
          <w:color w:val="auto"/>
          <w:sz w:val="24"/>
          <w:szCs w:val="24"/>
          <w:highlight w:val="none"/>
        </w:rPr>
        <w:t>）的</w:t>
      </w:r>
      <w:r>
        <w:rPr>
          <w:color w:val="auto"/>
          <w:sz w:val="24"/>
          <w:szCs w:val="24"/>
          <w:highlight w:val="none"/>
          <w:u w:val="single"/>
        </w:rPr>
        <w:t>（项目名称）</w:t>
      </w:r>
      <w:r>
        <w:rPr>
          <w:color w:val="auto"/>
          <w:sz w:val="24"/>
          <w:szCs w:val="24"/>
          <w:highlight w:val="none"/>
        </w:rPr>
        <w:t>采购活动，服务全部由符合政策要求的中小企业承接。具体情况如下∶</w:t>
      </w:r>
    </w:p>
    <w:p>
      <w:pPr>
        <w:pStyle w:val="28"/>
        <w:spacing w:before="0" w:beforeAutospacing="0" w:after="0" w:afterAutospacing="0" w:line="360" w:lineRule="auto"/>
        <w:ind w:firstLine="480" w:firstLineChars="200"/>
        <w:rPr>
          <w:color w:val="auto"/>
          <w:sz w:val="24"/>
          <w:szCs w:val="24"/>
          <w:highlight w:val="none"/>
        </w:rPr>
      </w:pPr>
      <w:r>
        <w:rPr>
          <w:color w:val="auto"/>
          <w:sz w:val="24"/>
          <w:szCs w:val="24"/>
          <w:highlight w:val="none"/>
        </w:rPr>
        <w:t>1.</w:t>
      </w:r>
      <w:r>
        <w:rPr>
          <w:color w:val="auto"/>
          <w:sz w:val="24"/>
          <w:szCs w:val="24"/>
          <w:highlight w:val="none"/>
          <w:u w:val="single"/>
        </w:rPr>
        <w:t>（标的名称）</w:t>
      </w:r>
      <w:r>
        <w:rPr>
          <w:color w:val="auto"/>
          <w:sz w:val="24"/>
          <w:szCs w:val="24"/>
          <w:highlight w:val="none"/>
        </w:rPr>
        <w:t>，属于</w:t>
      </w:r>
      <w:r>
        <w:rPr>
          <w:color w:val="auto"/>
          <w:sz w:val="24"/>
          <w:szCs w:val="24"/>
          <w:highlight w:val="none"/>
          <w:u w:val="single"/>
        </w:rPr>
        <w:t>（采购文件中明确的所属行业）</w:t>
      </w:r>
      <w:r>
        <w:rPr>
          <w:color w:val="auto"/>
          <w:sz w:val="24"/>
          <w:szCs w:val="24"/>
          <w:highlight w:val="none"/>
        </w:rPr>
        <w:t>;承建（承接）企业为（</w:t>
      </w:r>
      <w:r>
        <w:rPr>
          <w:color w:val="auto"/>
          <w:sz w:val="24"/>
          <w:szCs w:val="24"/>
          <w:highlight w:val="none"/>
          <w:u w:val="single"/>
        </w:rPr>
        <w:t>企业名称</w:t>
      </w:r>
      <w:r>
        <w:rPr>
          <w:color w:val="auto"/>
          <w:sz w:val="24"/>
          <w:szCs w:val="24"/>
          <w:highlight w:val="none"/>
        </w:rPr>
        <w:t>），从业人员</w:t>
      </w:r>
      <w:r>
        <w:rPr>
          <w:rFonts w:hint="eastAsia"/>
          <w:color w:val="auto"/>
          <w:sz w:val="24"/>
          <w:szCs w:val="24"/>
          <w:highlight w:val="none"/>
          <w:u w:val="single"/>
        </w:rPr>
        <w:t xml:space="preserve">     </w:t>
      </w:r>
      <w:r>
        <w:rPr>
          <w:color w:val="auto"/>
          <w:sz w:val="24"/>
          <w:szCs w:val="24"/>
          <w:highlight w:val="none"/>
        </w:rPr>
        <w:t>人，营业收入为</w:t>
      </w:r>
      <w:r>
        <w:rPr>
          <w:rFonts w:hint="eastAsia"/>
          <w:color w:val="auto"/>
          <w:sz w:val="24"/>
          <w:szCs w:val="24"/>
          <w:highlight w:val="none"/>
          <w:u w:val="single"/>
        </w:rPr>
        <w:t xml:space="preserve">     </w:t>
      </w:r>
      <w:r>
        <w:rPr>
          <w:color w:val="auto"/>
          <w:sz w:val="24"/>
          <w:szCs w:val="24"/>
          <w:highlight w:val="none"/>
        </w:rPr>
        <w:t>万元，资产总额为</w:t>
      </w:r>
      <w:r>
        <w:rPr>
          <w:rFonts w:hint="eastAsia"/>
          <w:color w:val="auto"/>
          <w:sz w:val="24"/>
          <w:szCs w:val="24"/>
          <w:highlight w:val="none"/>
          <w:u w:val="single"/>
        </w:rPr>
        <w:t xml:space="preserve">    </w:t>
      </w:r>
      <w:r>
        <w:rPr>
          <w:color w:val="auto"/>
          <w:sz w:val="24"/>
          <w:szCs w:val="24"/>
          <w:highlight w:val="none"/>
        </w:rPr>
        <w:t>万元，属于</w:t>
      </w:r>
      <w:r>
        <w:rPr>
          <w:color w:val="auto"/>
          <w:sz w:val="24"/>
          <w:szCs w:val="24"/>
          <w:highlight w:val="none"/>
          <w:u w:val="single"/>
        </w:rPr>
        <w:t>（中型企业、小型企业、微型企业）</w:t>
      </w:r>
      <w:r>
        <w:rPr>
          <w:color w:val="auto"/>
          <w:sz w:val="24"/>
          <w:szCs w:val="24"/>
          <w:highlight w:val="none"/>
        </w:rPr>
        <w:t>;</w:t>
      </w:r>
    </w:p>
    <w:p>
      <w:pPr>
        <w:pStyle w:val="28"/>
        <w:spacing w:before="0" w:beforeAutospacing="0" w:after="0" w:afterAutospacing="0" w:line="360" w:lineRule="auto"/>
        <w:ind w:firstLine="480" w:firstLineChars="200"/>
        <w:rPr>
          <w:color w:val="auto"/>
          <w:sz w:val="24"/>
          <w:szCs w:val="24"/>
          <w:highlight w:val="none"/>
        </w:rPr>
      </w:pPr>
      <w:r>
        <w:rPr>
          <w:color w:val="auto"/>
          <w:sz w:val="24"/>
          <w:szCs w:val="24"/>
          <w:highlight w:val="none"/>
        </w:rPr>
        <w:t>以上企业，不属于大企业的分支机构，不存在控股股东为大企业的情形，也不存在与大企业的负责人为同一人的情形。</w:t>
      </w:r>
    </w:p>
    <w:p>
      <w:pPr>
        <w:pStyle w:val="28"/>
        <w:spacing w:before="0" w:beforeAutospacing="0" w:after="0" w:afterAutospacing="0" w:line="360" w:lineRule="auto"/>
        <w:ind w:firstLine="480" w:firstLineChars="200"/>
        <w:rPr>
          <w:color w:val="auto"/>
          <w:sz w:val="24"/>
          <w:szCs w:val="24"/>
          <w:highlight w:val="none"/>
        </w:rPr>
      </w:pPr>
      <w:r>
        <w:rPr>
          <w:color w:val="auto"/>
          <w:sz w:val="24"/>
          <w:szCs w:val="24"/>
          <w:highlight w:val="none"/>
        </w:rPr>
        <w:t>本企业对上述声明内容的真实性负责。如有虚假，将依法承担相应责任。</w:t>
      </w:r>
    </w:p>
    <w:p>
      <w:pPr>
        <w:spacing w:line="460" w:lineRule="exact"/>
        <w:ind w:firstLine="480"/>
        <w:rPr>
          <w:rFonts w:ascii="宋体" w:hAnsi="宋体" w:cs="宋体"/>
          <w:color w:val="auto"/>
          <w:spacing w:val="6"/>
          <w:sz w:val="24"/>
          <w:highlight w:val="none"/>
        </w:rPr>
      </w:pPr>
    </w:p>
    <w:p>
      <w:pPr>
        <w:spacing w:line="360" w:lineRule="auto"/>
        <w:ind w:firstLine="480" w:firstLineChars="200"/>
        <w:rPr>
          <w:rFonts w:ascii="宋体" w:hAnsi="宋体" w:cs="宋体"/>
          <w:color w:val="auto"/>
          <w:sz w:val="24"/>
          <w:highlight w:val="none"/>
        </w:rPr>
      </w:pP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企业名称：XXXX（盖单位公章）</w:t>
      </w:r>
    </w:p>
    <w:p>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日期：XXXX</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说明：1.从业人员、营业收入、资产总额填报上一年度数据，无上一年度数据的新成立企业可不填报。</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2.投标人参加政府采购活动时，提供虚假中小企业声明函的，以提供虚假材料谋取中标处理。</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3.制造商为非企业单位的，如</w:t>
      </w:r>
      <w:r>
        <w:rPr>
          <w:color w:val="auto"/>
          <w:highlight w:val="none"/>
        </w:rPr>
        <w:fldChar w:fldCharType="begin"/>
      </w:r>
      <w:r>
        <w:rPr>
          <w:color w:val="auto"/>
          <w:highlight w:val="none"/>
        </w:rPr>
        <w:instrText xml:space="preserve"> HYPERLINK "http://www.baidu.com/link?url=iBElULo-d5ZLg5hWr9fKyE9J-RxccwLI-m1Agt9ljL77ObTW5LQjhadjNT2MqWnbLezvMqwfSInjbbIsQiOB-i51ng1O-k9urRWB9JMMNXa_i_MLA720oUeu4HvXUaUSG40sshnLZLbEhVc0Xthfwq" \t "https://www.baidu.com/_blank" </w:instrText>
      </w:r>
      <w:r>
        <w:rPr>
          <w:color w:val="auto"/>
          <w:highlight w:val="none"/>
        </w:rPr>
        <w:fldChar w:fldCharType="separate"/>
      </w:r>
      <w:r>
        <w:rPr>
          <w:rFonts w:hint="eastAsia" w:ascii="宋体" w:hAnsi="宋体" w:cs="宋体"/>
          <w:color w:val="auto"/>
          <w:sz w:val="24"/>
          <w:highlight w:val="none"/>
        </w:rPr>
        <w:t>民办非企业</w:t>
      </w:r>
      <w:r>
        <w:rPr>
          <w:rFonts w:hint="eastAsia" w:ascii="宋体" w:hAnsi="宋体" w:cs="宋体"/>
          <w:color w:val="auto"/>
          <w:sz w:val="24"/>
          <w:highlight w:val="none"/>
        </w:rPr>
        <w:fldChar w:fldCharType="end"/>
      </w:r>
      <w:r>
        <w:rPr>
          <w:rFonts w:hint="eastAsia" w:ascii="宋体" w:hAnsi="宋体" w:cs="宋体"/>
          <w:color w:val="auto"/>
          <w:sz w:val="24"/>
          <w:highlight w:val="none"/>
        </w:rPr>
        <w:t>、基金会、协会、服务中心、农村承包经营户、学会等非工商(市场监管)登记注册的组织均不适用此声明函，不得提供中小企业声明函，提供此声明的在资格审查时按无效声明处理。</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4.符合中小企业划分标准的个体工商户，在政府采购活动中视同中小企业。</w:t>
      </w:r>
    </w:p>
    <w:p>
      <w:pPr>
        <w:ind w:firstLine="480" w:firstLineChars="200"/>
        <w:rPr>
          <w:rFonts w:ascii="宋体" w:hAnsi="宋体" w:cs="宋体"/>
          <w:color w:val="auto"/>
          <w:sz w:val="24"/>
          <w:highlight w:val="none"/>
        </w:rPr>
      </w:pPr>
      <w:r>
        <w:rPr>
          <w:rFonts w:hint="eastAsia" w:ascii="宋体" w:hAnsi="宋体" w:cs="宋体"/>
          <w:color w:val="auto"/>
          <w:sz w:val="24"/>
          <w:highlight w:val="none"/>
        </w:rPr>
        <w:t>5.供应商务必根据《工业和信息化部、国家统计局、国家发展和改革委员会、财政部关于印发中小企业划型标准规定的通知》（工信部联企业〔2011〕300号）规定的划分标准，准确判定企业类型（中型或小型或微型）。</w:t>
      </w:r>
    </w:p>
    <w:p>
      <w:pPr>
        <w:spacing w:line="360" w:lineRule="auto"/>
        <w:jc w:val="center"/>
        <w:rPr>
          <w:rFonts w:ascii="宋体" w:hAnsi="宋体" w:cs="宋体"/>
          <w:b/>
          <w:color w:val="auto"/>
          <w:sz w:val="32"/>
          <w:szCs w:val="32"/>
          <w:highlight w:val="none"/>
        </w:rPr>
      </w:pPr>
      <w:r>
        <w:rPr>
          <w:rFonts w:hint="eastAsia" w:ascii="宋体" w:hAnsi="宋体" w:cs="宋体"/>
          <w:color w:val="auto"/>
          <w:sz w:val="24"/>
          <w:highlight w:val="none"/>
        </w:rPr>
        <w:br w:type="page"/>
      </w:r>
      <w:r>
        <w:rPr>
          <w:rFonts w:hint="eastAsia" w:ascii="宋体" w:hAnsi="宋体" w:cs="宋体"/>
          <w:b/>
          <w:color w:val="auto"/>
          <w:sz w:val="32"/>
          <w:szCs w:val="32"/>
          <w:highlight w:val="none"/>
        </w:rPr>
        <w:t>7、残疾人福利性单位声明函</w:t>
      </w:r>
    </w:p>
    <w:p>
      <w:pPr>
        <w:spacing w:line="588" w:lineRule="exact"/>
        <w:rPr>
          <w:rFonts w:ascii="宋体" w:hAnsi="宋体" w:cs="宋体"/>
          <w:b/>
          <w:color w:val="auto"/>
          <w:spacing w:val="6"/>
          <w:sz w:val="24"/>
          <w:highlight w:val="none"/>
        </w:rPr>
      </w:pPr>
    </w:p>
    <w:p>
      <w:pPr>
        <w:spacing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w:t>
      </w:r>
      <w:r>
        <w:rPr>
          <w:rFonts w:hint="eastAsia" w:ascii="宋体" w:hAnsi="宋体" w:cs="宋体"/>
          <w:color w:val="auto"/>
          <w:sz w:val="24"/>
          <w:highlight w:val="none"/>
          <w:u w:val="single"/>
        </w:rPr>
        <w:t>XXXX</w:t>
      </w:r>
      <w:r>
        <w:rPr>
          <w:rFonts w:hint="eastAsia" w:ascii="宋体" w:hAnsi="宋体" w:cs="宋体"/>
          <w:color w:val="auto"/>
          <w:spacing w:val="6"/>
          <w:sz w:val="24"/>
          <w:highlight w:val="none"/>
        </w:rPr>
        <w:t>单位的</w:t>
      </w:r>
      <w:r>
        <w:rPr>
          <w:rFonts w:hint="eastAsia" w:ascii="宋体" w:hAnsi="宋体" w:cs="宋体"/>
          <w:color w:val="auto"/>
          <w:sz w:val="24"/>
          <w:highlight w:val="none"/>
          <w:u w:val="single"/>
        </w:rPr>
        <w:t>XXXX</w:t>
      </w:r>
      <w:r>
        <w:rPr>
          <w:rFonts w:hint="eastAsia" w:ascii="宋体" w:hAnsi="宋体" w:cs="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pPr>
        <w:spacing w:line="360" w:lineRule="auto"/>
        <w:rPr>
          <w:rFonts w:ascii="宋体" w:hAnsi="宋体" w:cs="宋体"/>
          <w:color w:val="auto"/>
          <w:spacing w:val="6"/>
          <w:sz w:val="24"/>
          <w:highlight w:val="none"/>
        </w:rPr>
      </w:pPr>
    </w:p>
    <w:p>
      <w:pPr>
        <w:spacing w:line="360" w:lineRule="auto"/>
        <w:rPr>
          <w:rFonts w:ascii="宋体" w:hAnsi="宋体" w:cs="宋体"/>
          <w:color w:val="auto"/>
          <w:spacing w:val="6"/>
          <w:sz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28" w:name="_Toc13382"/>
      <w:r>
        <w:rPr>
          <w:rFonts w:hint="eastAsia" w:ascii="宋体" w:hAnsi="宋体" w:cs="宋体"/>
          <w:color w:val="auto"/>
          <w:sz w:val="24"/>
          <w:highlight w:val="none"/>
        </w:rPr>
        <w:t>供应商名称：XXXX（单位公章）。</w:t>
      </w:r>
      <w:bookmarkEnd w:id="228"/>
    </w:p>
    <w:p>
      <w:pPr>
        <w:widowControl/>
        <w:spacing w:line="360" w:lineRule="auto"/>
        <w:ind w:firstLine="470" w:firstLineChars="196"/>
        <w:jc w:val="left"/>
        <w:outlineLvl w:val="1"/>
        <w:rPr>
          <w:rFonts w:ascii="宋体" w:hAnsi="宋体" w:cs="宋体"/>
          <w:color w:val="auto"/>
          <w:sz w:val="24"/>
          <w:highlight w:val="none"/>
        </w:rPr>
      </w:pPr>
      <w:bookmarkStart w:id="229" w:name="_Toc20176"/>
      <w:r>
        <w:rPr>
          <w:rFonts w:hint="eastAsia" w:ascii="宋体" w:hAnsi="宋体" w:cs="宋体"/>
          <w:color w:val="auto"/>
          <w:sz w:val="24"/>
          <w:highlight w:val="none"/>
        </w:rPr>
        <w:t>法定代表人/单位负责人或授权代表（签字或加盖个人印章）：XXXX。</w:t>
      </w:r>
      <w:bookmarkEnd w:id="229"/>
    </w:p>
    <w:p>
      <w:pPr>
        <w:widowControl/>
        <w:spacing w:line="360" w:lineRule="auto"/>
        <w:ind w:firstLine="470" w:firstLineChars="196"/>
        <w:jc w:val="left"/>
        <w:outlineLvl w:val="1"/>
        <w:rPr>
          <w:rFonts w:ascii="宋体" w:hAnsi="宋体" w:cs="宋体"/>
          <w:color w:val="auto"/>
          <w:sz w:val="24"/>
          <w:highlight w:val="none"/>
        </w:rPr>
      </w:pPr>
      <w:bookmarkStart w:id="230" w:name="_Toc31203"/>
      <w:r>
        <w:rPr>
          <w:rFonts w:hint="eastAsia" w:ascii="宋体" w:hAnsi="宋体" w:cs="宋体"/>
          <w:color w:val="auto"/>
          <w:sz w:val="24"/>
          <w:highlight w:val="none"/>
        </w:rPr>
        <w:t>日    期：XXXX。</w:t>
      </w:r>
      <w:bookmarkEnd w:id="230"/>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说明：1、本项内容仅限残疾人福利性单位提供。非残疾人福利性单位，可直接删除本项内容。</w:t>
      </w:r>
    </w:p>
    <w:p>
      <w:pPr>
        <w:spacing w:line="360" w:lineRule="auto"/>
        <w:rPr>
          <w:rFonts w:ascii="宋体" w:hAnsi="宋体" w:cs="宋体"/>
          <w:color w:val="auto"/>
          <w:sz w:val="24"/>
          <w:highlight w:val="none"/>
        </w:rPr>
      </w:pPr>
      <w:r>
        <w:rPr>
          <w:rFonts w:hint="eastAsia" w:ascii="宋体" w:hAnsi="宋体" w:cs="宋体"/>
          <w:color w:val="auto"/>
          <w:sz w:val="24"/>
          <w:highlight w:val="none"/>
        </w:rPr>
        <w:t>2、装订但未填写本项内容按未提供处理。</w:t>
      </w:r>
    </w:p>
    <w:p>
      <w:pPr>
        <w:spacing w:line="360" w:lineRule="auto"/>
        <w:rPr>
          <w:rFonts w:ascii="宋体" w:hAnsi="宋体" w:cs="宋体"/>
          <w:color w:val="auto"/>
          <w:sz w:val="24"/>
          <w:highlight w:val="none"/>
        </w:rPr>
      </w:pPr>
    </w:p>
    <w:p>
      <w:pPr>
        <w:rPr>
          <w:rFonts w:ascii="宋体" w:hAnsi="宋体" w:cs="宋体"/>
          <w:color w:val="auto"/>
          <w:sz w:val="24"/>
          <w:highlight w:val="none"/>
        </w:rPr>
      </w:pPr>
    </w:p>
    <w:p>
      <w:pPr>
        <w:pStyle w:val="8"/>
        <w:rPr>
          <w:rFonts w:cs="宋体"/>
          <w:color w:val="auto"/>
          <w:sz w:val="24"/>
          <w:highlight w:val="none"/>
        </w:rPr>
      </w:pPr>
    </w:p>
    <w:p>
      <w:pPr>
        <w:widowControl/>
        <w:spacing w:line="360" w:lineRule="auto"/>
        <w:ind w:firstLine="470" w:firstLineChars="196"/>
        <w:jc w:val="left"/>
        <w:rPr>
          <w:rFonts w:ascii="宋体" w:hAnsi="宋体" w:cs="宋体"/>
          <w:color w:val="auto"/>
          <w:sz w:val="24"/>
          <w:highlight w:val="none"/>
        </w:rPr>
      </w:pPr>
      <w:r>
        <w:rPr>
          <w:rFonts w:hint="eastAsia" w:ascii="宋体" w:hAnsi="宋体" w:cs="宋体"/>
          <w:color w:val="auto"/>
          <w:sz w:val="24"/>
          <w:highlight w:val="none"/>
        </w:rPr>
        <w:br w:type="page"/>
      </w:r>
    </w:p>
    <w:p>
      <w:pPr>
        <w:spacing w:line="360" w:lineRule="auto"/>
        <w:rPr>
          <w:rFonts w:ascii="宋体" w:hAnsi="宋体" w:cs="宋体"/>
          <w:bCs/>
          <w:color w:val="auto"/>
          <w:highlight w:val="none"/>
        </w:rPr>
      </w:pPr>
    </w:p>
    <w:p>
      <w:pPr>
        <w:pStyle w:val="8"/>
        <w:rPr>
          <w:rFonts w:cs="宋体"/>
          <w:bCs/>
          <w:color w:val="auto"/>
          <w:szCs w:val="24"/>
          <w:highlight w:val="none"/>
        </w:rPr>
      </w:pPr>
    </w:p>
    <w:p>
      <w:pPr>
        <w:pStyle w:val="6"/>
        <w:wordWrap w:val="0"/>
        <w:topLinePunct/>
        <w:spacing w:before="0" w:after="0"/>
        <w:jc w:val="center"/>
        <w:rPr>
          <w:rFonts w:ascii="宋体" w:hAnsi="宋体" w:cs="宋体"/>
          <w:color w:val="auto"/>
          <w:sz w:val="32"/>
          <w:szCs w:val="32"/>
          <w:highlight w:val="none"/>
          <w:lang w:val="zh-CN"/>
        </w:rPr>
      </w:pPr>
      <w:r>
        <w:rPr>
          <w:rFonts w:hint="eastAsia" w:ascii="宋体" w:hAnsi="宋体" w:cs="宋体"/>
          <w:color w:val="auto"/>
          <w:sz w:val="32"/>
          <w:szCs w:val="32"/>
          <w:highlight w:val="none"/>
        </w:rPr>
        <w:t>8</w:t>
      </w:r>
      <w:r>
        <w:rPr>
          <w:rFonts w:hint="eastAsia" w:ascii="宋体" w:hAnsi="宋体" w:cs="宋体"/>
          <w:color w:val="auto"/>
          <w:sz w:val="32"/>
          <w:szCs w:val="32"/>
          <w:highlight w:val="none"/>
          <w:lang w:val="zh-CN"/>
        </w:rPr>
        <w:t>、供应商认为应当提供的其他材料</w:t>
      </w:r>
    </w:p>
    <w:p>
      <w:pPr>
        <w:ind w:firstLine="480"/>
        <w:jc w:val="center"/>
        <w:rPr>
          <w:rFonts w:ascii="宋体" w:hAnsi="宋体" w:cs="宋体"/>
          <w:color w:val="auto"/>
          <w:highlight w:val="none"/>
          <w:lang w:val="zh-CN"/>
        </w:rPr>
      </w:pPr>
      <w:r>
        <w:rPr>
          <w:rFonts w:hint="eastAsia" w:ascii="宋体" w:hAnsi="宋体" w:cs="宋体"/>
          <w:color w:val="auto"/>
          <w:highlight w:val="none"/>
        </w:rPr>
        <w:t>注：按供应商资格审查要求提供证明材料。</w:t>
      </w:r>
    </w:p>
    <w:p>
      <w:pPr>
        <w:pStyle w:val="12"/>
        <w:rPr>
          <w:rFonts w:ascii="宋体" w:hAnsi="宋体" w:cs="宋体"/>
          <w:color w:val="auto"/>
          <w:highlight w:val="none"/>
        </w:rPr>
      </w:pPr>
    </w:p>
    <w:p>
      <w:pPr>
        <w:spacing w:line="360" w:lineRule="auto"/>
        <w:jc w:val="center"/>
        <w:rPr>
          <w:rFonts w:ascii="宋体" w:hAnsi="宋体" w:cs="宋体"/>
          <w:color w:val="auto"/>
          <w:sz w:val="32"/>
          <w:szCs w:val="32"/>
          <w:highlight w:val="none"/>
        </w:rPr>
      </w:pPr>
      <w:bookmarkStart w:id="231" w:name="_Toc21930"/>
    </w:p>
    <w:bookmarkEnd w:id="231"/>
    <w:p>
      <w:pPr>
        <w:spacing w:line="360" w:lineRule="auto"/>
        <w:ind w:firstLine="1995" w:firstLineChars="950"/>
        <w:rPr>
          <w:rFonts w:ascii="宋体" w:hAnsi="宋体" w:cs="宋体"/>
          <w:color w:val="auto"/>
          <w:highlight w:val="none"/>
        </w:rPr>
      </w:pPr>
      <w:r>
        <w:rPr>
          <w:rFonts w:hint="eastAsia" w:ascii="宋体" w:hAnsi="宋体" w:cs="宋体"/>
          <w:color w:val="auto"/>
          <w:highlight w:val="none"/>
          <w:lang w:val="zh-CN"/>
        </w:rPr>
        <w:br w:type="page"/>
      </w:r>
    </w:p>
    <w:p>
      <w:pPr>
        <w:pStyle w:val="5"/>
        <w:wordWrap w:val="0"/>
        <w:topLinePunct/>
        <w:spacing w:before="0" w:after="0" w:line="360" w:lineRule="auto"/>
        <w:ind w:firstLine="643"/>
        <w:jc w:val="center"/>
        <w:rPr>
          <w:rFonts w:ascii="宋体" w:hAnsi="宋体" w:cs="宋体"/>
          <w:color w:val="auto"/>
          <w:highlight w:val="none"/>
          <w:lang w:val="zh-CN"/>
        </w:rPr>
      </w:pPr>
      <w:bookmarkStart w:id="232" w:name="_Toc20876"/>
      <w:bookmarkStart w:id="233" w:name="_Toc22384"/>
      <w:bookmarkStart w:id="234" w:name="_Toc16412"/>
      <w:bookmarkStart w:id="235" w:name="_Toc448558696"/>
      <w:r>
        <w:rPr>
          <w:rFonts w:hint="eastAsia" w:ascii="宋体" w:hAnsi="宋体" w:cs="宋体"/>
          <w:color w:val="auto"/>
          <w:highlight w:val="none"/>
          <w:lang w:val="zh-CN"/>
        </w:rPr>
        <w:t>二、技术、服务性响应文件格式</w:t>
      </w:r>
      <w:bookmarkEnd w:id="232"/>
      <w:bookmarkEnd w:id="233"/>
      <w:bookmarkEnd w:id="234"/>
      <w:bookmarkEnd w:id="235"/>
    </w:p>
    <w:p>
      <w:pPr>
        <w:pStyle w:val="6"/>
        <w:wordWrap w:val="0"/>
        <w:topLinePunct/>
        <w:spacing w:before="0" w:after="0" w:line="360" w:lineRule="auto"/>
        <w:ind w:firstLine="643"/>
        <w:jc w:val="center"/>
        <w:rPr>
          <w:rFonts w:ascii="宋体" w:hAnsi="宋体" w:cs="宋体"/>
          <w:color w:val="auto"/>
          <w:sz w:val="32"/>
          <w:szCs w:val="32"/>
          <w:highlight w:val="none"/>
          <w:lang w:val="zh-CN"/>
        </w:rPr>
      </w:pPr>
      <w:r>
        <w:rPr>
          <w:rFonts w:hint="eastAsia" w:ascii="宋体" w:hAnsi="宋体" w:cs="宋体"/>
          <w:color w:val="auto"/>
          <w:sz w:val="32"/>
          <w:szCs w:val="32"/>
          <w:highlight w:val="none"/>
        </w:rPr>
        <w:t>1</w:t>
      </w:r>
      <w:r>
        <w:rPr>
          <w:rFonts w:hint="eastAsia" w:ascii="宋体" w:hAnsi="宋体" w:cs="宋体"/>
          <w:color w:val="auto"/>
          <w:sz w:val="32"/>
          <w:szCs w:val="32"/>
          <w:highlight w:val="none"/>
          <w:lang w:val="zh-CN"/>
        </w:rPr>
        <w:t>、技术、服务性响应件</w:t>
      </w:r>
      <w:r>
        <w:rPr>
          <w:rFonts w:hint="eastAsia" w:ascii="宋体" w:hAnsi="宋体" w:cs="宋体"/>
          <w:color w:val="auto"/>
          <w:sz w:val="32"/>
          <w:szCs w:val="32"/>
          <w:highlight w:val="none"/>
        </w:rPr>
        <w:t>封面</w:t>
      </w:r>
      <w:r>
        <w:rPr>
          <w:rFonts w:hint="eastAsia" w:ascii="宋体" w:hAnsi="宋体" w:cs="宋体"/>
          <w:color w:val="auto"/>
          <w:sz w:val="32"/>
          <w:szCs w:val="32"/>
          <w:highlight w:val="none"/>
          <w:lang w:val="zh-CN"/>
        </w:rPr>
        <w:t>格式</w:t>
      </w:r>
    </w:p>
    <w:p>
      <w:pPr>
        <w:pStyle w:val="6"/>
        <w:wordWrap w:val="0"/>
        <w:topLinePunct/>
        <w:spacing w:before="0" w:after="0" w:line="360" w:lineRule="auto"/>
        <w:ind w:firstLine="482"/>
        <w:rPr>
          <w:rFonts w:ascii="宋体" w:hAnsi="宋体" w:cs="宋体"/>
          <w:color w:val="auto"/>
          <w:highlight w:val="none"/>
          <w:lang w:val="zh-CN"/>
        </w:rPr>
      </w:pPr>
    </w:p>
    <w:p>
      <w:pPr>
        <w:pStyle w:val="6"/>
        <w:wordWrap w:val="0"/>
        <w:topLinePunct/>
        <w:spacing w:before="0" w:after="0" w:line="360" w:lineRule="auto"/>
        <w:ind w:firstLine="482"/>
        <w:rPr>
          <w:rFonts w:ascii="宋体" w:hAnsi="宋体" w:cs="宋体"/>
          <w:color w:val="auto"/>
          <w:highlight w:val="none"/>
          <w:lang w:val="zh-CN"/>
        </w:rPr>
      </w:pPr>
    </w:p>
    <w:p>
      <w:pPr>
        <w:spacing w:line="360" w:lineRule="auto"/>
        <w:ind w:right="140" w:firstLine="562"/>
        <w:jc w:val="right"/>
        <w:rPr>
          <w:rFonts w:ascii="宋体" w:hAnsi="宋体" w:cs="宋体"/>
          <w:b/>
          <w:color w:val="auto"/>
          <w:sz w:val="28"/>
          <w:highlight w:val="none"/>
          <w:bdr w:val="single" w:color="auto" w:sz="4" w:space="0"/>
        </w:rPr>
      </w:pPr>
      <w:r>
        <w:rPr>
          <w:rFonts w:hint="eastAsia" w:ascii="宋体" w:hAnsi="宋体" w:cs="宋体"/>
          <w:b/>
          <w:color w:val="auto"/>
          <w:sz w:val="28"/>
          <w:highlight w:val="none"/>
          <w:bdr w:val="single" w:color="auto" w:sz="4" w:space="0"/>
        </w:rPr>
        <w:t>正本或副本</w:t>
      </w:r>
    </w:p>
    <w:p>
      <w:pPr>
        <w:spacing w:line="360" w:lineRule="auto"/>
        <w:rPr>
          <w:rFonts w:ascii="宋体" w:hAnsi="宋体" w:cs="宋体"/>
          <w:b/>
          <w:color w:val="auto"/>
          <w:sz w:val="84"/>
          <w:highlight w:val="none"/>
        </w:rPr>
      </w:pPr>
    </w:p>
    <w:p>
      <w:pPr>
        <w:pStyle w:val="12"/>
        <w:spacing w:line="360" w:lineRule="auto"/>
        <w:rPr>
          <w:rFonts w:ascii="宋体" w:hAnsi="宋体" w:cs="宋体"/>
          <w:color w:val="auto"/>
          <w:highlight w:val="none"/>
        </w:rPr>
      </w:pPr>
    </w:p>
    <w:p>
      <w:pPr>
        <w:spacing w:line="360" w:lineRule="auto"/>
        <w:jc w:val="center"/>
        <w:rPr>
          <w:rFonts w:ascii="宋体" w:hAnsi="宋体" w:cs="宋体"/>
          <w:b/>
          <w:color w:val="auto"/>
          <w:sz w:val="28"/>
          <w:highlight w:val="none"/>
        </w:rPr>
      </w:pPr>
      <w:r>
        <w:rPr>
          <w:rFonts w:hint="eastAsia" w:ascii="宋体" w:hAnsi="宋体" w:cs="宋体"/>
          <w:b/>
          <w:color w:val="auto"/>
          <w:sz w:val="84"/>
          <w:highlight w:val="none"/>
        </w:rPr>
        <w:t>响 应 文 件</w:t>
      </w:r>
    </w:p>
    <w:p>
      <w:pPr>
        <w:spacing w:line="360" w:lineRule="auto"/>
        <w:ind w:firstLine="562"/>
        <w:jc w:val="center"/>
        <w:rPr>
          <w:rFonts w:ascii="宋体" w:hAnsi="宋体" w:cs="宋体"/>
          <w:b/>
          <w:color w:val="auto"/>
          <w:sz w:val="28"/>
          <w:highlight w:val="none"/>
        </w:rPr>
      </w:pPr>
      <w:r>
        <w:rPr>
          <w:rFonts w:hint="eastAsia" w:ascii="宋体" w:hAnsi="宋体" w:cs="宋体"/>
          <w:b/>
          <w:color w:val="auto"/>
          <w:sz w:val="28"/>
          <w:highlight w:val="none"/>
        </w:rPr>
        <w:t>（</w:t>
      </w:r>
      <w:r>
        <w:rPr>
          <w:rFonts w:hint="eastAsia" w:ascii="宋体" w:hAnsi="宋体" w:cs="宋体"/>
          <w:b/>
          <w:color w:val="auto"/>
          <w:sz w:val="28"/>
          <w:highlight w:val="none"/>
          <w:lang w:val="zh-CN"/>
        </w:rPr>
        <w:t>技术、服务性</w:t>
      </w:r>
      <w:r>
        <w:rPr>
          <w:rFonts w:hint="eastAsia" w:ascii="宋体" w:hAnsi="宋体" w:cs="宋体"/>
          <w:b/>
          <w:color w:val="auto"/>
          <w:sz w:val="28"/>
          <w:highlight w:val="none"/>
        </w:rPr>
        <w:t>）</w:t>
      </w:r>
    </w:p>
    <w:p>
      <w:pPr>
        <w:spacing w:line="360" w:lineRule="auto"/>
        <w:ind w:firstLine="1687"/>
        <w:jc w:val="center"/>
        <w:rPr>
          <w:rFonts w:ascii="宋体" w:hAnsi="宋体" w:cs="宋体"/>
          <w:b/>
          <w:color w:val="auto"/>
          <w:sz w:val="84"/>
          <w:highlight w:val="none"/>
        </w:rPr>
      </w:pPr>
    </w:p>
    <w:p>
      <w:pPr>
        <w:pStyle w:val="12"/>
        <w:rPr>
          <w:rFonts w:ascii="宋体" w:hAnsi="宋体" w:cs="宋体"/>
          <w:color w:val="auto"/>
          <w:highlight w:val="none"/>
        </w:rPr>
      </w:pPr>
    </w:p>
    <w:p>
      <w:pPr>
        <w:pStyle w:val="12"/>
        <w:rPr>
          <w:rFonts w:ascii="宋体" w:hAnsi="宋体" w:cs="宋体"/>
          <w:color w:val="auto"/>
          <w:highlight w:val="none"/>
        </w:rPr>
      </w:pPr>
    </w:p>
    <w:p>
      <w:pPr>
        <w:spacing w:line="360" w:lineRule="auto"/>
        <w:ind w:firstLine="551" w:firstLineChars="196"/>
        <w:rPr>
          <w:rFonts w:ascii="宋体" w:hAnsi="宋体" w:cs="宋体"/>
          <w:b/>
          <w:color w:val="auto"/>
          <w:sz w:val="28"/>
          <w:highlight w:val="none"/>
        </w:rPr>
      </w:pPr>
      <w:r>
        <w:rPr>
          <w:rFonts w:hint="eastAsia" w:ascii="宋体" w:hAnsi="宋体" w:cs="宋体"/>
          <w:b/>
          <w:color w:val="auto"/>
          <w:sz w:val="28"/>
          <w:highlight w:val="none"/>
        </w:rPr>
        <w:t>采购编号：</w:t>
      </w:r>
      <w:r>
        <w:rPr>
          <w:rFonts w:hint="eastAsia" w:ascii="宋体" w:hAnsi="宋体" w:cs="宋体"/>
          <w:b/>
          <w:color w:val="auto"/>
          <w:sz w:val="28"/>
          <w:highlight w:val="none"/>
          <w:u w:val="single"/>
        </w:rPr>
        <w:t xml:space="preserve">                                </w:t>
      </w:r>
    </w:p>
    <w:p>
      <w:pPr>
        <w:spacing w:line="360" w:lineRule="auto"/>
        <w:ind w:firstLine="551" w:firstLineChars="196"/>
        <w:rPr>
          <w:rFonts w:ascii="宋体" w:hAnsi="宋体" w:cs="宋体"/>
          <w:b/>
          <w:color w:val="auto"/>
          <w:sz w:val="28"/>
          <w:highlight w:val="none"/>
        </w:rPr>
      </w:pPr>
      <w:r>
        <w:rPr>
          <w:rFonts w:hint="eastAsia" w:ascii="宋体" w:hAnsi="宋体" w:cs="宋体"/>
          <w:b/>
          <w:color w:val="auto"/>
          <w:sz w:val="28"/>
          <w:highlight w:val="none"/>
        </w:rPr>
        <w:t>项目名称：</w:t>
      </w:r>
      <w:r>
        <w:rPr>
          <w:rFonts w:hint="eastAsia" w:ascii="宋体" w:hAnsi="宋体" w:cs="宋体"/>
          <w:b/>
          <w:color w:val="auto"/>
          <w:sz w:val="28"/>
          <w:highlight w:val="none"/>
          <w:u w:val="single"/>
        </w:rPr>
        <w:t xml:space="preserve">                                </w:t>
      </w:r>
    </w:p>
    <w:p>
      <w:pPr>
        <w:spacing w:line="360" w:lineRule="auto"/>
        <w:ind w:firstLine="551" w:firstLineChars="196"/>
        <w:rPr>
          <w:rFonts w:ascii="宋体" w:hAnsi="宋体" w:cs="宋体"/>
          <w:b/>
          <w:color w:val="auto"/>
          <w:sz w:val="28"/>
          <w:highlight w:val="none"/>
        </w:rPr>
      </w:pPr>
      <w:r>
        <w:rPr>
          <w:rFonts w:hint="eastAsia" w:ascii="宋体" w:hAnsi="宋体" w:cs="宋体"/>
          <w:b/>
          <w:color w:val="auto"/>
          <w:sz w:val="28"/>
          <w:highlight w:val="none"/>
        </w:rPr>
        <w:t>响应人名称（全称加盖公章）：</w:t>
      </w:r>
      <w:r>
        <w:rPr>
          <w:rFonts w:hint="eastAsia" w:ascii="宋体" w:hAnsi="宋体" w:cs="宋体"/>
          <w:b/>
          <w:color w:val="auto"/>
          <w:sz w:val="28"/>
          <w:highlight w:val="none"/>
          <w:u w:val="single"/>
        </w:rPr>
        <w:t xml:space="preserve">              </w:t>
      </w:r>
    </w:p>
    <w:p>
      <w:pPr>
        <w:spacing w:line="360" w:lineRule="auto"/>
        <w:ind w:firstLine="562"/>
        <w:jc w:val="center"/>
        <w:rPr>
          <w:rFonts w:ascii="宋体" w:hAnsi="宋体" w:cs="宋体"/>
          <w:b/>
          <w:color w:val="auto"/>
          <w:sz w:val="28"/>
          <w:highlight w:val="none"/>
        </w:rPr>
      </w:pPr>
    </w:p>
    <w:p>
      <w:pPr>
        <w:spacing w:line="360" w:lineRule="auto"/>
        <w:rPr>
          <w:rFonts w:ascii="宋体" w:hAnsi="宋体" w:cs="宋体"/>
          <w:b/>
          <w:color w:val="auto"/>
          <w:sz w:val="28"/>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28"/>
          <w:highlight w:val="none"/>
        </w:rPr>
        <w:t>日期：        年    月    日</w:t>
      </w:r>
      <w:r>
        <w:rPr>
          <w:rFonts w:hint="eastAsia" w:ascii="宋体" w:hAnsi="宋体" w:cs="宋体"/>
          <w:color w:val="auto"/>
          <w:highlight w:val="none"/>
          <w:lang w:val="zh-CN"/>
        </w:rPr>
        <w:br w:type="page"/>
      </w:r>
    </w:p>
    <w:p>
      <w:pPr>
        <w:spacing w:line="360" w:lineRule="auto"/>
        <w:ind w:firstLine="562"/>
        <w:jc w:val="center"/>
        <w:rPr>
          <w:rFonts w:ascii="宋体" w:hAnsi="宋体" w:cs="宋体"/>
          <w:color w:val="auto"/>
          <w:highlight w:val="none"/>
          <w:lang w:val="zh-CN"/>
        </w:rPr>
      </w:pPr>
      <w:r>
        <w:rPr>
          <w:rFonts w:hint="eastAsia" w:ascii="宋体" w:hAnsi="宋体" w:cs="宋体"/>
          <w:b/>
          <w:bCs/>
          <w:color w:val="auto"/>
          <w:sz w:val="32"/>
          <w:szCs w:val="32"/>
          <w:highlight w:val="none"/>
        </w:rPr>
        <w:t>2</w:t>
      </w:r>
      <w:r>
        <w:rPr>
          <w:rFonts w:hint="eastAsia" w:ascii="宋体" w:hAnsi="宋体" w:cs="宋体"/>
          <w:b/>
          <w:bCs/>
          <w:color w:val="auto"/>
          <w:sz w:val="32"/>
          <w:szCs w:val="32"/>
          <w:highlight w:val="none"/>
          <w:lang w:val="zh-CN"/>
        </w:rPr>
        <w:t>、投标函</w:t>
      </w:r>
    </w:p>
    <w:p>
      <w:pPr>
        <w:wordWrap w:val="0"/>
        <w:topLinePunct/>
        <w:adjustRightInd w:val="0"/>
        <w:spacing w:line="360" w:lineRule="auto"/>
        <w:ind w:firstLine="480"/>
        <w:jc w:val="left"/>
        <w:rPr>
          <w:rFonts w:ascii="宋体" w:hAnsi="宋体" w:cs="宋体"/>
          <w:color w:val="auto"/>
          <w:sz w:val="24"/>
          <w:highlight w:val="none"/>
          <w:lang w:val="zh-CN"/>
        </w:rPr>
      </w:pPr>
      <w:r>
        <w:rPr>
          <w:rFonts w:hint="eastAsia" w:ascii="宋体" w:hAnsi="宋体" w:cs="宋体"/>
          <w:color w:val="auto"/>
          <w:sz w:val="24"/>
          <w:highlight w:val="none"/>
          <w:lang w:val="zh-CN"/>
        </w:rPr>
        <w:t>致：成都文瀚建设工程咨询有限公司</w:t>
      </w:r>
    </w:p>
    <w:p>
      <w:pPr>
        <w:wordWrap w:val="0"/>
        <w:topLinePunct/>
        <w:adjustRightInd w:val="0"/>
        <w:spacing w:line="360" w:lineRule="auto"/>
        <w:ind w:firstLine="480"/>
        <w:jc w:val="left"/>
        <w:rPr>
          <w:rFonts w:ascii="宋体" w:hAnsi="宋体" w:cs="宋体"/>
          <w:color w:val="auto"/>
          <w:sz w:val="24"/>
          <w:highlight w:val="none"/>
          <w:lang w:val="zh-CN"/>
        </w:rPr>
      </w:pPr>
      <w:r>
        <w:rPr>
          <w:rFonts w:hint="eastAsia" w:ascii="宋体" w:hAnsi="宋体" w:cs="宋体"/>
          <w:color w:val="auto"/>
          <w:sz w:val="24"/>
          <w:highlight w:val="none"/>
          <w:lang w:val="zh-CN"/>
        </w:rPr>
        <w:t>根据贵方为</w:t>
      </w:r>
      <w:r>
        <w:rPr>
          <w:rFonts w:hint="eastAsia" w:ascii="宋体" w:hAnsi="宋体" w:cs="宋体"/>
          <w:color w:val="auto"/>
          <w:sz w:val="24"/>
          <w:highlight w:val="none"/>
          <w:u w:val="single"/>
        </w:rPr>
        <w:t>　　　　　　　</w:t>
      </w:r>
      <w:r>
        <w:rPr>
          <w:rFonts w:hint="eastAsia" w:ascii="宋体" w:hAnsi="宋体" w:cs="宋体"/>
          <w:color w:val="auto"/>
          <w:sz w:val="24"/>
          <w:highlight w:val="none"/>
        </w:rPr>
        <w:t>项目</w:t>
      </w:r>
      <w:r>
        <w:rPr>
          <w:rFonts w:hint="eastAsia" w:ascii="宋体" w:hAnsi="宋体" w:cs="宋体"/>
          <w:color w:val="auto"/>
          <w:sz w:val="24"/>
          <w:highlight w:val="none"/>
          <w:lang w:val="zh-CN"/>
        </w:rPr>
        <w:t>（采购编号：</w:t>
      </w:r>
      <w:r>
        <w:rPr>
          <w:rFonts w:hint="eastAsia" w:ascii="宋体" w:hAnsi="宋体" w:cs="宋体"/>
          <w:color w:val="auto"/>
          <w:sz w:val="24"/>
          <w:highlight w:val="none"/>
          <w:u w:val="single"/>
          <w:lang w:val="zh-CN"/>
        </w:rPr>
        <w:t>　　   　　</w:t>
      </w:r>
      <w:r>
        <w:rPr>
          <w:rFonts w:hint="eastAsia" w:ascii="宋体" w:hAnsi="宋体" w:cs="宋体"/>
          <w:color w:val="auto"/>
          <w:sz w:val="24"/>
          <w:highlight w:val="none"/>
          <w:lang w:val="zh-CN"/>
        </w:rPr>
        <w:t>）的磋商邀请，代理人____________（全名）经正式授权并代表供应商________________（供应商名称）提交下述文件正本一份和副本二份。</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文件一、</w:t>
      </w:r>
      <w:bookmarkStart w:id="236" w:name="OLE_LINK1"/>
      <w:r>
        <w:rPr>
          <w:rFonts w:hint="eastAsia" w:ascii="宋体" w:hAnsi="宋体" w:cs="宋体"/>
          <w:color w:val="auto"/>
          <w:sz w:val="24"/>
          <w:highlight w:val="none"/>
          <w:lang w:val="zh-CN"/>
        </w:rPr>
        <w:t>投标函</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文件二、供应商基本情况表</w:t>
      </w:r>
    </w:p>
    <w:bookmarkEnd w:id="236"/>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文件三、首轮报价表</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w:t>
      </w:r>
      <w:r>
        <w:rPr>
          <w:rFonts w:hint="eastAsia" w:ascii="宋体" w:hAnsi="宋体" w:cs="宋体"/>
          <w:color w:val="auto"/>
          <w:sz w:val="24"/>
          <w:highlight w:val="none"/>
        </w:rPr>
        <w:t>四</w:t>
      </w:r>
      <w:r>
        <w:rPr>
          <w:rFonts w:hint="eastAsia" w:ascii="宋体" w:hAnsi="宋体" w:cs="宋体"/>
          <w:color w:val="auto"/>
          <w:sz w:val="24"/>
          <w:highlight w:val="none"/>
          <w:lang w:val="zh-CN"/>
        </w:rPr>
        <w:t>、供应商类似项目业绩一览表</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w:t>
      </w:r>
      <w:r>
        <w:rPr>
          <w:rFonts w:hint="eastAsia" w:ascii="宋体" w:hAnsi="宋体" w:cs="宋体"/>
          <w:color w:val="auto"/>
          <w:sz w:val="24"/>
          <w:highlight w:val="none"/>
        </w:rPr>
        <w:t>五</w:t>
      </w:r>
      <w:r>
        <w:rPr>
          <w:rFonts w:hint="eastAsia" w:ascii="宋体" w:hAnsi="宋体" w:cs="宋体"/>
          <w:color w:val="auto"/>
          <w:sz w:val="24"/>
          <w:highlight w:val="none"/>
          <w:lang w:val="zh-CN"/>
        </w:rPr>
        <w:t>、服务要求应答表</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w:t>
      </w:r>
      <w:r>
        <w:rPr>
          <w:rFonts w:hint="eastAsia" w:ascii="宋体" w:hAnsi="宋体" w:cs="宋体"/>
          <w:color w:val="auto"/>
          <w:sz w:val="24"/>
          <w:highlight w:val="none"/>
        </w:rPr>
        <w:t>六</w:t>
      </w:r>
      <w:r>
        <w:rPr>
          <w:rFonts w:hint="eastAsia" w:ascii="宋体" w:hAnsi="宋体" w:cs="宋体"/>
          <w:color w:val="auto"/>
          <w:sz w:val="24"/>
          <w:highlight w:val="none"/>
          <w:lang w:val="zh-CN"/>
        </w:rPr>
        <w:t>、商务应答表</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w:t>
      </w:r>
      <w:r>
        <w:rPr>
          <w:rFonts w:hint="eastAsia" w:ascii="宋体" w:hAnsi="宋体" w:cs="宋体"/>
          <w:color w:val="auto"/>
          <w:sz w:val="24"/>
          <w:highlight w:val="none"/>
        </w:rPr>
        <w:t>七</w:t>
      </w:r>
      <w:r>
        <w:rPr>
          <w:rFonts w:hint="eastAsia" w:ascii="宋体" w:hAnsi="宋体" w:cs="宋体"/>
          <w:color w:val="auto"/>
          <w:sz w:val="24"/>
          <w:highlight w:val="none"/>
          <w:lang w:val="zh-CN"/>
        </w:rPr>
        <w:t>、供应商本项目管理、技术、服务人员情况表</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w:t>
      </w:r>
      <w:r>
        <w:rPr>
          <w:rFonts w:hint="eastAsia" w:ascii="宋体" w:hAnsi="宋体" w:cs="宋体"/>
          <w:color w:val="auto"/>
          <w:sz w:val="24"/>
          <w:highlight w:val="none"/>
        </w:rPr>
        <w:t>八</w:t>
      </w:r>
      <w:r>
        <w:rPr>
          <w:rFonts w:hint="eastAsia" w:ascii="宋体" w:hAnsi="宋体" w:cs="宋体"/>
          <w:color w:val="auto"/>
          <w:sz w:val="24"/>
          <w:highlight w:val="none"/>
          <w:lang w:val="zh-CN"/>
        </w:rPr>
        <w:t>、服务方案</w:t>
      </w:r>
    </w:p>
    <w:p>
      <w:p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文件</w:t>
      </w:r>
      <w:r>
        <w:rPr>
          <w:rFonts w:hint="eastAsia" w:ascii="宋体" w:hAnsi="宋体" w:cs="宋体"/>
          <w:color w:val="auto"/>
          <w:sz w:val="24"/>
          <w:highlight w:val="none"/>
        </w:rPr>
        <w:t>九</w:t>
      </w:r>
      <w:r>
        <w:rPr>
          <w:rFonts w:hint="eastAsia" w:ascii="宋体" w:hAnsi="宋体" w:cs="宋体"/>
          <w:color w:val="auto"/>
          <w:sz w:val="24"/>
          <w:highlight w:val="none"/>
          <w:lang w:val="zh-CN"/>
        </w:rPr>
        <w:t>、</w:t>
      </w:r>
      <w:r>
        <w:rPr>
          <w:rFonts w:hint="eastAsia" w:ascii="宋体" w:hAnsi="宋体" w:cs="宋体"/>
          <w:color w:val="auto"/>
          <w:sz w:val="24"/>
          <w:highlight w:val="none"/>
        </w:rPr>
        <w:t>供应商认为应当提供的其他材料</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据此函，签字代表宣布同意如下：</w:t>
      </w:r>
    </w:p>
    <w:p>
      <w:pPr>
        <w:autoSpaceDE w:val="0"/>
        <w:autoSpaceDN w:val="0"/>
        <w:adjustRightInd w:val="0"/>
        <w:spacing w:line="360" w:lineRule="auto"/>
        <w:ind w:firstLine="480"/>
        <w:jc w:val="left"/>
        <w:rPr>
          <w:rFonts w:ascii="宋体" w:hAnsi="宋体" w:cs="宋体"/>
          <w:color w:val="auto"/>
          <w:sz w:val="24"/>
          <w:highlight w:val="none"/>
          <w:lang w:val="zh-CN"/>
        </w:rPr>
      </w:pPr>
      <w:r>
        <w:rPr>
          <w:rFonts w:hint="eastAsia" w:ascii="宋体" w:hAnsi="宋体" w:cs="宋体"/>
          <w:color w:val="auto"/>
          <w:sz w:val="24"/>
          <w:highlight w:val="none"/>
          <w:lang w:val="zh-CN"/>
        </w:rPr>
        <w:t>（1）项目进度和质量严格按磋商文件的规定执行，否则将承担由此产生的一切责任。</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（2）我方已详细审查了全部磋商文件，包括修改文件（如有的话）以及全部参考资料和有关附件。我们完全理解并同意放弃对这方面有不明及误解的权力。</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（3）我方同意响应文件有效期为从</w:t>
      </w:r>
      <w:r>
        <w:rPr>
          <w:rFonts w:hint="eastAsia" w:ascii="宋体" w:hAnsi="宋体" w:cs="宋体"/>
          <w:color w:val="auto"/>
          <w:sz w:val="24"/>
          <w:highlight w:val="none"/>
        </w:rPr>
        <w:t>递</w:t>
      </w:r>
      <w:r>
        <w:rPr>
          <w:rFonts w:hint="eastAsia" w:ascii="宋体" w:hAnsi="宋体" w:cs="宋体"/>
          <w:color w:val="auto"/>
          <w:sz w:val="24"/>
          <w:highlight w:val="none"/>
          <w:lang w:val="zh-CN"/>
        </w:rPr>
        <w:t>交磋商响应文件截止之日起</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lang w:val="zh-CN"/>
        </w:rPr>
        <w:t>天内有效。</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（4）我方同意提供采购人可能要求的与磋商有关的任何其它资料或数据。</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（5）本项目如涉及知识产权问题，我单位完全满足磋商文件关于“知识产权”问题的要求。</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（6）如我单位成交，承诺不将任何政府采购合同义务转包或者违规分包。</w:t>
      </w:r>
    </w:p>
    <w:p>
      <w:pPr>
        <w:spacing w:line="360" w:lineRule="auto"/>
        <w:ind w:firstLine="480"/>
        <w:rPr>
          <w:rFonts w:ascii="宋体" w:hAnsi="宋体" w:cs="宋体"/>
          <w:color w:val="auto"/>
          <w:sz w:val="24"/>
          <w:highlight w:val="none"/>
          <w:lang w:val="zh-CN"/>
        </w:rPr>
      </w:pP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）我方将按磋商文件的规定履行合同责任和义务，并对提交的材料中的所有陈述和声明的真实性和完整性负责。</w:t>
      </w:r>
    </w:p>
    <w:p>
      <w:pPr>
        <w:widowControl/>
        <w:spacing w:line="360" w:lineRule="auto"/>
        <w:ind w:firstLine="470" w:firstLineChars="196"/>
        <w:jc w:val="left"/>
        <w:outlineLvl w:val="1"/>
        <w:rPr>
          <w:rFonts w:ascii="宋体" w:hAnsi="宋体" w:cs="宋体"/>
          <w:color w:val="auto"/>
          <w:sz w:val="24"/>
          <w:highlight w:val="none"/>
        </w:rPr>
      </w:pPr>
      <w:bookmarkStart w:id="237" w:name="_Toc25052"/>
      <w:r>
        <w:rPr>
          <w:rFonts w:hint="eastAsia" w:ascii="宋体" w:hAnsi="宋体" w:cs="宋体"/>
          <w:color w:val="auto"/>
          <w:sz w:val="24"/>
          <w:highlight w:val="none"/>
        </w:rPr>
        <w:t>供应商名称：XXXX（单位公章）。</w:t>
      </w:r>
      <w:bookmarkEnd w:id="237"/>
      <w:bookmarkStart w:id="238" w:name="_Toc19767"/>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法定代表人/单位负责人或授权代表（签字或加盖个人印章）：XXXX。</w:t>
      </w:r>
      <w:bookmarkEnd w:id="238"/>
    </w:p>
    <w:p>
      <w:pPr>
        <w:widowControl/>
        <w:spacing w:line="360" w:lineRule="auto"/>
        <w:ind w:firstLine="470" w:firstLineChars="196"/>
        <w:jc w:val="left"/>
        <w:outlineLvl w:val="1"/>
        <w:rPr>
          <w:rFonts w:ascii="宋体" w:hAnsi="宋体" w:cs="宋体"/>
          <w:b/>
          <w:color w:val="auto"/>
          <w:sz w:val="24"/>
          <w:highlight w:val="none"/>
        </w:rPr>
      </w:pPr>
      <w:bookmarkStart w:id="239" w:name="_Toc23107"/>
      <w:r>
        <w:rPr>
          <w:rFonts w:hint="eastAsia" w:ascii="宋体" w:hAnsi="宋体" w:cs="宋体"/>
          <w:color w:val="auto"/>
          <w:sz w:val="24"/>
          <w:highlight w:val="none"/>
        </w:rPr>
        <w:t>日    期：XXXX。</w:t>
      </w:r>
      <w:bookmarkEnd w:id="239"/>
    </w:p>
    <w:p>
      <w:pPr>
        <w:rPr>
          <w:rFonts w:ascii="宋体" w:hAnsi="宋体" w:cs="宋体"/>
          <w:color w:val="auto"/>
          <w:highlight w:val="none"/>
        </w:rPr>
      </w:pP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3、供应商基本情况表</w:t>
      </w:r>
    </w:p>
    <w:p>
      <w:pPr>
        <w:jc w:val="center"/>
        <w:rPr>
          <w:rFonts w:ascii="宋体" w:hAnsi="宋体" w:cs="宋体"/>
          <w:b/>
          <w:bCs/>
          <w:color w:val="auto"/>
          <w:sz w:val="32"/>
          <w:szCs w:val="32"/>
          <w:highlight w:val="none"/>
        </w:rPr>
      </w:pPr>
    </w:p>
    <w:tbl>
      <w:tblPr>
        <w:tblStyle w:val="32"/>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供应商名称</w:t>
            </w:r>
          </w:p>
        </w:tc>
        <w:tc>
          <w:tcPr>
            <w:tcW w:w="7560" w:type="dxa"/>
            <w:gridSpan w:val="11"/>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注册地址</w:t>
            </w:r>
          </w:p>
        </w:tc>
        <w:tc>
          <w:tcPr>
            <w:tcW w:w="4680" w:type="dxa"/>
            <w:gridSpan w:val="6"/>
            <w:vAlign w:val="center"/>
          </w:tcPr>
          <w:p>
            <w:pPr>
              <w:jc w:val="center"/>
              <w:rPr>
                <w:rFonts w:ascii="宋体" w:hAnsi="宋体" w:cs="宋体"/>
                <w:bCs/>
                <w:color w:val="auto"/>
                <w:szCs w:val="21"/>
                <w:highlight w:val="none"/>
              </w:rPr>
            </w:pPr>
          </w:p>
        </w:tc>
        <w:tc>
          <w:tcPr>
            <w:tcW w:w="126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邮政编码</w:t>
            </w:r>
          </w:p>
        </w:tc>
        <w:tc>
          <w:tcPr>
            <w:tcW w:w="1620" w:type="dxa"/>
            <w:gridSpan w:val="2"/>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联系方式</w:t>
            </w:r>
          </w:p>
        </w:tc>
        <w:tc>
          <w:tcPr>
            <w:tcW w:w="108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w:t>
            </w:r>
          </w:p>
        </w:tc>
        <w:tc>
          <w:tcPr>
            <w:tcW w:w="3600" w:type="dxa"/>
            <w:gridSpan w:val="5"/>
            <w:vAlign w:val="center"/>
          </w:tcPr>
          <w:p>
            <w:pPr>
              <w:jc w:val="center"/>
              <w:rPr>
                <w:rFonts w:ascii="宋体" w:hAnsi="宋体" w:cs="宋体"/>
                <w:bCs/>
                <w:color w:val="auto"/>
                <w:szCs w:val="21"/>
                <w:highlight w:val="none"/>
              </w:rPr>
            </w:pPr>
          </w:p>
        </w:tc>
        <w:tc>
          <w:tcPr>
            <w:tcW w:w="126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联系电话</w:t>
            </w:r>
          </w:p>
        </w:tc>
        <w:tc>
          <w:tcPr>
            <w:tcW w:w="1620" w:type="dxa"/>
            <w:gridSpan w:val="2"/>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宋体" w:hAnsi="宋体" w:cs="宋体"/>
                <w:bCs/>
                <w:color w:val="auto"/>
                <w:szCs w:val="21"/>
                <w:highlight w:val="none"/>
              </w:rPr>
            </w:pPr>
          </w:p>
        </w:tc>
        <w:tc>
          <w:tcPr>
            <w:tcW w:w="108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传真</w:t>
            </w:r>
          </w:p>
        </w:tc>
        <w:tc>
          <w:tcPr>
            <w:tcW w:w="3600" w:type="dxa"/>
            <w:gridSpan w:val="5"/>
            <w:vAlign w:val="center"/>
          </w:tcPr>
          <w:p>
            <w:pPr>
              <w:jc w:val="center"/>
              <w:rPr>
                <w:rFonts w:ascii="宋体" w:hAnsi="宋体" w:cs="宋体"/>
                <w:bCs/>
                <w:color w:val="auto"/>
                <w:szCs w:val="21"/>
                <w:highlight w:val="none"/>
              </w:rPr>
            </w:pPr>
          </w:p>
        </w:tc>
        <w:tc>
          <w:tcPr>
            <w:tcW w:w="126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网址</w:t>
            </w:r>
          </w:p>
        </w:tc>
        <w:tc>
          <w:tcPr>
            <w:tcW w:w="1620" w:type="dxa"/>
            <w:gridSpan w:val="2"/>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组织结构</w:t>
            </w:r>
          </w:p>
        </w:tc>
        <w:tc>
          <w:tcPr>
            <w:tcW w:w="7560" w:type="dxa"/>
            <w:gridSpan w:val="11"/>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法定代表人</w:t>
            </w:r>
          </w:p>
        </w:tc>
        <w:tc>
          <w:tcPr>
            <w:tcW w:w="1260" w:type="dxa"/>
            <w:gridSpan w:val="2"/>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姓名</w:t>
            </w:r>
          </w:p>
        </w:tc>
        <w:tc>
          <w:tcPr>
            <w:tcW w:w="1260" w:type="dxa"/>
            <w:vAlign w:val="center"/>
          </w:tcPr>
          <w:p>
            <w:pPr>
              <w:jc w:val="center"/>
              <w:rPr>
                <w:rFonts w:ascii="宋体" w:hAnsi="宋体" w:cs="宋体"/>
                <w:bCs/>
                <w:color w:val="auto"/>
                <w:szCs w:val="21"/>
                <w:highlight w:val="none"/>
              </w:rPr>
            </w:pPr>
          </w:p>
        </w:tc>
        <w:tc>
          <w:tcPr>
            <w:tcW w:w="126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技术职称</w:t>
            </w:r>
          </w:p>
        </w:tc>
        <w:tc>
          <w:tcPr>
            <w:tcW w:w="1260" w:type="dxa"/>
            <w:gridSpan w:val="3"/>
            <w:vAlign w:val="center"/>
          </w:tcPr>
          <w:p>
            <w:pPr>
              <w:jc w:val="center"/>
              <w:rPr>
                <w:rFonts w:ascii="宋体" w:hAnsi="宋体" w:cs="宋体"/>
                <w:bCs/>
                <w:color w:val="auto"/>
                <w:szCs w:val="21"/>
                <w:highlight w:val="none"/>
              </w:rPr>
            </w:pPr>
          </w:p>
        </w:tc>
        <w:tc>
          <w:tcPr>
            <w:tcW w:w="126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联系电话</w:t>
            </w:r>
          </w:p>
        </w:tc>
        <w:tc>
          <w:tcPr>
            <w:tcW w:w="1260" w:type="dxa"/>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技术负责人</w:t>
            </w:r>
          </w:p>
        </w:tc>
        <w:tc>
          <w:tcPr>
            <w:tcW w:w="1260" w:type="dxa"/>
            <w:gridSpan w:val="2"/>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姓名</w:t>
            </w:r>
          </w:p>
        </w:tc>
        <w:tc>
          <w:tcPr>
            <w:tcW w:w="1260" w:type="dxa"/>
            <w:vAlign w:val="center"/>
          </w:tcPr>
          <w:p>
            <w:pPr>
              <w:jc w:val="center"/>
              <w:rPr>
                <w:rFonts w:ascii="宋体" w:hAnsi="宋体" w:cs="宋体"/>
                <w:bCs/>
                <w:color w:val="auto"/>
                <w:szCs w:val="21"/>
                <w:highlight w:val="none"/>
              </w:rPr>
            </w:pPr>
          </w:p>
        </w:tc>
        <w:tc>
          <w:tcPr>
            <w:tcW w:w="126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技术职称</w:t>
            </w:r>
          </w:p>
        </w:tc>
        <w:tc>
          <w:tcPr>
            <w:tcW w:w="1260" w:type="dxa"/>
            <w:gridSpan w:val="3"/>
            <w:vAlign w:val="center"/>
          </w:tcPr>
          <w:p>
            <w:pPr>
              <w:jc w:val="center"/>
              <w:rPr>
                <w:rFonts w:ascii="宋体" w:hAnsi="宋体" w:cs="宋体"/>
                <w:bCs/>
                <w:color w:val="auto"/>
                <w:szCs w:val="21"/>
                <w:highlight w:val="none"/>
              </w:rPr>
            </w:pPr>
          </w:p>
        </w:tc>
        <w:tc>
          <w:tcPr>
            <w:tcW w:w="126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联系电话</w:t>
            </w:r>
          </w:p>
        </w:tc>
        <w:tc>
          <w:tcPr>
            <w:tcW w:w="1260" w:type="dxa"/>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成立时间</w:t>
            </w:r>
          </w:p>
        </w:tc>
        <w:tc>
          <w:tcPr>
            <w:tcW w:w="2520" w:type="dxa"/>
            <w:gridSpan w:val="3"/>
            <w:vAlign w:val="center"/>
          </w:tcPr>
          <w:p>
            <w:pPr>
              <w:jc w:val="center"/>
              <w:rPr>
                <w:rFonts w:ascii="宋体" w:hAnsi="宋体" w:cs="宋体"/>
                <w:bCs/>
                <w:color w:val="auto"/>
                <w:szCs w:val="21"/>
                <w:highlight w:val="none"/>
              </w:rPr>
            </w:pPr>
          </w:p>
        </w:tc>
        <w:tc>
          <w:tcPr>
            <w:tcW w:w="5040" w:type="dxa"/>
            <w:gridSpan w:val="8"/>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企业资质等级</w:t>
            </w:r>
          </w:p>
        </w:tc>
        <w:tc>
          <w:tcPr>
            <w:tcW w:w="2520" w:type="dxa"/>
            <w:gridSpan w:val="3"/>
            <w:vAlign w:val="center"/>
          </w:tcPr>
          <w:p>
            <w:pPr>
              <w:jc w:val="center"/>
              <w:rPr>
                <w:rFonts w:ascii="宋体" w:hAnsi="宋体" w:cs="宋体"/>
                <w:bCs/>
                <w:color w:val="auto"/>
                <w:szCs w:val="21"/>
                <w:highlight w:val="none"/>
              </w:rPr>
            </w:pPr>
          </w:p>
        </w:tc>
        <w:tc>
          <w:tcPr>
            <w:tcW w:w="1680" w:type="dxa"/>
            <w:gridSpan w:val="2"/>
            <w:vMerge w:val="restart"/>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其中</w:t>
            </w:r>
          </w:p>
        </w:tc>
        <w:tc>
          <w:tcPr>
            <w:tcW w:w="168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项目经理</w:t>
            </w:r>
          </w:p>
        </w:tc>
        <w:tc>
          <w:tcPr>
            <w:tcW w:w="1680" w:type="dxa"/>
            <w:gridSpan w:val="3"/>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营业执照</w:t>
            </w:r>
            <w:r>
              <w:rPr>
                <w:rFonts w:hint="eastAsia" w:ascii="宋体" w:hAnsi="宋体" w:cs="宋体"/>
                <w:color w:val="auto"/>
                <w:highlight w:val="none"/>
              </w:rPr>
              <w:t>号</w:t>
            </w:r>
          </w:p>
        </w:tc>
        <w:tc>
          <w:tcPr>
            <w:tcW w:w="2520" w:type="dxa"/>
            <w:gridSpan w:val="3"/>
            <w:vAlign w:val="center"/>
          </w:tcPr>
          <w:p>
            <w:pPr>
              <w:jc w:val="center"/>
              <w:rPr>
                <w:rFonts w:ascii="宋体" w:hAnsi="宋体" w:cs="宋体"/>
                <w:bCs/>
                <w:color w:val="auto"/>
                <w:szCs w:val="21"/>
                <w:highlight w:val="none"/>
              </w:rPr>
            </w:pPr>
          </w:p>
        </w:tc>
        <w:tc>
          <w:tcPr>
            <w:tcW w:w="1680" w:type="dxa"/>
            <w:gridSpan w:val="2"/>
            <w:vMerge w:val="continue"/>
            <w:vAlign w:val="center"/>
          </w:tcPr>
          <w:p>
            <w:pPr>
              <w:jc w:val="center"/>
              <w:rPr>
                <w:rFonts w:ascii="宋体" w:hAnsi="宋体" w:cs="宋体"/>
                <w:bCs/>
                <w:color w:val="auto"/>
                <w:szCs w:val="21"/>
                <w:highlight w:val="none"/>
              </w:rPr>
            </w:pPr>
          </w:p>
        </w:tc>
        <w:tc>
          <w:tcPr>
            <w:tcW w:w="168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高级职称人员</w:t>
            </w:r>
          </w:p>
        </w:tc>
        <w:tc>
          <w:tcPr>
            <w:tcW w:w="1680" w:type="dxa"/>
            <w:gridSpan w:val="3"/>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注册资金</w:t>
            </w:r>
          </w:p>
        </w:tc>
        <w:tc>
          <w:tcPr>
            <w:tcW w:w="2520" w:type="dxa"/>
            <w:gridSpan w:val="3"/>
            <w:vAlign w:val="center"/>
          </w:tcPr>
          <w:p>
            <w:pPr>
              <w:jc w:val="center"/>
              <w:rPr>
                <w:rFonts w:ascii="宋体" w:hAnsi="宋体" w:cs="宋体"/>
                <w:bCs/>
                <w:color w:val="auto"/>
                <w:szCs w:val="21"/>
                <w:highlight w:val="none"/>
              </w:rPr>
            </w:pPr>
          </w:p>
        </w:tc>
        <w:tc>
          <w:tcPr>
            <w:tcW w:w="1680" w:type="dxa"/>
            <w:gridSpan w:val="2"/>
            <w:vMerge w:val="continue"/>
            <w:vAlign w:val="center"/>
          </w:tcPr>
          <w:p>
            <w:pPr>
              <w:jc w:val="center"/>
              <w:rPr>
                <w:rFonts w:ascii="宋体" w:hAnsi="宋体" w:cs="宋体"/>
                <w:bCs/>
                <w:color w:val="auto"/>
                <w:szCs w:val="21"/>
                <w:highlight w:val="none"/>
              </w:rPr>
            </w:pPr>
          </w:p>
        </w:tc>
        <w:tc>
          <w:tcPr>
            <w:tcW w:w="168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中级职称人员</w:t>
            </w:r>
          </w:p>
        </w:tc>
        <w:tc>
          <w:tcPr>
            <w:tcW w:w="1680" w:type="dxa"/>
            <w:gridSpan w:val="3"/>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开户银行</w:t>
            </w:r>
          </w:p>
        </w:tc>
        <w:tc>
          <w:tcPr>
            <w:tcW w:w="2520" w:type="dxa"/>
            <w:gridSpan w:val="3"/>
            <w:vAlign w:val="center"/>
          </w:tcPr>
          <w:p>
            <w:pPr>
              <w:jc w:val="center"/>
              <w:rPr>
                <w:rFonts w:ascii="宋体" w:hAnsi="宋体" w:cs="宋体"/>
                <w:bCs/>
                <w:color w:val="auto"/>
                <w:szCs w:val="21"/>
                <w:highlight w:val="none"/>
              </w:rPr>
            </w:pPr>
          </w:p>
        </w:tc>
        <w:tc>
          <w:tcPr>
            <w:tcW w:w="1680" w:type="dxa"/>
            <w:gridSpan w:val="2"/>
            <w:vMerge w:val="continue"/>
            <w:vAlign w:val="center"/>
          </w:tcPr>
          <w:p>
            <w:pPr>
              <w:jc w:val="center"/>
              <w:rPr>
                <w:rFonts w:ascii="宋体" w:hAnsi="宋体" w:cs="宋体"/>
                <w:bCs/>
                <w:color w:val="auto"/>
                <w:szCs w:val="21"/>
                <w:highlight w:val="none"/>
              </w:rPr>
            </w:pPr>
          </w:p>
        </w:tc>
        <w:tc>
          <w:tcPr>
            <w:tcW w:w="168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初级职称人员</w:t>
            </w:r>
          </w:p>
        </w:tc>
        <w:tc>
          <w:tcPr>
            <w:tcW w:w="1680" w:type="dxa"/>
            <w:gridSpan w:val="3"/>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账号</w:t>
            </w:r>
          </w:p>
        </w:tc>
        <w:tc>
          <w:tcPr>
            <w:tcW w:w="2520" w:type="dxa"/>
            <w:gridSpan w:val="3"/>
            <w:vAlign w:val="center"/>
          </w:tcPr>
          <w:p>
            <w:pPr>
              <w:jc w:val="center"/>
              <w:rPr>
                <w:rFonts w:ascii="宋体" w:hAnsi="宋体" w:cs="宋体"/>
                <w:bCs/>
                <w:color w:val="auto"/>
                <w:szCs w:val="21"/>
                <w:highlight w:val="none"/>
              </w:rPr>
            </w:pPr>
          </w:p>
        </w:tc>
        <w:tc>
          <w:tcPr>
            <w:tcW w:w="1680" w:type="dxa"/>
            <w:gridSpan w:val="2"/>
            <w:vMerge w:val="continue"/>
            <w:vAlign w:val="center"/>
          </w:tcPr>
          <w:p>
            <w:pPr>
              <w:jc w:val="center"/>
              <w:rPr>
                <w:rFonts w:ascii="宋体" w:hAnsi="宋体" w:cs="宋体"/>
                <w:bCs/>
                <w:color w:val="auto"/>
                <w:szCs w:val="21"/>
                <w:highlight w:val="none"/>
              </w:rPr>
            </w:pPr>
          </w:p>
        </w:tc>
        <w:tc>
          <w:tcPr>
            <w:tcW w:w="1680" w:type="dxa"/>
            <w:gridSpan w:val="3"/>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技工</w:t>
            </w:r>
          </w:p>
        </w:tc>
        <w:tc>
          <w:tcPr>
            <w:tcW w:w="1680" w:type="dxa"/>
            <w:gridSpan w:val="3"/>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经营范围</w:t>
            </w:r>
          </w:p>
        </w:tc>
        <w:tc>
          <w:tcPr>
            <w:tcW w:w="7560" w:type="dxa"/>
            <w:gridSpan w:val="11"/>
            <w:vAlign w:val="center"/>
          </w:tcPr>
          <w:p>
            <w:pPr>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c>
          <w:tcPr>
            <w:tcW w:w="7560" w:type="dxa"/>
            <w:gridSpan w:val="11"/>
            <w:vAlign w:val="center"/>
          </w:tcPr>
          <w:p>
            <w:pPr>
              <w:jc w:val="center"/>
              <w:rPr>
                <w:rFonts w:ascii="宋体" w:hAnsi="宋体" w:cs="宋体"/>
                <w:bCs/>
                <w:color w:val="auto"/>
                <w:szCs w:val="21"/>
                <w:highlight w:val="none"/>
              </w:rPr>
            </w:pPr>
          </w:p>
        </w:tc>
      </w:tr>
    </w:tbl>
    <w:p>
      <w:pPr>
        <w:adjustRightInd w:val="0"/>
        <w:spacing w:line="400" w:lineRule="exact"/>
        <w:jc w:val="left"/>
        <w:rPr>
          <w:rFonts w:ascii="宋体" w:hAnsi="宋体" w:cs="宋体"/>
          <w:color w:val="auto"/>
          <w:sz w:val="24"/>
          <w:highlight w:val="none"/>
        </w:rPr>
      </w:pPr>
    </w:p>
    <w:p>
      <w:pPr>
        <w:widowControl/>
        <w:spacing w:line="360" w:lineRule="atLeast"/>
        <w:ind w:firstLine="470" w:firstLineChars="196"/>
        <w:jc w:val="left"/>
        <w:outlineLvl w:val="1"/>
        <w:rPr>
          <w:rFonts w:ascii="宋体" w:hAnsi="宋体" w:cs="宋体"/>
          <w:color w:val="auto"/>
          <w:sz w:val="24"/>
          <w:highlight w:val="none"/>
        </w:rPr>
      </w:pPr>
      <w:bookmarkStart w:id="240" w:name="_Toc17142"/>
      <w:r>
        <w:rPr>
          <w:rFonts w:hint="eastAsia" w:ascii="宋体" w:hAnsi="宋体" w:cs="宋体"/>
          <w:color w:val="auto"/>
          <w:sz w:val="24"/>
          <w:highlight w:val="none"/>
        </w:rPr>
        <w:t>供应商名称：XXXX（单位公章）。</w:t>
      </w:r>
      <w:bookmarkEnd w:id="240"/>
    </w:p>
    <w:p>
      <w:pPr>
        <w:widowControl/>
        <w:spacing w:line="360" w:lineRule="atLeast"/>
        <w:ind w:firstLine="470" w:firstLineChars="196"/>
        <w:jc w:val="left"/>
        <w:outlineLvl w:val="1"/>
        <w:rPr>
          <w:rFonts w:ascii="宋体" w:hAnsi="宋体" w:cs="宋体"/>
          <w:color w:val="auto"/>
          <w:sz w:val="24"/>
          <w:highlight w:val="none"/>
        </w:rPr>
      </w:pPr>
      <w:bookmarkStart w:id="241" w:name="_Toc8646"/>
      <w:r>
        <w:rPr>
          <w:rFonts w:hint="eastAsia" w:ascii="宋体" w:hAnsi="宋体" w:cs="宋体"/>
          <w:color w:val="auto"/>
          <w:sz w:val="24"/>
          <w:highlight w:val="none"/>
        </w:rPr>
        <w:t>法定代表人/单位负责人或授权代表（签字或加盖个人印章）：XXXX。</w:t>
      </w:r>
      <w:bookmarkEnd w:id="241"/>
    </w:p>
    <w:p>
      <w:pPr>
        <w:widowControl/>
        <w:spacing w:line="360" w:lineRule="atLeast"/>
        <w:ind w:firstLine="470" w:firstLineChars="196"/>
        <w:jc w:val="left"/>
        <w:outlineLvl w:val="1"/>
        <w:rPr>
          <w:rFonts w:ascii="宋体" w:hAnsi="宋体" w:cs="宋体"/>
          <w:color w:val="auto"/>
          <w:sz w:val="24"/>
          <w:highlight w:val="none"/>
        </w:rPr>
      </w:pPr>
      <w:bookmarkStart w:id="242" w:name="_Toc8522"/>
      <w:r>
        <w:rPr>
          <w:rFonts w:hint="eastAsia" w:ascii="宋体" w:hAnsi="宋体" w:cs="宋体"/>
          <w:color w:val="auto"/>
          <w:sz w:val="24"/>
          <w:highlight w:val="none"/>
        </w:rPr>
        <w:t>日    期：XXXX。</w:t>
      </w:r>
      <w:bookmarkEnd w:id="242"/>
    </w:p>
    <w:p>
      <w:pPr>
        <w:rPr>
          <w:rFonts w:ascii="宋体" w:hAnsi="宋体" w:cs="宋体"/>
          <w:b/>
          <w:bCs/>
          <w:color w:val="auto"/>
          <w:sz w:val="36"/>
          <w:highlight w:val="none"/>
        </w:rPr>
      </w:pPr>
    </w:p>
    <w:p>
      <w:pPr>
        <w:pStyle w:val="12"/>
        <w:rPr>
          <w:rFonts w:ascii="宋体" w:hAnsi="宋体" w:cs="宋体"/>
          <w:b/>
          <w:bCs/>
          <w:color w:val="auto"/>
          <w:sz w:val="36"/>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ind w:firstLine="643"/>
        <w:jc w:val="center"/>
        <w:rPr>
          <w:rFonts w:ascii="宋体" w:hAnsi="宋体" w:cs="宋体"/>
          <w:b/>
          <w:bCs/>
          <w:color w:val="auto"/>
          <w:sz w:val="32"/>
          <w:szCs w:val="28"/>
          <w:highlight w:val="none"/>
          <w:lang w:val="zh-CN"/>
        </w:rPr>
      </w:pPr>
      <w:r>
        <w:rPr>
          <w:rFonts w:hint="eastAsia" w:ascii="宋体" w:hAnsi="宋体" w:cs="宋体"/>
          <w:b/>
          <w:bCs/>
          <w:color w:val="auto"/>
          <w:sz w:val="32"/>
          <w:szCs w:val="28"/>
          <w:highlight w:val="none"/>
        </w:rPr>
        <w:t>4、首轮</w:t>
      </w:r>
      <w:r>
        <w:rPr>
          <w:rFonts w:hint="eastAsia" w:ascii="宋体" w:hAnsi="宋体" w:cs="宋体"/>
          <w:b/>
          <w:bCs/>
          <w:color w:val="auto"/>
          <w:sz w:val="32"/>
          <w:szCs w:val="28"/>
          <w:highlight w:val="none"/>
          <w:lang w:val="zh-CN"/>
        </w:rPr>
        <w:t>报价表</w:t>
      </w:r>
    </w:p>
    <w:p>
      <w:pPr>
        <w:pStyle w:val="8"/>
        <w:ind w:firstLine="480"/>
        <w:rPr>
          <w:rFonts w:cs="宋体"/>
          <w:color w:val="auto"/>
          <w:highlight w:val="none"/>
          <w:lang w:val="zh-CN"/>
        </w:rPr>
      </w:pPr>
    </w:p>
    <w:tbl>
      <w:tblPr>
        <w:tblStyle w:val="32"/>
        <w:tblW w:w="9358" w:type="dxa"/>
        <w:jc w:val="cente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461"/>
        <w:gridCol w:w="6375"/>
        <w:gridCol w:w="1522"/>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9358" w:type="dxa"/>
            <w:gridSpan w:val="3"/>
            <w:vAlign w:val="center"/>
          </w:tcPr>
          <w:p>
            <w:pPr>
              <w:wordWrap w:val="0"/>
              <w:topLinePunct/>
              <w:jc w:val="center"/>
              <w:rPr>
                <w:rFonts w:ascii="宋体" w:hAnsi="宋体" w:cs="宋体"/>
                <w:b/>
                <w:color w:val="auto"/>
                <w:sz w:val="30"/>
                <w:szCs w:val="30"/>
                <w:highlight w:val="none"/>
              </w:rPr>
            </w:pPr>
            <w:r>
              <w:rPr>
                <w:rFonts w:hint="eastAsia" w:ascii="宋体" w:hAnsi="宋体" w:cs="宋体"/>
                <w:b/>
                <w:color w:val="auto"/>
                <w:sz w:val="30"/>
                <w:szCs w:val="30"/>
                <w:highlight w:val="none"/>
              </w:rPr>
              <w:t>首轮报价表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461" w:type="dxa"/>
            <w:vAlign w:val="center"/>
          </w:tcPr>
          <w:p>
            <w:pPr>
              <w:wordWrap w:val="0"/>
              <w:topLinePunct/>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6375" w:type="dxa"/>
            <w:vAlign w:val="center"/>
          </w:tcPr>
          <w:p>
            <w:pPr>
              <w:wordWrap w:val="0"/>
              <w:topLinePunct/>
              <w:jc w:val="center"/>
              <w:rPr>
                <w:rFonts w:ascii="宋体" w:hAnsi="宋体" w:cs="宋体"/>
                <w:color w:val="auto"/>
                <w:sz w:val="24"/>
                <w:highlight w:val="none"/>
              </w:rPr>
            </w:pPr>
          </w:p>
        </w:tc>
        <w:tc>
          <w:tcPr>
            <w:tcW w:w="1522" w:type="dxa"/>
            <w:vAlign w:val="center"/>
          </w:tcPr>
          <w:p>
            <w:pPr>
              <w:wordWrap w:val="0"/>
              <w:topLinePunct/>
              <w:jc w:val="center"/>
              <w:rPr>
                <w:rFonts w:ascii="宋体" w:hAnsi="宋体" w:cs="宋体"/>
                <w:color w:val="auto"/>
                <w:sz w:val="24"/>
                <w:highlight w:val="none"/>
              </w:rPr>
            </w:pPr>
            <w:r>
              <w:rPr>
                <w:rFonts w:hint="eastAsia" w:ascii="宋体" w:hAnsi="宋体" w:cs="宋体"/>
                <w:color w:val="auto"/>
                <w:sz w:val="24"/>
                <w:highlight w:val="none"/>
              </w:rPr>
              <w:t>备   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61" w:type="dxa"/>
            <w:vAlign w:val="center"/>
          </w:tcPr>
          <w:p>
            <w:pPr>
              <w:wordWrap w:val="0"/>
              <w:topLinePunct/>
              <w:jc w:val="center"/>
              <w:rPr>
                <w:rFonts w:ascii="宋体" w:hAnsi="宋体" w:cs="宋体"/>
                <w:color w:val="auto"/>
                <w:sz w:val="24"/>
                <w:highlight w:val="none"/>
              </w:rPr>
            </w:pPr>
            <w:r>
              <w:rPr>
                <w:rFonts w:hint="eastAsia" w:ascii="宋体" w:hAnsi="宋体" w:cs="宋体"/>
                <w:color w:val="auto"/>
                <w:sz w:val="24"/>
                <w:highlight w:val="none"/>
              </w:rPr>
              <w:t>采购编号</w:t>
            </w:r>
          </w:p>
        </w:tc>
        <w:tc>
          <w:tcPr>
            <w:tcW w:w="6375" w:type="dxa"/>
            <w:vAlign w:val="center"/>
          </w:tcPr>
          <w:p>
            <w:pPr>
              <w:wordWrap w:val="0"/>
              <w:topLinePunct/>
              <w:ind w:firstLine="480"/>
              <w:jc w:val="center"/>
              <w:rPr>
                <w:rFonts w:ascii="宋体" w:hAnsi="宋体" w:cs="宋体"/>
                <w:color w:val="auto"/>
                <w:sz w:val="24"/>
                <w:highlight w:val="none"/>
              </w:rPr>
            </w:pPr>
          </w:p>
        </w:tc>
        <w:tc>
          <w:tcPr>
            <w:tcW w:w="1522" w:type="dxa"/>
            <w:vMerge w:val="restart"/>
            <w:vAlign w:val="center"/>
          </w:tcPr>
          <w:p>
            <w:pPr>
              <w:wordWrap w:val="0"/>
              <w:topLinePunct/>
              <w:rPr>
                <w:rFonts w:ascii="宋体" w:hAnsi="宋体" w:cs="宋体"/>
                <w:color w:val="auto"/>
                <w:sz w:val="24"/>
                <w:highlight w:val="none"/>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182" w:hRule="atLeast"/>
          <w:jc w:val="center"/>
        </w:trPr>
        <w:tc>
          <w:tcPr>
            <w:tcW w:w="1461" w:type="dxa"/>
            <w:vAlign w:val="center"/>
          </w:tcPr>
          <w:p>
            <w:pPr>
              <w:wordWrap w:val="0"/>
              <w:topLinePunct/>
              <w:jc w:val="center"/>
              <w:rPr>
                <w:rFonts w:ascii="宋体" w:hAnsi="宋体" w:cs="宋体"/>
                <w:color w:val="auto"/>
                <w:sz w:val="24"/>
                <w:highlight w:val="none"/>
              </w:rPr>
            </w:pPr>
            <w:r>
              <w:rPr>
                <w:rFonts w:hint="eastAsia" w:ascii="宋体" w:hAnsi="宋体" w:cs="宋体"/>
                <w:color w:val="auto"/>
                <w:sz w:val="24"/>
                <w:highlight w:val="none"/>
              </w:rPr>
              <w:t>报价</w:t>
            </w:r>
          </w:p>
        </w:tc>
        <w:tc>
          <w:tcPr>
            <w:tcW w:w="6375" w:type="dxa"/>
            <w:vAlign w:val="center"/>
          </w:tcPr>
          <w:p>
            <w:pPr>
              <w:wordWrap w:val="0"/>
              <w:topLinePunct/>
              <w:rPr>
                <w:rFonts w:ascii="宋体" w:hAnsi="宋体" w:cs="宋体"/>
                <w:color w:val="auto"/>
                <w:sz w:val="24"/>
                <w:highlight w:val="none"/>
              </w:rPr>
            </w:pPr>
            <w:r>
              <w:rPr>
                <w:rFonts w:hint="eastAsia"/>
                <w:color w:val="auto"/>
                <w:sz w:val="24"/>
                <w:highlight w:val="none"/>
                <w:u w:val="single"/>
              </w:rPr>
              <w:t xml:space="preserve">              </w:t>
            </w:r>
            <w:r>
              <w:rPr>
                <w:rFonts w:hint="eastAsia"/>
                <w:color w:val="auto"/>
                <w:sz w:val="24"/>
                <w:highlight w:val="none"/>
              </w:rPr>
              <w:t>元</w:t>
            </w:r>
          </w:p>
        </w:tc>
        <w:tc>
          <w:tcPr>
            <w:tcW w:w="1522" w:type="dxa"/>
            <w:vMerge w:val="continue"/>
            <w:vAlign w:val="center"/>
          </w:tcPr>
          <w:p>
            <w:pPr>
              <w:wordWrap w:val="0"/>
              <w:topLinePunct/>
              <w:ind w:firstLine="480"/>
              <w:jc w:val="center"/>
              <w:rPr>
                <w:rFonts w:ascii="宋体" w:hAnsi="宋体" w:cs="宋体"/>
                <w:color w:val="auto"/>
                <w:sz w:val="24"/>
                <w:highlight w:val="none"/>
              </w:rPr>
            </w:pPr>
          </w:p>
        </w:tc>
      </w:tr>
    </w:tbl>
    <w:p>
      <w:pPr>
        <w:ind w:firstLine="480"/>
        <w:rPr>
          <w:rFonts w:ascii="宋体" w:hAnsi="宋体" w:cs="宋体"/>
          <w:color w:val="auto"/>
          <w:sz w:val="24"/>
          <w:highlight w:val="none"/>
        </w:rPr>
      </w:pPr>
      <w:r>
        <w:rPr>
          <w:rFonts w:hint="eastAsia" w:ascii="宋体" w:hAnsi="宋体" w:cs="宋体"/>
          <w:color w:val="auto"/>
          <w:sz w:val="24"/>
          <w:highlight w:val="none"/>
        </w:rPr>
        <w:t>注：服务费由磋商人自行报价，此费用是所确定的采购范围内的全部工作内容的价格体现。</w:t>
      </w:r>
    </w:p>
    <w:p>
      <w:pPr>
        <w:ind w:firstLine="480"/>
        <w:rPr>
          <w:rFonts w:ascii="宋体" w:hAnsi="宋体" w:cs="宋体"/>
          <w:color w:val="auto"/>
          <w:sz w:val="24"/>
          <w:highlight w:val="none"/>
        </w:rPr>
      </w:pPr>
    </w:p>
    <w:p>
      <w:pPr>
        <w:spacing w:line="360" w:lineRule="auto"/>
        <w:ind w:firstLine="480"/>
        <w:rPr>
          <w:rFonts w:ascii="宋体" w:hAnsi="宋体" w:cs="宋体"/>
          <w:color w:val="auto"/>
          <w:sz w:val="24"/>
          <w:highlight w:val="none"/>
        </w:rPr>
      </w:pPr>
    </w:p>
    <w:p>
      <w:pPr>
        <w:wordWrap w:val="0"/>
        <w:topLinePunct/>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560"/>
        <w:rPr>
          <w:rFonts w:ascii="宋体" w:hAnsi="宋体" w:cs="宋体"/>
          <w:color w:val="auto"/>
          <w:sz w:val="24"/>
          <w:highlight w:val="none"/>
        </w:rPr>
      </w:pPr>
    </w:p>
    <w:p>
      <w:pPr>
        <w:wordWrap w:val="0"/>
        <w:topLinePunct/>
        <w:adjustRightInd w:val="0"/>
        <w:spacing w:line="360" w:lineRule="auto"/>
        <w:ind w:firstLine="480"/>
        <w:jc w:val="left"/>
        <w:rPr>
          <w:rFonts w:ascii="宋体" w:hAnsi="宋体" w:cs="宋体"/>
          <w:color w:val="auto"/>
          <w:sz w:val="24"/>
          <w:highlight w:val="none"/>
          <w:lang w:val="zh-CN"/>
        </w:rPr>
      </w:pPr>
    </w:p>
    <w:p>
      <w:pPr>
        <w:pStyle w:val="8"/>
        <w:spacing w:line="360" w:lineRule="auto"/>
        <w:ind w:firstLine="480"/>
        <w:rPr>
          <w:rFonts w:cs="宋体"/>
          <w:color w:val="auto"/>
          <w:sz w:val="24"/>
          <w:szCs w:val="24"/>
          <w:highlight w:val="none"/>
          <w:lang w:val="zh-CN"/>
        </w:rPr>
      </w:pPr>
    </w:p>
    <w:p>
      <w:pPr>
        <w:spacing w:line="360" w:lineRule="auto"/>
        <w:rPr>
          <w:rFonts w:ascii="宋体" w:hAnsi="宋体" w:cs="宋体"/>
          <w:color w:val="auto"/>
          <w:sz w:val="24"/>
          <w:highlight w:val="none"/>
        </w:rPr>
      </w:pPr>
    </w:p>
    <w:p>
      <w:pPr>
        <w:pStyle w:val="12"/>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pStyle w:val="12"/>
        <w:spacing w:line="360" w:lineRule="auto"/>
        <w:rPr>
          <w:rFonts w:ascii="宋体" w:hAnsi="宋体" w:cs="宋体"/>
          <w:color w:val="auto"/>
          <w:sz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43" w:name="_Toc23256"/>
      <w:r>
        <w:rPr>
          <w:rFonts w:hint="eastAsia" w:ascii="宋体" w:hAnsi="宋体" w:cs="宋体"/>
          <w:color w:val="auto"/>
          <w:sz w:val="24"/>
          <w:highlight w:val="none"/>
        </w:rPr>
        <w:t>供应商名称：XXXX（单位公章）。</w:t>
      </w:r>
      <w:bookmarkEnd w:id="243"/>
    </w:p>
    <w:p>
      <w:pPr>
        <w:widowControl/>
        <w:spacing w:line="360" w:lineRule="auto"/>
        <w:ind w:firstLine="470" w:firstLineChars="196"/>
        <w:jc w:val="left"/>
        <w:outlineLvl w:val="1"/>
        <w:rPr>
          <w:rFonts w:ascii="宋体" w:hAnsi="宋体" w:cs="宋体"/>
          <w:color w:val="auto"/>
          <w:sz w:val="24"/>
          <w:highlight w:val="none"/>
        </w:rPr>
      </w:pPr>
      <w:bookmarkStart w:id="244" w:name="_Toc8722"/>
      <w:r>
        <w:rPr>
          <w:rFonts w:hint="eastAsia" w:ascii="宋体" w:hAnsi="宋体" w:cs="宋体"/>
          <w:color w:val="auto"/>
          <w:sz w:val="24"/>
          <w:highlight w:val="none"/>
        </w:rPr>
        <w:t>法定代表人/单位负责人或授权代表（签字或加盖个人印章）：XXXX。</w:t>
      </w:r>
      <w:bookmarkEnd w:id="244"/>
    </w:p>
    <w:p>
      <w:pPr>
        <w:widowControl/>
        <w:spacing w:line="360" w:lineRule="auto"/>
        <w:ind w:firstLine="470" w:firstLineChars="196"/>
        <w:jc w:val="left"/>
        <w:outlineLvl w:val="1"/>
        <w:rPr>
          <w:rFonts w:ascii="宋体" w:hAnsi="宋体" w:cs="宋体"/>
          <w:color w:val="auto"/>
          <w:sz w:val="24"/>
          <w:highlight w:val="none"/>
        </w:rPr>
      </w:pPr>
      <w:bookmarkStart w:id="245" w:name="_Toc23592"/>
      <w:r>
        <w:rPr>
          <w:rFonts w:hint="eastAsia" w:ascii="宋体" w:hAnsi="宋体" w:cs="宋体"/>
          <w:color w:val="auto"/>
          <w:sz w:val="24"/>
          <w:highlight w:val="none"/>
        </w:rPr>
        <w:t>日    期：XXXX。</w:t>
      </w:r>
      <w:bookmarkEnd w:id="245"/>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highlight w:val="none"/>
        </w:rPr>
      </w:pPr>
    </w:p>
    <w:p>
      <w:pPr>
        <w:pStyle w:val="12"/>
        <w:rPr>
          <w:color w:val="auto"/>
          <w:highlight w:val="none"/>
        </w:rPr>
      </w:pPr>
    </w:p>
    <w:p>
      <w:pPr>
        <w:jc w:val="center"/>
        <w:rPr>
          <w:rFonts w:ascii="宋体" w:hAnsi="宋体" w:cs="宋体"/>
          <w:bCs/>
          <w:color w:val="auto"/>
          <w:sz w:val="24"/>
          <w:highlight w:val="none"/>
        </w:rPr>
      </w:pPr>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5、供应商类似项目业绩一览表</w:t>
      </w:r>
    </w:p>
    <w:p>
      <w:pPr>
        <w:spacing w:line="400" w:lineRule="exact"/>
        <w:rPr>
          <w:rFonts w:ascii="宋体" w:hAnsi="宋体" w:cs="宋体"/>
          <w:color w:val="auto"/>
          <w:sz w:val="24"/>
          <w:highlight w:val="none"/>
        </w:rPr>
      </w:pPr>
    </w:p>
    <w:tbl>
      <w:tblPr>
        <w:tblStyle w:val="32"/>
        <w:tblW w:w="84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16"/>
        <w:gridCol w:w="2009"/>
        <w:gridCol w:w="3224"/>
        <w:gridCol w:w="1284"/>
        <w:gridCol w:w="10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tcBorders>
              <w:top w:val="single" w:color="auto" w:sz="4" w:space="0"/>
            </w:tcBorders>
            <w:vAlign w:val="center"/>
          </w:tcPr>
          <w:p>
            <w:pPr>
              <w:spacing w:line="400" w:lineRule="exact"/>
              <w:ind w:firstLine="105" w:firstLineChars="50"/>
              <w:jc w:val="center"/>
              <w:rPr>
                <w:rFonts w:ascii="宋体" w:hAnsi="宋体" w:cs="宋体"/>
                <w:b/>
                <w:color w:val="auto"/>
                <w:highlight w:val="none"/>
              </w:rPr>
            </w:pPr>
            <w:r>
              <w:rPr>
                <w:rFonts w:hint="eastAsia" w:ascii="宋体" w:hAnsi="宋体" w:cs="宋体"/>
                <w:b/>
                <w:color w:val="auto"/>
                <w:highlight w:val="none"/>
              </w:rPr>
              <w:t>年份</w:t>
            </w:r>
          </w:p>
        </w:tc>
        <w:tc>
          <w:tcPr>
            <w:tcW w:w="2009" w:type="dxa"/>
            <w:vAlign w:val="center"/>
          </w:tcPr>
          <w:p>
            <w:pPr>
              <w:spacing w:line="400" w:lineRule="exact"/>
              <w:jc w:val="center"/>
              <w:rPr>
                <w:rFonts w:ascii="宋体" w:hAnsi="宋体" w:cs="宋体"/>
                <w:b/>
                <w:color w:val="auto"/>
                <w:highlight w:val="none"/>
              </w:rPr>
            </w:pPr>
            <w:r>
              <w:rPr>
                <w:rFonts w:hint="eastAsia" w:ascii="宋体" w:hAnsi="宋体" w:cs="宋体"/>
                <w:b/>
                <w:color w:val="auto"/>
                <w:highlight w:val="none"/>
              </w:rPr>
              <w:t>用户名称</w:t>
            </w:r>
          </w:p>
        </w:tc>
        <w:tc>
          <w:tcPr>
            <w:tcW w:w="3224" w:type="dxa"/>
            <w:vAlign w:val="center"/>
          </w:tcPr>
          <w:p>
            <w:pPr>
              <w:spacing w:line="400" w:lineRule="exact"/>
              <w:jc w:val="center"/>
              <w:rPr>
                <w:rFonts w:ascii="宋体" w:hAnsi="宋体" w:cs="宋体"/>
                <w:b/>
                <w:color w:val="auto"/>
                <w:highlight w:val="none"/>
              </w:rPr>
            </w:pPr>
            <w:r>
              <w:rPr>
                <w:rFonts w:hint="eastAsia" w:ascii="宋体" w:hAnsi="宋体" w:cs="宋体"/>
                <w:b/>
                <w:color w:val="auto"/>
                <w:highlight w:val="none"/>
              </w:rPr>
              <w:t>项目名称</w:t>
            </w:r>
          </w:p>
        </w:tc>
        <w:tc>
          <w:tcPr>
            <w:tcW w:w="1284" w:type="dxa"/>
            <w:vAlign w:val="center"/>
          </w:tcPr>
          <w:p>
            <w:pPr>
              <w:spacing w:line="400" w:lineRule="exact"/>
              <w:ind w:firstLine="105" w:firstLineChars="50"/>
              <w:jc w:val="center"/>
              <w:rPr>
                <w:rFonts w:ascii="宋体" w:hAnsi="宋体" w:cs="宋体"/>
                <w:b/>
                <w:color w:val="auto"/>
                <w:highlight w:val="none"/>
              </w:rPr>
            </w:pPr>
            <w:r>
              <w:rPr>
                <w:rFonts w:hint="eastAsia" w:ascii="宋体" w:hAnsi="宋体" w:cs="宋体"/>
                <w:b/>
                <w:color w:val="auto"/>
                <w:highlight w:val="none"/>
              </w:rPr>
              <w:t>合同金额</w:t>
            </w:r>
          </w:p>
        </w:tc>
        <w:tc>
          <w:tcPr>
            <w:tcW w:w="1062" w:type="dxa"/>
            <w:tcBorders>
              <w:left w:val="single" w:color="auto" w:sz="4" w:space="0"/>
            </w:tcBorders>
            <w:vAlign w:val="center"/>
          </w:tcPr>
          <w:p>
            <w:pPr>
              <w:spacing w:line="400" w:lineRule="exact"/>
              <w:jc w:val="center"/>
              <w:rPr>
                <w:rFonts w:ascii="宋体" w:hAnsi="宋体" w:cs="宋体"/>
                <w:b/>
                <w:color w:val="auto"/>
                <w:highlight w:val="none"/>
              </w:rPr>
            </w:pPr>
            <w:r>
              <w:rPr>
                <w:rFonts w:hint="eastAsia" w:ascii="宋体" w:hAnsi="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vAlign w:val="center"/>
          </w:tcPr>
          <w:p>
            <w:pPr>
              <w:spacing w:line="400" w:lineRule="exact"/>
              <w:jc w:val="center"/>
              <w:rPr>
                <w:rFonts w:ascii="宋体" w:hAnsi="宋体" w:cs="宋体"/>
                <w:color w:val="auto"/>
                <w:highlight w:val="none"/>
              </w:rPr>
            </w:pPr>
          </w:p>
        </w:tc>
        <w:tc>
          <w:tcPr>
            <w:tcW w:w="2009" w:type="dxa"/>
            <w:vAlign w:val="center"/>
          </w:tcPr>
          <w:p>
            <w:pPr>
              <w:spacing w:line="400" w:lineRule="exact"/>
              <w:jc w:val="center"/>
              <w:rPr>
                <w:rFonts w:ascii="宋体" w:hAnsi="宋体" w:cs="宋体"/>
                <w:color w:val="auto"/>
                <w:highlight w:val="none"/>
              </w:rPr>
            </w:pPr>
          </w:p>
        </w:tc>
        <w:tc>
          <w:tcPr>
            <w:tcW w:w="3224" w:type="dxa"/>
            <w:vAlign w:val="center"/>
          </w:tcPr>
          <w:p>
            <w:pPr>
              <w:spacing w:line="400" w:lineRule="exact"/>
              <w:jc w:val="center"/>
              <w:rPr>
                <w:rFonts w:ascii="宋体" w:hAnsi="宋体" w:cs="宋体"/>
                <w:color w:val="auto"/>
                <w:highlight w:val="none"/>
              </w:rPr>
            </w:pPr>
          </w:p>
        </w:tc>
        <w:tc>
          <w:tcPr>
            <w:tcW w:w="1284" w:type="dxa"/>
            <w:vAlign w:val="center"/>
          </w:tcPr>
          <w:p>
            <w:pPr>
              <w:spacing w:line="400" w:lineRule="exact"/>
              <w:jc w:val="center"/>
              <w:rPr>
                <w:rFonts w:ascii="宋体" w:hAnsi="宋体" w:cs="宋体"/>
                <w:color w:val="auto"/>
                <w:highlight w:val="none"/>
              </w:rPr>
            </w:pPr>
          </w:p>
        </w:tc>
        <w:tc>
          <w:tcPr>
            <w:tcW w:w="1062" w:type="dxa"/>
            <w:tcBorders>
              <w:left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vAlign w:val="center"/>
          </w:tcPr>
          <w:p>
            <w:pPr>
              <w:spacing w:line="400" w:lineRule="exact"/>
              <w:jc w:val="center"/>
              <w:rPr>
                <w:rFonts w:ascii="宋体" w:hAnsi="宋体" w:cs="宋体"/>
                <w:color w:val="auto"/>
                <w:highlight w:val="none"/>
              </w:rPr>
            </w:pPr>
          </w:p>
        </w:tc>
        <w:tc>
          <w:tcPr>
            <w:tcW w:w="2009" w:type="dxa"/>
            <w:vAlign w:val="center"/>
          </w:tcPr>
          <w:p>
            <w:pPr>
              <w:spacing w:line="400" w:lineRule="exact"/>
              <w:jc w:val="center"/>
              <w:rPr>
                <w:rFonts w:ascii="宋体" w:hAnsi="宋体" w:cs="宋体"/>
                <w:color w:val="auto"/>
                <w:highlight w:val="none"/>
              </w:rPr>
            </w:pPr>
          </w:p>
        </w:tc>
        <w:tc>
          <w:tcPr>
            <w:tcW w:w="3224" w:type="dxa"/>
            <w:vAlign w:val="center"/>
          </w:tcPr>
          <w:p>
            <w:pPr>
              <w:spacing w:line="400" w:lineRule="exact"/>
              <w:jc w:val="center"/>
              <w:rPr>
                <w:rFonts w:ascii="宋体" w:hAnsi="宋体" w:cs="宋体"/>
                <w:color w:val="auto"/>
                <w:highlight w:val="none"/>
              </w:rPr>
            </w:pPr>
          </w:p>
        </w:tc>
        <w:tc>
          <w:tcPr>
            <w:tcW w:w="1284" w:type="dxa"/>
            <w:vAlign w:val="center"/>
          </w:tcPr>
          <w:p>
            <w:pPr>
              <w:spacing w:line="400" w:lineRule="exact"/>
              <w:jc w:val="center"/>
              <w:rPr>
                <w:rFonts w:ascii="宋体" w:hAnsi="宋体" w:cs="宋体"/>
                <w:color w:val="auto"/>
                <w:highlight w:val="none"/>
              </w:rPr>
            </w:pPr>
          </w:p>
        </w:tc>
        <w:tc>
          <w:tcPr>
            <w:tcW w:w="1062" w:type="dxa"/>
            <w:tcBorders>
              <w:left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vAlign w:val="center"/>
          </w:tcPr>
          <w:p>
            <w:pPr>
              <w:spacing w:line="400" w:lineRule="exact"/>
              <w:jc w:val="center"/>
              <w:rPr>
                <w:rFonts w:ascii="宋体" w:hAnsi="宋体" w:cs="宋体"/>
                <w:color w:val="auto"/>
                <w:highlight w:val="none"/>
              </w:rPr>
            </w:pPr>
          </w:p>
        </w:tc>
        <w:tc>
          <w:tcPr>
            <w:tcW w:w="2009" w:type="dxa"/>
            <w:tcBorders>
              <w:right w:val="single" w:color="auto" w:sz="4" w:space="0"/>
            </w:tcBorders>
            <w:vAlign w:val="center"/>
          </w:tcPr>
          <w:p>
            <w:pPr>
              <w:spacing w:line="400" w:lineRule="exact"/>
              <w:jc w:val="center"/>
              <w:rPr>
                <w:rFonts w:ascii="宋体" w:hAnsi="宋体" w:cs="宋体"/>
                <w:color w:val="auto"/>
                <w:highlight w:val="none"/>
              </w:rPr>
            </w:pPr>
          </w:p>
        </w:tc>
        <w:tc>
          <w:tcPr>
            <w:tcW w:w="3224" w:type="dxa"/>
            <w:tcBorders>
              <w:left w:val="single" w:color="auto" w:sz="4" w:space="0"/>
            </w:tcBorders>
            <w:vAlign w:val="center"/>
          </w:tcPr>
          <w:p>
            <w:pPr>
              <w:spacing w:line="400" w:lineRule="exact"/>
              <w:jc w:val="center"/>
              <w:rPr>
                <w:rFonts w:ascii="宋体" w:hAnsi="宋体" w:cs="宋体"/>
                <w:color w:val="auto"/>
                <w:highlight w:val="none"/>
              </w:rPr>
            </w:pPr>
          </w:p>
        </w:tc>
        <w:tc>
          <w:tcPr>
            <w:tcW w:w="1284" w:type="dxa"/>
            <w:vAlign w:val="center"/>
          </w:tcPr>
          <w:p>
            <w:pPr>
              <w:spacing w:line="400" w:lineRule="exact"/>
              <w:jc w:val="center"/>
              <w:rPr>
                <w:rFonts w:ascii="宋体" w:hAnsi="宋体" w:cs="宋体"/>
                <w:color w:val="auto"/>
                <w:highlight w:val="none"/>
              </w:rPr>
            </w:pPr>
          </w:p>
        </w:tc>
        <w:tc>
          <w:tcPr>
            <w:tcW w:w="1062" w:type="dxa"/>
            <w:tcBorders>
              <w:left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tcBorders>
              <w:right w:val="single" w:color="auto" w:sz="4" w:space="0"/>
            </w:tcBorders>
            <w:vAlign w:val="center"/>
          </w:tcPr>
          <w:p>
            <w:pPr>
              <w:spacing w:line="400" w:lineRule="exact"/>
              <w:rPr>
                <w:rFonts w:ascii="宋体" w:hAnsi="宋体" w:cs="宋体"/>
                <w:color w:val="auto"/>
                <w:highlight w:val="none"/>
              </w:rPr>
            </w:pPr>
          </w:p>
        </w:tc>
        <w:tc>
          <w:tcPr>
            <w:tcW w:w="2009" w:type="dxa"/>
            <w:tcBorders>
              <w:left w:val="single" w:color="auto" w:sz="4" w:space="0"/>
              <w:right w:val="single" w:color="auto" w:sz="4" w:space="0"/>
            </w:tcBorders>
            <w:vAlign w:val="center"/>
          </w:tcPr>
          <w:p>
            <w:pPr>
              <w:spacing w:line="400" w:lineRule="exact"/>
              <w:rPr>
                <w:rFonts w:ascii="宋体" w:hAnsi="宋体" w:cs="宋体"/>
                <w:color w:val="auto"/>
                <w:highlight w:val="none"/>
              </w:rPr>
            </w:pPr>
          </w:p>
        </w:tc>
        <w:tc>
          <w:tcPr>
            <w:tcW w:w="3224" w:type="dxa"/>
            <w:tcBorders>
              <w:left w:val="single" w:color="auto" w:sz="4" w:space="0"/>
              <w:right w:val="single" w:color="auto" w:sz="4" w:space="0"/>
            </w:tcBorders>
            <w:vAlign w:val="center"/>
          </w:tcPr>
          <w:p>
            <w:pPr>
              <w:spacing w:line="400" w:lineRule="exact"/>
              <w:rPr>
                <w:rFonts w:ascii="宋体" w:hAnsi="宋体" w:cs="宋体"/>
                <w:color w:val="auto"/>
                <w:highlight w:val="none"/>
              </w:rPr>
            </w:pPr>
          </w:p>
        </w:tc>
        <w:tc>
          <w:tcPr>
            <w:tcW w:w="1284" w:type="dxa"/>
            <w:tcBorders>
              <w:left w:val="single" w:color="auto" w:sz="4" w:space="0"/>
              <w:right w:val="single" w:color="auto" w:sz="4" w:space="0"/>
            </w:tcBorders>
            <w:vAlign w:val="center"/>
          </w:tcPr>
          <w:p>
            <w:pPr>
              <w:spacing w:line="400" w:lineRule="exact"/>
              <w:rPr>
                <w:rFonts w:ascii="宋体" w:hAnsi="宋体" w:cs="宋体"/>
                <w:color w:val="auto"/>
                <w:highlight w:val="none"/>
              </w:rPr>
            </w:pPr>
          </w:p>
        </w:tc>
        <w:tc>
          <w:tcPr>
            <w:tcW w:w="1062" w:type="dxa"/>
            <w:tcBorders>
              <w:left w:val="single" w:color="auto" w:sz="4" w:space="0"/>
            </w:tcBorders>
            <w:vAlign w:val="center"/>
          </w:tcPr>
          <w:p>
            <w:pPr>
              <w:spacing w:line="400" w:lineRule="exact"/>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vAlign w:val="center"/>
          </w:tcPr>
          <w:p>
            <w:pPr>
              <w:spacing w:line="400" w:lineRule="exact"/>
              <w:rPr>
                <w:rFonts w:ascii="宋体" w:hAnsi="宋体" w:cs="宋体"/>
                <w:color w:val="auto"/>
                <w:highlight w:val="none"/>
              </w:rPr>
            </w:pPr>
          </w:p>
        </w:tc>
        <w:tc>
          <w:tcPr>
            <w:tcW w:w="2009" w:type="dxa"/>
            <w:vAlign w:val="center"/>
          </w:tcPr>
          <w:p>
            <w:pPr>
              <w:spacing w:line="400" w:lineRule="exact"/>
              <w:rPr>
                <w:rFonts w:ascii="宋体" w:hAnsi="宋体" w:cs="宋体"/>
                <w:color w:val="auto"/>
                <w:highlight w:val="none"/>
              </w:rPr>
            </w:pPr>
          </w:p>
        </w:tc>
        <w:tc>
          <w:tcPr>
            <w:tcW w:w="3224" w:type="dxa"/>
            <w:vAlign w:val="center"/>
          </w:tcPr>
          <w:p>
            <w:pPr>
              <w:spacing w:line="400" w:lineRule="exact"/>
              <w:rPr>
                <w:rFonts w:ascii="宋体" w:hAnsi="宋体" w:cs="宋体"/>
                <w:color w:val="auto"/>
                <w:highlight w:val="none"/>
              </w:rPr>
            </w:pPr>
          </w:p>
        </w:tc>
        <w:tc>
          <w:tcPr>
            <w:tcW w:w="1284" w:type="dxa"/>
            <w:tcBorders>
              <w:right w:val="single" w:color="auto" w:sz="4" w:space="0"/>
            </w:tcBorders>
            <w:vAlign w:val="center"/>
          </w:tcPr>
          <w:p>
            <w:pPr>
              <w:spacing w:line="400" w:lineRule="exact"/>
              <w:rPr>
                <w:rFonts w:ascii="宋体" w:hAnsi="宋体" w:cs="宋体"/>
                <w:color w:val="auto"/>
                <w:highlight w:val="none"/>
              </w:rPr>
            </w:pPr>
          </w:p>
        </w:tc>
        <w:tc>
          <w:tcPr>
            <w:tcW w:w="1062" w:type="dxa"/>
            <w:tcBorders>
              <w:left w:val="single" w:color="auto" w:sz="4" w:space="0"/>
            </w:tcBorders>
            <w:vAlign w:val="center"/>
          </w:tcPr>
          <w:p>
            <w:pPr>
              <w:spacing w:line="400" w:lineRule="exact"/>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vAlign w:val="center"/>
          </w:tcPr>
          <w:p>
            <w:pPr>
              <w:spacing w:line="400" w:lineRule="exact"/>
              <w:jc w:val="center"/>
              <w:rPr>
                <w:rFonts w:ascii="宋体" w:hAnsi="宋体" w:cs="宋体"/>
                <w:color w:val="auto"/>
                <w:highlight w:val="none"/>
              </w:rPr>
            </w:pPr>
          </w:p>
        </w:tc>
        <w:tc>
          <w:tcPr>
            <w:tcW w:w="2009" w:type="dxa"/>
            <w:vAlign w:val="center"/>
          </w:tcPr>
          <w:p>
            <w:pPr>
              <w:spacing w:line="400" w:lineRule="exact"/>
              <w:jc w:val="center"/>
              <w:rPr>
                <w:rFonts w:ascii="宋体" w:hAnsi="宋体" w:cs="宋体"/>
                <w:color w:val="auto"/>
                <w:highlight w:val="none"/>
              </w:rPr>
            </w:pPr>
          </w:p>
        </w:tc>
        <w:tc>
          <w:tcPr>
            <w:tcW w:w="3224" w:type="dxa"/>
            <w:vAlign w:val="center"/>
          </w:tcPr>
          <w:p>
            <w:pPr>
              <w:spacing w:line="400" w:lineRule="exact"/>
              <w:jc w:val="center"/>
              <w:rPr>
                <w:rFonts w:ascii="宋体" w:hAnsi="宋体" w:cs="宋体"/>
                <w:color w:val="auto"/>
                <w:highlight w:val="none"/>
              </w:rPr>
            </w:pPr>
          </w:p>
        </w:tc>
        <w:tc>
          <w:tcPr>
            <w:tcW w:w="1284" w:type="dxa"/>
            <w:tcBorders>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left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16" w:type="dxa"/>
            <w:vAlign w:val="center"/>
          </w:tcPr>
          <w:p>
            <w:pPr>
              <w:spacing w:line="400" w:lineRule="exact"/>
              <w:jc w:val="center"/>
              <w:rPr>
                <w:rFonts w:ascii="宋体" w:hAnsi="宋体" w:cs="宋体"/>
                <w:color w:val="auto"/>
                <w:highlight w:val="none"/>
              </w:rPr>
            </w:pPr>
          </w:p>
        </w:tc>
        <w:tc>
          <w:tcPr>
            <w:tcW w:w="2009" w:type="dxa"/>
            <w:vAlign w:val="center"/>
          </w:tcPr>
          <w:p>
            <w:pPr>
              <w:spacing w:line="400" w:lineRule="exact"/>
              <w:jc w:val="center"/>
              <w:rPr>
                <w:rFonts w:ascii="宋体" w:hAnsi="宋体" w:cs="宋体"/>
                <w:color w:val="auto"/>
                <w:highlight w:val="none"/>
              </w:rPr>
            </w:pPr>
          </w:p>
        </w:tc>
        <w:tc>
          <w:tcPr>
            <w:tcW w:w="3224" w:type="dxa"/>
            <w:vAlign w:val="center"/>
          </w:tcPr>
          <w:p>
            <w:pPr>
              <w:spacing w:line="400" w:lineRule="exact"/>
              <w:jc w:val="center"/>
              <w:rPr>
                <w:rFonts w:ascii="宋体" w:hAnsi="宋体" w:cs="宋体"/>
                <w:color w:val="auto"/>
                <w:highlight w:val="none"/>
              </w:rPr>
            </w:pPr>
          </w:p>
        </w:tc>
        <w:tc>
          <w:tcPr>
            <w:tcW w:w="1284" w:type="dxa"/>
            <w:tcBorders>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left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916" w:type="dxa"/>
            <w:tcBorders>
              <w:bottom w:val="single" w:color="auto" w:sz="4" w:space="0"/>
            </w:tcBorders>
            <w:vAlign w:val="center"/>
          </w:tcPr>
          <w:p>
            <w:pPr>
              <w:spacing w:line="400" w:lineRule="exact"/>
              <w:jc w:val="center"/>
              <w:rPr>
                <w:rFonts w:ascii="宋体" w:hAnsi="宋体" w:cs="宋体"/>
                <w:color w:val="auto"/>
                <w:highlight w:val="none"/>
              </w:rPr>
            </w:pPr>
          </w:p>
        </w:tc>
        <w:tc>
          <w:tcPr>
            <w:tcW w:w="2009" w:type="dxa"/>
            <w:tcBorders>
              <w:bottom w:val="single" w:color="auto" w:sz="4" w:space="0"/>
            </w:tcBorders>
            <w:vAlign w:val="center"/>
          </w:tcPr>
          <w:p>
            <w:pPr>
              <w:spacing w:line="400" w:lineRule="exact"/>
              <w:jc w:val="center"/>
              <w:rPr>
                <w:rFonts w:ascii="宋体" w:hAnsi="宋体" w:cs="宋体"/>
                <w:color w:val="auto"/>
                <w:highlight w:val="none"/>
              </w:rPr>
            </w:pPr>
          </w:p>
        </w:tc>
        <w:tc>
          <w:tcPr>
            <w:tcW w:w="3224" w:type="dxa"/>
            <w:tcBorders>
              <w:bottom w:val="single" w:color="auto" w:sz="4" w:space="0"/>
            </w:tcBorders>
            <w:vAlign w:val="center"/>
          </w:tcPr>
          <w:p>
            <w:pPr>
              <w:spacing w:line="400" w:lineRule="exact"/>
              <w:jc w:val="center"/>
              <w:rPr>
                <w:rFonts w:ascii="宋体" w:hAnsi="宋体" w:cs="宋体"/>
                <w:color w:val="auto"/>
                <w:highlight w:val="none"/>
              </w:rPr>
            </w:pPr>
          </w:p>
        </w:tc>
        <w:tc>
          <w:tcPr>
            <w:tcW w:w="1284" w:type="dxa"/>
            <w:tcBorders>
              <w:bottom w:val="single" w:color="auto" w:sz="4" w:space="0"/>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left w:val="single" w:color="auto" w:sz="4" w:space="0"/>
              <w:bottom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916"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2009"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3224"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1284" w:type="dxa"/>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916"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2009"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3224"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1284" w:type="dxa"/>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916"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2009"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3224" w:type="dxa"/>
            <w:tcBorders>
              <w:top w:val="single" w:color="auto" w:sz="4" w:space="0"/>
              <w:bottom w:val="single" w:color="auto" w:sz="4" w:space="0"/>
            </w:tcBorders>
            <w:vAlign w:val="center"/>
          </w:tcPr>
          <w:p>
            <w:pPr>
              <w:spacing w:line="400" w:lineRule="exact"/>
              <w:jc w:val="center"/>
              <w:rPr>
                <w:rFonts w:ascii="宋体" w:hAnsi="宋体" w:cs="宋体"/>
                <w:color w:val="auto"/>
                <w:highlight w:val="none"/>
              </w:rPr>
            </w:pPr>
          </w:p>
        </w:tc>
        <w:tc>
          <w:tcPr>
            <w:tcW w:w="1284" w:type="dxa"/>
            <w:tcBorders>
              <w:top w:val="single" w:color="auto" w:sz="4" w:space="0"/>
              <w:bottom w:val="single" w:color="auto" w:sz="4" w:space="0"/>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top w:val="single" w:color="auto" w:sz="4" w:space="0"/>
              <w:left w:val="single" w:color="auto" w:sz="4" w:space="0"/>
              <w:bottom w:val="single" w:color="auto" w:sz="4" w:space="0"/>
            </w:tcBorders>
            <w:vAlign w:val="center"/>
          </w:tcPr>
          <w:p>
            <w:pPr>
              <w:spacing w:line="400" w:lineRule="exact"/>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916" w:type="dxa"/>
            <w:tcBorders>
              <w:top w:val="single" w:color="auto" w:sz="4" w:space="0"/>
            </w:tcBorders>
            <w:vAlign w:val="center"/>
          </w:tcPr>
          <w:p>
            <w:pPr>
              <w:spacing w:line="400" w:lineRule="exact"/>
              <w:jc w:val="center"/>
              <w:rPr>
                <w:rFonts w:ascii="宋体" w:hAnsi="宋体" w:cs="宋体"/>
                <w:color w:val="auto"/>
                <w:highlight w:val="none"/>
              </w:rPr>
            </w:pPr>
          </w:p>
        </w:tc>
        <w:tc>
          <w:tcPr>
            <w:tcW w:w="2009" w:type="dxa"/>
            <w:tcBorders>
              <w:top w:val="single" w:color="auto" w:sz="4" w:space="0"/>
            </w:tcBorders>
            <w:vAlign w:val="center"/>
          </w:tcPr>
          <w:p>
            <w:pPr>
              <w:spacing w:line="400" w:lineRule="exact"/>
              <w:jc w:val="center"/>
              <w:rPr>
                <w:rFonts w:ascii="宋体" w:hAnsi="宋体" w:cs="宋体"/>
                <w:color w:val="auto"/>
                <w:highlight w:val="none"/>
              </w:rPr>
            </w:pPr>
          </w:p>
        </w:tc>
        <w:tc>
          <w:tcPr>
            <w:tcW w:w="3224" w:type="dxa"/>
            <w:tcBorders>
              <w:top w:val="single" w:color="auto" w:sz="4" w:space="0"/>
            </w:tcBorders>
            <w:vAlign w:val="center"/>
          </w:tcPr>
          <w:p>
            <w:pPr>
              <w:spacing w:line="400" w:lineRule="exact"/>
              <w:jc w:val="center"/>
              <w:rPr>
                <w:rFonts w:ascii="宋体" w:hAnsi="宋体" w:cs="宋体"/>
                <w:color w:val="auto"/>
                <w:highlight w:val="none"/>
              </w:rPr>
            </w:pPr>
          </w:p>
        </w:tc>
        <w:tc>
          <w:tcPr>
            <w:tcW w:w="1284" w:type="dxa"/>
            <w:tcBorders>
              <w:top w:val="single" w:color="auto" w:sz="4" w:space="0"/>
              <w:right w:val="single" w:color="auto" w:sz="4" w:space="0"/>
            </w:tcBorders>
            <w:vAlign w:val="center"/>
          </w:tcPr>
          <w:p>
            <w:pPr>
              <w:spacing w:line="400" w:lineRule="exact"/>
              <w:jc w:val="center"/>
              <w:rPr>
                <w:rFonts w:ascii="宋体" w:hAnsi="宋体" w:cs="宋体"/>
                <w:color w:val="auto"/>
                <w:highlight w:val="none"/>
              </w:rPr>
            </w:pPr>
          </w:p>
        </w:tc>
        <w:tc>
          <w:tcPr>
            <w:tcW w:w="1062" w:type="dxa"/>
            <w:tcBorders>
              <w:top w:val="single" w:color="auto" w:sz="4" w:space="0"/>
              <w:left w:val="single" w:color="auto" w:sz="4" w:space="0"/>
            </w:tcBorders>
            <w:vAlign w:val="center"/>
          </w:tcPr>
          <w:p>
            <w:pPr>
              <w:spacing w:line="400" w:lineRule="exact"/>
              <w:jc w:val="center"/>
              <w:rPr>
                <w:rFonts w:ascii="宋体" w:hAnsi="宋体" w:cs="宋体"/>
                <w:color w:val="auto"/>
                <w:highlight w:val="none"/>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注：供应商（仅限于供应商自己的）以上业绩需提供有关书面证明材料。“合同金额”需提供合同复印件。</w:t>
      </w:r>
    </w:p>
    <w:p>
      <w:pPr>
        <w:spacing w:line="400" w:lineRule="exact"/>
        <w:ind w:left="360"/>
        <w:jc w:val="center"/>
        <w:rPr>
          <w:rFonts w:ascii="宋体" w:hAnsi="宋体" w:cs="宋体"/>
          <w:color w:val="auto"/>
          <w:sz w:val="24"/>
          <w:highlight w:val="none"/>
        </w:rPr>
      </w:pPr>
    </w:p>
    <w:p>
      <w:pPr>
        <w:jc w:val="left"/>
        <w:rPr>
          <w:rFonts w:ascii="宋体" w:hAnsi="宋体" w:cs="宋体"/>
          <w:color w:val="auto"/>
          <w:sz w:val="24"/>
          <w:highlight w:val="none"/>
        </w:rPr>
      </w:pPr>
    </w:p>
    <w:p>
      <w:pPr>
        <w:widowControl/>
        <w:spacing w:line="360" w:lineRule="atLeast"/>
        <w:ind w:firstLine="470" w:firstLineChars="196"/>
        <w:jc w:val="left"/>
        <w:outlineLvl w:val="1"/>
        <w:rPr>
          <w:rFonts w:ascii="宋体" w:hAnsi="宋体" w:cs="宋体"/>
          <w:color w:val="auto"/>
          <w:sz w:val="24"/>
          <w:highlight w:val="none"/>
        </w:rPr>
      </w:pPr>
      <w:bookmarkStart w:id="246" w:name="_Toc31819"/>
      <w:r>
        <w:rPr>
          <w:rFonts w:hint="eastAsia" w:ascii="宋体" w:hAnsi="宋体" w:cs="宋体"/>
          <w:color w:val="auto"/>
          <w:sz w:val="24"/>
          <w:highlight w:val="none"/>
        </w:rPr>
        <w:t>供应商名称：XXXX（单位公章）。</w:t>
      </w:r>
      <w:bookmarkEnd w:id="246"/>
    </w:p>
    <w:p>
      <w:pPr>
        <w:widowControl/>
        <w:spacing w:line="360" w:lineRule="atLeast"/>
        <w:ind w:firstLine="470" w:firstLineChars="196"/>
        <w:jc w:val="left"/>
        <w:outlineLvl w:val="1"/>
        <w:rPr>
          <w:rFonts w:ascii="宋体" w:hAnsi="宋体" w:cs="宋体"/>
          <w:color w:val="auto"/>
          <w:sz w:val="24"/>
          <w:highlight w:val="none"/>
        </w:rPr>
      </w:pPr>
      <w:bookmarkStart w:id="247" w:name="_Toc30627"/>
      <w:r>
        <w:rPr>
          <w:rFonts w:hint="eastAsia" w:ascii="宋体" w:hAnsi="宋体" w:cs="宋体"/>
          <w:color w:val="auto"/>
          <w:sz w:val="24"/>
          <w:highlight w:val="none"/>
        </w:rPr>
        <w:t>法定代表人/单位负责人或授权代表（签字或加盖个人印章）：XXXX。</w:t>
      </w:r>
      <w:bookmarkEnd w:id="247"/>
    </w:p>
    <w:p>
      <w:pPr>
        <w:widowControl/>
        <w:spacing w:line="360" w:lineRule="atLeast"/>
        <w:ind w:firstLine="470" w:firstLineChars="196"/>
        <w:jc w:val="left"/>
        <w:outlineLvl w:val="1"/>
        <w:rPr>
          <w:rFonts w:ascii="宋体" w:hAnsi="宋体" w:cs="宋体"/>
          <w:color w:val="auto"/>
          <w:sz w:val="24"/>
          <w:highlight w:val="none"/>
        </w:rPr>
      </w:pPr>
      <w:bookmarkStart w:id="248" w:name="_Toc23944"/>
      <w:r>
        <w:rPr>
          <w:rFonts w:hint="eastAsia" w:ascii="宋体" w:hAnsi="宋体" w:cs="宋体"/>
          <w:color w:val="auto"/>
          <w:sz w:val="24"/>
          <w:highlight w:val="none"/>
        </w:rPr>
        <w:t>日    期：XXXX。</w:t>
      </w:r>
      <w:bookmarkEnd w:id="248"/>
    </w:p>
    <w:p>
      <w:pPr>
        <w:jc w:val="left"/>
        <w:rPr>
          <w:rFonts w:ascii="宋体" w:hAnsi="宋体" w:cs="宋体"/>
          <w:color w:val="auto"/>
          <w:sz w:val="24"/>
          <w:highlight w:val="none"/>
        </w:rPr>
      </w:pPr>
    </w:p>
    <w:p>
      <w:pPr>
        <w:widowControl/>
        <w:jc w:val="left"/>
        <w:rPr>
          <w:rFonts w:ascii="宋体" w:hAnsi="宋体" w:cs="宋体"/>
          <w:color w:val="auto"/>
          <w:sz w:val="24"/>
          <w:highlight w:val="none"/>
        </w:rPr>
      </w:pPr>
      <w:bookmarkStart w:id="249" w:name="PO_默认文件内容_22"/>
      <w:r>
        <w:rPr>
          <w:rFonts w:hint="eastAsia" w:ascii="宋体" w:hAnsi="宋体" w:cs="宋体"/>
          <w:b/>
          <w:color w:val="auto"/>
          <w:sz w:val="32"/>
          <w:highlight w:val="none"/>
        </w:rPr>
        <w:br w:type="page"/>
      </w:r>
      <w:bookmarkStart w:id="250" w:name="_Toc217446087"/>
    </w:p>
    <w:p>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6、服务要求应答表</w:t>
      </w:r>
    </w:p>
    <w:p>
      <w:pPr>
        <w:jc w:val="center"/>
        <w:rPr>
          <w:rFonts w:ascii="宋体" w:hAnsi="宋体" w:cs="宋体"/>
          <w:b/>
          <w:bCs/>
          <w:color w:val="auto"/>
          <w:sz w:val="32"/>
          <w:szCs w:val="32"/>
          <w:highlight w:val="none"/>
        </w:rPr>
      </w:pPr>
    </w:p>
    <w:tbl>
      <w:tblPr>
        <w:tblStyle w:val="32"/>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529"/>
        <w:gridCol w:w="3210"/>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3529"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采购文件要求</w:t>
            </w:r>
          </w:p>
        </w:tc>
        <w:tc>
          <w:tcPr>
            <w:tcW w:w="321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响应文件响应</w:t>
            </w:r>
          </w:p>
        </w:tc>
        <w:tc>
          <w:tcPr>
            <w:tcW w:w="156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color w:val="auto"/>
                <w:sz w:val="24"/>
                <w:highlight w:val="none"/>
              </w:rPr>
            </w:pPr>
          </w:p>
        </w:tc>
        <w:tc>
          <w:tcPr>
            <w:tcW w:w="3529" w:type="dxa"/>
          </w:tcPr>
          <w:p>
            <w:pPr>
              <w:jc w:val="center"/>
              <w:rPr>
                <w:rFonts w:ascii="宋体" w:hAnsi="宋体" w:cs="宋体"/>
                <w:color w:val="auto"/>
                <w:sz w:val="24"/>
                <w:highlight w:val="none"/>
              </w:rPr>
            </w:pPr>
          </w:p>
        </w:tc>
        <w:tc>
          <w:tcPr>
            <w:tcW w:w="3210" w:type="dxa"/>
          </w:tcPr>
          <w:p>
            <w:pPr>
              <w:jc w:val="center"/>
              <w:rPr>
                <w:rFonts w:ascii="宋体" w:hAnsi="宋体" w:cs="宋体"/>
                <w:color w:val="auto"/>
                <w:sz w:val="24"/>
                <w:highlight w:val="none"/>
              </w:rPr>
            </w:pPr>
          </w:p>
        </w:tc>
        <w:tc>
          <w:tcPr>
            <w:tcW w:w="1565" w:type="dxa"/>
          </w:tcPr>
          <w:p>
            <w:pPr>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color w:val="auto"/>
                <w:sz w:val="24"/>
                <w:highlight w:val="none"/>
              </w:rPr>
            </w:pPr>
          </w:p>
        </w:tc>
        <w:tc>
          <w:tcPr>
            <w:tcW w:w="3529" w:type="dxa"/>
          </w:tcPr>
          <w:p>
            <w:pPr>
              <w:jc w:val="center"/>
              <w:rPr>
                <w:rFonts w:ascii="宋体" w:hAnsi="宋体" w:cs="宋体"/>
                <w:color w:val="auto"/>
                <w:sz w:val="24"/>
                <w:highlight w:val="none"/>
              </w:rPr>
            </w:pPr>
          </w:p>
        </w:tc>
        <w:tc>
          <w:tcPr>
            <w:tcW w:w="3210" w:type="dxa"/>
          </w:tcPr>
          <w:p>
            <w:pPr>
              <w:jc w:val="center"/>
              <w:rPr>
                <w:rFonts w:ascii="宋体" w:hAnsi="宋体" w:cs="宋体"/>
                <w:color w:val="auto"/>
                <w:sz w:val="24"/>
                <w:highlight w:val="none"/>
              </w:rPr>
            </w:pPr>
          </w:p>
        </w:tc>
        <w:tc>
          <w:tcPr>
            <w:tcW w:w="1565" w:type="dxa"/>
          </w:tcPr>
          <w:p>
            <w:pPr>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color w:val="auto"/>
                <w:sz w:val="24"/>
                <w:highlight w:val="none"/>
              </w:rPr>
            </w:pPr>
          </w:p>
        </w:tc>
        <w:tc>
          <w:tcPr>
            <w:tcW w:w="3529" w:type="dxa"/>
          </w:tcPr>
          <w:p>
            <w:pPr>
              <w:jc w:val="center"/>
              <w:rPr>
                <w:rFonts w:ascii="宋体" w:hAnsi="宋体" w:cs="宋体"/>
                <w:color w:val="auto"/>
                <w:sz w:val="24"/>
                <w:highlight w:val="none"/>
              </w:rPr>
            </w:pPr>
          </w:p>
        </w:tc>
        <w:tc>
          <w:tcPr>
            <w:tcW w:w="3210" w:type="dxa"/>
          </w:tcPr>
          <w:p>
            <w:pPr>
              <w:jc w:val="center"/>
              <w:rPr>
                <w:rFonts w:ascii="宋体" w:hAnsi="宋体" w:cs="宋体"/>
                <w:color w:val="auto"/>
                <w:sz w:val="24"/>
                <w:highlight w:val="none"/>
              </w:rPr>
            </w:pPr>
          </w:p>
        </w:tc>
        <w:tc>
          <w:tcPr>
            <w:tcW w:w="1565" w:type="dxa"/>
          </w:tcPr>
          <w:p>
            <w:pPr>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6" w:type="dxa"/>
          </w:tcPr>
          <w:p>
            <w:pPr>
              <w:jc w:val="center"/>
              <w:rPr>
                <w:rFonts w:ascii="宋体" w:hAnsi="宋体" w:cs="宋体"/>
                <w:color w:val="auto"/>
                <w:sz w:val="24"/>
                <w:highlight w:val="none"/>
              </w:rPr>
            </w:pPr>
          </w:p>
        </w:tc>
        <w:tc>
          <w:tcPr>
            <w:tcW w:w="3529" w:type="dxa"/>
          </w:tcPr>
          <w:p>
            <w:pPr>
              <w:jc w:val="center"/>
              <w:rPr>
                <w:rFonts w:ascii="宋体" w:hAnsi="宋体" w:cs="宋体"/>
                <w:color w:val="auto"/>
                <w:sz w:val="24"/>
                <w:highlight w:val="none"/>
              </w:rPr>
            </w:pPr>
          </w:p>
        </w:tc>
        <w:tc>
          <w:tcPr>
            <w:tcW w:w="3210" w:type="dxa"/>
          </w:tcPr>
          <w:p>
            <w:pPr>
              <w:jc w:val="center"/>
              <w:rPr>
                <w:rFonts w:ascii="宋体" w:hAnsi="宋体" w:cs="宋体"/>
                <w:color w:val="auto"/>
                <w:sz w:val="24"/>
                <w:highlight w:val="none"/>
              </w:rPr>
            </w:pPr>
          </w:p>
        </w:tc>
        <w:tc>
          <w:tcPr>
            <w:tcW w:w="1565" w:type="dxa"/>
          </w:tcPr>
          <w:p>
            <w:pPr>
              <w:jc w:val="center"/>
              <w:rPr>
                <w:rFonts w:ascii="宋体" w:hAnsi="宋体" w:cs="宋体"/>
                <w:color w:val="auto"/>
                <w:sz w:val="24"/>
                <w:highlight w:val="none"/>
              </w:rPr>
            </w:pPr>
          </w:p>
        </w:tc>
      </w:tr>
    </w:tbl>
    <w:p>
      <w:pPr>
        <w:wordWrap w:val="0"/>
        <w:topLinePunct/>
        <w:ind w:firstLine="48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注：1、本表只填写响应文件中与磋商文件有偏离（包括正偏离和负偏离）的内容，响应文件中技术、服务要求与磋商文件要求完全一致的，可以不用在此表中列出。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2、供应商必须据实填写，不得虚假响应，否则将取消其磋商或成交资格。</w:t>
      </w:r>
    </w:p>
    <w:p>
      <w:pPr>
        <w:spacing w:line="360" w:lineRule="auto"/>
        <w:ind w:firstLine="482" w:firstLineChars="200"/>
        <w:rPr>
          <w:rFonts w:ascii="宋体" w:hAnsi="宋体" w:cs="宋体"/>
          <w:b/>
          <w:color w:val="auto"/>
          <w:sz w:val="24"/>
          <w:highlight w:val="none"/>
        </w:rPr>
      </w:pPr>
    </w:p>
    <w:p>
      <w:pPr>
        <w:adjustRightInd w:val="0"/>
        <w:spacing w:line="360" w:lineRule="auto"/>
        <w:ind w:firstLine="480" w:firstLineChars="200"/>
        <w:jc w:val="left"/>
        <w:rPr>
          <w:rFonts w:ascii="宋体" w:hAnsi="宋体" w:cs="宋体"/>
          <w:color w:val="auto"/>
          <w:sz w:val="24"/>
          <w:highlight w:val="none"/>
        </w:rPr>
      </w:pPr>
    </w:p>
    <w:p>
      <w:pPr>
        <w:adjustRightIn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供应商名称：XXX（盖单位公章）</w:t>
      </w:r>
    </w:p>
    <w:p>
      <w:pPr>
        <w:adjustRightInd w:val="0"/>
        <w:spacing w:line="360" w:lineRule="auto"/>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法定代表人/单位负责人或授权代表</w:t>
      </w:r>
      <w:r>
        <w:rPr>
          <w:rFonts w:hint="eastAsia" w:ascii="宋体" w:hAnsi="宋体" w:cs="宋体"/>
          <w:color w:val="auto"/>
          <w:sz w:val="24"/>
          <w:highlight w:val="none"/>
        </w:rPr>
        <w:t>（签字或加盖个人印章）</w:t>
      </w:r>
      <w:r>
        <w:rPr>
          <w:rFonts w:hint="eastAsia" w:ascii="宋体" w:hAnsi="宋体" w:cs="宋体"/>
          <w:bCs/>
          <w:color w:val="auto"/>
          <w:sz w:val="24"/>
          <w:highlight w:val="none"/>
        </w:rPr>
        <w:t>：XXX</w:t>
      </w:r>
    </w:p>
    <w:p>
      <w:pPr>
        <w:adjustRightInd w:val="0"/>
        <w:spacing w:line="360" w:lineRule="auto"/>
        <w:ind w:firstLine="540" w:firstLineChars="225"/>
        <w:jc w:val="left"/>
        <w:rPr>
          <w:rFonts w:ascii="宋体" w:hAnsi="宋体" w:cs="宋体"/>
          <w:bCs/>
          <w:color w:val="auto"/>
          <w:sz w:val="24"/>
          <w:highlight w:val="none"/>
        </w:rPr>
      </w:pPr>
      <w:r>
        <w:rPr>
          <w:rFonts w:hint="eastAsia" w:ascii="宋体" w:hAnsi="宋体" w:cs="宋体"/>
          <w:bCs/>
          <w:color w:val="auto"/>
          <w:sz w:val="24"/>
          <w:highlight w:val="none"/>
        </w:rPr>
        <w:t>日期</w:t>
      </w:r>
      <w:r>
        <w:rPr>
          <w:rFonts w:hint="eastAsia" w:ascii="宋体" w:hAnsi="宋体" w:cs="宋体"/>
          <w:color w:val="auto"/>
          <w:sz w:val="24"/>
          <w:highlight w:val="none"/>
        </w:rPr>
        <w:t>：</w:t>
      </w:r>
      <w:r>
        <w:rPr>
          <w:rFonts w:hint="eastAsia" w:ascii="宋体" w:hAnsi="宋体" w:cs="宋体"/>
          <w:bCs/>
          <w:color w:val="auto"/>
          <w:sz w:val="24"/>
          <w:highlight w:val="none"/>
        </w:rPr>
        <w:t>XXX年XXX月XXX日</w:t>
      </w:r>
    </w:p>
    <w:p>
      <w:pPr>
        <w:widowControl/>
        <w:spacing w:line="36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pStyle w:val="18"/>
        <w:tabs>
          <w:tab w:val="left" w:pos="0"/>
        </w:tabs>
        <w:jc w:val="center"/>
        <w:rPr>
          <w:rFonts w:ascii="宋体" w:hAnsi="宋体" w:cs="宋体"/>
          <w:b/>
          <w:color w:val="auto"/>
          <w:sz w:val="32"/>
          <w:szCs w:val="32"/>
          <w:highlight w:val="none"/>
        </w:rPr>
      </w:pPr>
      <w:r>
        <w:rPr>
          <w:rFonts w:hint="eastAsia" w:ascii="宋体" w:hAnsi="宋体" w:cs="宋体"/>
          <w:b/>
          <w:color w:val="auto"/>
          <w:sz w:val="32"/>
          <w:szCs w:val="32"/>
          <w:highlight w:val="none"/>
        </w:rPr>
        <w:t>7、 商务应答表</w:t>
      </w:r>
    </w:p>
    <w:tbl>
      <w:tblPr>
        <w:tblStyle w:val="32"/>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3552"/>
        <w:gridCol w:w="3690"/>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64"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3552"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采购文件要求</w:t>
            </w:r>
          </w:p>
        </w:tc>
        <w:tc>
          <w:tcPr>
            <w:tcW w:w="3690"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响应文件响应</w:t>
            </w:r>
          </w:p>
        </w:tc>
        <w:tc>
          <w:tcPr>
            <w:tcW w:w="120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64" w:type="dxa"/>
          </w:tcPr>
          <w:p>
            <w:pPr>
              <w:jc w:val="center"/>
              <w:rPr>
                <w:rFonts w:ascii="宋体" w:hAnsi="宋体" w:cs="宋体"/>
                <w:color w:val="auto"/>
                <w:sz w:val="24"/>
                <w:highlight w:val="none"/>
              </w:rPr>
            </w:pPr>
          </w:p>
        </w:tc>
        <w:tc>
          <w:tcPr>
            <w:tcW w:w="3552" w:type="dxa"/>
          </w:tcPr>
          <w:p>
            <w:pPr>
              <w:jc w:val="center"/>
              <w:rPr>
                <w:rFonts w:ascii="宋体" w:hAnsi="宋体" w:cs="宋体"/>
                <w:color w:val="auto"/>
                <w:sz w:val="24"/>
                <w:highlight w:val="none"/>
              </w:rPr>
            </w:pPr>
          </w:p>
        </w:tc>
        <w:tc>
          <w:tcPr>
            <w:tcW w:w="3690" w:type="dxa"/>
          </w:tcPr>
          <w:p>
            <w:pPr>
              <w:jc w:val="center"/>
              <w:rPr>
                <w:rFonts w:ascii="宋体" w:hAnsi="宋体" w:cs="宋体"/>
                <w:color w:val="auto"/>
                <w:sz w:val="24"/>
                <w:highlight w:val="none"/>
              </w:rPr>
            </w:pPr>
          </w:p>
        </w:tc>
        <w:tc>
          <w:tcPr>
            <w:tcW w:w="1206" w:type="dxa"/>
          </w:tcPr>
          <w:p>
            <w:pPr>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64" w:type="dxa"/>
          </w:tcPr>
          <w:p>
            <w:pPr>
              <w:jc w:val="center"/>
              <w:rPr>
                <w:rFonts w:ascii="宋体" w:hAnsi="宋体" w:cs="宋体"/>
                <w:color w:val="auto"/>
                <w:sz w:val="24"/>
                <w:highlight w:val="none"/>
              </w:rPr>
            </w:pPr>
          </w:p>
        </w:tc>
        <w:tc>
          <w:tcPr>
            <w:tcW w:w="3552" w:type="dxa"/>
          </w:tcPr>
          <w:p>
            <w:pPr>
              <w:jc w:val="center"/>
              <w:rPr>
                <w:rFonts w:ascii="宋体" w:hAnsi="宋体" w:cs="宋体"/>
                <w:color w:val="auto"/>
                <w:sz w:val="24"/>
                <w:highlight w:val="none"/>
              </w:rPr>
            </w:pPr>
          </w:p>
        </w:tc>
        <w:tc>
          <w:tcPr>
            <w:tcW w:w="3690" w:type="dxa"/>
          </w:tcPr>
          <w:p>
            <w:pPr>
              <w:jc w:val="center"/>
              <w:rPr>
                <w:rFonts w:ascii="宋体" w:hAnsi="宋体" w:cs="宋体"/>
                <w:color w:val="auto"/>
                <w:sz w:val="24"/>
                <w:highlight w:val="none"/>
              </w:rPr>
            </w:pPr>
          </w:p>
        </w:tc>
        <w:tc>
          <w:tcPr>
            <w:tcW w:w="1206" w:type="dxa"/>
          </w:tcPr>
          <w:p>
            <w:pPr>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64" w:type="dxa"/>
          </w:tcPr>
          <w:p>
            <w:pPr>
              <w:jc w:val="center"/>
              <w:rPr>
                <w:rFonts w:ascii="宋体" w:hAnsi="宋体" w:cs="宋体"/>
                <w:color w:val="auto"/>
                <w:sz w:val="24"/>
                <w:highlight w:val="none"/>
              </w:rPr>
            </w:pPr>
          </w:p>
        </w:tc>
        <w:tc>
          <w:tcPr>
            <w:tcW w:w="3552" w:type="dxa"/>
          </w:tcPr>
          <w:p>
            <w:pPr>
              <w:jc w:val="center"/>
              <w:rPr>
                <w:rFonts w:ascii="宋体" w:hAnsi="宋体" w:cs="宋体"/>
                <w:color w:val="auto"/>
                <w:sz w:val="24"/>
                <w:highlight w:val="none"/>
              </w:rPr>
            </w:pPr>
          </w:p>
        </w:tc>
        <w:tc>
          <w:tcPr>
            <w:tcW w:w="3690" w:type="dxa"/>
          </w:tcPr>
          <w:p>
            <w:pPr>
              <w:jc w:val="center"/>
              <w:rPr>
                <w:rFonts w:ascii="宋体" w:hAnsi="宋体" w:cs="宋体"/>
                <w:color w:val="auto"/>
                <w:sz w:val="24"/>
                <w:highlight w:val="none"/>
              </w:rPr>
            </w:pPr>
          </w:p>
        </w:tc>
        <w:tc>
          <w:tcPr>
            <w:tcW w:w="1206" w:type="dxa"/>
          </w:tcPr>
          <w:p>
            <w:pPr>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964" w:type="dxa"/>
          </w:tcPr>
          <w:p>
            <w:pPr>
              <w:jc w:val="center"/>
              <w:rPr>
                <w:rFonts w:ascii="宋体" w:hAnsi="宋体" w:cs="宋体"/>
                <w:color w:val="auto"/>
                <w:sz w:val="24"/>
                <w:highlight w:val="none"/>
              </w:rPr>
            </w:pPr>
          </w:p>
        </w:tc>
        <w:tc>
          <w:tcPr>
            <w:tcW w:w="3552" w:type="dxa"/>
          </w:tcPr>
          <w:p>
            <w:pPr>
              <w:jc w:val="center"/>
              <w:rPr>
                <w:rFonts w:ascii="宋体" w:hAnsi="宋体" w:cs="宋体"/>
                <w:color w:val="auto"/>
                <w:sz w:val="24"/>
                <w:highlight w:val="none"/>
              </w:rPr>
            </w:pPr>
          </w:p>
        </w:tc>
        <w:tc>
          <w:tcPr>
            <w:tcW w:w="3690" w:type="dxa"/>
          </w:tcPr>
          <w:p>
            <w:pPr>
              <w:jc w:val="center"/>
              <w:rPr>
                <w:rFonts w:ascii="宋体" w:hAnsi="宋体" w:cs="宋体"/>
                <w:color w:val="auto"/>
                <w:sz w:val="24"/>
                <w:highlight w:val="none"/>
              </w:rPr>
            </w:pPr>
          </w:p>
        </w:tc>
        <w:tc>
          <w:tcPr>
            <w:tcW w:w="1206" w:type="dxa"/>
          </w:tcPr>
          <w:p>
            <w:pPr>
              <w:jc w:val="center"/>
              <w:rPr>
                <w:rFonts w:ascii="宋体" w:hAnsi="宋体" w:cs="宋体"/>
                <w:color w:val="auto"/>
                <w:sz w:val="24"/>
                <w:highlight w:val="none"/>
              </w:rPr>
            </w:pPr>
          </w:p>
        </w:tc>
      </w:tr>
    </w:tbl>
    <w:p>
      <w:pPr>
        <w:spacing w:line="360" w:lineRule="auto"/>
        <w:ind w:firstLine="482" w:firstLineChars="200"/>
        <w:rPr>
          <w:rFonts w:ascii="宋体" w:hAnsi="宋体" w:cs="宋体"/>
          <w:b/>
          <w:color w:val="auto"/>
          <w:sz w:val="24"/>
          <w:highlight w:val="none"/>
        </w:rPr>
      </w:pPr>
    </w:p>
    <w:p>
      <w:pPr>
        <w:wordWrap w:val="0"/>
        <w:topLinePunct/>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注意：1、本表只填写响应文件中与磋商文件有偏离（包括正偏离和负偏离）的内容，响应文件中商务条款响应与磋商文件要求完全一致的，可以不用在此表中列出。</w:t>
      </w:r>
    </w:p>
    <w:p>
      <w:pPr>
        <w:wordWrap w:val="0"/>
        <w:topLinePunct/>
        <w:spacing w:line="360" w:lineRule="auto"/>
        <w:ind w:firstLine="480"/>
        <w:rPr>
          <w:rFonts w:ascii="宋体" w:hAnsi="宋体" w:cs="宋体"/>
          <w:color w:val="auto"/>
          <w:sz w:val="24"/>
          <w:highlight w:val="none"/>
        </w:rPr>
      </w:pPr>
      <w:r>
        <w:rPr>
          <w:rFonts w:hint="eastAsia" w:ascii="宋体" w:hAnsi="宋体" w:cs="宋体"/>
          <w:color w:val="auto"/>
          <w:sz w:val="24"/>
          <w:highlight w:val="none"/>
        </w:rPr>
        <w:t>2、供应商必须据实填写，不得虚假响应，否则将取消其磋商或成交资格。</w:t>
      </w:r>
    </w:p>
    <w:p>
      <w:pPr>
        <w:wordWrap w:val="0"/>
        <w:topLinePunct/>
        <w:spacing w:line="360" w:lineRule="auto"/>
        <w:ind w:firstLine="480"/>
        <w:rPr>
          <w:rFonts w:ascii="宋体" w:hAnsi="宋体" w:cs="宋体"/>
          <w:color w:val="auto"/>
          <w:sz w:val="24"/>
          <w:highlight w:val="none"/>
        </w:rPr>
      </w:pPr>
    </w:p>
    <w:p>
      <w:pPr>
        <w:adjustRightInd w:val="0"/>
        <w:spacing w:line="360" w:lineRule="auto"/>
        <w:ind w:firstLine="480" w:firstLineChars="200"/>
        <w:jc w:val="left"/>
        <w:rPr>
          <w:rFonts w:ascii="宋体" w:hAnsi="宋体" w:cs="宋体"/>
          <w:color w:val="auto"/>
          <w:sz w:val="24"/>
          <w:highlight w:val="none"/>
        </w:rPr>
      </w:pPr>
    </w:p>
    <w:p>
      <w:pPr>
        <w:adjustRightIn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供应商名称：XXX（盖单位公章）</w:t>
      </w:r>
    </w:p>
    <w:p>
      <w:pPr>
        <w:adjustRightInd w:val="0"/>
        <w:spacing w:line="360" w:lineRule="auto"/>
        <w:ind w:firstLine="540" w:firstLineChars="225"/>
        <w:jc w:val="left"/>
        <w:rPr>
          <w:rFonts w:ascii="宋体" w:hAnsi="宋体" w:cs="宋体"/>
          <w:bCs/>
          <w:color w:val="auto"/>
          <w:sz w:val="24"/>
          <w:highlight w:val="none"/>
        </w:rPr>
      </w:pPr>
      <w:r>
        <w:rPr>
          <w:rFonts w:hint="eastAsia" w:ascii="宋体" w:hAnsi="宋体" w:cs="宋体"/>
          <w:bCs/>
          <w:color w:val="auto"/>
          <w:sz w:val="24"/>
          <w:highlight w:val="none"/>
        </w:rPr>
        <w:t>法定代表人/单位负责人或授权代表</w:t>
      </w:r>
      <w:r>
        <w:rPr>
          <w:rFonts w:hint="eastAsia" w:ascii="宋体" w:hAnsi="宋体" w:cs="宋体"/>
          <w:color w:val="auto"/>
          <w:sz w:val="24"/>
          <w:highlight w:val="none"/>
        </w:rPr>
        <w:t>（签字或加盖个人印章）</w:t>
      </w:r>
      <w:r>
        <w:rPr>
          <w:rFonts w:hint="eastAsia" w:ascii="宋体" w:hAnsi="宋体" w:cs="宋体"/>
          <w:bCs/>
          <w:color w:val="auto"/>
          <w:sz w:val="24"/>
          <w:highlight w:val="none"/>
        </w:rPr>
        <w:t>：XXX</w:t>
      </w:r>
    </w:p>
    <w:p>
      <w:pPr>
        <w:adjustRightInd w:val="0"/>
        <w:spacing w:line="360" w:lineRule="auto"/>
        <w:ind w:firstLine="540" w:firstLineChars="225"/>
        <w:jc w:val="left"/>
        <w:rPr>
          <w:rFonts w:ascii="宋体" w:hAnsi="宋体" w:cs="宋体"/>
          <w:bCs/>
          <w:color w:val="auto"/>
          <w:sz w:val="24"/>
          <w:highlight w:val="none"/>
        </w:rPr>
      </w:pPr>
      <w:r>
        <w:rPr>
          <w:rFonts w:hint="eastAsia" w:ascii="宋体" w:hAnsi="宋体" w:cs="宋体"/>
          <w:bCs/>
          <w:color w:val="auto"/>
          <w:sz w:val="24"/>
          <w:highlight w:val="none"/>
        </w:rPr>
        <w:t>日期：XXX年XXX月XXX日</w:t>
      </w:r>
    </w:p>
    <w:p>
      <w:pPr>
        <w:widowControl/>
        <w:jc w:val="left"/>
        <w:rPr>
          <w:rFonts w:ascii="宋体" w:hAnsi="宋体" w:cs="宋体"/>
          <w:b/>
          <w:color w:val="auto"/>
          <w:sz w:val="32"/>
          <w:szCs w:val="32"/>
          <w:highlight w:val="none"/>
        </w:rPr>
      </w:pPr>
      <w:r>
        <w:rPr>
          <w:rFonts w:hint="eastAsia" w:ascii="宋体" w:hAnsi="宋体" w:cs="宋体"/>
          <w:color w:val="auto"/>
          <w:sz w:val="24"/>
          <w:highlight w:val="none"/>
        </w:rPr>
        <w:br w:type="page"/>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8、供应商本项目管理、技术、服务人员情况表</w:t>
      </w:r>
    </w:p>
    <w:p>
      <w:pPr>
        <w:rPr>
          <w:rFonts w:ascii="宋体" w:hAnsi="宋体" w:cs="宋体"/>
          <w:color w:val="auto"/>
          <w:sz w:val="32"/>
          <w:szCs w:val="32"/>
          <w:highlight w:val="none"/>
        </w:rPr>
      </w:pPr>
    </w:p>
    <w:tbl>
      <w:tblPr>
        <w:tblStyle w:val="3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89"/>
        <w:gridCol w:w="1260"/>
        <w:gridCol w:w="1800"/>
        <w:gridCol w:w="162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double" w:color="auto" w:sz="4" w:space="0"/>
              <w:left w:val="doub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color w:val="auto"/>
                <w:sz w:val="24"/>
                <w:highlight w:val="none"/>
                <w:lang w:val="zh-CN"/>
              </w:rPr>
            </w:pPr>
            <w:r>
              <w:rPr>
                <w:rFonts w:hint="eastAsia" w:hAnsi="宋体" w:cs="宋体"/>
                <w:color w:val="auto"/>
                <w:sz w:val="24"/>
                <w:highlight w:val="none"/>
                <w:lang w:val="zh-CN"/>
              </w:rPr>
              <w:t>序</w:t>
            </w:r>
            <w:r>
              <w:rPr>
                <w:rFonts w:hAnsi="宋体" w:cs="宋体"/>
                <w:color w:val="auto"/>
                <w:sz w:val="24"/>
                <w:highlight w:val="none"/>
                <w:lang w:val="zh-CN"/>
              </w:rPr>
              <w:t xml:space="preserve"> </w:t>
            </w:r>
            <w:r>
              <w:rPr>
                <w:rFonts w:hint="eastAsia" w:hAnsi="宋体" w:cs="宋体"/>
                <w:color w:val="auto"/>
                <w:sz w:val="24"/>
                <w:highlight w:val="none"/>
                <w:lang w:val="zh-CN"/>
              </w:rPr>
              <w:t>号</w:t>
            </w:r>
          </w:p>
        </w:tc>
        <w:tc>
          <w:tcPr>
            <w:tcW w:w="1489"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color w:val="auto"/>
                <w:sz w:val="24"/>
                <w:highlight w:val="none"/>
                <w:lang w:val="zh-CN"/>
              </w:rPr>
            </w:pPr>
            <w:r>
              <w:rPr>
                <w:rFonts w:hint="eastAsia" w:hAnsi="宋体" w:cs="宋体"/>
                <w:color w:val="auto"/>
                <w:sz w:val="24"/>
                <w:highlight w:val="none"/>
                <w:lang w:val="zh-CN"/>
              </w:rPr>
              <w:t>姓</w:t>
            </w:r>
            <w:r>
              <w:rPr>
                <w:rFonts w:hAnsi="宋体" w:cs="宋体"/>
                <w:color w:val="auto"/>
                <w:sz w:val="24"/>
                <w:highlight w:val="none"/>
                <w:lang w:val="zh-CN"/>
              </w:rPr>
              <w:t xml:space="preserve"> </w:t>
            </w:r>
            <w:r>
              <w:rPr>
                <w:rFonts w:hint="eastAsia" w:hAnsi="宋体" w:cs="宋体"/>
                <w:color w:val="auto"/>
                <w:sz w:val="24"/>
                <w:highlight w:val="none"/>
                <w:lang w:val="zh-CN"/>
              </w:rPr>
              <w:t>名</w:t>
            </w:r>
          </w:p>
        </w:tc>
        <w:tc>
          <w:tcPr>
            <w:tcW w:w="1260"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color w:val="auto"/>
                <w:sz w:val="24"/>
                <w:highlight w:val="none"/>
                <w:lang w:val="zh-CN"/>
              </w:rPr>
            </w:pPr>
            <w:r>
              <w:rPr>
                <w:rFonts w:hint="eastAsia" w:hAnsi="宋体" w:cs="宋体"/>
                <w:color w:val="auto"/>
                <w:sz w:val="24"/>
                <w:highlight w:val="none"/>
                <w:lang w:val="zh-CN"/>
              </w:rPr>
              <w:t>职</w:t>
            </w:r>
            <w:r>
              <w:rPr>
                <w:rFonts w:hAnsi="宋体" w:cs="宋体"/>
                <w:color w:val="auto"/>
                <w:sz w:val="24"/>
                <w:highlight w:val="none"/>
                <w:lang w:val="zh-CN"/>
              </w:rPr>
              <w:t xml:space="preserve">   </w:t>
            </w:r>
            <w:r>
              <w:rPr>
                <w:rFonts w:hint="eastAsia" w:hAnsi="宋体" w:cs="宋体"/>
                <w:color w:val="auto"/>
                <w:sz w:val="24"/>
                <w:highlight w:val="none"/>
                <w:lang w:val="zh-CN"/>
              </w:rPr>
              <w:t>务</w:t>
            </w:r>
          </w:p>
        </w:tc>
        <w:tc>
          <w:tcPr>
            <w:tcW w:w="1800"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color w:val="auto"/>
                <w:sz w:val="24"/>
                <w:highlight w:val="none"/>
                <w:lang w:val="zh-CN"/>
              </w:rPr>
            </w:pPr>
            <w:r>
              <w:rPr>
                <w:rFonts w:hint="eastAsia" w:hAnsi="宋体" w:cs="宋体"/>
                <w:color w:val="auto"/>
                <w:sz w:val="24"/>
                <w:highlight w:val="none"/>
                <w:lang w:val="zh-CN"/>
              </w:rPr>
              <w:t>证件名称</w:t>
            </w:r>
          </w:p>
        </w:tc>
        <w:tc>
          <w:tcPr>
            <w:tcW w:w="1620" w:type="dxa"/>
            <w:tcBorders>
              <w:top w:val="doub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460" w:lineRule="exact"/>
              <w:jc w:val="center"/>
              <w:rPr>
                <w:rFonts w:cs="宋体"/>
                <w:color w:val="auto"/>
                <w:sz w:val="24"/>
                <w:highlight w:val="none"/>
                <w:lang w:val="zh-CN"/>
              </w:rPr>
            </w:pPr>
            <w:r>
              <w:rPr>
                <w:rFonts w:hint="eastAsia" w:hAnsi="宋体" w:cs="宋体"/>
                <w:color w:val="auto"/>
                <w:sz w:val="24"/>
                <w:highlight w:val="none"/>
                <w:lang w:val="zh-CN"/>
              </w:rPr>
              <w:t>发证时间</w:t>
            </w:r>
          </w:p>
        </w:tc>
        <w:tc>
          <w:tcPr>
            <w:tcW w:w="2160" w:type="dxa"/>
            <w:tcBorders>
              <w:top w:val="double" w:color="auto" w:sz="4" w:space="0"/>
              <w:left w:val="single" w:color="auto" w:sz="4" w:space="0"/>
              <w:bottom w:val="single" w:color="auto" w:sz="4" w:space="0"/>
              <w:right w:val="double" w:color="auto" w:sz="4" w:space="0"/>
            </w:tcBorders>
            <w:vAlign w:val="center"/>
          </w:tcPr>
          <w:p>
            <w:pPr>
              <w:autoSpaceDE w:val="0"/>
              <w:autoSpaceDN w:val="0"/>
              <w:adjustRightInd w:val="0"/>
              <w:spacing w:after="120" w:line="460" w:lineRule="exact"/>
              <w:jc w:val="center"/>
              <w:rPr>
                <w:rFonts w:cs="宋体"/>
                <w:color w:val="auto"/>
                <w:sz w:val="24"/>
                <w:highlight w:val="none"/>
                <w:lang w:val="zh-CN"/>
              </w:rPr>
            </w:pPr>
            <w:r>
              <w:rPr>
                <w:rFonts w:hint="eastAsia" w:hAnsi="宋体" w:cs="宋体"/>
                <w:color w:val="auto"/>
                <w:sz w:val="24"/>
                <w:highlight w:val="none"/>
                <w:lang w:val="zh-CN"/>
              </w:rPr>
              <w:t>从事本工作年限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sing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doub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489"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260"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800"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1620" w:type="dxa"/>
            <w:tcBorders>
              <w:top w:val="single" w:color="auto" w:sz="4" w:space="0"/>
              <w:left w:val="single" w:color="auto" w:sz="4" w:space="0"/>
              <w:bottom w:val="double" w:color="auto" w:sz="4" w:space="0"/>
              <w:right w:val="single" w:color="auto" w:sz="4" w:space="0"/>
            </w:tcBorders>
          </w:tcPr>
          <w:p>
            <w:pPr>
              <w:autoSpaceDE w:val="0"/>
              <w:autoSpaceDN w:val="0"/>
              <w:adjustRightInd w:val="0"/>
              <w:spacing w:after="120" w:line="460" w:lineRule="exact"/>
              <w:jc w:val="left"/>
              <w:rPr>
                <w:rFonts w:cs="宋体"/>
                <w:color w:val="auto"/>
                <w:sz w:val="24"/>
                <w:highlight w:val="none"/>
                <w:lang w:val="zh-CN"/>
              </w:rPr>
            </w:pPr>
          </w:p>
        </w:tc>
        <w:tc>
          <w:tcPr>
            <w:tcW w:w="2160" w:type="dxa"/>
            <w:tcBorders>
              <w:top w:val="single" w:color="auto" w:sz="4" w:space="0"/>
              <w:left w:val="single" w:color="auto" w:sz="4" w:space="0"/>
              <w:bottom w:val="double" w:color="auto" w:sz="4" w:space="0"/>
              <w:right w:val="double" w:color="auto" w:sz="4" w:space="0"/>
            </w:tcBorders>
          </w:tcPr>
          <w:p>
            <w:pPr>
              <w:autoSpaceDE w:val="0"/>
              <w:autoSpaceDN w:val="0"/>
              <w:adjustRightInd w:val="0"/>
              <w:spacing w:after="120" w:line="460" w:lineRule="exact"/>
              <w:jc w:val="left"/>
              <w:rPr>
                <w:rFonts w:cs="宋体"/>
                <w:color w:val="auto"/>
                <w:sz w:val="24"/>
                <w:highlight w:val="none"/>
                <w:lang w:val="zh-CN"/>
              </w:rPr>
            </w:pPr>
          </w:p>
        </w:tc>
      </w:tr>
    </w:tbl>
    <w:p>
      <w:pPr>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注：1、供应商在此表中填报拟用于本项目的人员配备情况,并附人员的相关证明材料如所持资格证书等复印件。（以综合评分表中的要求为准）</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2、如未提供人员的相关证明材料可能会影响供应商的得分,但并不影响响应文件的有效性。</w:t>
      </w:r>
    </w:p>
    <w:p>
      <w:pPr>
        <w:pStyle w:val="12"/>
        <w:rPr>
          <w:color w:val="auto"/>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供应商名称：XXX（盖单位公章）</w:t>
      </w: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spacing w:line="360" w:lineRule="auto"/>
        <w:rPr>
          <w:rFonts w:ascii="宋体" w:hAnsi="宋体" w:cs="宋体"/>
          <w:color w:val="auto"/>
          <w:sz w:val="24"/>
          <w:highlight w:val="none"/>
        </w:rPr>
      </w:pPr>
      <w:r>
        <w:rPr>
          <w:rFonts w:hint="eastAsia" w:ascii="宋体" w:hAnsi="宋体" w:cs="宋体"/>
          <w:color w:val="auto"/>
          <w:sz w:val="24"/>
          <w:highlight w:val="none"/>
        </w:rPr>
        <w:t>日期：XXX</w:t>
      </w:r>
    </w:p>
    <w:bookmarkEnd w:id="250"/>
    <w:p>
      <w:pPr>
        <w:widowControl/>
        <w:spacing w:line="360" w:lineRule="auto"/>
        <w:jc w:val="left"/>
        <w:rPr>
          <w:rFonts w:ascii="宋体" w:hAnsi="宋体" w:cs="宋体"/>
          <w:color w:val="auto"/>
          <w:highlight w:val="none"/>
        </w:rPr>
      </w:pPr>
      <w:r>
        <w:rPr>
          <w:rFonts w:hint="eastAsia" w:ascii="宋体" w:hAnsi="宋体" w:cs="宋体"/>
          <w:b/>
          <w:color w:val="auto"/>
          <w:sz w:val="32"/>
          <w:szCs w:val="32"/>
          <w:highlight w:val="none"/>
        </w:rPr>
        <w:br w:type="page"/>
      </w:r>
    </w:p>
    <w:p>
      <w:pPr>
        <w:widowControl/>
        <w:spacing w:line="360" w:lineRule="atLeast"/>
        <w:jc w:val="center"/>
        <w:outlineLvl w:val="1"/>
        <w:rPr>
          <w:rFonts w:ascii="宋体" w:hAnsi="宋体" w:cs="宋体"/>
          <w:b/>
          <w:color w:val="auto"/>
          <w:sz w:val="32"/>
          <w:szCs w:val="32"/>
          <w:highlight w:val="none"/>
        </w:rPr>
      </w:pPr>
      <w:bookmarkStart w:id="251" w:name="_Toc17797"/>
      <w:bookmarkStart w:id="252" w:name="_Toc2567"/>
      <w:r>
        <w:rPr>
          <w:rFonts w:hint="eastAsia" w:ascii="宋体" w:hAnsi="宋体" w:cs="宋体"/>
          <w:b/>
          <w:color w:val="auto"/>
          <w:sz w:val="32"/>
          <w:szCs w:val="32"/>
          <w:highlight w:val="none"/>
        </w:rPr>
        <w:t>9、</w:t>
      </w:r>
      <w:bookmarkEnd w:id="251"/>
      <w:r>
        <w:rPr>
          <w:rFonts w:hint="eastAsia" w:ascii="宋体" w:hAnsi="宋体" w:cs="宋体"/>
          <w:b/>
          <w:color w:val="auto"/>
          <w:sz w:val="32"/>
          <w:szCs w:val="32"/>
          <w:highlight w:val="none"/>
        </w:rPr>
        <w:t>服务方案</w:t>
      </w:r>
      <w:bookmarkEnd w:id="252"/>
    </w:p>
    <w:p>
      <w:pPr>
        <w:pStyle w:val="29"/>
        <w:jc w:val="both"/>
        <w:outlineLvl w:val="9"/>
        <w:rPr>
          <w:rFonts w:ascii="宋体" w:hAnsi="宋体" w:cs="宋体"/>
          <w:color w:val="auto"/>
          <w:highlight w:val="none"/>
        </w:rPr>
      </w:pPr>
    </w:p>
    <w:p>
      <w:pPr>
        <w:pStyle w:val="29"/>
        <w:ind w:firstLine="482" w:firstLineChars="200"/>
        <w:jc w:val="both"/>
        <w:rPr>
          <w:rFonts w:ascii="宋体" w:hAnsi="宋体" w:cs="宋体"/>
          <w:color w:val="auto"/>
          <w:sz w:val="24"/>
          <w:highlight w:val="none"/>
        </w:rPr>
      </w:pPr>
      <w:bookmarkStart w:id="253" w:name="_Toc6870"/>
      <w:bookmarkStart w:id="254" w:name="_Toc24889"/>
      <w:r>
        <w:rPr>
          <w:rFonts w:hint="eastAsia" w:ascii="宋体" w:hAnsi="宋体" w:cs="宋体"/>
          <w:color w:val="auto"/>
          <w:sz w:val="24"/>
          <w:highlight w:val="none"/>
        </w:rPr>
        <w:t>注：本项格式自拟。</w:t>
      </w:r>
      <w:bookmarkEnd w:id="253"/>
      <w:bookmarkEnd w:id="254"/>
    </w:p>
    <w:p>
      <w:pPr>
        <w:pStyle w:val="29"/>
        <w:jc w:val="both"/>
        <w:outlineLvl w:val="9"/>
        <w:rPr>
          <w:rFonts w:ascii="宋体" w:hAnsi="宋体" w:cs="宋体"/>
          <w:color w:val="auto"/>
          <w:sz w:val="24"/>
          <w:szCs w:val="24"/>
          <w:highlight w:val="none"/>
        </w:rPr>
      </w:pPr>
    </w:p>
    <w:p>
      <w:pPr>
        <w:pStyle w:val="29"/>
        <w:jc w:val="both"/>
        <w:outlineLvl w:val="9"/>
        <w:rPr>
          <w:rFonts w:ascii="宋体" w:hAnsi="宋体" w:cs="宋体"/>
          <w:color w:val="auto"/>
          <w:sz w:val="24"/>
          <w:szCs w:val="24"/>
          <w:highlight w:val="none"/>
        </w:rPr>
      </w:pPr>
    </w:p>
    <w:p>
      <w:pPr>
        <w:pStyle w:val="29"/>
        <w:spacing w:line="360" w:lineRule="auto"/>
        <w:jc w:val="both"/>
        <w:outlineLvl w:val="9"/>
        <w:rPr>
          <w:rFonts w:ascii="宋体" w:hAnsi="宋体" w:cs="宋体"/>
          <w:color w:val="auto"/>
          <w:sz w:val="24"/>
          <w:szCs w:val="24"/>
          <w:highlight w:val="none"/>
        </w:rPr>
      </w:pPr>
    </w:p>
    <w:p>
      <w:pPr>
        <w:widowControl/>
        <w:spacing w:line="360" w:lineRule="auto"/>
        <w:ind w:firstLine="470" w:firstLineChars="196"/>
        <w:jc w:val="left"/>
        <w:outlineLvl w:val="1"/>
        <w:rPr>
          <w:rFonts w:ascii="宋体" w:hAnsi="宋体" w:cs="宋体"/>
          <w:color w:val="auto"/>
          <w:sz w:val="24"/>
          <w:highlight w:val="none"/>
        </w:rPr>
      </w:pPr>
      <w:bookmarkStart w:id="255" w:name="_Toc502"/>
      <w:bookmarkStart w:id="256" w:name="_Toc20918"/>
      <w:r>
        <w:rPr>
          <w:rFonts w:hint="eastAsia" w:ascii="宋体" w:hAnsi="宋体" w:cs="宋体"/>
          <w:color w:val="auto"/>
          <w:sz w:val="24"/>
          <w:highlight w:val="none"/>
        </w:rPr>
        <w:t>供应商名称：XXXX（单位盖章）。</w:t>
      </w:r>
      <w:bookmarkEnd w:id="255"/>
      <w:bookmarkEnd w:id="256"/>
    </w:p>
    <w:p>
      <w:pPr>
        <w:widowControl/>
        <w:spacing w:line="360" w:lineRule="auto"/>
        <w:ind w:firstLine="470" w:firstLineChars="196"/>
        <w:jc w:val="left"/>
        <w:outlineLvl w:val="1"/>
        <w:rPr>
          <w:rFonts w:ascii="宋体" w:hAnsi="宋体" w:cs="宋体"/>
          <w:color w:val="auto"/>
          <w:sz w:val="24"/>
          <w:highlight w:val="none"/>
        </w:rPr>
      </w:pPr>
      <w:bookmarkStart w:id="257" w:name="_Toc14129"/>
      <w:bookmarkStart w:id="258" w:name="_Toc11026"/>
      <w:r>
        <w:rPr>
          <w:rFonts w:hint="eastAsia" w:ascii="宋体" w:hAnsi="宋体" w:cs="宋体"/>
          <w:color w:val="auto"/>
          <w:sz w:val="24"/>
          <w:highlight w:val="none"/>
        </w:rPr>
        <w:t>法定代表人/单位负责人或授权代表（签字或加盖个人印章）：XXXX。</w:t>
      </w:r>
      <w:bookmarkEnd w:id="257"/>
      <w:bookmarkEnd w:id="258"/>
    </w:p>
    <w:p>
      <w:pPr>
        <w:widowControl/>
        <w:spacing w:line="360" w:lineRule="auto"/>
        <w:ind w:firstLine="470" w:firstLineChars="196"/>
        <w:jc w:val="left"/>
        <w:outlineLvl w:val="1"/>
        <w:rPr>
          <w:rFonts w:ascii="宋体" w:hAnsi="宋体" w:cs="宋体"/>
          <w:color w:val="auto"/>
          <w:sz w:val="24"/>
          <w:highlight w:val="none"/>
        </w:rPr>
      </w:pPr>
      <w:bookmarkStart w:id="259" w:name="_Toc22104"/>
      <w:bookmarkStart w:id="260" w:name="_Toc6456"/>
      <w:r>
        <w:rPr>
          <w:rFonts w:hint="eastAsia" w:ascii="宋体" w:hAnsi="宋体" w:cs="宋体"/>
          <w:color w:val="auto"/>
          <w:sz w:val="24"/>
          <w:highlight w:val="none"/>
        </w:rPr>
        <w:t>日期: XXXX。</w:t>
      </w:r>
      <w:bookmarkEnd w:id="259"/>
      <w:bookmarkEnd w:id="260"/>
    </w:p>
    <w:p>
      <w:pPr>
        <w:pStyle w:val="12"/>
        <w:spacing w:line="360" w:lineRule="auto"/>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29"/>
        <w:rPr>
          <w:rFonts w:ascii="宋体" w:hAnsi="宋体" w:cs="宋体"/>
          <w:bCs w:val="0"/>
          <w:color w:val="auto"/>
          <w:highlight w:val="none"/>
        </w:rPr>
      </w:pPr>
      <w:r>
        <w:rPr>
          <w:rFonts w:hint="eastAsia" w:ascii="宋体" w:hAnsi="宋体" w:cs="宋体"/>
          <w:bCs w:val="0"/>
          <w:color w:val="auto"/>
          <w:highlight w:val="none"/>
        </w:rPr>
        <w:t>10</w:t>
      </w:r>
      <w:r>
        <w:rPr>
          <w:rFonts w:hint="eastAsia" w:ascii="宋体" w:hAnsi="宋体" w:cs="宋体"/>
          <w:bCs w:val="0"/>
          <w:color w:val="auto"/>
          <w:highlight w:val="none"/>
          <w:lang w:val="zh-CN"/>
        </w:rPr>
        <w:t>、知识产权的声明函</w:t>
      </w:r>
    </w:p>
    <w:p>
      <w:pPr>
        <w:widowControl/>
        <w:spacing w:line="360" w:lineRule="atLeast"/>
        <w:jc w:val="center"/>
        <w:outlineLvl w:val="1"/>
        <w:rPr>
          <w:rFonts w:ascii="宋体" w:hAnsi="宋体" w:cs="宋体"/>
          <w:color w:val="auto"/>
          <w:sz w:val="24"/>
          <w:highlight w:val="none"/>
        </w:rPr>
      </w:pPr>
    </w:p>
    <w:p>
      <w:pPr>
        <w:wordWrap w:val="0"/>
        <w:topLinePunct/>
        <w:adjustRightInd w:val="0"/>
        <w:spacing w:line="360" w:lineRule="auto"/>
        <w:ind w:firstLine="480"/>
        <w:jc w:val="left"/>
        <w:rPr>
          <w:rFonts w:cs="宋体"/>
          <w:color w:val="auto"/>
          <w:sz w:val="24"/>
          <w:highlight w:val="none"/>
        </w:rPr>
      </w:pPr>
      <w:r>
        <w:rPr>
          <w:rFonts w:hint="eastAsia" w:ascii="宋体" w:hAnsi="宋体" w:cs="宋体"/>
          <w:color w:val="auto"/>
          <w:sz w:val="24"/>
          <w:highlight w:val="none"/>
          <w:lang w:val="zh-CN"/>
        </w:rPr>
        <w:t>致：成都文瀚建设工程咨询有限公司</w:t>
      </w:r>
      <w:r>
        <w:rPr>
          <w:rFonts w:hint="eastAsia" w:cs="宋体"/>
          <w:color w:val="auto"/>
          <w:sz w:val="24"/>
          <w:highlight w:val="none"/>
        </w:rPr>
        <w:t>：</w:t>
      </w:r>
    </w:p>
    <w:p>
      <w:pPr>
        <w:spacing w:line="480" w:lineRule="auto"/>
        <w:ind w:firstLine="480"/>
        <w:rPr>
          <w:rFonts w:cs="宋体"/>
          <w:color w:val="auto"/>
          <w:sz w:val="24"/>
          <w:highlight w:val="none"/>
        </w:rPr>
      </w:pPr>
      <w:r>
        <w:rPr>
          <w:rFonts w:hint="eastAsia" w:cs="宋体"/>
          <w:color w:val="auto"/>
          <w:sz w:val="24"/>
          <w:highlight w:val="none"/>
          <w:lang w:val="zh-CN"/>
        </w:rPr>
        <w:t>作为</w:t>
      </w:r>
      <w:r>
        <w:rPr>
          <w:rFonts w:hint="eastAsia" w:cs="宋体"/>
          <w:color w:val="auto"/>
          <w:sz w:val="24"/>
          <w:highlight w:val="none"/>
          <w:u w:val="single"/>
        </w:rPr>
        <w:t xml:space="preserve">                          </w:t>
      </w:r>
      <w:r>
        <w:rPr>
          <w:rFonts w:hint="eastAsia" w:cs="宋体"/>
          <w:color w:val="auto"/>
          <w:sz w:val="24"/>
          <w:highlight w:val="none"/>
          <w:lang w:val="zh-CN"/>
        </w:rPr>
        <w:t>项目的供应商，我方声明如下：</w:t>
      </w:r>
    </w:p>
    <w:p>
      <w:pPr>
        <w:pStyle w:val="13"/>
        <w:spacing w:line="48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1、我单位保证在本项目中使用的任何产品和服务（包括部分使用），不会产生因第三方提出侵犯其专利权、商标权或其它知识产权而引起的法律和经济纠纷，如因专利权、商标权或其它知识产权而引起法律和经济纠纷，由我单位承担所有相关责任。</w:t>
      </w:r>
    </w:p>
    <w:p>
      <w:pPr>
        <w:pStyle w:val="13"/>
        <w:spacing w:line="48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2、采购人享有本项目实施过程中产生的知识成果及知识产权。</w:t>
      </w:r>
    </w:p>
    <w:p>
      <w:pPr>
        <w:spacing w:line="480" w:lineRule="auto"/>
        <w:ind w:firstLine="480"/>
        <w:rPr>
          <w:rFonts w:cs="宋体"/>
          <w:color w:val="auto"/>
          <w:sz w:val="24"/>
          <w:highlight w:val="none"/>
        </w:rPr>
      </w:pPr>
      <w:r>
        <w:rPr>
          <w:rFonts w:hint="eastAsia" w:cs="宋体"/>
          <w:color w:val="auto"/>
          <w:sz w:val="24"/>
          <w:highlight w:val="none"/>
        </w:rPr>
        <w:t>3、如我单位将在采购项目实施过程中采用自有或者第三方知识成果的，在响应文件中载明，并提供相关知识产权证明文件。使用该知识成果后，我单位将提供开发接口和开发手册等技术资料，并承诺提供无限期支持，采购人享有使用权（含采购人委托第三方在该项目后续开发的使用权）。</w:t>
      </w:r>
    </w:p>
    <w:p>
      <w:pPr>
        <w:spacing w:line="480" w:lineRule="auto"/>
        <w:ind w:firstLine="480"/>
        <w:rPr>
          <w:rFonts w:cs="宋体"/>
          <w:color w:val="auto"/>
          <w:sz w:val="24"/>
          <w:highlight w:val="none"/>
        </w:rPr>
      </w:pPr>
      <w:r>
        <w:rPr>
          <w:rFonts w:hint="eastAsia" w:cs="宋体"/>
          <w:color w:val="auto"/>
          <w:sz w:val="24"/>
          <w:highlight w:val="none"/>
        </w:rPr>
        <w:t>4、如采用我单位所不拥有的知识产权，则在报价中包括合法获取该知识产权的相关费用。</w:t>
      </w:r>
    </w:p>
    <w:p>
      <w:pPr>
        <w:pStyle w:val="12"/>
        <w:rPr>
          <w:rFonts w:ascii="宋体" w:hAnsi="宋体" w:cs="宋体"/>
          <w:color w:val="auto"/>
          <w:sz w:val="24"/>
          <w:highlight w:val="none"/>
        </w:rPr>
      </w:pP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法定代表人/单位负责人或授权代表（签字或加盖个人印章）：XXXX。</w:t>
      </w:r>
    </w:p>
    <w:p>
      <w:pPr>
        <w:widowControl/>
        <w:spacing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日期: XXXX。</w:t>
      </w: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rFonts w:ascii="宋体" w:hAnsi="宋体" w:cs="宋体"/>
          <w:color w:val="auto"/>
          <w:sz w:val="24"/>
          <w:highlight w:val="none"/>
        </w:rPr>
      </w:pPr>
    </w:p>
    <w:p>
      <w:pPr>
        <w:rPr>
          <w:rFonts w:ascii="宋体" w:hAnsi="宋体" w:cs="宋体"/>
          <w:color w:val="auto"/>
          <w:sz w:val="24"/>
          <w:highlight w:val="none"/>
        </w:rPr>
      </w:pPr>
    </w:p>
    <w:p>
      <w:pPr>
        <w:pStyle w:val="12"/>
        <w:rPr>
          <w:color w:val="auto"/>
          <w:highlight w:val="none"/>
        </w:rPr>
      </w:pPr>
    </w:p>
    <w:p>
      <w:pPr>
        <w:rPr>
          <w:color w:val="auto"/>
          <w:highlight w:val="none"/>
        </w:rPr>
      </w:pPr>
    </w:p>
    <w:p>
      <w:pPr>
        <w:pStyle w:val="12"/>
        <w:rPr>
          <w:color w:val="auto"/>
          <w:highlight w:val="none"/>
        </w:rPr>
      </w:pPr>
    </w:p>
    <w:p>
      <w:pPr>
        <w:rPr>
          <w:color w:val="auto"/>
          <w:highlight w:val="none"/>
        </w:rPr>
      </w:pPr>
    </w:p>
    <w:p>
      <w:pPr>
        <w:pStyle w:val="29"/>
        <w:rPr>
          <w:rFonts w:ascii="宋体" w:hAnsi="宋体" w:cs="宋体"/>
          <w:bCs w:val="0"/>
          <w:color w:val="auto"/>
          <w:highlight w:val="none"/>
        </w:rPr>
      </w:pPr>
      <w:bookmarkStart w:id="261" w:name="_Toc27849"/>
      <w:bookmarkStart w:id="262" w:name="_Toc17286"/>
      <w:r>
        <w:rPr>
          <w:rFonts w:hint="eastAsia" w:ascii="宋体" w:hAnsi="宋体" w:cs="宋体"/>
          <w:bCs w:val="0"/>
          <w:color w:val="auto"/>
          <w:highlight w:val="none"/>
        </w:rPr>
        <w:t>11、供应商认为应当提供的其他材料</w:t>
      </w:r>
      <w:bookmarkEnd w:id="261"/>
      <w:bookmarkEnd w:id="262"/>
    </w:p>
    <w:p>
      <w:pPr>
        <w:pStyle w:val="29"/>
        <w:outlineLvl w:val="9"/>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color w:val="auto"/>
          <w:highlight w:val="none"/>
        </w:rPr>
      </w:pPr>
    </w:p>
    <w:p>
      <w:pPr>
        <w:pStyle w:val="12"/>
        <w:rPr>
          <w:rFonts w:ascii="宋体" w:hAnsi="宋体" w:cs="宋体"/>
          <w:color w:val="auto"/>
          <w:highlight w:val="none"/>
        </w:rPr>
      </w:pPr>
    </w:p>
    <w:p>
      <w:pPr>
        <w:pStyle w:val="29"/>
        <w:rPr>
          <w:rFonts w:ascii="宋体" w:hAnsi="宋体" w:cs="宋体"/>
          <w:color w:val="auto"/>
          <w:highlight w:val="none"/>
        </w:rPr>
      </w:pPr>
      <w:bookmarkStart w:id="263" w:name="_Toc26039"/>
      <w:bookmarkStart w:id="264" w:name="_Toc511206482"/>
      <w:bookmarkStart w:id="265" w:name="_Toc29984"/>
      <w:r>
        <w:rPr>
          <w:rFonts w:hint="eastAsia" w:ascii="宋体" w:hAnsi="宋体" w:cs="宋体"/>
          <w:color w:val="auto"/>
          <w:highlight w:val="none"/>
        </w:rPr>
        <w:t>第九章</w:t>
      </w:r>
      <w:r>
        <w:rPr>
          <w:rFonts w:hint="eastAsia" w:ascii="宋体" w:hAnsi="宋体" w:cs="宋体"/>
          <w:b w:val="0"/>
          <w:color w:val="auto"/>
          <w:highlight w:val="none"/>
        </w:rPr>
        <w:t xml:space="preserve">  </w:t>
      </w:r>
      <w:r>
        <w:rPr>
          <w:rFonts w:hint="eastAsia" w:ascii="宋体" w:hAnsi="宋体" w:cs="宋体"/>
          <w:color w:val="auto"/>
          <w:highlight w:val="none"/>
        </w:rPr>
        <w:t>评审方法</w:t>
      </w:r>
      <w:bookmarkEnd w:id="263"/>
      <w:bookmarkEnd w:id="264"/>
      <w:bookmarkEnd w:id="265"/>
    </w:p>
    <w:p>
      <w:pPr>
        <w:pStyle w:val="4"/>
        <w:keepNext w:val="0"/>
        <w:keepLines w:val="0"/>
        <w:spacing w:before="0" w:after="0" w:line="400" w:lineRule="exact"/>
        <w:ind w:firstLine="472" w:firstLineChars="196"/>
        <w:rPr>
          <w:rFonts w:ascii="宋体" w:hAnsi="宋体" w:eastAsia="宋体" w:cs="宋体"/>
          <w:color w:val="auto"/>
          <w:sz w:val="24"/>
          <w:szCs w:val="24"/>
          <w:highlight w:val="none"/>
        </w:rPr>
      </w:pPr>
      <w:bookmarkStart w:id="266" w:name="_Toc209847065"/>
      <w:bookmarkStart w:id="267" w:name="_Toc101250640"/>
      <w:bookmarkStart w:id="268" w:name="_Toc101174146"/>
      <w:bookmarkStart w:id="269" w:name="_Toc101338358"/>
      <w:bookmarkStart w:id="270" w:name="_Toc430773924"/>
    </w:p>
    <w:p>
      <w:pPr>
        <w:pStyle w:val="4"/>
        <w:keepNext w:val="0"/>
        <w:keepLines w:val="0"/>
        <w:spacing w:before="0" w:after="0" w:line="400" w:lineRule="exact"/>
        <w:ind w:firstLine="472" w:firstLineChars="196"/>
        <w:rPr>
          <w:rFonts w:ascii="宋体" w:hAnsi="宋体" w:eastAsia="宋体" w:cs="宋体"/>
          <w:color w:val="auto"/>
          <w:sz w:val="24"/>
          <w:szCs w:val="24"/>
          <w:highlight w:val="none"/>
        </w:rPr>
      </w:pPr>
      <w:bookmarkStart w:id="271" w:name="_Toc28072"/>
      <w:bookmarkStart w:id="272" w:name="_Toc15963"/>
      <w:r>
        <w:rPr>
          <w:rFonts w:hint="eastAsia" w:ascii="宋体" w:hAnsi="宋体" w:eastAsia="宋体" w:cs="宋体"/>
          <w:color w:val="auto"/>
          <w:sz w:val="24"/>
          <w:szCs w:val="24"/>
          <w:highlight w:val="none"/>
        </w:rPr>
        <w:t>1.总则</w:t>
      </w:r>
      <w:bookmarkEnd w:id="271"/>
      <w:bookmarkEnd w:id="27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73" w:name="_Toc16787"/>
      <w:bookmarkStart w:id="274" w:name="_Toc13740"/>
      <w:r>
        <w:rPr>
          <w:rFonts w:hint="eastAsia" w:ascii="宋体" w:hAnsi="宋体" w:eastAsia="宋体" w:cs="宋体"/>
          <w:b w:val="0"/>
          <w:color w:val="auto"/>
          <w:sz w:val="24"/>
          <w:szCs w:val="24"/>
          <w:highlight w:val="none"/>
        </w:rPr>
        <w:t>1.1 根据《中华人民共和国政府采购法》、《中华人民共和国政府采购法实施条例》、《政府采购竞争性磋商采购方式管理暂行办法》等法律制度，结合本采购项目特点制定本磋商方法。</w:t>
      </w:r>
      <w:bookmarkEnd w:id="273"/>
      <w:bookmarkEnd w:id="27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75" w:name="_Toc22583"/>
      <w:bookmarkStart w:id="276" w:name="_Toc18996"/>
      <w:r>
        <w:rPr>
          <w:rFonts w:hint="eastAsia" w:ascii="宋体" w:hAnsi="宋体" w:eastAsia="宋体" w:cs="宋体"/>
          <w:b w:val="0"/>
          <w:color w:val="auto"/>
          <w:sz w:val="24"/>
          <w:szCs w:val="24"/>
          <w:highlight w:val="none"/>
        </w:rPr>
        <w:t>1.2 磋商工作由采购代理机构负责组织，具体磋商由采购代理机构依法组建的磋商小组负责。</w:t>
      </w:r>
      <w:bookmarkEnd w:id="275"/>
      <w:bookmarkEnd w:id="276"/>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77" w:name="_Toc3176"/>
      <w:bookmarkStart w:id="278" w:name="_Toc4733"/>
      <w:r>
        <w:rPr>
          <w:rFonts w:hint="eastAsia" w:ascii="宋体" w:hAnsi="宋体" w:eastAsia="宋体" w:cs="宋体"/>
          <w:b w:val="0"/>
          <w:color w:val="auto"/>
          <w:sz w:val="24"/>
          <w:szCs w:val="24"/>
          <w:highlight w:val="none"/>
        </w:rPr>
        <w:t>1.3 磋商工作应遵循公平、公正、科学及择优的原则，并以相同的磋商程序和标准对待所有的供应商。</w:t>
      </w:r>
      <w:bookmarkEnd w:id="277"/>
      <w:bookmarkEnd w:id="27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79" w:name="_Toc14515"/>
      <w:bookmarkStart w:id="280" w:name="_Toc2283"/>
      <w:r>
        <w:rPr>
          <w:rFonts w:hint="eastAsia" w:ascii="宋体" w:hAnsi="宋体" w:eastAsia="宋体" w:cs="宋体"/>
          <w:b w:val="0"/>
          <w:color w:val="auto"/>
          <w:sz w:val="24"/>
          <w:szCs w:val="24"/>
          <w:highlight w:val="none"/>
        </w:rPr>
        <w:t>1.4 磋商小组按照磋商文件规定的磋商程序、评分方法和标准进行评审，并独立履行下列职责：</w:t>
      </w:r>
      <w:bookmarkEnd w:id="279"/>
      <w:bookmarkEnd w:id="28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81" w:name="_Toc21782"/>
      <w:bookmarkStart w:id="282" w:name="_Toc1420"/>
      <w:r>
        <w:rPr>
          <w:rFonts w:hint="eastAsia" w:ascii="宋体" w:hAnsi="宋体" w:eastAsia="宋体" w:cs="宋体"/>
          <w:b w:val="0"/>
          <w:color w:val="auto"/>
          <w:sz w:val="24"/>
          <w:szCs w:val="24"/>
          <w:highlight w:val="none"/>
        </w:rPr>
        <w:t>（一）熟悉和理解磋商文件，确定磋商文件内容是否违反国家有关强制性规定或者磋商文件存在歧义、重大缺陷，根据需要书面要求采购人、采购代理机构对磋商文件作出解释；</w:t>
      </w:r>
      <w:bookmarkEnd w:id="281"/>
      <w:bookmarkEnd w:id="28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83" w:name="_Toc17571"/>
      <w:bookmarkStart w:id="284" w:name="_Toc27271"/>
      <w:r>
        <w:rPr>
          <w:rFonts w:hint="eastAsia" w:ascii="宋体" w:hAnsi="宋体" w:eastAsia="宋体" w:cs="宋体"/>
          <w:b w:val="0"/>
          <w:color w:val="auto"/>
          <w:sz w:val="24"/>
          <w:szCs w:val="24"/>
          <w:highlight w:val="none"/>
        </w:rPr>
        <w:t>（二）审查供应商响应文件是否满足磋商文件要求，并作出公正评价；</w:t>
      </w:r>
      <w:bookmarkEnd w:id="283"/>
      <w:bookmarkEnd w:id="28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85" w:name="_Toc22258"/>
      <w:bookmarkStart w:id="286" w:name="_Toc4736"/>
      <w:r>
        <w:rPr>
          <w:rFonts w:hint="eastAsia" w:ascii="宋体" w:hAnsi="宋体" w:eastAsia="宋体" w:cs="宋体"/>
          <w:b w:val="0"/>
          <w:color w:val="auto"/>
          <w:sz w:val="24"/>
          <w:szCs w:val="24"/>
          <w:highlight w:val="none"/>
        </w:rPr>
        <w:t>（三）根据需要要求供应商对响应文件中含义不明确、同类问题表述不一致或者有明显文字和计算错误的内容等作出必要的澄清、说明或者更正；</w:t>
      </w:r>
      <w:bookmarkEnd w:id="285"/>
      <w:bookmarkEnd w:id="286"/>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87" w:name="_Toc1484"/>
      <w:bookmarkStart w:id="288" w:name="_Toc18765"/>
      <w:r>
        <w:rPr>
          <w:rFonts w:hint="eastAsia" w:ascii="宋体" w:hAnsi="宋体" w:eastAsia="宋体" w:cs="宋体"/>
          <w:b w:val="0"/>
          <w:color w:val="auto"/>
          <w:sz w:val="24"/>
          <w:szCs w:val="24"/>
          <w:highlight w:val="none"/>
        </w:rPr>
        <w:t>（四）推荐成交供应商，或者受采购人委托确定成交供应商；</w:t>
      </w:r>
      <w:bookmarkEnd w:id="287"/>
      <w:bookmarkEnd w:id="28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89" w:name="_Toc8688"/>
      <w:bookmarkStart w:id="290" w:name="_Toc2650"/>
      <w:r>
        <w:rPr>
          <w:rFonts w:hint="eastAsia" w:ascii="宋体" w:hAnsi="宋体" w:eastAsia="宋体" w:cs="宋体"/>
          <w:b w:val="0"/>
          <w:color w:val="auto"/>
          <w:sz w:val="24"/>
          <w:szCs w:val="24"/>
          <w:highlight w:val="none"/>
        </w:rPr>
        <w:t>（五）起草评审报告并进行签署；</w:t>
      </w:r>
      <w:bookmarkEnd w:id="289"/>
      <w:bookmarkEnd w:id="29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91" w:name="_Toc16657"/>
      <w:bookmarkStart w:id="292" w:name="_Toc18007"/>
      <w:r>
        <w:rPr>
          <w:rFonts w:hint="eastAsia" w:ascii="宋体" w:hAnsi="宋体" w:eastAsia="宋体" w:cs="宋体"/>
          <w:b w:val="0"/>
          <w:color w:val="auto"/>
          <w:sz w:val="24"/>
          <w:szCs w:val="24"/>
          <w:highlight w:val="none"/>
        </w:rPr>
        <w:t>（六）向采购人/采购代理机构、财政部门或者其他监督部门报告非法干预评审工作的行为；</w:t>
      </w:r>
      <w:bookmarkEnd w:id="291"/>
      <w:bookmarkEnd w:id="29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93" w:name="_Toc7650"/>
      <w:bookmarkStart w:id="294" w:name="_Toc10425"/>
      <w:r>
        <w:rPr>
          <w:rFonts w:hint="eastAsia" w:ascii="宋体" w:hAnsi="宋体" w:eastAsia="宋体" w:cs="宋体"/>
          <w:b w:val="0"/>
          <w:color w:val="auto"/>
          <w:sz w:val="24"/>
          <w:szCs w:val="24"/>
          <w:highlight w:val="none"/>
        </w:rPr>
        <w:t>（七）法律、法规和规章规定的其他职责。</w:t>
      </w:r>
      <w:bookmarkEnd w:id="293"/>
      <w:bookmarkEnd w:id="29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95" w:name="_Toc910"/>
      <w:bookmarkStart w:id="296" w:name="_Toc6642"/>
      <w:r>
        <w:rPr>
          <w:rFonts w:hint="eastAsia" w:ascii="宋体" w:hAnsi="宋体" w:eastAsia="宋体" w:cs="宋体"/>
          <w:b w:val="0"/>
          <w:color w:val="auto"/>
          <w:sz w:val="24"/>
          <w:szCs w:val="24"/>
          <w:highlight w:val="none"/>
        </w:rPr>
        <w:t>1.5磋商过程独立、保密。供应商非法干预磋商过程的，其响应文件作无效处理。</w:t>
      </w:r>
      <w:bookmarkEnd w:id="295"/>
      <w:bookmarkEnd w:id="296"/>
    </w:p>
    <w:p>
      <w:pPr>
        <w:ind w:firstLine="413"/>
        <w:rPr>
          <w:rFonts w:ascii="宋体" w:hAnsi="宋体" w:cs="宋体"/>
          <w:color w:val="auto"/>
          <w:highlight w:val="none"/>
        </w:rPr>
      </w:pPr>
    </w:p>
    <w:p>
      <w:pPr>
        <w:pStyle w:val="4"/>
        <w:keepNext w:val="0"/>
        <w:keepLines w:val="0"/>
        <w:spacing w:before="0" w:after="0" w:line="400" w:lineRule="exact"/>
        <w:ind w:firstLine="472" w:firstLineChars="196"/>
        <w:rPr>
          <w:rFonts w:ascii="宋体" w:hAnsi="宋体" w:eastAsia="宋体" w:cs="宋体"/>
          <w:color w:val="auto"/>
          <w:sz w:val="24"/>
          <w:szCs w:val="24"/>
          <w:highlight w:val="none"/>
        </w:rPr>
      </w:pPr>
      <w:bookmarkStart w:id="297" w:name="_Toc24086"/>
      <w:bookmarkStart w:id="298" w:name="_Toc27356"/>
      <w:r>
        <w:rPr>
          <w:rFonts w:hint="eastAsia" w:ascii="宋体" w:hAnsi="宋体" w:eastAsia="宋体" w:cs="宋体"/>
          <w:color w:val="auto"/>
          <w:sz w:val="24"/>
          <w:szCs w:val="24"/>
          <w:highlight w:val="none"/>
        </w:rPr>
        <w:t>2.磋商程序</w:t>
      </w:r>
      <w:bookmarkEnd w:id="297"/>
      <w:bookmarkEnd w:id="29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299" w:name="_Toc27671"/>
      <w:bookmarkStart w:id="300" w:name="_Toc316"/>
      <w:r>
        <w:rPr>
          <w:rFonts w:hint="eastAsia" w:ascii="宋体" w:hAnsi="宋体" w:eastAsia="宋体" w:cs="宋体"/>
          <w:b w:val="0"/>
          <w:color w:val="auto"/>
          <w:sz w:val="24"/>
          <w:szCs w:val="24"/>
          <w:highlight w:val="none"/>
        </w:rPr>
        <w:t>2.1审查磋商文件和停止评审。</w:t>
      </w:r>
      <w:bookmarkEnd w:id="299"/>
      <w:bookmarkEnd w:id="30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01" w:name="_Toc22898"/>
      <w:bookmarkStart w:id="302" w:name="_Toc3387"/>
      <w:r>
        <w:rPr>
          <w:rFonts w:hint="eastAsia" w:ascii="宋体" w:hAnsi="宋体" w:eastAsia="宋体" w:cs="宋体"/>
          <w:b w:val="0"/>
          <w:color w:val="auto"/>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bookmarkEnd w:id="301"/>
      <w:bookmarkEnd w:id="30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03" w:name="_Toc6845"/>
      <w:bookmarkStart w:id="304" w:name="_Toc7305"/>
      <w:r>
        <w:rPr>
          <w:rFonts w:hint="eastAsia" w:ascii="宋体" w:hAnsi="宋体" w:eastAsia="宋体" w:cs="宋体"/>
          <w:b w:val="0"/>
          <w:color w:val="auto"/>
          <w:sz w:val="24"/>
          <w:szCs w:val="24"/>
          <w:highlight w:val="none"/>
        </w:rPr>
        <w:t>2.1.2 本磋商文件有下列情形之一的，磋商小组应当停止评审：</w:t>
      </w:r>
      <w:bookmarkEnd w:id="303"/>
      <w:bookmarkEnd w:id="30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05" w:name="_Toc23007"/>
      <w:bookmarkStart w:id="306" w:name="_Toc25925"/>
      <w:r>
        <w:rPr>
          <w:rFonts w:hint="eastAsia" w:ascii="宋体" w:hAnsi="宋体" w:eastAsia="宋体" w:cs="宋体"/>
          <w:b w:val="0"/>
          <w:color w:val="auto"/>
          <w:sz w:val="24"/>
          <w:szCs w:val="24"/>
          <w:highlight w:val="none"/>
        </w:rPr>
        <w:t>（1）磋商文件的规定存在歧义、重大缺陷的；</w:t>
      </w:r>
      <w:bookmarkEnd w:id="305"/>
      <w:bookmarkEnd w:id="306"/>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07" w:name="_Toc21961"/>
      <w:bookmarkStart w:id="308" w:name="_Toc21990"/>
      <w:r>
        <w:rPr>
          <w:rFonts w:hint="eastAsia" w:ascii="宋体" w:hAnsi="宋体" w:eastAsia="宋体" w:cs="宋体"/>
          <w:b w:val="0"/>
          <w:color w:val="auto"/>
          <w:sz w:val="24"/>
          <w:szCs w:val="24"/>
          <w:highlight w:val="none"/>
        </w:rPr>
        <w:t>（2）磋商文件明显以不合理条件对供应商实行差别待遇或者歧视待遇的；</w:t>
      </w:r>
      <w:bookmarkEnd w:id="307"/>
      <w:bookmarkEnd w:id="30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09" w:name="_Toc24843"/>
      <w:bookmarkStart w:id="310" w:name="_Toc9530"/>
      <w:r>
        <w:rPr>
          <w:rFonts w:hint="eastAsia" w:ascii="宋体" w:hAnsi="宋体" w:eastAsia="宋体" w:cs="宋体"/>
          <w:b w:val="0"/>
          <w:color w:val="auto"/>
          <w:sz w:val="24"/>
          <w:szCs w:val="24"/>
          <w:highlight w:val="none"/>
        </w:rPr>
        <w:t>（3）采购项目属于国家规定的优先、强制采购范围，但是磋商文件未依法体现优先、强制采购相关规定的；</w:t>
      </w:r>
      <w:bookmarkEnd w:id="309"/>
      <w:bookmarkEnd w:id="31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11" w:name="_Toc32625"/>
      <w:bookmarkStart w:id="312" w:name="_Toc4234"/>
      <w:r>
        <w:rPr>
          <w:rFonts w:hint="eastAsia" w:ascii="宋体" w:hAnsi="宋体" w:eastAsia="宋体" w:cs="宋体"/>
          <w:b w:val="0"/>
          <w:color w:val="auto"/>
          <w:sz w:val="24"/>
          <w:szCs w:val="24"/>
          <w:highlight w:val="none"/>
        </w:rPr>
        <w:t>（4）采购项目属于政府采购促进中小企业发展的范围，但是磋商文件未依法体现促进中小企业发展相关规定的；</w:t>
      </w:r>
      <w:bookmarkEnd w:id="311"/>
      <w:bookmarkEnd w:id="31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13" w:name="_Toc6177"/>
      <w:bookmarkStart w:id="314" w:name="_Toc8175"/>
      <w:r>
        <w:rPr>
          <w:rFonts w:hint="eastAsia" w:ascii="宋体" w:hAnsi="宋体" w:eastAsia="宋体" w:cs="宋体"/>
          <w:b w:val="0"/>
          <w:color w:val="auto"/>
          <w:sz w:val="24"/>
          <w:szCs w:val="24"/>
          <w:highlight w:val="none"/>
        </w:rPr>
        <w:t>（5）磋商文件将供应商的资格条件列为评分因素的；</w:t>
      </w:r>
      <w:bookmarkEnd w:id="313"/>
      <w:bookmarkEnd w:id="31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15" w:name="_Toc24949"/>
      <w:bookmarkStart w:id="316" w:name="_Toc22993"/>
      <w:r>
        <w:rPr>
          <w:rFonts w:hint="eastAsia" w:ascii="宋体" w:hAnsi="宋体" w:eastAsia="宋体" w:cs="宋体"/>
          <w:b w:val="0"/>
          <w:color w:val="auto"/>
          <w:sz w:val="24"/>
          <w:szCs w:val="24"/>
          <w:highlight w:val="none"/>
        </w:rPr>
        <w:t>（6）磋商文件载明的成交原则不合法的；</w:t>
      </w:r>
      <w:bookmarkEnd w:id="315"/>
      <w:bookmarkEnd w:id="316"/>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17" w:name="_Toc28355"/>
      <w:bookmarkStart w:id="318" w:name="_Toc28445"/>
      <w:r>
        <w:rPr>
          <w:rFonts w:hint="eastAsia" w:ascii="宋体" w:hAnsi="宋体" w:eastAsia="宋体" w:cs="宋体"/>
          <w:b w:val="0"/>
          <w:color w:val="auto"/>
          <w:sz w:val="24"/>
          <w:szCs w:val="24"/>
          <w:highlight w:val="none"/>
        </w:rPr>
        <w:t>（7）磋商文件有违反国家其他有关强制性规定的情形。</w:t>
      </w:r>
      <w:bookmarkEnd w:id="317"/>
      <w:bookmarkEnd w:id="31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19" w:name="_Toc11116"/>
      <w:bookmarkStart w:id="320" w:name="_Toc27158"/>
      <w:r>
        <w:rPr>
          <w:rFonts w:hint="eastAsia" w:ascii="宋体" w:hAnsi="宋体" w:eastAsia="宋体" w:cs="宋体"/>
          <w:b w:val="0"/>
          <w:color w:val="auto"/>
          <w:sz w:val="24"/>
          <w:szCs w:val="24"/>
          <w:highlight w:val="none"/>
        </w:rPr>
        <w:t>2.1.3 出现本条2.1.2规定应当停止评审情形的，磋商小组应当向采购组织单位书面说明情况。除本条规定的情形外，磋商小组不得以任何方式和理由停止评审。</w:t>
      </w:r>
      <w:bookmarkEnd w:id="319"/>
      <w:bookmarkEnd w:id="32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21" w:name="_Toc979"/>
      <w:bookmarkStart w:id="322" w:name="_Toc8215"/>
      <w:r>
        <w:rPr>
          <w:rFonts w:hint="eastAsia" w:ascii="宋体" w:hAnsi="宋体" w:eastAsia="宋体" w:cs="宋体"/>
          <w:b w:val="0"/>
          <w:color w:val="auto"/>
          <w:sz w:val="24"/>
          <w:szCs w:val="24"/>
          <w:highlight w:val="none"/>
        </w:rPr>
        <w:t>2.2资格性审查。</w:t>
      </w:r>
      <w:bookmarkEnd w:id="321"/>
      <w:bookmarkEnd w:id="32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23" w:name="_Toc9451"/>
      <w:bookmarkStart w:id="324" w:name="_Toc30971"/>
      <w:r>
        <w:rPr>
          <w:rFonts w:hint="eastAsia" w:ascii="宋体" w:hAnsi="宋体" w:eastAsia="宋体" w:cs="宋体"/>
          <w:b w:val="0"/>
          <w:color w:val="auto"/>
          <w:sz w:val="24"/>
          <w:szCs w:val="24"/>
          <w:highlight w:val="none"/>
        </w:rPr>
        <w:t>2.2.1本项目需要磋商小组进行资格性检查。</w:t>
      </w:r>
      <w:bookmarkEnd w:id="323"/>
      <w:bookmarkEnd w:id="32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25" w:name="_Toc614"/>
      <w:bookmarkStart w:id="326" w:name="_Toc28308"/>
      <w:r>
        <w:rPr>
          <w:rFonts w:hint="eastAsia" w:ascii="宋体" w:hAnsi="宋体" w:eastAsia="宋体" w:cs="宋体"/>
          <w:b w:val="0"/>
          <w:color w:val="auto"/>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bookmarkEnd w:id="325"/>
      <w:bookmarkEnd w:id="326"/>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27" w:name="_Toc24113"/>
      <w:bookmarkStart w:id="328" w:name="_Toc17567"/>
      <w:r>
        <w:rPr>
          <w:rFonts w:hint="eastAsia" w:ascii="宋体" w:hAnsi="宋体" w:eastAsia="宋体" w:cs="宋体"/>
          <w:b w:val="0"/>
          <w:color w:val="auto"/>
          <w:sz w:val="24"/>
          <w:szCs w:val="24"/>
          <w:highlight w:val="none"/>
        </w:rPr>
        <w:t>2.2.2资格性审查结束后，磋商小组应当出具资格性审查报告，没有通过资格审查的供应商，磋商小组应当在资格审查报告中说明原因。</w:t>
      </w:r>
      <w:bookmarkEnd w:id="327"/>
      <w:bookmarkEnd w:id="32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29" w:name="_Toc22315"/>
      <w:bookmarkStart w:id="330" w:name="_Toc27279"/>
      <w:r>
        <w:rPr>
          <w:rFonts w:hint="eastAsia" w:ascii="宋体" w:hAnsi="宋体" w:eastAsia="宋体" w:cs="宋体"/>
          <w:b w:val="0"/>
          <w:color w:val="auto"/>
          <w:sz w:val="24"/>
          <w:szCs w:val="24"/>
          <w:highlight w:val="none"/>
        </w:rPr>
        <w:t>2.2.3采购人或者采购代理机构宣布未通过资格性审查的供应商名单时，应当告知供应商未通过审查的原因。</w:t>
      </w:r>
      <w:bookmarkEnd w:id="329"/>
      <w:bookmarkEnd w:id="33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31" w:name="_Toc6227"/>
      <w:bookmarkStart w:id="332" w:name="_Toc3713"/>
      <w:r>
        <w:rPr>
          <w:rFonts w:hint="eastAsia" w:ascii="宋体" w:hAnsi="宋体" w:eastAsia="宋体" w:cs="宋体"/>
          <w:b w:val="0"/>
          <w:color w:val="auto"/>
          <w:sz w:val="24"/>
          <w:szCs w:val="24"/>
          <w:highlight w:val="none"/>
        </w:rPr>
        <w:t>2.3 通过资格性审查的供应商不足3家的（本章2.3.1的情况除外），终止本次采购活动，并发布终止采购活动公告。</w:t>
      </w:r>
      <w:bookmarkEnd w:id="331"/>
      <w:bookmarkEnd w:id="33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lang w:val="zh-CN"/>
        </w:rPr>
      </w:pPr>
      <w:bookmarkStart w:id="333" w:name="_Toc30587"/>
      <w:bookmarkStart w:id="334" w:name="_Toc7459"/>
      <w:r>
        <w:rPr>
          <w:rFonts w:hint="eastAsia" w:ascii="宋体" w:hAnsi="宋体" w:eastAsia="宋体" w:cs="宋体"/>
          <w:b w:val="0"/>
          <w:color w:val="auto"/>
          <w:sz w:val="24"/>
          <w:szCs w:val="24"/>
          <w:highlight w:val="none"/>
        </w:rPr>
        <w:t>2.3.1</w:t>
      </w:r>
      <w:r>
        <w:rPr>
          <w:rFonts w:hint="eastAsia" w:ascii="宋体" w:hAnsi="宋体" w:eastAsia="宋体" w:cs="宋体"/>
          <w:b w:val="0"/>
          <w:color w:val="auto"/>
          <w:sz w:val="24"/>
          <w:szCs w:val="24"/>
          <w:highlight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bookmarkEnd w:id="333"/>
      <w:bookmarkEnd w:id="33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35" w:name="_Toc28242"/>
      <w:bookmarkStart w:id="336" w:name="_Toc24009"/>
      <w:r>
        <w:rPr>
          <w:rFonts w:hint="eastAsia" w:ascii="宋体" w:hAnsi="宋体" w:eastAsia="宋体" w:cs="宋体"/>
          <w:b w:val="0"/>
          <w:color w:val="auto"/>
          <w:sz w:val="24"/>
          <w:szCs w:val="24"/>
          <w:highlight w:val="none"/>
        </w:rPr>
        <w:t>2.4磋商。</w:t>
      </w:r>
      <w:bookmarkEnd w:id="335"/>
      <w:bookmarkEnd w:id="336"/>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37" w:name="_Toc9198"/>
      <w:bookmarkStart w:id="338" w:name="_Toc30409"/>
      <w:r>
        <w:rPr>
          <w:rFonts w:hint="eastAsia" w:ascii="宋体" w:hAnsi="宋体" w:eastAsia="宋体" w:cs="宋体"/>
          <w:b w:val="0"/>
          <w:color w:val="auto"/>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bookmarkEnd w:id="337"/>
      <w:bookmarkEnd w:id="33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39" w:name="_Toc26215"/>
      <w:bookmarkStart w:id="340" w:name="_Toc609"/>
      <w:r>
        <w:rPr>
          <w:rFonts w:hint="eastAsia" w:ascii="宋体" w:hAnsi="宋体" w:eastAsia="宋体" w:cs="宋体"/>
          <w:b w:val="0"/>
          <w:color w:val="auto"/>
          <w:sz w:val="24"/>
          <w:szCs w:val="24"/>
          <w:highlight w:val="none"/>
        </w:rPr>
        <w:t>2.4.2每轮磋商开始前，磋商小组应根据磋商文件的规定，并结合各供应商的响应文件拟定磋商内容。</w:t>
      </w:r>
      <w:bookmarkEnd w:id="339"/>
      <w:bookmarkEnd w:id="340"/>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41" w:name="_Toc25988"/>
      <w:bookmarkStart w:id="342" w:name="_Toc8193"/>
      <w:r>
        <w:rPr>
          <w:rFonts w:hint="eastAsia" w:ascii="宋体" w:hAnsi="宋体" w:eastAsia="宋体" w:cs="宋体"/>
          <w:b w:val="0"/>
          <w:color w:val="auto"/>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bookmarkEnd w:id="341"/>
      <w:bookmarkEnd w:id="342"/>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43" w:name="_Toc12114"/>
      <w:bookmarkStart w:id="344" w:name="_Toc19782"/>
      <w:r>
        <w:rPr>
          <w:rFonts w:hint="eastAsia" w:ascii="宋体" w:hAnsi="宋体" w:eastAsia="宋体" w:cs="宋体"/>
          <w:b w:val="0"/>
          <w:color w:val="auto"/>
          <w:sz w:val="24"/>
          <w:szCs w:val="24"/>
          <w:highlight w:val="none"/>
        </w:rPr>
        <w:t>2.4.4对磋商文件作出的实质性变动是磋商文件的有效组成部分，磋商小组应当及时以书面形式同时通知所有参加磋商的供应商。</w:t>
      </w:r>
      <w:bookmarkEnd w:id="343"/>
      <w:bookmarkEnd w:id="344"/>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45" w:name="_Toc14764"/>
      <w:bookmarkStart w:id="346" w:name="_Toc20339"/>
      <w:r>
        <w:rPr>
          <w:rFonts w:hint="eastAsia" w:ascii="宋体" w:hAnsi="宋体" w:eastAsia="宋体" w:cs="宋体"/>
          <w:b w:val="0"/>
          <w:color w:val="auto"/>
          <w:sz w:val="24"/>
          <w:szCs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bookmarkEnd w:id="345"/>
      <w:bookmarkEnd w:id="346"/>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rPr>
        <w:t>2.4.6磋商过程中，</w:t>
      </w:r>
      <w:r>
        <w:rPr>
          <w:rFonts w:hint="eastAsia" w:hAnsi="宋体" w:cs="宋体"/>
          <w:color w:val="auto"/>
          <w:sz w:val="24"/>
          <w:szCs w:val="24"/>
          <w:highlight w:val="none"/>
          <w:lang w:val="zh-CN"/>
        </w:rPr>
        <w:t>磋商小组对响应文件的有效性、完整性和响应程度进行审查，审查中发现供应商响应文件属于下列情况之一的，应按照无效响应文件处理：</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（1）响应文件正副本数量不足的；</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w:t>
      </w:r>
      <w:r>
        <w:rPr>
          <w:rFonts w:hint="eastAsia" w:hAnsi="宋体" w:cs="宋体"/>
          <w:color w:val="auto"/>
          <w:sz w:val="24"/>
          <w:szCs w:val="24"/>
          <w:highlight w:val="none"/>
        </w:rPr>
        <w:t>2</w:t>
      </w:r>
      <w:r>
        <w:rPr>
          <w:rFonts w:hint="eastAsia" w:hAnsi="宋体" w:cs="宋体"/>
          <w:color w:val="auto"/>
          <w:sz w:val="24"/>
          <w:szCs w:val="24"/>
          <w:highlight w:val="none"/>
          <w:lang w:val="zh-CN"/>
        </w:rPr>
        <w:t>）响应文件组成明显不符合采购文件的规定要求，影响评审委员会评判的；</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w:t>
      </w:r>
      <w:r>
        <w:rPr>
          <w:rFonts w:hint="eastAsia" w:hAnsi="宋体" w:cs="宋体"/>
          <w:color w:val="auto"/>
          <w:sz w:val="24"/>
          <w:szCs w:val="24"/>
          <w:highlight w:val="none"/>
        </w:rPr>
        <w:t>3</w:t>
      </w:r>
      <w:r>
        <w:rPr>
          <w:rFonts w:hint="eastAsia" w:hAnsi="宋体" w:cs="宋体"/>
          <w:color w:val="auto"/>
          <w:sz w:val="24"/>
          <w:szCs w:val="24"/>
          <w:highlight w:val="none"/>
          <w:lang w:val="zh-CN"/>
        </w:rPr>
        <w:t>）响应文件的语言、计量单位、知识产权、响应有效期等不符合采购文件的规定，影响磋商小组评判的；</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（4）经最终磋商后，供应商的响应文件仍不能完全响应采购文件的实质性要求的；</w:t>
      </w:r>
    </w:p>
    <w:p>
      <w:pPr>
        <w:pStyle w:val="16"/>
        <w:snapToGrid w:val="0"/>
        <w:spacing w:line="300" w:lineRule="auto"/>
        <w:ind w:firstLine="480" w:firstLineChars="200"/>
        <w:rPr>
          <w:rFonts w:hAnsi="宋体" w:cs="宋体"/>
          <w:color w:val="auto"/>
          <w:sz w:val="24"/>
          <w:highlight w:val="none"/>
        </w:rPr>
      </w:pPr>
      <w:r>
        <w:rPr>
          <w:rFonts w:hint="eastAsia" w:hAnsi="宋体" w:cs="宋体"/>
          <w:color w:val="auto"/>
          <w:sz w:val="24"/>
          <w:szCs w:val="24"/>
          <w:highlight w:val="none"/>
          <w:lang w:val="zh-CN"/>
        </w:rPr>
        <w:t xml:space="preserve"> </w:t>
      </w:r>
      <w:r>
        <w:rPr>
          <w:rFonts w:hint="eastAsia" w:hAnsi="宋体" w:cs="宋体"/>
          <w:color w:val="auto"/>
          <w:sz w:val="24"/>
          <w:highlight w:val="none"/>
          <w:lang w:val="zh-CN"/>
        </w:rPr>
        <w:t>(5)</w:t>
      </w:r>
      <w:r>
        <w:rPr>
          <w:rFonts w:hint="eastAsia" w:hAnsi="宋体" w:cs="宋体"/>
          <w:color w:val="auto"/>
          <w:sz w:val="24"/>
          <w:highlight w:val="none"/>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(6)属于竞争性磋商文件中无效响应情形的。</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但磋商小组对响应文件签署、盖章等进行审查过程中，有下列情形的，磋商小组应当评定为不影响整个响应文件有效性和采购活动公平竞争，并通过响应文件的有效性审查：</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 xml:space="preserve"> （</w:t>
      </w:r>
      <w:r>
        <w:rPr>
          <w:rFonts w:hint="eastAsia" w:hAnsi="宋体" w:cs="宋体"/>
          <w:color w:val="auto"/>
          <w:sz w:val="24"/>
          <w:szCs w:val="24"/>
          <w:highlight w:val="none"/>
        </w:rPr>
        <w:t>1</w:t>
      </w:r>
      <w:r>
        <w:rPr>
          <w:rFonts w:hint="eastAsia" w:hAnsi="宋体" w:cs="宋体"/>
          <w:color w:val="auto"/>
          <w:sz w:val="24"/>
          <w:szCs w:val="24"/>
          <w:highlight w:val="none"/>
          <w:lang w:val="zh-CN"/>
        </w:rPr>
        <w:t>）响应文件正副本数量齐全；</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 xml:space="preserve"> （</w:t>
      </w:r>
      <w:r>
        <w:rPr>
          <w:rFonts w:hint="eastAsia" w:hAnsi="宋体" w:cs="宋体"/>
          <w:color w:val="auto"/>
          <w:sz w:val="24"/>
          <w:szCs w:val="24"/>
          <w:highlight w:val="none"/>
        </w:rPr>
        <w:t>2</w:t>
      </w:r>
      <w:r>
        <w:rPr>
          <w:rFonts w:hint="eastAsia" w:hAnsi="宋体" w:cs="宋体"/>
          <w:color w:val="auto"/>
          <w:sz w:val="24"/>
          <w:szCs w:val="24"/>
          <w:highlight w:val="none"/>
          <w:lang w:val="zh-CN"/>
        </w:rPr>
        <w:t>）响应文件存在个别地方（总数不能超过2个）没有法定代表人/单位负责人签字，但有法定代表人/单位负责人的私人印章或者有效授权代理人签字的；</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 xml:space="preserve"> （</w:t>
      </w:r>
      <w:r>
        <w:rPr>
          <w:rFonts w:hint="eastAsia" w:hAnsi="宋体" w:cs="宋体"/>
          <w:color w:val="auto"/>
          <w:sz w:val="24"/>
          <w:szCs w:val="24"/>
          <w:highlight w:val="none"/>
        </w:rPr>
        <w:t>3</w:t>
      </w:r>
      <w:r>
        <w:rPr>
          <w:rFonts w:hint="eastAsia" w:hAnsi="宋体" w:cs="宋体"/>
          <w:color w:val="auto"/>
          <w:sz w:val="24"/>
          <w:szCs w:val="24"/>
          <w:highlight w:val="none"/>
          <w:lang w:val="zh-CN"/>
        </w:rPr>
        <w:t>）响应文件除采购文件明确要求加盖单位(法人)公章的以外，其他地方以相关专用章加盖的；</w:t>
      </w:r>
    </w:p>
    <w:p>
      <w:pPr>
        <w:pStyle w:val="16"/>
        <w:snapToGrid w:val="0"/>
        <w:spacing w:line="300" w:lineRule="auto"/>
        <w:ind w:firstLine="480" w:firstLineChars="200"/>
        <w:rPr>
          <w:rFonts w:hAnsi="宋体" w:cs="宋体"/>
          <w:color w:val="auto"/>
          <w:sz w:val="24"/>
          <w:szCs w:val="24"/>
          <w:highlight w:val="none"/>
          <w:lang w:val="zh-CN"/>
        </w:rPr>
      </w:pPr>
      <w:r>
        <w:rPr>
          <w:rFonts w:hint="eastAsia" w:hAnsi="宋体" w:cs="宋体"/>
          <w:color w:val="auto"/>
          <w:sz w:val="24"/>
          <w:szCs w:val="24"/>
          <w:highlight w:val="none"/>
          <w:lang w:val="zh-CN"/>
        </w:rPr>
        <w:t xml:space="preserve"> （</w:t>
      </w:r>
      <w:r>
        <w:rPr>
          <w:rFonts w:hint="eastAsia" w:hAnsi="宋体" w:cs="宋体"/>
          <w:color w:val="auto"/>
          <w:sz w:val="24"/>
          <w:szCs w:val="24"/>
          <w:highlight w:val="none"/>
        </w:rPr>
        <w:t>4</w:t>
      </w:r>
      <w:r>
        <w:rPr>
          <w:rFonts w:hint="eastAsia" w:hAnsi="宋体" w:cs="宋体"/>
          <w:color w:val="auto"/>
          <w:sz w:val="24"/>
          <w:szCs w:val="24"/>
          <w:highlight w:val="none"/>
          <w:lang w:val="zh-CN"/>
        </w:rPr>
        <w:t>）以骑缝章的形式代替响应文件内容逐页盖章的（但是骑缝章模糊不清，印章名称无法辨认的除外）。</w:t>
      </w:r>
    </w:p>
    <w:p>
      <w:pPr>
        <w:pStyle w:val="16"/>
        <w:snapToGrid w:val="0"/>
        <w:spacing w:line="30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磋商小组</w:t>
      </w:r>
      <w:r>
        <w:rPr>
          <w:rFonts w:hint="eastAsia" w:hAnsi="宋体" w:cs="宋体"/>
          <w:color w:val="auto"/>
          <w:sz w:val="24"/>
          <w:szCs w:val="24"/>
          <w:highlight w:val="none"/>
          <w:lang w:val="zh-CN"/>
        </w:rPr>
        <w:t>对所有响应文件的有效性、完整性和响应程度进行审查</w:t>
      </w:r>
      <w:r>
        <w:rPr>
          <w:rFonts w:hint="eastAsia" w:hAnsi="宋体" w:cs="宋体"/>
          <w:color w:val="auto"/>
          <w:sz w:val="24"/>
          <w:szCs w:val="24"/>
          <w:highlight w:val="none"/>
        </w:rPr>
        <w:t>后，向采购</w:t>
      </w:r>
      <w:r>
        <w:rPr>
          <w:rFonts w:hint="eastAsia" w:hAnsi="宋体" w:cs="宋体"/>
          <w:color w:val="auto"/>
          <w:sz w:val="24"/>
          <w:szCs w:val="24"/>
          <w:highlight w:val="none"/>
          <w:lang w:val="zh-CN"/>
        </w:rPr>
        <w:t>代理机构</w:t>
      </w:r>
      <w:r>
        <w:rPr>
          <w:rFonts w:hint="eastAsia" w:hAnsi="宋体" w:cs="宋体"/>
          <w:color w:val="auto"/>
          <w:sz w:val="24"/>
          <w:szCs w:val="24"/>
          <w:highlight w:val="none"/>
        </w:rPr>
        <w:t>出具</w:t>
      </w:r>
      <w:r>
        <w:rPr>
          <w:rFonts w:hint="eastAsia" w:hAnsi="宋体" w:cs="宋体"/>
          <w:color w:val="auto"/>
          <w:sz w:val="24"/>
          <w:szCs w:val="24"/>
          <w:highlight w:val="none"/>
          <w:lang w:val="zh-CN"/>
        </w:rPr>
        <w:t>有效性、完整性和响应程度</w:t>
      </w:r>
      <w:r>
        <w:rPr>
          <w:rFonts w:hint="eastAsia" w:hAnsi="宋体" w:cs="宋体"/>
          <w:color w:val="auto"/>
          <w:sz w:val="24"/>
          <w:szCs w:val="24"/>
          <w:highlight w:val="none"/>
        </w:rPr>
        <w:t>审查报告，确定继续磋商的供应商名单。没有通过</w:t>
      </w:r>
      <w:r>
        <w:rPr>
          <w:rFonts w:hint="eastAsia" w:hAnsi="宋体" w:cs="宋体"/>
          <w:color w:val="auto"/>
          <w:sz w:val="24"/>
          <w:szCs w:val="24"/>
          <w:highlight w:val="none"/>
          <w:lang w:val="zh-CN"/>
        </w:rPr>
        <w:t>有效性、完整性和响应程度</w:t>
      </w:r>
      <w:r>
        <w:rPr>
          <w:rFonts w:hint="eastAsia" w:hAnsi="宋体" w:cs="宋体"/>
          <w:color w:val="auto"/>
          <w:sz w:val="24"/>
          <w:szCs w:val="24"/>
          <w:highlight w:val="none"/>
        </w:rPr>
        <w:t>审查的供应商，磋商小组应在</w:t>
      </w:r>
      <w:r>
        <w:rPr>
          <w:rFonts w:hint="eastAsia" w:hAnsi="宋体" w:cs="宋体"/>
          <w:color w:val="auto"/>
          <w:sz w:val="24"/>
          <w:szCs w:val="24"/>
          <w:highlight w:val="none"/>
          <w:lang w:val="zh-CN"/>
        </w:rPr>
        <w:t>有效性、完整性和响应程度</w:t>
      </w:r>
      <w:r>
        <w:rPr>
          <w:rFonts w:hint="eastAsia" w:hAnsi="宋体" w:cs="宋体"/>
          <w:color w:val="auto"/>
          <w:sz w:val="24"/>
          <w:szCs w:val="24"/>
          <w:highlight w:val="none"/>
        </w:rPr>
        <w:t>审查报告中说明原因。</w:t>
      </w:r>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47" w:name="_Toc17382"/>
      <w:bookmarkStart w:id="348" w:name="_Toc15741"/>
      <w:r>
        <w:rPr>
          <w:rFonts w:hint="eastAsia" w:ascii="宋体" w:hAnsi="宋体" w:eastAsia="宋体" w:cs="宋体"/>
          <w:b w:val="0"/>
          <w:color w:val="auto"/>
          <w:sz w:val="24"/>
          <w:szCs w:val="24"/>
          <w:highlight w:val="none"/>
        </w:rPr>
        <w:t>2.4.7磋商过程中，磋商的任何一方不得透露与磋商有关的其他供应商的技术资料、价格和其他信息。</w:t>
      </w:r>
      <w:bookmarkEnd w:id="347"/>
      <w:bookmarkEnd w:id="348"/>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49" w:name="_Toc7689"/>
      <w:bookmarkStart w:id="350" w:name="_Toc18340"/>
      <w:r>
        <w:rPr>
          <w:rFonts w:hint="eastAsia" w:ascii="宋体" w:hAnsi="宋体" w:eastAsia="宋体" w:cs="宋体"/>
          <w:b w:val="0"/>
          <w:color w:val="auto"/>
          <w:sz w:val="24"/>
          <w:szCs w:val="24"/>
          <w:highlight w:val="none"/>
        </w:rPr>
        <w:t>2.4.8磋商过程中，磋商小组发现或者知晓供应商存在违法、违纪行为的，磋商小组应当将该供应商响应文件作无效处理，不允许其提交最后报价。</w:t>
      </w:r>
      <w:bookmarkEnd w:id="349"/>
      <w:bookmarkEnd w:id="350"/>
    </w:p>
    <w:p>
      <w:pPr>
        <w:pStyle w:val="4"/>
        <w:keepNext w:val="0"/>
        <w:keepLines w:val="0"/>
        <w:spacing w:before="0" w:after="0" w:line="400" w:lineRule="exact"/>
        <w:ind w:firstLine="470" w:firstLineChars="196"/>
        <w:rPr>
          <w:rFonts w:ascii="宋体" w:hAnsi="宋体" w:eastAsia="宋体" w:cs="宋体"/>
          <w:b w:val="0"/>
          <w:bCs w:val="0"/>
          <w:color w:val="auto"/>
          <w:sz w:val="24"/>
          <w:szCs w:val="24"/>
          <w:highlight w:val="none"/>
        </w:rPr>
      </w:pPr>
      <w:bookmarkStart w:id="351" w:name="_Toc31385"/>
      <w:bookmarkStart w:id="352" w:name="_Toc25371"/>
      <w:r>
        <w:rPr>
          <w:rFonts w:hint="eastAsia" w:ascii="宋体" w:hAnsi="宋体" w:eastAsia="宋体" w:cs="宋体"/>
          <w:b w:val="0"/>
          <w:bCs w:val="0"/>
          <w:color w:val="auto"/>
          <w:sz w:val="24"/>
          <w:szCs w:val="24"/>
          <w:highlight w:val="none"/>
        </w:rPr>
        <w:t>2.4.9磋商完成后，磋商小组应出具磋商情况记录表，磋商情况记录表需包含磋商内容、磋商意见、实质性变动内容等。</w:t>
      </w:r>
      <w:bookmarkEnd w:id="351"/>
      <w:bookmarkEnd w:id="352"/>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2.5.1本次磋商采购采用现场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2.5.2磋商文件能够详细列明采购标的的技术、服务要求的，磋商结束后，磋商小组应当要求所有实质性响应的供应商在规定时间内提交最后报价，提交最后报价的供应商不得少于3家</w:t>
      </w:r>
      <w:r>
        <w:rPr>
          <w:rFonts w:hint="eastAsia" w:ascii="宋体" w:hAnsi="宋体" w:cs="宋体"/>
          <w:b/>
          <w:color w:val="auto"/>
          <w:sz w:val="24"/>
          <w:highlight w:val="none"/>
        </w:rPr>
        <w:t>（本章2.3.1和</w:t>
      </w:r>
      <w:r>
        <w:rPr>
          <w:rFonts w:hint="eastAsia" w:ascii="宋体" w:hAnsi="宋体" w:cs="宋体"/>
          <w:color w:val="auto"/>
          <w:sz w:val="24"/>
          <w:highlight w:val="none"/>
        </w:rPr>
        <w:t>2.5.3</w:t>
      </w:r>
      <w:r>
        <w:rPr>
          <w:rFonts w:hint="eastAsia" w:ascii="宋体" w:hAnsi="宋体" w:cs="宋体"/>
          <w:b/>
          <w:color w:val="auto"/>
          <w:sz w:val="24"/>
          <w:highlight w:val="none"/>
        </w:rPr>
        <w:t>的情况除外）</w:t>
      </w:r>
      <w:r>
        <w:rPr>
          <w:rFonts w:hint="eastAsia" w:ascii="宋体" w:hAnsi="宋体" w:cs="宋体"/>
          <w:color w:val="auto"/>
          <w:sz w:val="24"/>
          <w:highlight w:val="none"/>
        </w:rPr>
        <w:t>。或磋商文件不能详细列明采购标的的技术、服务要求，需经磋商由供应商提供最终设计方案或解决方案的，磋商结束后，磋商小组应当按照少数服从多数的原则投票推荐3家以上</w:t>
      </w:r>
      <w:r>
        <w:rPr>
          <w:rFonts w:hint="eastAsia" w:ascii="宋体" w:hAnsi="宋体" w:cs="宋体"/>
          <w:b/>
          <w:color w:val="auto"/>
          <w:sz w:val="24"/>
          <w:highlight w:val="none"/>
        </w:rPr>
        <w:t>（本章2.3.1和</w:t>
      </w:r>
      <w:r>
        <w:rPr>
          <w:rFonts w:hint="eastAsia" w:ascii="宋体" w:hAnsi="宋体" w:cs="宋体"/>
          <w:color w:val="auto"/>
          <w:sz w:val="24"/>
          <w:highlight w:val="none"/>
        </w:rPr>
        <w:t>2.5.3</w:t>
      </w:r>
      <w:r>
        <w:rPr>
          <w:rFonts w:hint="eastAsia" w:ascii="宋体" w:hAnsi="宋体" w:cs="宋体"/>
          <w:b/>
          <w:color w:val="auto"/>
          <w:sz w:val="24"/>
          <w:highlight w:val="none"/>
        </w:rPr>
        <w:t>的情况除外）</w:t>
      </w:r>
      <w:r>
        <w:rPr>
          <w:rFonts w:hint="eastAsia" w:ascii="宋体" w:hAnsi="宋体" w:cs="宋体"/>
          <w:color w:val="auto"/>
          <w:sz w:val="24"/>
          <w:highlight w:val="none"/>
        </w:rPr>
        <w:t>供应商的设计方案或者解决方案，并要求其在规定时间内提交最后报价。</w:t>
      </w:r>
    </w:p>
    <w:p>
      <w:pPr>
        <w:spacing w:line="40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2.5.3符合</w:t>
      </w:r>
      <w:bookmarkStart w:id="353" w:name="_Toc30986"/>
      <w:r>
        <w:rPr>
          <w:rFonts w:hint="eastAsia" w:ascii="宋体" w:hAnsi="宋体" w:cs="宋体"/>
          <w:color w:val="auto"/>
          <w:sz w:val="24"/>
          <w:highlight w:val="none"/>
        </w:rPr>
        <w:t>《</w:t>
      </w:r>
      <w:r>
        <w:rPr>
          <w:rFonts w:hint="eastAsia" w:ascii="宋体" w:hAnsi="宋体" w:cs="宋体"/>
          <w:b/>
          <w:bCs/>
          <w:color w:val="auto"/>
          <w:sz w:val="24"/>
          <w:highlight w:val="none"/>
        </w:rPr>
        <w:t>政府采购竞争性磋商采购方式管理暂行办法财库》〔2014〕214号</w:t>
      </w:r>
      <w:bookmarkEnd w:id="353"/>
      <w:r>
        <w:rPr>
          <w:rFonts w:hint="eastAsia" w:ascii="宋体" w:hAnsi="宋体" w:cs="宋体"/>
          <w:b/>
          <w:bCs/>
          <w:color w:val="auto"/>
          <w:sz w:val="24"/>
          <w:highlight w:val="none"/>
        </w:rPr>
        <w:t>第三条第四项情形的，提交最后报价的供应商可以为2家。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2.5.5供应商最后报价应当由法定代表人/主要负责人/本人或其授权代表签字确认（</w:t>
      </w:r>
      <w:r>
        <w:rPr>
          <w:rFonts w:hint="eastAsia" w:ascii="宋体" w:hAnsi="宋体" w:cs="宋体"/>
          <w:b/>
          <w:color w:val="auto"/>
          <w:sz w:val="24"/>
          <w:highlight w:val="none"/>
        </w:rPr>
        <w:t>注：</w:t>
      </w:r>
      <w:r>
        <w:rPr>
          <w:rFonts w:hint="eastAsia" w:ascii="宋体" w:hAnsi="宋体" w:cs="宋体"/>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2.5.6报价如果出现下列不一致的，可按以下原则进行修改：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（一）大写金额和小写金额不一致的，以大写金额为准，但大写金额文字存在错误的，应当先对大写金额的文字错误进行澄清、说明或者更正，再行修正。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（二）总价金额与按单价汇总金额不一致的，以单价金额计算结果为准，但单价或者单价汇总金额存在数字或者文字错误的，应当先对数字或者文字错误进行澄清、说明或者更正，再行修正。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（三）单价金额小数点或者百分比有明显错位的，以总价为准，修正单价。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不得未经澄清、说明或者更正，直接将供应商响应文件作为无效处理。对不同文字文本响应文件的解释发生异议的，以中文文本为准。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2.9采购组织单位现场复核评审结果。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（1）资格性审查认定错误的；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（2）分值汇总计算错误的；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（3）分项评分超出评分标准范围的；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（4）客观评分不一致的。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采购代理机构复核过程中，磋商小组成员不得离开评审现场。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2.9.2有下列情形之一的，不得现场修改评审结果：</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（1）磋商小组已经出具磋商报告并且离开评审现场的；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（2）采购代理机构现场复核时，复核工作人员数量不足的；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（3）采购代理机构现场复核时，没有采购监督人员现场监督的；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（4）采购代理机构现场复核内容超出规定范围的；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（5）采购代理机构未提供书面建议的。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2.10编写磋商报告。磋商小组推荐成交候选供应商后，应向采购代理机构出具磋商报告。磋商报告应当包括以下主要内容：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（1）邀请供应商参加采购活动的具体方式和相关情况；</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（2）响应文件开启日期和地点；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（3）获取磋商文件的供应商名单和磋商小组成员名单；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（4）评审情况记录和说明，包括对供应商的资格审查情况、供应商响应文件审查情况、磋商情况、报价情况等；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（5）提出的成交候选供应商的排序名单及理由。</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2.12供应商澄清、说明</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2.12.2磋商小组要求供应商澄清、说明或者更正响应文件应当以书面形式作出。供应商的澄清、说明或者更正应当由法定代表人/主要负责人/本人或其授权代表签字（</w:t>
      </w:r>
      <w:r>
        <w:rPr>
          <w:rFonts w:hint="eastAsia" w:ascii="宋体" w:hAnsi="宋体" w:cs="宋体"/>
          <w:b/>
          <w:color w:val="auto"/>
          <w:sz w:val="24"/>
          <w:highlight w:val="none"/>
        </w:rPr>
        <w:t>注：</w:t>
      </w:r>
      <w:r>
        <w:rPr>
          <w:rFonts w:hint="eastAsia" w:ascii="宋体" w:hAnsi="宋体" w:cs="宋体"/>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2.13终止磋商采购活动。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出现下列情形之一的，采购人或者采购代理机构应当终止竞争性磋商采购活动，发布项目终止公告并说明原因，重新开展采购活动：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（1）因情况变化，不再符合规定的竞争性磋商采购方式适用情形的；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（3）除</w:t>
      </w:r>
      <w:r>
        <w:rPr>
          <w:rFonts w:hint="eastAsia" w:ascii="宋体" w:hAnsi="宋体" w:cs="宋体"/>
          <w:b/>
          <w:color w:val="auto"/>
          <w:sz w:val="24"/>
          <w:highlight w:val="none"/>
        </w:rPr>
        <w:t>本章2.3.1和</w:t>
      </w:r>
      <w:r>
        <w:rPr>
          <w:rFonts w:hint="eastAsia" w:ascii="宋体" w:hAnsi="宋体" w:cs="宋体"/>
          <w:color w:val="auto"/>
          <w:sz w:val="24"/>
          <w:highlight w:val="none"/>
        </w:rPr>
        <w:t>2.5.3</w:t>
      </w:r>
      <w:r>
        <w:rPr>
          <w:rFonts w:hint="eastAsia" w:ascii="宋体" w:hAnsi="宋体" w:cs="宋体"/>
          <w:b/>
          <w:color w:val="auto"/>
          <w:sz w:val="24"/>
          <w:highlight w:val="none"/>
        </w:rPr>
        <w:t>的情况外，</w:t>
      </w:r>
      <w:r>
        <w:rPr>
          <w:rFonts w:hint="eastAsia" w:ascii="宋体" w:hAnsi="宋体" w:cs="宋体"/>
          <w:color w:val="auto"/>
          <w:sz w:val="24"/>
          <w:highlight w:val="none"/>
        </w:rPr>
        <w:t>在采购过程中符合要求的供应商或者报价未超过采购预算的供应商不足3家的。</w:t>
      </w:r>
    </w:p>
    <w:p>
      <w:pPr>
        <w:spacing w:line="400" w:lineRule="exact"/>
        <w:ind w:firstLine="482" w:firstLineChars="200"/>
        <w:outlineLvl w:val="1"/>
        <w:rPr>
          <w:rFonts w:ascii="宋体" w:hAnsi="宋体" w:cs="宋体"/>
          <w:b/>
          <w:color w:val="auto"/>
          <w:sz w:val="24"/>
          <w:highlight w:val="none"/>
        </w:rPr>
      </w:pPr>
      <w:bookmarkStart w:id="354" w:name="_Toc12224"/>
      <w:r>
        <w:rPr>
          <w:rFonts w:hint="eastAsia" w:ascii="宋体" w:hAnsi="宋体" w:cs="宋体"/>
          <w:b/>
          <w:color w:val="auto"/>
          <w:sz w:val="24"/>
          <w:highlight w:val="none"/>
        </w:rPr>
        <w:t>3.综合评分</w:t>
      </w:r>
      <w:bookmarkEnd w:id="354"/>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3.1本次综合评分的因素详见综合评分明细表。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3"/>
        <w:tabs>
          <w:tab w:val="left" w:pos="600"/>
        </w:tabs>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3.3综合评分明细表</w:t>
      </w:r>
    </w:p>
    <w:p>
      <w:pPr>
        <w:pStyle w:val="13"/>
        <w:tabs>
          <w:tab w:val="left" w:pos="600"/>
        </w:tabs>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3.3.1综合评分明细表的制定以科学合理、降低评委会自由裁量权为原则。</w:t>
      </w:r>
    </w:p>
    <w:p>
      <w:pPr>
        <w:widowControl/>
        <w:ind w:firstLine="480" w:firstLineChars="200"/>
        <w:jc w:val="left"/>
        <w:rPr>
          <w:rFonts w:ascii="宋体" w:hAnsi="宋体" w:cs="宋体"/>
          <w:color w:val="auto"/>
          <w:sz w:val="24"/>
          <w:highlight w:val="none"/>
        </w:rPr>
      </w:pPr>
      <w:r>
        <w:rPr>
          <w:rFonts w:hint="eastAsia" w:ascii="宋体" w:hAnsi="宋体" w:cs="宋体"/>
          <w:color w:val="auto"/>
          <w:sz w:val="24"/>
          <w:highlight w:val="none"/>
        </w:rPr>
        <w:t>3.3.2 综合评分明细表按须知表中的相关要求进行价格调整，再参与价格分评审。</w:t>
      </w:r>
    </w:p>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bookmarkStart w:id="355" w:name="_Toc8052"/>
      <w:bookmarkStart w:id="356" w:name="_Toc13013"/>
      <w:r>
        <w:rPr>
          <w:rFonts w:hint="eastAsia" w:ascii="宋体" w:hAnsi="宋体" w:eastAsia="宋体" w:cs="宋体"/>
          <w:b w:val="0"/>
          <w:color w:val="auto"/>
          <w:sz w:val="24"/>
          <w:szCs w:val="24"/>
          <w:highlight w:val="none"/>
        </w:rPr>
        <w:t>3.3.3综合评分明细表</w:t>
      </w:r>
      <w:bookmarkEnd w:id="355"/>
      <w:bookmarkEnd w:id="356"/>
    </w:p>
    <w:tbl>
      <w:tblPr>
        <w:tblStyle w:val="32"/>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183"/>
        <w:gridCol w:w="984"/>
        <w:gridCol w:w="5150"/>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725" w:type="dxa"/>
            <w:vAlign w:val="center"/>
          </w:tcPr>
          <w:p>
            <w:pPr>
              <w:snapToGrid w:val="0"/>
              <w:spacing w:before="120" w:beforeLines="50"/>
              <w:rPr>
                <w:rFonts w:cs="宋体"/>
                <w:color w:val="auto"/>
                <w:highlight w:val="none"/>
              </w:rPr>
            </w:pPr>
            <w:r>
              <w:rPr>
                <w:rFonts w:hint="eastAsia" w:cs="宋体"/>
                <w:color w:val="auto"/>
                <w:highlight w:val="none"/>
              </w:rPr>
              <w:t>序号</w:t>
            </w:r>
          </w:p>
        </w:tc>
        <w:tc>
          <w:tcPr>
            <w:tcW w:w="1183" w:type="dxa"/>
            <w:vAlign w:val="center"/>
          </w:tcPr>
          <w:p>
            <w:pPr>
              <w:snapToGrid w:val="0"/>
              <w:spacing w:before="120" w:beforeLines="50"/>
              <w:rPr>
                <w:rFonts w:cs="宋体"/>
                <w:color w:val="auto"/>
                <w:highlight w:val="none"/>
              </w:rPr>
            </w:pPr>
            <w:r>
              <w:rPr>
                <w:rFonts w:hint="eastAsia" w:cs="宋体"/>
                <w:color w:val="auto"/>
                <w:highlight w:val="none"/>
              </w:rPr>
              <w:t>评分因素及 权 重</w:t>
            </w:r>
          </w:p>
        </w:tc>
        <w:tc>
          <w:tcPr>
            <w:tcW w:w="984" w:type="dxa"/>
            <w:vAlign w:val="center"/>
          </w:tcPr>
          <w:p>
            <w:pPr>
              <w:snapToGrid w:val="0"/>
              <w:spacing w:before="120" w:beforeLines="50"/>
              <w:rPr>
                <w:rFonts w:cs="宋体"/>
                <w:color w:val="auto"/>
                <w:highlight w:val="none"/>
              </w:rPr>
            </w:pPr>
            <w:r>
              <w:rPr>
                <w:rFonts w:hint="eastAsia" w:cs="宋体"/>
                <w:color w:val="auto"/>
                <w:highlight w:val="none"/>
              </w:rPr>
              <w:t>分值</w:t>
            </w:r>
          </w:p>
        </w:tc>
        <w:tc>
          <w:tcPr>
            <w:tcW w:w="5150" w:type="dxa"/>
            <w:vAlign w:val="center"/>
          </w:tcPr>
          <w:p>
            <w:pPr>
              <w:snapToGrid w:val="0"/>
              <w:spacing w:before="120" w:beforeLines="50"/>
              <w:ind w:firstLine="480"/>
              <w:jc w:val="center"/>
              <w:rPr>
                <w:rFonts w:cs="宋体"/>
                <w:color w:val="auto"/>
                <w:highlight w:val="none"/>
              </w:rPr>
            </w:pPr>
            <w:r>
              <w:rPr>
                <w:rFonts w:hint="eastAsia" w:cs="宋体"/>
                <w:color w:val="auto"/>
                <w:highlight w:val="none"/>
              </w:rPr>
              <w:t>评分标准</w:t>
            </w:r>
          </w:p>
        </w:tc>
        <w:tc>
          <w:tcPr>
            <w:tcW w:w="1233" w:type="dxa"/>
            <w:vAlign w:val="center"/>
          </w:tcPr>
          <w:p>
            <w:pPr>
              <w:snapToGrid w:val="0"/>
              <w:spacing w:before="120" w:beforeLines="50"/>
              <w:rPr>
                <w:rFonts w:cs="宋体"/>
                <w:color w:val="auto"/>
                <w:highlight w:val="none"/>
              </w:rPr>
            </w:pPr>
            <w:r>
              <w:rPr>
                <w:rFonts w:hint="eastAsia"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snapToGrid w:val="0"/>
              <w:spacing w:before="120" w:before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83" w:type="dxa"/>
            <w:vAlign w:val="center"/>
          </w:tcPr>
          <w:p>
            <w:pPr>
              <w:snapToGrid w:val="0"/>
              <w:spacing w:before="120" w:before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报价10%</w:t>
            </w:r>
          </w:p>
        </w:tc>
        <w:tc>
          <w:tcPr>
            <w:tcW w:w="984" w:type="dxa"/>
            <w:vAlign w:val="center"/>
          </w:tcPr>
          <w:p>
            <w:pPr>
              <w:snapToGrid w:val="0"/>
              <w:spacing w:before="120" w:before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w:t>
            </w:r>
          </w:p>
        </w:tc>
        <w:tc>
          <w:tcPr>
            <w:tcW w:w="5150" w:type="dxa"/>
          </w:tcPr>
          <w:p>
            <w:pPr>
              <w:spacing w:line="38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采用有效报价的最低报价为评标基准价，其价格分为满分。</w:t>
            </w:r>
          </w:p>
          <w:p>
            <w:pPr>
              <w:spacing w:line="38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其他响应人的价格分统一按照下列公式计算：有效报价得分=(基准价／投标报价)×10。</w:t>
            </w:r>
          </w:p>
        </w:tc>
        <w:tc>
          <w:tcPr>
            <w:tcW w:w="1233" w:type="dxa"/>
            <w:vAlign w:val="center"/>
          </w:tcPr>
          <w:p>
            <w:pPr>
              <w:snapToGrid w:val="0"/>
              <w:spacing w:before="120" w:beforeLines="50"/>
              <w:rPr>
                <w:rFonts w:cs="宋体"/>
                <w:color w:val="auto"/>
                <w:highlight w:val="none"/>
              </w:rPr>
            </w:pPr>
            <w:r>
              <w:rPr>
                <w:rFonts w:hint="eastAsia" w:cs="宋体"/>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1" w:hRule="atLeast"/>
        </w:trPr>
        <w:tc>
          <w:tcPr>
            <w:tcW w:w="725" w:type="dxa"/>
            <w:vMerge w:val="restart"/>
            <w:vAlign w:val="center"/>
          </w:tcPr>
          <w:p>
            <w:pPr>
              <w:spacing w:line="360" w:lineRule="auto"/>
              <w:ind w:firstLine="2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2、整体服务方案45%</w:t>
            </w:r>
          </w:p>
        </w:tc>
        <w:tc>
          <w:tcPr>
            <w:tcW w:w="1183" w:type="dxa"/>
            <w:vAlign w:val="center"/>
          </w:tcPr>
          <w:p>
            <w:pPr>
              <w:snapToGrid w:val="0"/>
              <w:spacing w:before="120" w:before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设计服务方案35%</w:t>
            </w:r>
          </w:p>
        </w:tc>
        <w:tc>
          <w:tcPr>
            <w:tcW w:w="984" w:type="dxa"/>
            <w:vAlign w:val="center"/>
          </w:tcPr>
          <w:p>
            <w:pPr>
              <w:snapToGrid w:val="0"/>
              <w:spacing w:before="120" w:beforeLines="50"/>
              <w:ind w:firstLine="480"/>
              <w:jc w:val="center"/>
              <w:rPr>
                <w:rFonts w:hint="eastAsia" w:ascii="宋体" w:hAnsi="宋体" w:eastAsia="宋体" w:cs="宋体"/>
                <w:color w:val="auto"/>
                <w:sz w:val="21"/>
                <w:szCs w:val="21"/>
                <w:highlight w:val="none"/>
              </w:rPr>
            </w:pPr>
          </w:p>
          <w:p>
            <w:pPr>
              <w:snapToGrid w:val="0"/>
              <w:spacing w:before="120" w:before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35分</w:t>
            </w:r>
          </w:p>
        </w:tc>
        <w:tc>
          <w:tcPr>
            <w:tcW w:w="5150" w:type="dxa"/>
          </w:tcPr>
          <w:p>
            <w:pPr>
              <w:spacing w:line="38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根据供应商提供的初步实施方案进行评审，方案中应包含：①项目背景和上位规划；②项目概况（对改造范围、改造内容等进行充分描述）；③现状分析（对现状建筑风貌、色彩、街道空间等进行充分的现状分析）；④改造内容及效果展示（对每栋建筑展示改造前后效果对比，及街道空间改后效果展示，且不少于20张效果图）；⑤夜景照明专项设计（含夜景设计原则、光色分析、供配电和控制说明、建筑夜景效果图不少于13张）⑥工程量措施表；⑦技术图纸（含建筑外立面改造立面图、街道家具小品布置图、夜景照明工程系统图、夜景照明立面图、弱电平面布置图、建筑弱电立面图）等内容。方案内容齐全、符合本项目特征及实际需求得35分，每有一项存在缺陷（缺陷指内容只有简单描述无实质性内容或与本项目需求不符、语句不通顺有歧义、不利于项目实施）扣2.5分,每有一项内容缺失或与本项目严重不符的扣5分。</w:t>
            </w:r>
            <w:r>
              <w:rPr>
                <w:rFonts w:hint="eastAsia" w:ascii="宋体" w:hAnsi="宋体" w:eastAsia="宋体" w:cs="宋体"/>
                <w:color w:val="auto"/>
                <w:sz w:val="21"/>
                <w:szCs w:val="21"/>
                <w:highlight w:val="none"/>
              </w:rPr>
              <w:t>直至该项分数扣完为止。</w:t>
            </w:r>
          </w:p>
        </w:tc>
        <w:tc>
          <w:tcPr>
            <w:tcW w:w="1233" w:type="dxa"/>
            <w:vMerge w:val="restart"/>
            <w:vAlign w:val="center"/>
          </w:tcPr>
          <w:p>
            <w:pPr>
              <w:snapToGrid w:val="0"/>
              <w:spacing w:before="120" w:beforeLines="50"/>
              <w:rPr>
                <w:rFonts w:cs="宋体"/>
                <w:color w:val="auto"/>
                <w:highlight w:val="none"/>
              </w:rPr>
            </w:pPr>
            <w:r>
              <w:rPr>
                <w:rFonts w:hint="eastAsia" w:cs="宋体"/>
                <w:color w:val="auto"/>
                <w:highlight w:val="none"/>
              </w:rPr>
              <w:t>技术类评分因素</w:t>
            </w:r>
          </w:p>
          <w:p>
            <w:pPr>
              <w:spacing w:line="360" w:lineRule="auto"/>
              <w:ind w:left="-38"/>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Merge w:val="continue"/>
            <w:vAlign w:val="center"/>
          </w:tcPr>
          <w:p>
            <w:pPr>
              <w:spacing w:line="360" w:lineRule="auto"/>
              <w:jc w:val="center"/>
              <w:rPr>
                <w:rFonts w:hint="eastAsia" w:ascii="宋体" w:hAnsi="宋体" w:eastAsia="宋体" w:cs="宋体"/>
                <w:color w:val="auto"/>
                <w:sz w:val="21"/>
                <w:szCs w:val="21"/>
                <w:highlight w:val="none"/>
              </w:rPr>
            </w:pPr>
          </w:p>
        </w:tc>
        <w:tc>
          <w:tcPr>
            <w:tcW w:w="1183" w:type="dxa"/>
            <w:vAlign w:val="center"/>
          </w:tcPr>
          <w:p>
            <w:pPr>
              <w:autoSpaceDE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项目进度安排3%</w:t>
            </w:r>
          </w:p>
        </w:tc>
        <w:tc>
          <w:tcPr>
            <w:tcW w:w="984" w:type="dxa"/>
            <w:vAlign w:val="center"/>
          </w:tcPr>
          <w:p>
            <w:pPr>
              <w:autoSpaceDE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3分</w:t>
            </w:r>
          </w:p>
        </w:tc>
        <w:tc>
          <w:tcPr>
            <w:tcW w:w="5150" w:type="dxa"/>
            <w:vAlign w:val="center"/>
          </w:tcPr>
          <w:p>
            <w:pPr>
              <w:autoSpaceDE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根据供应商提供的项目进度安排进行评审，方案中应包含：①项目工作进度安排；②工期关键节点控制；③组织协调方案等内容。方案内容齐全、语句通顺无歧义、符合本项目特征及实际需求得3分</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bidi="ar"/>
              </w:rPr>
              <w:t>每有一项存在缺陷（缺陷指内容只有简单描述无实质性内容或与本项目需求不符、语句不通顺有歧义、不利于项目实施）的扣1分，</w:t>
            </w:r>
            <w:r>
              <w:rPr>
                <w:rFonts w:hint="eastAsia" w:ascii="宋体" w:hAnsi="宋体" w:eastAsia="宋体" w:cs="宋体"/>
                <w:color w:val="auto"/>
                <w:sz w:val="21"/>
                <w:szCs w:val="21"/>
                <w:highlight w:val="none"/>
              </w:rPr>
              <w:t>直至该项分数扣完为止。</w:t>
            </w:r>
            <w:r>
              <w:rPr>
                <w:rFonts w:hint="eastAsia" w:ascii="宋体" w:hAnsi="宋体" w:eastAsia="宋体" w:cs="宋体"/>
                <w:color w:val="auto"/>
                <w:kern w:val="0"/>
                <w:sz w:val="21"/>
                <w:szCs w:val="21"/>
                <w:highlight w:val="none"/>
                <w:lang w:bidi="ar"/>
              </w:rPr>
              <w:t>每有一项内容缺失或与本项目严重不符的不得分。</w:t>
            </w:r>
          </w:p>
        </w:tc>
        <w:tc>
          <w:tcPr>
            <w:tcW w:w="1233" w:type="dxa"/>
            <w:vMerge w:val="continue"/>
            <w:vAlign w:val="center"/>
          </w:tcPr>
          <w:p>
            <w:pPr>
              <w:autoSpaceDE w:val="0"/>
              <w:snapToGrid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725" w:type="dxa"/>
            <w:vMerge w:val="continue"/>
            <w:vAlign w:val="center"/>
          </w:tcPr>
          <w:p>
            <w:pPr>
              <w:spacing w:line="360" w:lineRule="auto"/>
              <w:ind w:firstLine="28"/>
              <w:jc w:val="center"/>
              <w:rPr>
                <w:rFonts w:hint="eastAsia" w:ascii="宋体" w:hAnsi="宋体" w:eastAsia="宋体" w:cs="宋体"/>
                <w:color w:val="auto"/>
                <w:sz w:val="21"/>
                <w:szCs w:val="21"/>
                <w:highlight w:val="none"/>
              </w:rPr>
            </w:pPr>
          </w:p>
        </w:tc>
        <w:tc>
          <w:tcPr>
            <w:tcW w:w="1183" w:type="dxa"/>
            <w:vAlign w:val="center"/>
          </w:tcPr>
          <w:p>
            <w:pPr>
              <w:autoSpaceDE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质量保障措施3%</w:t>
            </w:r>
          </w:p>
        </w:tc>
        <w:tc>
          <w:tcPr>
            <w:tcW w:w="984" w:type="dxa"/>
            <w:vAlign w:val="center"/>
          </w:tcPr>
          <w:p>
            <w:pPr>
              <w:autoSpaceDE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3分</w:t>
            </w:r>
          </w:p>
        </w:tc>
        <w:tc>
          <w:tcPr>
            <w:tcW w:w="5150" w:type="dxa"/>
            <w:vAlign w:val="center"/>
          </w:tcPr>
          <w:p>
            <w:pPr>
              <w:autoSpaceDE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根据供应商提供的质量保障措施进行评审，方案中应包含：①针对本项目的项目管理机构及组织机构设置；②针对本项目的人员岗位设置、职责分工；③针对本项目的质量保障制度等内容。方案内容齐全、语句通顺无歧义、符合本项目特征及实际需求得3分，每有一项存在缺陷（缺陷指内容只有简单描述无实质性内容或与本项目需求不符、语句不通顺有歧义、不利于项目实施）扣1分,</w:t>
            </w:r>
            <w:r>
              <w:rPr>
                <w:rFonts w:hint="eastAsia" w:ascii="宋体" w:hAnsi="宋体" w:eastAsia="宋体" w:cs="宋体"/>
                <w:color w:val="auto"/>
                <w:sz w:val="21"/>
                <w:szCs w:val="21"/>
                <w:highlight w:val="none"/>
              </w:rPr>
              <w:t>直至该项分数扣完为止。</w:t>
            </w:r>
            <w:r>
              <w:rPr>
                <w:rFonts w:hint="eastAsia" w:ascii="宋体" w:hAnsi="宋体" w:eastAsia="宋体" w:cs="宋体"/>
                <w:color w:val="auto"/>
                <w:kern w:val="0"/>
                <w:sz w:val="21"/>
                <w:szCs w:val="21"/>
                <w:highlight w:val="none"/>
                <w:lang w:bidi="ar"/>
              </w:rPr>
              <w:t>每有一项内容缺失或与本项目严重不符的不得分。</w:t>
            </w:r>
          </w:p>
        </w:tc>
        <w:tc>
          <w:tcPr>
            <w:tcW w:w="1233" w:type="dxa"/>
            <w:vMerge w:val="continue"/>
            <w:vAlign w:val="center"/>
          </w:tcPr>
          <w:p>
            <w:pPr>
              <w:autoSpaceDE w:val="0"/>
              <w:snapToGrid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725" w:type="dxa"/>
            <w:vMerge w:val="continue"/>
            <w:vAlign w:val="center"/>
          </w:tcPr>
          <w:p>
            <w:pPr>
              <w:spacing w:line="360" w:lineRule="auto"/>
              <w:ind w:firstLine="28"/>
              <w:jc w:val="center"/>
              <w:rPr>
                <w:rFonts w:hint="eastAsia" w:ascii="宋体" w:hAnsi="宋体" w:eastAsia="宋体" w:cs="宋体"/>
                <w:color w:val="auto"/>
                <w:sz w:val="21"/>
                <w:szCs w:val="21"/>
                <w:highlight w:val="none"/>
              </w:rPr>
            </w:pPr>
          </w:p>
        </w:tc>
        <w:tc>
          <w:tcPr>
            <w:tcW w:w="1183"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后续服务4%</w:t>
            </w:r>
          </w:p>
        </w:tc>
        <w:tc>
          <w:tcPr>
            <w:tcW w:w="984" w:type="dxa"/>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4分</w:t>
            </w:r>
          </w:p>
        </w:tc>
        <w:tc>
          <w:tcPr>
            <w:tcW w:w="5150" w:type="dxa"/>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供应商提供的服务保障方案（包括后续服务体系、后续服务措施、后续服务管理制度、后续服务能力及响应等）进行综合评审：合理详尽、条理清晰、切实可行的得4分，每有一项阐述不完整或不清晰的扣1分，直至该项分数扣完为止。以上内容每有一项缺失的不得分。</w:t>
            </w:r>
          </w:p>
        </w:tc>
        <w:tc>
          <w:tcPr>
            <w:tcW w:w="1233" w:type="dxa"/>
            <w:vMerge w:val="continue"/>
            <w:vAlign w:val="center"/>
          </w:tcPr>
          <w:p>
            <w:pPr>
              <w:spacing w:line="360" w:lineRule="auto"/>
              <w:ind w:left="-38"/>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Align w:val="center"/>
          </w:tcPr>
          <w:p>
            <w:pPr>
              <w:snapToGrid w:val="0"/>
              <w:spacing w:before="120" w:beforeLines="50"/>
              <w:rPr>
                <w:rFonts w:cs="宋体"/>
                <w:color w:val="auto"/>
                <w:highlight w:val="none"/>
              </w:rPr>
            </w:pPr>
            <w:r>
              <w:rPr>
                <w:rFonts w:hint="eastAsia" w:cs="宋体"/>
                <w:color w:val="auto"/>
                <w:highlight w:val="none"/>
              </w:rPr>
              <w:t>3</w:t>
            </w:r>
          </w:p>
        </w:tc>
        <w:tc>
          <w:tcPr>
            <w:tcW w:w="1183" w:type="dxa"/>
            <w:vAlign w:val="center"/>
          </w:tcPr>
          <w:p>
            <w:pPr>
              <w:spacing w:line="380" w:lineRule="exact"/>
              <w:rPr>
                <w:color w:val="auto"/>
                <w:highlight w:val="none"/>
              </w:rPr>
            </w:pPr>
            <w:r>
              <w:rPr>
                <w:rFonts w:hint="eastAsia"/>
                <w:color w:val="auto"/>
                <w:highlight w:val="none"/>
              </w:rPr>
              <w:t>设计人员配置29%</w:t>
            </w:r>
          </w:p>
        </w:tc>
        <w:tc>
          <w:tcPr>
            <w:tcW w:w="984" w:type="dxa"/>
            <w:vAlign w:val="center"/>
          </w:tcPr>
          <w:p>
            <w:pPr>
              <w:spacing w:line="380" w:lineRule="exact"/>
              <w:rPr>
                <w:color w:val="auto"/>
                <w:highlight w:val="none"/>
              </w:rPr>
            </w:pPr>
            <w:r>
              <w:rPr>
                <w:rFonts w:hint="eastAsia"/>
                <w:color w:val="auto"/>
                <w:highlight w:val="none"/>
              </w:rPr>
              <w:t>29分</w:t>
            </w:r>
          </w:p>
        </w:tc>
        <w:tc>
          <w:tcPr>
            <w:tcW w:w="5150" w:type="dxa"/>
          </w:tcPr>
          <w:p>
            <w:pPr>
              <w:spacing w:line="380" w:lineRule="exact"/>
              <w:ind w:firstLine="480"/>
              <w:rPr>
                <w:color w:val="auto"/>
                <w:highlight w:val="none"/>
              </w:rPr>
            </w:pPr>
            <w:r>
              <w:rPr>
                <w:color w:val="auto"/>
                <w:highlight w:val="none"/>
              </w:rPr>
              <w:t>1、设计负责人(项目负责人)：具备一级注册建筑师资格得</w:t>
            </w:r>
            <w:r>
              <w:rPr>
                <w:rFonts w:hint="eastAsia"/>
                <w:color w:val="auto"/>
                <w:highlight w:val="none"/>
              </w:rPr>
              <w:t>3</w:t>
            </w:r>
            <w:r>
              <w:rPr>
                <w:color w:val="auto"/>
                <w:highlight w:val="none"/>
              </w:rPr>
              <w:t>分，具有</w:t>
            </w:r>
            <w:r>
              <w:rPr>
                <w:rFonts w:hint="eastAsia"/>
                <w:color w:val="auto"/>
                <w:highlight w:val="none"/>
              </w:rPr>
              <w:t>高级</w:t>
            </w:r>
            <w:r>
              <w:rPr>
                <w:color w:val="auto"/>
                <w:highlight w:val="none"/>
              </w:rPr>
              <w:t>工程师</w:t>
            </w:r>
            <w:r>
              <w:rPr>
                <w:rFonts w:hint="eastAsia"/>
                <w:color w:val="auto"/>
                <w:highlight w:val="none"/>
              </w:rPr>
              <w:t>及</w:t>
            </w:r>
            <w:r>
              <w:rPr>
                <w:color w:val="auto"/>
                <w:highlight w:val="none"/>
              </w:rPr>
              <w:t>以上职称加</w:t>
            </w:r>
            <w:r>
              <w:rPr>
                <w:rFonts w:hint="eastAsia"/>
                <w:color w:val="auto"/>
                <w:highlight w:val="none"/>
              </w:rPr>
              <w:t>1</w:t>
            </w:r>
            <w:r>
              <w:rPr>
                <w:color w:val="auto"/>
                <w:highlight w:val="none"/>
              </w:rPr>
              <w:t>分，本项最多得</w:t>
            </w:r>
            <w:r>
              <w:rPr>
                <w:rFonts w:hint="eastAsia"/>
                <w:color w:val="auto"/>
                <w:highlight w:val="none"/>
              </w:rPr>
              <w:t>4</w:t>
            </w:r>
            <w:r>
              <w:rPr>
                <w:color w:val="auto"/>
                <w:highlight w:val="none"/>
              </w:rPr>
              <w:t>分；</w:t>
            </w:r>
          </w:p>
          <w:p>
            <w:pPr>
              <w:spacing w:line="380" w:lineRule="exact"/>
              <w:ind w:firstLine="480"/>
              <w:rPr>
                <w:color w:val="auto"/>
                <w:highlight w:val="none"/>
              </w:rPr>
            </w:pPr>
            <w:r>
              <w:rPr>
                <w:color w:val="auto"/>
                <w:highlight w:val="none"/>
              </w:rPr>
              <w:t>2、</w:t>
            </w:r>
            <w:r>
              <w:rPr>
                <w:rFonts w:hint="eastAsia"/>
                <w:color w:val="auto"/>
                <w:highlight w:val="none"/>
              </w:rPr>
              <w:t>技术</w:t>
            </w:r>
            <w:r>
              <w:rPr>
                <w:color w:val="auto"/>
                <w:highlight w:val="none"/>
              </w:rPr>
              <w:t>负责人：具备一级注册建筑师资格得</w:t>
            </w:r>
            <w:r>
              <w:rPr>
                <w:rFonts w:hint="eastAsia"/>
                <w:color w:val="auto"/>
                <w:highlight w:val="none"/>
              </w:rPr>
              <w:t>3</w:t>
            </w:r>
            <w:r>
              <w:rPr>
                <w:color w:val="auto"/>
                <w:highlight w:val="none"/>
              </w:rPr>
              <w:t>分，具有</w:t>
            </w:r>
            <w:r>
              <w:rPr>
                <w:rFonts w:hint="eastAsia"/>
                <w:color w:val="auto"/>
                <w:highlight w:val="none"/>
              </w:rPr>
              <w:t>高级</w:t>
            </w:r>
            <w:r>
              <w:rPr>
                <w:color w:val="auto"/>
                <w:highlight w:val="none"/>
              </w:rPr>
              <w:t>工程师</w:t>
            </w:r>
            <w:r>
              <w:rPr>
                <w:rFonts w:hint="eastAsia"/>
                <w:color w:val="auto"/>
                <w:highlight w:val="none"/>
              </w:rPr>
              <w:t>及</w:t>
            </w:r>
            <w:r>
              <w:rPr>
                <w:color w:val="auto"/>
                <w:highlight w:val="none"/>
              </w:rPr>
              <w:t>以上职称加</w:t>
            </w:r>
            <w:r>
              <w:rPr>
                <w:rFonts w:hint="eastAsia"/>
                <w:color w:val="auto"/>
                <w:highlight w:val="none"/>
              </w:rPr>
              <w:t>1</w:t>
            </w:r>
            <w:r>
              <w:rPr>
                <w:color w:val="auto"/>
                <w:highlight w:val="none"/>
              </w:rPr>
              <w:t>分，本项最多得</w:t>
            </w:r>
            <w:r>
              <w:rPr>
                <w:rFonts w:hint="eastAsia"/>
                <w:color w:val="auto"/>
                <w:highlight w:val="none"/>
              </w:rPr>
              <w:t>4</w:t>
            </w:r>
            <w:r>
              <w:rPr>
                <w:color w:val="auto"/>
                <w:highlight w:val="none"/>
              </w:rPr>
              <w:t>分；</w:t>
            </w:r>
          </w:p>
          <w:p>
            <w:pPr>
              <w:spacing w:line="380" w:lineRule="exact"/>
              <w:ind w:firstLine="480"/>
              <w:rPr>
                <w:color w:val="auto"/>
                <w:highlight w:val="none"/>
              </w:rPr>
            </w:pPr>
            <w:r>
              <w:rPr>
                <w:color w:val="auto"/>
                <w:highlight w:val="none"/>
              </w:rPr>
              <w:t>3、建筑专业负责人：具备一级注册建筑师资格的得</w:t>
            </w:r>
            <w:r>
              <w:rPr>
                <w:rFonts w:hint="eastAsia"/>
                <w:color w:val="auto"/>
                <w:highlight w:val="none"/>
              </w:rPr>
              <w:t>3</w:t>
            </w:r>
            <w:r>
              <w:rPr>
                <w:color w:val="auto"/>
                <w:highlight w:val="none"/>
              </w:rPr>
              <w:t>分，具有</w:t>
            </w:r>
            <w:r>
              <w:rPr>
                <w:rFonts w:hint="eastAsia"/>
                <w:color w:val="auto"/>
                <w:highlight w:val="none"/>
              </w:rPr>
              <w:t>高级</w:t>
            </w:r>
            <w:r>
              <w:rPr>
                <w:color w:val="auto"/>
                <w:highlight w:val="none"/>
              </w:rPr>
              <w:t>工程师</w:t>
            </w:r>
            <w:r>
              <w:rPr>
                <w:rFonts w:hint="eastAsia"/>
                <w:color w:val="auto"/>
                <w:highlight w:val="none"/>
              </w:rPr>
              <w:t>及</w:t>
            </w:r>
            <w:r>
              <w:rPr>
                <w:color w:val="auto"/>
                <w:highlight w:val="none"/>
              </w:rPr>
              <w:t>以上职称加</w:t>
            </w:r>
            <w:r>
              <w:rPr>
                <w:rFonts w:hint="eastAsia"/>
                <w:color w:val="auto"/>
                <w:highlight w:val="none"/>
              </w:rPr>
              <w:t>1</w:t>
            </w:r>
            <w:r>
              <w:rPr>
                <w:color w:val="auto"/>
                <w:highlight w:val="none"/>
              </w:rPr>
              <w:t>分，本项最多得</w:t>
            </w:r>
            <w:r>
              <w:rPr>
                <w:rFonts w:hint="eastAsia"/>
                <w:color w:val="auto"/>
                <w:highlight w:val="none"/>
              </w:rPr>
              <w:t>4</w:t>
            </w:r>
            <w:r>
              <w:rPr>
                <w:color w:val="auto"/>
                <w:highlight w:val="none"/>
              </w:rPr>
              <w:t>分；</w:t>
            </w:r>
          </w:p>
          <w:p>
            <w:pPr>
              <w:spacing w:line="380" w:lineRule="exact"/>
              <w:ind w:firstLine="480"/>
              <w:rPr>
                <w:color w:val="auto"/>
                <w:highlight w:val="none"/>
              </w:rPr>
            </w:pPr>
            <w:r>
              <w:rPr>
                <w:color w:val="auto"/>
                <w:highlight w:val="none"/>
              </w:rPr>
              <w:t>4、结构专业负责人：具备一级注册结构工程师资格的得</w:t>
            </w:r>
            <w:r>
              <w:rPr>
                <w:rFonts w:hint="eastAsia"/>
                <w:color w:val="auto"/>
                <w:highlight w:val="none"/>
              </w:rPr>
              <w:t>3</w:t>
            </w:r>
            <w:r>
              <w:rPr>
                <w:color w:val="auto"/>
                <w:highlight w:val="none"/>
              </w:rPr>
              <w:t>分，具有</w:t>
            </w:r>
            <w:r>
              <w:rPr>
                <w:rFonts w:hint="eastAsia"/>
                <w:color w:val="auto"/>
                <w:highlight w:val="none"/>
              </w:rPr>
              <w:t>高级及</w:t>
            </w:r>
            <w:r>
              <w:rPr>
                <w:color w:val="auto"/>
                <w:highlight w:val="none"/>
              </w:rPr>
              <w:t>以上职称加</w:t>
            </w:r>
            <w:r>
              <w:rPr>
                <w:rFonts w:hint="eastAsia"/>
                <w:color w:val="auto"/>
                <w:highlight w:val="none"/>
              </w:rPr>
              <w:t>1</w:t>
            </w:r>
            <w:r>
              <w:rPr>
                <w:color w:val="auto"/>
                <w:highlight w:val="none"/>
              </w:rPr>
              <w:t>分，本项最多得</w:t>
            </w:r>
            <w:r>
              <w:rPr>
                <w:rFonts w:hint="eastAsia"/>
                <w:color w:val="auto"/>
                <w:highlight w:val="none"/>
              </w:rPr>
              <w:t>4</w:t>
            </w:r>
            <w:r>
              <w:rPr>
                <w:color w:val="auto"/>
                <w:highlight w:val="none"/>
              </w:rPr>
              <w:t>分；</w:t>
            </w:r>
          </w:p>
          <w:p>
            <w:pPr>
              <w:spacing w:line="380" w:lineRule="exact"/>
              <w:ind w:firstLine="480"/>
              <w:rPr>
                <w:color w:val="auto"/>
                <w:highlight w:val="none"/>
              </w:rPr>
            </w:pPr>
            <w:r>
              <w:rPr>
                <w:color w:val="auto"/>
                <w:highlight w:val="none"/>
              </w:rPr>
              <w:t>5、电气专业负责人：具备注册电气工程师（供配电）资格的得</w:t>
            </w:r>
            <w:r>
              <w:rPr>
                <w:rFonts w:hint="eastAsia"/>
                <w:color w:val="auto"/>
                <w:highlight w:val="none"/>
              </w:rPr>
              <w:t>3</w:t>
            </w:r>
            <w:r>
              <w:rPr>
                <w:color w:val="auto"/>
                <w:highlight w:val="none"/>
              </w:rPr>
              <w:t>分，具有</w:t>
            </w:r>
            <w:r>
              <w:rPr>
                <w:rFonts w:hint="eastAsia"/>
                <w:color w:val="auto"/>
                <w:highlight w:val="none"/>
              </w:rPr>
              <w:t>高级</w:t>
            </w:r>
            <w:r>
              <w:rPr>
                <w:color w:val="auto"/>
                <w:highlight w:val="none"/>
              </w:rPr>
              <w:t>及以上职称的加</w:t>
            </w:r>
            <w:r>
              <w:rPr>
                <w:rFonts w:hint="eastAsia"/>
                <w:color w:val="auto"/>
                <w:highlight w:val="none"/>
              </w:rPr>
              <w:t>1</w:t>
            </w:r>
            <w:r>
              <w:rPr>
                <w:color w:val="auto"/>
                <w:highlight w:val="none"/>
              </w:rPr>
              <w:t>分，本项最高得</w:t>
            </w:r>
            <w:r>
              <w:rPr>
                <w:rFonts w:hint="eastAsia"/>
                <w:color w:val="auto"/>
                <w:highlight w:val="none"/>
              </w:rPr>
              <w:t>4</w:t>
            </w:r>
            <w:r>
              <w:rPr>
                <w:color w:val="auto"/>
                <w:highlight w:val="none"/>
              </w:rPr>
              <w:t>分；</w:t>
            </w:r>
          </w:p>
          <w:p>
            <w:pPr>
              <w:spacing w:line="380" w:lineRule="exact"/>
              <w:ind w:firstLine="480"/>
              <w:rPr>
                <w:color w:val="auto"/>
                <w:highlight w:val="none"/>
              </w:rPr>
            </w:pPr>
            <w:r>
              <w:rPr>
                <w:color w:val="auto"/>
                <w:highlight w:val="none"/>
              </w:rPr>
              <w:t>6、给排水专业负责人：具备注册公用设备工程师（给水排水）资格得</w:t>
            </w:r>
            <w:r>
              <w:rPr>
                <w:rFonts w:hint="eastAsia"/>
                <w:color w:val="auto"/>
                <w:highlight w:val="none"/>
              </w:rPr>
              <w:t>3</w:t>
            </w:r>
            <w:r>
              <w:rPr>
                <w:color w:val="auto"/>
                <w:highlight w:val="none"/>
              </w:rPr>
              <w:t>分，具有</w:t>
            </w:r>
            <w:r>
              <w:rPr>
                <w:rFonts w:hint="eastAsia"/>
                <w:color w:val="auto"/>
                <w:highlight w:val="none"/>
              </w:rPr>
              <w:t>高级</w:t>
            </w:r>
            <w:r>
              <w:rPr>
                <w:color w:val="auto"/>
                <w:highlight w:val="none"/>
              </w:rPr>
              <w:t>及以上职称的加</w:t>
            </w:r>
            <w:r>
              <w:rPr>
                <w:rFonts w:hint="eastAsia"/>
                <w:color w:val="auto"/>
                <w:highlight w:val="none"/>
              </w:rPr>
              <w:t>1</w:t>
            </w:r>
            <w:r>
              <w:rPr>
                <w:color w:val="auto"/>
                <w:highlight w:val="none"/>
              </w:rPr>
              <w:t>分，本项最高得</w:t>
            </w:r>
            <w:r>
              <w:rPr>
                <w:rFonts w:hint="eastAsia"/>
                <w:color w:val="auto"/>
                <w:highlight w:val="none"/>
              </w:rPr>
              <w:t>4</w:t>
            </w:r>
            <w:r>
              <w:rPr>
                <w:color w:val="auto"/>
                <w:highlight w:val="none"/>
              </w:rPr>
              <w:t>分；</w:t>
            </w:r>
          </w:p>
          <w:p>
            <w:pPr>
              <w:spacing w:line="380" w:lineRule="exact"/>
              <w:ind w:firstLine="480"/>
              <w:rPr>
                <w:color w:val="auto"/>
                <w:highlight w:val="none"/>
              </w:rPr>
            </w:pPr>
            <w:r>
              <w:rPr>
                <w:color w:val="auto"/>
                <w:highlight w:val="none"/>
              </w:rPr>
              <w:t>7、暖通专业负责人：具备注册公用设备工程师（暖通空调）资格得</w:t>
            </w:r>
            <w:r>
              <w:rPr>
                <w:rFonts w:hint="eastAsia"/>
                <w:color w:val="auto"/>
                <w:highlight w:val="none"/>
              </w:rPr>
              <w:t>2</w:t>
            </w:r>
            <w:r>
              <w:rPr>
                <w:color w:val="auto"/>
                <w:highlight w:val="none"/>
              </w:rPr>
              <w:t>分，具有</w:t>
            </w:r>
            <w:r>
              <w:rPr>
                <w:rFonts w:hint="eastAsia"/>
                <w:color w:val="auto"/>
                <w:highlight w:val="none"/>
              </w:rPr>
              <w:t>高级</w:t>
            </w:r>
            <w:r>
              <w:rPr>
                <w:color w:val="auto"/>
                <w:highlight w:val="none"/>
              </w:rPr>
              <w:t>及以上职称的加</w:t>
            </w:r>
            <w:r>
              <w:rPr>
                <w:rFonts w:hint="eastAsia"/>
                <w:color w:val="auto"/>
                <w:highlight w:val="none"/>
              </w:rPr>
              <w:t>1</w:t>
            </w:r>
            <w:r>
              <w:rPr>
                <w:color w:val="auto"/>
                <w:highlight w:val="none"/>
              </w:rPr>
              <w:t>分，本项最高得</w:t>
            </w:r>
            <w:r>
              <w:rPr>
                <w:rFonts w:hint="eastAsia"/>
                <w:color w:val="auto"/>
                <w:highlight w:val="none"/>
              </w:rPr>
              <w:t>3</w:t>
            </w:r>
            <w:r>
              <w:rPr>
                <w:color w:val="auto"/>
                <w:highlight w:val="none"/>
              </w:rPr>
              <w:t>分；</w:t>
            </w:r>
          </w:p>
          <w:p>
            <w:pPr>
              <w:spacing w:line="380" w:lineRule="exact"/>
              <w:ind w:firstLine="480"/>
              <w:rPr>
                <w:color w:val="auto"/>
                <w:highlight w:val="none"/>
              </w:rPr>
            </w:pPr>
            <w:r>
              <w:rPr>
                <w:color w:val="auto"/>
                <w:highlight w:val="none"/>
              </w:rPr>
              <w:t>8、</w:t>
            </w:r>
            <w:r>
              <w:rPr>
                <w:rFonts w:hint="eastAsia"/>
                <w:color w:val="auto"/>
                <w:highlight w:val="none"/>
              </w:rPr>
              <w:t>造价</w:t>
            </w:r>
            <w:r>
              <w:rPr>
                <w:color w:val="auto"/>
                <w:highlight w:val="none"/>
              </w:rPr>
              <w:t>专业负责人：具备注册</w:t>
            </w:r>
            <w:r>
              <w:rPr>
                <w:rFonts w:hint="eastAsia"/>
                <w:color w:val="auto"/>
                <w:highlight w:val="none"/>
              </w:rPr>
              <w:t>造价</w:t>
            </w:r>
            <w:r>
              <w:rPr>
                <w:color w:val="auto"/>
                <w:highlight w:val="none"/>
              </w:rPr>
              <w:t>工程师资格得</w:t>
            </w:r>
            <w:r>
              <w:rPr>
                <w:rFonts w:hint="eastAsia"/>
                <w:color w:val="auto"/>
                <w:highlight w:val="none"/>
              </w:rPr>
              <w:t>1</w:t>
            </w:r>
            <w:r>
              <w:rPr>
                <w:color w:val="auto"/>
                <w:highlight w:val="none"/>
              </w:rPr>
              <w:t>分，本项最高得</w:t>
            </w:r>
            <w:r>
              <w:rPr>
                <w:rFonts w:hint="eastAsia"/>
                <w:color w:val="auto"/>
                <w:highlight w:val="none"/>
              </w:rPr>
              <w:t>1</w:t>
            </w:r>
            <w:r>
              <w:rPr>
                <w:color w:val="auto"/>
                <w:highlight w:val="none"/>
              </w:rPr>
              <w:t>分。</w:t>
            </w:r>
          </w:p>
          <w:p>
            <w:pPr>
              <w:spacing w:line="380" w:lineRule="exact"/>
              <w:ind w:firstLine="480"/>
              <w:rPr>
                <w:color w:val="auto"/>
                <w:highlight w:val="none"/>
              </w:rPr>
            </w:pPr>
            <w:r>
              <w:rPr>
                <w:rFonts w:hint="eastAsia"/>
                <w:color w:val="auto"/>
                <w:highlight w:val="none"/>
              </w:rPr>
              <w:t>9、景观专业负责人:</w:t>
            </w:r>
            <w:r>
              <w:rPr>
                <w:color w:val="auto"/>
                <w:highlight w:val="none"/>
              </w:rPr>
              <w:t>具有</w:t>
            </w:r>
            <w:r>
              <w:rPr>
                <w:rFonts w:hint="eastAsia"/>
                <w:color w:val="auto"/>
                <w:highlight w:val="none"/>
              </w:rPr>
              <w:t>高级</w:t>
            </w:r>
            <w:r>
              <w:rPr>
                <w:color w:val="auto"/>
                <w:highlight w:val="none"/>
              </w:rPr>
              <w:t>及以上职称的</w:t>
            </w:r>
            <w:r>
              <w:rPr>
                <w:rFonts w:hint="eastAsia"/>
                <w:color w:val="auto"/>
                <w:highlight w:val="none"/>
              </w:rPr>
              <w:t>得1</w:t>
            </w:r>
            <w:r>
              <w:rPr>
                <w:color w:val="auto"/>
                <w:highlight w:val="none"/>
              </w:rPr>
              <w:t>分，本项最高得</w:t>
            </w:r>
            <w:r>
              <w:rPr>
                <w:rFonts w:hint="eastAsia"/>
                <w:color w:val="auto"/>
                <w:highlight w:val="none"/>
              </w:rPr>
              <w:t>1</w:t>
            </w:r>
            <w:r>
              <w:rPr>
                <w:color w:val="auto"/>
                <w:highlight w:val="none"/>
              </w:rPr>
              <w:t>分。</w:t>
            </w:r>
          </w:p>
        </w:tc>
        <w:tc>
          <w:tcPr>
            <w:tcW w:w="1233" w:type="dxa"/>
            <w:vAlign w:val="center"/>
          </w:tcPr>
          <w:p>
            <w:pPr>
              <w:snapToGrid w:val="0"/>
              <w:spacing w:before="120" w:beforeLines="50"/>
              <w:rPr>
                <w:rFonts w:cs="宋体"/>
                <w:color w:val="auto"/>
                <w:highlight w:val="none"/>
              </w:rPr>
            </w:pPr>
            <w:r>
              <w:rPr>
                <w:rFonts w:hint="eastAsia" w:cs="宋体"/>
                <w:color w:val="auto"/>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25" w:type="dxa"/>
            <w:vAlign w:val="center"/>
          </w:tcPr>
          <w:p>
            <w:pPr>
              <w:snapToGrid w:val="0"/>
              <w:spacing w:before="120" w:beforeLines="50"/>
              <w:rPr>
                <w:rFonts w:cs="宋体"/>
                <w:color w:val="auto"/>
                <w:highlight w:val="none"/>
              </w:rPr>
            </w:pPr>
            <w:r>
              <w:rPr>
                <w:rFonts w:hint="eastAsia" w:cs="宋体"/>
                <w:color w:val="auto"/>
                <w:highlight w:val="none"/>
              </w:rPr>
              <w:t>7</w:t>
            </w:r>
          </w:p>
        </w:tc>
        <w:tc>
          <w:tcPr>
            <w:tcW w:w="1183" w:type="dxa"/>
            <w:vAlign w:val="center"/>
          </w:tcPr>
          <w:p>
            <w:pPr>
              <w:spacing w:line="380" w:lineRule="exact"/>
              <w:rPr>
                <w:color w:val="auto"/>
                <w:highlight w:val="none"/>
              </w:rPr>
            </w:pPr>
            <w:r>
              <w:rPr>
                <w:rFonts w:hint="eastAsia"/>
                <w:color w:val="auto"/>
                <w:highlight w:val="none"/>
              </w:rPr>
              <w:t>履约能力16%</w:t>
            </w:r>
          </w:p>
        </w:tc>
        <w:tc>
          <w:tcPr>
            <w:tcW w:w="984" w:type="dxa"/>
            <w:vAlign w:val="center"/>
          </w:tcPr>
          <w:p>
            <w:pPr>
              <w:spacing w:line="380" w:lineRule="exact"/>
              <w:rPr>
                <w:color w:val="auto"/>
                <w:highlight w:val="none"/>
              </w:rPr>
            </w:pPr>
            <w:r>
              <w:rPr>
                <w:rFonts w:hint="eastAsia"/>
                <w:color w:val="auto"/>
                <w:highlight w:val="none"/>
              </w:rPr>
              <w:t>16分</w:t>
            </w:r>
          </w:p>
        </w:tc>
        <w:tc>
          <w:tcPr>
            <w:tcW w:w="5150" w:type="dxa"/>
          </w:tcPr>
          <w:p>
            <w:pPr>
              <w:spacing w:line="380" w:lineRule="exact"/>
              <w:ind w:firstLine="480"/>
              <w:rPr>
                <w:color w:val="auto"/>
                <w:highlight w:val="none"/>
                <w:lang w:val="zh-CN"/>
              </w:rPr>
            </w:pPr>
            <w:r>
              <w:rPr>
                <w:rFonts w:hint="eastAsia"/>
                <w:color w:val="auto"/>
                <w:highlight w:val="none"/>
                <w:lang w:val="zh-CN"/>
              </w:rPr>
              <w:t>投标人自</w:t>
            </w:r>
            <w:r>
              <w:rPr>
                <w:color w:val="auto"/>
                <w:highlight w:val="none"/>
                <w:lang w:val="zh-CN"/>
              </w:rPr>
              <w:t>2018年7月</w:t>
            </w:r>
            <w:r>
              <w:rPr>
                <w:rFonts w:hint="eastAsia"/>
                <w:color w:val="auto"/>
                <w:highlight w:val="none"/>
                <w:lang w:val="zh-CN"/>
              </w:rPr>
              <w:t>至今已完成的类似</w:t>
            </w:r>
            <w:r>
              <w:rPr>
                <w:color w:val="auto"/>
                <w:highlight w:val="none"/>
                <w:lang w:val="zh-CN"/>
              </w:rPr>
              <w:t>设计</w:t>
            </w:r>
            <w:r>
              <w:rPr>
                <w:rFonts w:hint="eastAsia"/>
                <w:color w:val="auto"/>
                <w:highlight w:val="none"/>
                <w:lang w:val="zh-CN" w:eastAsia="zh-CN"/>
              </w:rPr>
              <w:t>业绩</w:t>
            </w:r>
            <w:r>
              <w:rPr>
                <w:rFonts w:hint="eastAsia"/>
                <w:color w:val="auto"/>
                <w:highlight w:val="none"/>
                <w:lang w:val="zh-CN"/>
              </w:rPr>
              <w:t>（类似业绩指</w:t>
            </w:r>
            <w:r>
              <w:rPr>
                <w:rFonts w:hint="eastAsia"/>
                <w:color w:val="auto"/>
                <w:highlight w:val="none"/>
              </w:rPr>
              <w:t>:风貌</w:t>
            </w:r>
            <w:r>
              <w:rPr>
                <w:rFonts w:hint="eastAsia"/>
                <w:color w:val="auto"/>
                <w:highlight w:val="none"/>
                <w:lang w:val="zh-CN"/>
              </w:rPr>
              <w:t>改造或景观打造设计），</w:t>
            </w:r>
            <w:r>
              <w:rPr>
                <w:color w:val="auto"/>
                <w:highlight w:val="none"/>
                <w:lang w:val="zh-CN"/>
              </w:rPr>
              <w:t>每具有一个设计项目得</w:t>
            </w:r>
            <w:r>
              <w:rPr>
                <w:rFonts w:hint="eastAsia"/>
                <w:color w:val="auto"/>
                <w:highlight w:val="none"/>
              </w:rPr>
              <w:t>4</w:t>
            </w:r>
            <w:r>
              <w:rPr>
                <w:color w:val="auto"/>
                <w:highlight w:val="none"/>
                <w:lang w:val="zh-CN"/>
              </w:rPr>
              <w:t>分，此项最多得</w:t>
            </w:r>
            <w:r>
              <w:rPr>
                <w:rFonts w:hint="eastAsia"/>
                <w:color w:val="auto"/>
                <w:highlight w:val="none"/>
              </w:rPr>
              <w:t>16</w:t>
            </w:r>
            <w:r>
              <w:rPr>
                <w:color w:val="auto"/>
                <w:highlight w:val="none"/>
                <w:lang w:val="zh-CN"/>
              </w:rPr>
              <w:t>分。</w:t>
            </w:r>
          </w:p>
          <w:p>
            <w:pPr>
              <w:spacing w:line="380" w:lineRule="exact"/>
              <w:rPr>
                <w:color w:val="auto"/>
                <w:highlight w:val="none"/>
                <w:lang w:val="zh-CN"/>
              </w:rPr>
            </w:pPr>
            <w:r>
              <w:rPr>
                <w:rFonts w:hint="eastAsia"/>
                <w:color w:val="auto"/>
                <w:highlight w:val="none"/>
                <w:lang w:val="zh-CN"/>
              </w:rPr>
              <w:t>注：业绩证明材料为：中标通知书或设计合同须加盖投标人公章，否则不得分。</w:t>
            </w:r>
          </w:p>
        </w:tc>
        <w:tc>
          <w:tcPr>
            <w:tcW w:w="1233" w:type="dxa"/>
            <w:vAlign w:val="center"/>
          </w:tcPr>
          <w:p>
            <w:pPr>
              <w:snapToGrid w:val="0"/>
              <w:spacing w:before="120" w:beforeLines="50"/>
              <w:rPr>
                <w:rFonts w:cs="宋体"/>
                <w:color w:val="auto"/>
                <w:highlight w:val="none"/>
              </w:rPr>
            </w:pPr>
            <w:r>
              <w:rPr>
                <w:rFonts w:hint="eastAsia" w:cs="宋体"/>
                <w:color w:val="auto"/>
                <w:highlight w:val="none"/>
              </w:rPr>
              <w:t>共同评分因素</w:t>
            </w:r>
          </w:p>
        </w:tc>
      </w:tr>
    </w:tbl>
    <w:p>
      <w:pPr>
        <w:pStyle w:val="4"/>
        <w:keepNext w:val="0"/>
        <w:keepLines w:val="0"/>
        <w:spacing w:before="0" w:after="0" w:line="400" w:lineRule="exact"/>
        <w:ind w:firstLine="470" w:firstLineChars="196"/>
        <w:rPr>
          <w:rFonts w:ascii="宋体" w:hAnsi="宋体" w:eastAsia="宋体" w:cs="宋体"/>
          <w:b w:val="0"/>
          <w:color w:val="auto"/>
          <w:sz w:val="24"/>
          <w:szCs w:val="24"/>
          <w:highlight w:val="none"/>
        </w:rPr>
      </w:pPr>
    </w:p>
    <w:p>
      <w:pPr>
        <w:tabs>
          <w:tab w:val="left" w:pos="851"/>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w:t>
      </w:r>
      <w:bookmarkEnd w:id="266"/>
      <w:bookmarkEnd w:id="267"/>
      <w:bookmarkEnd w:id="268"/>
      <w:bookmarkEnd w:id="269"/>
      <w:bookmarkStart w:id="357" w:name="_Toc217446059"/>
      <w:r>
        <w:rPr>
          <w:rFonts w:hint="eastAsia" w:ascii="宋体" w:hAnsi="宋体" w:cs="宋体"/>
          <w:color w:val="auto"/>
          <w:sz w:val="24"/>
          <w:highlight w:val="none"/>
        </w:rPr>
        <w:t>1）采购代理机构应当根据上表结合具体政府采购项目按照有关规定自行制定综合评分明细表。</w:t>
      </w:r>
    </w:p>
    <w:p>
      <w:pPr>
        <w:tabs>
          <w:tab w:val="left" w:pos="851"/>
        </w:tabs>
        <w:spacing w:line="40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2）评分的取值按四舍五入法，保留小数点后两位。</w:t>
      </w:r>
      <w:bookmarkEnd w:id="357"/>
    </w:p>
    <w:p>
      <w:pPr>
        <w:tabs>
          <w:tab w:val="left" w:pos="851"/>
        </w:tabs>
        <w:spacing w:line="400" w:lineRule="exact"/>
        <w:ind w:firstLine="482" w:firstLineChars="200"/>
        <w:outlineLvl w:val="1"/>
        <w:rPr>
          <w:rFonts w:ascii="宋体" w:hAnsi="宋体" w:cs="宋体"/>
          <w:b/>
          <w:color w:val="auto"/>
          <w:sz w:val="24"/>
          <w:highlight w:val="none"/>
        </w:rPr>
      </w:pPr>
      <w:bookmarkStart w:id="358" w:name="_Toc5072"/>
      <w:r>
        <w:rPr>
          <w:rFonts w:hint="eastAsia" w:ascii="宋体" w:hAnsi="宋体" w:cs="宋体"/>
          <w:b/>
          <w:color w:val="auto"/>
          <w:sz w:val="24"/>
          <w:highlight w:val="none"/>
        </w:rPr>
        <w:t>4.磋商纪律及注意事项</w:t>
      </w:r>
      <w:bookmarkEnd w:id="358"/>
    </w:p>
    <w:p>
      <w:pPr>
        <w:tabs>
          <w:tab w:val="left" w:pos="851"/>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4.2在磋商过程中，供应商不得以任何形式对磋商小组成员进行旨在影响谈判结果的私下接触，否则将取消其参与磋商的资格。</w:t>
      </w:r>
    </w:p>
    <w:p>
      <w:pPr>
        <w:tabs>
          <w:tab w:val="left" w:pos="851"/>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4.3对各供应商的商业秘密，磋商小组成员应予以保密，不得泄露给其他供应商。</w:t>
      </w:r>
    </w:p>
    <w:p>
      <w:pPr>
        <w:tabs>
          <w:tab w:val="left" w:pos="851"/>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4.4 磋商小组独立评判，推荐成交候选人，并写出书面报告。</w:t>
      </w:r>
    </w:p>
    <w:p>
      <w:pPr>
        <w:tabs>
          <w:tab w:val="left" w:pos="851"/>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4.5 磋商小组可根据需要对供应商进行实地考察。</w:t>
      </w:r>
    </w:p>
    <w:p>
      <w:pPr>
        <w:spacing w:line="400" w:lineRule="exact"/>
        <w:ind w:firstLine="480" w:firstLineChars="200"/>
        <w:rPr>
          <w:rFonts w:ascii="宋体" w:hAnsi="宋体" w:cs="宋体"/>
          <w:color w:val="auto"/>
          <w:sz w:val="24"/>
          <w:highlight w:val="none"/>
        </w:rPr>
      </w:pPr>
    </w:p>
    <w:p>
      <w:pPr>
        <w:tabs>
          <w:tab w:val="left" w:pos="7665"/>
        </w:tabs>
        <w:spacing w:line="400" w:lineRule="exact"/>
        <w:ind w:firstLine="480" w:firstLineChars="200"/>
        <w:outlineLvl w:val="1"/>
        <w:rPr>
          <w:rFonts w:ascii="宋体" w:hAnsi="宋体" w:cs="宋体"/>
          <w:b/>
          <w:color w:val="auto"/>
          <w:sz w:val="24"/>
          <w:highlight w:val="none"/>
        </w:rPr>
      </w:pPr>
      <w:bookmarkStart w:id="359" w:name="_Toc22912"/>
      <w:r>
        <w:rPr>
          <w:rFonts w:hint="eastAsia" w:ascii="宋体" w:hAnsi="宋体" w:cs="宋体"/>
          <w:color w:val="auto"/>
          <w:sz w:val="24"/>
          <w:highlight w:val="none"/>
        </w:rPr>
        <w:t>5.</w:t>
      </w:r>
      <w:bookmarkEnd w:id="270"/>
      <w:r>
        <w:rPr>
          <w:rFonts w:hint="eastAsia" w:ascii="宋体" w:hAnsi="宋体" w:cs="宋体"/>
          <w:b/>
          <w:color w:val="auto"/>
          <w:sz w:val="24"/>
          <w:highlight w:val="none"/>
        </w:rPr>
        <w:t>磋商小组在政府采购活动中承担以下义务：</w:t>
      </w:r>
      <w:bookmarkEnd w:id="359"/>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（一）遵守评审工作纪律；</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（二）按照客观、公正、审慎的原则，根据磋商文件规定的评审程序、评审方法和评审标准进行独立评审；</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（三）不得泄露评审文件、评审情况和在评审过程中获悉的商业秘密；</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（六）及时向财政、监察等部门举报在评审过程中受到非法干预的情况；</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（七）配合答复处理供应商的询问、质疑和投诉等事项；</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（八）法律、法规和规章规定的其他义务。</w:t>
      </w:r>
    </w:p>
    <w:p>
      <w:pPr>
        <w:tabs>
          <w:tab w:val="left" w:pos="7665"/>
        </w:tabs>
        <w:spacing w:line="400" w:lineRule="exact"/>
        <w:rPr>
          <w:rFonts w:ascii="宋体" w:hAnsi="宋体" w:cs="宋体"/>
          <w:color w:val="auto"/>
          <w:sz w:val="24"/>
          <w:highlight w:val="none"/>
        </w:rPr>
      </w:pPr>
    </w:p>
    <w:p>
      <w:pPr>
        <w:tabs>
          <w:tab w:val="left" w:pos="7665"/>
        </w:tabs>
        <w:spacing w:line="400" w:lineRule="exact"/>
        <w:ind w:firstLine="482" w:firstLineChars="200"/>
        <w:outlineLvl w:val="1"/>
        <w:rPr>
          <w:rFonts w:ascii="宋体" w:hAnsi="宋体" w:cs="宋体"/>
          <w:b/>
          <w:color w:val="auto"/>
          <w:sz w:val="24"/>
          <w:highlight w:val="none"/>
        </w:rPr>
      </w:pPr>
      <w:bookmarkStart w:id="360" w:name="_Toc6294"/>
      <w:r>
        <w:rPr>
          <w:rFonts w:hint="eastAsia" w:ascii="宋体" w:hAnsi="宋体" w:cs="宋体"/>
          <w:b/>
          <w:color w:val="auto"/>
          <w:sz w:val="24"/>
          <w:highlight w:val="none"/>
        </w:rPr>
        <w:t>6.评审专家在政府采购活动中应当遵守以下工作纪律：</w:t>
      </w:r>
      <w:bookmarkEnd w:id="360"/>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（二）评审前，应当将通讯工具或者相关电子设备交由采购代理机构统一保管；</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（五）在评审过程中和评审结束后，不得记录、复制或带走任何评审资料，不得向外界透露评审内容；</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（六）评审现场服从采购代理机构工作人员的管理，接受现场监督人员的合法监督；</w:t>
      </w:r>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（七）遵守有关廉洁自律规定，不得私下接触供应商，不得收受供应商及有关业务单位和个人的财物或好处，不得接受采购代理机构的请托。</w:t>
      </w:r>
    </w:p>
    <w:p>
      <w:pPr>
        <w:rPr>
          <w:rFonts w:ascii="宋体" w:hAnsi="宋体" w:cs="宋体"/>
          <w:color w:val="auto"/>
          <w:highlight w:val="none"/>
        </w:rPr>
      </w:pPr>
    </w:p>
    <w:p>
      <w:pPr>
        <w:pStyle w:val="29"/>
        <w:rPr>
          <w:rFonts w:ascii="宋体" w:hAnsi="宋体" w:cs="宋体"/>
          <w:color w:val="auto"/>
          <w:highlight w:val="none"/>
        </w:rPr>
      </w:pPr>
      <w:r>
        <w:rPr>
          <w:rFonts w:hint="eastAsia" w:ascii="宋体" w:hAnsi="宋体" w:cs="宋体"/>
          <w:color w:val="auto"/>
          <w:highlight w:val="none"/>
        </w:rPr>
        <w:br w:type="page"/>
      </w:r>
      <w:bookmarkStart w:id="361" w:name="_Toc403"/>
      <w:bookmarkStart w:id="362" w:name="_Toc23221"/>
      <w:bookmarkStart w:id="363" w:name="_Toc511206483"/>
      <w:r>
        <w:rPr>
          <w:rFonts w:hint="eastAsia" w:ascii="宋体" w:hAnsi="宋体" w:cs="宋体"/>
          <w:color w:val="auto"/>
          <w:highlight w:val="none"/>
        </w:rPr>
        <w:t>第十章  政府采购合同（草案）</w:t>
      </w:r>
      <w:bookmarkEnd w:id="361"/>
      <w:bookmarkEnd w:id="362"/>
      <w:bookmarkEnd w:id="363"/>
    </w:p>
    <w:bookmarkEnd w:id="182"/>
    <w:bookmarkEnd w:id="183"/>
    <w:bookmarkEnd w:id="184"/>
    <w:p>
      <w:pPr>
        <w:spacing w:line="360" w:lineRule="auto"/>
        <w:jc w:val="center"/>
        <w:rPr>
          <w:rFonts w:cs="宋体"/>
          <w:b/>
          <w:color w:val="auto"/>
          <w:sz w:val="28"/>
          <w:szCs w:val="28"/>
          <w:highlight w:val="none"/>
        </w:rPr>
      </w:pPr>
      <w:r>
        <w:rPr>
          <w:rFonts w:hint="eastAsia" w:cs="宋体"/>
          <w:b/>
          <w:color w:val="auto"/>
          <w:sz w:val="28"/>
          <w:szCs w:val="28"/>
          <w:highlight w:val="none"/>
        </w:rPr>
        <w:t>（本部分内容仅供投标人参考，具体条款以双方签订合同为准，特别提醒：采购合同的签订不得偏离磋商文件要约及响应文件承诺的实质性内容）</w:t>
      </w:r>
    </w:p>
    <w:p>
      <w:pPr>
        <w:autoSpaceDE w:val="0"/>
        <w:autoSpaceDN w:val="0"/>
        <w:snapToGrid w:val="0"/>
        <w:spacing w:line="520" w:lineRule="exact"/>
        <w:rPr>
          <w:rFonts w:ascii="宋体" w:hAnsi="宋体" w:cs="宋体"/>
          <w:color w:val="auto"/>
          <w:spacing w:val="8"/>
          <w:sz w:val="24"/>
          <w:highlight w:val="none"/>
        </w:rPr>
      </w:pPr>
    </w:p>
    <w:bookmarkEnd w:id="249"/>
    <w:p>
      <w:pPr>
        <w:spacing w:line="360" w:lineRule="auto"/>
        <w:ind w:firstLine="480"/>
        <w:rPr>
          <w:color w:val="auto"/>
          <w:sz w:val="24"/>
          <w:highlight w:val="none"/>
        </w:rPr>
      </w:pPr>
      <w:bookmarkStart w:id="364" w:name="PO_默认文件内容_33"/>
      <w:r>
        <w:rPr>
          <w:color w:val="auto"/>
          <w:sz w:val="24"/>
          <w:highlight w:val="none"/>
        </w:rPr>
        <w:t>合同编号：</w:t>
      </w:r>
      <w:r>
        <w:rPr>
          <w:rFonts w:hint="eastAsia"/>
          <w:color w:val="auto"/>
          <w:sz w:val="24"/>
          <w:highlight w:val="none"/>
        </w:rPr>
        <w:t>XXXX。</w:t>
      </w:r>
    </w:p>
    <w:p>
      <w:pPr>
        <w:spacing w:line="360" w:lineRule="auto"/>
        <w:ind w:firstLine="480"/>
        <w:rPr>
          <w:color w:val="auto"/>
          <w:sz w:val="24"/>
          <w:highlight w:val="none"/>
        </w:rPr>
      </w:pPr>
      <w:r>
        <w:rPr>
          <w:color w:val="auto"/>
          <w:sz w:val="24"/>
          <w:highlight w:val="none"/>
        </w:rPr>
        <w:t>签订地点：</w:t>
      </w:r>
      <w:r>
        <w:rPr>
          <w:rFonts w:hint="eastAsia"/>
          <w:color w:val="auto"/>
          <w:sz w:val="24"/>
          <w:highlight w:val="none"/>
        </w:rPr>
        <w:t>XXXX。</w:t>
      </w:r>
    </w:p>
    <w:p>
      <w:pPr>
        <w:spacing w:line="360" w:lineRule="auto"/>
        <w:ind w:firstLine="480"/>
        <w:rPr>
          <w:color w:val="auto"/>
          <w:sz w:val="24"/>
          <w:highlight w:val="none"/>
        </w:rPr>
      </w:pPr>
      <w:r>
        <w:rPr>
          <w:color w:val="auto"/>
          <w:sz w:val="24"/>
          <w:highlight w:val="none"/>
        </w:rPr>
        <w:t>签订时间：</w:t>
      </w:r>
      <w:r>
        <w:rPr>
          <w:rFonts w:hint="eastAsia"/>
          <w:color w:val="auto"/>
          <w:sz w:val="24"/>
          <w:highlight w:val="none"/>
        </w:rPr>
        <w:t>XXXX</w:t>
      </w:r>
      <w:r>
        <w:rPr>
          <w:color w:val="auto"/>
          <w:sz w:val="24"/>
          <w:highlight w:val="none"/>
        </w:rPr>
        <w:t>年</w:t>
      </w:r>
      <w:r>
        <w:rPr>
          <w:rFonts w:hint="eastAsia"/>
          <w:color w:val="auto"/>
          <w:sz w:val="24"/>
          <w:highlight w:val="none"/>
        </w:rPr>
        <w:t>XX</w:t>
      </w:r>
      <w:r>
        <w:rPr>
          <w:color w:val="auto"/>
          <w:sz w:val="24"/>
          <w:highlight w:val="none"/>
        </w:rPr>
        <w:t>月</w:t>
      </w:r>
      <w:r>
        <w:rPr>
          <w:rFonts w:hint="eastAsia"/>
          <w:color w:val="auto"/>
          <w:sz w:val="24"/>
          <w:highlight w:val="none"/>
        </w:rPr>
        <w:t>XX</w:t>
      </w:r>
      <w:r>
        <w:rPr>
          <w:color w:val="auto"/>
          <w:sz w:val="24"/>
          <w:highlight w:val="none"/>
        </w:rPr>
        <w:t>日</w:t>
      </w:r>
      <w:r>
        <w:rPr>
          <w:rFonts w:hint="eastAsia"/>
          <w:color w:val="auto"/>
          <w:sz w:val="24"/>
          <w:highlight w:val="none"/>
        </w:rPr>
        <w:t>。</w:t>
      </w:r>
    </w:p>
    <w:p>
      <w:pPr>
        <w:spacing w:line="360" w:lineRule="auto"/>
        <w:ind w:firstLine="480"/>
        <w:rPr>
          <w:color w:val="auto"/>
          <w:sz w:val="24"/>
          <w:highlight w:val="none"/>
        </w:rPr>
      </w:pPr>
      <w:r>
        <w:rPr>
          <w:rFonts w:hint="eastAsia"/>
          <w:color w:val="auto"/>
          <w:sz w:val="24"/>
          <w:highlight w:val="none"/>
        </w:rPr>
        <w:t>采购人（</w:t>
      </w:r>
      <w:r>
        <w:rPr>
          <w:color w:val="auto"/>
          <w:sz w:val="24"/>
          <w:highlight w:val="none"/>
        </w:rPr>
        <w:t>甲方</w:t>
      </w:r>
      <w:r>
        <w:rPr>
          <w:rFonts w:hint="eastAsia"/>
          <w:color w:val="auto"/>
          <w:sz w:val="24"/>
          <w:highlight w:val="none"/>
        </w:rPr>
        <w:t>）</w:t>
      </w:r>
      <w:r>
        <w:rPr>
          <w:color w:val="auto"/>
          <w:sz w:val="24"/>
          <w:highlight w:val="none"/>
        </w:rPr>
        <w:t>：</w:t>
      </w:r>
      <w:r>
        <w:rPr>
          <w:color w:val="auto"/>
          <w:sz w:val="24"/>
          <w:highlight w:val="none"/>
          <w:u w:val="single"/>
        </w:rPr>
        <w:t xml:space="preserve">                              </w:t>
      </w:r>
    </w:p>
    <w:p>
      <w:pPr>
        <w:spacing w:line="360" w:lineRule="auto"/>
        <w:ind w:firstLine="480"/>
        <w:rPr>
          <w:color w:val="auto"/>
          <w:sz w:val="24"/>
          <w:highlight w:val="none"/>
          <w:u w:val="single"/>
        </w:rPr>
      </w:pPr>
      <w:r>
        <w:rPr>
          <w:rFonts w:hint="eastAsia"/>
          <w:color w:val="auto"/>
          <w:sz w:val="24"/>
          <w:highlight w:val="none"/>
        </w:rPr>
        <w:t>供应商（乙</w:t>
      </w:r>
      <w:r>
        <w:rPr>
          <w:color w:val="auto"/>
          <w:sz w:val="24"/>
          <w:highlight w:val="none"/>
        </w:rPr>
        <w:t>方</w:t>
      </w:r>
      <w:r>
        <w:rPr>
          <w:rFonts w:hint="eastAsia"/>
          <w:color w:val="auto"/>
          <w:sz w:val="24"/>
          <w:highlight w:val="none"/>
        </w:rPr>
        <w:t>）</w:t>
      </w:r>
      <w:r>
        <w:rPr>
          <w:color w:val="auto"/>
          <w:sz w:val="24"/>
          <w:highlight w:val="none"/>
        </w:rPr>
        <w:t>：</w:t>
      </w:r>
      <w:r>
        <w:rPr>
          <w:color w:val="auto"/>
          <w:sz w:val="24"/>
          <w:highlight w:val="none"/>
          <w:u w:val="single"/>
        </w:rPr>
        <w:t xml:space="preserve">                              </w:t>
      </w:r>
    </w:p>
    <w:p>
      <w:pPr>
        <w:spacing w:line="360" w:lineRule="auto"/>
        <w:ind w:firstLine="480"/>
        <w:rPr>
          <w:color w:val="auto"/>
          <w:sz w:val="24"/>
          <w:highlight w:val="none"/>
        </w:rPr>
      </w:pPr>
    </w:p>
    <w:p>
      <w:pPr>
        <w:spacing w:line="360" w:lineRule="auto"/>
        <w:ind w:firstLine="480"/>
        <w:jc w:val="left"/>
        <w:rPr>
          <w:color w:val="auto"/>
          <w:sz w:val="24"/>
          <w:highlight w:val="none"/>
        </w:rPr>
      </w:pPr>
      <w:r>
        <w:rPr>
          <w:color w:val="auto"/>
          <w:sz w:val="24"/>
          <w:highlight w:val="none"/>
        </w:rPr>
        <w:t>依据《中华人民共和国</w:t>
      </w:r>
      <w:r>
        <w:rPr>
          <w:rFonts w:hint="eastAsia"/>
          <w:color w:val="auto"/>
          <w:sz w:val="24"/>
          <w:highlight w:val="none"/>
        </w:rPr>
        <w:t>民法典</w:t>
      </w:r>
      <w:r>
        <w:rPr>
          <w:color w:val="auto"/>
          <w:sz w:val="24"/>
          <w:highlight w:val="none"/>
        </w:rPr>
        <w:t>》、《中华人民共和国政府采购法》</w:t>
      </w:r>
      <w:r>
        <w:rPr>
          <w:rFonts w:hint="eastAsia"/>
          <w:color w:val="auto"/>
          <w:sz w:val="24"/>
          <w:highlight w:val="none"/>
        </w:rPr>
        <w:t>与项目行业有关的法律法规，以及老城区桂湖中路、桂湖东路（钟楼至东环路段）城市品质提升项目设计服务采购项目（项目编号：XXXX）</w:t>
      </w:r>
      <w:r>
        <w:rPr>
          <w:color w:val="auto"/>
          <w:sz w:val="24"/>
          <w:highlight w:val="none"/>
        </w:rPr>
        <w:t>的</w:t>
      </w:r>
      <w:r>
        <w:rPr>
          <w:rFonts w:hint="eastAsia"/>
          <w:color w:val="auto"/>
          <w:sz w:val="24"/>
          <w:highlight w:val="none"/>
        </w:rPr>
        <w:t>《</w:t>
      </w:r>
      <w:r>
        <w:rPr>
          <w:rFonts w:hint="eastAsia"/>
          <w:b/>
          <w:bCs/>
          <w:color w:val="auto"/>
          <w:sz w:val="24"/>
          <w:highlight w:val="none"/>
        </w:rPr>
        <w:t>竞争性磋商</w:t>
      </w:r>
      <w:r>
        <w:rPr>
          <w:rFonts w:hint="eastAsia"/>
          <w:color w:val="auto"/>
          <w:sz w:val="24"/>
          <w:highlight w:val="none"/>
        </w:rPr>
        <w:t>文件》</w:t>
      </w:r>
      <w:r>
        <w:rPr>
          <w:color w:val="auto"/>
          <w:sz w:val="24"/>
          <w:highlight w:val="none"/>
        </w:rPr>
        <w:t>，</w:t>
      </w:r>
      <w:r>
        <w:rPr>
          <w:rFonts w:hint="eastAsia"/>
          <w:color w:val="auto"/>
          <w:sz w:val="24"/>
          <w:highlight w:val="none"/>
        </w:rPr>
        <w:t>乙方的《响应文件》及《成交通知书》，甲、乙双方同意签订本合同。详细技术说明及其他有关合同项目的特定信息由合同附件予以说明，合同附件及本项目的《竞争性磋商文件》、《响应文件》、《成交通知书》等均为本合同的组成部分。</w:t>
      </w:r>
      <w:r>
        <w:rPr>
          <w:color w:val="auto"/>
          <w:sz w:val="24"/>
          <w:highlight w:val="none"/>
        </w:rPr>
        <w:t xml:space="preserve"> </w:t>
      </w:r>
    </w:p>
    <w:p>
      <w:pPr>
        <w:numPr>
          <w:ilvl w:val="0"/>
          <w:numId w:val="3"/>
        </w:numPr>
        <w:spacing w:line="360" w:lineRule="auto"/>
        <w:ind w:firstLine="482"/>
        <w:jc w:val="left"/>
        <w:rPr>
          <w:b/>
          <w:color w:val="auto"/>
          <w:sz w:val="24"/>
          <w:highlight w:val="none"/>
        </w:rPr>
      </w:pPr>
      <w:bookmarkStart w:id="365" w:name="_Toc8270_WPSOffice_Level1"/>
      <w:bookmarkStart w:id="366" w:name="_Toc25297_WPSOffice_Level1"/>
      <w:bookmarkStart w:id="367" w:name="_Toc15001_WPSOffice_Level1"/>
      <w:bookmarkStart w:id="368" w:name="_Toc19958_WPSOffice_Level1"/>
      <w:r>
        <w:rPr>
          <w:rFonts w:hint="eastAsia"/>
          <w:b/>
          <w:color w:val="auto"/>
          <w:sz w:val="24"/>
          <w:highlight w:val="none"/>
        </w:rPr>
        <w:t>项目基本情况</w:t>
      </w:r>
      <w:bookmarkEnd w:id="365"/>
      <w:bookmarkEnd w:id="366"/>
      <w:bookmarkEnd w:id="367"/>
      <w:bookmarkEnd w:id="368"/>
    </w:p>
    <w:p>
      <w:pPr>
        <w:spacing w:line="360" w:lineRule="auto"/>
        <w:ind w:firstLine="482"/>
        <w:jc w:val="left"/>
        <w:rPr>
          <w:b/>
          <w:color w:val="auto"/>
          <w:sz w:val="24"/>
          <w:highlight w:val="none"/>
        </w:rPr>
      </w:pPr>
      <w:r>
        <w:rPr>
          <w:rFonts w:hint="eastAsia" w:cs="宋体"/>
          <w:color w:val="auto"/>
          <w:highlight w:val="none"/>
        </w:rPr>
        <w:t>本项目主要涉及桂湖中路、桂湖东路（钟楼至东环路段）两侧建筑物外立面品质提升及街道空间品质提升两部分。建筑物外立面品质提升共计23栋建筑，其中综合整治类18栋，提升类2栋，现状保留类3栋，主要包含店面店招整治、新增夜景灯光以及外立面提升等；街道空间品质提升主要包含沿线地面绿化约1142.55㎡、非机动车道翻新约2043.83㎡、新增人行道组合车档等。</w:t>
      </w:r>
    </w:p>
    <w:p>
      <w:pPr>
        <w:numPr>
          <w:ilvl w:val="0"/>
          <w:numId w:val="3"/>
        </w:numPr>
        <w:spacing w:line="360" w:lineRule="auto"/>
        <w:ind w:firstLine="482"/>
        <w:jc w:val="left"/>
        <w:rPr>
          <w:b/>
          <w:color w:val="auto"/>
          <w:sz w:val="24"/>
          <w:highlight w:val="none"/>
        </w:rPr>
      </w:pPr>
      <w:bookmarkStart w:id="369" w:name="_Toc25857_WPSOffice_Level1"/>
      <w:bookmarkStart w:id="370" w:name="_Toc30782_WPSOffice_Level1"/>
      <w:bookmarkStart w:id="371" w:name="_Toc2557_WPSOffice_Level1"/>
      <w:bookmarkStart w:id="372" w:name="_Toc29477_WPSOffice_Level1"/>
      <w:r>
        <w:rPr>
          <w:rFonts w:hint="eastAsia"/>
          <w:b/>
          <w:color w:val="auto"/>
          <w:sz w:val="24"/>
          <w:highlight w:val="none"/>
        </w:rPr>
        <w:t>合同期限</w:t>
      </w:r>
      <w:bookmarkEnd w:id="369"/>
      <w:bookmarkEnd w:id="370"/>
      <w:bookmarkEnd w:id="371"/>
      <w:bookmarkEnd w:id="372"/>
    </w:p>
    <w:p>
      <w:pPr>
        <w:spacing w:line="360" w:lineRule="auto"/>
        <w:ind w:firstLine="480"/>
        <w:jc w:val="left"/>
        <w:rPr>
          <w:color w:val="auto"/>
          <w:sz w:val="24"/>
          <w:highlight w:val="none"/>
        </w:rPr>
      </w:pPr>
      <w:r>
        <w:rPr>
          <w:rFonts w:hint="eastAsia" w:cs="宋体"/>
          <w:b/>
          <w:bCs/>
          <w:color w:val="auto"/>
          <w:szCs w:val="22"/>
          <w:highlight w:val="none"/>
        </w:rPr>
        <w:t>服务周期</w:t>
      </w:r>
      <w:r>
        <w:rPr>
          <w:rFonts w:hint="eastAsia" w:cs="宋体"/>
          <w:color w:val="auto"/>
          <w:highlight w:val="none"/>
        </w:rPr>
        <w:t xml:space="preserve">： </w:t>
      </w:r>
      <w:r>
        <w:rPr>
          <w:rFonts w:hint="eastAsia" w:cs="宋体"/>
          <w:color w:val="auto"/>
          <w:highlight w:val="none"/>
          <w:lang w:val="en-US" w:eastAsia="zh-CN"/>
        </w:rPr>
        <w:t>15</w:t>
      </w:r>
      <w:r>
        <w:rPr>
          <w:rFonts w:hint="eastAsia" w:cs="宋体"/>
          <w:color w:val="auto"/>
          <w:highlight w:val="none"/>
        </w:rPr>
        <w:t xml:space="preserve"> 日历天</w:t>
      </w:r>
    </w:p>
    <w:p>
      <w:pPr>
        <w:numPr>
          <w:ilvl w:val="0"/>
          <w:numId w:val="3"/>
        </w:numPr>
        <w:spacing w:line="360" w:lineRule="auto"/>
        <w:ind w:firstLine="482"/>
        <w:jc w:val="left"/>
        <w:rPr>
          <w:b/>
          <w:color w:val="auto"/>
          <w:sz w:val="24"/>
          <w:highlight w:val="none"/>
        </w:rPr>
      </w:pPr>
      <w:bookmarkStart w:id="373" w:name="_Toc1932_WPSOffice_Level1"/>
      <w:bookmarkStart w:id="374" w:name="_Toc24651_WPSOffice_Level1"/>
      <w:bookmarkStart w:id="375" w:name="_Toc10132_WPSOffice_Level1"/>
      <w:bookmarkStart w:id="376" w:name="_Toc2998_WPSOffice_Level1"/>
      <w:bookmarkStart w:id="377" w:name="_Toc286993786"/>
      <w:bookmarkStart w:id="378" w:name="_Toc212019594"/>
      <w:bookmarkStart w:id="379" w:name="_Toc282696226"/>
      <w:bookmarkStart w:id="380" w:name="_Toc232492928"/>
      <w:bookmarkStart w:id="381" w:name="_Toc237145406"/>
      <w:bookmarkStart w:id="382" w:name="_Toc211911348"/>
      <w:bookmarkStart w:id="383" w:name="_Toc251768862"/>
      <w:bookmarkStart w:id="384" w:name="_Toc225670751"/>
      <w:bookmarkStart w:id="385" w:name="_Toc185395249"/>
      <w:bookmarkStart w:id="386" w:name="_Toc247334841"/>
      <w:bookmarkStart w:id="387" w:name="_Toc283019214"/>
      <w:bookmarkStart w:id="388" w:name="_Toc225654644"/>
      <w:bookmarkStart w:id="389" w:name="_Toc239233914"/>
      <w:bookmarkStart w:id="390" w:name="_Toc211854449"/>
      <w:bookmarkStart w:id="391" w:name="_Toc225244852"/>
      <w:bookmarkStart w:id="392" w:name="_Toc238984975"/>
      <w:bookmarkStart w:id="393" w:name="_Toc239568418"/>
      <w:bookmarkStart w:id="394" w:name="_Toc241833903"/>
      <w:r>
        <w:rPr>
          <w:rFonts w:hint="eastAsia"/>
          <w:b/>
          <w:color w:val="auto"/>
          <w:sz w:val="24"/>
          <w:highlight w:val="none"/>
        </w:rPr>
        <w:t>服务内容与质量标准</w:t>
      </w:r>
      <w:bookmarkEnd w:id="373"/>
      <w:bookmarkEnd w:id="374"/>
      <w:bookmarkEnd w:id="375"/>
      <w:bookmarkEnd w:id="376"/>
    </w:p>
    <w:p>
      <w:pPr>
        <w:tabs>
          <w:tab w:val="left" w:pos="5000"/>
        </w:tabs>
        <w:spacing w:line="276" w:lineRule="auto"/>
        <w:ind w:firstLine="560"/>
        <w:rPr>
          <w:rFonts w:cs="宋体"/>
          <w:color w:val="auto"/>
          <w:highlight w:val="none"/>
        </w:rPr>
      </w:pPr>
      <w:r>
        <w:rPr>
          <w:rFonts w:hint="eastAsia" w:cs="宋体"/>
          <w:color w:val="auto"/>
          <w:highlight w:val="none"/>
        </w:rPr>
        <w:t xml:space="preserve"> 1、服务内容：</w:t>
      </w:r>
      <w:r>
        <w:rPr>
          <w:rFonts w:hint="eastAsia" w:cs="宋体"/>
          <w:color w:val="auto"/>
          <w:highlight w:val="none"/>
          <w:lang w:val="zh-CN" w:eastAsia="zh-CN"/>
        </w:rPr>
        <w:t>深化</w:t>
      </w:r>
      <w:r>
        <w:rPr>
          <w:rFonts w:hint="eastAsia" w:cs="宋体"/>
          <w:color w:val="auto"/>
          <w:highlight w:val="none"/>
          <w:lang w:val="zh-CN"/>
        </w:rPr>
        <w:t>方案设计、初步设计及施工图设计，完成设计全套成果资料制作以及施工过程中的全过程设计服务及协调工作，设计后期的跟踪服务，具体设计服务范围以合同签订为准</w:t>
      </w:r>
      <w:r>
        <w:rPr>
          <w:rFonts w:hint="eastAsia" w:cs="宋体"/>
          <w:color w:val="auto"/>
          <w:highlight w:val="none"/>
        </w:rPr>
        <w:t>。</w:t>
      </w:r>
    </w:p>
    <w:p>
      <w:pPr>
        <w:spacing w:line="500" w:lineRule="exact"/>
        <w:ind w:firstLine="480"/>
        <w:rPr>
          <w:rFonts w:cs="宋体"/>
          <w:color w:val="auto"/>
          <w:highlight w:val="none"/>
        </w:rPr>
      </w:pPr>
      <w:r>
        <w:rPr>
          <w:rFonts w:hint="eastAsia" w:cs="宋体"/>
          <w:color w:val="auto"/>
          <w:highlight w:val="none"/>
        </w:rPr>
        <w:t>2、技术、服务要求</w:t>
      </w:r>
    </w:p>
    <w:p>
      <w:pPr>
        <w:spacing w:line="500" w:lineRule="exact"/>
        <w:ind w:firstLine="480"/>
        <w:rPr>
          <w:rFonts w:cs="宋体"/>
          <w:color w:val="auto"/>
          <w:highlight w:val="none"/>
        </w:rPr>
      </w:pPr>
      <w:r>
        <w:rPr>
          <w:rFonts w:hint="eastAsia" w:cs="宋体"/>
          <w:color w:val="auto"/>
          <w:highlight w:val="none"/>
        </w:rPr>
        <w:t>1）设计必须执行国家最新的强制标准和国家或行业的最新的规范。</w:t>
      </w:r>
    </w:p>
    <w:p>
      <w:pPr>
        <w:spacing w:line="500" w:lineRule="exact"/>
        <w:ind w:firstLine="480"/>
        <w:rPr>
          <w:rFonts w:cs="宋体"/>
          <w:color w:val="auto"/>
          <w:highlight w:val="none"/>
        </w:rPr>
      </w:pPr>
      <w:r>
        <w:rPr>
          <w:rFonts w:hint="eastAsia" w:cs="宋体"/>
          <w:color w:val="auto"/>
          <w:highlight w:val="none"/>
        </w:rPr>
        <w:t>2）最终设计成果需经过审图机构审图，并通过审批。</w:t>
      </w:r>
    </w:p>
    <w:p>
      <w:pPr>
        <w:spacing w:line="500" w:lineRule="exact"/>
        <w:ind w:firstLine="480"/>
        <w:rPr>
          <w:rFonts w:hint="eastAsia" w:cs="宋体"/>
          <w:color w:val="auto"/>
          <w:highlight w:val="none"/>
        </w:rPr>
      </w:pPr>
      <w:r>
        <w:rPr>
          <w:rFonts w:hint="eastAsia" w:cs="宋体"/>
          <w:color w:val="auto"/>
          <w:highlight w:val="none"/>
        </w:rPr>
        <w:t>3、成果要求：深化方案设计（含电子版）4份、初步设计（含电子版）4份、施工图设计（含电子版）8份，其他资料另行协商以发包人具体要求为准</w:t>
      </w:r>
      <w:r>
        <w:rPr>
          <w:rFonts w:hint="eastAsia" w:cs="宋体"/>
          <w:color w:val="auto"/>
          <w:highlight w:val="none"/>
        </w:rPr>
        <w:t>。</w:t>
      </w:r>
    </w:p>
    <w:p>
      <w:pPr>
        <w:spacing w:line="360" w:lineRule="auto"/>
        <w:ind w:firstLine="480"/>
        <w:jc w:val="left"/>
        <w:rPr>
          <w:color w:val="auto"/>
          <w:sz w:val="24"/>
          <w:highlight w:val="none"/>
        </w:rPr>
      </w:pPr>
      <w:r>
        <w:rPr>
          <w:color w:val="auto"/>
          <w:sz w:val="24"/>
          <w:highlight w:val="none"/>
        </w:rPr>
        <w:t>…</w:t>
      </w:r>
    </w:p>
    <w:p>
      <w:pPr>
        <w:numPr>
          <w:ilvl w:val="0"/>
          <w:numId w:val="3"/>
        </w:numPr>
        <w:spacing w:line="360" w:lineRule="auto"/>
        <w:ind w:firstLine="482"/>
        <w:jc w:val="left"/>
        <w:rPr>
          <w:b/>
          <w:color w:val="auto"/>
          <w:sz w:val="24"/>
          <w:highlight w:val="none"/>
        </w:rPr>
      </w:pPr>
      <w:bookmarkStart w:id="395" w:name="_Toc12460_WPSOffice_Level1"/>
      <w:bookmarkStart w:id="396" w:name="_Toc15226_WPSOffice_Level1"/>
      <w:bookmarkStart w:id="397" w:name="_Toc3913_WPSOffice_Level1"/>
      <w:bookmarkStart w:id="398" w:name="_Toc26144_WPSOffice_Level1"/>
      <w:r>
        <w:rPr>
          <w:rFonts w:hint="eastAsia"/>
          <w:b/>
          <w:color w:val="auto"/>
          <w:sz w:val="24"/>
          <w:highlight w:val="none"/>
        </w:rPr>
        <w:t>服务费用及支付方式</w:t>
      </w:r>
      <w:bookmarkEnd w:id="395"/>
      <w:bookmarkEnd w:id="396"/>
      <w:bookmarkEnd w:id="397"/>
      <w:bookmarkEnd w:id="398"/>
    </w:p>
    <w:p>
      <w:pPr>
        <w:numPr>
          <w:ilvl w:val="0"/>
          <w:numId w:val="4"/>
        </w:numPr>
        <w:spacing w:line="360" w:lineRule="auto"/>
        <w:ind w:left="0" w:firstLine="482"/>
        <w:jc w:val="left"/>
        <w:rPr>
          <w:b/>
          <w:color w:val="auto"/>
          <w:sz w:val="24"/>
          <w:highlight w:val="none"/>
        </w:rPr>
      </w:pPr>
      <w:r>
        <w:rPr>
          <w:rFonts w:hint="eastAsia"/>
          <w:b/>
          <w:color w:val="auto"/>
          <w:sz w:val="24"/>
          <w:highlight w:val="none"/>
        </w:rPr>
        <w:t>本项目服务费用由以下组成：</w:t>
      </w:r>
    </w:p>
    <w:p>
      <w:pPr>
        <w:spacing w:line="360" w:lineRule="auto"/>
        <w:ind w:firstLine="480"/>
        <w:jc w:val="left"/>
        <w:rPr>
          <w:color w:val="auto"/>
          <w:sz w:val="24"/>
          <w:highlight w:val="none"/>
        </w:rPr>
      </w:pPr>
      <w:r>
        <w:rPr>
          <w:rFonts w:hint="eastAsia"/>
          <w:color w:val="auto"/>
          <w:sz w:val="24"/>
          <w:highlight w:val="none"/>
        </w:rPr>
        <w:t>1、XX万元；</w:t>
      </w:r>
    </w:p>
    <w:p>
      <w:pPr>
        <w:spacing w:line="360" w:lineRule="auto"/>
        <w:ind w:firstLine="480"/>
        <w:jc w:val="left"/>
        <w:rPr>
          <w:color w:val="auto"/>
          <w:sz w:val="24"/>
          <w:highlight w:val="none"/>
        </w:rPr>
      </w:pPr>
      <w:r>
        <w:rPr>
          <w:color w:val="auto"/>
          <w:sz w:val="24"/>
          <w:highlight w:val="none"/>
        </w:rPr>
        <w:t>……</w:t>
      </w:r>
    </w:p>
    <w:p>
      <w:pPr>
        <w:numPr>
          <w:ilvl w:val="0"/>
          <w:numId w:val="4"/>
        </w:numPr>
        <w:tabs>
          <w:tab w:val="left" w:pos="780"/>
        </w:tabs>
        <w:spacing w:line="360" w:lineRule="auto"/>
        <w:ind w:left="0" w:firstLine="482"/>
        <w:jc w:val="left"/>
        <w:rPr>
          <w:b/>
          <w:color w:val="auto"/>
          <w:sz w:val="24"/>
          <w:highlight w:val="none"/>
        </w:rPr>
      </w:pPr>
      <w:r>
        <w:rPr>
          <w:rFonts w:hint="eastAsia"/>
          <w:b/>
          <w:color w:val="auto"/>
          <w:sz w:val="24"/>
          <w:highlight w:val="none"/>
        </w:rPr>
        <w:t>服务费支付方式：</w:t>
      </w:r>
    </w:p>
    <w:p>
      <w:pPr>
        <w:tabs>
          <w:tab w:val="left" w:pos="1440"/>
        </w:tabs>
        <w:spacing w:line="360" w:lineRule="auto"/>
        <w:ind w:firstLine="480" w:firstLineChars="200"/>
        <w:rPr>
          <w:b w:val="0"/>
          <w:bCs w:val="0"/>
          <w:color w:val="auto"/>
          <w:highlight w:val="none"/>
        </w:rPr>
      </w:pPr>
      <w:bookmarkStart w:id="399" w:name="_Toc9309_WPSOffice_Level1"/>
      <w:bookmarkStart w:id="400" w:name="_Toc9084_WPSOffice_Level1"/>
      <w:bookmarkStart w:id="401" w:name="_Toc10725_WPSOffice_Level1"/>
      <w:bookmarkStart w:id="402" w:name="_Toc21691_WPSOffice_Level1"/>
      <w:r>
        <w:rPr>
          <w:rFonts w:hint="eastAsia" w:ascii="Times New Roman" w:hAnsi="Times New Roman" w:eastAsia="宋体" w:cs="Times New Roman"/>
          <w:color w:val="auto"/>
          <w:sz w:val="24"/>
          <w:highlight w:val="none"/>
          <w:lang w:val="zh-CN"/>
        </w:rPr>
        <w:t>合同签订生效后，采购人向成交供应商支付合同金额的30%；成交供应商提供的施工图成果取得采购人及有关部门评审通过后，采购人向成交供应商支付至合同金额的70%；项目整体验收合格后支付至结算金额的100%</w:t>
      </w:r>
      <w:bookmarkStart w:id="478" w:name="_GoBack"/>
      <w:bookmarkEnd w:id="478"/>
      <w:r>
        <w:rPr>
          <w:rFonts w:hint="eastAsia"/>
          <w:b w:val="0"/>
          <w:bCs w:val="0"/>
          <w:color w:val="auto"/>
          <w:highlight w:val="none"/>
          <w:lang w:val="zh-CN"/>
        </w:rPr>
        <w:t>。</w:t>
      </w:r>
    </w:p>
    <w:p>
      <w:pPr>
        <w:numPr>
          <w:ilvl w:val="0"/>
          <w:numId w:val="3"/>
        </w:numPr>
        <w:spacing w:line="360" w:lineRule="auto"/>
        <w:ind w:firstLine="482"/>
        <w:jc w:val="left"/>
        <w:rPr>
          <w:b/>
          <w:color w:val="auto"/>
          <w:sz w:val="24"/>
          <w:highlight w:val="none"/>
        </w:rPr>
      </w:pPr>
      <w:r>
        <w:rPr>
          <w:rFonts w:hint="eastAsia"/>
          <w:b/>
          <w:color w:val="auto"/>
          <w:sz w:val="24"/>
          <w:highlight w:val="none"/>
        </w:rPr>
        <w:t>知识产权</w:t>
      </w:r>
      <w:bookmarkEnd w:id="399"/>
      <w:bookmarkEnd w:id="400"/>
      <w:bookmarkEnd w:id="401"/>
      <w:bookmarkEnd w:id="402"/>
    </w:p>
    <w:p>
      <w:pPr>
        <w:tabs>
          <w:tab w:val="left" w:pos="1440"/>
        </w:tabs>
        <w:spacing w:line="360" w:lineRule="auto"/>
        <w:ind w:firstLine="480"/>
        <w:jc w:val="left"/>
        <w:rPr>
          <w:color w:val="auto"/>
          <w:sz w:val="24"/>
          <w:highlight w:val="none"/>
        </w:rPr>
      </w:pPr>
      <w:r>
        <w:rPr>
          <w:rFonts w:hint="eastAsia"/>
          <w:color w:val="auto"/>
          <w:sz w:val="24"/>
          <w:highlight w:val="none"/>
        </w:rPr>
        <w:t>乙方应保证所提供的服务或其任何一部分均不会侵犯任何第三方的专利权、商标权或著作权。</w:t>
      </w:r>
    </w:p>
    <w:p>
      <w:pPr>
        <w:numPr>
          <w:ilvl w:val="0"/>
          <w:numId w:val="3"/>
        </w:numPr>
        <w:spacing w:line="360" w:lineRule="auto"/>
        <w:ind w:firstLine="482"/>
        <w:jc w:val="left"/>
        <w:rPr>
          <w:b/>
          <w:color w:val="auto"/>
          <w:sz w:val="24"/>
          <w:highlight w:val="none"/>
        </w:rPr>
      </w:pPr>
      <w:bookmarkStart w:id="403" w:name="_Toc7531_WPSOffice_Level1"/>
      <w:bookmarkStart w:id="404" w:name="_Toc1227_WPSOffice_Level1"/>
      <w:bookmarkStart w:id="405" w:name="_Toc23777_WPSOffice_Level1"/>
      <w:bookmarkStart w:id="406" w:name="_Toc31057_WPSOffice_Level1"/>
      <w:r>
        <w:rPr>
          <w:rFonts w:hint="eastAsia"/>
          <w:b/>
          <w:color w:val="auto"/>
          <w:sz w:val="24"/>
          <w:highlight w:val="none"/>
        </w:rPr>
        <w:t>无产权瑕疵条款</w:t>
      </w:r>
      <w:bookmarkEnd w:id="403"/>
      <w:bookmarkEnd w:id="404"/>
      <w:bookmarkEnd w:id="405"/>
      <w:bookmarkEnd w:id="406"/>
    </w:p>
    <w:p>
      <w:pPr>
        <w:tabs>
          <w:tab w:val="left" w:pos="1440"/>
        </w:tabs>
        <w:spacing w:line="360" w:lineRule="auto"/>
        <w:ind w:firstLine="480"/>
        <w:jc w:val="left"/>
        <w:rPr>
          <w:color w:val="auto"/>
          <w:sz w:val="24"/>
          <w:highlight w:val="none"/>
        </w:rPr>
      </w:pPr>
      <w:r>
        <w:rPr>
          <w:rFonts w:hint="eastAsia"/>
          <w:color w:val="auto"/>
          <w:sz w:val="24"/>
          <w:highlight w:val="none"/>
        </w:rPr>
        <w:t>乙方保证所提供的服务的所有权完全属于乙方且无任何抵押、查封等产权瑕疵。如有产权瑕疵的，视为乙方违约。乙方应负担由此而产生的一切损失。</w:t>
      </w:r>
    </w:p>
    <w:p>
      <w:pPr>
        <w:numPr>
          <w:ilvl w:val="0"/>
          <w:numId w:val="3"/>
        </w:numPr>
        <w:spacing w:line="360" w:lineRule="auto"/>
        <w:ind w:firstLine="482"/>
        <w:jc w:val="left"/>
        <w:rPr>
          <w:b/>
          <w:color w:val="auto"/>
          <w:sz w:val="24"/>
          <w:highlight w:val="none"/>
        </w:rPr>
      </w:pPr>
      <w:bookmarkStart w:id="407" w:name="_Toc548_WPSOffice_Level1"/>
      <w:bookmarkStart w:id="408" w:name="_Toc11505_WPSOffice_Level1"/>
      <w:bookmarkStart w:id="409" w:name="_Toc611_WPSOffice_Level1"/>
      <w:bookmarkStart w:id="410" w:name="_Toc29534_WPSOffice_Level1"/>
      <w:r>
        <w:rPr>
          <w:rFonts w:hint="eastAsia"/>
          <w:b/>
          <w:color w:val="auto"/>
          <w:sz w:val="24"/>
          <w:highlight w:val="none"/>
        </w:rPr>
        <w:t>履约保证金</w:t>
      </w:r>
      <w:bookmarkEnd w:id="407"/>
      <w:bookmarkEnd w:id="408"/>
      <w:bookmarkEnd w:id="409"/>
      <w:bookmarkEnd w:id="410"/>
    </w:p>
    <w:p>
      <w:pPr>
        <w:adjustRightInd w:val="0"/>
        <w:spacing w:line="360" w:lineRule="auto"/>
        <w:ind w:firstLine="480"/>
        <w:jc w:val="left"/>
        <w:textAlignment w:val="baseline"/>
        <w:rPr>
          <w:color w:val="auto"/>
          <w:sz w:val="24"/>
          <w:highlight w:val="none"/>
        </w:rPr>
      </w:pPr>
      <w:r>
        <w:rPr>
          <w:rFonts w:hint="eastAsia"/>
          <w:color w:val="auto"/>
          <w:sz w:val="24"/>
          <w:highlight w:val="none"/>
        </w:rPr>
        <w:t>本项目不递交履约保证金</w:t>
      </w:r>
    </w:p>
    <w:p>
      <w:pPr>
        <w:numPr>
          <w:ilvl w:val="0"/>
          <w:numId w:val="3"/>
        </w:numPr>
        <w:spacing w:line="360" w:lineRule="auto"/>
        <w:ind w:firstLine="482"/>
        <w:jc w:val="left"/>
        <w:rPr>
          <w:b/>
          <w:color w:val="auto"/>
          <w:sz w:val="24"/>
          <w:highlight w:val="none"/>
        </w:rPr>
      </w:pPr>
      <w:bookmarkStart w:id="411" w:name="_Toc27526_WPSOffice_Level1"/>
      <w:bookmarkStart w:id="412" w:name="_Toc5786_WPSOffice_Level1"/>
      <w:bookmarkStart w:id="413" w:name="_Toc24768_WPSOffice_Level1"/>
      <w:bookmarkStart w:id="414" w:name="_Toc18744_WPSOffice_Level1"/>
      <w:r>
        <w:rPr>
          <w:b/>
          <w:color w:val="auto"/>
          <w:sz w:val="24"/>
          <w:highlight w:val="none"/>
        </w:rPr>
        <w:t>甲方的权利和义务</w:t>
      </w:r>
      <w:bookmarkEnd w:id="411"/>
      <w:bookmarkEnd w:id="412"/>
      <w:bookmarkEnd w:id="413"/>
      <w:bookmarkEnd w:id="414"/>
    </w:p>
    <w:p>
      <w:pPr>
        <w:numPr>
          <w:ilvl w:val="0"/>
          <w:numId w:val="5"/>
        </w:numPr>
        <w:adjustRightInd w:val="0"/>
        <w:spacing w:line="360" w:lineRule="auto"/>
        <w:ind w:firstLine="480"/>
        <w:jc w:val="left"/>
        <w:textAlignment w:val="baseline"/>
        <w:rPr>
          <w:bCs/>
          <w:color w:val="auto"/>
          <w:sz w:val="24"/>
          <w:highlight w:val="none"/>
        </w:rPr>
      </w:pPr>
      <w:r>
        <w:rPr>
          <w:bCs/>
          <w:color w:val="auto"/>
          <w:sz w:val="24"/>
          <w:highlight w:val="none"/>
        </w:rPr>
        <w:t>甲方有权对合同规定范围内</w:t>
      </w:r>
      <w:r>
        <w:rPr>
          <w:rFonts w:hint="eastAsia"/>
          <w:bCs/>
          <w:color w:val="auto"/>
          <w:sz w:val="24"/>
          <w:highlight w:val="none"/>
        </w:rPr>
        <w:t>乙方的服务行为</w:t>
      </w:r>
      <w:r>
        <w:rPr>
          <w:bCs/>
          <w:color w:val="auto"/>
          <w:sz w:val="24"/>
          <w:highlight w:val="none"/>
        </w:rPr>
        <w:t>进行监督和检查，拥有监管权。有权定期核对乙方提供服务所配备的人员数量</w:t>
      </w:r>
      <w:r>
        <w:rPr>
          <w:rFonts w:hint="eastAsia"/>
          <w:bCs/>
          <w:color w:val="auto"/>
          <w:sz w:val="24"/>
          <w:highlight w:val="none"/>
        </w:rPr>
        <w:t>。</w:t>
      </w:r>
    </w:p>
    <w:p>
      <w:pPr>
        <w:adjustRightInd w:val="0"/>
        <w:spacing w:line="360" w:lineRule="auto"/>
        <w:ind w:firstLine="480" w:firstLineChars="200"/>
        <w:jc w:val="left"/>
        <w:textAlignment w:val="baseline"/>
        <w:rPr>
          <w:bCs/>
          <w:color w:val="auto"/>
          <w:sz w:val="24"/>
          <w:highlight w:val="none"/>
        </w:rPr>
      </w:pPr>
      <w:r>
        <w:rPr>
          <w:rFonts w:hint="eastAsia"/>
          <w:bCs/>
          <w:color w:val="auto"/>
          <w:sz w:val="24"/>
          <w:highlight w:val="none"/>
        </w:rPr>
        <w:t>2</w:t>
      </w:r>
      <w:r>
        <w:rPr>
          <w:rFonts w:hint="eastAsia"/>
          <w:b/>
          <w:color w:val="auto"/>
          <w:sz w:val="24"/>
          <w:highlight w:val="none"/>
        </w:rPr>
        <w:t>、甲方有权对乙方提供的设计服务进行考评，</w:t>
      </w:r>
      <w:r>
        <w:rPr>
          <w:bCs/>
          <w:color w:val="auto"/>
          <w:sz w:val="24"/>
          <w:highlight w:val="none"/>
        </w:rPr>
        <w:t>对甲方认为不合理的部分有权</w:t>
      </w:r>
      <w:r>
        <w:rPr>
          <w:rFonts w:hint="eastAsia"/>
          <w:bCs/>
          <w:color w:val="auto"/>
          <w:sz w:val="24"/>
          <w:highlight w:val="none"/>
        </w:rPr>
        <w:t>下达整改通知书，</w:t>
      </w:r>
      <w:r>
        <w:rPr>
          <w:bCs/>
          <w:color w:val="auto"/>
          <w:sz w:val="24"/>
          <w:highlight w:val="none"/>
        </w:rPr>
        <w:t>要求乙方</w:t>
      </w:r>
      <w:r>
        <w:rPr>
          <w:rFonts w:hint="eastAsia"/>
          <w:bCs/>
          <w:color w:val="auto"/>
          <w:sz w:val="24"/>
          <w:highlight w:val="none"/>
        </w:rPr>
        <w:t>限期整改</w:t>
      </w:r>
      <w:r>
        <w:rPr>
          <w:bCs/>
          <w:color w:val="auto"/>
          <w:sz w:val="24"/>
          <w:highlight w:val="none"/>
        </w:rPr>
        <w:t>。</w:t>
      </w:r>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3、</w:t>
      </w:r>
      <w:r>
        <w:rPr>
          <w:bCs/>
          <w:color w:val="auto"/>
          <w:sz w:val="24"/>
          <w:highlight w:val="none"/>
        </w:rPr>
        <w:t>负责检查监督乙方管理工作的实施及制度的执行情况。</w:t>
      </w:r>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4、</w:t>
      </w:r>
      <w:r>
        <w:rPr>
          <w:bCs/>
          <w:color w:val="auto"/>
          <w:sz w:val="24"/>
          <w:highlight w:val="none"/>
        </w:rPr>
        <w:t>根据本合同规定，按时向乙方支付应付</w:t>
      </w:r>
      <w:r>
        <w:rPr>
          <w:rFonts w:hint="eastAsia"/>
          <w:bCs/>
          <w:color w:val="auto"/>
          <w:sz w:val="24"/>
          <w:highlight w:val="none"/>
        </w:rPr>
        <w:t>服务费用</w:t>
      </w:r>
      <w:r>
        <w:rPr>
          <w:bCs/>
          <w:color w:val="auto"/>
          <w:sz w:val="24"/>
          <w:highlight w:val="none"/>
        </w:rPr>
        <w:t>。</w:t>
      </w:r>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5、</w:t>
      </w:r>
      <w:r>
        <w:rPr>
          <w:bCs/>
          <w:color w:val="auto"/>
          <w:sz w:val="24"/>
          <w:highlight w:val="none"/>
        </w:rPr>
        <w:t>国家法律、法规所规定由甲方承担的其它责任。</w:t>
      </w:r>
    </w:p>
    <w:p>
      <w:pPr>
        <w:numPr>
          <w:ilvl w:val="0"/>
          <w:numId w:val="3"/>
        </w:numPr>
        <w:spacing w:line="360" w:lineRule="auto"/>
        <w:ind w:firstLine="482"/>
        <w:jc w:val="left"/>
        <w:rPr>
          <w:b/>
          <w:color w:val="auto"/>
          <w:sz w:val="24"/>
          <w:highlight w:val="none"/>
        </w:rPr>
      </w:pPr>
      <w:bookmarkStart w:id="415" w:name="_Toc12887_WPSOffice_Level1"/>
      <w:bookmarkStart w:id="416" w:name="_Toc25804_WPSOffice_Level1"/>
      <w:bookmarkStart w:id="417" w:name="_Toc20979_WPSOffice_Level1"/>
      <w:bookmarkStart w:id="418" w:name="_Toc3541_WPSOffice_Level1"/>
      <w:r>
        <w:rPr>
          <w:b/>
          <w:color w:val="auto"/>
          <w:sz w:val="24"/>
          <w:highlight w:val="none"/>
        </w:rPr>
        <w:t>乙方的权利和义务</w:t>
      </w:r>
      <w:bookmarkEnd w:id="415"/>
      <w:bookmarkEnd w:id="416"/>
      <w:bookmarkEnd w:id="417"/>
      <w:bookmarkEnd w:id="418"/>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1、</w:t>
      </w:r>
      <w:r>
        <w:rPr>
          <w:bCs/>
          <w:color w:val="auto"/>
          <w:sz w:val="24"/>
          <w:highlight w:val="none"/>
        </w:rPr>
        <w:t>对本合同规定的委托</w:t>
      </w:r>
      <w:r>
        <w:rPr>
          <w:rFonts w:hint="eastAsia"/>
          <w:bCs/>
          <w:color w:val="auto"/>
          <w:sz w:val="24"/>
          <w:highlight w:val="none"/>
        </w:rPr>
        <w:t>服务</w:t>
      </w:r>
      <w:r>
        <w:rPr>
          <w:bCs/>
          <w:color w:val="auto"/>
          <w:sz w:val="24"/>
          <w:highlight w:val="none"/>
        </w:rPr>
        <w:t>范围内的</w:t>
      </w:r>
      <w:r>
        <w:rPr>
          <w:rFonts w:hint="eastAsia"/>
          <w:bCs/>
          <w:color w:val="auto"/>
          <w:sz w:val="24"/>
          <w:highlight w:val="none"/>
        </w:rPr>
        <w:t>项目</w:t>
      </w:r>
      <w:r>
        <w:rPr>
          <w:bCs/>
          <w:color w:val="auto"/>
          <w:sz w:val="24"/>
          <w:highlight w:val="none"/>
        </w:rPr>
        <w:t>享有管理权及服务义务。</w:t>
      </w:r>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2、</w:t>
      </w:r>
      <w:r>
        <w:rPr>
          <w:bCs/>
          <w:color w:val="auto"/>
          <w:sz w:val="24"/>
          <w:highlight w:val="none"/>
        </w:rPr>
        <w:t>根据本合同的规定向甲方收取相关</w:t>
      </w:r>
      <w:r>
        <w:rPr>
          <w:rFonts w:hint="eastAsia"/>
          <w:bCs/>
          <w:color w:val="auto"/>
          <w:sz w:val="24"/>
          <w:highlight w:val="none"/>
        </w:rPr>
        <w:t>服务</w:t>
      </w:r>
      <w:r>
        <w:rPr>
          <w:bCs/>
          <w:color w:val="auto"/>
          <w:sz w:val="24"/>
          <w:highlight w:val="none"/>
        </w:rPr>
        <w:t>费用，并有权</w:t>
      </w:r>
      <w:r>
        <w:rPr>
          <w:rFonts w:hint="eastAsia"/>
          <w:bCs/>
          <w:color w:val="auto"/>
          <w:sz w:val="24"/>
          <w:highlight w:val="none"/>
        </w:rPr>
        <w:t>在本项目管理范围内</w:t>
      </w:r>
      <w:r>
        <w:rPr>
          <w:bCs/>
          <w:color w:val="auto"/>
          <w:sz w:val="24"/>
          <w:highlight w:val="none"/>
        </w:rPr>
        <w:t>管理及合理使用。</w:t>
      </w:r>
    </w:p>
    <w:p>
      <w:pPr>
        <w:adjustRightInd w:val="0"/>
        <w:spacing w:line="360" w:lineRule="auto"/>
        <w:ind w:firstLine="480"/>
        <w:jc w:val="left"/>
        <w:textAlignment w:val="baseline"/>
        <w:rPr>
          <w:color w:val="auto"/>
          <w:sz w:val="24"/>
          <w:highlight w:val="none"/>
        </w:rPr>
      </w:pPr>
      <w:r>
        <w:rPr>
          <w:rFonts w:hint="eastAsia"/>
          <w:color w:val="auto"/>
          <w:sz w:val="24"/>
          <w:highlight w:val="none"/>
        </w:rPr>
        <w:t>3、及时向甲方通告本项目服务范围内有关服务的重大事项，及时配合处理投诉。</w:t>
      </w:r>
    </w:p>
    <w:p>
      <w:pPr>
        <w:adjustRightInd w:val="0"/>
        <w:spacing w:line="360" w:lineRule="auto"/>
        <w:ind w:firstLine="480"/>
        <w:jc w:val="left"/>
        <w:textAlignment w:val="baseline"/>
        <w:rPr>
          <w:bCs/>
          <w:color w:val="auto"/>
          <w:sz w:val="24"/>
          <w:highlight w:val="none"/>
        </w:rPr>
      </w:pPr>
      <w:r>
        <w:rPr>
          <w:rFonts w:hint="eastAsia"/>
          <w:color w:val="auto"/>
          <w:sz w:val="24"/>
          <w:highlight w:val="none"/>
        </w:rPr>
        <w:t>4、</w:t>
      </w:r>
      <w:r>
        <w:rPr>
          <w:bCs/>
          <w:color w:val="auto"/>
          <w:sz w:val="24"/>
          <w:highlight w:val="none"/>
        </w:rPr>
        <w:t>接受</w:t>
      </w:r>
      <w:r>
        <w:rPr>
          <w:rFonts w:hint="eastAsia"/>
          <w:bCs/>
          <w:color w:val="auto"/>
          <w:sz w:val="24"/>
          <w:highlight w:val="none"/>
        </w:rPr>
        <w:t>项目行</w:t>
      </w:r>
      <w:r>
        <w:rPr>
          <w:bCs/>
          <w:color w:val="auto"/>
          <w:sz w:val="24"/>
          <w:highlight w:val="none"/>
        </w:rPr>
        <w:t>业管理部门及政府有关部门的指导，接受甲方的监督。</w:t>
      </w:r>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5、</w:t>
      </w:r>
      <w:r>
        <w:rPr>
          <w:bCs/>
          <w:color w:val="auto"/>
          <w:sz w:val="24"/>
          <w:highlight w:val="none"/>
        </w:rPr>
        <w:t>国家法律、法规所规定由乙方承担的其它责任。</w:t>
      </w:r>
    </w:p>
    <w:p>
      <w:pPr>
        <w:numPr>
          <w:ilvl w:val="0"/>
          <w:numId w:val="3"/>
        </w:numPr>
        <w:spacing w:line="360" w:lineRule="auto"/>
        <w:ind w:firstLine="482"/>
        <w:jc w:val="left"/>
        <w:rPr>
          <w:b/>
          <w:color w:val="auto"/>
          <w:sz w:val="24"/>
          <w:highlight w:val="none"/>
        </w:rPr>
      </w:pPr>
      <w:bookmarkStart w:id="419" w:name="_Toc30496_WPSOffice_Level1"/>
      <w:bookmarkStart w:id="420" w:name="_Toc25879_WPSOffice_Level1"/>
      <w:bookmarkStart w:id="421" w:name="_Toc26229_WPSOffice_Level1"/>
      <w:bookmarkStart w:id="422" w:name="_Toc7990_WPSOffice_Level1"/>
      <w:r>
        <w:rPr>
          <w:b/>
          <w:color w:val="auto"/>
          <w:sz w:val="24"/>
          <w:highlight w:val="none"/>
        </w:rPr>
        <w:t>违约责任</w:t>
      </w:r>
      <w:bookmarkEnd w:id="419"/>
      <w:bookmarkEnd w:id="420"/>
      <w:bookmarkEnd w:id="421"/>
      <w:bookmarkEnd w:id="422"/>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1、</w:t>
      </w:r>
      <w:r>
        <w:rPr>
          <w:bCs/>
          <w:color w:val="auto"/>
          <w:sz w:val="24"/>
          <w:highlight w:val="none"/>
        </w:rPr>
        <w:t>甲乙双方必须遵守本合同并执行合同中的各项规定，保证</w:t>
      </w:r>
      <w:r>
        <w:rPr>
          <w:rFonts w:hint="eastAsia"/>
          <w:bCs/>
          <w:color w:val="auto"/>
          <w:sz w:val="24"/>
          <w:highlight w:val="none"/>
        </w:rPr>
        <w:t>本</w:t>
      </w:r>
      <w:r>
        <w:rPr>
          <w:bCs/>
          <w:color w:val="auto"/>
          <w:sz w:val="24"/>
          <w:highlight w:val="none"/>
        </w:rPr>
        <w:t>合同的正常</w:t>
      </w:r>
      <w:r>
        <w:rPr>
          <w:rFonts w:hint="eastAsia"/>
          <w:bCs/>
          <w:color w:val="auto"/>
          <w:sz w:val="24"/>
          <w:highlight w:val="none"/>
        </w:rPr>
        <w:t>履行</w:t>
      </w:r>
      <w:r>
        <w:rPr>
          <w:bCs/>
          <w:color w:val="auto"/>
          <w:sz w:val="24"/>
          <w:highlight w:val="none"/>
        </w:rPr>
        <w:t>。</w:t>
      </w:r>
    </w:p>
    <w:p>
      <w:pPr>
        <w:adjustRightInd w:val="0"/>
        <w:spacing w:line="360" w:lineRule="auto"/>
        <w:ind w:firstLine="480"/>
        <w:jc w:val="left"/>
        <w:textAlignment w:val="baseline"/>
        <w:rPr>
          <w:bCs/>
          <w:color w:val="auto"/>
          <w:sz w:val="24"/>
          <w:highlight w:val="none"/>
        </w:rPr>
      </w:pPr>
      <w:r>
        <w:rPr>
          <w:rFonts w:hint="eastAsia"/>
          <w:bCs/>
          <w:color w:val="auto"/>
          <w:sz w:val="24"/>
          <w:highlight w:val="none"/>
        </w:rPr>
        <w:t>2、</w:t>
      </w:r>
      <w:r>
        <w:rPr>
          <w:bCs/>
          <w:color w:val="auto"/>
          <w:sz w:val="24"/>
          <w:highlight w:val="none"/>
        </w:rPr>
        <w:t>如因乙方</w:t>
      </w:r>
      <w:r>
        <w:rPr>
          <w:rFonts w:hint="eastAsia"/>
          <w:bCs/>
          <w:color w:val="auto"/>
          <w:sz w:val="24"/>
          <w:highlight w:val="none"/>
        </w:rPr>
        <w:t>工作人员在履行职务过程中的</w:t>
      </w:r>
      <w:r>
        <w:rPr>
          <w:bCs/>
          <w:color w:val="auto"/>
          <w:sz w:val="24"/>
          <w:highlight w:val="none"/>
        </w:rPr>
        <w:t>的疏忽、失职、过错等</w:t>
      </w:r>
      <w:r>
        <w:rPr>
          <w:rFonts w:hint="eastAsia"/>
          <w:bCs/>
          <w:color w:val="auto"/>
          <w:sz w:val="24"/>
          <w:highlight w:val="none"/>
        </w:rPr>
        <w:t>故意或者过失</w:t>
      </w:r>
      <w:r>
        <w:rPr>
          <w:bCs/>
          <w:color w:val="auto"/>
          <w:sz w:val="24"/>
          <w:highlight w:val="none"/>
        </w:rPr>
        <w:t>原因给甲方造成损失或侵害，</w:t>
      </w:r>
      <w:r>
        <w:rPr>
          <w:rFonts w:hint="eastAsia"/>
          <w:bCs/>
          <w:color w:val="auto"/>
          <w:sz w:val="24"/>
          <w:highlight w:val="none"/>
        </w:rPr>
        <w:t>包括但不限于甲方本身的财产损失、由此而导致的甲方对任何第三方的法律责任等，乙方对此均应承担全部的赔偿责任</w:t>
      </w:r>
      <w:r>
        <w:rPr>
          <w:bCs/>
          <w:color w:val="auto"/>
          <w:sz w:val="24"/>
          <w:highlight w:val="none"/>
        </w:rPr>
        <w:t>。</w:t>
      </w:r>
    </w:p>
    <w:p>
      <w:pPr>
        <w:numPr>
          <w:ilvl w:val="0"/>
          <w:numId w:val="3"/>
        </w:numPr>
        <w:spacing w:line="360" w:lineRule="auto"/>
        <w:ind w:firstLine="482"/>
        <w:jc w:val="left"/>
        <w:rPr>
          <w:b/>
          <w:color w:val="auto"/>
          <w:sz w:val="24"/>
          <w:highlight w:val="none"/>
        </w:rPr>
      </w:pPr>
      <w:bookmarkStart w:id="423" w:name="_Toc13955_WPSOffice_Level1"/>
      <w:bookmarkStart w:id="424" w:name="_Toc26388_WPSOffice_Level1"/>
      <w:bookmarkStart w:id="425" w:name="_Toc18372_WPSOffice_Level1"/>
      <w:bookmarkStart w:id="426" w:name="_Toc4495_WPSOffice_Level1"/>
      <w:r>
        <w:rPr>
          <w:rFonts w:hint="eastAsia"/>
          <w:b/>
          <w:color w:val="auto"/>
          <w:sz w:val="24"/>
          <w:highlight w:val="none"/>
        </w:rPr>
        <w:t>不可抗力事件处理</w:t>
      </w:r>
      <w:bookmarkEnd w:id="423"/>
      <w:bookmarkEnd w:id="424"/>
      <w:bookmarkEnd w:id="425"/>
      <w:bookmarkEnd w:id="426"/>
    </w:p>
    <w:p>
      <w:pPr>
        <w:tabs>
          <w:tab w:val="left" w:pos="0"/>
        </w:tabs>
        <w:spacing w:line="360" w:lineRule="auto"/>
        <w:ind w:firstLine="480"/>
        <w:jc w:val="left"/>
        <w:rPr>
          <w:color w:val="auto"/>
          <w:sz w:val="24"/>
          <w:highlight w:val="none"/>
        </w:rPr>
      </w:pPr>
      <w:r>
        <w:rPr>
          <w:rFonts w:hint="eastAsia"/>
          <w:color w:val="auto"/>
          <w:sz w:val="24"/>
          <w:highlight w:val="none"/>
        </w:rPr>
        <w:t>1、在合同有效期内，任何一方因不可抗力事件导致不能履行合同，则合同履行期可延长，其延长期与不可抗力影响期相同。</w:t>
      </w:r>
    </w:p>
    <w:p>
      <w:pPr>
        <w:tabs>
          <w:tab w:val="left" w:pos="0"/>
        </w:tabs>
        <w:spacing w:line="360" w:lineRule="auto"/>
        <w:ind w:firstLine="480"/>
        <w:jc w:val="left"/>
        <w:rPr>
          <w:color w:val="auto"/>
          <w:sz w:val="24"/>
          <w:highlight w:val="none"/>
        </w:rPr>
      </w:pPr>
      <w:r>
        <w:rPr>
          <w:rFonts w:hint="eastAsia"/>
          <w:color w:val="auto"/>
          <w:sz w:val="24"/>
          <w:highlight w:val="none"/>
        </w:rPr>
        <w:t>2、不可抗力事件发生后，应立即通知对方，并寄送有关权威机构出具的证明。</w:t>
      </w:r>
    </w:p>
    <w:p>
      <w:pPr>
        <w:tabs>
          <w:tab w:val="left" w:pos="0"/>
        </w:tabs>
        <w:spacing w:line="360" w:lineRule="auto"/>
        <w:ind w:firstLine="480"/>
        <w:jc w:val="left"/>
        <w:rPr>
          <w:color w:val="auto"/>
          <w:sz w:val="24"/>
          <w:highlight w:val="none"/>
        </w:rPr>
      </w:pPr>
      <w:r>
        <w:rPr>
          <w:rFonts w:hint="eastAsia"/>
          <w:color w:val="auto"/>
          <w:sz w:val="24"/>
          <w:highlight w:val="none"/>
        </w:rPr>
        <w:t>3、不可抗力事件延续</w:t>
      </w:r>
      <w:r>
        <w:rPr>
          <w:rFonts w:hint="eastAsia"/>
          <w:b/>
          <w:bCs/>
          <w:color w:val="auto"/>
          <w:sz w:val="24"/>
          <w:highlight w:val="none"/>
        </w:rPr>
        <w:t>30</w:t>
      </w:r>
      <w:r>
        <w:rPr>
          <w:rFonts w:hint="eastAsia"/>
          <w:color w:val="auto"/>
          <w:sz w:val="24"/>
          <w:highlight w:val="none"/>
        </w:rPr>
        <w:t>天以上，双方应通过友好协商，确定是否继续履行合同。</w:t>
      </w:r>
    </w:p>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Pr>
        <w:numPr>
          <w:ilvl w:val="0"/>
          <w:numId w:val="3"/>
        </w:numPr>
        <w:spacing w:line="360" w:lineRule="auto"/>
        <w:ind w:firstLine="482"/>
        <w:jc w:val="left"/>
        <w:rPr>
          <w:b/>
          <w:color w:val="auto"/>
          <w:sz w:val="24"/>
          <w:highlight w:val="none"/>
        </w:rPr>
      </w:pPr>
      <w:bookmarkStart w:id="427" w:name="_Toc11450_WPSOffice_Level1"/>
      <w:bookmarkStart w:id="428" w:name="_Toc237145411"/>
      <w:bookmarkStart w:id="429" w:name="_Toc3051_WPSOffice_Level1"/>
      <w:bookmarkStart w:id="430" w:name="_Toc225670756"/>
      <w:bookmarkStart w:id="431" w:name="_Toc31274_WPSOffice_Level1"/>
      <w:bookmarkStart w:id="432" w:name="_Toc225654649"/>
      <w:bookmarkStart w:id="433" w:name="_Toc23162_WPSOffice_Level1"/>
      <w:bookmarkStart w:id="434" w:name="_Toc232492933"/>
      <w:bookmarkStart w:id="435" w:name="_Toc212019599"/>
      <w:bookmarkStart w:id="436" w:name="_Toc251768867"/>
      <w:bookmarkStart w:id="437" w:name="_Toc211854454"/>
      <w:bookmarkStart w:id="438" w:name="_Toc211911353"/>
      <w:bookmarkStart w:id="439" w:name="_Toc286993792"/>
      <w:bookmarkStart w:id="440" w:name="_Toc238984980"/>
      <w:bookmarkStart w:id="441" w:name="_Toc185395254"/>
      <w:bookmarkStart w:id="442" w:name="_Toc239233919"/>
      <w:bookmarkStart w:id="443" w:name="_Toc239568423"/>
      <w:bookmarkStart w:id="444" w:name="_Toc241833908"/>
      <w:bookmarkStart w:id="445" w:name="_Toc247334846"/>
      <w:bookmarkStart w:id="446" w:name="_Toc225244857"/>
      <w:r>
        <w:rPr>
          <w:rFonts w:hint="eastAsia"/>
          <w:b/>
          <w:color w:val="auto"/>
          <w:sz w:val="24"/>
          <w:highlight w:val="none"/>
        </w:rPr>
        <w:t>解</w:t>
      </w:r>
      <w:r>
        <w:rPr>
          <w:b/>
          <w:color w:val="auto"/>
          <w:sz w:val="24"/>
          <w:highlight w:val="none"/>
        </w:rPr>
        <w:t>决合同纠纷的方式</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tabs>
          <w:tab w:val="left" w:pos="0"/>
        </w:tabs>
        <w:spacing w:line="360" w:lineRule="auto"/>
        <w:ind w:firstLine="480"/>
        <w:jc w:val="left"/>
        <w:rPr>
          <w:b/>
          <w:bCs/>
          <w:color w:val="auto"/>
          <w:sz w:val="24"/>
          <w:highlight w:val="none"/>
        </w:rPr>
      </w:pPr>
      <w:r>
        <w:rPr>
          <w:color w:val="auto"/>
          <w:sz w:val="24"/>
          <w:highlight w:val="none"/>
        </w:rPr>
        <w:t>在执行本合同中发生的或与本合同有关的争端，双方应通过友好协商解决</w:t>
      </w:r>
      <w:r>
        <w:rPr>
          <w:rFonts w:hint="eastAsia"/>
          <w:b/>
          <w:bCs/>
          <w:color w:val="auto"/>
          <w:sz w:val="24"/>
          <w:highlight w:val="none"/>
        </w:rPr>
        <w:t>；</w:t>
      </w:r>
      <w:r>
        <w:rPr>
          <w:b/>
          <w:bCs/>
          <w:color w:val="auto"/>
          <w:sz w:val="24"/>
          <w:highlight w:val="none"/>
        </w:rPr>
        <w:t>协商不成</w:t>
      </w:r>
      <w:r>
        <w:rPr>
          <w:rFonts w:hint="eastAsia"/>
          <w:b/>
          <w:bCs/>
          <w:color w:val="auto"/>
          <w:sz w:val="24"/>
          <w:highlight w:val="none"/>
        </w:rPr>
        <w:t>的</w:t>
      </w:r>
      <w:r>
        <w:rPr>
          <w:b/>
          <w:bCs/>
          <w:color w:val="auto"/>
          <w:sz w:val="24"/>
          <w:highlight w:val="none"/>
        </w:rPr>
        <w:t>，</w:t>
      </w:r>
      <w:r>
        <w:rPr>
          <w:rFonts w:hint="eastAsia"/>
          <w:b/>
          <w:bCs/>
          <w:color w:val="auto"/>
          <w:sz w:val="24"/>
          <w:highlight w:val="none"/>
        </w:rPr>
        <w:t>双方有权向工程所在地成都市新都区人民法院起诉。</w:t>
      </w:r>
      <w:r>
        <w:rPr>
          <w:b/>
          <w:bCs/>
          <w:color w:val="auto"/>
          <w:sz w:val="24"/>
          <w:highlight w:val="none"/>
        </w:rPr>
        <w:t xml:space="preserve">  </w:t>
      </w:r>
    </w:p>
    <w:p>
      <w:pPr>
        <w:numPr>
          <w:ilvl w:val="0"/>
          <w:numId w:val="3"/>
        </w:numPr>
        <w:spacing w:line="360" w:lineRule="auto"/>
        <w:ind w:firstLine="482"/>
        <w:jc w:val="left"/>
        <w:rPr>
          <w:b/>
          <w:color w:val="auto"/>
          <w:sz w:val="24"/>
          <w:highlight w:val="none"/>
        </w:rPr>
      </w:pPr>
      <w:bookmarkStart w:id="447" w:name="_Toc225654650"/>
      <w:bookmarkStart w:id="448" w:name="_Toc239233920"/>
      <w:bookmarkStart w:id="449" w:name="_Toc212019600"/>
      <w:bookmarkStart w:id="450" w:name="_Toc211911354"/>
      <w:bookmarkStart w:id="451" w:name="_Toc247334847"/>
      <w:bookmarkStart w:id="452" w:name="_Toc225670757"/>
      <w:bookmarkStart w:id="453" w:name="_Toc225244858"/>
      <w:bookmarkStart w:id="454" w:name="_Toc238984981"/>
      <w:bookmarkStart w:id="455" w:name="_Toc211854455"/>
      <w:bookmarkStart w:id="456" w:name="_Toc286993793"/>
      <w:bookmarkStart w:id="457" w:name="_Toc241833909"/>
      <w:bookmarkStart w:id="458" w:name="_Toc251768868"/>
      <w:bookmarkStart w:id="459" w:name="_Toc282696231"/>
      <w:bookmarkStart w:id="460" w:name="_Toc239568424"/>
      <w:bookmarkStart w:id="461" w:name="_Toc283019219"/>
      <w:bookmarkStart w:id="462" w:name="_Toc232492934"/>
      <w:bookmarkStart w:id="463" w:name="_Toc185395255"/>
      <w:bookmarkStart w:id="464" w:name="_Toc237145412"/>
      <w:bookmarkStart w:id="465" w:name="_Toc22336_WPSOffice_Level1"/>
      <w:bookmarkStart w:id="466" w:name="_Toc27128_WPSOffice_Level1"/>
      <w:bookmarkStart w:id="467" w:name="_Toc21989_WPSOffice_Level1"/>
      <w:bookmarkStart w:id="468" w:name="_Toc11495_WPSOffice_Level1"/>
      <w:r>
        <w:rPr>
          <w:b/>
          <w:color w:val="auto"/>
          <w:sz w:val="24"/>
          <w:highlight w:val="none"/>
        </w:rPr>
        <w:t>合同</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Pr>
          <w:rFonts w:hint="eastAsia"/>
          <w:b/>
          <w:color w:val="auto"/>
          <w:sz w:val="24"/>
          <w:highlight w:val="none"/>
        </w:rPr>
        <w:t>生效及其他</w:t>
      </w:r>
      <w:bookmarkEnd w:id="465"/>
      <w:bookmarkEnd w:id="466"/>
      <w:bookmarkEnd w:id="467"/>
      <w:bookmarkEnd w:id="468"/>
    </w:p>
    <w:p>
      <w:pPr>
        <w:pStyle w:val="80"/>
        <w:spacing w:line="360" w:lineRule="auto"/>
        <w:ind w:firstLine="480"/>
        <w:jc w:val="left"/>
        <w:rPr>
          <w:color w:val="auto"/>
          <w:sz w:val="24"/>
          <w:szCs w:val="24"/>
          <w:highlight w:val="none"/>
        </w:rPr>
      </w:pPr>
      <w:r>
        <w:rPr>
          <w:rFonts w:hint="eastAsia"/>
          <w:color w:val="auto"/>
          <w:sz w:val="24"/>
          <w:szCs w:val="24"/>
          <w:highlight w:val="none"/>
        </w:rPr>
        <w:t>1、合同经双方法定代表人或授权委托代理人签字并加盖单位公章后生效。</w:t>
      </w:r>
    </w:p>
    <w:p>
      <w:pPr>
        <w:pStyle w:val="80"/>
        <w:spacing w:line="360" w:lineRule="auto"/>
        <w:ind w:firstLine="480"/>
        <w:jc w:val="left"/>
        <w:rPr>
          <w:color w:val="auto"/>
          <w:sz w:val="24"/>
          <w:szCs w:val="24"/>
          <w:highlight w:val="none"/>
        </w:rPr>
      </w:pPr>
      <w:r>
        <w:rPr>
          <w:rFonts w:hint="eastAsia"/>
          <w:color w:val="auto"/>
          <w:sz w:val="24"/>
          <w:szCs w:val="24"/>
          <w:highlight w:val="none"/>
        </w:rPr>
        <w:t>2、合同执行中涉及采购资金和采购内容修改或补充的，须经政府采购监管部门审批，并签书面补充协议报政府采购监督管理部门备案，方可作为主合同不可分割的一部分。</w:t>
      </w:r>
    </w:p>
    <w:p>
      <w:pPr>
        <w:pStyle w:val="80"/>
        <w:spacing w:line="360" w:lineRule="auto"/>
        <w:ind w:firstLine="480"/>
        <w:jc w:val="left"/>
        <w:rPr>
          <w:color w:val="auto"/>
          <w:sz w:val="24"/>
          <w:szCs w:val="24"/>
          <w:highlight w:val="none"/>
        </w:rPr>
      </w:pPr>
      <w:r>
        <w:rPr>
          <w:rFonts w:hint="eastAsia"/>
          <w:color w:val="auto"/>
          <w:sz w:val="24"/>
          <w:szCs w:val="24"/>
          <w:highlight w:val="none"/>
        </w:rPr>
        <w:t>3、</w:t>
      </w:r>
      <w:r>
        <w:rPr>
          <w:rFonts w:hint="eastAsia"/>
          <w:b/>
          <w:bCs/>
          <w:color w:val="auto"/>
          <w:sz w:val="24"/>
          <w:szCs w:val="24"/>
          <w:highlight w:val="none"/>
        </w:rPr>
        <w:t>本合同一式XX份，甲方XX份，乙方XX份</w:t>
      </w:r>
      <w:r>
        <w:rPr>
          <w:rFonts w:hint="eastAsia"/>
          <w:color w:val="auto"/>
          <w:sz w:val="24"/>
          <w:szCs w:val="24"/>
          <w:highlight w:val="none"/>
        </w:rPr>
        <w:t>，政府采购代理机构XX份，同级财政部门备案XX份，具有同等法律效力。</w:t>
      </w:r>
    </w:p>
    <w:p>
      <w:pPr>
        <w:pStyle w:val="12"/>
        <w:ind w:firstLine="640"/>
        <w:jc w:val="left"/>
        <w:rPr>
          <w:color w:val="auto"/>
          <w:sz w:val="24"/>
          <w:highlight w:val="none"/>
        </w:rPr>
      </w:pPr>
    </w:p>
    <w:p>
      <w:pPr>
        <w:spacing w:line="400" w:lineRule="exact"/>
        <w:ind w:firstLine="480"/>
        <w:jc w:val="left"/>
        <w:rPr>
          <w:color w:val="auto"/>
          <w:sz w:val="24"/>
          <w:highlight w:val="none"/>
        </w:rPr>
      </w:pPr>
      <w:r>
        <w:rPr>
          <w:rFonts w:hint="eastAsia"/>
          <w:color w:val="auto"/>
          <w:sz w:val="24"/>
          <w:highlight w:val="none"/>
        </w:rPr>
        <w:t>甲方：   （盖章）</w:t>
      </w:r>
      <w:r>
        <w:rPr>
          <w:color w:val="auto"/>
          <w:sz w:val="24"/>
          <w:highlight w:val="none"/>
        </w:rPr>
        <w:t xml:space="preserve">   </w:t>
      </w:r>
      <w:r>
        <w:rPr>
          <w:color w:val="auto"/>
          <w:sz w:val="24"/>
          <w:highlight w:val="none"/>
        </w:rPr>
        <w:tab/>
      </w:r>
      <w:r>
        <w:rPr>
          <w:color w:val="auto"/>
          <w:sz w:val="24"/>
          <w:highlight w:val="none"/>
        </w:rPr>
        <w:tab/>
      </w:r>
      <w:r>
        <w:rPr>
          <w:color w:val="auto"/>
          <w:sz w:val="24"/>
          <w:highlight w:val="none"/>
        </w:rPr>
        <w:tab/>
      </w:r>
      <w:r>
        <w:rPr>
          <w:color w:val="auto"/>
          <w:sz w:val="24"/>
          <w:highlight w:val="none"/>
        </w:rPr>
        <w:t xml:space="preserve">    </w:t>
      </w:r>
      <w:r>
        <w:rPr>
          <w:rFonts w:hint="eastAsia"/>
          <w:color w:val="auto"/>
          <w:sz w:val="24"/>
          <w:highlight w:val="none"/>
        </w:rPr>
        <w:t xml:space="preserve">   乙方：</w:t>
      </w:r>
      <w:r>
        <w:rPr>
          <w:color w:val="auto"/>
          <w:sz w:val="24"/>
          <w:highlight w:val="none"/>
        </w:rPr>
        <w:t xml:space="preserve">   </w:t>
      </w:r>
      <w:r>
        <w:rPr>
          <w:rFonts w:hint="eastAsia"/>
          <w:color w:val="auto"/>
          <w:sz w:val="24"/>
          <w:highlight w:val="none"/>
        </w:rPr>
        <w:t>（盖章）</w:t>
      </w:r>
    </w:p>
    <w:p>
      <w:pPr>
        <w:spacing w:line="400" w:lineRule="exact"/>
        <w:ind w:firstLine="480"/>
        <w:jc w:val="left"/>
        <w:rPr>
          <w:color w:val="auto"/>
          <w:sz w:val="24"/>
          <w:highlight w:val="none"/>
        </w:rPr>
      </w:pPr>
      <w:r>
        <w:rPr>
          <w:rFonts w:hint="eastAsia"/>
          <w:color w:val="auto"/>
          <w:sz w:val="24"/>
          <w:highlight w:val="none"/>
        </w:rPr>
        <w:t>法定代表人（授权代表）：</w:t>
      </w:r>
      <w:r>
        <w:rPr>
          <w:color w:val="auto"/>
          <w:sz w:val="24"/>
          <w:highlight w:val="none"/>
        </w:rPr>
        <w:t xml:space="preserve">           </w:t>
      </w:r>
      <w:r>
        <w:rPr>
          <w:rFonts w:hint="eastAsia"/>
          <w:color w:val="auto"/>
          <w:sz w:val="24"/>
          <w:highlight w:val="none"/>
        </w:rPr>
        <w:t>法定代表人（授权代表）：</w:t>
      </w:r>
    </w:p>
    <w:p>
      <w:pPr>
        <w:spacing w:line="400" w:lineRule="exact"/>
        <w:ind w:firstLine="480"/>
        <w:jc w:val="left"/>
        <w:rPr>
          <w:color w:val="auto"/>
          <w:sz w:val="24"/>
          <w:highlight w:val="none"/>
        </w:rPr>
      </w:pPr>
      <w:r>
        <w:rPr>
          <w:rFonts w:hint="eastAsia"/>
          <w:color w:val="auto"/>
          <w:sz w:val="24"/>
          <w:highlight w:val="none"/>
        </w:rPr>
        <w:t>地</w:t>
      </w:r>
      <w:r>
        <w:rPr>
          <w:color w:val="auto"/>
          <w:sz w:val="24"/>
          <w:highlight w:val="none"/>
        </w:rPr>
        <w:t xml:space="preserve">    </w:t>
      </w:r>
      <w:r>
        <w:rPr>
          <w:rFonts w:hint="eastAsia"/>
          <w:color w:val="auto"/>
          <w:sz w:val="24"/>
          <w:highlight w:val="none"/>
        </w:rPr>
        <w:t>址：</w:t>
      </w:r>
      <w:r>
        <w:rPr>
          <w:color w:val="auto"/>
          <w:sz w:val="24"/>
          <w:highlight w:val="none"/>
        </w:rPr>
        <w:t xml:space="preserve">                         </w:t>
      </w:r>
      <w:r>
        <w:rPr>
          <w:rFonts w:hint="eastAsia"/>
          <w:color w:val="auto"/>
          <w:sz w:val="24"/>
          <w:highlight w:val="none"/>
        </w:rPr>
        <w:t>地</w:t>
      </w:r>
      <w:r>
        <w:rPr>
          <w:color w:val="auto"/>
          <w:sz w:val="24"/>
          <w:highlight w:val="none"/>
        </w:rPr>
        <w:t xml:space="preserve">    </w:t>
      </w:r>
      <w:r>
        <w:rPr>
          <w:rFonts w:hint="eastAsia"/>
          <w:color w:val="auto"/>
          <w:sz w:val="24"/>
          <w:highlight w:val="none"/>
        </w:rPr>
        <w:t>址：</w:t>
      </w:r>
    </w:p>
    <w:p>
      <w:pPr>
        <w:spacing w:line="400" w:lineRule="exact"/>
        <w:ind w:firstLine="480"/>
        <w:jc w:val="left"/>
        <w:rPr>
          <w:color w:val="auto"/>
          <w:sz w:val="24"/>
          <w:highlight w:val="none"/>
        </w:rPr>
      </w:pPr>
      <w:r>
        <w:rPr>
          <w:rFonts w:hint="eastAsia"/>
          <w:color w:val="auto"/>
          <w:sz w:val="24"/>
          <w:highlight w:val="none"/>
        </w:rPr>
        <w:t>开户银行：</w:t>
      </w:r>
      <w:r>
        <w:rPr>
          <w:color w:val="auto"/>
          <w:sz w:val="24"/>
          <w:highlight w:val="none"/>
        </w:rPr>
        <w:t xml:space="preserve">                         </w:t>
      </w:r>
      <w:r>
        <w:rPr>
          <w:rFonts w:hint="eastAsia"/>
          <w:color w:val="auto"/>
          <w:sz w:val="24"/>
          <w:highlight w:val="none"/>
        </w:rPr>
        <w:t>开户银行：</w:t>
      </w:r>
    </w:p>
    <w:p>
      <w:pPr>
        <w:spacing w:line="400" w:lineRule="exact"/>
        <w:ind w:firstLine="480"/>
        <w:jc w:val="left"/>
        <w:rPr>
          <w:color w:val="auto"/>
          <w:sz w:val="24"/>
          <w:highlight w:val="none"/>
        </w:rPr>
      </w:pPr>
      <w:r>
        <w:rPr>
          <w:rFonts w:hint="eastAsia"/>
          <w:color w:val="auto"/>
          <w:sz w:val="24"/>
          <w:highlight w:val="none"/>
        </w:rPr>
        <w:t>账号：</w:t>
      </w:r>
      <w:r>
        <w:rPr>
          <w:color w:val="auto"/>
          <w:sz w:val="24"/>
          <w:highlight w:val="none"/>
        </w:rPr>
        <w:t xml:space="preserve">                             </w:t>
      </w:r>
      <w:r>
        <w:rPr>
          <w:rFonts w:hint="eastAsia"/>
          <w:color w:val="auto"/>
          <w:sz w:val="24"/>
          <w:highlight w:val="none"/>
        </w:rPr>
        <w:t>账号：</w:t>
      </w:r>
    </w:p>
    <w:p>
      <w:pPr>
        <w:spacing w:line="400" w:lineRule="exact"/>
        <w:ind w:firstLine="480"/>
        <w:jc w:val="left"/>
        <w:rPr>
          <w:color w:val="auto"/>
          <w:sz w:val="24"/>
          <w:highlight w:val="none"/>
        </w:rPr>
      </w:pPr>
      <w:r>
        <w:rPr>
          <w:rFonts w:hint="eastAsia"/>
          <w:color w:val="auto"/>
          <w:sz w:val="24"/>
          <w:highlight w:val="none"/>
        </w:rPr>
        <w:t>电</w:t>
      </w:r>
      <w:r>
        <w:rPr>
          <w:color w:val="auto"/>
          <w:sz w:val="24"/>
          <w:highlight w:val="none"/>
        </w:rPr>
        <w:t xml:space="preserve">    </w:t>
      </w:r>
      <w:r>
        <w:rPr>
          <w:rFonts w:hint="eastAsia"/>
          <w:color w:val="auto"/>
          <w:sz w:val="24"/>
          <w:highlight w:val="none"/>
        </w:rPr>
        <w:t>话：</w:t>
      </w:r>
      <w:r>
        <w:rPr>
          <w:color w:val="auto"/>
          <w:sz w:val="24"/>
          <w:highlight w:val="none"/>
        </w:rPr>
        <w:t xml:space="preserve">                         </w:t>
      </w:r>
      <w:r>
        <w:rPr>
          <w:rFonts w:hint="eastAsia"/>
          <w:color w:val="auto"/>
          <w:sz w:val="24"/>
          <w:highlight w:val="none"/>
        </w:rPr>
        <w:t>电</w:t>
      </w:r>
      <w:r>
        <w:rPr>
          <w:color w:val="auto"/>
          <w:sz w:val="24"/>
          <w:highlight w:val="none"/>
        </w:rPr>
        <w:t xml:space="preserve">    </w:t>
      </w:r>
      <w:r>
        <w:rPr>
          <w:rFonts w:hint="eastAsia"/>
          <w:color w:val="auto"/>
          <w:sz w:val="24"/>
          <w:highlight w:val="none"/>
        </w:rPr>
        <w:t>话：</w:t>
      </w:r>
    </w:p>
    <w:p>
      <w:pPr>
        <w:spacing w:line="400" w:lineRule="exact"/>
        <w:ind w:firstLine="480"/>
        <w:jc w:val="left"/>
        <w:rPr>
          <w:color w:val="auto"/>
          <w:sz w:val="24"/>
          <w:highlight w:val="none"/>
        </w:rPr>
      </w:pPr>
      <w:r>
        <w:rPr>
          <w:rFonts w:hint="eastAsia"/>
          <w:color w:val="auto"/>
          <w:sz w:val="24"/>
          <w:highlight w:val="none"/>
        </w:rPr>
        <w:t>传</w:t>
      </w:r>
      <w:r>
        <w:rPr>
          <w:color w:val="auto"/>
          <w:sz w:val="24"/>
          <w:highlight w:val="none"/>
        </w:rPr>
        <w:t xml:space="preserve">    </w:t>
      </w:r>
      <w:r>
        <w:rPr>
          <w:rFonts w:hint="eastAsia"/>
          <w:color w:val="auto"/>
          <w:sz w:val="24"/>
          <w:highlight w:val="none"/>
        </w:rPr>
        <w:t>真：</w:t>
      </w:r>
      <w:r>
        <w:rPr>
          <w:color w:val="auto"/>
          <w:sz w:val="24"/>
          <w:highlight w:val="none"/>
        </w:rPr>
        <w:t xml:space="preserve">                         </w:t>
      </w:r>
      <w:r>
        <w:rPr>
          <w:rFonts w:hint="eastAsia"/>
          <w:color w:val="auto"/>
          <w:sz w:val="24"/>
          <w:highlight w:val="none"/>
        </w:rPr>
        <w:t>传</w:t>
      </w:r>
      <w:r>
        <w:rPr>
          <w:color w:val="auto"/>
          <w:sz w:val="24"/>
          <w:highlight w:val="none"/>
        </w:rPr>
        <w:t xml:space="preserve">    </w:t>
      </w:r>
      <w:r>
        <w:rPr>
          <w:rFonts w:hint="eastAsia"/>
          <w:color w:val="auto"/>
          <w:sz w:val="24"/>
          <w:highlight w:val="none"/>
        </w:rPr>
        <w:t>真：</w:t>
      </w:r>
    </w:p>
    <w:p>
      <w:pPr>
        <w:spacing w:line="400" w:lineRule="exact"/>
        <w:ind w:firstLine="480"/>
        <w:jc w:val="left"/>
        <w:rPr>
          <w:bCs/>
          <w:color w:val="auto"/>
          <w:sz w:val="28"/>
          <w:szCs w:val="28"/>
          <w:highlight w:val="none"/>
        </w:rPr>
      </w:pPr>
      <w:r>
        <w:rPr>
          <w:rFonts w:hint="eastAsia"/>
          <w:color w:val="auto"/>
          <w:sz w:val="24"/>
          <w:highlight w:val="none"/>
        </w:rPr>
        <w:t>签约日期：XX年XX月XX日</w:t>
      </w:r>
      <w:r>
        <w:rPr>
          <w:color w:val="auto"/>
          <w:sz w:val="24"/>
          <w:highlight w:val="none"/>
        </w:rPr>
        <w:t xml:space="preserve"> </w:t>
      </w:r>
      <w:r>
        <w:rPr>
          <w:color w:val="auto"/>
          <w:sz w:val="24"/>
          <w:highlight w:val="none"/>
        </w:rPr>
        <w:tab/>
      </w:r>
      <w:r>
        <w:rPr>
          <w:rFonts w:hint="eastAsia"/>
          <w:color w:val="auto"/>
          <w:sz w:val="24"/>
          <w:highlight w:val="none"/>
        </w:rPr>
        <w:t xml:space="preserve">    签约日期：XX年XX月XX日</w:t>
      </w:r>
    </w:p>
    <w:p>
      <w:pPr>
        <w:spacing w:line="520" w:lineRule="exact"/>
        <w:rPr>
          <w:rFonts w:ascii="宋体" w:hAnsi="宋体" w:cs="宋体"/>
          <w:color w:val="auto"/>
          <w:sz w:val="24"/>
          <w:highlight w:val="none"/>
        </w:rPr>
      </w:pPr>
    </w:p>
    <w:p>
      <w:pPr>
        <w:rPr>
          <w:rFonts w:ascii="宋体" w:hAnsi="宋体" w:cs="宋体"/>
          <w:b/>
          <w:color w:val="auto"/>
          <w:sz w:val="32"/>
          <w:szCs w:val="32"/>
          <w:highlight w:val="none"/>
        </w:rPr>
      </w:pPr>
      <w:bookmarkStart w:id="469" w:name="_Toc13344"/>
      <w:r>
        <w:rPr>
          <w:rFonts w:hint="eastAsia" w:ascii="宋体" w:hAnsi="宋体" w:cs="宋体"/>
          <w:b/>
          <w:color w:val="auto"/>
          <w:sz w:val="32"/>
          <w:szCs w:val="32"/>
          <w:highlight w:val="none"/>
        </w:rPr>
        <w:t xml:space="preserve">  </w:t>
      </w:r>
      <w:r>
        <w:rPr>
          <w:rFonts w:hint="eastAsia" w:ascii="宋体" w:hAnsi="宋体" w:cs="宋体"/>
          <w:b/>
          <w:color w:val="auto"/>
          <w:sz w:val="32"/>
          <w:szCs w:val="32"/>
          <w:highlight w:val="none"/>
        </w:rPr>
        <w:br w:type="page"/>
      </w:r>
    </w:p>
    <w:p>
      <w:pPr>
        <w:spacing w:line="360" w:lineRule="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附件：</w:t>
      </w:r>
      <w:bookmarkEnd w:id="469"/>
      <w:bookmarkStart w:id="470" w:name="_Toc4811"/>
    </w:p>
    <w:p>
      <w:pPr>
        <w:spacing w:line="360" w:lineRule="auto"/>
        <w:jc w:val="center"/>
        <w:outlineLvl w:val="0"/>
        <w:rPr>
          <w:rFonts w:ascii="宋体" w:hAnsi="宋体" w:cs="宋体"/>
          <w:color w:val="auto"/>
          <w:highlight w:val="none"/>
        </w:rPr>
      </w:pPr>
      <w:bookmarkStart w:id="471" w:name="_Toc58"/>
      <w:r>
        <w:rPr>
          <w:rFonts w:hint="eastAsia" w:ascii="宋体" w:hAnsi="宋体" w:cs="宋体"/>
          <w:b/>
          <w:color w:val="auto"/>
          <w:sz w:val="32"/>
          <w:szCs w:val="32"/>
          <w:highlight w:val="none"/>
        </w:rPr>
        <w:t>报价表</w:t>
      </w:r>
      <w:bookmarkEnd w:id="470"/>
      <w:bookmarkEnd w:id="471"/>
    </w:p>
    <w:p>
      <w:pPr>
        <w:rPr>
          <w:rFonts w:ascii="宋体" w:hAnsi="宋体" w:cs="宋体"/>
          <w:color w:val="auto"/>
          <w:highlight w:val="none"/>
        </w:rPr>
      </w:pPr>
    </w:p>
    <w:tbl>
      <w:tblPr>
        <w:tblStyle w:val="32"/>
        <w:tblW w:w="9358" w:type="dxa"/>
        <w:jc w:val="center"/>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461"/>
        <w:gridCol w:w="6375"/>
        <w:gridCol w:w="1522"/>
      </w:tblGrid>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9358" w:type="dxa"/>
            <w:gridSpan w:val="3"/>
            <w:vAlign w:val="center"/>
          </w:tcPr>
          <w:p>
            <w:pPr>
              <w:wordWrap w:val="0"/>
              <w:topLinePunct/>
              <w:jc w:val="center"/>
              <w:rPr>
                <w:rFonts w:ascii="宋体" w:hAnsi="宋体" w:cs="宋体"/>
                <w:b/>
                <w:color w:val="auto"/>
                <w:sz w:val="30"/>
                <w:szCs w:val="30"/>
                <w:highlight w:val="none"/>
              </w:rPr>
            </w:pPr>
            <w:r>
              <w:rPr>
                <w:rFonts w:hint="eastAsia" w:ascii="宋体" w:hAnsi="宋体" w:cs="宋体"/>
                <w:b/>
                <w:color w:val="auto"/>
                <w:sz w:val="30"/>
                <w:szCs w:val="30"/>
                <w:highlight w:val="none"/>
                <w:u w:val="single"/>
              </w:rPr>
              <w:t xml:space="preserve">    </w:t>
            </w:r>
            <w:r>
              <w:rPr>
                <w:rFonts w:hint="eastAsia" w:ascii="宋体" w:hAnsi="宋体" w:cs="宋体"/>
                <w:b/>
                <w:color w:val="auto"/>
                <w:sz w:val="30"/>
                <w:szCs w:val="30"/>
                <w:highlight w:val="none"/>
              </w:rPr>
              <w:t>轮报价表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461" w:type="dxa"/>
            <w:vAlign w:val="center"/>
          </w:tcPr>
          <w:p>
            <w:pPr>
              <w:wordWrap w:val="0"/>
              <w:topLinePunct/>
              <w:jc w:val="center"/>
              <w:rPr>
                <w:rFonts w:ascii="宋体" w:hAnsi="宋体" w:cs="宋体"/>
                <w:color w:val="auto"/>
                <w:highlight w:val="none"/>
              </w:rPr>
            </w:pPr>
            <w:r>
              <w:rPr>
                <w:rFonts w:hint="eastAsia" w:ascii="宋体" w:hAnsi="宋体" w:cs="宋体"/>
                <w:color w:val="auto"/>
                <w:highlight w:val="none"/>
              </w:rPr>
              <w:t>项目名称</w:t>
            </w:r>
          </w:p>
        </w:tc>
        <w:tc>
          <w:tcPr>
            <w:tcW w:w="6375" w:type="dxa"/>
            <w:vAlign w:val="center"/>
          </w:tcPr>
          <w:p>
            <w:pPr>
              <w:wordWrap w:val="0"/>
              <w:topLinePunct/>
              <w:jc w:val="center"/>
              <w:rPr>
                <w:rFonts w:ascii="宋体" w:hAnsi="宋体" w:cs="宋体"/>
                <w:color w:val="auto"/>
                <w:highlight w:val="none"/>
              </w:rPr>
            </w:pPr>
          </w:p>
        </w:tc>
        <w:tc>
          <w:tcPr>
            <w:tcW w:w="1522" w:type="dxa"/>
            <w:vAlign w:val="center"/>
          </w:tcPr>
          <w:p>
            <w:pPr>
              <w:wordWrap w:val="0"/>
              <w:topLinePunct/>
              <w:jc w:val="center"/>
              <w:rPr>
                <w:rFonts w:ascii="宋体" w:hAnsi="宋体" w:cs="宋体"/>
                <w:color w:val="auto"/>
                <w:highlight w:val="none"/>
              </w:rPr>
            </w:pPr>
            <w:r>
              <w:rPr>
                <w:rFonts w:hint="eastAsia" w:ascii="宋体" w:hAnsi="宋体" w:cs="宋体"/>
                <w:color w:val="auto"/>
                <w:highlight w:val="none"/>
              </w:rPr>
              <w:t>备   注</w:t>
            </w: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61" w:type="dxa"/>
            <w:vAlign w:val="center"/>
          </w:tcPr>
          <w:p>
            <w:pPr>
              <w:wordWrap w:val="0"/>
              <w:topLinePunct/>
              <w:jc w:val="center"/>
              <w:rPr>
                <w:rFonts w:ascii="宋体" w:hAnsi="宋体" w:cs="宋体"/>
                <w:color w:val="auto"/>
                <w:highlight w:val="none"/>
              </w:rPr>
            </w:pPr>
            <w:r>
              <w:rPr>
                <w:rFonts w:hint="eastAsia" w:ascii="宋体" w:hAnsi="宋体" w:cs="宋体"/>
                <w:color w:val="auto"/>
                <w:highlight w:val="none"/>
              </w:rPr>
              <w:t>采购编号</w:t>
            </w:r>
          </w:p>
        </w:tc>
        <w:tc>
          <w:tcPr>
            <w:tcW w:w="6375" w:type="dxa"/>
            <w:vAlign w:val="center"/>
          </w:tcPr>
          <w:p>
            <w:pPr>
              <w:wordWrap w:val="0"/>
              <w:topLinePunct/>
              <w:ind w:firstLine="480"/>
              <w:jc w:val="center"/>
              <w:rPr>
                <w:rFonts w:ascii="宋体" w:hAnsi="宋体" w:cs="宋体"/>
                <w:color w:val="auto"/>
                <w:highlight w:val="none"/>
              </w:rPr>
            </w:pPr>
          </w:p>
        </w:tc>
        <w:tc>
          <w:tcPr>
            <w:tcW w:w="1522" w:type="dxa"/>
            <w:vMerge w:val="restart"/>
            <w:vAlign w:val="center"/>
          </w:tcPr>
          <w:p>
            <w:pPr>
              <w:wordWrap w:val="0"/>
              <w:topLinePunct/>
              <w:rPr>
                <w:rFonts w:ascii="宋体" w:hAnsi="宋体" w:cs="宋体"/>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4" w:space="0"/>
            <w:insideV w:val="single" w:color="000000" w:sz="4" w:space="0"/>
          </w:tblBorders>
          <w:tblCellMar>
            <w:top w:w="0" w:type="dxa"/>
            <w:left w:w="108" w:type="dxa"/>
            <w:bottom w:w="0" w:type="dxa"/>
            <w:right w:w="108" w:type="dxa"/>
          </w:tblCellMar>
        </w:tblPrEx>
        <w:trPr>
          <w:trHeight w:val="2182" w:hRule="atLeast"/>
          <w:jc w:val="center"/>
        </w:trPr>
        <w:tc>
          <w:tcPr>
            <w:tcW w:w="1461" w:type="dxa"/>
            <w:vAlign w:val="center"/>
          </w:tcPr>
          <w:p>
            <w:pPr>
              <w:wordWrap w:val="0"/>
              <w:topLinePunct/>
              <w:jc w:val="center"/>
              <w:rPr>
                <w:rFonts w:ascii="宋体" w:hAnsi="宋体" w:cs="宋体"/>
                <w:color w:val="auto"/>
                <w:highlight w:val="none"/>
              </w:rPr>
            </w:pPr>
            <w:r>
              <w:rPr>
                <w:rFonts w:hint="eastAsia" w:ascii="宋体" w:hAnsi="宋体" w:cs="宋体"/>
                <w:color w:val="auto"/>
                <w:highlight w:val="none"/>
              </w:rPr>
              <w:t>报价</w:t>
            </w:r>
          </w:p>
        </w:tc>
        <w:tc>
          <w:tcPr>
            <w:tcW w:w="6375" w:type="dxa"/>
            <w:vAlign w:val="center"/>
          </w:tcPr>
          <w:p>
            <w:pPr>
              <w:wordWrap w:val="0"/>
              <w:topLinePunct/>
              <w:rPr>
                <w:rFonts w:ascii="宋体" w:hAnsi="宋体" w:cs="宋体"/>
                <w:color w:val="auto"/>
                <w:highlight w:val="none"/>
              </w:rPr>
            </w:pP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rPr>
              <w:t>元</w:t>
            </w:r>
          </w:p>
        </w:tc>
        <w:tc>
          <w:tcPr>
            <w:tcW w:w="1522" w:type="dxa"/>
            <w:vMerge w:val="continue"/>
            <w:vAlign w:val="center"/>
          </w:tcPr>
          <w:p>
            <w:pPr>
              <w:wordWrap w:val="0"/>
              <w:topLinePunct/>
              <w:ind w:firstLine="480"/>
              <w:jc w:val="center"/>
              <w:rPr>
                <w:rFonts w:ascii="宋体" w:hAnsi="宋体" w:cs="宋体"/>
                <w:color w:val="auto"/>
                <w:highlight w:val="none"/>
              </w:rPr>
            </w:pPr>
          </w:p>
        </w:tc>
      </w:tr>
    </w:tbl>
    <w:p>
      <w:pPr>
        <w:widowControl/>
        <w:spacing w:line="360" w:lineRule="atLeast"/>
        <w:ind w:firstLine="470" w:firstLineChars="196"/>
        <w:jc w:val="left"/>
        <w:outlineLvl w:val="1"/>
        <w:rPr>
          <w:rFonts w:ascii="宋体" w:hAnsi="宋体" w:cs="宋体"/>
          <w:color w:val="auto"/>
          <w:sz w:val="24"/>
          <w:highlight w:val="none"/>
        </w:rPr>
      </w:pPr>
      <w:bookmarkStart w:id="472" w:name="_Toc283"/>
      <w:r>
        <w:rPr>
          <w:rFonts w:hint="eastAsia" w:ascii="宋体" w:hAnsi="宋体" w:cs="宋体"/>
          <w:color w:val="auto"/>
          <w:sz w:val="24"/>
          <w:highlight w:val="none"/>
        </w:rPr>
        <w:t>注：1、此价格为我方完成本项目所有采购内容所需的全部费用的固定不变价格，我方承诺不再要求调整合同价格。</w:t>
      </w:r>
      <w:bookmarkEnd w:id="472"/>
    </w:p>
    <w:p>
      <w:pPr>
        <w:widowControl/>
        <w:spacing w:line="360" w:lineRule="atLeast"/>
        <w:ind w:firstLine="470" w:firstLineChars="196"/>
        <w:jc w:val="left"/>
        <w:outlineLvl w:val="1"/>
        <w:rPr>
          <w:rFonts w:ascii="宋体" w:hAnsi="宋体" w:cs="宋体"/>
          <w:color w:val="auto"/>
          <w:sz w:val="24"/>
          <w:highlight w:val="none"/>
        </w:rPr>
      </w:pPr>
      <w:bookmarkStart w:id="473" w:name="_Toc5845"/>
      <w:r>
        <w:rPr>
          <w:rFonts w:hint="eastAsia" w:ascii="宋体" w:hAnsi="宋体" w:cs="宋体"/>
          <w:color w:val="auto"/>
          <w:sz w:val="24"/>
          <w:highlight w:val="none"/>
        </w:rPr>
        <w:t>2、本表格式自行复制2-3份，用于多轮报价（如有）。</w:t>
      </w:r>
      <w:bookmarkEnd w:id="473"/>
    </w:p>
    <w:p>
      <w:pPr>
        <w:widowControl/>
        <w:spacing w:line="360" w:lineRule="atLeast"/>
        <w:ind w:firstLine="470" w:firstLineChars="196"/>
        <w:jc w:val="left"/>
        <w:outlineLvl w:val="1"/>
        <w:rPr>
          <w:rFonts w:ascii="宋体" w:hAnsi="宋体" w:cs="宋体"/>
          <w:color w:val="auto"/>
          <w:sz w:val="24"/>
          <w:highlight w:val="none"/>
        </w:rPr>
      </w:pPr>
      <w:bookmarkStart w:id="474" w:name="_Toc29892"/>
      <w:r>
        <w:rPr>
          <w:rFonts w:hint="eastAsia" w:ascii="宋体" w:hAnsi="宋体" w:cs="宋体"/>
          <w:color w:val="auto"/>
          <w:sz w:val="24"/>
          <w:highlight w:val="none"/>
        </w:rPr>
        <w:t>3、报价表在磋商后，磋商小组要求供应商进行最后报价时递交。</w:t>
      </w:r>
      <w:bookmarkEnd w:id="474"/>
    </w:p>
    <w:p>
      <w:pPr>
        <w:widowControl/>
        <w:spacing w:line="360" w:lineRule="atLeast"/>
        <w:ind w:firstLine="470" w:firstLineChars="196"/>
        <w:jc w:val="left"/>
        <w:rPr>
          <w:rFonts w:ascii="宋体" w:hAnsi="宋体" w:cs="宋体"/>
          <w:color w:val="auto"/>
          <w:sz w:val="24"/>
          <w:highlight w:val="none"/>
        </w:rPr>
      </w:pPr>
    </w:p>
    <w:p>
      <w:pPr>
        <w:pStyle w:val="12"/>
        <w:rPr>
          <w:rFonts w:ascii="宋体" w:hAnsi="宋体" w:cs="宋体"/>
          <w:color w:val="auto"/>
          <w:highlight w:val="none"/>
        </w:rPr>
      </w:pPr>
    </w:p>
    <w:p>
      <w:pPr>
        <w:widowControl/>
        <w:spacing w:line="360" w:lineRule="atLeast"/>
        <w:ind w:firstLine="470" w:firstLineChars="196"/>
        <w:jc w:val="left"/>
        <w:outlineLvl w:val="1"/>
        <w:rPr>
          <w:rFonts w:ascii="宋体" w:hAnsi="宋体" w:cs="宋体"/>
          <w:color w:val="auto"/>
          <w:sz w:val="24"/>
          <w:highlight w:val="none"/>
        </w:rPr>
      </w:pPr>
      <w:bookmarkStart w:id="475" w:name="_Toc1302"/>
      <w:r>
        <w:rPr>
          <w:rFonts w:hint="eastAsia" w:ascii="宋体" w:hAnsi="宋体" w:cs="宋体"/>
          <w:color w:val="auto"/>
          <w:sz w:val="24"/>
          <w:highlight w:val="none"/>
        </w:rPr>
        <w:t>供应商名称：XXXX（单位盖章）。</w:t>
      </w:r>
      <w:bookmarkEnd w:id="475"/>
    </w:p>
    <w:p>
      <w:pPr>
        <w:widowControl/>
        <w:spacing w:line="360" w:lineRule="atLeast"/>
        <w:ind w:firstLine="470" w:firstLineChars="196"/>
        <w:jc w:val="left"/>
        <w:outlineLvl w:val="1"/>
        <w:rPr>
          <w:rFonts w:ascii="宋体" w:hAnsi="宋体" w:cs="宋体"/>
          <w:color w:val="auto"/>
          <w:sz w:val="24"/>
          <w:highlight w:val="none"/>
        </w:rPr>
      </w:pPr>
      <w:bookmarkStart w:id="476" w:name="_Toc32627"/>
      <w:r>
        <w:rPr>
          <w:rFonts w:hint="eastAsia" w:ascii="宋体" w:hAnsi="宋体" w:cs="宋体"/>
          <w:color w:val="auto"/>
          <w:sz w:val="24"/>
          <w:highlight w:val="none"/>
        </w:rPr>
        <w:t>法定代表人/单位负责人或授权代表（签字或加盖个人印章）：XXXX。</w:t>
      </w:r>
      <w:bookmarkEnd w:id="476"/>
    </w:p>
    <w:p>
      <w:pPr>
        <w:widowControl/>
        <w:spacing w:line="360" w:lineRule="atLeast"/>
        <w:ind w:firstLine="470" w:firstLineChars="196"/>
        <w:jc w:val="left"/>
        <w:outlineLvl w:val="1"/>
        <w:rPr>
          <w:rFonts w:ascii="宋体" w:hAnsi="宋体" w:cs="宋体"/>
          <w:color w:val="auto"/>
          <w:sz w:val="24"/>
          <w:highlight w:val="none"/>
        </w:rPr>
      </w:pPr>
      <w:bookmarkStart w:id="477" w:name="_Toc20817"/>
      <w:r>
        <w:rPr>
          <w:rFonts w:hint="eastAsia" w:ascii="宋体" w:hAnsi="宋体" w:cs="宋体"/>
          <w:color w:val="auto"/>
          <w:sz w:val="24"/>
          <w:highlight w:val="none"/>
        </w:rPr>
        <w:t>递交响应文件截止日期: XXXX。</w:t>
      </w:r>
      <w:bookmarkEnd w:id="477"/>
    </w:p>
    <w:p>
      <w:pPr>
        <w:widowControl/>
        <w:spacing w:line="360" w:lineRule="atLeast"/>
        <w:jc w:val="left"/>
        <w:rPr>
          <w:rFonts w:ascii="宋体" w:hAnsi="宋体" w:cs="宋体"/>
          <w:color w:val="auto"/>
          <w:szCs w:val="21"/>
          <w:highlight w:val="none"/>
        </w:rPr>
      </w:pPr>
    </w:p>
    <w:bookmarkEnd w:id="364"/>
    <w:p>
      <w:pPr>
        <w:widowControl/>
        <w:jc w:val="left"/>
        <w:rPr>
          <w:rFonts w:ascii="宋体" w:hAnsi="宋体" w:cs="宋体"/>
          <w:color w:val="auto"/>
          <w:highlight w:val="none"/>
        </w:rPr>
        <w:sectPr>
          <w:pgSz w:w="11907" w:h="16840"/>
          <w:pgMar w:top="1440" w:right="1393" w:bottom="1440" w:left="1474" w:header="851" w:footer="992" w:gutter="0"/>
          <w:pgNumType w:start="1"/>
          <w:cols w:space="425" w:num="1"/>
          <w:docGrid w:linePitch="312" w:charSpace="0"/>
        </w:sectPr>
      </w:pPr>
    </w:p>
    <w:p>
      <w:pPr>
        <w:spacing w:line="360" w:lineRule="auto"/>
        <w:outlineLvl w:val="1"/>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附件一：《四川省财政厅关于推进四川省政府采购供应商信用融资工作的通知》</w:t>
      </w:r>
    </w:p>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270500" cy="7487285"/>
            <wp:effectExtent l="0" t="0" r="6350" b="0"/>
            <wp:docPr id="16" name="图片 16"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DingTalk\18198513_v2\ImageFiles\49\lALPDgQ9qzkb4y3NA4nNAn0_637_9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076565"/>
            <wp:effectExtent l="0" t="0" r="2540" b="635"/>
            <wp:docPr id="17" name="图片 17"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DingTalk\18198513_v2\ImageFiles\72\lALPDgQ9qzkdtwHNA2LNAn0_637_8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089265"/>
            <wp:effectExtent l="0" t="0" r="2540" b="6985"/>
            <wp:docPr id="18" name="图片 1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DingTalk\18198513_v2\ImageFiles\43\lALPDgQ9qzkb_mrNA2LNAnw_636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br w:type="page"/>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drawing>
          <wp:inline distT="0" distB="0" distL="0" distR="0">
            <wp:extent cx="5941060" cy="8289290"/>
            <wp:effectExtent l="0" t="0" r="2540" b="0"/>
            <wp:docPr id="19" name="图片 19"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DingTalk\18198513_v2\ImageFiles\bb\lALPDgQ9qzkdtwLNA33NAoA_640_8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hint="eastAsia" w:ascii="宋体" w:hAnsi="宋体" w:eastAsia="宋体" w:cs="宋体"/>
          <w:b/>
          <w:color w:val="000000" w:themeColor="text1"/>
          <w:sz w:val="30"/>
          <w:szCs w:val="30"/>
          <w:highlight w:val="none"/>
          <w14:textFill>
            <w14:solidFill>
              <w14:schemeClr w14:val="tx1"/>
            </w14:solidFill>
          </w14:textFill>
        </w:rPr>
      </w:pPr>
    </w:p>
    <w:p>
      <w:pPr>
        <w:spacing w:line="400" w:lineRule="exact"/>
        <w:rPr>
          <w:rFonts w:hint="eastAsia" w:ascii="宋体" w:hAnsi="宋体" w:eastAsia="宋体" w:cs="宋体"/>
          <w:b/>
          <w:color w:val="000000" w:themeColor="text1"/>
          <w:sz w:val="30"/>
          <w:szCs w:val="30"/>
          <w:highlight w:val="none"/>
          <w14:textFill>
            <w14:solidFill>
              <w14:schemeClr w14:val="tx1"/>
            </w14:solidFill>
          </w14:textFill>
        </w:rPr>
      </w:pPr>
    </w:p>
    <w:p>
      <w:pPr>
        <w:spacing w:line="400" w:lineRule="exact"/>
        <w:outlineLvl w:val="1"/>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附件二：《成都市中小企业政府采购信用融资暂行办法》和《成都市级支持中小企业政府采购信用融资实施方案》</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82640" cy="83248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59780" cy="760349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75655" cy="83146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70905" cy="805370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20105" cy="836422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68035" cy="767270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23280" cy="7786370"/>
            <wp:effectExtent l="0" t="0" r="127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99785" cy="8335010"/>
            <wp:effectExtent l="0" t="0" r="571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6010910" cy="7740015"/>
            <wp:effectExtent l="0" t="0" r="889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899785" cy="8348980"/>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970905" cy="746379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highlight w:val="none"/>
        </w:rPr>
        <w:drawing>
          <wp:inline distT="0" distB="0" distL="114300" distR="114300">
            <wp:extent cx="5670550" cy="8153400"/>
            <wp:effectExtent l="0" t="0" r="635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5"/>
                    <a:stretch>
                      <a:fillRect/>
                    </a:stretch>
                  </pic:blipFill>
                  <pic:spPr>
                    <a:xfrm>
                      <a:off x="0" y="0"/>
                      <a:ext cx="5670550" cy="81534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579745" cy="7658100"/>
            <wp:effectExtent l="0" t="0" r="1905"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6"/>
                    <a:stretch>
                      <a:fillRect/>
                    </a:stretch>
                  </pic:blipFill>
                  <pic:spPr>
                    <a:xfrm>
                      <a:off x="0" y="0"/>
                      <a:ext cx="5579745" cy="76581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793740" cy="8038465"/>
            <wp:effectExtent l="0" t="0" r="16510"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7"/>
                    <a:stretch>
                      <a:fillRect/>
                    </a:stretch>
                  </pic:blipFill>
                  <pic:spPr>
                    <a:xfrm>
                      <a:off x="0" y="0"/>
                      <a:ext cx="5793740" cy="8038465"/>
                    </a:xfrm>
                    <a:prstGeom prst="rect">
                      <a:avLst/>
                    </a:prstGeom>
                    <a:noFill/>
                    <a:ln>
                      <a:noFill/>
                    </a:ln>
                  </pic:spPr>
                </pic:pic>
              </a:graphicData>
            </a:graphic>
          </wp:inline>
        </w:drawing>
      </w:r>
    </w:p>
    <w:p>
      <w:pPr>
        <w:rPr>
          <w:rFonts w:hint="eastAsia" w:ascii="宋体" w:hAnsi="宋体" w:eastAsia="宋体" w:cs="宋体"/>
          <w:color w:val="000000" w:themeColor="text1"/>
          <w:highlight w:val="none"/>
          <w14:textFill>
            <w14:solidFill>
              <w14:schemeClr w14:val="tx1"/>
            </w14:solidFill>
          </w14:textFill>
        </w:rPr>
      </w:pPr>
    </w:p>
    <w:p>
      <w:pPr>
        <w:pStyle w:val="8"/>
      </w:pPr>
    </w:p>
    <w:sectPr>
      <w:footerReference r:id="rId6" w:type="default"/>
      <w:footerReference r:id="rId7" w:type="even"/>
      <w:pgSz w:w="11907" w:h="16840"/>
      <w:pgMar w:top="1440" w:right="1393" w:bottom="1440" w:left="1474"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117</w:t>
    </w:r>
    <w:r>
      <w:fldChar w:fldCharType="end"/>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116</w:t>
    </w:r>
    <w:r>
      <w:fldChar w:fldCharType="end"/>
    </w:r>
  </w:p>
  <w:p>
    <w:pPr>
      <w:pStyle w:val="20"/>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10"/>
    <w:multiLevelType w:val="singleLevel"/>
    <w:tmpl w:val="00000010"/>
    <w:lvl w:ilvl="0" w:tentative="0">
      <w:start w:val="1"/>
      <w:numFmt w:val="japaneseCounting"/>
      <w:lvlText w:val="第%1条"/>
      <w:lvlJc w:val="left"/>
      <w:pPr>
        <w:tabs>
          <w:tab w:val="left" w:pos="1521"/>
        </w:tabs>
        <w:ind w:left="1521" w:hanging="1095"/>
      </w:pPr>
      <w:rPr>
        <w:rFonts w:hint="eastAsia"/>
      </w:rPr>
    </w:lvl>
  </w:abstractNum>
  <w:abstractNum w:abstractNumId="2">
    <w:nsid w:val="27BF3398"/>
    <w:multiLevelType w:val="singleLevel"/>
    <w:tmpl w:val="27BF3398"/>
    <w:lvl w:ilvl="0" w:tentative="0">
      <w:start w:val="2"/>
      <w:numFmt w:val="decimal"/>
      <w:suff w:val="nothing"/>
      <w:lvlText w:val="%1．"/>
      <w:lvlJc w:val="left"/>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6C1FA659"/>
    <w:multiLevelType w:val="singleLevel"/>
    <w:tmpl w:val="6C1FA659"/>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486"/>
    <w:rsid w:val="00007C75"/>
    <w:rsid w:val="000118D6"/>
    <w:rsid w:val="00011D5F"/>
    <w:rsid w:val="00020363"/>
    <w:rsid w:val="000352C0"/>
    <w:rsid w:val="000364CC"/>
    <w:rsid w:val="00036A7C"/>
    <w:rsid w:val="000406A7"/>
    <w:rsid w:val="00041DC6"/>
    <w:rsid w:val="00042771"/>
    <w:rsid w:val="00043C59"/>
    <w:rsid w:val="00045D6D"/>
    <w:rsid w:val="00047C44"/>
    <w:rsid w:val="00051A4C"/>
    <w:rsid w:val="00063229"/>
    <w:rsid w:val="00072C56"/>
    <w:rsid w:val="000752F6"/>
    <w:rsid w:val="00076F73"/>
    <w:rsid w:val="000771C9"/>
    <w:rsid w:val="000841FB"/>
    <w:rsid w:val="00085618"/>
    <w:rsid w:val="000944EF"/>
    <w:rsid w:val="000A04F3"/>
    <w:rsid w:val="000A4343"/>
    <w:rsid w:val="000A6908"/>
    <w:rsid w:val="000B39E4"/>
    <w:rsid w:val="000B7D6B"/>
    <w:rsid w:val="000C1E75"/>
    <w:rsid w:val="000C45B8"/>
    <w:rsid w:val="000C4C4B"/>
    <w:rsid w:val="000C61EA"/>
    <w:rsid w:val="000C65F1"/>
    <w:rsid w:val="000D3F89"/>
    <w:rsid w:val="000D7835"/>
    <w:rsid w:val="000E08FE"/>
    <w:rsid w:val="000E1CC8"/>
    <w:rsid w:val="0010095E"/>
    <w:rsid w:val="001221BF"/>
    <w:rsid w:val="00123566"/>
    <w:rsid w:val="00130470"/>
    <w:rsid w:val="001350D9"/>
    <w:rsid w:val="001364CB"/>
    <w:rsid w:val="00146917"/>
    <w:rsid w:val="00153C61"/>
    <w:rsid w:val="00154B00"/>
    <w:rsid w:val="00156297"/>
    <w:rsid w:val="00161605"/>
    <w:rsid w:val="0016331F"/>
    <w:rsid w:val="00165411"/>
    <w:rsid w:val="001700F0"/>
    <w:rsid w:val="00184578"/>
    <w:rsid w:val="001850D0"/>
    <w:rsid w:val="00185509"/>
    <w:rsid w:val="00185FDC"/>
    <w:rsid w:val="0018628A"/>
    <w:rsid w:val="001A3F23"/>
    <w:rsid w:val="001A6429"/>
    <w:rsid w:val="001A644E"/>
    <w:rsid w:val="001A7EA5"/>
    <w:rsid w:val="001B18D0"/>
    <w:rsid w:val="001B1A4B"/>
    <w:rsid w:val="001B2C23"/>
    <w:rsid w:val="001B7C35"/>
    <w:rsid w:val="001B7D64"/>
    <w:rsid w:val="001C753A"/>
    <w:rsid w:val="001D1EC9"/>
    <w:rsid w:val="001D66EC"/>
    <w:rsid w:val="001E153C"/>
    <w:rsid w:val="001E3951"/>
    <w:rsid w:val="001E6B50"/>
    <w:rsid w:val="001F11D9"/>
    <w:rsid w:val="001F2444"/>
    <w:rsid w:val="001F50A2"/>
    <w:rsid w:val="002000D4"/>
    <w:rsid w:val="002019AA"/>
    <w:rsid w:val="0020506E"/>
    <w:rsid w:val="002103A1"/>
    <w:rsid w:val="00211967"/>
    <w:rsid w:val="00222B1C"/>
    <w:rsid w:val="002237AF"/>
    <w:rsid w:val="00226AF4"/>
    <w:rsid w:val="0023152B"/>
    <w:rsid w:val="00231731"/>
    <w:rsid w:val="00236F48"/>
    <w:rsid w:val="00240A0E"/>
    <w:rsid w:val="00243EFE"/>
    <w:rsid w:val="002455E4"/>
    <w:rsid w:val="00245FA0"/>
    <w:rsid w:val="002501A9"/>
    <w:rsid w:val="00260B6C"/>
    <w:rsid w:val="00261A6D"/>
    <w:rsid w:val="002741F6"/>
    <w:rsid w:val="002776D3"/>
    <w:rsid w:val="00283A76"/>
    <w:rsid w:val="002919CE"/>
    <w:rsid w:val="00292DC2"/>
    <w:rsid w:val="002946DC"/>
    <w:rsid w:val="00297E22"/>
    <w:rsid w:val="002A145F"/>
    <w:rsid w:val="002A6553"/>
    <w:rsid w:val="002A733B"/>
    <w:rsid w:val="002A79BE"/>
    <w:rsid w:val="002B0E49"/>
    <w:rsid w:val="002C1A5B"/>
    <w:rsid w:val="002C419B"/>
    <w:rsid w:val="002C593F"/>
    <w:rsid w:val="002E0E72"/>
    <w:rsid w:val="002F2CBD"/>
    <w:rsid w:val="002F3176"/>
    <w:rsid w:val="002F5EAB"/>
    <w:rsid w:val="002F6518"/>
    <w:rsid w:val="002F76A5"/>
    <w:rsid w:val="002F776E"/>
    <w:rsid w:val="00305CB2"/>
    <w:rsid w:val="0031394A"/>
    <w:rsid w:val="003144BE"/>
    <w:rsid w:val="00316B0C"/>
    <w:rsid w:val="00321012"/>
    <w:rsid w:val="003212C9"/>
    <w:rsid w:val="00323E41"/>
    <w:rsid w:val="00324299"/>
    <w:rsid w:val="00326F53"/>
    <w:rsid w:val="00333B66"/>
    <w:rsid w:val="0033562E"/>
    <w:rsid w:val="003376AF"/>
    <w:rsid w:val="003377C4"/>
    <w:rsid w:val="00337828"/>
    <w:rsid w:val="00341959"/>
    <w:rsid w:val="0034219B"/>
    <w:rsid w:val="00346BEF"/>
    <w:rsid w:val="00346C9C"/>
    <w:rsid w:val="0035432A"/>
    <w:rsid w:val="00356C4F"/>
    <w:rsid w:val="00360E7D"/>
    <w:rsid w:val="00364CD9"/>
    <w:rsid w:val="00365A61"/>
    <w:rsid w:val="00377DB6"/>
    <w:rsid w:val="00380DE6"/>
    <w:rsid w:val="00386BBB"/>
    <w:rsid w:val="003948D7"/>
    <w:rsid w:val="00394B38"/>
    <w:rsid w:val="003B4840"/>
    <w:rsid w:val="003C11FC"/>
    <w:rsid w:val="003C2CE4"/>
    <w:rsid w:val="003C46EC"/>
    <w:rsid w:val="003D228C"/>
    <w:rsid w:val="003E0915"/>
    <w:rsid w:val="003E7ADB"/>
    <w:rsid w:val="003F2556"/>
    <w:rsid w:val="0040095C"/>
    <w:rsid w:val="00400BCF"/>
    <w:rsid w:val="0040290F"/>
    <w:rsid w:val="00403196"/>
    <w:rsid w:val="00404839"/>
    <w:rsid w:val="004061B6"/>
    <w:rsid w:val="0041309E"/>
    <w:rsid w:val="00414245"/>
    <w:rsid w:val="00415B17"/>
    <w:rsid w:val="0041635D"/>
    <w:rsid w:val="00425A7E"/>
    <w:rsid w:val="00430C54"/>
    <w:rsid w:val="00432620"/>
    <w:rsid w:val="00434105"/>
    <w:rsid w:val="004348E7"/>
    <w:rsid w:val="004353C9"/>
    <w:rsid w:val="00436F22"/>
    <w:rsid w:val="0043706E"/>
    <w:rsid w:val="00446D90"/>
    <w:rsid w:val="00447C68"/>
    <w:rsid w:val="00452806"/>
    <w:rsid w:val="00454CC8"/>
    <w:rsid w:val="00457C1F"/>
    <w:rsid w:val="00462E54"/>
    <w:rsid w:val="0046586E"/>
    <w:rsid w:val="00470E73"/>
    <w:rsid w:val="00473306"/>
    <w:rsid w:val="00474326"/>
    <w:rsid w:val="004751F7"/>
    <w:rsid w:val="0047634A"/>
    <w:rsid w:val="0047791E"/>
    <w:rsid w:val="00484215"/>
    <w:rsid w:val="00490CD5"/>
    <w:rsid w:val="004915AA"/>
    <w:rsid w:val="0049220C"/>
    <w:rsid w:val="00493269"/>
    <w:rsid w:val="00493DF7"/>
    <w:rsid w:val="004963CF"/>
    <w:rsid w:val="0049792F"/>
    <w:rsid w:val="004A1859"/>
    <w:rsid w:val="004A2FF2"/>
    <w:rsid w:val="004B477A"/>
    <w:rsid w:val="004C5203"/>
    <w:rsid w:val="004C67A5"/>
    <w:rsid w:val="004D1CB3"/>
    <w:rsid w:val="004D1CEB"/>
    <w:rsid w:val="004D1F9A"/>
    <w:rsid w:val="004D3E29"/>
    <w:rsid w:val="004E3F87"/>
    <w:rsid w:val="004E502D"/>
    <w:rsid w:val="004E71A0"/>
    <w:rsid w:val="004E7D7B"/>
    <w:rsid w:val="004F12AD"/>
    <w:rsid w:val="004F26F5"/>
    <w:rsid w:val="00500ADA"/>
    <w:rsid w:val="00502B89"/>
    <w:rsid w:val="005053B9"/>
    <w:rsid w:val="005111EA"/>
    <w:rsid w:val="00516826"/>
    <w:rsid w:val="00520B41"/>
    <w:rsid w:val="005241C7"/>
    <w:rsid w:val="00532C81"/>
    <w:rsid w:val="005348ED"/>
    <w:rsid w:val="00535541"/>
    <w:rsid w:val="00535816"/>
    <w:rsid w:val="00541CC1"/>
    <w:rsid w:val="005650D8"/>
    <w:rsid w:val="00566E37"/>
    <w:rsid w:val="00567DB2"/>
    <w:rsid w:val="00572935"/>
    <w:rsid w:val="00573C2F"/>
    <w:rsid w:val="005745B5"/>
    <w:rsid w:val="00575483"/>
    <w:rsid w:val="005766C7"/>
    <w:rsid w:val="00581F04"/>
    <w:rsid w:val="0058682C"/>
    <w:rsid w:val="00596438"/>
    <w:rsid w:val="005A61B7"/>
    <w:rsid w:val="005A7033"/>
    <w:rsid w:val="005B02D1"/>
    <w:rsid w:val="005B0BF1"/>
    <w:rsid w:val="005B0D5E"/>
    <w:rsid w:val="005B16CB"/>
    <w:rsid w:val="005B75E3"/>
    <w:rsid w:val="005C1E3A"/>
    <w:rsid w:val="005C6DC1"/>
    <w:rsid w:val="005D5133"/>
    <w:rsid w:val="005D5331"/>
    <w:rsid w:val="005D68D8"/>
    <w:rsid w:val="005E1006"/>
    <w:rsid w:val="005F017B"/>
    <w:rsid w:val="005F124F"/>
    <w:rsid w:val="005F3504"/>
    <w:rsid w:val="005F479D"/>
    <w:rsid w:val="005F4D50"/>
    <w:rsid w:val="00600CD6"/>
    <w:rsid w:val="00604181"/>
    <w:rsid w:val="00611060"/>
    <w:rsid w:val="00611C56"/>
    <w:rsid w:val="00612CF3"/>
    <w:rsid w:val="00616DD2"/>
    <w:rsid w:val="00620F11"/>
    <w:rsid w:val="006257FB"/>
    <w:rsid w:val="006472B3"/>
    <w:rsid w:val="006606D8"/>
    <w:rsid w:val="006655D6"/>
    <w:rsid w:val="006662C3"/>
    <w:rsid w:val="00684FDE"/>
    <w:rsid w:val="00686653"/>
    <w:rsid w:val="00695FFE"/>
    <w:rsid w:val="00696084"/>
    <w:rsid w:val="006A0BB4"/>
    <w:rsid w:val="006B09CE"/>
    <w:rsid w:val="006B48EE"/>
    <w:rsid w:val="006B7FEC"/>
    <w:rsid w:val="006C1DE7"/>
    <w:rsid w:val="006C2259"/>
    <w:rsid w:val="006C3776"/>
    <w:rsid w:val="006D6B83"/>
    <w:rsid w:val="006D7B79"/>
    <w:rsid w:val="006E3522"/>
    <w:rsid w:val="006E4E74"/>
    <w:rsid w:val="006E50D0"/>
    <w:rsid w:val="006E51C7"/>
    <w:rsid w:val="006E5BCA"/>
    <w:rsid w:val="006E6D02"/>
    <w:rsid w:val="006E7E45"/>
    <w:rsid w:val="00701BF2"/>
    <w:rsid w:val="00702355"/>
    <w:rsid w:val="00714B5B"/>
    <w:rsid w:val="0071556F"/>
    <w:rsid w:val="007213C7"/>
    <w:rsid w:val="00731C4A"/>
    <w:rsid w:val="00735FAD"/>
    <w:rsid w:val="00737734"/>
    <w:rsid w:val="00744571"/>
    <w:rsid w:val="007467F8"/>
    <w:rsid w:val="00746CBE"/>
    <w:rsid w:val="00747346"/>
    <w:rsid w:val="0075237F"/>
    <w:rsid w:val="007547FD"/>
    <w:rsid w:val="00755173"/>
    <w:rsid w:val="00774F0B"/>
    <w:rsid w:val="007766E6"/>
    <w:rsid w:val="00776A03"/>
    <w:rsid w:val="007828AC"/>
    <w:rsid w:val="00792255"/>
    <w:rsid w:val="00792C89"/>
    <w:rsid w:val="00794144"/>
    <w:rsid w:val="00797F2B"/>
    <w:rsid w:val="007A3C24"/>
    <w:rsid w:val="007A454E"/>
    <w:rsid w:val="007B2D1C"/>
    <w:rsid w:val="007B63C3"/>
    <w:rsid w:val="007C2AFB"/>
    <w:rsid w:val="007C3A43"/>
    <w:rsid w:val="007D0242"/>
    <w:rsid w:val="007D3165"/>
    <w:rsid w:val="007D449D"/>
    <w:rsid w:val="007D5100"/>
    <w:rsid w:val="007D64CD"/>
    <w:rsid w:val="007D785C"/>
    <w:rsid w:val="007E051E"/>
    <w:rsid w:val="007E34E3"/>
    <w:rsid w:val="007E57D3"/>
    <w:rsid w:val="007E5B82"/>
    <w:rsid w:val="007E5DBE"/>
    <w:rsid w:val="007E7C4E"/>
    <w:rsid w:val="007F0BFB"/>
    <w:rsid w:val="008009C6"/>
    <w:rsid w:val="008159CA"/>
    <w:rsid w:val="008215E0"/>
    <w:rsid w:val="00822F46"/>
    <w:rsid w:val="00825FAC"/>
    <w:rsid w:val="0083070F"/>
    <w:rsid w:val="008307DA"/>
    <w:rsid w:val="0083406D"/>
    <w:rsid w:val="008357E7"/>
    <w:rsid w:val="008364B3"/>
    <w:rsid w:val="00842320"/>
    <w:rsid w:val="00844FBE"/>
    <w:rsid w:val="0084647B"/>
    <w:rsid w:val="008541D5"/>
    <w:rsid w:val="00861CCA"/>
    <w:rsid w:val="00863417"/>
    <w:rsid w:val="0086399C"/>
    <w:rsid w:val="008710F9"/>
    <w:rsid w:val="00883383"/>
    <w:rsid w:val="00883451"/>
    <w:rsid w:val="008844D5"/>
    <w:rsid w:val="00896E78"/>
    <w:rsid w:val="008A284A"/>
    <w:rsid w:val="008A2E27"/>
    <w:rsid w:val="008B33AE"/>
    <w:rsid w:val="008B53A7"/>
    <w:rsid w:val="008C0DC8"/>
    <w:rsid w:val="008D0EC4"/>
    <w:rsid w:val="008D7356"/>
    <w:rsid w:val="00906F56"/>
    <w:rsid w:val="00915C17"/>
    <w:rsid w:val="0091774A"/>
    <w:rsid w:val="00927D1C"/>
    <w:rsid w:val="00930B73"/>
    <w:rsid w:val="0093437E"/>
    <w:rsid w:val="00946527"/>
    <w:rsid w:val="009467E8"/>
    <w:rsid w:val="00946A45"/>
    <w:rsid w:val="009474C6"/>
    <w:rsid w:val="00953047"/>
    <w:rsid w:val="00965CCF"/>
    <w:rsid w:val="00966CFD"/>
    <w:rsid w:val="0097617F"/>
    <w:rsid w:val="00976CC5"/>
    <w:rsid w:val="009803D0"/>
    <w:rsid w:val="00980A95"/>
    <w:rsid w:val="00982F11"/>
    <w:rsid w:val="00987329"/>
    <w:rsid w:val="00992031"/>
    <w:rsid w:val="00992A0E"/>
    <w:rsid w:val="00993204"/>
    <w:rsid w:val="00993C92"/>
    <w:rsid w:val="0099694D"/>
    <w:rsid w:val="00997705"/>
    <w:rsid w:val="009A13C3"/>
    <w:rsid w:val="009B211A"/>
    <w:rsid w:val="009B6B2D"/>
    <w:rsid w:val="009B73D0"/>
    <w:rsid w:val="009C5C44"/>
    <w:rsid w:val="009C6F77"/>
    <w:rsid w:val="009D7596"/>
    <w:rsid w:val="009E136E"/>
    <w:rsid w:val="009E2CCC"/>
    <w:rsid w:val="009E3DA5"/>
    <w:rsid w:val="009E5CCC"/>
    <w:rsid w:val="009F18E5"/>
    <w:rsid w:val="009F517D"/>
    <w:rsid w:val="009F75FC"/>
    <w:rsid w:val="00A024ED"/>
    <w:rsid w:val="00A10735"/>
    <w:rsid w:val="00A10DAB"/>
    <w:rsid w:val="00A117C2"/>
    <w:rsid w:val="00A141CE"/>
    <w:rsid w:val="00A23670"/>
    <w:rsid w:val="00A3232B"/>
    <w:rsid w:val="00A348C9"/>
    <w:rsid w:val="00A3706D"/>
    <w:rsid w:val="00A4620C"/>
    <w:rsid w:val="00A5027D"/>
    <w:rsid w:val="00A54644"/>
    <w:rsid w:val="00A574CF"/>
    <w:rsid w:val="00A857D2"/>
    <w:rsid w:val="00A905FB"/>
    <w:rsid w:val="00A937D0"/>
    <w:rsid w:val="00A962F5"/>
    <w:rsid w:val="00AA0CD9"/>
    <w:rsid w:val="00AA36FD"/>
    <w:rsid w:val="00AA3990"/>
    <w:rsid w:val="00AA3D74"/>
    <w:rsid w:val="00AA53C1"/>
    <w:rsid w:val="00AA7D91"/>
    <w:rsid w:val="00AB0694"/>
    <w:rsid w:val="00AB09D9"/>
    <w:rsid w:val="00AB1AE8"/>
    <w:rsid w:val="00AC180A"/>
    <w:rsid w:val="00AC185F"/>
    <w:rsid w:val="00AC2B09"/>
    <w:rsid w:val="00AC6BD9"/>
    <w:rsid w:val="00AC782E"/>
    <w:rsid w:val="00AD7270"/>
    <w:rsid w:val="00AE18AC"/>
    <w:rsid w:val="00AE1E0C"/>
    <w:rsid w:val="00AE207B"/>
    <w:rsid w:val="00AE3FF4"/>
    <w:rsid w:val="00AE415B"/>
    <w:rsid w:val="00AE483E"/>
    <w:rsid w:val="00AF2683"/>
    <w:rsid w:val="00AF7F42"/>
    <w:rsid w:val="00B025C0"/>
    <w:rsid w:val="00B0665F"/>
    <w:rsid w:val="00B07921"/>
    <w:rsid w:val="00B07D19"/>
    <w:rsid w:val="00B1054A"/>
    <w:rsid w:val="00B1082B"/>
    <w:rsid w:val="00B12650"/>
    <w:rsid w:val="00B13FFE"/>
    <w:rsid w:val="00B210EC"/>
    <w:rsid w:val="00B231E5"/>
    <w:rsid w:val="00B2578C"/>
    <w:rsid w:val="00B2689D"/>
    <w:rsid w:val="00B327FB"/>
    <w:rsid w:val="00B32CFC"/>
    <w:rsid w:val="00B37469"/>
    <w:rsid w:val="00B37EDC"/>
    <w:rsid w:val="00B4511C"/>
    <w:rsid w:val="00B455F4"/>
    <w:rsid w:val="00B476D5"/>
    <w:rsid w:val="00B545F3"/>
    <w:rsid w:val="00B556B1"/>
    <w:rsid w:val="00B60514"/>
    <w:rsid w:val="00B6360A"/>
    <w:rsid w:val="00B64820"/>
    <w:rsid w:val="00B64910"/>
    <w:rsid w:val="00B654AF"/>
    <w:rsid w:val="00B6648B"/>
    <w:rsid w:val="00B705EE"/>
    <w:rsid w:val="00B73BDF"/>
    <w:rsid w:val="00B75582"/>
    <w:rsid w:val="00B803ED"/>
    <w:rsid w:val="00B805A1"/>
    <w:rsid w:val="00B80F3F"/>
    <w:rsid w:val="00B86024"/>
    <w:rsid w:val="00B8697A"/>
    <w:rsid w:val="00B91E16"/>
    <w:rsid w:val="00B952DB"/>
    <w:rsid w:val="00B976DC"/>
    <w:rsid w:val="00B97913"/>
    <w:rsid w:val="00BA3748"/>
    <w:rsid w:val="00BB260E"/>
    <w:rsid w:val="00BB2927"/>
    <w:rsid w:val="00BB405C"/>
    <w:rsid w:val="00BB7CDA"/>
    <w:rsid w:val="00BB7DD0"/>
    <w:rsid w:val="00BC10AA"/>
    <w:rsid w:val="00BD30D8"/>
    <w:rsid w:val="00BE26F7"/>
    <w:rsid w:val="00BE3A7B"/>
    <w:rsid w:val="00BE6873"/>
    <w:rsid w:val="00BF47CE"/>
    <w:rsid w:val="00BF7963"/>
    <w:rsid w:val="00C07338"/>
    <w:rsid w:val="00C07537"/>
    <w:rsid w:val="00C07ACE"/>
    <w:rsid w:val="00C10A05"/>
    <w:rsid w:val="00C138CA"/>
    <w:rsid w:val="00C156C3"/>
    <w:rsid w:val="00C16C57"/>
    <w:rsid w:val="00C1754E"/>
    <w:rsid w:val="00C252B0"/>
    <w:rsid w:val="00C30B14"/>
    <w:rsid w:val="00C41240"/>
    <w:rsid w:val="00C50B1F"/>
    <w:rsid w:val="00C51F92"/>
    <w:rsid w:val="00C53947"/>
    <w:rsid w:val="00C628C1"/>
    <w:rsid w:val="00C62E0C"/>
    <w:rsid w:val="00C660DC"/>
    <w:rsid w:val="00C74535"/>
    <w:rsid w:val="00C75F66"/>
    <w:rsid w:val="00C82BD5"/>
    <w:rsid w:val="00C835FF"/>
    <w:rsid w:val="00C84778"/>
    <w:rsid w:val="00C85790"/>
    <w:rsid w:val="00C85B28"/>
    <w:rsid w:val="00CA13F9"/>
    <w:rsid w:val="00CA3CC2"/>
    <w:rsid w:val="00CA65DA"/>
    <w:rsid w:val="00CB21AA"/>
    <w:rsid w:val="00CB39EA"/>
    <w:rsid w:val="00CB5B0C"/>
    <w:rsid w:val="00CB7759"/>
    <w:rsid w:val="00CC0612"/>
    <w:rsid w:val="00CC0E9B"/>
    <w:rsid w:val="00CC1C97"/>
    <w:rsid w:val="00CC39BC"/>
    <w:rsid w:val="00CD613A"/>
    <w:rsid w:val="00CD7023"/>
    <w:rsid w:val="00CD7196"/>
    <w:rsid w:val="00CE2684"/>
    <w:rsid w:val="00CE5B22"/>
    <w:rsid w:val="00CF4AB7"/>
    <w:rsid w:val="00CF5EB3"/>
    <w:rsid w:val="00CF7237"/>
    <w:rsid w:val="00D10617"/>
    <w:rsid w:val="00D23343"/>
    <w:rsid w:val="00D23DA9"/>
    <w:rsid w:val="00D24B29"/>
    <w:rsid w:val="00D26901"/>
    <w:rsid w:val="00D272DF"/>
    <w:rsid w:val="00D3011E"/>
    <w:rsid w:val="00D51BF2"/>
    <w:rsid w:val="00D52443"/>
    <w:rsid w:val="00D56921"/>
    <w:rsid w:val="00D615BB"/>
    <w:rsid w:val="00D6617F"/>
    <w:rsid w:val="00D735F8"/>
    <w:rsid w:val="00D77B84"/>
    <w:rsid w:val="00D80966"/>
    <w:rsid w:val="00D844B9"/>
    <w:rsid w:val="00D921D3"/>
    <w:rsid w:val="00D93E99"/>
    <w:rsid w:val="00D945C3"/>
    <w:rsid w:val="00D97F97"/>
    <w:rsid w:val="00DA326A"/>
    <w:rsid w:val="00DA6ACE"/>
    <w:rsid w:val="00DB1A28"/>
    <w:rsid w:val="00DB29CF"/>
    <w:rsid w:val="00DC216D"/>
    <w:rsid w:val="00DC4CD5"/>
    <w:rsid w:val="00DE5909"/>
    <w:rsid w:val="00DE624E"/>
    <w:rsid w:val="00DF1640"/>
    <w:rsid w:val="00DF1C08"/>
    <w:rsid w:val="00DF73ED"/>
    <w:rsid w:val="00E00F1D"/>
    <w:rsid w:val="00E06AF3"/>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604F4"/>
    <w:rsid w:val="00E6339D"/>
    <w:rsid w:val="00E65270"/>
    <w:rsid w:val="00E65BD5"/>
    <w:rsid w:val="00E67BDD"/>
    <w:rsid w:val="00E67E02"/>
    <w:rsid w:val="00E72D4C"/>
    <w:rsid w:val="00E73636"/>
    <w:rsid w:val="00E75AB0"/>
    <w:rsid w:val="00E8228E"/>
    <w:rsid w:val="00E914BE"/>
    <w:rsid w:val="00E92E8E"/>
    <w:rsid w:val="00E945FD"/>
    <w:rsid w:val="00E977EE"/>
    <w:rsid w:val="00EB274C"/>
    <w:rsid w:val="00EB5E3D"/>
    <w:rsid w:val="00ED180D"/>
    <w:rsid w:val="00ED24F0"/>
    <w:rsid w:val="00ED5E6B"/>
    <w:rsid w:val="00ED7B71"/>
    <w:rsid w:val="00EE3F6B"/>
    <w:rsid w:val="00EE5E27"/>
    <w:rsid w:val="00EF3703"/>
    <w:rsid w:val="00EF752B"/>
    <w:rsid w:val="00F02737"/>
    <w:rsid w:val="00F06525"/>
    <w:rsid w:val="00F33F24"/>
    <w:rsid w:val="00F42626"/>
    <w:rsid w:val="00F47165"/>
    <w:rsid w:val="00F51076"/>
    <w:rsid w:val="00F541AE"/>
    <w:rsid w:val="00F554C2"/>
    <w:rsid w:val="00F668B9"/>
    <w:rsid w:val="00F70026"/>
    <w:rsid w:val="00F700F8"/>
    <w:rsid w:val="00F719AF"/>
    <w:rsid w:val="00F76082"/>
    <w:rsid w:val="00F77CBB"/>
    <w:rsid w:val="00F96D29"/>
    <w:rsid w:val="00FA0C3A"/>
    <w:rsid w:val="00FA121B"/>
    <w:rsid w:val="00FA30E0"/>
    <w:rsid w:val="00FA5AC3"/>
    <w:rsid w:val="00FA6000"/>
    <w:rsid w:val="00FA6A3E"/>
    <w:rsid w:val="00FA7058"/>
    <w:rsid w:val="00FB1668"/>
    <w:rsid w:val="00FB3D9D"/>
    <w:rsid w:val="00FB425D"/>
    <w:rsid w:val="00FB7375"/>
    <w:rsid w:val="00FB7783"/>
    <w:rsid w:val="00FC0B81"/>
    <w:rsid w:val="00FC5FBD"/>
    <w:rsid w:val="00FC661E"/>
    <w:rsid w:val="00FE22FF"/>
    <w:rsid w:val="00FF0A46"/>
    <w:rsid w:val="00FF263E"/>
    <w:rsid w:val="00FF26DD"/>
    <w:rsid w:val="011475DC"/>
    <w:rsid w:val="012579A7"/>
    <w:rsid w:val="016C6F61"/>
    <w:rsid w:val="028A72F3"/>
    <w:rsid w:val="03203111"/>
    <w:rsid w:val="0365354C"/>
    <w:rsid w:val="04C80509"/>
    <w:rsid w:val="05015D85"/>
    <w:rsid w:val="05331FD5"/>
    <w:rsid w:val="05530F09"/>
    <w:rsid w:val="05CD59B7"/>
    <w:rsid w:val="06214984"/>
    <w:rsid w:val="063D30D1"/>
    <w:rsid w:val="067A3D4C"/>
    <w:rsid w:val="06B6187B"/>
    <w:rsid w:val="0742142C"/>
    <w:rsid w:val="07707CEE"/>
    <w:rsid w:val="0771559A"/>
    <w:rsid w:val="079A664B"/>
    <w:rsid w:val="07C70608"/>
    <w:rsid w:val="081D1823"/>
    <w:rsid w:val="0874129F"/>
    <w:rsid w:val="08A06A09"/>
    <w:rsid w:val="08F45E31"/>
    <w:rsid w:val="095837D1"/>
    <w:rsid w:val="09D91032"/>
    <w:rsid w:val="0A3178D3"/>
    <w:rsid w:val="0ABA7EAE"/>
    <w:rsid w:val="0ADF69AA"/>
    <w:rsid w:val="0B220F82"/>
    <w:rsid w:val="0B285464"/>
    <w:rsid w:val="0B731AC5"/>
    <w:rsid w:val="0B974D83"/>
    <w:rsid w:val="0C06083B"/>
    <w:rsid w:val="0C2F440A"/>
    <w:rsid w:val="0C3B1F34"/>
    <w:rsid w:val="0C6537B4"/>
    <w:rsid w:val="0DB7278A"/>
    <w:rsid w:val="0DCB7B78"/>
    <w:rsid w:val="0E4E4508"/>
    <w:rsid w:val="0EA64289"/>
    <w:rsid w:val="0F101858"/>
    <w:rsid w:val="0F2F7B1C"/>
    <w:rsid w:val="0F3E7D21"/>
    <w:rsid w:val="0F410AA0"/>
    <w:rsid w:val="0FE13D6E"/>
    <w:rsid w:val="10184797"/>
    <w:rsid w:val="106E1CA1"/>
    <w:rsid w:val="1113543A"/>
    <w:rsid w:val="115535F9"/>
    <w:rsid w:val="115C0A64"/>
    <w:rsid w:val="13232F20"/>
    <w:rsid w:val="13352159"/>
    <w:rsid w:val="13882BA7"/>
    <w:rsid w:val="13A649F0"/>
    <w:rsid w:val="143A2CB5"/>
    <w:rsid w:val="15503E4E"/>
    <w:rsid w:val="15666F9D"/>
    <w:rsid w:val="165E7999"/>
    <w:rsid w:val="166F7F0C"/>
    <w:rsid w:val="167E4ED7"/>
    <w:rsid w:val="168C7E3F"/>
    <w:rsid w:val="16D97C4B"/>
    <w:rsid w:val="16DE11C2"/>
    <w:rsid w:val="17093AD8"/>
    <w:rsid w:val="170A5A8F"/>
    <w:rsid w:val="17D1649F"/>
    <w:rsid w:val="17D406FF"/>
    <w:rsid w:val="18FC459A"/>
    <w:rsid w:val="1946707E"/>
    <w:rsid w:val="196E15FB"/>
    <w:rsid w:val="19DD2C2C"/>
    <w:rsid w:val="1A9D2D37"/>
    <w:rsid w:val="1B121610"/>
    <w:rsid w:val="1B2E729F"/>
    <w:rsid w:val="1BC05B5E"/>
    <w:rsid w:val="1C7D5E08"/>
    <w:rsid w:val="1D83342D"/>
    <w:rsid w:val="1D8D4F31"/>
    <w:rsid w:val="1DA475F4"/>
    <w:rsid w:val="1E2F0DFA"/>
    <w:rsid w:val="1E666F32"/>
    <w:rsid w:val="1E9921D6"/>
    <w:rsid w:val="1EE6626F"/>
    <w:rsid w:val="1F1901EB"/>
    <w:rsid w:val="1F5621C2"/>
    <w:rsid w:val="1F73585D"/>
    <w:rsid w:val="1FAA1EFE"/>
    <w:rsid w:val="1FB417E1"/>
    <w:rsid w:val="200F2673"/>
    <w:rsid w:val="2025219B"/>
    <w:rsid w:val="20DA3FCB"/>
    <w:rsid w:val="20E32607"/>
    <w:rsid w:val="21153713"/>
    <w:rsid w:val="21C464F2"/>
    <w:rsid w:val="21F4611D"/>
    <w:rsid w:val="22286C0E"/>
    <w:rsid w:val="22A13B1B"/>
    <w:rsid w:val="22AA5DDC"/>
    <w:rsid w:val="22E730FB"/>
    <w:rsid w:val="22F96DEE"/>
    <w:rsid w:val="23E5206A"/>
    <w:rsid w:val="23F105F8"/>
    <w:rsid w:val="246F77F1"/>
    <w:rsid w:val="247C1C23"/>
    <w:rsid w:val="257F5120"/>
    <w:rsid w:val="25A66A63"/>
    <w:rsid w:val="266416D1"/>
    <w:rsid w:val="28593C7D"/>
    <w:rsid w:val="29BD33F5"/>
    <w:rsid w:val="2A0A7F20"/>
    <w:rsid w:val="2A306844"/>
    <w:rsid w:val="2A3D466C"/>
    <w:rsid w:val="2AA45FCC"/>
    <w:rsid w:val="2AF4522C"/>
    <w:rsid w:val="2AFD4575"/>
    <w:rsid w:val="2B474CA0"/>
    <w:rsid w:val="2B6B7ADD"/>
    <w:rsid w:val="2B960F77"/>
    <w:rsid w:val="2B9D1CE6"/>
    <w:rsid w:val="2BDE7E4C"/>
    <w:rsid w:val="2BF10226"/>
    <w:rsid w:val="2C162F3D"/>
    <w:rsid w:val="2C783060"/>
    <w:rsid w:val="2CA95884"/>
    <w:rsid w:val="2D02447A"/>
    <w:rsid w:val="2D2F1085"/>
    <w:rsid w:val="2D343E06"/>
    <w:rsid w:val="2D6128FB"/>
    <w:rsid w:val="2D655699"/>
    <w:rsid w:val="2DB94805"/>
    <w:rsid w:val="2E726CA9"/>
    <w:rsid w:val="2E9C66AD"/>
    <w:rsid w:val="2EF527CF"/>
    <w:rsid w:val="2EFA6F99"/>
    <w:rsid w:val="2FA45DC3"/>
    <w:rsid w:val="2FF84291"/>
    <w:rsid w:val="30124BA2"/>
    <w:rsid w:val="309F5A65"/>
    <w:rsid w:val="30DD41B6"/>
    <w:rsid w:val="316667A0"/>
    <w:rsid w:val="3171635C"/>
    <w:rsid w:val="317C31E2"/>
    <w:rsid w:val="31F26239"/>
    <w:rsid w:val="32117D1B"/>
    <w:rsid w:val="322F0346"/>
    <w:rsid w:val="325C03DF"/>
    <w:rsid w:val="325D35F8"/>
    <w:rsid w:val="326C67DD"/>
    <w:rsid w:val="327C4D8B"/>
    <w:rsid w:val="3285642B"/>
    <w:rsid w:val="32A011D0"/>
    <w:rsid w:val="33003E14"/>
    <w:rsid w:val="33033D0F"/>
    <w:rsid w:val="33134DD8"/>
    <w:rsid w:val="33263FD0"/>
    <w:rsid w:val="333F42C8"/>
    <w:rsid w:val="334E0780"/>
    <w:rsid w:val="33664A70"/>
    <w:rsid w:val="3376709A"/>
    <w:rsid w:val="33A95488"/>
    <w:rsid w:val="33F204B8"/>
    <w:rsid w:val="34613B07"/>
    <w:rsid w:val="34C07E1C"/>
    <w:rsid w:val="34EB54CF"/>
    <w:rsid w:val="359012D9"/>
    <w:rsid w:val="35C719B9"/>
    <w:rsid w:val="36A36640"/>
    <w:rsid w:val="374C0384"/>
    <w:rsid w:val="37A55366"/>
    <w:rsid w:val="37B1597D"/>
    <w:rsid w:val="38C67E4D"/>
    <w:rsid w:val="38D15B2B"/>
    <w:rsid w:val="39385811"/>
    <w:rsid w:val="398A357F"/>
    <w:rsid w:val="39E05400"/>
    <w:rsid w:val="3B612689"/>
    <w:rsid w:val="3C43613D"/>
    <w:rsid w:val="3CE9500F"/>
    <w:rsid w:val="3E4C4D44"/>
    <w:rsid w:val="3E972A07"/>
    <w:rsid w:val="3F367277"/>
    <w:rsid w:val="3FA43AB6"/>
    <w:rsid w:val="3FDC4FF9"/>
    <w:rsid w:val="403A07A6"/>
    <w:rsid w:val="40CE55EA"/>
    <w:rsid w:val="40EB325F"/>
    <w:rsid w:val="40F01A98"/>
    <w:rsid w:val="41303CD4"/>
    <w:rsid w:val="41C70264"/>
    <w:rsid w:val="41CD4289"/>
    <w:rsid w:val="4292690D"/>
    <w:rsid w:val="43306671"/>
    <w:rsid w:val="44174EB5"/>
    <w:rsid w:val="445A1A46"/>
    <w:rsid w:val="44DD5F32"/>
    <w:rsid w:val="4504360B"/>
    <w:rsid w:val="454A6D7B"/>
    <w:rsid w:val="458C59D9"/>
    <w:rsid w:val="466F75E5"/>
    <w:rsid w:val="46923CC2"/>
    <w:rsid w:val="46F72F2C"/>
    <w:rsid w:val="471F1D47"/>
    <w:rsid w:val="47705BCC"/>
    <w:rsid w:val="47875968"/>
    <w:rsid w:val="4787721E"/>
    <w:rsid w:val="479A5A52"/>
    <w:rsid w:val="47BD0F03"/>
    <w:rsid w:val="47DD2716"/>
    <w:rsid w:val="48996B77"/>
    <w:rsid w:val="48E17F66"/>
    <w:rsid w:val="48E44D3E"/>
    <w:rsid w:val="48EE0E24"/>
    <w:rsid w:val="4906053C"/>
    <w:rsid w:val="497C19F4"/>
    <w:rsid w:val="49E81DD8"/>
    <w:rsid w:val="4A040A6A"/>
    <w:rsid w:val="4A6E1749"/>
    <w:rsid w:val="4AD83383"/>
    <w:rsid w:val="4B640BFD"/>
    <w:rsid w:val="4B6E509F"/>
    <w:rsid w:val="4BC84F7F"/>
    <w:rsid w:val="4C091CEB"/>
    <w:rsid w:val="4C6E7E6D"/>
    <w:rsid w:val="4CBA2919"/>
    <w:rsid w:val="4D0813E7"/>
    <w:rsid w:val="4D1650A5"/>
    <w:rsid w:val="4D2310C1"/>
    <w:rsid w:val="4DAC642B"/>
    <w:rsid w:val="4DD23F82"/>
    <w:rsid w:val="4E273A85"/>
    <w:rsid w:val="4E280112"/>
    <w:rsid w:val="4EFD41FA"/>
    <w:rsid w:val="4EFD5DD8"/>
    <w:rsid w:val="4F695923"/>
    <w:rsid w:val="4FB24410"/>
    <w:rsid w:val="50A26C41"/>
    <w:rsid w:val="50AE2A75"/>
    <w:rsid w:val="50FF169C"/>
    <w:rsid w:val="52D90E64"/>
    <w:rsid w:val="52FC6D02"/>
    <w:rsid w:val="53AE346D"/>
    <w:rsid w:val="53C81F7C"/>
    <w:rsid w:val="53E109FB"/>
    <w:rsid w:val="5463295C"/>
    <w:rsid w:val="547F4E82"/>
    <w:rsid w:val="54AD3E9B"/>
    <w:rsid w:val="54D37863"/>
    <w:rsid w:val="54D86F8C"/>
    <w:rsid w:val="55330405"/>
    <w:rsid w:val="554C4EEE"/>
    <w:rsid w:val="558072C5"/>
    <w:rsid w:val="55CE6B15"/>
    <w:rsid w:val="56814DC8"/>
    <w:rsid w:val="56862B26"/>
    <w:rsid w:val="568E475F"/>
    <w:rsid w:val="573447BB"/>
    <w:rsid w:val="578F4E45"/>
    <w:rsid w:val="57934807"/>
    <w:rsid w:val="57997F19"/>
    <w:rsid w:val="579D23DC"/>
    <w:rsid w:val="57B15817"/>
    <w:rsid w:val="57B66A0F"/>
    <w:rsid w:val="57BC09D1"/>
    <w:rsid w:val="580A56B3"/>
    <w:rsid w:val="581D171B"/>
    <w:rsid w:val="58270E90"/>
    <w:rsid w:val="585E0806"/>
    <w:rsid w:val="586F1600"/>
    <w:rsid w:val="586F1946"/>
    <w:rsid w:val="58730247"/>
    <w:rsid w:val="58B550E8"/>
    <w:rsid w:val="58BE0930"/>
    <w:rsid w:val="599251DA"/>
    <w:rsid w:val="59BE1844"/>
    <w:rsid w:val="59F81F3A"/>
    <w:rsid w:val="5A587150"/>
    <w:rsid w:val="5A8F6B79"/>
    <w:rsid w:val="5AA33A12"/>
    <w:rsid w:val="5AAE274E"/>
    <w:rsid w:val="5B026E67"/>
    <w:rsid w:val="5B315C8E"/>
    <w:rsid w:val="5B516991"/>
    <w:rsid w:val="5B567775"/>
    <w:rsid w:val="5BD7697A"/>
    <w:rsid w:val="5C573BCE"/>
    <w:rsid w:val="5C767C6C"/>
    <w:rsid w:val="5CEC5CC7"/>
    <w:rsid w:val="5D27081F"/>
    <w:rsid w:val="5DA242AF"/>
    <w:rsid w:val="5DCA1388"/>
    <w:rsid w:val="5E554DAE"/>
    <w:rsid w:val="5E567427"/>
    <w:rsid w:val="5E955622"/>
    <w:rsid w:val="5E99240D"/>
    <w:rsid w:val="5F0640AF"/>
    <w:rsid w:val="5F077D6C"/>
    <w:rsid w:val="5F120D5A"/>
    <w:rsid w:val="5F2B7375"/>
    <w:rsid w:val="60027A8E"/>
    <w:rsid w:val="605B0CD9"/>
    <w:rsid w:val="60DF5FFF"/>
    <w:rsid w:val="610B3641"/>
    <w:rsid w:val="61504A16"/>
    <w:rsid w:val="61BF1A78"/>
    <w:rsid w:val="62050F3E"/>
    <w:rsid w:val="62074087"/>
    <w:rsid w:val="622B7ECB"/>
    <w:rsid w:val="62941E3F"/>
    <w:rsid w:val="63181CDB"/>
    <w:rsid w:val="63E34C18"/>
    <w:rsid w:val="63E9502C"/>
    <w:rsid w:val="64702E00"/>
    <w:rsid w:val="65510F24"/>
    <w:rsid w:val="65B236F0"/>
    <w:rsid w:val="65C870C1"/>
    <w:rsid w:val="65FD6373"/>
    <w:rsid w:val="65FE00BC"/>
    <w:rsid w:val="66077275"/>
    <w:rsid w:val="66572F94"/>
    <w:rsid w:val="6725365D"/>
    <w:rsid w:val="672E3909"/>
    <w:rsid w:val="675E1CC3"/>
    <w:rsid w:val="67D672FE"/>
    <w:rsid w:val="67D91922"/>
    <w:rsid w:val="680D5095"/>
    <w:rsid w:val="681D48E0"/>
    <w:rsid w:val="686272DF"/>
    <w:rsid w:val="68652AD9"/>
    <w:rsid w:val="686D5F51"/>
    <w:rsid w:val="6938320C"/>
    <w:rsid w:val="69B67115"/>
    <w:rsid w:val="69BB731A"/>
    <w:rsid w:val="6A342BF2"/>
    <w:rsid w:val="6A77499D"/>
    <w:rsid w:val="6A8571A1"/>
    <w:rsid w:val="6AA21E39"/>
    <w:rsid w:val="6AC33896"/>
    <w:rsid w:val="6AC36C16"/>
    <w:rsid w:val="6B2755AE"/>
    <w:rsid w:val="6BBA262D"/>
    <w:rsid w:val="6BE40D8B"/>
    <w:rsid w:val="6C2E1E2C"/>
    <w:rsid w:val="6CD6056F"/>
    <w:rsid w:val="6DB678D5"/>
    <w:rsid w:val="6E634C04"/>
    <w:rsid w:val="6E703291"/>
    <w:rsid w:val="6EAB4D92"/>
    <w:rsid w:val="6EC16D38"/>
    <w:rsid w:val="6F0863DD"/>
    <w:rsid w:val="6F87409D"/>
    <w:rsid w:val="703329D5"/>
    <w:rsid w:val="706D12CD"/>
    <w:rsid w:val="70A370D3"/>
    <w:rsid w:val="70C76263"/>
    <w:rsid w:val="70E90BF6"/>
    <w:rsid w:val="71055B59"/>
    <w:rsid w:val="713C0368"/>
    <w:rsid w:val="71597F84"/>
    <w:rsid w:val="717746E4"/>
    <w:rsid w:val="718476F8"/>
    <w:rsid w:val="71A65A1B"/>
    <w:rsid w:val="71B21A42"/>
    <w:rsid w:val="71C75F8B"/>
    <w:rsid w:val="72557F8F"/>
    <w:rsid w:val="72D224A5"/>
    <w:rsid w:val="72D64D7E"/>
    <w:rsid w:val="7327652B"/>
    <w:rsid w:val="732A736E"/>
    <w:rsid w:val="737A4165"/>
    <w:rsid w:val="73A769CE"/>
    <w:rsid w:val="73B35778"/>
    <w:rsid w:val="73DE4FC3"/>
    <w:rsid w:val="73E139A2"/>
    <w:rsid w:val="74D6204A"/>
    <w:rsid w:val="74DB3988"/>
    <w:rsid w:val="7571229E"/>
    <w:rsid w:val="759C4F2B"/>
    <w:rsid w:val="75F03824"/>
    <w:rsid w:val="769E1724"/>
    <w:rsid w:val="76B814A0"/>
    <w:rsid w:val="76E55F58"/>
    <w:rsid w:val="77212C1B"/>
    <w:rsid w:val="772A372F"/>
    <w:rsid w:val="775B473B"/>
    <w:rsid w:val="77C91204"/>
    <w:rsid w:val="77D203F8"/>
    <w:rsid w:val="78275962"/>
    <w:rsid w:val="78BD2BF8"/>
    <w:rsid w:val="7911516C"/>
    <w:rsid w:val="79296CA2"/>
    <w:rsid w:val="792F4DF6"/>
    <w:rsid w:val="7A1B712E"/>
    <w:rsid w:val="7A206CE2"/>
    <w:rsid w:val="7A567F6D"/>
    <w:rsid w:val="7A7F6F5A"/>
    <w:rsid w:val="7A8C041B"/>
    <w:rsid w:val="7AA82AB2"/>
    <w:rsid w:val="7B2A54D6"/>
    <w:rsid w:val="7B433702"/>
    <w:rsid w:val="7B6227C7"/>
    <w:rsid w:val="7B9A0EE0"/>
    <w:rsid w:val="7BDD5C57"/>
    <w:rsid w:val="7BE5337B"/>
    <w:rsid w:val="7BE8611A"/>
    <w:rsid w:val="7D066512"/>
    <w:rsid w:val="7DA33540"/>
    <w:rsid w:val="7DB14F5F"/>
    <w:rsid w:val="7DD24E74"/>
    <w:rsid w:val="7E0F7F41"/>
    <w:rsid w:val="7E4B0ECE"/>
    <w:rsid w:val="7EA87210"/>
    <w:rsid w:val="7EF15B0A"/>
    <w:rsid w:val="7F3967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7"/>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8"/>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4"/>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1"/>
    <w:qFormat/>
    <w:uiPriority w:val="0"/>
    <w:pPr>
      <w:keepNext/>
      <w:keepLines/>
      <w:numPr>
        <w:ilvl w:val="4"/>
        <w:numId w:val="1"/>
      </w:numPr>
      <w:spacing w:before="280" w:after="156" w:line="377" w:lineRule="auto"/>
      <w:outlineLvl w:val="4"/>
    </w:pPr>
    <w:rPr>
      <w:rFonts w:ascii="Arial" w:hAnsi="Arial" w:eastAsia="黑体"/>
      <w:b/>
      <w:kern w:val="0"/>
      <w:sz w:val="24"/>
      <w:szCs w:val="28"/>
    </w:r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link w:val="59"/>
    <w:qFormat/>
    <w:uiPriority w:val="0"/>
    <w:pPr>
      <w:ind w:firstLine="420" w:firstLineChars="200"/>
    </w:pPr>
  </w:style>
  <w:style w:type="paragraph" w:styleId="10">
    <w:name w:val="Document Map"/>
    <w:basedOn w:val="1"/>
    <w:link w:val="71"/>
    <w:qFormat/>
    <w:uiPriority w:val="0"/>
    <w:rPr>
      <w:rFonts w:ascii="宋体"/>
      <w:sz w:val="18"/>
      <w:szCs w:val="18"/>
    </w:rPr>
  </w:style>
  <w:style w:type="paragraph" w:styleId="11">
    <w:name w:val="annotation text"/>
    <w:basedOn w:val="1"/>
    <w:link w:val="62"/>
    <w:qFormat/>
    <w:uiPriority w:val="0"/>
    <w:pPr>
      <w:jc w:val="left"/>
    </w:pPr>
    <w:rPr>
      <w:rFonts w:asciiTheme="minorHAnsi" w:hAnsiTheme="minorHAnsi" w:eastAsiaTheme="minorEastAsia" w:cstheme="minorBidi"/>
      <w:sz w:val="18"/>
      <w:szCs w:val="22"/>
    </w:rPr>
  </w:style>
  <w:style w:type="paragraph" w:styleId="12">
    <w:name w:val="Body Text"/>
    <w:basedOn w:val="1"/>
    <w:next w:val="1"/>
    <w:link w:val="72"/>
    <w:qFormat/>
    <w:uiPriority w:val="0"/>
    <w:pPr>
      <w:spacing w:after="120"/>
    </w:pPr>
  </w:style>
  <w:style w:type="paragraph" w:styleId="13">
    <w:name w:val="Body Text Indent"/>
    <w:basedOn w:val="1"/>
    <w:link w:val="49"/>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ind w:left="840" w:leftChars="400"/>
    </w:pPr>
  </w:style>
  <w:style w:type="paragraph" w:styleId="16">
    <w:name w:val="Plain Text"/>
    <w:basedOn w:val="1"/>
    <w:link w:val="64"/>
    <w:qFormat/>
    <w:uiPriority w:val="0"/>
    <w:pPr>
      <w:autoSpaceDE w:val="0"/>
      <w:autoSpaceDN w:val="0"/>
      <w:adjustRightInd w:val="0"/>
    </w:pPr>
    <w:rPr>
      <w:rFonts w:ascii="宋体" w:hAnsi="Tms Rmn" w:cstheme="minorBidi"/>
      <w:szCs w:val="22"/>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link w:val="52"/>
    <w:qFormat/>
    <w:uiPriority w:val="0"/>
    <w:pPr>
      <w:spacing w:after="120" w:line="480" w:lineRule="auto"/>
      <w:ind w:left="420" w:leftChars="200"/>
    </w:pPr>
  </w:style>
  <w:style w:type="paragraph" w:styleId="19">
    <w:name w:val="Balloon Text"/>
    <w:basedOn w:val="1"/>
    <w:link w:val="58"/>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line="360" w:lineRule="auto"/>
    </w:pPr>
    <w:rPr>
      <w:rFonts w:eastAsia="微软雅黑"/>
      <w:sz w:val="24"/>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5">
    <w:name w:val="Body Text Indent 3"/>
    <w:basedOn w:val="1"/>
    <w:link w:val="53"/>
    <w:qFormat/>
    <w:uiPriority w:val="0"/>
    <w:pPr>
      <w:spacing w:after="120"/>
      <w:ind w:left="420" w:leftChars="200"/>
    </w:pPr>
    <w:rPr>
      <w:sz w:val="16"/>
      <w:szCs w:val="16"/>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9">
    <w:name w:val="Title"/>
    <w:basedOn w:val="1"/>
    <w:next w:val="1"/>
    <w:link w:val="75"/>
    <w:qFormat/>
    <w:uiPriority w:val="10"/>
    <w:pPr>
      <w:spacing w:before="240" w:after="60"/>
      <w:jc w:val="center"/>
      <w:outlineLvl w:val="0"/>
    </w:pPr>
    <w:rPr>
      <w:rFonts w:asciiTheme="majorHAnsi" w:hAnsiTheme="majorHAnsi" w:cstheme="majorBidi"/>
      <w:b/>
      <w:bCs/>
      <w:sz w:val="32"/>
      <w:szCs w:val="32"/>
    </w:rPr>
  </w:style>
  <w:style w:type="paragraph" w:styleId="30">
    <w:name w:val="annotation subject"/>
    <w:basedOn w:val="11"/>
    <w:next w:val="11"/>
    <w:link w:val="69"/>
    <w:qFormat/>
    <w:uiPriority w:val="0"/>
    <w:rPr>
      <w:b/>
      <w:bCs/>
      <w:sz w:val="21"/>
      <w:szCs w:val="24"/>
    </w:rPr>
  </w:style>
  <w:style w:type="paragraph" w:styleId="31">
    <w:name w:val="Body Text First Indent"/>
    <w:basedOn w:val="12"/>
    <w:qFormat/>
    <w:uiPriority w:val="0"/>
    <w:pPr>
      <w:ind w:firstLine="420" w:firstLineChars="100"/>
    </w:pPr>
    <w:rPr>
      <w:szCs w:val="21"/>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FollowedHyperlink"/>
    <w:basedOn w:val="34"/>
    <w:unhideWhenUsed/>
    <w:qFormat/>
    <w:uiPriority w:val="99"/>
    <w:rPr>
      <w:color w:val="800080" w:themeColor="followedHyperlink"/>
      <w:u w:val="single"/>
      <w14:textFill>
        <w14:solidFill>
          <w14:schemeClr w14:val="folHlink"/>
        </w14:solidFill>
      </w14:textFill>
    </w:rPr>
  </w:style>
  <w:style w:type="character" w:styleId="37">
    <w:name w:val="HTML Definition"/>
    <w:basedOn w:val="34"/>
    <w:semiHidden/>
    <w:unhideWhenUsed/>
    <w:qFormat/>
    <w:uiPriority w:val="99"/>
  </w:style>
  <w:style w:type="character" w:styleId="38">
    <w:name w:val="HTML Variable"/>
    <w:basedOn w:val="34"/>
    <w:semiHidden/>
    <w:unhideWhenUsed/>
    <w:qFormat/>
    <w:uiPriority w:val="99"/>
  </w:style>
  <w:style w:type="character" w:styleId="39">
    <w:name w:val="Hyperlink"/>
    <w:basedOn w:val="34"/>
    <w:qFormat/>
    <w:uiPriority w:val="99"/>
    <w:rPr>
      <w:color w:val="3D3D3D"/>
      <w:u w:val="none"/>
    </w:rPr>
  </w:style>
  <w:style w:type="character" w:styleId="40">
    <w:name w:val="HTML Code"/>
    <w:basedOn w:val="34"/>
    <w:semiHidden/>
    <w:unhideWhenUsed/>
    <w:qFormat/>
    <w:uiPriority w:val="99"/>
    <w:rPr>
      <w:rFonts w:ascii="Courier New" w:hAnsi="Courier New"/>
      <w:sz w:val="20"/>
    </w:rPr>
  </w:style>
  <w:style w:type="character" w:styleId="41">
    <w:name w:val="annotation reference"/>
    <w:basedOn w:val="34"/>
    <w:qFormat/>
    <w:uiPriority w:val="0"/>
    <w:rPr>
      <w:sz w:val="21"/>
      <w:szCs w:val="21"/>
    </w:rPr>
  </w:style>
  <w:style w:type="character" w:styleId="42">
    <w:name w:val="HTML Cite"/>
    <w:basedOn w:val="34"/>
    <w:semiHidden/>
    <w:unhideWhenUsed/>
    <w:qFormat/>
    <w:uiPriority w:val="99"/>
  </w:style>
  <w:style w:type="paragraph" w:customStyle="1" w:styleId="43">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44">
    <w:name w:val="页眉 Char"/>
    <w:basedOn w:val="34"/>
    <w:link w:val="21"/>
    <w:qFormat/>
    <w:uiPriority w:val="0"/>
    <w:rPr>
      <w:sz w:val="18"/>
      <w:szCs w:val="18"/>
    </w:rPr>
  </w:style>
  <w:style w:type="character" w:customStyle="1" w:styleId="45">
    <w:name w:val="页脚 Char"/>
    <w:basedOn w:val="34"/>
    <w:link w:val="20"/>
    <w:qFormat/>
    <w:uiPriority w:val="99"/>
    <w:rPr>
      <w:sz w:val="18"/>
      <w:szCs w:val="18"/>
    </w:rPr>
  </w:style>
  <w:style w:type="character" w:customStyle="1" w:styleId="46">
    <w:name w:val="标题 1 Char"/>
    <w:basedOn w:val="34"/>
    <w:link w:val="3"/>
    <w:qFormat/>
    <w:uiPriority w:val="0"/>
    <w:rPr>
      <w:rFonts w:ascii="Times New Roman" w:hAnsi="Times New Roman" w:eastAsia="宋体" w:cs="Times New Roman"/>
      <w:b/>
      <w:bCs/>
      <w:kern w:val="44"/>
      <w:sz w:val="44"/>
      <w:szCs w:val="44"/>
    </w:rPr>
  </w:style>
  <w:style w:type="character" w:customStyle="1" w:styleId="47">
    <w:name w:val="标题 2 Char"/>
    <w:basedOn w:val="34"/>
    <w:link w:val="4"/>
    <w:qFormat/>
    <w:uiPriority w:val="0"/>
    <w:rPr>
      <w:rFonts w:ascii="Arial" w:hAnsi="Arial" w:eastAsia="黑体" w:cs="Times New Roman"/>
      <w:b/>
      <w:bCs/>
      <w:sz w:val="32"/>
      <w:szCs w:val="32"/>
    </w:rPr>
  </w:style>
  <w:style w:type="character" w:customStyle="1" w:styleId="48">
    <w:name w:val="标题 3 Char"/>
    <w:basedOn w:val="34"/>
    <w:link w:val="5"/>
    <w:qFormat/>
    <w:uiPriority w:val="0"/>
    <w:rPr>
      <w:rFonts w:ascii="Times New Roman" w:hAnsi="Times New Roman" w:eastAsia="宋体" w:cs="Times New Roman"/>
      <w:b/>
      <w:bCs/>
      <w:sz w:val="32"/>
      <w:szCs w:val="32"/>
    </w:rPr>
  </w:style>
  <w:style w:type="character" w:customStyle="1" w:styleId="49">
    <w:name w:val="正文文本缩进 Char"/>
    <w:basedOn w:val="34"/>
    <w:link w:val="13"/>
    <w:qFormat/>
    <w:uiPriority w:val="0"/>
    <w:rPr>
      <w:rFonts w:ascii="Times New Roman" w:hAnsi="Times New Roman" w:eastAsia="宋体" w:cs="Times New Roman"/>
      <w:sz w:val="32"/>
      <w:szCs w:val="20"/>
    </w:rPr>
  </w:style>
  <w:style w:type="paragraph" w:customStyle="1" w:styleId="50">
    <w:name w:val="正文首行缩进两字符"/>
    <w:basedOn w:val="1"/>
    <w:qFormat/>
    <w:uiPriority w:val="0"/>
    <w:pPr>
      <w:spacing w:line="360" w:lineRule="auto"/>
      <w:ind w:firstLine="200" w:firstLineChars="200"/>
    </w:pPr>
  </w:style>
  <w:style w:type="paragraph" w:customStyle="1" w:styleId="5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2">
    <w:name w:val="正文文本缩进 2 Char"/>
    <w:basedOn w:val="34"/>
    <w:link w:val="18"/>
    <w:qFormat/>
    <w:uiPriority w:val="0"/>
    <w:rPr>
      <w:rFonts w:ascii="Times New Roman" w:hAnsi="Times New Roman" w:eastAsia="宋体" w:cs="Times New Roman"/>
      <w:szCs w:val="24"/>
    </w:rPr>
  </w:style>
  <w:style w:type="character" w:customStyle="1" w:styleId="53">
    <w:name w:val="正文文本缩进 3 Char"/>
    <w:basedOn w:val="34"/>
    <w:link w:val="25"/>
    <w:qFormat/>
    <w:uiPriority w:val="0"/>
    <w:rPr>
      <w:rFonts w:ascii="Times New Roman" w:hAnsi="Times New Roman" w:eastAsia="宋体" w:cs="Times New Roman"/>
      <w:sz w:val="16"/>
      <w:szCs w:val="16"/>
    </w:rPr>
  </w:style>
  <w:style w:type="paragraph" w:customStyle="1" w:styleId="5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5">
    <w:name w:val="表格"/>
    <w:basedOn w:val="1"/>
    <w:qFormat/>
    <w:uiPriority w:val="0"/>
    <w:pPr>
      <w:spacing w:line="400" w:lineRule="exact"/>
    </w:pPr>
    <w:rPr>
      <w:sz w:val="24"/>
    </w:rPr>
  </w:style>
  <w:style w:type="paragraph" w:customStyle="1" w:styleId="56">
    <w:name w:val="样式 首行缩进:  2 字符"/>
    <w:basedOn w:val="1"/>
    <w:qFormat/>
    <w:uiPriority w:val="0"/>
    <w:pPr>
      <w:spacing w:line="400" w:lineRule="exact"/>
      <w:ind w:firstLine="200" w:firstLineChars="200"/>
    </w:pPr>
    <w:rPr>
      <w:rFonts w:cs="宋体"/>
      <w:sz w:val="24"/>
    </w:rPr>
  </w:style>
  <w:style w:type="character" w:customStyle="1" w:styleId="57">
    <w:name w:val="（符号）邀请函中一、"/>
    <w:basedOn w:val="34"/>
    <w:qFormat/>
    <w:uiPriority w:val="0"/>
    <w:rPr>
      <w:rFonts w:ascii="黑体" w:hAnsi="黑体" w:eastAsia="黑体"/>
      <w:b/>
      <w:bCs/>
      <w:sz w:val="24"/>
    </w:rPr>
  </w:style>
  <w:style w:type="character" w:customStyle="1" w:styleId="58">
    <w:name w:val="批注框文本 Char"/>
    <w:basedOn w:val="34"/>
    <w:link w:val="19"/>
    <w:qFormat/>
    <w:uiPriority w:val="0"/>
    <w:rPr>
      <w:rFonts w:ascii="Times New Roman" w:hAnsi="Times New Roman" w:eastAsia="宋体" w:cs="Times New Roman"/>
      <w:sz w:val="18"/>
      <w:szCs w:val="18"/>
    </w:rPr>
  </w:style>
  <w:style w:type="character" w:customStyle="1" w:styleId="59">
    <w:name w:val="正文缩进 Char"/>
    <w:link w:val="9"/>
    <w:qFormat/>
    <w:uiPriority w:val="0"/>
    <w:rPr>
      <w:rFonts w:ascii="Times New Roman" w:hAnsi="Times New Roman" w:eastAsia="宋体" w:cs="Times New Roman"/>
      <w:szCs w:val="24"/>
    </w:rPr>
  </w:style>
  <w:style w:type="character" w:customStyle="1" w:styleId="60">
    <w:name w:val="Char Char9"/>
    <w:qFormat/>
    <w:uiPriority w:val="0"/>
    <w:rPr>
      <w:kern w:val="2"/>
      <w:sz w:val="21"/>
    </w:rPr>
  </w:style>
  <w:style w:type="character" w:customStyle="1" w:styleId="61">
    <w:name w:val="批注文字 Char"/>
    <w:qFormat/>
    <w:uiPriority w:val="0"/>
    <w:rPr>
      <w:sz w:val="18"/>
    </w:rPr>
  </w:style>
  <w:style w:type="character" w:customStyle="1" w:styleId="62">
    <w:name w:val="批注文字 Char1"/>
    <w:basedOn w:val="34"/>
    <w:link w:val="11"/>
    <w:qFormat/>
    <w:uiPriority w:val="0"/>
    <w:rPr>
      <w:rFonts w:ascii="Times New Roman" w:hAnsi="Times New Roman" w:eastAsia="宋体" w:cs="Times New Roman"/>
      <w:szCs w:val="24"/>
    </w:rPr>
  </w:style>
  <w:style w:type="character" w:customStyle="1" w:styleId="63">
    <w:name w:val="纯文本 Char"/>
    <w:unhideWhenUsed/>
    <w:qFormat/>
    <w:uiPriority w:val="0"/>
    <w:rPr>
      <w:rFonts w:ascii="宋体" w:hAnsi="Tms Rmn" w:eastAsia="宋体"/>
    </w:rPr>
  </w:style>
  <w:style w:type="character" w:customStyle="1" w:styleId="64">
    <w:name w:val="纯文本 Char1"/>
    <w:basedOn w:val="34"/>
    <w:link w:val="16"/>
    <w:qFormat/>
    <w:uiPriority w:val="99"/>
    <w:rPr>
      <w:rFonts w:ascii="宋体" w:hAnsi="Courier New" w:eastAsia="宋体" w:cs="Courier New"/>
      <w:szCs w:val="21"/>
    </w:rPr>
  </w:style>
  <w:style w:type="paragraph" w:customStyle="1" w:styleId="65">
    <w:name w:val="GW-正文"/>
    <w:basedOn w:val="1"/>
    <w:link w:val="66"/>
    <w:qFormat/>
    <w:uiPriority w:val="0"/>
    <w:pPr>
      <w:spacing w:line="360" w:lineRule="auto"/>
      <w:ind w:firstLine="200" w:firstLineChars="200"/>
    </w:pPr>
    <w:rPr>
      <w:rFonts w:eastAsia="仿宋_GB2312"/>
      <w:sz w:val="24"/>
    </w:rPr>
  </w:style>
  <w:style w:type="character" w:customStyle="1" w:styleId="66">
    <w:name w:val="GW-正文 Char"/>
    <w:link w:val="65"/>
    <w:qFormat/>
    <w:uiPriority w:val="0"/>
    <w:rPr>
      <w:rFonts w:ascii="Times New Roman" w:hAnsi="Times New Roman" w:eastAsia="仿宋_GB2312" w:cs="Times New Roman"/>
      <w:sz w:val="24"/>
      <w:szCs w:val="24"/>
    </w:rPr>
  </w:style>
  <w:style w:type="paragraph" w:customStyle="1" w:styleId="67">
    <w:name w:val="列出段落1"/>
    <w:basedOn w:val="1"/>
    <w:link w:val="68"/>
    <w:qFormat/>
    <w:uiPriority w:val="0"/>
    <w:pPr>
      <w:ind w:firstLine="420" w:firstLineChars="200"/>
    </w:pPr>
  </w:style>
  <w:style w:type="character" w:customStyle="1" w:styleId="68">
    <w:name w:val="列出段落 Char"/>
    <w:link w:val="67"/>
    <w:qFormat/>
    <w:uiPriority w:val="0"/>
    <w:rPr>
      <w:rFonts w:ascii="Times New Roman" w:hAnsi="Times New Roman" w:eastAsia="宋体" w:cs="Times New Roman"/>
      <w:szCs w:val="24"/>
    </w:rPr>
  </w:style>
  <w:style w:type="character" w:customStyle="1" w:styleId="69">
    <w:name w:val="批注主题 Char"/>
    <w:basedOn w:val="62"/>
    <w:link w:val="30"/>
    <w:qFormat/>
    <w:uiPriority w:val="0"/>
    <w:rPr>
      <w:rFonts w:ascii="Times New Roman" w:hAnsi="Times New Roman" w:eastAsia="宋体" w:cs="Times New Roman"/>
      <w:b/>
      <w:bCs/>
      <w:szCs w:val="24"/>
    </w:rPr>
  </w:style>
  <w:style w:type="paragraph" w:customStyle="1" w:styleId="70">
    <w:name w:val="Char Char Char Char Char Char Char Char Char Char Char Char Char Char1 Char Char Char Char"/>
    <w:basedOn w:val="1"/>
    <w:qFormat/>
    <w:uiPriority w:val="0"/>
    <w:rPr>
      <w:szCs w:val="21"/>
    </w:rPr>
  </w:style>
  <w:style w:type="character" w:customStyle="1" w:styleId="71">
    <w:name w:val="文档结构图 Char"/>
    <w:basedOn w:val="34"/>
    <w:link w:val="10"/>
    <w:qFormat/>
    <w:uiPriority w:val="0"/>
    <w:rPr>
      <w:rFonts w:ascii="宋体" w:hAnsi="Times New Roman" w:eastAsia="宋体" w:cs="Times New Roman"/>
      <w:sz w:val="18"/>
      <w:szCs w:val="18"/>
    </w:rPr>
  </w:style>
  <w:style w:type="character" w:customStyle="1" w:styleId="72">
    <w:name w:val="正文文本 Char"/>
    <w:basedOn w:val="34"/>
    <w:link w:val="12"/>
    <w:qFormat/>
    <w:uiPriority w:val="0"/>
    <w:rPr>
      <w:rFonts w:ascii="Times New Roman" w:hAnsi="Times New Roman" w:eastAsia="宋体" w:cs="Times New Roman"/>
      <w:szCs w:val="24"/>
    </w:rPr>
  </w:style>
  <w:style w:type="paragraph" w:customStyle="1" w:styleId="7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4">
    <w:name w:val="font31"/>
    <w:basedOn w:val="34"/>
    <w:qFormat/>
    <w:uiPriority w:val="0"/>
    <w:rPr>
      <w:rFonts w:hint="eastAsia" w:ascii="宋体" w:hAnsi="宋体" w:eastAsia="宋体" w:cs="宋体"/>
      <w:color w:val="000000"/>
      <w:sz w:val="21"/>
      <w:szCs w:val="21"/>
      <w:u w:val="none"/>
    </w:rPr>
  </w:style>
  <w:style w:type="character" w:customStyle="1" w:styleId="75">
    <w:name w:val="标题 Char"/>
    <w:basedOn w:val="34"/>
    <w:link w:val="29"/>
    <w:qFormat/>
    <w:uiPriority w:val="10"/>
    <w:rPr>
      <w:rFonts w:eastAsia="宋体" w:asciiTheme="majorHAnsi" w:hAnsiTheme="majorHAnsi" w:cstheme="majorBidi"/>
      <w:b/>
      <w:bCs/>
      <w:kern w:val="2"/>
      <w:sz w:val="32"/>
      <w:szCs w:val="32"/>
    </w:rPr>
  </w:style>
  <w:style w:type="paragraph" w:customStyle="1" w:styleId="76">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77">
    <w:name w:val="Table Paragraph"/>
    <w:basedOn w:val="1"/>
    <w:qFormat/>
    <w:uiPriority w:val="1"/>
    <w:rPr>
      <w:rFonts w:ascii="宋体" w:hAnsi="宋体" w:cs="宋体"/>
      <w:lang w:val="zh-CN" w:bidi="zh-CN"/>
    </w:rPr>
  </w:style>
  <w:style w:type="paragraph" w:customStyle="1" w:styleId="78">
    <w:name w:val="WPSOffice手动目录 1"/>
    <w:qFormat/>
    <w:uiPriority w:val="0"/>
    <w:rPr>
      <w:rFonts w:ascii="Times New Roman" w:hAnsi="Times New Roman" w:eastAsia="宋体" w:cs="Times New Roman"/>
      <w:lang w:val="en-US" w:eastAsia="zh-CN" w:bidi="ar-SA"/>
    </w:rPr>
  </w:style>
  <w:style w:type="paragraph" w:customStyle="1" w:styleId="7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0">
    <w:name w:val="_Style 1"/>
    <w:basedOn w:val="1"/>
    <w:qFormat/>
    <w:uiPriority w:val="0"/>
    <w:pPr>
      <w:ind w:firstLine="420" w:firstLineChars="200"/>
    </w:pPr>
    <w:rPr>
      <w:sz w:val="18"/>
      <w:szCs w:val="18"/>
    </w:rPr>
  </w:style>
  <w:style w:type="character" w:customStyle="1" w:styleId="81">
    <w:name w:val="img"/>
    <w:basedOn w:val="34"/>
    <w:qFormat/>
    <w:uiPriority w:val="0"/>
  </w:style>
  <w:style w:type="character" w:customStyle="1" w:styleId="82">
    <w:name w:val="img1"/>
    <w:basedOn w:val="34"/>
    <w:qFormat/>
    <w:uiPriority w:val="0"/>
  </w:style>
  <w:style w:type="paragraph" w:customStyle="1" w:styleId="8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84">
    <w:name w:val="_Style 3"/>
    <w:qFormat/>
    <w:uiPriority w:val="0"/>
    <w:pPr>
      <w:framePr w:wrap="around" w:vAnchor="margin" w:hAnchor="text" w:yAlign="top"/>
      <w:widowControl w:val="0"/>
      <w:ind w:firstLine="420"/>
      <w:jc w:val="both"/>
    </w:pPr>
    <w:rPr>
      <w:rFonts w:ascii="Calibri" w:hAnsi="Calibri" w:eastAsia="Calibri" w:cs="Calibri"/>
      <w:color w:val="000000"/>
      <w:u w:color="000000"/>
      <w:lang w:val="en-US" w:eastAsia="zh-CN" w:bidi="ar-SA"/>
    </w:rPr>
  </w:style>
  <w:style w:type="paragraph" w:customStyle="1" w:styleId="85">
    <w:name w:val="正文 + 宋体"/>
    <w:basedOn w:val="1"/>
    <w:next w:val="1"/>
    <w:qFormat/>
    <w:uiPriority w:val="0"/>
    <w:pPr>
      <w:snapToGrid w:val="0"/>
      <w:spacing w:after="100" w:afterAutospacing="1"/>
    </w:pPr>
    <w:rPr>
      <w:rFonts w:ascii="宋体" w:hAnsi="宋体"/>
      <w:bCs/>
      <w:spacing w:val="4"/>
      <w:sz w:val="24"/>
    </w:rPr>
  </w:style>
  <w:style w:type="paragraph" w:customStyle="1" w:styleId="8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Cs w:val="20"/>
    </w:rPr>
  </w:style>
  <w:style w:type="paragraph" w:customStyle="1" w:styleId="87">
    <w:name w:val="03、“注：”正文(加粗，首行缩进2字符)"/>
    <w:basedOn w:val="88"/>
    <w:qFormat/>
    <w:uiPriority w:val="0"/>
    <w:pPr>
      <w:tabs>
        <w:tab w:val="left" w:pos="0"/>
      </w:tabs>
      <w:ind w:firstLine="480" w:firstLineChars="200"/>
    </w:pPr>
    <w:rPr>
      <w:b/>
    </w:rPr>
  </w:style>
  <w:style w:type="paragraph" w:customStyle="1" w:styleId="88">
    <w:name w:val="01、普通正文"/>
    <w:basedOn w:val="1"/>
    <w:qFormat/>
    <w:uiPriority w:val="0"/>
    <w:pPr>
      <w:tabs>
        <w:tab w:val="left" w:pos="0"/>
      </w:tabs>
      <w:wordWrap w:val="0"/>
      <w:topLinePunct/>
    </w:pPr>
    <w:rPr>
      <w:snapToGrid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EABB85-0A7C-42F5-B13D-FF291DBAB191}">
  <ds:schemaRefs/>
</ds:datastoreItem>
</file>

<file path=customXml/itemProps3.xml><?xml version="1.0" encoding="utf-8"?>
<ds:datastoreItem xmlns:ds="http://schemas.openxmlformats.org/officeDocument/2006/customXml" ds:itemID="{400BC729-A21A-4533-B77C-835749C23B9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5517</Words>
  <Characters>31448</Characters>
  <Lines>262</Lines>
  <Paragraphs>73</Paragraphs>
  <TotalTime>0</TotalTime>
  <ScaleCrop>false</ScaleCrop>
  <LinksUpToDate>false</LinksUpToDate>
  <CharactersWithSpaces>36892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2019-04-10T05:41:00Z</dcterms:created>
  <dc:creator>刘春阳</dc:creator>
  <cp:lastModifiedBy>Administrator</cp:lastModifiedBy>
  <cp:lastPrinted>2021-07-21T06:53:00Z</cp:lastPrinted>
  <dcterms:modified xsi:type="dcterms:W3CDTF">2021-11-08T10:17:57Z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1A41E922A03D4E509577778930A98209</vt:lpwstr>
  </property>
</Properties>
</file>